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A5" w:rsidRPr="00794CF6" w:rsidRDefault="00F654EB" w:rsidP="00794CF6">
      <w:pPr>
        <w:pStyle w:val="BodyText"/>
        <w:rPr>
          <w:b/>
          <w:sz w:val="28"/>
        </w:rPr>
      </w:pPr>
      <w:bookmarkStart w:id="0" w:name="_Toc398282521"/>
      <w:r w:rsidRPr="00794CF6">
        <w:rPr>
          <w:b/>
          <w:sz w:val="28"/>
        </w:rPr>
        <w:t>5.9</w:t>
      </w:r>
      <w:r w:rsidR="00CD4AA5" w:rsidRPr="00794CF6">
        <w:rPr>
          <w:b/>
          <w:sz w:val="28"/>
        </w:rPr>
        <w:tab/>
        <w:t>PONATINIB</w:t>
      </w:r>
    </w:p>
    <w:p w:rsidR="00B727A5" w:rsidRPr="00B727A5" w:rsidRDefault="00B727A5" w:rsidP="00B727A5">
      <w:pPr>
        <w:pStyle w:val="BodyText"/>
        <w:ind w:firstLine="720"/>
        <w:rPr>
          <w:b/>
          <w:sz w:val="28"/>
        </w:rPr>
      </w:pPr>
      <w:proofErr w:type="gramStart"/>
      <w:r>
        <w:rPr>
          <w:b/>
          <w:sz w:val="28"/>
        </w:rPr>
        <w:t>tablets</w:t>
      </w:r>
      <w:proofErr w:type="gramEnd"/>
      <w:r>
        <w:rPr>
          <w:b/>
          <w:sz w:val="28"/>
        </w:rPr>
        <w:t>; 15 mg and 45 mg;</w:t>
      </w:r>
      <w:r w:rsidRPr="00B727A5">
        <w:rPr>
          <w:b/>
          <w:sz w:val="28"/>
        </w:rPr>
        <w:t xml:space="preserve"> </w:t>
      </w:r>
    </w:p>
    <w:p w:rsidR="001B449A" w:rsidRDefault="00B727A5" w:rsidP="00B727A5">
      <w:pPr>
        <w:pStyle w:val="BodyText"/>
        <w:ind w:firstLine="720"/>
        <w:rPr>
          <w:b/>
          <w:sz w:val="28"/>
        </w:rPr>
      </w:pPr>
      <w:proofErr w:type="spellStart"/>
      <w:proofErr w:type="gramStart"/>
      <w:r w:rsidRPr="00B727A5">
        <w:rPr>
          <w:b/>
          <w:sz w:val="28"/>
        </w:rPr>
        <w:t>Iclusig</w:t>
      </w:r>
      <w:proofErr w:type="spellEnd"/>
      <w:r w:rsidRPr="00B727A5">
        <w:rPr>
          <w:b/>
          <w:sz w:val="28"/>
        </w:rPr>
        <w:t>®</w:t>
      </w:r>
      <w:r>
        <w:rPr>
          <w:b/>
          <w:sz w:val="28"/>
        </w:rPr>
        <w:t xml:space="preserve">; </w:t>
      </w:r>
      <w:r w:rsidRPr="00B727A5">
        <w:rPr>
          <w:b/>
          <w:sz w:val="28"/>
        </w:rPr>
        <w:t>Specialised Therapeutics Australia Pty Ltd</w:t>
      </w:r>
      <w:bookmarkEnd w:id="0"/>
      <w:r w:rsidR="002F4FC8">
        <w:rPr>
          <w:b/>
          <w:sz w:val="28"/>
        </w:rPr>
        <w:t>.</w:t>
      </w:r>
      <w:proofErr w:type="gramEnd"/>
    </w:p>
    <w:p w:rsidR="002F4FC8" w:rsidRPr="001B449A" w:rsidRDefault="002F4FC8" w:rsidP="002F4FC8">
      <w:pPr>
        <w:pStyle w:val="BodyText"/>
        <w:ind w:firstLine="720"/>
        <w:rPr>
          <w:b/>
        </w:rPr>
      </w:pPr>
    </w:p>
    <w:p w:rsidR="001C1E53" w:rsidRDefault="001C1E53" w:rsidP="00976978">
      <w:bookmarkStart w:id="1" w:name="_Toc398282522"/>
    </w:p>
    <w:p w:rsidR="00CD4AA5" w:rsidRPr="001B449A" w:rsidRDefault="00CD4AA5" w:rsidP="009F0D55">
      <w:pPr>
        <w:pStyle w:val="PBACHeading1"/>
        <w:numPr>
          <w:ilvl w:val="0"/>
          <w:numId w:val="12"/>
        </w:numPr>
        <w:ind w:left="709" w:hanging="709"/>
      </w:pPr>
      <w:bookmarkStart w:id="2" w:name="_Toc398282523"/>
      <w:bookmarkEnd w:id="1"/>
      <w:r w:rsidRPr="001B449A">
        <w:t>Purpose of Application</w:t>
      </w:r>
      <w:bookmarkEnd w:id="2"/>
    </w:p>
    <w:p w:rsidR="00CD4AA5" w:rsidRPr="001B449A" w:rsidRDefault="00CD4AA5" w:rsidP="00CD4AA5">
      <w:pPr>
        <w:rPr>
          <w:szCs w:val="22"/>
        </w:rPr>
      </w:pPr>
    </w:p>
    <w:p w:rsidR="00CD4AA5" w:rsidRPr="001B449A" w:rsidRDefault="0031710F" w:rsidP="009F0D55">
      <w:pPr>
        <w:pStyle w:val="ListParagraph"/>
        <w:widowControl/>
        <w:numPr>
          <w:ilvl w:val="1"/>
          <w:numId w:val="12"/>
        </w:numPr>
        <w:ind w:left="709" w:hanging="709"/>
        <w:rPr>
          <w:szCs w:val="22"/>
        </w:rPr>
      </w:pPr>
      <w:r>
        <w:t xml:space="preserve">The submission sought an </w:t>
      </w:r>
      <w:r w:rsidR="00CD4AA5" w:rsidRPr="001B449A">
        <w:t xml:space="preserve">Authority Required listing for ponatinib for treatment of adult patients: </w:t>
      </w:r>
    </w:p>
    <w:p w:rsidR="00CD4AA5" w:rsidRPr="001B449A" w:rsidRDefault="00CD4AA5" w:rsidP="009F0D55">
      <w:pPr>
        <w:pStyle w:val="ListParagraph"/>
        <w:widowControl/>
        <w:numPr>
          <w:ilvl w:val="0"/>
          <w:numId w:val="3"/>
        </w:numPr>
        <w:ind w:left="1004" w:hanging="284"/>
        <w:rPr>
          <w:szCs w:val="22"/>
        </w:rPr>
      </w:pPr>
      <w:r w:rsidRPr="001B449A">
        <w:t>with chronic myeloid leukaemia (CML) who are resistant or intolerant to dasatinib or nilotinib, or who have the T315I mutation; or</w:t>
      </w:r>
    </w:p>
    <w:p w:rsidR="00CD4AA5" w:rsidRPr="001B449A" w:rsidRDefault="00CD4AA5" w:rsidP="009F0D55">
      <w:pPr>
        <w:pStyle w:val="ListParagraph"/>
        <w:widowControl/>
        <w:numPr>
          <w:ilvl w:val="0"/>
          <w:numId w:val="3"/>
        </w:numPr>
        <w:ind w:left="1004" w:hanging="284"/>
      </w:pPr>
      <w:proofErr w:type="gramStart"/>
      <w:r w:rsidRPr="001B449A">
        <w:t>with</w:t>
      </w:r>
      <w:proofErr w:type="gramEnd"/>
      <w:r w:rsidRPr="001B449A">
        <w:t xml:space="preserve"> Philadelphia chromosome positive (</w:t>
      </w:r>
      <w:proofErr w:type="spellStart"/>
      <w:r w:rsidRPr="001B449A">
        <w:t>Ph</w:t>
      </w:r>
      <w:proofErr w:type="spellEnd"/>
      <w:r w:rsidRPr="001B449A">
        <w:t>+) acute lymphoblastic leukaemia (ALL) who are resistant or intolerant to dasatinib, or who have the T315I mutation.</w:t>
      </w:r>
    </w:p>
    <w:p w:rsidR="00CD4AA5" w:rsidRDefault="00CD4AA5" w:rsidP="00CD4AA5"/>
    <w:p w:rsidR="001C1E53" w:rsidRPr="001B449A" w:rsidRDefault="001C1E53" w:rsidP="00CD4AA5"/>
    <w:p w:rsidR="00CD4AA5" w:rsidRPr="001B449A" w:rsidRDefault="00CD4AA5" w:rsidP="009F0D55">
      <w:pPr>
        <w:pStyle w:val="PBACHeading1"/>
        <w:numPr>
          <w:ilvl w:val="0"/>
          <w:numId w:val="12"/>
        </w:numPr>
        <w:ind w:left="709" w:hanging="709"/>
      </w:pPr>
      <w:bookmarkStart w:id="3" w:name="_Toc398282524"/>
      <w:r w:rsidRPr="001B449A">
        <w:t>Requested listing</w:t>
      </w:r>
      <w:bookmarkEnd w:id="3"/>
    </w:p>
    <w:p w:rsidR="00CD4AA5" w:rsidRPr="001B449A" w:rsidRDefault="00CD4AA5" w:rsidP="00CD4AA5"/>
    <w:p w:rsidR="004874EA" w:rsidRPr="004874EA" w:rsidRDefault="0031710F" w:rsidP="009F0D55">
      <w:pPr>
        <w:pStyle w:val="ListParagraph"/>
        <w:widowControl/>
        <w:numPr>
          <w:ilvl w:val="1"/>
          <w:numId w:val="12"/>
        </w:numPr>
        <w:ind w:left="709" w:hanging="709"/>
      </w:pPr>
      <w:r>
        <w:t>A</w:t>
      </w:r>
      <w:r w:rsidR="004874EA" w:rsidRPr="004874EA">
        <w:t>bridged version</w:t>
      </w:r>
      <w:r>
        <w:t>s</w:t>
      </w:r>
      <w:r w:rsidR="004874EA" w:rsidRPr="004874EA">
        <w:t xml:space="preserve"> of the requested restrictions </w:t>
      </w:r>
      <w:r>
        <w:t>are shown below.</w:t>
      </w:r>
    </w:p>
    <w:p w:rsidR="004874EA" w:rsidRDefault="004874EA" w:rsidP="004874EA">
      <w:pPr>
        <w:pStyle w:val="ListParagraph"/>
        <w:widowControl/>
        <w:ind w:left="709"/>
        <w:rPr>
          <w:rFonts w:ascii="Arial Narrow" w:hAnsi="Arial Narrow"/>
          <w:b/>
          <w:szCs w:val="22"/>
        </w:rPr>
      </w:pPr>
    </w:p>
    <w:tbl>
      <w:tblPr>
        <w:tblW w:w="8363" w:type="dxa"/>
        <w:tblInd w:w="817" w:type="dxa"/>
        <w:tblLayout w:type="fixed"/>
        <w:tblLook w:val="0000" w:firstRow="0" w:lastRow="0" w:firstColumn="0" w:lastColumn="0" w:noHBand="0" w:noVBand="0"/>
      </w:tblPr>
      <w:tblGrid>
        <w:gridCol w:w="3400"/>
        <w:gridCol w:w="795"/>
        <w:gridCol w:w="796"/>
        <w:gridCol w:w="265"/>
        <w:gridCol w:w="1458"/>
        <w:gridCol w:w="1649"/>
      </w:tblGrid>
      <w:tr w:rsidR="004874EA" w:rsidRPr="000F0021" w:rsidTr="004874EA">
        <w:trPr>
          <w:cantSplit/>
          <w:trHeight w:val="533"/>
        </w:trPr>
        <w:tc>
          <w:tcPr>
            <w:tcW w:w="3400" w:type="dxa"/>
            <w:tcBorders>
              <w:bottom w:val="single" w:sz="4" w:space="0" w:color="auto"/>
            </w:tcBorders>
          </w:tcPr>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Name, Restriction,</w:t>
            </w:r>
          </w:p>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Manner of administration and form</w:t>
            </w:r>
          </w:p>
        </w:tc>
        <w:tc>
          <w:tcPr>
            <w:tcW w:w="795" w:type="dxa"/>
            <w:tcBorders>
              <w:bottom w:val="single" w:sz="4" w:space="0" w:color="auto"/>
            </w:tcBorders>
          </w:tcPr>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Max.</w:t>
            </w:r>
          </w:p>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Qty</w:t>
            </w:r>
          </w:p>
        </w:tc>
        <w:tc>
          <w:tcPr>
            <w:tcW w:w="796" w:type="dxa"/>
            <w:tcBorders>
              <w:bottom w:val="single" w:sz="4" w:space="0" w:color="auto"/>
            </w:tcBorders>
          </w:tcPr>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№.of</w:t>
            </w:r>
          </w:p>
          <w:p w:rsidR="004874EA" w:rsidRPr="000F0021" w:rsidRDefault="004874EA" w:rsidP="0011649E">
            <w:pPr>
              <w:keepNext/>
              <w:ind w:left="-108"/>
              <w:rPr>
                <w:rFonts w:ascii="Arial Narrow" w:hAnsi="Arial Narrow"/>
                <w:sz w:val="20"/>
                <w:szCs w:val="22"/>
              </w:rPr>
            </w:pPr>
            <w:r w:rsidRPr="000F0021">
              <w:rPr>
                <w:rFonts w:ascii="Arial Narrow" w:hAnsi="Arial Narrow"/>
                <w:sz w:val="20"/>
                <w:szCs w:val="22"/>
              </w:rPr>
              <w:t>Rpts</w:t>
            </w:r>
          </w:p>
        </w:tc>
        <w:tc>
          <w:tcPr>
            <w:tcW w:w="265" w:type="dxa"/>
            <w:tcBorders>
              <w:bottom w:val="single" w:sz="4" w:space="0" w:color="auto"/>
            </w:tcBorders>
          </w:tcPr>
          <w:p w:rsidR="004874EA" w:rsidRPr="000F0021" w:rsidRDefault="004874EA" w:rsidP="0011649E">
            <w:pPr>
              <w:keepNext/>
              <w:ind w:left="-108"/>
              <w:rPr>
                <w:rFonts w:ascii="Arial Narrow" w:hAnsi="Arial Narrow"/>
                <w:sz w:val="20"/>
                <w:szCs w:val="22"/>
              </w:rPr>
            </w:pPr>
          </w:p>
        </w:tc>
        <w:tc>
          <w:tcPr>
            <w:tcW w:w="3107" w:type="dxa"/>
            <w:gridSpan w:val="2"/>
            <w:tcBorders>
              <w:bottom w:val="single" w:sz="4" w:space="0" w:color="auto"/>
            </w:tcBorders>
          </w:tcPr>
          <w:p w:rsidR="004874EA" w:rsidRPr="000F0021" w:rsidRDefault="004874EA" w:rsidP="0011649E">
            <w:pPr>
              <w:keepNext/>
              <w:rPr>
                <w:rFonts w:ascii="Arial Narrow" w:hAnsi="Arial Narrow"/>
                <w:sz w:val="20"/>
                <w:szCs w:val="22"/>
                <w:lang w:val="fr-FR"/>
              </w:rPr>
            </w:pPr>
            <w:r w:rsidRPr="000F0021">
              <w:rPr>
                <w:rFonts w:ascii="Arial Narrow" w:hAnsi="Arial Narrow"/>
                <w:sz w:val="20"/>
                <w:szCs w:val="22"/>
              </w:rPr>
              <w:t>Proprietary Name and Manufacturer</w:t>
            </w:r>
          </w:p>
        </w:tc>
      </w:tr>
      <w:tr w:rsidR="004874EA" w:rsidRPr="00266773" w:rsidTr="004874EA">
        <w:trPr>
          <w:cantSplit/>
          <w:trHeight w:val="653"/>
        </w:trPr>
        <w:tc>
          <w:tcPr>
            <w:tcW w:w="3400" w:type="dxa"/>
          </w:tcPr>
          <w:p w:rsidR="004874EA" w:rsidRPr="00266773" w:rsidRDefault="004874EA" w:rsidP="0011649E">
            <w:pPr>
              <w:keepNext/>
              <w:ind w:left="-108"/>
              <w:rPr>
                <w:rFonts w:ascii="Arial Narrow" w:hAnsi="Arial Narrow"/>
                <w:sz w:val="20"/>
                <w:szCs w:val="22"/>
              </w:rPr>
            </w:pPr>
            <w:r>
              <w:rPr>
                <w:rFonts w:ascii="Arial Narrow" w:hAnsi="Arial Narrow"/>
                <w:smallCaps/>
                <w:sz w:val="20"/>
                <w:szCs w:val="22"/>
              </w:rPr>
              <w:t>PONATINIB</w:t>
            </w:r>
          </w:p>
          <w:p w:rsidR="004874EA" w:rsidRPr="00266773" w:rsidRDefault="004874EA" w:rsidP="0011649E">
            <w:pPr>
              <w:keepNext/>
              <w:ind w:left="-108"/>
              <w:rPr>
                <w:rFonts w:ascii="Arial Narrow" w:hAnsi="Arial Narrow"/>
                <w:sz w:val="20"/>
                <w:szCs w:val="22"/>
              </w:rPr>
            </w:pPr>
            <w:r w:rsidRPr="00F73E59">
              <w:rPr>
                <w:rFonts w:ascii="Arial Narrow" w:hAnsi="Arial Narrow"/>
                <w:sz w:val="20"/>
                <w:szCs w:val="22"/>
              </w:rPr>
              <w:t>45 mg tablet, 30</w:t>
            </w:r>
          </w:p>
        </w:tc>
        <w:tc>
          <w:tcPr>
            <w:tcW w:w="795" w:type="dxa"/>
          </w:tcPr>
          <w:p w:rsidR="004874EA" w:rsidRPr="00266773" w:rsidRDefault="004874EA" w:rsidP="0011649E">
            <w:pPr>
              <w:keepNext/>
              <w:ind w:left="-108"/>
              <w:rPr>
                <w:rFonts w:ascii="Arial Narrow" w:hAnsi="Arial Narrow"/>
                <w:sz w:val="20"/>
                <w:szCs w:val="22"/>
              </w:rPr>
            </w:pPr>
          </w:p>
          <w:p w:rsidR="004874EA" w:rsidRPr="00266773" w:rsidRDefault="004874EA" w:rsidP="0011649E">
            <w:pPr>
              <w:keepNext/>
              <w:ind w:left="-108"/>
              <w:rPr>
                <w:rFonts w:ascii="Arial Narrow" w:hAnsi="Arial Narrow"/>
                <w:sz w:val="20"/>
                <w:szCs w:val="22"/>
              </w:rPr>
            </w:pPr>
            <w:r>
              <w:rPr>
                <w:rFonts w:ascii="Arial Narrow" w:hAnsi="Arial Narrow"/>
                <w:sz w:val="20"/>
                <w:szCs w:val="22"/>
              </w:rPr>
              <w:t>1</w:t>
            </w:r>
          </w:p>
        </w:tc>
        <w:tc>
          <w:tcPr>
            <w:tcW w:w="796" w:type="dxa"/>
          </w:tcPr>
          <w:p w:rsidR="004874EA" w:rsidRDefault="004874EA" w:rsidP="0011649E">
            <w:pPr>
              <w:keepNext/>
              <w:ind w:left="-108"/>
              <w:rPr>
                <w:rFonts w:ascii="Arial Narrow" w:hAnsi="Arial Narrow"/>
                <w:sz w:val="20"/>
                <w:szCs w:val="22"/>
              </w:rPr>
            </w:pPr>
          </w:p>
          <w:p w:rsidR="004874EA" w:rsidRPr="00266773" w:rsidRDefault="004874EA" w:rsidP="0011649E">
            <w:pPr>
              <w:keepNext/>
              <w:ind w:left="-108"/>
              <w:rPr>
                <w:rFonts w:ascii="Arial Narrow" w:hAnsi="Arial Narrow"/>
                <w:sz w:val="20"/>
                <w:szCs w:val="22"/>
              </w:rPr>
            </w:pPr>
            <w:r>
              <w:rPr>
                <w:rFonts w:ascii="Arial Narrow" w:hAnsi="Arial Narrow"/>
                <w:sz w:val="20"/>
                <w:szCs w:val="22"/>
              </w:rPr>
              <w:t>5</w:t>
            </w:r>
          </w:p>
        </w:tc>
        <w:tc>
          <w:tcPr>
            <w:tcW w:w="265" w:type="dxa"/>
          </w:tcPr>
          <w:p w:rsidR="004874EA" w:rsidRPr="00266773" w:rsidRDefault="004874EA" w:rsidP="0011649E">
            <w:pPr>
              <w:keepNext/>
              <w:ind w:left="-108"/>
              <w:rPr>
                <w:rFonts w:ascii="Arial Narrow" w:hAnsi="Arial Narrow"/>
                <w:sz w:val="20"/>
                <w:szCs w:val="22"/>
              </w:rPr>
            </w:pPr>
          </w:p>
        </w:tc>
        <w:tc>
          <w:tcPr>
            <w:tcW w:w="1458" w:type="dxa"/>
          </w:tcPr>
          <w:p w:rsidR="004874EA" w:rsidRDefault="004874EA" w:rsidP="0011649E">
            <w:pPr>
              <w:keepNext/>
              <w:rPr>
                <w:rFonts w:ascii="Arial Narrow" w:hAnsi="Arial Narrow"/>
                <w:sz w:val="20"/>
                <w:szCs w:val="22"/>
              </w:rPr>
            </w:pPr>
          </w:p>
          <w:p w:rsidR="004874EA" w:rsidRPr="00266773" w:rsidRDefault="004874EA" w:rsidP="0011649E">
            <w:pPr>
              <w:keepNext/>
              <w:rPr>
                <w:rFonts w:ascii="Arial Narrow" w:hAnsi="Arial Narrow"/>
                <w:sz w:val="20"/>
                <w:szCs w:val="22"/>
              </w:rPr>
            </w:pPr>
            <w:proofErr w:type="spellStart"/>
            <w:r w:rsidRPr="00F73E59">
              <w:rPr>
                <w:rFonts w:ascii="Arial Narrow" w:hAnsi="Arial Narrow"/>
                <w:sz w:val="20"/>
                <w:szCs w:val="22"/>
              </w:rPr>
              <w:t>Iclusig</w:t>
            </w:r>
            <w:proofErr w:type="spellEnd"/>
          </w:p>
        </w:tc>
        <w:tc>
          <w:tcPr>
            <w:tcW w:w="1649" w:type="dxa"/>
          </w:tcPr>
          <w:p w:rsidR="004874EA" w:rsidRPr="00266773" w:rsidRDefault="004874EA" w:rsidP="0011649E">
            <w:pPr>
              <w:keepNext/>
              <w:rPr>
                <w:rFonts w:ascii="Arial Narrow" w:hAnsi="Arial Narrow"/>
                <w:sz w:val="20"/>
                <w:szCs w:val="22"/>
              </w:rPr>
            </w:pPr>
            <w:r w:rsidRPr="00F73E59">
              <w:rPr>
                <w:rFonts w:ascii="Arial Narrow" w:hAnsi="Arial Narrow"/>
                <w:sz w:val="20"/>
                <w:szCs w:val="22"/>
              </w:rPr>
              <w:t>Specialised Therapeutics</w:t>
            </w:r>
          </w:p>
        </w:tc>
      </w:tr>
      <w:tr w:rsidR="004874EA" w:rsidRPr="00266773" w:rsidTr="004874EA">
        <w:trPr>
          <w:cantSplit/>
          <w:trHeight w:val="653"/>
        </w:trPr>
        <w:tc>
          <w:tcPr>
            <w:tcW w:w="3400" w:type="dxa"/>
          </w:tcPr>
          <w:p w:rsidR="004874EA" w:rsidRPr="006E0F40" w:rsidRDefault="004874EA" w:rsidP="0011649E">
            <w:pPr>
              <w:keepNext/>
              <w:ind w:left="-108"/>
              <w:rPr>
                <w:rFonts w:ascii="Arial Narrow" w:hAnsi="Arial Narrow"/>
                <w:smallCaps/>
                <w:sz w:val="20"/>
                <w:szCs w:val="22"/>
              </w:rPr>
            </w:pPr>
            <w:r>
              <w:rPr>
                <w:rFonts w:ascii="Arial Narrow" w:hAnsi="Arial Narrow"/>
                <w:smallCaps/>
                <w:sz w:val="20"/>
                <w:szCs w:val="22"/>
              </w:rPr>
              <w:t>PONATINIB</w:t>
            </w:r>
          </w:p>
          <w:p w:rsidR="004874EA" w:rsidRPr="006E0F40" w:rsidRDefault="004874EA" w:rsidP="0011649E">
            <w:pPr>
              <w:keepNext/>
              <w:ind w:left="-108"/>
              <w:rPr>
                <w:rFonts w:ascii="Arial Narrow" w:hAnsi="Arial Narrow"/>
                <w:smallCaps/>
                <w:sz w:val="20"/>
                <w:szCs w:val="22"/>
              </w:rPr>
            </w:pPr>
            <w:r w:rsidRPr="006E0F40">
              <w:rPr>
                <w:rFonts w:ascii="Arial Narrow" w:hAnsi="Arial Narrow"/>
                <w:smallCaps/>
                <w:sz w:val="20"/>
                <w:szCs w:val="22"/>
              </w:rPr>
              <w:t xml:space="preserve">15 </w:t>
            </w:r>
            <w:r w:rsidRPr="00635C8F">
              <w:rPr>
                <w:rFonts w:ascii="Arial Narrow" w:hAnsi="Arial Narrow"/>
                <w:sz w:val="20"/>
                <w:szCs w:val="22"/>
              </w:rPr>
              <w:t>mg tablet</w:t>
            </w:r>
            <w:r w:rsidRPr="006E0F40">
              <w:rPr>
                <w:rFonts w:ascii="Arial Narrow" w:hAnsi="Arial Narrow"/>
                <w:smallCaps/>
                <w:sz w:val="20"/>
                <w:szCs w:val="22"/>
              </w:rPr>
              <w:t>, 60</w:t>
            </w:r>
          </w:p>
        </w:tc>
        <w:tc>
          <w:tcPr>
            <w:tcW w:w="795" w:type="dxa"/>
          </w:tcPr>
          <w:p w:rsidR="004874EA" w:rsidRPr="00266773" w:rsidRDefault="004874EA" w:rsidP="0011649E">
            <w:pPr>
              <w:keepNext/>
              <w:ind w:left="-108"/>
              <w:rPr>
                <w:rFonts w:ascii="Arial Narrow" w:hAnsi="Arial Narrow"/>
                <w:sz w:val="20"/>
                <w:szCs w:val="22"/>
              </w:rPr>
            </w:pPr>
          </w:p>
          <w:p w:rsidR="004874EA" w:rsidRPr="00266773" w:rsidRDefault="004874EA" w:rsidP="0011649E">
            <w:pPr>
              <w:keepNext/>
              <w:ind w:left="-108"/>
              <w:rPr>
                <w:rFonts w:ascii="Arial Narrow" w:hAnsi="Arial Narrow"/>
                <w:sz w:val="20"/>
                <w:szCs w:val="22"/>
              </w:rPr>
            </w:pPr>
            <w:r>
              <w:rPr>
                <w:rFonts w:ascii="Arial Narrow" w:hAnsi="Arial Narrow"/>
                <w:sz w:val="20"/>
                <w:szCs w:val="22"/>
              </w:rPr>
              <w:t>1</w:t>
            </w:r>
          </w:p>
        </w:tc>
        <w:tc>
          <w:tcPr>
            <w:tcW w:w="796" w:type="dxa"/>
          </w:tcPr>
          <w:p w:rsidR="004874EA" w:rsidRDefault="004874EA" w:rsidP="0011649E">
            <w:pPr>
              <w:keepNext/>
              <w:ind w:left="-108"/>
              <w:rPr>
                <w:rFonts w:ascii="Arial Narrow" w:hAnsi="Arial Narrow"/>
                <w:sz w:val="20"/>
                <w:szCs w:val="22"/>
              </w:rPr>
            </w:pPr>
          </w:p>
          <w:p w:rsidR="004874EA" w:rsidRPr="00266773" w:rsidRDefault="004874EA" w:rsidP="0011649E">
            <w:pPr>
              <w:keepNext/>
              <w:ind w:left="-108"/>
              <w:rPr>
                <w:rFonts w:ascii="Arial Narrow" w:hAnsi="Arial Narrow"/>
                <w:sz w:val="20"/>
                <w:szCs w:val="22"/>
              </w:rPr>
            </w:pPr>
            <w:r>
              <w:rPr>
                <w:rFonts w:ascii="Arial Narrow" w:hAnsi="Arial Narrow"/>
                <w:sz w:val="20"/>
                <w:szCs w:val="22"/>
              </w:rPr>
              <w:t>5</w:t>
            </w:r>
          </w:p>
        </w:tc>
        <w:tc>
          <w:tcPr>
            <w:tcW w:w="265" w:type="dxa"/>
          </w:tcPr>
          <w:p w:rsidR="004874EA" w:rsidRPr="00266773" w:rsidRDefault="004874EA" w:rsidP="0011649E">
            <w:pPr>
              <w:keepNext/>
              <w:ind w:left="-108"/>
              <w:rPr>
                <w:rFonts w:ascii="Arial Narrow" w:hAnsi="Arial Narrow"/>
                <w:sz w:val="20"/>
                <w:szCs w:val="22"/>
              </w:rPr>
            </w:pPr>
          </w:p>
        </w:tc>
        <w:tc>
          <w:tcPr>
            <w:tcW w:w="1458" w:type="dxa"/>
          </w:tcPr>
          <w:p w:rsidR="004874EA" w:rsidRDefault="004874EA" w:rsidP="0011649E">
            <w:pPr>
              <w:keepNext/>
              <w:rPr>
                <w:rFonts w:ascii="Arial Narrow" w:hAnsi="Arial Narrow"/>
                <w:sz w:val="20"/>
                <w:szCs w:val="22"/>
              </w:rPr>
            </w:pPr>
          </w:p>
          <w:p w:rsidR="004874EA" w:rsidRPr="00266773" w:rsidRDefault="004874EA" w:rsidP="0011649E">
            <w:pPr>
              <w:keepNext/>
              <w:rPr>
                <w:rFonts w:ascii="Arial Narrow" w:hAnsi="Arial Narrow"/>
                <w:sz w:val="20"/>
                <w:szCs w:val="22"/>
              </w:rPr>
            </w:pPr>
            <w:proofErr w:type="spellStart"/>
            <w:r w:rsidRPr="00F73E59">
              <w:rPr>
                <w:rFonts w:ascii="Arial Narrow" w:hAnsi="Arial Narrow"/>
                <w:sz w:val="20"/>
                <w:szCs w:val="22"/>
              </w:rPr>
              <w:t>Iclusig</w:t>
            </w:r>
            <w:proofErr w:type="spellEnd"/>
          </w:p>
        </w:tc>
        <w:tc>
          <w:tcPr>
            <w:tcW w:w="1649" w:type="dxa"/>
          </w:tcPr>
          <w:p w:rsidR="004874EA" w:rsidRPr="00266773" w:rsidRDefault="004874EA" w:rsidP="0011649E">
            <w:pPr>
              <w:keepNext/>
              <w:rPr>
                <w:rFonts w:ascii="Arial Narrow" w:hAnsi="Arial Narrow"/>
                <w:sz w:val="20"/>
                <w:szCs w:val="22"/>
              </w:rPr>
            </w:pPr>
            <w:r w:rsidRPr="00F73E59">
              <w:rPr>
                <w:rFonts w:ascii="Arial Narrow" w:hAnsi="Arial Narrow"/>
                <w:sz w:val="20"/>
                <w:szCs w:val="22"/>
              </w:rPr>
              <w:t>Specialised Therapeutics</w:t>
            </w:r>
          </w:p>
        </w:tc>
      </w:tr>
    </w:tbl>
    <w:p w:rsidR="004874EA" w:rsidRPr="004874EA" w:rsidRDefault="004874EA" w:rsidP="004874EA">
      <w:pPr>
        <w:ind w:left="709"/>
        <w:rPr>
          <w:b/>
          <w:u w:val="single"/>
        </w:rPr>
      </w:pPr>
      <w:r w:rsidRPr="004874EA">
        <w:rPr>
          <w:b/>
          <w:u w:val="single"/>
        </w:rPr>
        <w:t>Authority Required</w:t>
      </w:r>
    </w:p>
    <w:p w:rsidR="004874EA" w:rsidRDefault="004874EA" w:rsidP="004874EA"/>
    <w:p w:rsidR="004874EA" w:rsidRPr="004874EA" w:rsidRDefault="004874EA" w:rsidP="004874EA">
      <w:pPr>
        <w:ind w:firstLine="720"/>
        <w:rPr>
          <w:b/>
          <w:u w:val="single"/>
        </w:rPr>
      </w:pPr>
      <w:r w:rsidRPr="004874EA">
        <w:rPr>
          <w:b/>
          <w:u w:val="single"/>
        </w:rPr>
        <w:t>Restriction 1 – CML</w:t>
      </w:r>
    </w:p>
    <w:p w:rsidR="004874EA" w:rsidRDefault="004874EA" w:rsidP="004874EA">
      <w:pPr>
        <w:ind w:left="720"/>
      </w:pPr>
    </w:p>
    <w:p w:rsidR="004874EA" w:rsidRPr="00C17177" w:rsidRDefault="004874EA" w:rsidP="004874EA">
      <w:pPr>
        <w:pStyle w:val="NormalWeb"/>
        <w:spacing w:before="75" w:after="75"/>
        <w:ind w:left="720" w:right="75"/>
        <w:rPr>
          <w:rFonts w:ascii="Arial Narrow" w:hAnsi="Arial Narrow" w:cs="Arial"/>
          <w:b/>
          <w:sz w:val="20"/>
          <w:u w:val="single"/>
        </w:rPr>
      </w:pPr>
      <w:r w:rsidRPr="00C17177">
        <w:rPr>
          <w:rFonts w:ascii="Arial Narrow" w:hAnsi="Arial Narrow" w:cs="Arial"/>
          <w:b/>
          <w:sz w:val="20"/>
          <w:u w:val="single"/>
        </w:rPr>
        <w:t>Chronic Myeloid Leukaemia (CML)</w:t>
      </w:r>
    </w:p>
    <w:p w:rsidR="004874EA" w:rsidRPr="00C17177" w:rsidRDefault="004874EA" w:rsidP="004874EA">
      <w:pPr>
        <w:pStyle w:val="NormalWeb"/>
        <w:spacing w:before="75" w:after="75"/>
        <w:ind w:left="720" w:right="75"/>
        <w:rPr>
          <w:rFonts w:ascii="Arial Narrow" w:hAnsi="Arial Narrow" w:cs="Arial"/>
          <w:b/>
          <w:sz w:val="20"/>
          <w:u w:val="single"/>
        </w:rPr>
      </w:pPr>
      <w:r w:rsidRPr="00C17177">
        <w:rPr>
          <w:rFonts w:ascii="Arial Narrow" w:hAnsi="Arial Narrow" w:cs="Arial"/>
          <w:b/>
          <w:sz w:val="20"/>
          <w:u w:val="single"/>
        </w:rPr>
        <w:t>Treatment Phase: Initial treatment</w:t>
      </w:r>
    </w:p>
    <w:p w:rsidR="004874EA" w:rsidRPr="00C17177" w:rsidRDefault="004874EA" w:rsidP="004874EA">
      <w:pPr>
        <w:pStyle w:val="NormalWeb"/>
        <w:spacing w:before="75" w:after="75"/>
        <w:ind w:left="720" w:right="75"/>
        <w:rPr>
          <w:rFonts w:ascii="Arial Narrow" w:hAnsi="Arial Narrow" w:cs="Arial"/>
          <w:sz w:val="20"/>
        </w:rPr>
      </w:pPr>
      <w:r w:rsidRPr="00C17177">
        <w:rPr>
          <w:rFonts w:ascii="Arial Narrow" w:hAnsi="Arial Narrow" w:cs="Arial"/>
          <w:b/>
          <w:bCs/>
          <w:sz w:val="20"/>
        </w:rPr>
        <w:t>Clinical criteria:</w:t>
      </w:r>
    </w:p>
    <w:p w:rsidR="004874EA" w:rsidRPr="00C17177" w:rsidRDefault="004874EA" w:rsidP="004874EA">
      <w:pPr>
        <w:pStyle w:val="NormalWeb"/>
        <w:spacing w:before="75" w:after="75"/>
        <w:ind w:left="720" w:right="75"/>
        <w:rPr>
          <w:rFonts w:ascii="Arial Narrow" w:hAnsi="Arial Narrow" w:cs="Arial"/>
          <w:sz w:val="20"/>
        </w:rPr>
      </w:pPr>
      <w:r w:rsidRPr="00C17177">
        <w:rPr>
          <w:rFonts w:ascii="Arial Narrow" w:hAnsi="Arial Narrow" w:cs="Arial"/>
          <w:sz w:val="20"/>
        </w:rPr>
        <w:t>The treatment must be the sole PBS-subsidised therapy for this condition,</w:t>
      </w:r>
    </w:p>
    <w:p w:rsidR="004874EA" w:rsidRPr="00D62553" w:rsidRDefault="004874EA" w:rsidP="004874EA">
      <w:pPr>
        <w:pStyle w:val="NormalWeb"/>
        <w:spacing w:before="75" w:after="75"/>
        <w:ind w:left="720" w:right="75"/>
        <w:rPr>
          <w:rFonts w:ascii="Arial Narrow" w:hAnsi="Arial Narrow" w:cs="Arial"/>
          <w:sz w:val="20"/>
        </w:rPr>
      </w:pPr>
      <w:r w:rsidRPr="00D62553">
        <w:rPr>
          <w:rFonts w:ascii="Arial Narrow" w:hAnsi="Arial Narrow" w:cs="Arial"/>
          <w:bCs/>
          <w:sz w:val="20"/>
        </w:rPr>
        <w:t>AND</w:t>
      </w:r>
    </w:p>
    <w:p w:rsidR="004874EA" w:rsidRPr="00C17177" w:rsidRDefault="004874EA" w:rsidP="004874EA">
      <w:pPr>
        <w:pStyle w:val="NormalWeb"/>
        <w:spacing w:before="75" w:after="75"/>
        <w:ind w:left="720" w:right="75"/>
        <w:rPr>
          <w:rFonts w:ascii="Arial Narrow" w:hAnsi="Arial Narrow" w:cs="Arial"/>
          <w:sz w:val="20"/>
        </w:rPr>
      </w:pPr>
      <w:r w:rsidRPr="00C17177">
        <w:rPr>
          <w:rFonts w:ascii="Arial Narrow" w:hAnsi="Arial Narrow" w:cs="Arial"/>
          <w:sz w:val="20"/>
        </w:rPr>
        <w:t>The treatment must have failed second line therapy of dasatinib; OR</w:t>
      </w:r>
    </w:p>
    <w:p w:rsidR="004874EA" w:rsidRPr="00C17177" w:rsidRDefault="004874EA" w:rsidP="004874EA">
      <w:pPr>
        <w:pStyle w:val="NormalWeb"/>
        <w:spacing w:before="75" w:after="75"/>
        <w:ind w:left="720" w:right="75"/>
        <w:rPr>
          <w:rFonts w:ascii="Arial Narrow" w:hAnsi="Arial Narrow" w:cs="Arial"/>
          <w:sz w:val="20"/>
        </w:rPr>
      </w:pPr>
      <w:r w:rsidRPr="00C17177">
        <w:rPr>
          <w:rFonts w:ascii="Arial Narrow" w:hAnsi="Arial Narrow" w:cs="Arial"/>
          <w:sz w:val="20"/>
        </w:rPr>
        <w:t>The treatment must have failed second line therapy of nilotinib.</w:t>
      </w:r>
    </w:p>
    <w:p w:rsidR="004874EA" w:rsidRPr="00C17177" w:rsidRDefault="004874EA" w:rsidP="004874EA">
      <w:pPr>
        <w:pStyle w:val="NormalWeb"/>
        <w:spacing w:before="75" w:after="75"/>
        <w:ind w:left="720" w:right="75"/>
        <w:rPr>
          <w:rFonts w:ascii="Arial Narrow" w:hAnsi="Arial Narrow" w:cs="Arial"/>
          <w:sz w:val="20"/>
        </w:rPr>
      </w:pPr>
    </w:p>
    <w:p w:rsidR="004874EA" w:rsidRPr="00C17177" w:rsidRDefault="004874EA" w:rsidP="004874EA">
      <w:pPr>
        <w:pStyle w:val="NormalWeb"/>
        <w:spacing w:before="75" w:after="75"/>
        <w:ind w:left="720" w:right="75"/>
        <w:rPr>
          <w:rFonts w:ascii="Arial Narrow" w:hAnsi="Arial Narrow"/>
          <w:b/>
          <w:sz w:val="20"/>
          <w:u w:val="single"/>
        </w:rPr>
      </w:pPr>
      <w:r w:rsidRPr="00C17177">
        <w:rPr>
          <w:rFonts w:ascii="Arial Narrow" w:hAnsi="Arial Narrow"/>
          <w:b/>
          <w:sz w:val="20"/>
          <w:u w:val="single"/>
        </w:rPr>
        <w:t>Chronic Myeloid Leukaemia (CML)</w:t>
      </w:r>
    </w:p>
    <w:p w:rsidR="004874EA" w:rsidRPr="00C17177" w:rsidRDefault="004874EA" w:rsidP="004874EA">
      <w:pPr>
        <w:pStyle w:val="NormalWeb"/>
        <w:spacing w:before="75" w:after="75"/>
        <w:ind w:left="720" w:right="75"/>
        <w:rPr>
          <w:rFonts w:ascii="Arial Narrow" w:hAnsi="Arial Narrow"/>
          <w:b/>
          <w:sz w:val="20"/>
          <w:u w:val="single"/>
        </w:rPr>
      </w:pPr>
      <w:r w:rsidRPr="00C17177">
        <w:rPr>
          <w:rFonts w:ascii="Arial Narrow" w:hAnsi="Arial Narrow"/>
          <w:b/>
          <w:sz w:val="20"/>
          <w:u w:val="single"/>
        </w:rPr>
        <w:t>Treatment Phase: Continuing treatment</w:t>
      </w:r>
    </w:p>
    <w:p w:rsidR="004874EA" w:rsidRPr="00C17177" w:rsidRDefault="004874EA" w:rsidP="004874EA">
      <w:pPr>
        <w:pStyle w:val="NormalWeb"/>
        <w:spacing w:before="75" w:after="75"/>
        <w:ind w:left="720" w:right="75"/>
        <w:rPr>
          <w:rFonts w:ascii="Arial Narrow" w:hAnsi="Arial Narrow"/>
          <w:sz w:val="20"/>
        </w:rPr>
      </w:pPr>
      <w:r w:rsidRPr="00C17177">
        <w:rPr>
          <w:rFonts w:ascii="Arial Narrow" w:hAnsi="Arial Narrow"/>
          <w:b/>
          <w:bCs/>
          <w:sz w:val="20"/>
        </w:rPr>
        <w:t>Clinical criteria:</w:t>
      </w:r>
    </w:p>
    <w:p w:rsidR="004874EA" w:rsidRPr="00C17177" w:rsidRDefault="004874EA" w:rsidP="004874EA">
      <w:pPr>
        <w:pStyle w:val="NormalWeb"/>
        <w:spacing w:before="75" w:after="75"/>
        <w:ind w:left="720" w:right="75"/>
        <w:rPr>
          <w:rFonts w:ascii="Arial Narrow" w:hAnsi="Arial Narrow"/>
          <w:sz w:val="20"/>
        </w:rPr>
      </w:pPr>
      <w:r w:rsidRPr="00C17177">
        <w:rPr>
          <w:rFonts w:ascii="Arial Narrow" w:hAnsi="Arial Narrow"/>
          <w:sz w:val="20"/>
        </w:rPr>
        <w:t>The treatment must be the sole PBS-subsidised therapy for this condition,</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received prior PBS-subsidised treatment with ponatinib for chronic myeloid leukaemia (CML),</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C17177" w:rsidRDefault="004874EA" w:rsidP="004874EA">
      <w:pPr>
        <w:pStyle w:val="NormalWeb"/>
        <w:spacing w:before="75" w:after="75"/>
        <w:ind w:left="720" w:right="75"/>
        <w:rPr>
          <w:rFonts w:ascii="Arial Narrow" w:hAnsi="Arial Narrow"/>
          <w:sz w:val="20"/>
        </w:rPr>
      </w:pPr>
      <w:r w:rsidRPr="00C17177">
        <w:rPr>
          <w:rFonts w:ascii="Arial Narrow" w:hAnsi="Arial Narrow"/>
          <w:sz w:val="20"/>
        </w:rPr>
        <w:lastRenderedPageBreak/>
        <w:t xml:space="preserve">Patient must have demonstrated either a major cytogenetic response, or less than 1% BCR-ABL level in the blood, to ponatinib in the </w:t>
      </w:r>
      <w:r w:rsidR="00CB1035" w:rsidRPr="00C17177">
        <w:rPr>
          <w:rFonts w:ascii="Arial Narrow" w:hAnsi="Arial Narrow"/>
          <w:sz w:val="20"/>
        </w:rPr>
        <w:t>preceding</w:t>
      </w:r>
      <w:r w:rsidRPr="00C17177">
        <w:rPr>
          <w:rFonts w:ascii="Arial Narrow" w:hAnsi="Arial Narrow"/>
          <w:sz w:val="20"/>
        </w:rPr>
        <w:t xml:space="preserve"> 18 months and thereafter at 12 monthly intervals.</w:t>
      </w:r>
    </w:p>
    <w:p w:rsidR="0031710F" w:rsidRDefault="0031710F" w:rsidP="0031710F">
      <w:pPr>
        <w:pStyle w:val="ListParagraph"/>
        <w:widowControl/>
        <w:rPr>
          <w:rFonts w:ascii="Arial Narrow" w:hAnsi="Arial Narrow"/>
          <w:b/>
          <w:szCs w:val="22"/>
          <w:u w:val="single"/>
        </w:rPr>
      </w:pPr>
    </w:p>
    <w:p w:rsidR="0031710F" w:rsidRDefault="0031710F" w:rsidP="0031710F">
      <w:pPr>
        <w:pStyle w:val="ListParagraph"/>
        <w:widowControl/>
        <w:rPr>
          <w:rFonts w:ascii="Arial Narrow" w:hAnsi="Arial Narrow"/>
          <w:b/>
          <w:szCs w:val="22"/>
          <w:u w:val="single"/>
        </w:rPr>
      </w:pPr>
    </w:p>
    <w:p w:rsidR="004874EA" w:rsidRPr="004874EA" w:rsidRDefault="004874EA" w:rsidP="004874EA">
      <w:pPr>
        <w:ind w:firstLine="720"/>
        <w:rPr>
          <w:b/>
          <w:u w:val="single"/>
        </w:rPr>
      </w:pPr>
      <w:r w:rsidRPr="004874EA">
        <w:rPr>
          <w:b/>
          <w:u w:val="single"/>
        </w:rPr>
        <w:t>Restriction 2 – CML with T315I mutation</w:t>
      </w:r>
    </w:p>
    <w:p w:rsidR="004874EA" w:rsidRDefault="004874EA" w:rsidP="004874EA">
      <w:pPr>
        <w:ind w:left="720"/>
      </w:pPr>
    </w:p>
    <w:p w:rsidR="004874EA" w:rsidRPr="00104E64" w:rsidRDefault="004874EA" w:rsidP="004874EA">
      <w:pPr>
        <w:pStyle w:val="NormalWeb"/>
        <w:spacing w:before="75" w:after="75"/>
        <w:ind w:left="720" w:right="75"/>
        <w:rPr>
          <w:rFonts w:ascii="Arial Narrow" w:hAnsi="Arial Narrow"/>
          <w:b/>
          <w:sz w:val="20"/>
          <w:u w:val="single"/>
        </w:rPr>
      </w:pPr>
      <w:r w:rsidRPr="00104E64">
        <w:rPr>
          <w:rFonts w:ascii="Arial Narrow" w:hAnsi="Arial Narrow"/>
          <w:b/>
          <w:sz w:val="20"/>
          <w:u w:val="single"/>
        </w:rPr>
        <w:t>Chronic Myeloid Leukaemia (CML)</w:t>
      </w:r>
    </w:p>
    <w:p w:rsidR="004874EA" w:rsidRPr="00104E64" w:rsidRDefault="004874EA" w:rsidP="004874EA">
      <w:pPr>
        <w:pStyle w:val="NormalWeb"/>
        <w:spacing w:before="75" w:after="75"/>
        <w:ind w:left="720" w:right="75"/>
        <w:rPr>
          <w:rFonts w:ascii="Arial Narrow" w:hAnsi="Arial Narrow"/>
          <w:b/>
          <w:sz w:val="20"/>
          <w:u w:val="single"/>
        </w:rPr>
      </w:pPr>
      <w:r w:rsidRPr="00104E64">
        <w:rPr>
          <w:rFonts w:ascii="Arial Narrow" w:hAnsi="Arial Narrow"/>
          <w:b/>
          <w:sz w:val="20"/>
          <w:u w:val="single"/>
        </w:rPr>
        <w:t>Treatment Phase: Initial treatment</w:t>
      </w:r>
    </w:p>
    <w:p w:rsidR="004874EA" w:rsidRPr="000E09DA" w:rsidRDefault="004874EA" w:rsidP="004874EA">
      <w:pPr>
        <w:pStyle w:val="NormalWeb"/>
        <w:spacing w:before="75" w:after="75"/>
        <w:ind w:left="720" w:right="75"/>
        <w:rPr>
          <w:rFonts w:ascii="Arial Narrow" w:hAnsi="Arial Narrow"/>
          <w:sz w:val="20"/>
        </w:rPr>
      </w:pPr>
      <w:r w:rsidRPr="000E09DA">
        <w:rPr>
          <w:rFonts w:ascii="Arial Narrow" w:hAnsi="Arial Narrow"/>
          <w:b/>
          <w:bCs/>
          <w:sz w:val="20"/>
        </w:rPr>
        <w:t>Clinical criteria:</w:t>
      </w:r>
    </w:p>
    <w:p w:rsidR="004874EA" w:rsidRPr="000E09DA" w:rsidRDefault="004874EA" w:rsidP="004874EA">
      <w:pPr>
        <w:pStyle w:val="NormalWeb"/>
        <w:spacing w:before="75" w:after="75"/>
        <w:ind w:left="720" w:right="75"/>
        <w:rPr>
          <w:rFonts w:ascii="Arial Narrow" w:hAnsi="Arial Narrow"/>
          <w:sz w:val="20"/>
        </w:rPr>
      </w:pPr>
      <w:r w:rsidRPr="000E09DA">
        <w:rPr>
          <w:rFonts w:ascii="Arial Narrow" w:hAnsi="Arial Narrow"/>
          <w:sz w:val="20"/>
        </w:rPr>
        <w:t>The treatment must be the sole PBS-subsidised therapy for this condition,</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be expressing the T315I mutation,</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0E09DA" w:rsidRDefault="004874EA" w:rsidP="004874EA">
      <w:pPr>
        <w:pStyle w:val="NormalWeb"/>
        <w:spacing w:before="75" w:after="75"/>
        <w:ind w:left="720" w:right="75"/>
        <w:rPr>
          <w:rFonts w:ascii="Arial Narrow" w:hAnsi="Arial Narrow"/>
          <w:sz w:val="20"/>
        </w:rPr>
      </w:pPr>
      <w:r w:rsidRPr="000E09DA">
        <w:rPr>
          <w:rFonts w:ascii="Arial Narrow" w:hAnsi="Arial Narrow"/>
          <w:sz w:val="20"/>
        </w:rPr>
        <w:t>Patient must have failed an adequate trial of imatinib; OR</w:t>
      </w:r>
    </w:p>
    <w:p w:rsidR="004874EA" w:rsidRPr="000E09DA" w:rsidRDefault="004874EA" w:rsidP="004874EA">
      <w:pPr>
        <w:pStyle w:val="NormalWeb"/>
        <w:spacing w:before="75" w:after="75"/>
        <w:ind w:left="720" w:right="75"/>
        <w:rPr>
          <w:rFonts w:ascii="Arial Narrow" w:hAnsi="Arial Narrow"/>
          <w:sz w:val="20"/>
        </w:rPr>
      </w:pPr>
      <w:r w:rsidRPr="000E09DA">
        <w:rPr>
          <w:rFonts w:ascii="Arial Narrow" w:hAnsi="Arial Narrow"/>
          <w:sz w:val="20"/>
        </w:rPr>
        <w:t>Patient must have failed an adequate trial of dasatinib; OR</w:t>
      </w:r>
    </w:p>
    <w:p w:rsidR="004874EA" w:rsidRPr="000E09DA" w:rsidRDefault="004874EA" w:rsidP="004874EA">
      <w:pPr>
        <w:pStyle w:val="NormalWeb"/>
        <w:spacing w:before="75" w:after="75"/>
        <w:ind w:left="720" w:right="75"/>
        <w:rPr>
          <w:rFonts w:ascii="Arial Narrow" w:hAnsi="Arial Narrow"/>
          <w:sz w:val="20"/>
        </w:rPr>
      </w:pPr>
      <w:r w:rsidRPr="000E09DA">
        <w:rPr>
          <w:rFonts w:ascii="Arial Narrow" w:hAnsi="Arial Narrow"/>
          <w:sz w:val="20"/>
        </w:rPr>
        <w:t>Patient must have failed an adequate trial of nilotinib.</w:t>
      </w:r>
    </w:p>
    <w:p w:rsidR="0031710F" w:rsidRDefault="0031710F" w:rsidP="0031710F">
      <w:pPr>
        <w:pStyle w:val="ListParagraph"/>
        <w:widowControl/>
        <w:rPr>
          <w:rFonts w:ascii="Arial Narrow" w:hAnsi="Arial Narrow"/>
          <w:b/>
          <w:szCs w:val="22"/>
          <w:u w:val="single"/>
        </w:rPr>
      </w:pPr>
    </w:p>
    <w:p w:rsidR="0031710F" w:rsidRDefault="0031710F" w:rsidP="0031710F">
      <w:pPr>
        <w:pStyle w:val="ListParagraph"/>
        <w:widowControl/>
        <w:rPr>
          <w:rFonts w:ascii="Arial Narrow" w:hAnsi="Arial Narrow"/>
          <w:b/>
          <w:szCs w:val="22"/>
          <w:u w:val="single"/>
        </w:rPr>
      </w:pPr>
    </w:p>
    <w:p w:rsidR="004874EA" w:rsidRPr="00104E64" w:rsidRDefault="004874EA" w:rsidP="004874EA">
      <w:pPr>
        <w:pStyle w:val="NormalWeb"/>
        <w:spacing w:before="75" w:after="75"/>
        <w:ind w:left="720" w:right="75"/>
        <w:rPr>
          <w:rFonts w:ascii="Arial Narrow" w:hAnsi="Arial Narrow"/>
          <w:b/>
          <w:sz w:val="20"/>
          <w:u w:val="single"/>
        </w:rPr>
      </w:pPr>
      <w:r w:rsidRPr="00104E64">
        <w:rPr>
          <w:rFonts w:ascii="Arial Narrow" w:hAnsi="Arial Narrow"/>
          <w:b/>
          <w:sz w:val="20"/>
          <w:u w:val="single"/>
        </w:rPr>
        <w:t>Chronic Myeloid Leukaemia (CML)</w:t>
      </w:r>
    </w:p>
    <w:p w:rsidR="004874EA" w:rsidRPr="00104E64" w:rsidRDefault="004874EA" w:rsidP="004874EA">
      <w:pPr>
        <w:pStyle w:val="NormalWeb"/>
        <w:spacing w:before="75" w:after="75"/>
        <w:ind w:left="720" w:right="75"/>
        <w:rPr>
          <w:rFonts w:ascii="Arial Narrow" w:hAnsi="Arial Narrow"/>
          <w:b/>
          <w:sz w:val="20"/>
          <w:u w:val="single"/>
        </w:rPr>
      </w:pPr>
      <w:r w:rsidRPr="00104E64">
        <w:rPr>
          <w:rFonts w:ascii="Arial Narrow" w:hAnsi="Arial Narrow"/>
          <w:b/>
          <w:sz w:val="20"/>
          <w:u w:val="single"/>
        </w:rPr>
        <w:t>Treatment Phase: Continuing treatment</w:t>
      </w:r>
    </w:p>
    <w:p w:rsidR="004874EA" w:rsidRPr="00104E64" w:rsidRDefault="004874EA" w:rsidP="004874EA">
      <w:pPr>
        <w:pStyle w:val="NormalWeb"/>
        <w:spacing w:before="75" w:after="75"/>
        <w:ind w:left="720" w:right="75"/>
        <w:rPr>
          <w:rFonts w:ascii="Arial Narrow" w:hAnsi="Arial Narrow"/>
          <w:sz w:val="20"/>
        </w:rPr>
      </w:pPr>
      <w:r w:rsidRPr="00104E64">
        <w:rPr>
          <w:rFonts w:ascii="Arial Narrow" w:hAnsi="Arial Narrow"/>
          <w:b/>
          <w:bCs/>
          <w:sz w:val="20"/>
        </w:rPr>
        <w:t>Clinical criteria:</w:t>
      </w:r>
    </w:p>
    <w:p w:rsidR="004874EA" w:rsidRPr="00104E64" w:rsidRDefault="004874EA" w:rsidP="004874EA">
      <w:pPr>
        <w:pStyle w:val="NormalWeb"/>
        <w:spacing w:before="75" w:after="75"/>
        <w:ind w:left="720" w:right="75"/>
        <w:rPr>
          <w:rFonts w:ascii="Arial Narrow" w:hAnsi="Arial Narrow"/>
          <w:sz w:val="20"/>
        </w:rPr>
      </w:pPr>
      <w:r w:rsidRPr="00104E64">
        <w:rPr>
          <w:rFonts w:ascii="Arial Narrow" w:hAnsi="Arial Narrow"/>
          <w:sz w:val="20"/>
        </w:rPr>
        <w:t>The treatment must be the sole PBS-subsidised therapy for this condition,</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be expressing the T315I mutation,</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received prior PBS-subsidised treatment with ponatinib for chronic myeloid leukaemia (CML),</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104E64" w:rsidRDefault="004874EA" w:rsidP="004874EA">
      <w:pPr>
        <w:pStyle w:val="NormalWeb"/>
        <w:spacing w:before="75" w:after="75"/>
        <w:ind w:left="720" w:right="75"/>
        <w:rPr>
          <w:rFonts w:ascii="Arial Narrow" w:hAnsi="Arial Narrow"/>
          <w:sz w:val="20"/>
        </w:rPr>
      </w:pPr>
      <w:r w:rsidRPr="00104E64">
        <w:rPr>
          <w:rFonts w:ascii="Arial Narrow" w:hAnsi="Arial Narrow"/>
          <w:sz w:val="20"/>
        </w:rPr>
        <w:t xml:space="preserve">Patient must have demonstrated either a major cytogenetic response, or less than 1% BCR-ABL level in the blood, to ponatinib in the </w:t>
      </w:r>
      <w:r w:rsidR="00CB1035" w:rsidRPr="00104E64">
        <w:rPr>
          <w:rFonts w:ascii="Arial Narrow" w:hAnsi="Arial Narrow"/>
          <w:sz w:val="20"/>
        </w:rPr>
        <w:t>preceding</w:t>
      </w:r>
      <w:r w:rsidRPr="00104E64">
        <w:rPr>
          <w:rFonts w:ascii="Arial Narrow" w:hAnsi="Arial Narrow"/>
          <w:sz w:val="20"/>
        </w:rPr>
        <w:t xml:space="preserve"> 18 months and thereafter at 12 monthly intervals.</w:t>
      </w:r>
    </w:p>
    <w:p w:rsidR="004874EA" w:rsidRDefault="004874EA" w:rsidP="004874EA">
      <w:pPr>
        <w:pStyle w:val="ListParagraph"/>
        <w:widowControl/>
        <w:rPr>
          <w:rFonts w:ascii="Arial Narrow" w:hAnsi="Arial Narrow"/>
          <w:b/>
          <w:szCs w:val="22"/>
          <w:u w:val="single"/>
        </w:rPr>
      </w:pPr>
    </w:p>
    <w:p w:rsidR="004874EA" w:rsidRDefault="004874EA" w:rsidP="004874EA">
      <w:pPr>
        <w:pStyle w:val="ListParagraph"/>
        <w:widowControl/>
        <w:rPr>
          <w:rFonts w:ascii="Arial Narrow" w:hAnsi="Arial Narrow"/>
          <w:b/>
          <w:szCs w:val="22"/>
          <w:u w:val="single"/>
        </w:rPr>
      </w:pPr>
    </w:p>
    <w:p w:rsidR="004874EA" w:rsidRPr="004874EA" w:rsidRDefault="004874EA" w:rsidP="004874EA">
      <w:pPr>
        <w:ind w:firstLine="720"/>
        <w:rPr>
          <w:b/>
          <w:u w:val="single"/>
        </w:rPr>
      </w:pPr>
      <w:r w:rsidRPr="004874EA">
        <w:rPr>
          <w:b/>
          <w:u w:val="single"/>
        </w:rPr>
        <w:t>Restriction 3 – ALL (</w:t>
      </w:r>
      <w:proofErr w:type="spellStart"/>
      <w:r w:rsidRPr="004874EA">
        <w:rPr>
          <w:b/>
          <w:u w:val="single"/>
        </w:rPr>
        <w:t>Ph</w:t>
      </w:r>
      <w:proofErr w:type="spellEnd"/>
      <w:r w:rsidRPr="004874EA">
        <w:rPr>
          <w:b/>
          <w:u w:val="single"/>
        </w:rPr>
        <w:t>+)</w:t>
      </w:r>
    </w:p>
    <w:p w:rsidR="004874EA" w:rsidRDefault="004874EA" w:rsidP="004874EA">
      <w:pPr>
        <w:ind w:left="720"/>
      </w:pPr>
    </w:p>
    <w:p w:rsidR="004874EA" w:rsidRPr="00CD73FF" w:rsidRDefault="004874EA" w:rsidP="004874EA">
      <w:pPr>
        <w:pStyle w:val="NormalWeb"/>
        <w:spacing w:before="75" w:after="75"/>
        <w:ind w:left="720" w:right="75"/>
        <w:rPr>
          <w:rFonts w:ascii="Arial Narrow" w:hAnsi="Arial Narrow"/>
          <w:b/>
          <w:sz w:val="20"/>
          <w:u w:val="single"/>
        </w:rPr>
      </w:pPr>
      <w:r w:rsidRPr="00CD73FF">
        <w:rPr>
          <w:rFonts w:ascii="Arial Narrow" w:hAnsi="Arial Narrow"/>
          <w:b/>
          <w:sz w:val="20"/>
          <w:u w:val="single"/>
        </w:rPr>
        <w:t>Acute Lymphoblastic Leukaemia (ALL)</w:t>
      </w:r>
    </w:p>
    <w:p w:rsidR="004874EA" w:rsidRPr="00CD73FF" w:rsidRDefault="004874EA" w:rsidP="004874EA">
      <w:pPr>
        <w:pStyle w:val="NormalWeb"/>
        <w:spacing w:before="75" w:after="75"/>
        <w:ind w:left="720" w:right="75"/>
        <w:rPr>
          <w:rFonts w:ascii="Arial Narrow" w:hAnsi="Arial Narrow"/>
          <w:b/>
          <w:sz w:val="20"/>
          <w:u w:val="single"/>
        </w:rPr>
      </w:pPr>
      <w:r w:rsidRPr="00CD73FF">
        <w:rPr>
          <w:rFonts w:ascii="Arial Narrow" w:hAnsi="Arial Narrow"/>
          <w:b/>
          <w:sz w:val="20"/>
          <w:u w:val="single"/>
        </w:rPr>
        <w:t>Treatment Phase: Initial treatment</w:t>
      </w:r>
    </w:p>
    <w:p w:rsidR="004874EA" w:rsidRPr="00CD73FF" w:rsidRDefault="004874EA" w:rsidP="004874EA">
      <w:pPr>
        <w:pStyle w:val="NormalWeb"/>
        <w:spacing w:before="75" w:after="75"/>
        <w:ind w:left="720" w:right="75"/>
        <w:rPr>
          <w:rFonts w:ascii="Arial Narrow" w:hAnsi="Arial Narrow"/>
          <w:sz w:val="20"/>
        </w:rPr>
      </w:pPr>
      <w:r w:rsidRPr="00CD73FF">
        <w:rPr>
          <w:rFonts w:ascii="Arial Narrow" w:hAnsi="Arial Narrow"/>
          <w:b/>
          <w:bCs/>
          <w:sz w:val="20"/>
        </w:rPr>
        <w:t>Clinical criteria:</w:t>
      </w:r>
    </w:p>
    <w:p w:rsidR="004874EA" w:rsidRPr="00CD73FF" w:rsidRDefault="004874EA" w:rsidP="004874EA">
      <w:pPr>
        <w:pStyle w:val="NormalWeb"/>
        <w:spacing w:before="75" w:after="75"/>
        <w:ind w:left="720" w:right="75"/>
        <w:rPr>
          <w:rFonts w:ascii="Arial Narrow" w:hAnsi="Arial Narrow"/>
          <w:sz w:val="20"/>
        </w:rPr>
      </w:pPr>
      <w:r w:rsidRPr="00CD73FF">
        <w:rPr>
          <w:rFonts w:ascii="Arial Narrow" w:hAnsi="Arial Narrow"/>
          <w:sz w:val="20"/>
        </w:rPr>
        <w:t>The treatment must be as monotherapy,</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bear the Philadelphia chromosome; OR</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express the transcript, BCR-ABL,</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failed treatment with chemotherapy,</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failed treatment with imatinib,</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lastRenderedPageBreak/>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failed treatment with dasatinib,</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CD73FF" w:rsidRDefault="004874EA" w:rsidP="004874EA">
      <w:pPr>
        <w:pStyle w:val="NormalWeb"/>
        <w:spacing w:before="75" w:after="75"/>
        <w:ind w:left="720" w:right="75"/>
        <w:rPr>
          <w:rFonts w:ascii="Arial Narrow" w:hAnsi="Arial Narrow"/>
          <w:sz w:val="20"/>
        </w:rPr>
      </w:pPr>
      <w:r w:rsidRPr="00CD73FF">
        <w:rPr>
          <w:rFonts w:ascii="Arial Narrow" w:hAnsi="Arial Narrow"/>
          <w:sz w:val="20"/>
        </w:rPr>
        <w:t xml:space="preserve">Patient must have failed allogeneic </w:t>
      </w:r>
      <w:proofErr w:type="spellStart"/>
      <w:r w:rsidRPr="00CD73FF">
        <w:rPr>
          <w:rFonts w:ascii="Arial Narrow" w:hAnsi="Arial Narrow"/>
          <w:sz w:val="20"/>
        </w:rPr>
        <w:t>haemopoietic</w:t>
      </w:r>
      <w:proofErr w:type="spellEnd"/>
      <w:r w:rsidRPr="00CD73FF">
        <w:rPr>
          <w:rFonts w:ascii="Arial Narrow" w:hAnsi="Arial Narrow"/>
          <w:sz w:val="20"/>
        </w:rPr>
        <w:t xml:space="preserve"> stem cell transplantation (where appropriate).</w:t>
      </w:r>
    </w:p>
    <w:p w:rsidR="004874EA" w:rsidRDefault="004874EA" w:rsidP="004874EA">
      <w:pPr>
        <w:pStyle w:val="NormalWeb"/>
        <w:spacing w:before="75" w:after="75"/>
        <w:ind w:left="720" w:right="75"/>
        <w:rPr>
          <w:rFonts w:ascii="Arial Narrow" w:hAnsi="Arial Narrow"/>
          <w:sz w:val="20"/>
        </w:rPr>
      </w:pPr>
    </w:p>
    <w:p w:rsidR="004874EA" w:rsidRPr="00CD73FF" w:rsidRDefault="004874EA" w:rsidP="004874EA">
      <w:pPr>
        <w:pStyle w:val="NormalWeb"/>
        <w:spacing w:before="75" w:after="75"/>
        <w:ind w:left="720" w:right="75"/>
        <w:rPr>
          <w:rFonts w:ascii="Arial Narrow" w:hAnsi="Arial Narrow"/>
          <w:b/>
          <w:sz w:val="20"/>
          <w:u w:val="single"/>
        </w:rPr>
      </w:pPr>
      <w:r w:rsidRPr="00CD73FF">
        <w:rPr>
          <w:rFonts w:ascii="Arial Narrow" w:hAnsi="Arial Narrow"/>
          <w:b/>
          <w:sz w:val="20"/>
          <w:u w:val="single"/>
        </w:rPr>
        <w:t>Acute Lymphoblastic Leukaemia (ALL)</w:t>
      </w:r>
    </w:p>
    <w:p w:rsidR="004874EA" w:rsidRPr="00CD73FF" w:rsidRDefault="004874EA" w:rsidP="004874EA">
      <w:pPr>
        <w:pStyle w:val="NormalWeb"/>
        <w:spacing w:before="75" w:after="75"/>
        <w:ind w:left="720" w:right="75"/>
        <w:rPr>
          <w:rFonts w:ascii="Arial Narrow" w:hAnsi="Arial Narrow"/>
          <w:b/>
          <w:sz w:val="20"/>
          <w:u w:val="single"/>
        </w:rPr>
      </w:pPr>
      <w:r w:rsidRPr="00CD73FF">
        <w:rPr>
          <w:rFonts w:ascii="Arial Narrow" w:hAnsi="Arial Narrow"/>
          <w:b/>
          <w:sz w:val="20"/>
          <w:u w:val="single"/>
        </w:rPr>
        <w:t>Treatment Phase: Continuing treatment</w:t>
      </w:r>
    </w:p>
    <w:p w:rsidR="004874EA" w:rsidRPr="00CD73FF" w:rsidRDefault="004874EA" w:rsidP="004874EA">
      <w:pPr>
        <w:pStyle w:val="NormalWeb"/>
        <w:spacing w:before="75" w:after="75"/>
        <w:ind w:left="720" w:right="75"/>
        <w:rPr>
          <w:rFonts w:ascii="Arial Narrow" w:hAnsi="Arial Narrow"/>
          <w:sz w:val="20"/>
        </w:rPr>
      </w:pPr>
      <w:r w:rsidRPr="00CD73FF">
        <w:rPr>
          <w:rFonts w:ascii="Arial Narrow" w:hAnsi="Arial Narrow"/>
          <w:b/>
          <w:bCs/>
          <w:sz w:val="20"/>
        </w:rPr>
        <w:t>Clinical criteria:</w:t>
      </w:r>
    </w:p>
    <w:p w:rsidR="004874EA" w:rsidRPr="00CD73FF" w:rsidRDefault="004874EA" w:rsidP="004874EA">
      <w:pPr>
        <w:pStyle w:val="NormalWeb"/>
        <w:spacing w:before="75" w:after="75"/>
        <w:ind w:left="720" w:right="75"/>
        <w:rPr>
          <w:rFonts w:ascii="Arial Narrow" w:hAnsi="Arial Narrow"/>
          <w:sz w:val="20"/>
        </w:rPr>
      </w:pPr>
      <w:r w:rsidRPr="00CD73FF">
        <w:rPr>
          <w:rFonts w:ascii="Arial Narrow" w:hAnsi="Arial Narrow"/>
          <w:sz w:val="20"/>
        </w:rPr>
        <w:t>The treatment must be as monotherapy,</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bear the Philadelphia chromosome; OR</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express the transcript, BCR-ABL,</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sz w:val="20"/>
        </w:rPr>
        <w:t>Patient must have received prior PBS-subsidised treatment with ponatinib for acute lymphoblastic leukaemia (ALL),</w:t>
      </w:r>
    </w:p>
    <w:p w:rsidR="004874EA" w:rsidRPr="00D62553" w:rsidRDefault="004874EA" w:rsidP="004874EA">
      <w:pPr>
        <w:pStyle w:val="NormalWeb"/>
        <w:spacing w:before="75" w:after="75"/>
        <w:ind w:left="720" w:right="75"/>
        <w:rPr>
          <w:rFonts w:ascii="Arial Narrow" w:hAnsi="Arial Narrow"/>
          <w:sz w:val="20"/>
        </w:rPr>
      </w:pPr>
      <w:r w:rsidRPr="00D62553">
        <w:rPr>
          <w:rFonts w:ascii="Arial Narrow" w:hAnsi="Arial Narrow"/>
          <w:bCs/>
          <w:sz w:val="20"/>
        </w:rPr>
        <w:t>AND</w:t>
      </w:r>
    </w:p>
    <w:p w:rsidR="004874EA" w:rsidRPr="00CD73FF" w:rsidRDefault="004874EA" w:rsidP="004874EA">
      <w:pPr>
        <w:pStyle w:val="NormalWeb"/>
        <w:spacing w:before="75" w:after="75"/>
        <w:ind w:right="75" w:firstLine="720"/>
        <w:rPr>
          <w:rFonts w:ascii="Arial Narrow" w:hAnsi="Arial Narrow"/>
          <w:sz w:val="20"/>
        </w:rPr>
      </w:pPr>
      <w:r w:rsidRPr="00CD73FF">
        <w:rPr>
          <w:rFonts w:ascii="Arial Narrow" w:hAnsi="Arial Narrow"/>
          <w:sz w:val="20"/>
        </w:rPr>
        <w:t>Patient must not have progressive disease.</w:t>
      </w:r>
    </w:p>
    <w:p w:rsidR="004874EA" w:rsidRDefault="004874EA" w:rsidP="00CD4AA5">
      <w:pPr>
        <w:pStyle w:val="ListParagraph"/>
        <w:widowControl/>
        <w:rPr>
          <w:rFonts w:ascii="Arial Narrow" w:hAnsi="Arial Narrow"/>
          <w:b/>
          <w:szCs w:val="22"/>
          <w:u w:val="single"/>
        </w:rPr>
      </w:pPr>
    </w:p>
    <w:p w:rsidR="001F7D63" w:rsidRDefault="00A66988" w:rsidP="009F0D55">
      <w:pPr>
        <w:pStyle w:val="ListParagraph"/>
        <w:widowControl/>
        <w:numPr>
          <w:ilvl w:val="1"/>
          <w:numId w:val="12"/>
        </w:numPr>
        <w:ind w:left="720" w:hanging="720"/>
      </w:pPr>
      <w:r>
        <w:t xml:space="preserve">Listing </w:t>
      </w:r>
      <w:r>
        <w:rPr>
          <w:szCs w:val="22"/>
        </w:rPr>
        <w:t>is</w:t>
      </w:r>
      <w:r w:rsidRPr="0013162E">
        <w:rPr>
          <w:szCs w:val="22"/>
        </w:rPr>
        <w:t xml:space="preserve"> sought on a cost-minimisation basis with </w:t>
      </w:r>
      <w:r w:rsidR="001C1E53">
        <w:rPr>
          <w:szCs w:val="22"/>
        </w:rPr>
        <w:t>ponatinib</w:t>
      </w:r>
      <w:r>
        <w:rPr>
          <w:szCs w:val="22"/>
        </w:rPr>
        <w:t xml:space="preserve"> compared to </w:t>
      </w:r>
      <w:r>
        <w:t>d</w:t>
      </w:r>
      <w:r w:rsidRPr="001B449A">
        <w:t>asatinib and nilotinib</w:t>
      </w:r>
      <w:r w:rsidR="00B1092B">
        <w:t>.</w:t>
      </w:r>
    </w:p>
    <w:p w:rsidR="00491435" w:rsidRDefault="00491435" w:rsidP="00491435">
      <w:pPr>
        <w:pStyle w:val="ListParagraph"/>
        <w:widowControl/>
      </w:pPr>
    </w:p>
    <w:p w:rsidR="00491435" w:rsidRPr="001B449A" w:rsidRDefault="00D33343" w:rsidP="009F0D55">
      <w:pPr>
        <w:pStyle w:val="ListParagraph"/>
        <w:widowControl/>
        <w:numPr>
          <w:ilvl w:val="1"/>
          <w:numId w:val="12"/>
        </w:numPr>
        <w:ind w:left="720" w:hanging="720"/>
      </w:pPr>
      <w:r>
        <w:t xml:space="preserve">The PBAC considered </w:t>
      </w:r>
      <w:r w:rsidRPr="00D33343">
        <w:t>that restrictions that aligned ponatinib use with clinical scenarios where its risk</w:t>
      </w:r>
      <w:r w:rsidR="00C528D6">
        <w:t xml:space="preserve">: </w:t>
      </w:r>
      <w:r w:rsidRPr="00D33343">
        <w:t>benefit ratios were most favourable were more appropriate</w:t>
      </w:r>
      <w:r>
        <w:t>.</w:t>
      </w:r>
    </w:p>
    <w:p w:rsidR="0031710F" w:rsidRPr="004958FD" w:rsidRDefault="0031710F" w:rsidP="004958FD">
      <w:pPr>
        <w:widowControl/>
        <w:rPr>
          <w:szCs w:val="22"/>
        </w:rPr>
      </w:pPr>
    </w:p>
    <w:p w:rsidR="001C1E53" w:rsidRPr="004958FD" w:rsidRDefault="00B65F97" w:rsidP="002563DC">
      <w:pPr>
        <w:ind w:firstLine="709"/>
        <w:rPr>
          <w:i/>
          <w:szCs w:val="22"/>
        </w:rPr>
      </w:pPr>
      <w:r w:rsidRPr="00151BF6">
        <w:rPr>
          <w:i/>
          <w:szCs w:val="22"/>
        </w:rPr>
        <w:t>For more detail on PBAC’s view, see section 7 “PBAC outcome”</w:t>
      </w:r>
    </w:p>
    <w:p w:rsidR="00B65F97" w:rsidRDefault="00B65F97" w:rsidP="00CD4AA5">
      <w:pPr>
        <w:pStyle w:val="ListParagraph"/>
        <w:widowControl/>
        <w:rPr>
          <w:szCs w:val="22"/>
        </w:rPr>
      </w:pPr>
    </w:p>
    <w:p w:rsidR="00CB1035" w:rsidRPr="0031710F" w:rsidRDefault="00CB1035" w:rsidP="00CD4AA5">
      <w:pPr>
        <w:pStyle w:val="ListParagraph"/>
        <w:widowControl/>
        <w:rPr>
          <w:szCs w:val="22"/>
        </w:rPr>
      </w:pPr>
    </w:p>
    <w:p w:rsidR="00CD4AA5" w:rsidRPr="001B449A" w:rsidRDefault="00CD4AA5" w:rsidP="009F0D55">
      <w:pPr>
        <w:pStyle w:val="PBACHeading1"/>
        <w:numPr>
          <w:ilvl w:val="0"/>
          <w:numId w:val="12"/>
        </w:numPr>
        <w:ind w:left="709" w:hanging="709"/>
      </w:pPr>
      <w:bookmarkStart w:id="4" w:name="_Toc398282525"/>
      <w:r w:rsidRPr="001B449A">
        <w:t>Background</w:t>
      </w:r>
      <w:bookmarkEnd w:id="4"/>
    </w:p>
    <w:p w:rsidR="00CD4AA5" w:rsidRPr="001B449A" w:rsidRDefault="00CD4AA5" w:rsidP="00CD4AA5">
      <w:pPr>
        <w:rPr>
          <w:szCs w:val="22"/>
        </w:rPr>
      </w:pPr>
    </w:p>
    <w:p w:rsidR="00CD4AA5" w:rsidRDefault="0073194D" w:rsidP="00B32047">
      <w:pPr>
        <w:pStyle w:val="ListParagraph"/>
        <w:widowControl/>
        <w:numPr>
          <w:ilvl w:val="1"/>
          <w:numId w:val="12"/>
        </w:numPr>
        <w:ind w:left="720" w:hanging="720"/>
      </w:pPr>
      <w:r w:rsidRPr="003B1634">
        <w:t xml:space="preserve">The </w:t>
      </w:r>
      <w:r w:rsidR="00CD4AA5" w:rsidRPr="003B1634">
        <w:t xml:space="preserve">submission was made under TGA/PBAC Parallel Process. At the time of </w:t>
      </w:r>
      <w:r w:rsidR="001F7D63" w:rsidRPr="003B1634">
        <w:t>evaluation</w:t>
      </w:r>
      <w:r w:rsidR="00CD4AA5" w:rsidRPr="003B1634">
        <w:t xml:space="preserve">, the Sponsor’s responses to the TGA’s </w:t>
      </w:r>
      <w:r w:rsidR="006E04A6" w:rsidRPr="003B1634">
        <w:t>R</w:t>
      </w:r>
      <w:r w:rsidR="00CD4AA5" w:rsidRPr="003B1634">
        <w:t xml:space="preserve">ound </w:t>
      </w:r>
      <w:r w:rsidR="006E04A6" w:rsidRPr="003B1634">
        <w:t>I and II</w:t>
      </w:r>
      <w:r w:rsidR="00CD4AA5" w:rsidRPr="003B1634">
        <w:t xml:space="preserve"> clinical evaluation report</w:t>
      </w:r>
      <w:r w:rsidR="00B739E3" w:rsidRPr="003B1634">
        <w:t>s</w:t>
      </w:r>
      <w:r w:rsidR="00B1092B">
        <w:t xml:space="preserve"> (CERs)</w:t>
      </w:r>
      <w:r w:rsidR="00CD4AA5" w:rsidRPr="003B1634">
        <w:t xml:space="preserve"> were available.</w:t>
      </w:r>
    </w:p>
    <w:p w:rsidR="00BD6FAF" w:rsidRDefault="00BD6FAF" w:rsidP="00BD6FAF">
      <w:pPr>
        <w:pStyle w:val="ListParagraph"/>
        <w:widowControl/>
      </w:pPr>
    </w:p>
    <w:p w:rsidR="00BD6FAF" w:rsidRPr="004958FD" w:rsidRDefault="004958FD" w:rsidP="00B32047">
      <w:pPr>
        <w:pStyle w:val="ListParagraph"/>
        <w:widowControl/>
        <w:numPr>
          <w:ilvl w:val="1"/>
          <w:numId w:val="12"/>
        </w:numPr>
        <w:ind w:left="720" w:hanging="720"/>
      </w:pPr>
      <w:r>
        <w:t xml:space="preserve">The </w:t>
      </w:r>
      <w:r w:rsidRPr="004958FD">
        <w:t>PBAC noted that from the pre-PBAC response that ponatinib had received a positive delegate’s recommendation on the 2nd of September 2014, and was considered by the ACPM on the 3rd of October 2014  “…to have an overall positive benefit–risk profile for the amended indication</w:t>
      </w:r>
      <w:r w:rsidR="00BD6FAF" w:rsidRPr="004958FD">
        <w:t>:</w:t>
      </w:r>
      <w:r>
        <w:t>”</w:t>
      </w:r>
    </w:p>
    <w:p w:rsidR="00BD6FAF" w:rsidRPr="004958FD" w:rsidRDefault="00BD6FAF" w:rsidP="00BD6FAF">
      <w:pPr>
        <w:pStyle w:val="ListParagraph"/>
      </w:pPr>
    </w:p>
    <w:p w:rsidR="00BD6FAF" w:rsidRPr="004958FD" w:rsidRDefault="00BD6FAF" w:rsidP="00BD6FAF">
      <w:pPr>
        <w:pStyle w:val="ListParagraph"/>
        <w:widowControl/>
      </w:pPr>
      <w:r w:rsidRPr="004958FD">
        <w:t>ICLUSIG (</w:t>
      </w:r>
      <w:r w:rsidR="00CB1035" w:rsidRPr="004958FD">
        <w:t>ponati</w:t>
      </w:r>
      <w:r w:rsidR="00CB1035">
        <w:t>ni</w:t>
      </w:r>
      <w:r w:rsidR="00CB1035" w:rsidRPr="004958FD">
        <w:t>b</w:t>
      </w:r>
      <w:r w:rsidRPr="004958FD">
        <w:t>) is indicated for the treatment of adult patients with:</w:t>
      </w:r>
    </w:p>
    <w:p w:rsidR="00BD6FAF" w:rsidRPr="004958FD" w:rsidRDefault="00BD6FAF" w:rsidP="00BD6FAF">
      <w:pPr>
        <w:pStyle w:val="ListParagraph"/>
        <w:widowControl/>
        <w:numPr>
          <w:ilvl w:val="0"/>
          <w:numId w:val="3"/>
        </w:numPr>
        <w:ind w:left="1004" w:hanging="284"/>
      </w:pPr>
      <w:r w:rsidRPr="004958FD">
        <w:t>Chronic phase, accelerated phase, or blast phase chronic myeloid leukaemia (CML) with intolerance of, or disease resistant to, at least two prior tyrosine kinase inhibitors (TKI’s), or where there is a T315I mutation.</w:t>
      </w:r>
    </w:p>
    <w:p w:rsidR="00BD6FAF" w:rsidRPr="004958FD" w:rsidRDefault="00BD6FAF" w:rsidP="00BD6FAF">
      <w:pPr>
        <w:pStyle w:val="ListParagraph"/>
        <w:widowControl/>
        <w:numPr>
          <w:ilvl w:val="0"/>
          <w:numId w:val="3"/>
        </w:numPr>
        <w:ind w:left="1004" w:hanging="284"/>
      </w:pPr>
      <w:r w:rsidRPr="004958FD">
        <w:t>Philadelphia chromosome positive acute lymphoblastic leukaemia (</w:t>
      </w:r>
      <w:proofErr w:type="spellStart"/>
      <w:r w:rsidRPr="004958FD">
        <w:t>Ph</w:t>
      </w:r>
      <w:proofErr w:type="spellEnd"/>
      <w:r w:rsidRPr="004958FD">
        <w:t>+ ALL) whose disease is resistant to, or who are intolerant of, imatinib and dasatinib, or where there is a T315I mutation</w:t>
      </w:r>
    </w:p>
    <w:p w:rsidR="00BD6FAF" w:rsidRPr="004958FD" w:rsidRDefault="00BD6FAF" w:rsidP="00BD6FAF">
      <w:pPr>
        <w:widowControl/>
      </w:pPr>
    </w:p>
    <w:p w:rsidR="00BD6FAF" w:rsidRPr="004958FD" w:rsidRDefault="00BD6FAF" w:rsidP="00BD6FAF">
      <w:pPr>
        <w:pStyle w:val="ListParagraph"/>
        <w:widowControl/>
        <w:numPr>
          <w:ilvl w:val="1"/>
          <w:numId w:val="12"/>
        </w:numPr>
        <w:ind w:left="720" w:hanging="720"/>
      </w:pPr>
      <w:r w:rsidRPr="004958FD">
        <w:lastRenderedPageBreak/>
        <w:t>In making this recommendation, the ACPM agreed with the delegate on the proposed conditions of registration and specifically advised on the inclusion of a boxed warning to alert prescribers and patients of the risks of vascular occlusion and cardiac failure.</w:t>
      </w:r>
    </w:p>
    <w:p w:rsidR="00A66988" w:rsidRDefault="00A66988" w:rsidP="00A66988">
      <w:pPr>
        <w:widowControl/>
      </w:pPr>
    </w:p>
    <w:p w:rsidR="00CD4AA5" w:rsidRPr="001B449A" w:rsidRDefault="00CD4AA5" w:rsidP="009F0D55">
      <w:pPr>
        <w:pStyle w:val="ListParagraph"/>
        <w:widowControl/>
        <w:numPr>
          <w:ilvl w:val="1"/>
          <w:numId w:val="12"/>
        </w:numPr>
        <w:ind w:left="720" w:hanging="720"/>
      </w:pPr>
      <w:r w:rsidRPr="001B449A">
        <w:t>Ponatinib has not been considered by PBAC previously.</w:t>
      </w:r>
    </w:p>
    <w:p w:rsidR="00B65F97" w:rsidRDefault="00B65F97" w:rsidP="00CD4AA5"/>
    <w:p w:rsidR="00CB1035" w:rsidRPr="001B449A" w:rsidRDefault="00CB1035" w:rsidP="00CD4AA5"/>
    <w:p w:rsidR="00CD4AA5" w:rsidRPr="001B449A" w:rsidRDefault="00CD4AA5" w:rsidP="009F0D55">
      <w:pPr>
        <w:pStyle w:val="PBACHeading1"/>
        <w:numPr>
          <w:ilvl w:val="0"/>
          <w:numId w:val="12"/>
        </w:numPr>
        <w:ind w:left="709" w:hanging="709"/>
      </w:pPr>
      <w:bookmarkStart w:id="5" w:name="_Toc398282526"/>
      <w:r w:rsidRPr="001B449A">
        <w:t>Clinical place for the proposed therapy</w:t>
      </w:r>
      <w:bookmarkEnd w:id="5"/>
    </w:p>
    <w:p w:rsidR="00CD4AA5" w:rsidRPr="001B449A" w:rsidRDefault="00CD4AA5" w:rsidP="00CD4AA5">
      <w:pPr>
        <w:rPr>
          <w:szCs w:val="22"/>
        </w:rPr>
      </w:pPr>
    </w:p>
    <w:p w:rsidR="00CD4AA5" w:rsidRPr="004D3770" w:rsidRDefault="00DF7709" w:rsidP="009F0D55">
      <w:pPr>
        <w:pStyle w:val="ListParagraph"/>
        <w:widowControl/>
        <w:numPr>
          <w:ilvl w:val="1"/>
          <w:numId w:val="12"/>
        </w:numPr>
        <w:ind w:left="720" w:hanging="720"/>
        <w:rPr>
          <w:szCs w:val="22"/>
        </w:rPr>
      </w:pPr>
      <w:r>
        <w:t>The submission proposed</w:t>
      </w:r>
      <w:r w:rsidR="00E54399" w:rsidRPr="004D3770">
        <w:t xml:space="preserve"> that patients with CML and </w:t>
      </w:r>
      <w:proofErr w:type="spellStart"/>
      <w:r w:rsidR="00E54399" w:rsidRPr="004D3770">
        <w:t>Ph</w:t>
      </w:r>
      <w:proofErr w:type="spellEnd"/>
      <w:r w:rsidR="00E54399" w:rsidRPr="004D3770">
        <w:t>+ ALL with the T315I mutation can be treated with ponatinib as a second</w:t>
      </w:r>
      <w:r w:rsidR="001F09E4" w:rsidRPr="004D3770">
        <w:t>-</w:t>
      </w:r>
      <w:r w:rsidR="00E54399" w:rsidRPr="004D3770">
        <w:t>line therapy</w:t>
      </w:r>
      <w:r w:rsidR="00D72B6C" w:rsidRPr="004D3770">
        <w:t>, after failure of imatinib</w:t>
      </w:r>
      <w:r w:rsidR="003E00B5" w:rsidRPr="004D3770">
        <w:t xml:space="preserve"> or</w:t>
      </w:r>
      <w:r w:rsidR="00D72B6C" w:rsidRPr="004D3770">
        <w:t xml:space="preserve"> dasatinib or nilotinib</w:t>
      </w:r>
      <w:r w:rsidR="00E54399" w:rsidRPr="004D3770">
        <w:t xml:space="preserve">. For CML and </w:t>
      </w:r>
      <w:proofErr w:type="spellStart"/>
      <w:r w:rsidR="00E54399" w:rsidRPr="004D3770">
        <w:t>Ph</w:t>
      </w:r>
      <w:proofErr w:type="spellEnd"/>
      <w:r w:rsidR="00E54399" w:rsidRPr="004D3770">
        <w:t>+ ALL patients without the T315</w:t>
      </w:r>
      <w:r w:rsidR="000B164C" w:rsidRPr="004D3770">
        <w:t>I</w:t>
      </w:r>
      <w:r w:rsidR="00E54399" w:rsidRPr="004D3770">
        <w:t xml:space="preserve"> mutation, ponatinib is proposed as a third</w:t>
      </w:r>
      <w:r w:rsidR="001F09E4" w:rsidRPr="004D3770">
        <w:t>-</w:t>
      </w:r>
      <w:r w:rsidR="00E54399" w:rsidRPr="004D3770">
        <w:t>line therapy.</w:t>
      </w:r>
      <w:r w:rsidR="00DB2634" w:rsidRPr="004D3770">
        <w:t xml:space="preserve"> The ESC noted that the proposed algorithm does not make a distinction between CML and </w:t>
      </w:r>
      <w:proofErr w:type="spellStart"/>
      <w:r w:rsidR="00DB2634" w:rsidRPr="004D3770">
        <w:t>Ph</w:t>
      </w:r>
      <w:proofErr w:type="spellEnd"/>
      <w:r w:rsidR="00DB2634" w:rsidRPr="004D3770">
        <w:t xml:space="preserve">+ ALL. Although nilotinib is not PBS listed for </w:t>
      </w:r>
      <w:proofErr w:type="spellStart"/>
      <w:r w:rsidR="00DB2634" w:rsidRPr="004D3770">
        <w:t>Ph</w:t>
      </w:r>
      <w:proofErr w:type="spellEnd"/>
      <w:r w:rsidR="00DB2634" w:rsidRPr="004D3770">
        <w:t xml:space="preserve">+ ALL, the proposed restriction suggested that ponatinib will be used last line. </w:t>
      </w:r>
    </w:p>
    <w:p w:rsidR="00491435" w:rsidRPr="00DF7709" w:rsidRDefault="00491435" w:rsidP="00DF7709">
      <w:pPr>
        <w:rPr>
          <w:szCs w:val="22"/>
        </w:rPr>
      </w:pPr>
    </w:p>
    <w:p w:rsidR="00491435" w:rsidRPr="004D3770" w:rsidRDefault="00491435" w:rsidP="009F0D55">
      <w:pPr>
        <w:pStyle w:val="ListParagraph"/>
        <w:widowControl/>
        <w:numPr>
          <w:ilvl w:val="1"/>
          <w:numId w:val="12"/>
        </w:numPr>
        <w:ind w:left="720" w:hanging="720"/>
        <w:rPr>
          <w:szCs w:val="22"/>
        </w:rPr>
      </w:pPr>
      <w:r>
        <w:rPr>
          <w:szCs w:val="22"/>
        </w:rPr>
        <w:t xml:space="preserve">The </w:t>
      </w:r>
      <w:r w:rsidRPr="00491435">
        <w:rPr>
          <w:szCs w:val="22"/>
        </w:rPr>
        <w:t xml:space="preserve">PBAC considered that given its toxicity profile, the clinical place for ponatinib therapy would be in patients with </w:t>
      </w:r>
      <w:r w:rsidR="00C528D6">
        <w:rPr>
          <w:szCs w:val="22"/>
        </w:rPr>
        <w:t>BCR-ABL fusion gene positive (</w:t>
      </w:r>
      <w:r w:rsidRPr="00491435">
        <w:rPr>
          <w:szCs w:val="22"/>
        </w:rPr>
        <w:t>BCR-ABL+</w:t>
      </w:r>
      <w:r w:rsidR="00C528D6">
        <w:rPr>
          <w:szCs w:val="22"/>
        </w:rPr>
        <w:t>)</w:t>
      </w:r>
      <w:r w:rsidRPr="00491435">
        <w:rPr>
          <w:szCs w:val="22"/>
        </w:rPr>
        <w:t xml:space="preserve"> CML and ALL where use of all other </w:t>
      </w:r>
      <w:r w:rsidR="00D911F5">
        <w:rPr>
          <w:szCs w:val="22"/>
        </w:rPr>
        <w:t xml:space="preserve">PBS-listed </w:t>
      </w:r>
      <w:r w:rsidRPr="00491435">
        <w:rPr>
          <w:szCs w:val="22"/>
        </w:rPr>
        <w:t>TKIs had or would fail to induce response, or was not appropriate because of significant toxicities or contraindications</w:t>
      </w:r>
      <w:r>
        <w:rPr>
          <w:szCs w:val="22"/>
        </w:rPr>
        <w:t>.</w:t>
      </w:r>
    </w:p>
    <w:p w:rsidR="00B65F97" w:rsidRPr="004958FD" w:rsidRDefault="00B65F97" w:rsidP="004958FD">
      <w:pPr>
        <w:rPr>
          <w:i/>
          <w:szCs w:val="22"/>
        </w:rPr>
      </w:pPr>
    </w:p>
    <w:p w:rsidR="00B65F97" w:rsidRPr="00537221" w:rsidRDefault="00B65F97" w:rsidP="002563DC">
      <w:pPr>
        <w:ind w:firstLine="709"/>
        <w:rPr>
          <w:i/>
          <w:szCs w:val="22"/>
        </w:rPr>
      </w:pPr>
      <w:r w:rsidRPr="00151BF6">
        <w:rPr>
          <w:i/>
          <w:szCs w:val="22"/>
        </w:rPr>
        <w:t>For more detail on PBAC’s view, see section 7 “PBAC outcome”</w:t>
      </w:r>
    </w:p>
    <w:p w:rsidR="00B65F97" w:rsidRDefault="00B65F97" w:rsidP="00CD4AA5">
      <w:pPr>
        <w:pStyle w:val="Header"/>
        <w:rPr>
          <w:szCs w:val="22"/>
        </w:rPr>
      </w:pPr>
    </w:p>
    <w:p w:rsidR="00CB1035" w:rsidRPr="001B449A" w:rsidRDefault="00CB1035" w:rsidP="00CD4AA5">
      <w:pPr>
        <w:pStyle w:val="Header"/>
        <w:rPr>
          <w:szCs w:val="22"/>
        </w:rPr>
      </w:pPr>
    </w:p>
    <w:p w:rsidR="00CD4AA5" w:rsidRPr="001B449A" w:rsidRDefault="00CD4AA5" w:rsidP="009F0D55">
      <w:pPr>
        <w:pStyle w:val="PBACHeading1"/>
        <w:numPr>
          <w:ilvl w:val="0"/>
          <w:numId w:val="12"/>
        </w:numPr>
        <w:ind w:left="709" w:hanging="709"/>
      </w:pPr>
      <w:bookmarkStart w:id="6" w:name="_Toc398282527"/>
      <w:r w:rsidRPr="001B449A">
        <w:t>Comparator</w:t>
      </w:r>
      <w:bookmarkEnd w:id="6"/>
    </w:p>
    <w:p w:rsidR="00CD4AA5" w:rsidRPr="001B449A" w:rsidRDefault="00CD4AA5" w:rsidP="00CD4AA5"/>
    <w:p w:rsidR="00121C8D" w:rsidRPr="004D3770" w:rsidRDefault="00E54399" w:rsidP="009F0D55">
      <w:pPr>
        <w:pStyle w:val="ListParagraph"/>
        <w:widowControl/>
        <w:numPr>
          <w:ilvl w:val="1"/>
          <w:numId w:val="12"/>
        </w:numPr>
        <w:ind w:left="720" w:hanging="720"/>
        <w:rPr>
          <w:szCs w:val="22"/>
        </w:rPr>
      </w:pPr>
      <w:r w:rsidRPr="004D3770">
        <w:t>D</w:t>
      </w:r>
      <w:r w:rsidR="00CD4AA5" w:rsidRPr="004D3770">
        <w:t xml:space="preserve">asatinib and nilotinib, for all indications (CML with/without T315I mutation and </w:t>
      </w:r>
      <w:proofErr w:type="spellStart"/>
      <w:r w:rsidR="00CD4AA5" w:rsidRPr="004D3770">
        <w:t>Ph</w:t>
      </w:r>
      <w:proofErr w:type="spellEnd"/>
      <w:r w:rsidR="00CD4AA5" w:rsidRPr="004D3770">
        <w:t>+ AL</w:t>
      </w:r>
      <w:r w:rsidRPr="004D3770">
        <w:t>L with/without T315I mutation); these may not be the appropriate comparators.</w:t>
      </w:r>
      <w:r w:rsidR="003E00B5" w:rsidRPr="004D3770">
        <w:t xml:space="preserve"> Imatinib is not considered as a comparator a</w:t>
      </w:r>
      <w:r w:rsidR="00E968D6" w:rsidRPr="004D3770">
        <w:t xml:space="preserve">s it is a first-line treatment option </w:t>
      </w:r>
      <w:r w:rsidR="00D911F5">
        <w:t>generally</w:t>
      </w:r>
      <w:r w:rsidR="00F71078" w:rsidRPr="004D3770">
        <w:t xml:space="preserve">; patients who develop resistance to therapy </w:t>
      </w:r>
      <w:r w:rsidR="00D911F5">
        <w:t>can have their leukaemia</w:t>
      </w:r>
      <w:r w:rsidR="00F71078" w:rsidRPr="004D3770">
        <w:t xml:space="preserve"> tested to identify mutations and target treatment</w:t>
      </w:r>
      <w:r w:rsidR="00E968D6" w:rsidRPr="004D3770">
        <w:t xml:space="preserve">. </w:t>
      </w:r>
    </w:p>
    <w:p w:rsidR="0099616F" w:rsidRPr="004D3770" w:rsidRDefault="0099616F" w:rsidP="0099616F">
      <w:pPr>
        <w:widowControl/>
        <w:rPr>
          <w:szCs w:val="22"/>
        </w:rPr>
      </w:pPr>
    </w:p>
    <w:p w:rsidR="00121C8D" w:rsidRPr="004D3770" w:rsidRDefault="00121C8D" w:rsidP="009F0D55">
      <w:pPr>
        <w:pStyle w:val="ListParagraph"/>
        <w:widowControl/>
        <w:numPr>
          <w:ilvl w:val="1"/>
          <w:numId w:val="12"/>
        </w:numPr>
        <w:ind w:left="720" w:hanging="720"/>
        <w:rPr>
          <w:szCs w:val="22"/>
        </w:rPr>
      </w:pPr>
      <w:r w:rsidRPr="004D3770">
        <w:rPr>
          <w:szCs w:val="22"/>
        </w:rPr>
        <w:t xml:space="preserve">The ESC considered that for the treatment of CML or </w:t>
      </w:r>
      <w:proofErr w:type="spellStart"/>
      <w:r w:rsidRPr="004D3770">
        <w:rPr>
          <w:szCs w:val="22"/>
        </w:rPr>
        <w:t>Ph</w:t>
      </w:r>
      <w:proofErr w:type="spellEnd"/>
      <w:r w:rsidRPr="004D3770">
        <w:rPr>
          <w:szCs w:val="22"/>
        </w:rPr>
        <w:t>+ ALL without the T315I mutation:</w:t>
      </w:r>
    </w:p>
    <w:p w:rsidR="00121C8D" w:rsidRPr="004D3770" w:rsidRDefault="00121C8D" w:rsidP="00121C8D">
      <w:pPr>
        <w:pStyle w:val="ListParagraph"/>
        <w:widowControl/>
        <w:ind w:left="1134" w:hanging="425"/>
        <w:rPr>
          <w:szCs w:val="22"/>
        </w:rPr>
      </w:pPr>
      <w:r w:rsidRPr="004D3770">
        <w:rPr>
          <w:szCs w:val="22"/>
        </w:rPr>
        <w:t xml:space="preserve">- In 3rd line therapy, after imatinib and dasatinib or nilotinib, dasatinib/nilotinib would be reasonable comparators.  </w:t>
      </w:r>
    </w:p>
    <w:p w:rsidR="00121C8D" w:rsidRPr="004D3770" w:rsidRDefault="00121C8D" w:rsidP="00121C8D">
      <w:pPr>
        <w:pStyle w:val="ListParagraph"/>
        <w:widowControl/>
        <w:ind w:left="1134" w:hanging="425"/>
        <w:rPr>
          <w:szCs w:val="22"/>
        </w:rPr>
      </w:pPr>
      <w:r w:rsidRPr="004D3770">
        <w:rPr>
          <w:szCs w:val="22"/>
        </w:rPr>
        <w:t xml:space="preserve">- In 4th line therapy, after imatinib, dasatinib and </w:t>
      </w:r>
      <w:r w:rsidR="00315AEC">
        <w:rPr>
          <w:szCs w:val="22"/>
        </w:rPr>
        <w:t xml:space="preserve">nilotinib, the most appropriate </w:t>
      </w:r>
      <w:r w:rsidRPr="004D3770">
        <w:rPr>
          <w:szCs w:val="22"/>
        </w:rPr>
        <w:t xml:space="preserve">comparators would be best supportive care (BSC) or allogeneic haematopoietic stem cell transplantation (SCT). The PSCR (p2) argued against BSC and SCT as comparators, </w:t>
      </w:r>
      <w:r w:rsidR="008E34DD" w:rsidRPr="004D3770">
        <w:rPr>
          <w:szCs w:val="22"/>
        </w:rPr>
        <w:t xml:space="preserve">on the basis that </w:t>
      </w:r>
      <w:r w:rsidRPr="004D3770">
        <w:rPr>
          <w:szCs w:val="22"/>
        </w:rPr>
        <w:t>patients are unlikely to receive BSC before a third TKI</w:t>
      </w:r>
      <w:r w:rsidR="008E34DD" w:rsidRPr="004D3770">
        <w:rPr>
          <w:szCs w:val="22"/>
        </w:rPr>
        <w:t>,</w:t>
      </w:r>
      <w:r w:rsidRPr="004D3770">
        <w:rPr>
          <w:szCs w:val="22"/>
        </w:rPr>
        <w:t xml:space="preserve"> and SCT is a limited treatment option, available only to patients with excellent performance status with an appropriate donor and comes with a risk of transplant related mortality of over 30%.  </w:t>
      </w:r>
    </w:p>
    <w:p w:rsidR="00CD4AA5" w:rsidRDefault="00121C8D" w:rsidP="00121C8D">
      <w:pPr>
        <w:pStyle w:val="ListParagraph"/>
        <w:widowControl/>
        <w:ind w:left="1134" w:hanging="425"/>
        <w:rPr>
          <w:szCs w:val="22"/>
        </w:rPr>
      </w:pPr>
      <w:r w:rsidRPr="004D3770">
        <w:rPr>
          <w:szCs w:val="22"/>
        </w:rPr>
        <w:t xml:space="preserve">- In addition, the ESC considered that for the subgroup of patients with CML or </w:t>
      </w:r>
      <w:proofErr w:type="spellStart"/>
      <w:r w:rsidR="00D911F5" w:rsidRPr="004D3770">
        <w:rPr>
          <w:szCs w:val="22"/>
        </w:rPr>
        <w:t>P</w:t>
      </w:r>
      <w:r w:rsidR="00D911F5">
        <w:rPr>
          <w:szCs w:val="22"/>
        </w:rPr>
        <w:t>h</w:t>
      </w:r>
      <w:proofErr w:type="spellEnd"/>
      <w:r w:rsidRPr="004D3770">
        <w:rPr>
          <w:szCs w:val="22"/>
        </w:rPr>
        <w:t>+ ALL with T315I mutation, dasatinib/nilotinib are not as effective as ponatinib and BSC or allogeneic SCT are the more appropriate comparators in this patient population.</w:t>
      </w:r>
    </w:p>
    <w:p w:rsidR="0070454F" w:rsidRDefault="0070454F" w:rsidP="0070454F">
      <w:pPr>
        <w:widowControl/>
        <w:rPr>
          <w:szCs w:val="22"/>
        </w:rPr>
      </w:pPr>
    </w:p>
    <w:p w:rsidR="0070454F" w:rsidRDefault="0070454F" w:rsidP="0070454F">
      <w:pPr>
        <w:pStyle w:val="ListParagraph"/>
        <w:widowControl/>
        <w:numPr>
          <w:ilvl w:val="1"/>
          <w:numId w:val="12"/>
        </w:numPr>
        <w:ind w:left="709" w:hanging="709"/>
        <w:rPr>
          <w:szCs w:val="22"/>
        </w:rPr>
      </w:pPr>
      <w:r w:rsidRPr="0070454F">
        <w:rPr>
          <w:szCs w:val="22"/>
        </w:rPr>
        <w:t xml:space="preserve">The PBAC considered that the treatments most likely to be replaced by ponatinib in patients meeting its proposed restrictions would be non-TKI therapies, including </w:t>
      </w:r>
      <w:proofErr w:type="spellStart"/>
      <w:r w:rsidRPr="0070454F">
        <w:rPr>
          <w:szCs w:val="22"/>
        </w:rPr>
        <w:lastRenderedPageBreak/>
        <w:t>hydroxyurea</w:t>
      </w:r>
      <w:proofErr w:type="spellEnd"/>
      <w:r w:rsidRPr="0070454F">
        <w:rPr>
          <w:szCs w:val="22"/>
        </w:rPr>
        <w:t>, interferon, cytotoxic drugs, allogeneic stem cell transplantation, and supportive care.</w:t>
      </w:r>
    </w:p>
    <w:p w:rsidR="0070454F" w:rsidRPr="0070454F" w:rsidRDefault="0070454F" w:rsidP="0070454F">
      <w:pPr>
        <w:pStyle w:val="ListParagraph"/>
        <w:widowControl/>
        <w:ind w:left="709"/>
        <w:rPr>
          <w:szCs w:val="22"/>
        </w:rPr>
      </w:pPr>
    </w:p>
    <w:p w:rsidR="0070454F" w:rsidRPr="0070454F" w:rsidRDefault="0070454F" w:rsidP="0070454F">
      <w:pPr>
        <w:pStyle w:val="ListParagraph"/>
        <w:widowControl/>
        <w:numPr>
          <w:ilvl w:val="1"/>
          <w:numId w:val="12"/>
        </w:numPr>
        <w:ind w:left="709" w:hanging="709"/>
        <w:rPr>
          <w:szCs w:val="22"/>
        </w:rPr>
      </w:pPr>
      <w:r w:rsidRPr="0070454F">
        <w:rPr>
          <w:szCs w:val="22"/>
        </w:rPr>
        <w:t xml:space="preserve">This </w:t>
      </w:r>
      <w:r w:rsidR="008957A8">
        <w:rPr>
          <w:szCs w:val="22"/>
        </w:rPr>
        <w:t xml:space="preserve">consideration </w:t>
      </w:r>
      <w:r w:rsidRPr="0070454F">
        <w:rPr>
          <w:szCs w:val="22"/>
        </w:rPr>
        <w:t>notwithstanding, the PBAC did agree with the sponsor that comparison with the data for dasatinib and nilotinib in patients who had failed or who were intolerant to imatinib would be informative in benchmarking efficacy and toxicity, as well as effectiveness and costs</w:t>
      </w:r>
    </w:p>
    <w:p w:rsidR="001C1E53" w:rsidRDefault="001C1E53" w:rsidP="00151821">
      <w:pPr>
        <w:widowControl/>
      </w:pPr>
    </w:p>
    <w:p w:rsidR="00B65F97" w:rsidRPr="00537221" w:rsidRDefault="00B65F97" w:rsidP="002563DC">
      <w:pPr>
        <w:ind w:firstLine="709"/>
        <w:rPr>
          <w:i/>
          <w:szCs w:val="22"/>
        </w:rPr>
      </w:pPr>
      <w:r w:rsidRPr="00151BF6">
        <w:rPr>
          <w:i/>
          <w:szCs w:val="22"/>
        </w:rPr>
        <w:t>For more detail on PBAC’s view, see section 7 “PBAC outcome”</w:t>
      </w:r>
    </w:p>
    <w:p w:rsidR="00B65F97" w:rsidRDefault="00B65F97" w:rsidP="00151821">
      <w:pPr>
        <w:widowControl/>
      </w:pPr>
    </w:p>
    <w:p w:rsidR="00CB1035" w:rsidRPr="001B449A" w:rsidRDefault="00CB1035" w:rsidP="00151821">
      <w:pPr>
        <w:widowControl/>
      </w:pPr>
    </w:p>
    <w:p w:rsidR="00CD4AA5" w:rsidRPr="001B449A" w:rsidRDefault="00CD4AA5" w:rsidP="009F0D55">
      <w:pPr>
        <w:pStyle w:val="PBACHeading1"/>
        <w:numPr>
          <w:ilvl w:val="0"/>
          <w:numId w:val="12"/>
        </w:numPr>
        <w:ind w:left="709" w:hanging="709"/>
      </w:pPr>
      <w:bookmarkStart w:id="7" w:name="_Toc398282528"/>
      <w:r w:rsidRPr="001B449A">
        <w:t>Consideration of the evidence</w:t>
      </w:r>
      <w:bookmarkEnd w:id="7"/>
    </w:p>
    <w:p w:rsidR="00CD4AA5" w:rsidRDefault="00CD4AA5" w:rsidP="00CD4AA5"/>
    <w:p w:rsidR="00F918CA" w:rsidRPr="005E25A7" w:rsidRDefault="00F918CA" w:rsidP="00F918CA">
      <w:pPr>
        <w:rPr>
          <w:b/>
          <w:szCs w:val="22"/>
        </w:rPr>
      </w:pPr>
      <w:r w:rsidRPr="005E25A7">
        <w:rPr>
          <w:b/>
          <w:szCs w:val="22"/>
        </w:rPr>
        <w:t>Sponsor hearing</w:t>
      </w:r>
    </w:p>
    <w:p w:rsidR="00F918CA" w:rsidRPr="003A3CC3" w:rsidRDefault="00F918CA" w:rsidP="00F918CA">
      <w:pPr>
        <w:ind w:left="709"/>
        <w:rPr>
          <w:b/>
          <w:szCs w:val="22"/>
          <w:highlight w:val="yellow"/>
        </w:rPr>
      </w:pPr>
    </w:p>
    <w:p w:rsidR="00767F10" w:rsidRPr="00CB1035" w:rsidRDefault="00F918CA" w:rsidP="009F0D55">
      <w:pPr>
        <w:pStyle w:val="ListParagraph"/>
        <w:widowControl/>
        <w:numPr>
          <w:ilvl w:val="1"/>
          <w:numId w:val="12"/>
        </w:numPr>
        <w:ind w:left="720" w:hanging="720"/>
        <w:rPr>
          <w:szCs w:val="22"/>
        </w:rPr>
      </w:pPr>
      <w:r w:rsidRPr="00D97136">
        <w:rPr>
          <w:szCs w:val="22"/>
        </w:rPr>
        <w:t xml:space="preserve">The sponsor requested a hearing for this item. </w:t>
      </w:r>
      <w:r w:rsidR="00D97136" w:rsidRPr="00D97136">
        <w:rPr>
          <w:szCs w:val="22"/>
        </w:rPr>
        <w:t xml:space="preserve">The clinician presented clinical case studies and discussed the natural history of the disease and how the drug would be used in practice. </w:t>
      </w:r>
      <w:r w:rsidR="005E25A7" w:rsidRPr="00D97136">
        <w:rPr>
          <w:szCs w:val="22"/>
        </w:rPr>
        <w:t xml:space="preserve">The clinician also clarified that </w:t>
      </w:r>
      <w:r w:rsidR="00D97136">
        <w:rPr>
          <w:szCs w:val="22"/>
        </w:rPr>
        <w:t xml:space="preserve">mechanism of higher vascular occlusion events induced by ponatinib is still unknown and </w:t>
      </w:r>
      <w:r w:rsidR="00F60ADE">
        <w:rPr>
          <w:szCs w:val="22"/>
        </w:rPr>
        <w:t>most patients die</w:t>
      </w:r>
      <w:r w:rsidR="005E25A7" w:rsidRPr="00D97136">
        <w:rPr>
          <w:szCs w:val="22"/>
        </w:rPr>
        <w:t xml:space="preserve"> from progressive disease rather than from the cardiovascular events directly.</w:t>
      </w:r>
      <w:r w:rsidR="00D97136" w:rsidRPr="00D97136">
        <w:rPr>
          <w:szCs w:val="22"/>
        </w:rPr>
        <w:t xml:space="preserve"> The PBAC considered that the hearing was informative as it provided a clinical perspective on </w:t>
      </w:r>
      <w:r w:rsidR="00D97136" w:rsidRPr="00CB1035">
        <w:rPr>
          <w:szCs w:val="22"/>
        </w:rPr>
        <w:t>treating this disease.</w:t>
      </w:r>
    </w:p>
    <w:p w:rsidR="00F918CA" w:rsidRPr="00CB1035" w:rsidRDefault="00F918CA" w:rsidP="00D97136">
      <w:pPr>
        <w:rPr>
          <w:szCs w:val="22"/>
        </w:rPr>
      </w:pPr>
    </w:p>
    <w:p w:rsidR="00F918CA" w:rsidRPr="00CB1035" w:rsidRDefault="00F918CA" w:rsidP="00F918CA">
      <w:pPr>
        <w:rPr>
          <w:b/>
          <w:szCs w:val="22"/>
        </w:rPr>
      </w:pPr>
      <w:r w:rsidRPr="00CB1035">
        <w:rPr>
          <w:b/>
          <w:szCs w:val="22"/>
        </w:rPr>
        <w:t>Consumer comments</w:t>
      </w:r>
    </w:p>
    <w:p w:rsidR="00F918CA" w:rsidRPr="00CB1035" w:rsidRDefault="00F918CA" w:rsidP="00F918CA">
      <w:pPr>
        <w:pStyle w:val="ListParagraph"/>
        <w:ind w:left="709"/>
        <w:rPr>
          <w:i/>
          <w:szCs w:val="22"/>
        </w:rPr>
      </w:pPr>
    </w:p>
    <w:p w:rsidR="00F918CA" w:rsidRPr="00CB1035" w:rsidRDefault="00F918CA" w:rsidP="009F0D55">
      <w:pPr>
        <w:pStyle w:val="ListParagraph"/>
        <w:widowControl/>
        <w:numPr>
          <w:ilvl w:val="1"/>
          <w:numId w:val="12"/>
        </w:numPr>
        <w:ind w:left="720" w:hanging="720"/>
        <w:rPr>
          <w:szCs w:val="22"/>
        </w:rPr>
      </w:pPr>
      <w:r w:rsidRPr="00CB1035">
        <w:rPr>
          <w:szCs w:val="22"/>
        </w:rPr>
        <w:t>The PBAC noted and welcomed the input from individuals (</w:t>
      </w:r>
      <w:r w:rsidR="005E25A7" w:rsidRPr="00CB1035">
        <w:rPr>
          <w:szCs w:val="22"/>
        </w:rPr>
        <w:t>2</w:t>
      </w:r>
      <w:r w:rsidRPr="00CB1035">
        <w:rPr>
          <w:szCs w:val="22"/>
        </w:rPr>
        <w:t>)</w:t>
      </w:r>
      <w:r w:rsidR="00D911F5" w:rsidRPr="00CB1035">
        <w:rPr>
          <w:szCs w:val="22"/>
        </w:rPr>
        <w:t xml:space="preserve"> and</w:t>
      </w:r>
      <w:r w:rsidRPr="00CB1035">
        <w:rPr>
          <w:szCs w:val="22"/>
        </w:rPr>
        <w:t xml:space="preserve"> health care professionals (</w:t>
      </w:r>
      <w:r w:rsidR="005E25A7" w:rsidRPr="00CB1035">
        <w:rPr>
          <w:szCs w:val="22"/>
        </w:rPr>
        <w:t>4</w:t>
      </w:r>
      <w:r w:rsidR="00D97136" w:rsidRPr="00CB1035">
        <w:rPr>
          <w:szCs w:val="22"/>
        </w:rPr>
        <w:t xml:space="preserve">) </w:t>
      </w:r>
      <w:r w:rsidRPr="00CB1035">
        <w:rPr>
          <w:szCs w:val="22"/>
        </w:rPr>
        <w:t xml:space="preserve">via the Consumer Comments facility on the PBS website.  The comments described a range of benefits of treatment with </w:t>
      </w:r>
      <w:r w:rsidR="005E25A7" w:rsidRPr="00CB1035">
        <w:rPr>
          <w:szCs w:val="22"/>
        </w:rPr>
        <w:t>ponatinib</w:t>
      </w:r>
      <w:r w:rsidRPr="00CB1035">
        <w:rPr>
          <w:szCs w:val="22"/>
        </w:rPr>
        <w:t xml:space="preserve"> including </w:t>
      </w:r>
      <w:r w:rsidR="005E25A7" w:rsidRPr="00CB1035">
        <w:rPr>
          <w:szCs w:val="22"/>
        </w:rPr>
        <w:t xml:space="preserve">a reasonable response rate for patients who have no other therapeutic alternatives and a significant prolongation of life in the small number of patients who would be eligible. </w:t>
      </w:r>
    </w:p>
    <w:p w:rsidR="00F918CA" w:rsidRPr="00CB1035" w:rsidRDefault="00F918CA" w:rsidP="00F918CA">
      <w:pPr>
        <w:pStyle w:val="ListParagraph"/>
        <w:ind w:left="709"/>
        <w:rPr>
          <w:szCs w:val="22"/>
        </w:rPr>
      </w:pPr>
    </w:p>
    <w:p w:rsidR="00CD4AA5" w:rsidRPr="00976978" w:rsidRDefault="00D05806" w:rsidP="00976978">
      <w:pPr>
        <w:rPr>
          <w:b/>
          <w:szCs w:val="22"/>
        </w:rPr>
      </w:pPr>
      <w:bookmarkStart w:id="8" w:name="_Toc398282529"/>
      <w:r w:rsidRPr="00976978">
        <w:rPr>
          <w:b/>
          <w:szCs w:val="22"/>
        </w:rPr>
        <w:t>Clinical studie</w:t>
      </w:r>
      <w:r w:rsidR="00CD4AA5" w:rsidRPr="00976978">
        <w:rPr>
          <w:b/>
          <w:szCs w:val="22"/>
        </w:rPr>
        <w:t>s</w:t>
      </w:r>
      <w:bookmarkEnd w:id="8"/>
    </w:p>
    <w:p w:rsidR="00CD4AA5" w:rsidRPr="001B449A" w:rsidRDefault="00CD4AA5" w:rsidP="00CD4AA5">
      <w:pPr>
        <w:rPr>
          <w:szCs w:val="22"/>
        </w:rPr>
      </w:pPr>
    </w:p>
    <w:p w:rsidR="00CD4AA5" w:rsidRPr="001B449A" w:rsidRDefault="00113580" w:rsidP="009F0D55">
      <w:pPr>
        <w:pStyle w:val="ListParagraph"/>
        <w:widowControl/>
        <w:numPr>
          <w:ilvl w:val="1"/>
          <w:numId w:val="12"/>
        </w:numPr>
        <w:ind w:left="720" w:hanging="720"/>
        <w:rPr>
          <w:szCs w:val="22"/>
        </w:rPr>
      </w:pPr>
      <w:r>
        <w:t>The submission wa</w:t>
      </w:r>
      <w:r w:rsidR="00CD4AA5" w:rsidRPr="001B449A">
        <w:t>s based on analysis of ten single</w:t>
      </w:r>
      <w:r w:rsidR="00B22022" w:rsidRPr="001B449A">
        <w:t>-</w:t>
      </w:r>
      <w:r w:rsidR="00CD4AA5" w:rsidRPr="001B449A">
        <w:t>arm studies.</w:t>
      </w:r>
      <w:r w:rsidR="00CD4AA5" w:rsidRPr="001B449A">
        <w:rPr>
          <w:color w:val="3366FF"/>
        </w:rPr>
        <w:t xml:space="preserve">  </w:t>
      </w:r>
    </w:p>
    <w:p w:rsidR="00CD4AA5" w:rsidRPr="001B449A" w:rsidRDefault="00CD4AA5" w:rsidP="00CD4AA5">
      <w:pPr>
        <w:widowControl/>
        <w:rPr>
          <w:szCs w:val="22"/>
        </w:rPr>
      </w:pPr>
    </w:p>
    <w:p w:rsidR="00CD4AA5" w:rsidRPr="001B449A" w:rsidRDefault="00D05806" w:rsidP="009F0D55">
      <w:pPr>
        <w:pStyle w:val="ListParagraph"/>
        <w:widowControl/>
        <w:numPr>
          <w:ilvl w:val="1"/>
          <w:numId w:val="12"/>
        </w:numPr>
        <w:ind w:left="720" w:hanging="720"/>
        <w:rPr>
          <w:szCs w:val="22"/>
        </w:rPr>
      </w:pPr>
      <w:r w:rsidRPr="001B449A">
        <w:rPr>
          <w:szCs w:val="22"/>
        </w:rPr>
        <w:t>Details of the studie</w:t>
      </w:r>
      <w:r w:rsidR="00CD4AA5" w:rsidRPr="001B449A">
        <w:rPr>
          <w:szCs w:val="22"/>
        </w:rPr>
        <w:t>s</w:t>
      </w:r>
      <w:r w:rsidR="00113580">
        <w:rPr>
          <w:szCs w:val="22"/>
        </w:rPr>
        <w:t xml:space="preserve"> presented in the submission were</w:t>
      </w:r>
      <w:r w:rsidR="00CD4AA5" w:rsidRPr="001B449A">
        <w:rPr>
          <w:szCs w:val="22"/>
        </w:rPr>
        <w:t xml:space="preserve"> provided in </w:t>
      </w:r>
      <w:r w:rsidR="00D55F94">
        <w:rPr>
          <w:szCs w:val="22"/>
        </w:rPr>
        <w:t>the following table</w:t>
      </w:r>
      <w:r w:rsidR="00CD4AA5" w:rsidRPr="001B449A">
        <w:rPr>
          <w:szCs w:val="22"/>
        </w:rPr>
        <w:t xml:space="preserve">.  </w:t>
      </w:r>
    </w:p>
    <w:p w:rsidR="00CD4AA5" w:rsidRPr="001B449A" w:rsidRDefault="00CD4AA5" w:rsidP="00CD4AA5">
      <w:pPr>
        <w:pStyle w:val="ListParagraph"/>
        <w:rPr>
          <w:szCs w:val="22"/>
        </w:rPr>
      </w:pPr>
    </w:p>
    <w:p w:rsidR="00CD4AA5" w:rsidRPr="001B449A" w:rsidRDefault="00CD4AA5" w:rsidP="00C54D8E">
      <w:pPr>
        <w:keepNext/>
        <w:ind w:firstLine="720"/>
        <w:rPr>
          <w:rStyle w:val="CommentReference"/>
        </w:rPr>
      </w:pPr>
      <w:r w:rsidRPr="001B449A">
        <w:rPr>
          <w:rStyle w:val="CommentReference"/>
        </w:rPr>
        <w:lastRenderedPageBreak/>
        <w:t>Nonrandomised studies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358"/>
        <w:gridCol w:w="1996"/>
      </w:tblGrid>
      <w:tr w:rsidR="00CD4AA5" w:rsidRPr="001B449A" w:rsidTr="0083695E">
        <w:trPr>
          <w:cantSplit/>
          <w:tblHeader/>
        </w:trPr>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b/>
                <w:sz w:val="20"/>
              </w:rPr>
              <w:t>Study ID</w:t>
            </w:r>
          </w:p>
        </w:tc>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b/>
                <w:sz w:val="20"/>
              </w:rPr>
              <w:t>Protocol title/ Publication title</w:t>
            </w:r>
          </w:p>
        </w:tc>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b/>
                <w:sz w:val="20"/>
              </w:rPr>
              <w:t>Publication citation</w:t>
            </w:r>
          </w:p>
        </w:tc>
      </w:tr>
      <w:tr w:rsidR="00CD4AA5" w:rsidRPr="001B449A" w:rsidTr="0083695E">
        <w:tc>
          <w:tcPr>
            <w:tcW w:w="0" w:type="auto"/>
            <w:gridSpan w:val="3"/>
          </w:tcPr>
          <w:p w:rsidR="00CD4AA5" w:rsidRPr="001B449A" w:rsidRDefault="00CD4AA5" w:rsidP="00C54D8E">
            <w:pPr>
              <w:keepNext/>
              <w:jc w:val="left"/>
              <w:rPr>
                <w:rFonts w:ascii="Arial Narrow" w:hAnsi="Arial Narrow"/>
                <w:b/>
                <w:sz w:val="20"/>
              </w:rPr>
            </w:pPr>
            <w:r w:rsidRPr="001B449A">
              <w:rPr>
                <w:rFonts w:ascii="Arial Narrow" w:hAnsi="Arial Narrow"/>
                <w:b/>
                <w:sz w:val="20"/>
              </w:rPr>
              <w:t>Ponatinib open-label, nonrandomised studies</w:t>
            </w:r>
          </w:p>
        </w:tc>
      </w:tr>
      <w:tr w:rsidR="00481881" w:rsidRPr="001B449A" w:rsidTr="00D55F94">
        <w:trPr>
          <w:trHeight w:val="771"/>
        </w:trPr>
        <w:tc>
          <w:tcPr>
            <w:tcW w:w="0" w:type="auto"/>
            <w:tcBorders>
              <w:bottom w:val="nil"/>
            </w:tcBorders>
          </w:tcPr>
          <w:p w:rsidR="00481881" w:rsidRPr="001B449A" w:rsidRDefault="00481881" w:rsidP="00C54D8E">
            <w:pPr>
              <w:keepNext/>
              <w:jc w:val="left"/>
              <w:rPr>
                <w:rFonts w:ascii="Arial Narrow" w:hAnsi="Arial Narrow"/>
                <w:sz w:val="20"/>
              </w:rPr>
            </w:pPr>
            <w:r w:rsidRPr="001B449A">
              <w:rPr>
                <w:rFonts w:ascii="Arial Narrow" w:hAnsi="Arial Narrow"/>
                <w:sz w:val="20"/>
              </w:rPr>
              <w:t>PACE</w:t>
            </w:r>
          </w:p>
        </w:tc>
        <w:tc>
          <w:tcPr>
            <w:tcW w:w="0" w:type="auto"/>
            <w:tcBorders>
              <w:bottom w:val="nil"/>
            </w:tcBorders>
          </w:tcPr>
          <w:p w:rsidR="00481881" w:rsidRPr="001B449A" w:rsidRDefault="00481881" w:rsidP="00C54D8E">
            <w:pPr>
              <w:keepNext/>
              <w:jc w:val="left"/>
              <w:rPr>
                <w:rFonts w:ascii="Arial Narrow" w:hAnsi="Arial Narrow"/>
                <w:sz w:val="20"/>
              </w:rPr>
            </w:pPr>
            <w:r w:rsidRPr="001B449A">
              <w:rPr>
                <w:rFonts w:ascii="Arial Narrow" w:hAnsi="Arial Narrow"/>
                <w:sz w:val="20"/>
              </w:rPr>
              <w:t xml:space="preserve">Phase II open-label, nonrandomised, single-arm study in patients with </w:t>
            </w:r>
            <w:proofErr w:type="spellStart"/>
            <w:r w:rsidRPr="001B449A">
              <w:rPr>
                <w:rFonts w:ascii="Arial Narrow" w:hAnsi="Arial Narrow"/>
                <w:sz w:val="20"/>
              </w:rPr>
              <w:t>Ph</w:t>
            </w:r>
            <w:proofErr w:type="spellEnd"/>
            <w:r w:rsidRPr="001B449A">
              <w:rPr>
                <w:rFonts w:ascii="Arial Narrow" w:hAnsi="Arial Narrow"/>
                <w:sz w:val="20"/>
              </w:rPr>
              <w:t xml:space="preserve">+ leukaemia (CP CML, AP CML, BP CML and </w:t>
            </w:r>
            <w:proofErr w:type="spellStart"/>
            <w:r w:rsidRPr="001B449A">
              <w:rPr>
                <w:rFonts w:ascii="Arial Narrow" w:hAnsi="Arial Narrow"/>
                <w:sz w:val="20"/>
              </w:rPr>
              <w:t>Ph</w:t>
            </w:r>
            <w:proofErr w:type="spellEnd"/>
            <w:r w:rsidRPr="001B449A">
              <w:rPr>
                <w:rFonts w:ascii="Arial Narrow" w:hAnsi="Arial Narrow"/>
                <w:sz w:val="20"/>
              </w:rPr>
              <w:t xml:space="preserve">+ ALL) resistant or intolerant to prior dasatinib or nilotinib or have the T315I mutation. </w:t>
            </w:r>
          </w:p>
          <w:p w:rsidR="00481881" w:rsidRPr="001B449A" w:rsidRDefault="00481881" w:rsidP="00C54D8E">
            <w:pPr>
              <w:keepNext/>
              <w:jc w:val="left"/>
              <w:rPr>
                <w:rFonts w:ascii="Arial Narrow" w:hAnsi="Arial Narrow"/>
                <w:sz w:val="20"/>
              </w:rPr>
            </w:pPr>
          </w:p>
        </w:tc>
        <w:tc>
          <w:tcPr>
            <w:tcW w:w="0" w:type="auto"/>
            <w:tcBorders>
              <w:bottom w:val="nil"/>
            </w:tcBorders>
          </w:tcPr>
          <w:p w:rsidR="00481881" w:rsidRPr="001B449A" w:rsidRDefault="00481881" w:rsidP="00C54D8E">
            <w:pPr>
              <w:keepNext/>
              <w:jc w:val="left"/>
              <w:rPr>
                <w:rFonts w:ascii="Arial Narrow" w:hAnsi="Arial Narrow"/>
                <w:sz w:val="20"/>
              </w:rPr>
            </w:pPr>
            <w:r w:rsidRPr="001B449A">
              <w:rPr>
                <w:rFonts w:ascii="Arial Narrow" w:hAnsi="Arial Narrow"/>
                <w:sz w:val="20"/>
              </w:rPr>
              <w:t>13 July 2012</w:t>
            </w:r>
          </w:p>
          <w:p w:rsidR="00481881" w:rsidRPr="001B449A" w:rsidRDefault="00481881" w:rsidP="00D55F94">
            <w:pPr>
              <w:keepNext/>
              <w:jc w:val="left"/>
              <w:rPr>
                <w:rFonts w:ascii="Arial Narrow" w:hAnsi="Arial Narrow"/>
                <w:sz w:val="20"/>
              </w:rPr>
            </w:pPr>
          </w:p>
        </w:tc>
      </w:tr>
      <w:tr w:rsidR="00481881" w:rsidRPr="001B449A" w:rsidTr="00D55F94">
        <w:trPr>
          <w:trHeight w:val="770"/>
        </w:trPr>
        <w:tc>
          <w:tcPr>
            <w:tcW w:w="0" w:type="auto"/>
            <w:tcBorders>
              <w:top w:val="nil"/>
            </w:tcBorders>
          </w:tcPr>
          <w:p w:rsidR="00481881" w:rsidRPr="001B449A" w:rsidRDefault="00481881" w:rsidP="00C54D8E">
            <w:pPr>
              <w:keepNext/>
              <w:jc w:val="left"/>
              <w:rPr>
                <w:rFonts w:ascii="Arial Narrow" w:hAnsi="Arial Narrow"/>
                <w:sz w:val="20"/>
              </w:rPr>
            </w:pPr>
          </w:p>
        </w:tc>
        <w:tc>
          <w:tcPr>
            <w:tcW w:w="0" w:type="auto"/>
            <w:tcBorders>
              <w:top w:val="nil"/>
            </w:tcBorders>
          </w:tcPr>
          <w:p w:rsidR="00481881" w:rsidRPr="001B449A" w:rsidRDefault="00D55F94" w:rsidP="00C54D8E">
            <w:pPr>
              <w:keepNext/>
              <w:jc w:val="left"/>
              <w:rPr>
                <w:rFonts w:ascii="Arial Narrow" w:hAnsi="Arial Narrow"/>
                <w:sz w:val="20"/>
              </w:rPr>
            </w:pPr>
            <w:r w:rsidRPr="001B449A">
              <w:rPr>
                <w:rFonts w:ascii="Arial Narrow" w:hAnsi="Arial Narrow"/>
                <w:sz w:val="20"/>
              </w:rPr>
              <w:t xml:space="preserve">Cortes JE, Kim DW, </w:t>
            </w:r>
            <w:proofErr w:type="spellStart"/>
            <w:r w:rsidRPr="001B449A">
              <w:rPr>
                <w:rFonts w:ascii="Arial Narrow" w:hAnsi="Arial Narrow"/>
                <w:sz w:val="20"/>
              </w:rPr>
              <w:t>Pinilla-Ibarz</w:t>
            </w:r>
            <w:proofErr w:type="spellEnd"/>
            <w:r w:rsidRPr="001B449A">
              <w:rPr>
                <w:rFonts w:ascii="Arial Narrow" w:hAnsi="Arial Narrow"/>
                <w:sz w:val="20"/>
              </w:rPr>
              <w:t xml:space="preserve"> J, et al. A phase II trial of ponatinib in Philadelphia chromosome-positive </w:t>
            </w:r>
            <w:proofErr w:type="spellStart"/>
            <w:r w:rsidRPr="001B449A">
              <w:rPr>
                <w:rFonts w:ascii="Arial Narrow" w:hAnsi="Arial Narrow"/>
                <w:sz w:val="20"/>
              </w:rPr>
              <w:t>leukemias</w:t>
            </w:r>
            <w:proofErr w:type="spellEnd"/>
            <w:r w:rsidRPr="001B449A">
              <w:rPr>
                <w:rFonts w:ascii="Arial Narrow" w:hAnsi="Arial Narrow"/>
                <w:sz w:val="20"/>
              </w:rPr>
              <w:t>.</w:t>
            </w:r>
          </w:p>
        </w:tc>
        <w:tc>
          <w:tcPr>
            <w:tcW w:w="0" w:type="auto"/>
            <w:tcBorders>
              <w:top w:val="nil"/>
            </w:tcBorders>
          </w:tcPr>
          <w:p w:rsidR="00481881" w:rsidRPr="001B449A" w:rsidRDefault="00D55F94" w:rsidP="00C54D8E">
            <w:pPr>
              <w:keepNext/>
              <w:jc w:val="left"/>
              <w:rPr>
                <w:rFonts w:ascii="Arial Narrow" w:hAnsi="Arial Narrow"/>
                <w:sz w:val="20"/>
              </w:rPr>
            </w:pPr>
            <w:r w:rsidRPr="001B449A">
              <w:rPr>
                <w:rFonts w:ascii="Arial Narrow" w:hAnsi="Arial Narrow"/>
                <w:sz w:val="20"/>
              </w:rPr>
              <w:t>New England Journal of Medicine 2013; 369(19): 1783-1796.</w:t>
            </w:r>
          </w:p>
        </w:tc>
      </w:tr>
      <w:tr w:rsidR="00D55F94" w:rsidRPr="001B449A" w:rsidTr="00D55F94">
        <w:trPr>
          <w:trHeight w:val="879"/>
        </w:trPr>
        <w:tc>
          <w:tcPr>
            <w:tcW w:w="0" w:type="auto"/>
            <w:tcBorders>
              <w:bottom w:val="nil"/>
            </w:tcBorders>
          </w:tcPr>
          <w:p w:rsidR="00D55F94" w:rsidRPr="001B449A" w:rsidRDefault="00D55F94" w:rsidP="00C54D8E">
            <w:pPr>
              <w:keepNext/>
              <w:jc w:val="left"/>
              <w:rPr>
                <w:rFonts w:ascii="Arial Narrow" w:hAnsi="Arial Narrow"/>
                <w:sz w:val="20"/>
              </w:rPr>
            </w:pPr>
            <w:r w:rsidRPr="001B449A">
              <w:rPr>
                <w:rFonts w:ascii="Arial Narrow" w:hAnsi="Arial Narrow"/>
                <w:sz w:val="20"/>
              </w:rPr>
              <w:t>Study 101</w:t>
            </w:r>
          </w:p>
        </w:tc>
        <w:tc>
          <w:tcPr>
            <w:tcW w:w="0" w:type="auto"/>
            <w:tcBorders>
              <w:bottom w:val="nil"/>
            </w:tcBorders>
          </w:tcPr>
          <w:p w:rsidR="00D55F94" w:rsidRPr="001B449A" w:rsidRDefault="00D55F94" w:rsidP="00D55F94">
            <w:pPr>
              <w:keepNext/>
              <w:jc w:val="left"/>
              <w:rPr>
                <w:rFonts w:ascii="Arial Narrow" w:hAnsi="Arial Narrow"/>
                <w:sz w:val="20"/>
                <w:lang w:val="en-GB"/>
              </w:rPr>
            </w:pPr>
            <w:proofErr w:type="gramStart"/>
            <w:r w:rsidRPr="001B449A">
              <w:rPr>
                <w:rFonts w:ascii="Arial Narrow" w:hAnsi="Arial Narrow"/>
                <w:sz w:val="20"/>
                <w:lang w:val="en-GB"/>
              </w:rPr>
              <w:t>Phase</w:t>
            </w:r>
            <w:proofErr w:type="gramEnd"/>
            <w:r w:rsidRPr="001B449A">
              <w:rPr>
                <w:rFonts w:ascii="Arial Narrow" w:hAnsi="Arial Narrow"/>
                <w:sz w:val="20"/>
                <w:lang w:val="en-GB"/>
              </w:rPr>
              <w:t xml:space="preserve"> I open-label, nonrandomised, single-arm dose escalation study, in patients with refractory hematologic malignancies: </w:t>
            </w:r>
            <w:proofErr w:type="spellStart"/>
            <w:r w:rsidRPr="001B449A">
              <w:rPr>
                <w:rFonts w:ascii="Arial Narrow" w:hAnsi="Arial Narrow"/>
                <w:sz w:val="20"/>
                <w:lang w:val="en-GB"/>
              </w:rPr>
              <w:t>Ph</w:t>
            </w:r>
            <w:proofErr w:type="spellEnd"/>
            <w:r w:rsidRPr="001B449A">
              <w:rPr>
                <w:rFonts w:ascii="Arial Narrow" w:hAnsi="Arial Narrow"/>
                <w:sz w:val="20"/>
                <w:lang w:val="en-GB"/>
              </w:rPr>
              <w:t xml:space="preserve">+ leukaemia (CP-CML, AP-CML, BP-CML and </w:t>
            </w:r>
            <w:proofErr w:type="spellStart"/>
            <w:r w:rsidRPr="001B449A">
              <w:rPr>
                <w:rFonts w:ascii="Arial Narrow" w:hAnsi="Arial Narrow"/>
                <w:sz w:val="20"/>
                <w:lang w:val="en-GB"/>
              </w:rPr>
              <w:t>Ph</w:t>
            </w:r>
            <w:proofErr w:type="spellEnd"/>
            <w:r w:rsidRPr="001B449A">
              <w:rPr>
                <w:rFonts w:ascii="Arial Narrow" w:hAnsi="Arial Narrow"/>
                <w:sz w:val="20"/>
                <w:lang w:val="en-GB"/>
              </w:rPr>
              <w:t>+ ALL), AML, and other hematologic malignancies.</w:t>
            </w:r>
          </w:p>
        </w:tc>
        <w:tc>
          <w:tcPr>
            <w:tcW w:w="0" w:type="auto"/>
            <w:tcBorders>
              <w:bottom w:val="nil"/>
            </w:tcBorders>
          </w:tcPr>
          <w:p w:rsidR="00D55F94" w:rsidRPr="001B449A" w:rsidRDefault="00D55F94" w:rsidP="00C54D8E">
            <w:pPr>
              <w:keepNext/>
              <w:jc w:val="left"/>
              <w:rPr>
                <w:rFonts w:ascii="Arial Narrow" w:hAnsi="Arial Narrow"/>
                <w:sz w:val="20"/>
              </w:rPr>
            </w:pPr>
            <w:r w:rsidRPr="001B449A">
              <w:rPr>
                <w:rFonts w:ascii="Arial Narrow" w:hAnsi="Arial Narrow"/>
                <w:sz w:val="20"/>
              </w:rPr>
              <w:t>14 June 2012</w:t>
            </w:r>
          </w:p>
          <w:p w:rsidR="00D55F94" w:rsidRPr="001B449A" w:rsidRDefault="00D55F94" w:rsidP="00C54D8E">
            <w:pPr>
              <w:keepNext/>
              <w:jc w:val="left"/>
              <w:rPr>
                <w:rFonts w:ascii="Arial Narrow" w:hAnsi="Arial Narrow"/>
                <w:sz w:val="20"/>
                <w:lang w:val="en-GB"/>
              </w:rPr>
            </w:pPr>
          </w:p>
        </w:tc>
      </w:tr>
      <w:tr w:rsidR="00D55F94" w:rsidRPr="001B449A" w:rsidTr="00D55F94">
        <w:trPr>
          <w:trHeight w:val="878"/>
        </w:trPr>
        <w:tc>
          <w:tcPr>
            <w:tcW w:w="0" w:type="auto"/>
            <w:tcBorders>
              <w:top w:val="nil"/>
            </w:tcBorders>
          </w:tcPr>
          <w:p w:rsidR="00D55F94" w:rsidRPr="001B449A" w:rsidRDefault="00D55F94" w:rsidP="00C54D8E">
            <w:pPr>
              <w:keepNext/>
              <w:jc w:val="left"/>
              <w:rPr>
                <w:rFonts w:ascii="Arial Narrow" w:hAnsi="Arial Narrow"/>
                <w:sz w:val="20"/>
              </w:rPr>
            </w:pPr>
          </w:p>
        </w:tc>
        <w:tc>
          <w:tcPr>
            <w:tcW w:w="0" w:type="auto"/>
            <w:tcBorders>
              <w:top w:val="nil"/>
            </w:tcBorders>
          </w:tcPr>
          <w:p w:rsidR="00D55F94" w:rsidRPr="001B449A" w:rsidRDefault="00D55F94" w:rsidP="00C54D8E">
            <w:pPr>
              <w:keepNext/>
              <w:jc w:val="left"/>
              <w:rPr>
                <w:rFonts w:ascii="Arial Narrow" w:hAnsi="Arial Narrow"/>
                <w:sz w:val="20"/>
                <w:lang w:val="en-GB"/>
              </w:rPr>
            </w:pPr>
            <w:r w:rsidRPr="001B449A">
              <w:rPr>
                <w:rFonts w:ascii="Arial Narrow" w:hAnsi="Arial Narrow"/>
                <w:sz w:val="20"/>
                <w:lang w:val="en-GB"/>
              </w:rPr>
              <w:t xml:space="preserve">Cortes JE, </w:t>
            </w:r>
            <w:proofErr w:type="spellStart"/>
            <w:r w:rsidRPr="001B449A">
              <w:rPr>
                <w:rFonts w:ascii="Arial Narrow" w:hAnsi="Arial Narrow"/>
                <w:sz w:val="20"/>
                <w:lang w:val="en-GB"/>
              </w:rPr>
              <w:t>Kantarjian</w:t>
            </w:r>
            <w:proofErr w:type="spellEnd"/>
            <w:r w:rsidRPr="001B449A">
              <w:rPr>
                <w:rFonts w:ascii="Arial Narrow" w:hAnsi="Arial Narrow"/>
                <w:sz w:val="20"/>
                <w:lang w:val="en-GB"/>
              </w:rPr>
              <w:t xml:space="preserve"> H, Shah NP, et al. Ponatinib in refractory Philadelphia chromosome-positive </w:t>
            </w:r>
            <w:proofErr w:type="spellStart"/>
            <w:r w:rsidRPr="001B449A">
              <w:rPr>
                <w:rFonts w:ascii="Arial Narrow" w:hAnsi="Arial Narrow"/>
                <w:sz w:val="20"/>
                <w:lang w:val="en-GB"/>
              </w:rPr>
              <w:t>leukemias</w:t>
            </w:r>
            <w:proofErr w:type="spellEnd"/>
            <w:r w:rsidRPr="001B449A">
              <w:rPr>
                <w:rFonts w:ascii="Arial Narrow" w:hAnsi="Arial Narrow"/>
                <w:sz w:val="20"/>
                <w:lang w:val="en-GB"/>
              </w:rPr>
              <w:t>.</w:t>
            </w:r>
          </w:p>
        </w:tc>
        <w:tc>
          <w:tcPr>
            <w:tcW w:w="0" w:type="auto"/>
            <w:tcBorders>
              <w:top w:val="nil"/>
            </w:tcBorders>
          </w:tcPr>
          <w:p w:rsidR="00D55F94" w:rsidRPr="001B449A" w:rsidRDefault="00D55F94" w:rsidP="00C54D8E">
            <w:pPr>
              <w:keepNext/>
              <w:jc w:val="left"/>
              <w:rPr>
                <w:rFonts w:ascii="Arial Narrow" w:hAnsi="Arial Narrow"/>
                <w:sz w:val="20"/>
              </w:rPr>
            </w:pPr>
            <w:r w:rsidRPr="001B449A">
              <w:rPr>
                <w:rFonts w:ascii="Arial Narrow" w:hAnsi="Arial Narrow"/>
                <w:sz w:val="20"/>
                <w:lang w:val="en-GB"/>
              </w:rPr>
              <w:t>New England Journal of Medicine 2012; 367(22): 2075-2088.</w:t>
            </w:r>
          </w:p>
        </w:tc>
      </w:tr>
      <w:tr w:rsidR="00CD4AA5" w:rsidRPr="001B449A" w:rsidTr="0083695E">
        <w:tc>
          <w:tcPr>
            <w:tcW w:w="0" w:type="auto"/>
            <w:gridSpan w:val="3"/>
          </w:tcPr>
          <w:p w:rsidR="00CD4AA5" w:rsidRPr="001B449A" w:rsidRDefault="00CD4AA5" w:rsidP="00C54D8E">
            <w:pPr>
              <w:keepNext/>
              <w:jc w:val="left"/>
              <w:rPr>
                <w:rFonts w:ascii="Arial Narrow" w:hAnsi="Arial Narrow"/>
                <w:b/>
                <w:sz w:val="20"/>
              </w:rPr>
            </w:pPr>
            <w:r w:rsidRPr="001B449A">
              <w:rPr>
                <w:rFonts w:ascii="Arial Narrow" w:hAnsi="Arial Narrow"/>
                <w:b/>
                <w:sz w:val="20"/>
              </w:rPr>
              <w:t>Dasatinib studies</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Muller 2009</w:t>
            </w:r>
          </w:p>
        </w:tc>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sz w:val="20"/>
              </w:rPr>
              <w:t>Muller MC, Cortes JE, Kim DW</w:t>
            </w:r>
            <w:r w:rsidR="0083695E" w:rsidRPr="001B449A">
              <w:rPr>
                <w:rFonts w:ascii="Arial Narrow" w:hAnsi="Arial Narrow"/>
                <w:sz w:val="20"/>
              </w:rPr>
              <w:t xml:space="preserve">, </w:t>
            </w:r>
            <w:r w:rsidRPr="001B449A">
              <w:rPr>
                <w:rFonts w:ascii="Arial Narrow" w:hAnsi="Arial Narrow"/>
                <w:sz w:val="20"/>
              </w:rPr>
              <w:t xml:space="preserve">et al. Dasatinib treatment of chronic-phase chronic myeloid </w:t>
            </w:r>
            <w:proofErr w:type="spellStart"/>
            <w:r w:rsidRPr="001B449A">
              <w:rPr>
                <w:rFonts w:ascii="Arial Narrow" w:hAnsi="Arial Narrow"/>
                <w:sz w:val="20"/>
              </w:rPr>
              <w:t>leukemia</w:t>
            </w:r>
            <w:proofErr w:type="spellEnd"/>
            <w:r w:rsidRPr="001B449A">
              <w:rPr>
                <w:rFonts w:ascii="Arial Narrow" w:hAnsi="Arial Narrow"/>
                <w:sz w:val="20"/>
              </w:rPr>
              <w:t xml:space="preserve">: analysis of responses according to </w:t>
            </w:r>
            <w:proofErr w:type="spellStart"/>
            <w:r w:rsidRPr="001B449A">
              <w:rPr>
                <w:rFonts w:ascii="Arial Narrow" w:hAnsi="Arial Narrow"/>
                <w:sz w:val="20"/>
              </w:rPr>
              <w:t>preexisting</w:t>
            </w:r>
            <w:proofErr w:type="spellEnd"/>
            <w:r w:rsidRPr="001B449A">
              <w:rPr>
                <w:rFonts w:ascii="Arial Narrow" w:hAnsi="Arial Narrow"/>
                <w:sz w:val="20"/>
              </w:rPr>
              <w:t xml:space="preserve"> BCR-ABL mutations.</w:t>
            </w:r>
          </w:p>
        </w:tc>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sz w:val="20"/>
              </w:rPr>
              <w:t>Blood 2009; 114(24): 4944-4953.</w:t>
            </w:r>
          </w:p>
        </w:tc>
      </w:tr>
      <w:tr w:rsidR="00CD4AA5" w:rsidRPr="001B449A" w:rsidTr="0083695E">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Quintas-Cardama</w:t>
            </w:r>
            <w:proofErr w:type="spellEnd"/>
            <w:r w:rsidRPr="001B449A">
              <w:rPr>
                <w:rFonts w:ascii="Arial Narrow" w:hAnsi="Arial Narrow"/>
                <w:sz w:val="20"/>
              </w:rPr>
              <w:t xml:space="preserve"> 2007</w:t>
            </w:r>
          </w:p>
        </w:tc>
        <w:tc>
          <w:tcPr>
            <w:tcW w:w="0" w:type="auto"/>
          </w:tcPr>
          <w:p w:rsidR="00CD4AA5" w:rsidRPr="001B449A" w:rsidRDefault="00CD4AA5" w:rsidP="00C54D8E">
            <w:pPr>
              <w:keepNext/>
              <w:jc w:val="left"/>
              <w:rPr>
                <w:rFonts w:ascii="Arial Narrow" w:hAnsi="Arial Narrow"/>
                <w:b/>
                <w:sz w:val="20"/>
              </w:rPr>
            </w:pPr>
            <w:proofErr w:type="spellStart"/>
            <w:r w:rsidRPr="001B449A">
              <w:rPr>
                <w:rFonts w:ascii="Arial Narrow" w:hAnsi="Arial Narrow"/>
                <w:sz w:val="20"/>
              </w:rPr>
              <w:t>Quintas-Cardama</w:t>
            </w:r>
            <w:proofErr w:type="spellEnd"/>
            <w:r w:rsidRPr="001B449A">
              <w:rPr>
                <w:rFonts w:ascii="Arial Narrow" w:hAnsi="Arial Narrow"/>
                <w:sz w:val="20"/>
              </w:rPr>
              <w:t xml:space="preserve"> A, </w:t>
            </w:r>
            <w:proofErr w:type="spellStart"/>
            <w:r w:rsidRPr="001B449A">
              <w:rPr>
                <w:rFonts w:ascii="Arial Narrow" w:hAnsi="Arial Narrow"/>
                <w:sz w:val="20"/>
              </w:rPr>
              <w:t>Kantarjian</w:t>
            </w:r>
            <w:proofErr w:type="spellEnd"/>
            <w:r w:rsidRPr="001B449A">
              <w:rPr>
                <w:rFonts w:ascii="Arial Narrow" w:hAnsi="Arial Narrow"/>
                <w:sz w:val="20"/>
              </w:rPr>
              <w:t xml:space="preserve"> H, Jones D</w:t>
            </w:r>
            <w:r w:rsidR="0083695E" w:rsidRPr="001B449A">
              <w:rPr>
                <w:rFonts w:ascii="Arial Narrow" w:hAnsi="Arial Narrow"/>
                <w:sz w:val="20"/>
              </w:rPr>
              <w:t>,</w:t>
            </w:r>
            <w:r w:rsidRPr="001B449A">
              <w:rPr>
                <w:rFonts w:ascii="Arial Narrow" w:hAnsi="Arial Narrow"/>
                <w:sz w:val="20"/>
              </w:rPr>
              <w:t xml:space="preserve"> et al. Dasatinib is active in Philadelphia chromosome-positive chronic </w:t>
            </w:r>
            <w:proofErr w:type="spellStart"/>
            <w:r w:rsidRPr="001B449A">
              <w:rPr>
                <w:rFonts w:ascii="Arial Narrow" w:hAnsi="Arial Narrow"/>
                <w:sz w:val="20"/>
              </w:rPr>
              <w:t>myelogenous</w:t>
            </w:r>
            <w:proofErr w:type="spellEnd"/>
            <w:r w:rsidRPr="001B449A">
              <w:rPr>
                <w:rFonts w:ascii="Arial Narrow" w:hAnsi="Arial Narrow"/>
                <w:sz w:val="20"/>
              </w:rPr>
              <w:t xml:space="preserve"> </w:t>
            </w:r>
            <w:proofErr w:type="spellStart"/>
            <w:r w:rsidRPr="001B449A">
              <w:rPr>
                <w:rFonts w:ascii="Arial Narrow" w:hAnsi="Arial Narrow"/>
                <w:sz w:val="20"/>
              </w:rPr>
              <w:t>leukemia</w:t>
            </w:r>
            <w:proofErr w:type="spellEnd"/>
            <w:r w:rsidRPr="001B449A">
              <w:rPr>
                <w:rFonts w:ascii="Arial Narrow" w:hAnsi="Arial Narrow"/>
                <w:sz w:val="20"/>
              </w:rPr>
              <w:t xml:space="preserve"> after imatinib and nilotinib therapy failure.</w:t>
            </w:r>
          </w:p>
        </w:tc>
        <w:tc>
          <w:tcPr>
            <w:tcW w:w="0" w:type="auto"/>
          </w:tcPr>
          <w:p w:rsidR="00CD4AA5" w:rsidRPr="001B449A" w:rsidRDefault="00CD4AA5" w:rsidP="00C54D8E">
            <w:pPr>
              <w:keepNext/>
              <w:jc w:val="left"/>
              <w:rPr>
                <w:rFonts w:ascii="Arial Narrow" w:hAnsi="Arial Narrow"/>
                <w:b/>
                <w:sz w:val="20"/>
              </w:rPr>
            </w:pPr>
            <w:r w:rsidRPr="001B449A">
              <w:rPr>
                <w:rFonts w:ascii="Arial Narrow" w:hAnsi="Arial Narrow"/>
                <w:sz w:val="20"/>
              </w:rPr>
              <w:t>Blood 2007; 109(2): 497-499.</w:t>
            </w:r>
          </w:p>
        </w:tc>
      </w:tr>
      <w:tr w:rsidR="00CD4AA5" w:rsidRPr="001B449A" w:rsidTr="0083695E">
        <w:tc>
          <w:tcPr>
            <w:tcW w:w="0" w:type="auto"/>
            <w:gridSpan w:val="3"/>
          </w:tcPr>
          <w:p w:rsidR="00CD4AA5" w:rsidRPr="001B449A" w:rsidRDefault="00CD4AA5" w:rsidP="00C54D8E">
            <w:pPr>
              <w:keepNext/>
              <w:jc w:val="left"/>
              <w:rPr>
                <w:rFonts w:ascii="Arial Narrow" w:hAnsi="Arial Narrow"/>
                <w:b/>
                <w:sz w:val="20"/>
              </w:rPr>
            </w:pPr>
            <w:r w:rsidRPr="001B449A">
              <w:rPr>
                <w:rFonts w:ascii="Arial Narrow" w:hAnsi="Arial Narrow"/>
                <w:b/>
                <w:sz w:val="20"/>
              </w:rPr>
              <w:t>Nilotinib studies</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Giles 2010</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Giles FJ, </w:t>
            </w:r>
            <w:proofErr w:type="spellStart"/>
            <w:r w:rsidRPr="001B449A">
              <w:rPr>
                <w:rFonts w:ascii="Arial Narrow" w:hAnsi="Arial Narrow"/>
                <w:sz w:val="20"/>
              </w:rPr>
              <w:t>Abruzzese</w:t>
            </w:r>
            <w:proofErr w:type="spellEnd"/>
            <w:r w:rsidRPr="001B449A">
              <w:rPr>
                <w:rFonts w:ascii="Arial Narrow" w:hAnsi="Arial Narrow"/>
                <w:sz w:val="20"/>
              </w:rPr>
              <w:t xml:space="preserve"> E, </w:t>
            </w:r>
            <w:proofErr w:type="spellStart"/>
            <w:r w:rsidRPr="001B449A">
              <w:rPr>
                <w:rFonts w:ascii="Arial Narrow" w:hAnsi="Arial Narrow"/>
                <w:sz w:val="20"/>
              </w:rPr>
              <w:t>Rosti</w:t>
            </w:r>
            <w:proofErr w:type="spellEnd"/>
            <w:r w:rsidRPr="001B449A">
              <w:rPr>
                <w:rFonts w:ascii="Arial Narrow" w:hAnsi="Arial Narrow"/>
                <w:sz w:val="20"/>
              </w:rPr>
              <w:t xml:space="preserve"> G, </w:t>
            </w:r>
            <w:r w:rsidR="00D72B6C" w:rsidRPr="001B449A">
              <w:rPr>
                <w:rFonts w:ascii="Arial Narrow" w:hAnsi="Arial Narrow"/>
                <w:sz w:val="20"/>
              </w:rPr>
              <w:t>et al</w:t>
            </w:r>
            <w:r w:rsidRPr="001B449A">
              <w:rPr>
                <w:rFonts w:ascii="Arial Narrow" w:hAnsi="Arial Narrow"/>
                <w:sz w:val="20"/>
              </w:rPr>
              <w:t xml:space="preserve">. Nilotinib is active in chronic and accelerated phase chronic myeloid </w:t>
            </w:r>
            <w:proofErr w:type="spellStart"/>
            <w:r w:rsidRPr="001B449A">
              <w:rPr>
                <w:rFonts w:ascii="Arial Narrow" w:hAnsi="Arial Narrow"/>
                <w:sz w:val="20"/>
              </w:rPr>
              <w:t>leukemia</w:t>
            </w:r>
            <w:proofErr w:type="spellEnd"/>
            <w:r w:rsidRPr="001B449A">
              <w:rPr>
                <w:rFonts w:ascii="Arial Narrow" w:hAnsi="Arial Narrow"/>
                <w:sz w:val="20"/>
              </w:rPr>
              <w:t xml:space="preserve"> following failure of imatinib and dasatinib therapy.</w:t>
            </w:r>
          </w:p>
        </w:tc>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Leukemia</w:t>
            </w:r>
            <w:proofErr w:type="spellEnd"/>
            <w:r w:rsidRPr="001B449A">
              <w:rPr>
                <w:rFonts w:ascii="Arial Narrow" w:hAnsi="Arial Narrow"/>
                <w:sz w:val="20"/>
              </w:rPr>
              <w:t xml:space="preserve"> 2010; 24(7): 1299-1301.</w:t>
            </w:r>
            <w:r w:rsidR="00D72B6C" w:rsidRPr="001B449A" w:rsidDel="00D72B6C">
              <w:rPr>
                <w:rFonts w:ascii="Arial Narrow" w:hAnsi="Arial Narrow"/>
                <w:sz w:val="20"/>
              </w:rPr>
              <w:t xml:space="preserve"> </w:t>
            </w:r>
          </w:p>
        </w:tc>
      </w:tr>
      <w:tr w:rsidR="00CD4AA5" w:rsidRPr="001B449A" w:rsidTr="0083695E">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Nicolini</w:t>
            </w:r>
            <w:proofErr w:type="spellEnd"/>
            <w:r w:rsidRPr="001B449A">
              <w:rPr>
                <w:rFonts w:ascii="Arial Narrow" w:hAnsi="Arial Narrow"/>
                <w:sz w:val="20"/>
              </w:rPr>
              <w:t xml:space="preserve"> 2009</w:t>
            </w:r>
          </w:p>
          <w:p w:rsidR="00661DBE" w:rsidRPr="001B449A" w:rsidRDefault="00661DBE" w:rsidP="00C54D8E">
            <w:pPr>
              <w:keepNext/>
              <w:jc w:val="left"/>
              <w:rPr>
                <w:rFonts w:ascii="Arial Narrow" w:hAnsi="Arial Narrow"/>
                <w:sz w:val="20"/>
              </w:rPr>
            </w:pPr>
            <w:r w:rsidRPr="001B449A">
              <w:rPr>
                <w:rFonts w:ascii="Arial Narrow" w:hAnsi="Arial Narrow"/>
                <w:sz w:val="20"/>
              </w:rPr>
              <w:t>[abstract]</w:t>
            </w:r>
          </w:p>
        </w:tc>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Nicolini</w:t>
            </w:r>
            <w:proofErr w:type="spellEnd"/>
            <w:r w:rsidRPr="001B449A">
              <w:rPr>
                <w:rFonts w:ascii="Arial Narrow" w:hAnsi="Arial Narrow"/>
                <w:sz w:val="20"/>
              </w:rPr>
              <w:t xml:space="preserve"> FE, </w:t>
            </w:r>
            <w:proofErr w:type="spellStart"/>
            <w:r w:rsidRPr="001B449A">
              <w:rPr>
                <w:rFonts w:ascii="Arial Narrow" w:hAnsi="Arial Narrow"/>
                <w:sz w:val="20"/>
              </w:rPr>
              <w:t>Alimena</w:t>
            </w:r>
            <w:proofErr w:type="spellEnd"/>
            <w:r w:rsidRPr="001B449A">
              <w:rPr>
                <w:rFonts w:ascii="Arial Narrow" w:hAnsi="Arial Narrow"/>
                <w:sz w:val="20"/>
              </w:rPr>
              <w:t xml:space="preserve"> G, Al-Ali HK</w:t>
            </w:r>
            <w:r w:rsidR="0083695E" w:rsidRPr="001B449A">
              <w:rPr>
                <w:rFonts w:ascii="Arial Narrow" w:hAnsi="Arial Narrow"/>
                <w:sz w:val="20"/>
              </w:rPr>
              <w:t>,</w:t>
            </w:r>
            <w:r w:rsidRPr="001B449A">
              <w:rPr>
                <w:rFonts w:ascii="Arial Narrow" w:hAnsi="Arial Narrow"/>
                <w:sz w:val="20"/>
              </w:rPr>
              <w:t xml:space="preserve"> et al. Expanding nilotinib access in clinical trials (ENACT) study in adult patients with imatinib-resistant or -intolerant chronic myeloid </w:t>
            </w:r>
            <w:proofErr w:type="spellStart"/>
            <w:r w:rsidRPr="001B449A">
              <w:rPr>
                <w:rFonts w:ascii="Arial Narrow" w:hAnsi="Arial Narrow"/>
                <w:sz w:val="20"/>
              </w:rPr>
              <w:t>leukemia</w:t>
            </w:r>
            <w:proofErr w:type="spellEnd"/>
            <w:r w:rsidRPr="001B449A">
              <w:rPr>
                <w:rFonts w:ascii="Arial Narrow" w:hAnsi="Arial Narrow"/>
                <w:sz w:val="20"/>
              </w:rPr>
              <w:t>: subgroup analysis of patients who failed prior dasatinib therapy.</w:t>
            </w:r>
          </w:p>
        </w:tc>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Haematologica</w:t>
            </w:r>
            <w:proofErr w:type="spellEnd"/>
            <w:r w:rsidRPr="001B449A">
              <w:rPr>
                <w:rFonts w:ascii="Arial Narrow" w:hAnsi="Arial Narrow"/>
                <w:sz w:val="20"/>
              </w:rPr>
              <w:t xml:space="preserve"> 2009; 94: 257.</w:t>
            </w:r>
          </w:p>
        </w:tc>
      </w:tr>
      <w:tr w:rsidR="00CD4AA5" w:rsidRPr="001B449A" w:rsidTr="0083695E">
        <w:tc>
          <w:tcPr>
            <w:tcW w:w="0" w:type="auto"/>
            <w:gridSpan w:val="3"/>
          </w:tcPr>
          <w:p w:rsidR="00CD4AA5" w:rsidRPr="001B449A" w:rsidRDefault="00CD4AA5" w:rsidP="00C54D8E">
            <w:pPr>
              <w:keepNext/>
              <w:jc w:val="left"/>
              <w:rPr>
                <w:rFonts w:ascii="Arial Narrow" w:hAnsi="Arial Narrow"/>
                <w:b/>
                <w:sz w:val="20"/>
              </w:rPr>
            </w:pPr>
            <w:r w:rsidRPr="001B449A">
              <w:rPr>
                <w:rFonts w:ascii="Arial Narrow" w:hAnsi="Arial Narrow"/>
                <w:b/>
                <w:sz w:val="20"/>
              </w:rPr>
              <w:t>Dasatinib and nilotinib studies</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Garcia-Gutierrez 2012</w:t>
            </w:r>
          </w:p>
          <w:p w:rsidR="00661DBE" w:rsidRPr="001B449A" w:rsidRDefault="00661DBE" w:rsidP="00C54D8E">
            <w:pPr>
              <w:keepNext/>
              <w:jc w:val="left"/>
              <w:rPr>
                <w:rFonts w:ascii="Arial Narrow" w:hAnsi="Arial Narrow"/>
                <w:sz w:val="20"/>
              </w:rPr>
            </w:pPr>
            <w:r w:rsidRPr="001B449A">
              <w:rPr>
                <w:rFonts w:ascii="Arial Narrow" w:hAnsi="Arial Narrow"/>
                <w:sz w:val="20"/>
              </w:rPr>
              <w:t>[abstract]</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Garcia-Gutierrez JV, Maestro B, </w:t>
            </w:r>
            <w:proofErr w:type="spellStart"/>
            <w:r w:rsidRPr="001B449A">
              <w:rPr>
                <w:rFonts w:ascii="Arial Narrow" w:hAnsi="Arial Narrow"/>
                <w:sz w:val="20"/>
              </w:rPr>
              <w:t>Casado</w:t>
            </w:r>
            <w:proofErr w:type="spellEnd"/>
            <w:r w:rsidRPr="001B449A">
              <w:rPr>
                <w:rFonts w:ascii="Arial Narrow" w:hAnsi="Arial Narrow"/>
                <w:sz w:val="20"/>
              </w:rPr>
              <w:t xml:space="preserve"> LF, </w:t>
            </w:r>
            <w:r w:rsidR="00D72B6C" w:rsidRPr="001B449A">
              <w:rPr>
                <w:rFonts w:ascii="Arial Narrow" w:hAnsi="Arial Narrow"/>
                <w:sz w:val="20"/>
              </w:rPr>
              <w:t>et al</w:t>
            </w:r>
            <w:r w:rsidRPr="001B449A">
              <w:rPr>
                <w:rFonts w:ascii="Arial Narrow" w:hAnsi="Arial Narrow"/>
                <w:sz w:val="20"/>
              </w:rPr>
              <w:t xml:space="preserve">. Outcomes of chronic myeloid </w:t>
            </w:r>
            <w:proofErr w:type="spellStart"/>
            <w:r w:rsidRPr="001B449A">
              <w:rPr>
                <w:rFonts w:ascii="Arial Narrow" w:hAnsi="Arial Narrow"/>
                <w:sz w:val="20"/>
              </w:rPr>
              <w:t>leukemia</w:t>
            </w:r>
            <w:proofErr w:type="spellEnd"/>
            <w:r w:rsidRPr="001B449A">
              <w:rPr>
                <w:rFonts w:ascii="Arial Narrow" w:hAnsi="Arial Narrow"/>
                <w:sz w:val="20"/>
              </w:rPr>
              <w:t xml:space="preserve"> patients who stopped second generation tyrosine kinase inhibitors as </w:t>
            </w:r>
            <w:r w:rsidR="0072397A" w:rsidRPr="001B449A">
              <w:rPr>
                <w:rFonts w:ascii="Arial Narrow" w:hAnsi="Arial Narrow"/>
                <w:sz w:val="20"/>
              </w:rPr>
              <w:t>second-</w:t>
            </w:r>
            <w:r w:rsidRPr="001B449A">
              <w:rPr>
                <w:rFonts w:ascii="Arial Narrow" w:hAnsi="Arial Narrow"/>
                <w:sz w:val="20"/>
              </w:rPr>
              <w:t>line treatment. Results of the CML Spanish National Registry.</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ASH Annual Meeting Abstracts 2012; 120(21): 3764.</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Garg 2009</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Garg RJ, </w:t>
            </w:r>
            <w:proofErr w:type="spellStart"/>
            <w:r w:rsidRPr="001B449A">
              <w:rPr>
                <w:rFonts w:ascii="Arial Narrow" w:hAnsi="Arial Narrow"/>
                <w:sz w:val="20"/>
              </w:rPr>
              <w:t>Kantarjian</w:t>
            </w:r>
            <w:proofErr w:type="spellEnd"/>
            <w:r w:rsidRPr="001B449A">
              <w:rPr>
                <w:rFonts w:ascii="Arial Narrow" w:hAnsi="Arial Narrow"/>
                <w:sz w:val="20"/>
              </w:rPr>
              <w:t xml:space="preserve"> H, O’Brien S, </w:t>
            </w:r>
            <w:r w:rsidR="00D72B6C" w:rsidRPr="001B449A">
              <w:rPr>
                <w:rFonts w:ascii="Arial Narrow" w:hAnsi="Arial Narrow"/>
                <w:sz w:val="20"/>
              </w:rPr>
              <w:t>et al</w:t>
            </w:r>
            <w:r w:rsidRPr="001B449A">
              <w:rPr>
                <w:rFonts w:ascii="Arial Narrow" w:hAnsi="Arial Narrow"/>
                <w:sz w:val="20"/>
              </w:rPr>
              <w:t>. The use of nilotinib or dasatinib after failure to two prior tyrosine kinase inhibitors: long-term follow up.</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Blood 2009; 114(20): 4361-4368. </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Ibrahim 2010</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Ibrahim AR, </w:t>
            </w:r>
            <w:proofErr w:type="spellStart"/>
            <w:r w:rsidRPr="001B449A">
              <w:rPr>
                <w:rFonts w:ascii="Arial Narrow" w:hAnsi="Arial Narrow"/>
                <w:sz w:val="20"/>
              </w:rPr>
              <w:t>Paliompeis</w:t>
            </w:r>
            <w:proofErr w:type="spellEnd"/>
            <w:r w:rsidRPr="001B449A">
              <w:rPr>
                <w:rFonts w:ascii="Arial Narrow" w:hAnsi="Arial Narrow"/>
                <w:sz w:val="20"/>
              </w:rPr>
              <w:t xml:space="preserve"> C, Bua M</w:t>
            </w:r>
            <w:r w:rsidR="00D72B6C" w:rsidRPr="001B449A">
              <w:rPr>
                <w:rFonts w:ascii="Arial Narrow" w:hAnsi="Arial Narrow"/>
                <w:sz w:val="20"/>
              </w:rPr>
              <w:t>, et al</w:t>
            </w:r>
            <w:r w:rsidRPr="001B449A">
              <w:rPr>
                <w:rFonts w:ascii="Arial Narrow" w:hAnsi="Arial Narrow"/>
                <w:sz w:val="20"/>
              </w:rPr>
              <w:t xml:space="preserve">. Efﬁcacy of tyrosine kinase inhibitors (TKI) as third-line therapy in patients with chronic myeloid </w:t>
            </w:r>
            <w:proofErr w:type="spellStart"/>
            <w:r w:rsidRPr="001B449A">
              <w:rPr>
                <w:rFonts w:ascii="Arial Narrow" w:hAnsi="Arial Narrow"/>
                <w:sz w:val="20"/>
              </w:rPr>
              <w:t>leukemia</w:t>
            </w:r>
            <w:proofErr w:type="spellEnd"/>
            <w:r w:rsidRPr="001B449A">
              <w:rPr>
                <w:rFonts w:ascii="Arial Narrow" w:hAnsi="Arial Narrow"/>
                <w:sz w:val="20"/>
              </w:rPr>
              <w:t xml:space="preserve"> in chronic phase who have failed 2 prior lines of TKI therapy.</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Blood 2010: 116(25): 5497-5500.</w:t>
            </w:r>
          </w:p>
        </w:tc>
      </w:tr>
      <w:tr w:rsidR="00CD4AA5" w:rsidRPr="001B449A" w:rsidTr="0083695E">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Rossi 2013</w:t>
            </w:r>
          </w:p>
        </w:tc>
        <w:tc>
          <w:tcPr>
            <w:tcW w:w="0" w:type="auto"/>
          </w:tcPr>
          <w:p w:rsidR="00CD4AA5" w:rsidRPr="001B449A" w:rsidRDefault="00CD4AA5" w:rsidP="00C54D8E">
            <w:pPr>
              <w:keepNext/>
              <w:jc w:val="left"/>
              <w:rPr>
                <w:rFonts w:ascii="Arial Narrow" w:hAnsi="Arial Narrow"/>
                <w:sz w:val="20"/>
              </w:rPr>
            </w:pPr>
            <w:r w:rsidRPr="001B449A">
              <w:rPr>
                <w:rFonts w:ascii="Arial Narrow" w:hAnsi="Arial Narrow"/>
                <w:sz w:val="20"/>
              </w:rPr>
              <w:t xml:space="preserve">Rossi AR, Breccia M, </w:t>
            </w:r>
            <w:proofErr w:type="spellStart"/>
            <w:r w:rsidRPr="001B449A">
              <w:rPr>
                <w:rFonts w:ascii="Arial Narrow" w:hAnsi="Arial Narrow"/>
                <w:sz w:val="20"/>
              </w:rPr>
              <w:t>Abruzzese</w:t>
            </w:r>
            <w:proofErr w:type="spellEnd"/>
            <w:r w:rsidRPr="001B449A">
              <w:rPr>
                <w:rFonts w:ascii="Arial Narrow" w:hAnsi="Arial Narrow"/>
                <w:sz w:val="20"/>
              </w:rPr>
              <w:t xml:space="preserve"> E</w:t>
            </w:r>
            <w:r w:rsidR="0083695E" w:rsidRPr="001B449A">
              <w:rPr>
                <w:rFonts w:ascii="Arial Narrow" w:hAnsi="Arial Narrow"/>
                <w:sz w:val="20"/>
              </w:rPr>
              <w:t>,</w:t>
            </w:r>
            <w:r w:rsidRPr="001B449A">
              <w:rPr>
                <w:rFonts w:ascii="Arial Narrow" w:hAnsi="Arial Narrow"/>
                <w:sz w:val="20"/>
              </w:rPr>
              <w:t xml:space="preserve"> et al. Outcome of 82 chronic myeloid </w:t>
            </w:r>
            <w:proofErr w:type="spellStart"/>
            <w:r w:rsidRPr="001B449A">
              <w:rPr>
                <w:rFonts w:ascii="Arial Narrow" w:hAnsi="Arial Narrow"/>
                <w:sz w:val="20"/>
              </w:rPr>
              <w:t>leukemia</w:t>
            </w:r>
            <w:proofErr w:type="spellEnd"/>
            <w:r w:rsidRPr="001B449A">
              <w:rPr>
                <w:rFonts w:ascii="Arial Narrow" w:hAnsi="Arial Narrow"/>
                <w:sz w:val="20"/>
              </w:rPr>
              <w:t xml:space="preserve"> patients treated with nilotinib or dasatinib after failure of two prior tyrosine kinase inhibitors.</w:t>
            </w:r>
          </w:p>
        </w:tc>
        <w:tc>
          <w:tcPr>
            <w:tcW w:w="0" w:type="auto"/>
          </w:tcPr>
          <w:p w:rsidR="00CD4AA5" w:rsidRPr="001B449A" w:rsidRDefault="00CD4AA5" w:rsidP="00C54D8E">
            <w:pPr>
              <w:keepNext/>
              <w:jc w:val="left"/>
              <w:rPr>
                <w:rFonts w:ascii="Arial Narrow" w:hAnsi="Arial Narrow"/>
                <w:sz w:val="20"/>
              </w:rPr>
            </w:pPr>
            <w:proofErr w:type="spellStart"/>
            <w:r w:rsidRPr="001B449A">
              <w:rPr>
                <w:rFonts w:ascii="Arial Narrow" w:hAnsi="Arial Narrow"/>
                <w:sz w:val="20"/>
              </w:rPr>
              <w:t>Haematologica</w:t>
            </w:r>
            <w:proofErr w:type="spellEnd"/>
            <w:r w:rsidRPr="001B449A">
              <w:rPr>
                <w:rFonts w:ascii="Arial Narrow" w:hAnsi="Arial Narrow"/>
                <w:sz w:val="20"/>
              </w:rPr>
              <w:t xml:space="preserve"> 2013; 98(3): 399-403.</w:t>
            </w:r>
          </w:p>
        </w:tc>
      </w:tr>
    </w:tbl>
    <w:p w:rsidR="00CD4AA5" w:rsidRPr="001B449A" w:rsidRDefault="00CD4AA5" w:rsidP="00C54D8E">
      <w:pPr>
        <w:pStyle w:val="TableFooter"/>
        <w:keepNext/>
        <w:ind w:firstLine="720"/>
      </w:pPr>
      <w:r w:rsidRPr="001B449A">
        <w:t xml:space="preserve">Source: Table 6, pp50-51 and Table 9, pp53-55 of the submission </w:t>
      </w:r>
    </w:p>
    <w:p w:rsidR="00CD4AA5" w:rsidRPr="001B449A" w:rsidRDefault="00CD4AA5" w:rsidP="00C54D8E">
      <w:pPr>
        <w:pStyle w:val="TableFooter"/>
        <w:keepNext/>
        <w:ind w:left="720"/>
      </w:pPr>
      <w:r w:rsidRPr="001B449A">
        <w:t>ALL = acute lymphoblastic leukaemia; AML = acute myeloid leukaemia; AP = accelerated phase; BP = blast phase</w:t>
      </w:r>
      <w:r w:rsidR="00F15981" w:rsidRPr="001B449A">
        <w:t>/crisis</w:t>
      </w:r>
      <w:r w:rsidRPr="001B449A">
        <w:t xml:space="preserve">; CML = chronic myeloid leukaemia; CP = chronic phase; </w:t>
      </w:r>
      <w:proofErr w:type="spellStart"/>
      <w:r w:rsidRPr="001B449A">
        <w:t>Ph</w:t>
      </w:r>
      <w:proofErr w:type="spellEnd"/>
      <w:r w:rsidRPr="001B449A">
        <w:t>+ = Philadelphia chromosome positive; TKI = tyrosine kinase inhibitor</w:t>
      </w:r>
    </w:p>
    <w:p w:rsidR="00CD4AA5" w:rsidRDefault="00CD4AA5" w:rsidP="001225A8">
      <w:pPr>
        <w:pStyle w:val="ListParagraph"/>
        <w:widowControl/>
        <w:rPr>
          <w:rStyle w:val="CommentReference"/>
        </w:rPr>
      </w:pPr>
    </w:p>
    <w:p w:rsidR="00CD4AA5" w:rsidRPr="001B449A" w:rsidRDefault="00CD4AA5" w:rsidP="009F0D55">
      <w:pPr>
        <w:pStyle w:val="ListParagraph"/>
        <w:widowControl/>
        <w:numPr>
          <w:ilvl w:val="1"/>
          <w:numId w:val="12"/>
        </w:numPr>
        <w:ind w:left="720" w:hanging="720"/>
        <w:rPr>
          <w:szCs w:val="22"/>
        </w:rPr>
      </w:pPr>
      <w:r w:rsidRPr="001B449A">
        <w:rPr>
          <w:szCs w:val="22"/>
        </w:rPr>
        <w:t>The key features of the non</w:t>
      </w:r>
      <w:r w:rsidR="00113580">
        <w:rPr>
          <w:szCs w:val="22"/>
        </w:rPr>
        <w:t>randomised studies were</w:t>
      </w:r>
      <w:r w:rsidRPr="001B449A">
        <w:rPr>
          <w:szCs w:val="22"/>
        </w:rPr>
        <w:t xml:space="preserve"> summarised in </w:t>
      </w:r>
      <w:r w:rsidR="00D55F94">
        <w:rPr>
          <w:szCs w:val="22"/>
        </w:rPr>
        <w:t>the following table.</w:t>
      </w:r>
      <w:r w:rsidRPr="001B449A">
        <w:rPr>
          <w:szCs w:val="22"/>
        </w:rPr>
        <w:t xml:space="preserve">  </w:t>
      </w:r>
    </w:p>
    <w:p w:rsidR="00CD4AA5" w:rsidRPr="001B449A" w:rsidRDefault="00CD4AA5" w:rsidP="00CD4AA5">
      <w:pPr>
        <w:pStyle w:val="ListParagraph"/>
        <w:widowControl/>
        <w:rPr>
          <w:szCs w:val="22"/>
        </w:rPr>
      </w:pPr>
    </w:p>
    <w:p w:rsidR="00CD4AA5" w:rsidRPr="001B449A" w:rsidRDefault="00CD4AA5" w:rsidP="009C0C48">
      <w:pPr>
        <w:keepNext/>
        <w:ind w:firstLine="720"/>
        <w:rPr>
          <w:rStyle w:val="CommentReference"/>
        </w:rPr>
      </w:pPr>
      <w:r w:rsidRPr="001B449A">
        <w:rPr>
          <w:rStyle w:val="CommentReference"/>
        </w:rPr>
        <w:lastRenderedPageBreak/>
        <w:t>Key features of the nonrandomised studies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4"/>
        <w:gridCol w:w="330"/>
        <w:gridCol w:w="1629"/>
        <w:gridCol w:w="566"/>
        <w:gridCol w:w="2836"/>
        <w:gridCol w:w="2250"/>
      </w:tblGrid>
      <w:tr w:rsidR="003375AE" w:rsidRPr="001B449A" w:rsidTr="00A65FAC">
        <w:trPr>
          <w:cantSplit/>
          <w:tblHeader/>
        </w:trPr>
        <w:tc>
          <w:tcPr>
            <w:tcW w:w="440" w:type="pct"/>
            <w:shd w:val="clear" w:color="auto" w:fill="auto"/>
            <w:vAlign w:val="center"/>
          </w:tcPr>
          <w:p w:rsidR="00CD4AA5" w:rsidRPr="001B449A" w:rsidRDefault="00D05806" w:rsidP="009C0C48">
            <w:pPr>
              <w:keepNext/>
              <w:jc w:val="left"/>
              <w:rPr>
                <w:rFonts w:ascii="Arial Narrow" w:hAnsi="Arial Narrow"/>
                <w:b/>
                <w:sz w:val="20"/>
                <w:lang w:val="en-US"/>
              </w:rPr>
            </w:pPr>
            <w:r w:rsidRPr="001B449A">
              <w:rPr>
                <w:rFonts w:ascii="Arial Narrow" w:hAnsi="Arial Narrow"/>
                <w:b/>
                <w:sz w:val="20"/>
                <w:lang w:val="en-US"/>
              </w:rPr>
              <w:t>Study</w:t>
            </w:r>
          </w:p>
        </w:tc>
        <w:tc>
          <w:tcPr>
            <w:tcW w:w="198" w:type="pct"/>
            <w:shd w:val="clear" w:color="auto" w:fill="auto"/>
            <w:vAlign w:val="center"/>
          </w:tcPr>
          <w:p w:rsidR="00CD4AA5" w:rsidRPr="001B449A" w:rsidRDefault="00CD4AA5" w:rsidP="009C0C48">
            <w:pPr>
              <w:keepNext/>
              <w:jc w:val="center"/>
              <w:rPr>
                <w:rFonts w:ascii="Arial Narrow" w:hAnsi="Arial Narrow"/>
                <w:b/>
                <w:sz w:val="20"/>
                <w:lang w:val="en-US"/>
              </w:rPr>
            </w:pPr>
            <w:r w:rsidRPr="001B449A">
              <w:rPr>
                <w:rFonts w:ascii="Arial Narrow" w:hAnsi="Arial Narrow"/>
                <w:b/>
                <w:sz w:val="20"/>
                <w:lang w:val="en-US"/>
              </w:rPr>
              <w:t>N</w:t>
            </w:r>
          </w:p>
        </w:tc>
        <w:tc>
          <w:tcPr>
            <w:tcW w:w="976" w:type="pct"/>
            <w:shd w:val="clear" w:color="auto" w:fill="auto"/>
            <w:vAlign w:val="center"/>
          </w:tcPr>
          <w:p w:rsidR="00CD4AA5" w:rsidRPr="001B449A" w:rsidRDefault="00CD4AA5" w:rsidP="009C0C48">
            <w:pPr>
              <w:keepNext/>
              <w:jc w:val="left"/>
              <w:rPr>
                <w:rFonts w:ascii="Arial Narrow" w:hAnsi="Arial Narrow"/>
                <w:b/>
                <w:sz w:val="20"/>
                <w:lang w:val="en-US"/>
              </w:rPr>
            </w:pPr>
            <w:r w:rsidRPr="001B449A">
              <w:rPr>
                <w:rFonts w:ascii="Arial Narrow" w:hAnsi="Arial Narrow"/>
                <w:b/>
                <w:sz w:val="20"/>
                <w:lang w:val="en-US"/>
              </w:rPr>
              <w:t xml:space="preserve">Design/ </w:t>
            </w:r>
          </w:p>
          <w:p w:rsidR="00CD4AA5" w:rsidRPr="001B449A" w:rsidRDefault="00CD4AA5" w:rsidP="009C0C48">
            <w:pPr>
              <w:keepNext/>
              <w:jc w:val="left"/>
              <w:rPr>
                <w:rFonts w:ascii="Arial Narrow" w:hAnsi="Arial Narrow"/>
                <w:b/>
                <w:sz w:val="20"/>
                <w:lang w:val="en-US"/>
              </w:rPr>
            </w:pPr>
            <w:r w:rsidRPr="001B449A">
              <w:rPr>
                <w:rFonts w:ascii="Arial Narrow" w:hAnsi="Arial Narrow"/>
                <w:b/>
                <w:sz w:val="20"/>
                <w:lang w:val="en-US"/>
              </w:rPr>
              <w:t>Median follow-up</w:t>
            </w:r>
          </w:p>
        </w:tc>
        <w:tc>
          <w:tcPr>
            <w:tcW w:w="339" w:type="pct"/>
            <w:shd w:val="clear" w:color="auto" w:fill="auto"/>
            <w:vAlign w:val="center"/>
          </w:tcPr>
          <w:p w:rsidR="00CD4AA5" w:rsidRPr="001B449A" w:rsidRDefault="00CD4AA5" w:rsidP="009C0C48">
            <w:pPr>
              <w:keepNext/>
              <w:jc w:val="center"/>
              <w:rPr>
                <w:rFonts w:ascii="Arial Narrow" w:hAnsi="Arial Narrow"/>
                <w:b/>
                <w:sz w:val="20"/>
                <w:lang w:val="en-US"/>
              </w:rPr>
            </w:pPr>
            <w:r w:rsidRPr="001B449A">
              <w:rPr>
                <w:rFonts w:ascii="Arial Narrow" w:hAnsi="Arial Narrow"/>
                <w:b/>
                <w:sz w:val="20"/>
                <w:lang w:val="en-US"/>
              </w:rPr>
              <w:t>Risk of bias</w:t>
            </w:r>
          </w:p>
        </w:tc>
        <w:tc>
          <w:tcPr>
            <w:tcW w:w="1699" w:type="pct"/>
            <w:shd w:val="clear" w:color="auto" w:fill="auto"/>
            <w:vAlign w:val="center"/>
          </w:tcPr>
          <w:p w:rsidR="00CD4AA5" w:rsidRPr="001B449A" w:rsidRDefault="00CD4AA5" w:rsidP="009C0C48">
            <w:pPr>
              <w:keepNext/>
              <w:jc w:val="left"/>
              <w:rPr>
                <w:rFonts w:ascii="Arial Narrow" w:hAnsi="Arial Narrow"/>
                <w:b/>
                <w:sz w:val="20"/>
                <w:lang w:val="en-US"/>
              </w:rPr>
            </w:pPr>
            <w:r w:rsidRPr="001B449A">
              <w:rPr>
                <w:rFonts w:ascii="Arial Narrow" w:hAnsi="Arial Narrow"/>
                <w:b/>
                <w:sz w:val="20"/>
                <w:lang w:val="en-US"/>
              </w:rPr>
              <w:t>Patient population</w:t>
            </w:r>
          </w:p>
        </w:tc>
        <w:tc>
          <w:tcPr>
            <w:tcW w:w="1348" w:type="pct"/>
            <w:shd w:val="clear" w:color="auto" w:fill="auto"/>
            <w:vAlign w:val="center"/>
          </w:tcPr>
          <w:p w:rsidR="00CD4AA5" w:rsidRPr="001B449A" w:rsidRDefault="00CD4AA5" w:rsidP="009C0C48">
            <w:pPr>
              <w:keepNext/>
              <w:jc w:val="left"/>
              <w:rPr>
                <w:rFonts w:ascii="Arial Narrow" w:hAnsi="Arial Narrow"/>
                <w:b/>
                <w:sz w:val="20"/>
                <w:lang w:val="en-US"/>
              </w:rPr>
            </w:pPr>
            <w:r w:rsidRPr="001B449A">
              <w:rPr>
                <w:rFonts w:ascii="Arial Narrow" w:hAnsi="Arial Narrow"/>
                <w:b/>
                <w:sz w:val="20"/>
                <w:lang w:val="en-US"/>
              </w:rPr>
              <w:t>Outcomes</w:t>
            </w:r>
          </w:p>
        </w:tc>
      </w:tr>
      <w:tr w:rsidR="00CD4AA5" w:rsidRPr="001B449A" w:rsidTr="009C0C48">
        <w:trPr>
          <w:cantSplit/>
        </w:trPr>
        <w:tc>
          <w:tcPr>
            <w:tcW w:w="5000" w:type="pct"/>
            <w:gridSpan w:val="6"/>
            <w:shd w:val="clear" w:color="auto" w:fill="auto"/>
          </w:tcPr>
          <w:p w:rsidR="00CD4AA5" w:rsidRPr="001B449A" w:rsidRDefault="00CD4AA5" w:rsidP="009C0C48">
            <w:pPr>
              <w:keepNext/>
              <w:jc w:val="left"/>
              <w:rPr>
                <w:rFonts w:ascii="Arial Narrow" w:hAnsi="Arial Narrow"/>
                <w:b/>
                <w:sz w:val="20"/>
                <w:lang w:val="en-US"/>
              </w:rPr>
            </w:pPr>
            <w:r w:rsidRPr="001B449A">
              <w:rPr>
                <w:rFonts w:ascii="Arial Narrow" w:hAnsi="Arial Narrow"/>
                <w:b/>
                <w:sz w:val="20"/>
                <w:lang w:val="en-US"/>
              </w:rPr>
              <w:t>Ponatinib</w:t>
            </w:r>
          </w:p>
        </w:tc>
      </w:tr>
      <w:tr w:rsidR="003375AE" w:rsidRPr="001B449A" w:rsidTr="00A65FAC">
        <w:trPr>
          <w:cantSplit/>
        </w:trPr>
        <w:tc>
          <w:tcPr>
            <w:tcW w:w="440" w:type="pct"/>
            <w:shd w:val="clear" w:color="auto" w:fill="auto"/>
          </w:tcPr>
          <w:p w:rsidR="00CD4AA5" w:rsidRPr="001B449A" w:rsidRDefault="00CD4AA5" w:rsidP="009C0C48">
            <w:pPr>
              <w:keepNext/>
              <w:jc w:val="left"/>
              <w:rPr>
                <w:rFonts w:ascii="Arial Narrow" w:hAnsi="Arial Narrow"/>
                <w:sz w:val="20"/>
                <w:lang w:val="en-US"/>
              </w:rPr>
            </w:pPr>
            <w:r w:rsidRPr="001B449A">
              <w:rPr>
                <w:rFonts w:ascii="Arial Narrow" w:hAnsi="Arial Narrow"/>
                <w:sz w:val="20"/>
                <w:szCs w:val="16"/>
                <w:lang w:val="en-US"/>
              </w:rPr>
              <w:t>PACE</w:t>
            </w:r>
          </w:p>
        </w:tc>
        <w:tc>
          <w:tcPr>
            <w:tcW w:w="198" w:type="pct"/>
            <w:shd w:val="clear" w:color="auto" w:fill="auto"/>
          </w:tcPr>
          <w:p w:rsidR="00CD4AA5" w:rsidRPr="001B449A" w:rsidRDefault="00CD4AA5" w:rsidP="009C0C48">
            <w:pPr>
              <w:keepNext/>
              <w:jc w:val="center"/>
              <w:rPr>
                <w:rFonts w:ascii="Arial Narrow" w:hAnsi="Arial Narrow"/>
                <w:sz w:val="20"/>
                <w:lang w:val="en-US"/>
              </w:rPr>
            </w:pPr>
            <w:r w:rsidRPr="001B449A">
              <w:rPr>
                <w:rFonts w:ascii="Arial Narrow" w:hAnsi="Arial Narrow"/>
                <w:sz w:val="20"/>
                <w:szCs w:val="16"/>
                <w:lang w:val="en-US"/>
              </w:rPr>
              <w:t>449</w:t>
            </w:r>
          </w:p>
        </w:tc>
        <w:tc>
          <w:tcPr>
            <w:tcW w:w="976" w:type="pct"/>
            <w:shd w:val="clear" w:color="auto" w:fill="auto"/>
          </w:tcPr>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lang w:val="en-US"/>
              </w:rPr>
              <w:t>Phase II, MC, OL, SA</w:t>
            </w:r>
          </w:p>
          <w:p w:rsidR="00CD4AA5" w:rsidRPr="001B449A" w:rsidRDefault="00CD4AA5" w:rsidP="009C0C48">
            <w:pPr>
              <w:keepNext/>
              <w:jc w:val="left"/>
              <w:rPr>
                <w:rFonts w:ascii="Arial Narrow" w:hAnsi="Arial Narrow"/>
                <w:sz w:val="20"/>
                <w:lang w:val="en-US"/>
              </w:rPr>
            </w:pPr>
            <w:r w:rsidRPr="001B449A">
              <w:rPr>
                <w:rFonts w:ascii="Arial Narrow" w:hAnsi="Arial Narrow"/>
                <w:sz w:val="20"/>
                <w:szCs w:val="16"/>
                <w:lang w:val="en-US"/>
              </w:rPr>
              <w:t>9.9 months</w:t>
            </w:r>
          </w:p>
        </w:tc>
        <w:tc>
          <w:tcPr>
            <w:tcW w:w="339" w:type="pct"/>
            <w:shd w:val="clear" w:color="auto" w:fill="auto"/>
          </w:tcPr>
          <w:p w:rsidR="00CD4AA5" w:rsidRPr="001B449A" w:rsidRDefault="00CD4AA5" w:rsidP="009C0C48">
            <w:pPr>
              <w:keepNext/>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vAlign w:val="center"/>
          </w:tcPr>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lang w:val="en-US"/>
              </w:rPr>
              <w:t xml:space="preserve">CP, AP and BC CML and </w:t>
            </w:r>
            <w:proofErr w:type="spellStart"/>
            <w:r w:rsidRPr="001B449A">
              <w:rPr>
                <w:rFonts w:ascii="Arial Narrow" w:hAnsi="Arial Narrow"/>
                <w:sz w:val="20"/>
                <w:szCs w:val="16"/>
                <w:lang w:val="en-US"/>
              </w:rPr>
              <w:t>Ph</w:t>
            </w:r>
            <w:proofErr w:type="spellEnd"/>
            <w:r w:rsidRPr="001B449A">
              <w:rPr>
                <w:rFonts w:ascii="Arial Narrow" w:hAnsi="Arial Narrow"/>
                <w:sz w:val="20"/>
                <w:szCs w:val="16"/>
                <w:lang w:val="en-US"/>
              </w:rPr>
              <w:t>+ ALL:</w:t>
            </w:r>
          </w:p>
          <w:p w:rsidR="00CD4AA5" w:rsidRPr="001B449A" w:rsidRDefault="00661DBE" w:rsidP="009C0C48">
            <w:pPr>
              <w:keepNext/>
              <w:jc w:val="left"/>
              <w:rPr>
                <w:rFonts w:ascii="Arial Narrow" w:hAnsi="Arial Narrow"/>
                <w:sz w:val="20"/>
                <w:szCs w:val="16"/>
                <w:lang w:val="en-US"/>
              </w:rPr>
            </w:pPr>
            <w:r w:rsidRPr="001B449A">
              <w:rPr>
                <w:rFonts w:ascii="Arial Narrow" w:hAnsi="Arial Narrow"/>
                <w:sz w:val="20"/>
                <w:szCs w:val="16"/>
                <w:lang w:val="en-US"/>
              </w:rPr>
              <w:t xml:space="preserve">- </w:t>
            </w:r>
            <w:r w:rsidR="00CD4AA5" w:rsidRPr="001B449A">
              <w:rPr>
                <w:rFonts w:ascii="Arial Narrow" w:hAnsi="Arial Narrow"/>
                <w:sz w:val="20"/>
                <w:szCs w:val="16"/>
                <w:lang w:val="en-US"/>
              </w:rPr>
              <w:t xml:space="preserve">resistant or intolerant to dasatinib or nilotinib; or </w:t>
            </w:r>
          </w:p>
          <w:p w:rsidR="00CD4AA5" w:rsidRPr="001B449A" w:rsidRDefault="00661DBE" w:rsidP="009C0C48">
            <w:pPr>
              <w:keepNext/>
              <w:jc w:val="left"/>
              <w:rPr>
                <w:rFonts w:ascii="Arial Narrow" w:hAnsi="Arial Narrow"/>
                <w:sz w:val="20"/>
                <w:lang w:val="en-US"/>
              </w:rPr>
            </w:pPr>
            <w:r w:rsidRPr="001B449A">
              <w:rPr>
                <w:rFonts w:ascii="Arial Narrow" w:hAnsi="Arial Narrow"/>
                <w:sz w:val="20"/>
                <w:szCs w:val="16"/>
                <w:lang w:val="en-US"/>
              </w:rPr>
              <w:t xml:space="preserve">- </w:t>
            </w:r>
            <w:proofErr w:type="gramStart"/>
            <w:r w:rsidR="00CD4AA5" w:rsidRPr="001B449A">
              <w:rPr>
                <w:rFonts w:ascii="Arial Narrow" w:hAnsi="Arial Narrow"/>
                <w:sz w:val="20"/>
                <w:szCs w:val="16"/>
                <w:lang w:val="en-US"/>
              </w:rPr>
              <w:t>who</w:t>
            </w:r>
            <w:proofErr w:type="gramEnd"/>
            <w:r w:rsidR="00CD4AA5" w:rsidRPr="001B449A">
              <w:rPr>
                <w:rFonts w:ascii="Arial Narrow" w:hAnsi="Arial Narrow"/>
                <w:sz w:val="20"/>
                <w:szCs w:val="16"/>
                <w:lang w:val="en-US"/>
              </w:rPr>
              <w:t xml:space="preserve"> have the T315I mutation.</w:t>
            </w:r>
          </w:p>
        </w:tc>
        <w:tc>
          <w:tcPr>
            <w:tcW w:w="1348" w:type="pct"/>
            <w:shd w:val="clear" w:color="auto" w:fill="auto"/>
          </w:tcPr>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u w:val="single"/>
                <w:lang w:val="en-US"/>
              </w:rPr>
              <w:t>CP CML</w:t>
            </w:r>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PCyR</w:t>
            </w:r>
            <w:proofErr w:type="spellEnd"/>
            <w:r w:rsidRPr="001B449A">
              <w:rPr>
                <w:rFonts w:ascii="Arial Narrow" w:hAnsi="Arial Narrow"/>
                <w:sz w:val="20"/>
                <w:szCs w:val="16"/>
                <w:lang w:val="en-US"/>
              </w:rPr>
              <w:t>)</w:t>
            </w:r>
          </w:p>
          <w:p w:rsidR="00CD4AA5" w:rsidRPr="001B449A" w:rsidRDefault="00CD4AA5" w:rsidP="009C0C48">
            <w:pPr>
              <w:keepNext/>
              <w:jc w:val="left"/>
              <w:rPr>
                <w:rFonts w:ascii="Arial Narrow" w:hAnsi="Arial Narrow"/>
                <w:sz w:val="20"/>
                <w:lang w:val="en-US"/>
              </w:rPr>
            </w:pPr>
            <w:r w:rsidRPr="001B449A">
              <w:rPr>
                <w:rFonts w:ascii="Arial Narrow" w:hAnsi="Arial Narrow"/>
                <w:sz w:val="20"/>
                <w:szCs w:val="16"/>
                <w:u w:val="single"/>
                <w:lang w:val="en-US"/>
              </w:rPr>
              <w:t xml:space="preserve">AP and BC CML and </w:t>
            </w:r>
            <w:proofErr w:type="spellStart"/>
            <w:r w:rsidRPr="001B449A">
              <w:rPr>
                <w:rFonts w:ascii="Arial Narrow" w:hAnsi="Arial Narrow"/>
                <w:sz w:val="20"/>
                <w:szCs w:val="16"/>
                <w:u w:val="single"/>
                <w:lang w:val="en-US"/>
              </w:rPr>
              <w:t>Ph</w:t>
            </w:r>
            <w:proofErr w:type="spellEnd"/>
            <w:r w:rsidRPr="001B449A">
              <w:rPr>
                <w:rFonts w:ascii="Arial Narrow" w:hAnsi="Arial Narrow"/>
                <w:sz w:val="20"/>
                <w:szCs w:val="16"/>
                <w:u w:val="single"/>
                <w:lang w:val="en-US"/>
              </w:rPr>
              <w:t>+ ALL</w:t>
            </w:r>
            <w:r w:rsidRPr="001B449A">
              <w:rPr>
                <w:rFonts w:ascii="Arial Narrow" w:hAnsi="Arial Narrow"/>
                <w:sz w:val="20"/>
                <w:szCs w:val="16"/>
                <w:lang w:val="en-US"/>
              </w:rPr>
              <w:t>: MHR (CHR or NEL)</w:t>
            </w:r>
          </w:p>
        </w:tc>
      </w:tr>
      <w:tr w:rsidR="003375AE" w:rsidRPr="001B449A" w:rsidTr="00A65FAC">
        <w:trPr>
          <w:cantSplit/>
        </w:trPr>
        <w:tc>
          <w:tcPr>
            <w:tcW w:w="440" w:type="pct"/>
            <w:shd w:val="clear" w:color="auto" w:fill="auto"/>
          </w:tcPr>
          <w:p w:rsidR="00CD4AA5" w:rsidRPr="001B449A" w:rsidRDefault="00CD4AA5" w:rsidP="009C0C48">
            <w:pPr>
              <w:keepNext/>
              <w:jc w:val="left"/>
              <w:rPr>
                <w:rFonts w:ascii="Arial Narrow" w:hAnsi="Arial Narrow"/>
                <w:sz w:val="20"/>
                <w:lang w:val="en-US"/>
              </w:rPr>
            </w:pPr>
            <w:r w:rsidRPr="001B449A">
              <w:rPr>
                <w:rFonts w:ascii="Arial Narrow" w:hAnsi="Arial Narrow"/>
                <w:sz w:val="20"/>
                <w:szCs w:val="16"/>
                <w:lang w:val="en-US"/>
              </w:rPr>
              <w:t>Study 101</w:t>
            </w:r>
          </w:p>
        </w:tc>
        <w:tc>
          <w:tcPr>
            <w:tcW w:w="198" w:type="pct"/>
            <w:shd w:val="clear" w:color="auto" w:fill="auto"/>
          </w:tcPr>
          <w:p w:rsidR="00CD4AA5" w:rsidRPr="001B449A" w:rsidRDefault="00CD4AA5" w:rsidP="009C0C48">
            <w:pPr>
              <w:keepNext/>
              <w:jc w:val="center"/>
              <w:rPr>
                <w:rFonts w:ascii="Arial Narrow" w:hAnsi="Arial Narrow"/>
                <w:sz w:val="20"/>
                <w:szCs w:val="16"/>
                <w:lang w:val="en-US"/>
              </w:rPr>
            </w:pPr>
            <w:r w:rsidRPr="001B449A">
              <w:rPr>
                <w:rFonts w:ascii="Arial Narrow" w:hAnsi="Arial Narrow"/>
                <w:sz w:val="20"/>
                <w:szCs w:val="16"/>
                <w:lang w:val="en-US"/>
              </w:rPr>
              <w:t>81</w:t>
            </w:r>
          </w:p>
        </w:tc>
        <w:tc>
          <w:tcPr>
            <w:tcW w:w="976" w:type="pct"/>
            <w:shd w:val="clear" w:color="auto" w:fill="auto"/>
          </w:tcPr>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lang w:val="en-US"/>
              </w:rPr>
              <w:t>Phase I, MC, OL, SA;</w:t>
            </w:r>
          </w:p>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lang w:val="en-US"/>
              </w:rPr>
              <w:t>19.5 months</w:t>
            </w:r>
          </w:p>
        </w:tc>
        <w:tc>
          <w:tcPr>
            <w:tcW w:w="339" w:type="pct"/>
            <w:shd w:val="clear" w:color="auto" w:fill="auto"/>
          </w:tcPr>
          <w:p w:rsidR="00CD4AA5" w:rsidRPr="001B449A" w:rsidRDefault="00CD4AA5" w:rsidP="009C0C48">
            <w:pPr>
              <w:keepNext/>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9C0C48">
            <w:pPr>
              <w:keepNext/>
              <w:jc w:val="left"/>
              <w:rPr>
                <w:rFonts w:ascii="Arial Narrow" w:hAnsi="Arial Narrow"/>
                <w:sz w:val="20"/>
                <w:szCs w:val="16"/>
                <w:lang w:val="en-US"/>
              </w:rPr>
            </w:pPr>
            <w:r w:rsidRPr="001B449A">
              <w:rPr>
                <w:rFonts w:ascii="Arial Narrow" w:hAnsi="Arial Narrow"/>
                <w:sz w:val="20"/>
                <w:szCs w:val="16"/>
                <w:lang w:val="en-US"/>
              </w:rPr>
              <w:t xml:space="preserve">Refractory haematologic malignancies (CP, AP and BC CML, </w:t>
            </w:r>
            <w:proofErr w:type="spellStart"/>
            <w:r w:rsidRPr="001B449A">
              <w:rPr>
                <w:rFonts w:ascii="Arial Narrow" w:hAnsi="Arial Narrow"/>
                <w:sz w:val="20"/>
                <w:szCs w:val="16"/>
                <w:lang w:val="en-US"/>
              </w:rPr>
              <w:t>Ph</w:t>
            </w:r>
            <w:proofErr w:type="spellEnd"/>
            <w:r w:rsidRPr="001B449A">
              <w:rPr>
                <w:rFonts w:ascii="Arial Narrow" w:hAnsi="Arial Narrow"/>
                <w:sz w:val="20"/>
                <w:szCs w:val="16"/>
                <w:lang w:val="en-US"/>
              </w:rPr>
              <w:t xml:space="preserve"> + ALL) and AML.</w:t>
            </w:r>
          </w:p>
        </w:tc>
        <w:tc>
          <w:tcPr>
            <w:tcW w:w="1348" w:type="pct"/>
            <w:shd w:val="clear" w:color="auto" w:fill="auto"/>
          </w:tcPr>
          <w:p w:rsidR="00CD4AA5" w:rsidRPr="001B449A" w:rsidRDefault="00CD4AA5" w:rsidP="009C0C48">
            <w:pPr>
              <w:keepNext/>
              <w:jc w:val="left"/>
              <w:rPr>
                <w:rFonts w:ascii="Arial Narrow" w:hAnsi="Arial Narrow"/>
                <w:sz w:val="20"/>
                <w:lang w:val="en-US"/>
              </w:rPr>
            </w:pPr>
            <w:r w:rsidRPr="001B449A">
              <w:rPr>
                <w:rFonts w:ascii="Arial Narrow" w:hAnsi="Arial Narrow"/>
                <w:sz w:val="20"/>
                <w:szCs w:val="16"/>
                <w:lang w:val="en-US"/>
              </w:rPr>
              <w:t>To determine the recommended dose</w:t>
            </w:r>
            <w:r w:rsidR="00661DBE" w:rsidRPr="001B449A">
              <w:rPr>
                <w:rFonts w:ascii="Arial Narrow" w:hAnsi="Arial Narrow"/>
                <w:sz w:val="20"/>
                <w:szCs w:val="16"/>
                <w:lang w:val="en-US"/>
              </w:rPr>
              <w:t>;</w:t>
            </w:r>
            <w:r w:rsidRPr="001B449A">
              <w:rPr>
                <w:rFonts w:ascii="Arial Narrow" w:hAnsi="Arial Narrow"/>
                <w:sz w:val="20"/>
                <w:szCs w:val="16"/>
                <w:lang w:val="en-US"/>
              </w:rPr>
              <w:t xml:space="preserve"> safety</w:t>
            </w:r>
            <w:r w:rsidR="00661DBE" w:rsidRPr="001B449A">
              <w:rPr>
                <w:rFonts w:ascii="Arial Narrow" w:hAnsi="Arial Narrow"/>
                <w:sz w:val="20"/>
                <w:szCs w:val="16"/>
                <w:lang w:val="en-US"/>
              </w:rPr>
              <w:t xml:space="preserve"> and</w:t>
            </w:r>
            <w:r w:rsidRPr="001B449A">
              <w:rPr>
                <w:rFonts w:ascii="Arial Narrow" w:hAnsi="Arial Narrow"/>
                <w:sz w:val="20"/>
                <w:szCs w:val="16"/>
                <w:lang w:val="en-US"/>
              </w:rPr>
              <w:t xml:space="preserve"> efficacy</w:t>
            </w:r>
            <w:r w:rsidR="00661DBE" w:rsidRPr="001B449A">
              <w:rPr>
                <w:rFonts w:ascii="Arial Narrow" w:hAnsi="Arial Narrow"/>
                <w:sz w:val="20"/>
                <w:szCs w:val="16"/>
                <w:lang w:val="en-US"/>
              </w:rPr>
              <w:t>.</w:t>
            </w:r>
          </w:p>
        </w:tc>
      </w:tr>
      <w:tr w:rsidR="00CD4AA5" w:rsidRPr="001B449A" w:rsidTr="009C0C48">
        <w:trPr>
          <w:cantSplit/>
        </w:trPr>
        <w:tc>
          <w:tcPr>
            <w:tcW w:w="5000" w:type="pct"/>
            <w:gridSpan w:val="6"/>
            <w:shd w:val="clear" w:color="auto" w:fill="auto"/>
          </w:tcPr>
          <w:p w:rsidR="00CD4AA5" w:rsidRPr="001B449A" w:rsidRDefault="00CD4AA5" w:rsidP="00CD4AA5">
            <w:pPr>
              <w:jc w:val="left"/>
              <w:rPr>
                <w:rFonts w:ascii="Arial Narrow" w:hAnsi="Arial Narrow"/>
                <w:b/>
                <w:sz w:val="20"/>
                <w:lang w:val="en-US"/>
              </w:rPr>
            </w:pPr>
            <w:r w:rsidRPr="001B449A">
              <w:rPr>
                <w:rFonts w:ascii="Arial Narrow" w:hAnsi="Arial Narrow"/>
                <w:b/>
                <w:sz w:val="20"/>
                <w:lang w:val="en-US"/>
              </w:rPr>
              <w:t>Dasatinib</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proofErr w:type="spellStart"/>
            <w:r w:rsidRPr="001B449A">
              <w:rPr>
                <w:rFonts w:ascii="Arial Narrow" w:hAnsi="Arial Narrow"/>
                <w:sz w:val="20"/>
                <w:szCs w:val="16"/>
                <w:lang w:val="en-US"/>
              </w:rPr>
              <w:t>Quintas-Cardama</w:t>
            </w:r>
            <w:proofErr w:type="spellEnd"/>
            <w:r w:rsidRPr="001B449A">
              <w:rPr>
                <w:rFonts w:ascii="Arial Narrow" w:hAnsi="Arial Narrow"/>
                <w:sz w:val="20"/>
                <w:szCs w:val="16"/>
                <w:lang w:val="en-US"/>
              </w:rPr>
              <w:t xml:space="preserve"> 2007</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23</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Observational, SC</w:t>
            </w:r>
            <w:r w:rsidR="005F30A3" w:rsidRPr="001B449A">
              <w:rPr>
                <w:rFonts w:ascii="Arial Narrow" w:hAnsi="Arial Narrow"/>
                <w:sz w:val="20"/>
                <w:szCs w:val="16"/>
                <w:lang w:val="en-US"/>
              </w:rPr>
              <w:t>, SA</w:t>
            </w:r>
            <w:r w:rsidRPr="001B449A">
              <w:rPr>
                <w:rFonts w:ascii="Arial Narrow" w:hAnsi="Arial Narrow"/>
                <w:sz w:val="20"/>
                <w:szCs w:val="16"/>
                <w:lang w:val="en-US"/>
              </w:rPr>
              <w:t>;</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7.8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AP and BC CML:</w:t>
            </w:r>
          </w:p>
          <w:p w:rsidR="00CD4AA5" w:rsidRPr="001B449A" w:rsidRDefault="00661DBE" w:rsidP="0083695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Pr="001B449A">
              <w:rPr>
                <w:rFonts w:ascii="Arial Narrow" w:hAnsi="Arial Narrow"/>
                <w:sz w:val="20"/>
                <w:szCs w:val="16"/>
                <w:lang w:val="en-US"/>
              </w:rPr>
              <w:t>resistant</w:t>
            </w:r>
            <w:proofErr w:type="gramEnd"/>
            <w:r w:rsidRPr="001B449A">
              <w:rPr>
                <w:rFonts w:ascii="Arial Narrow" w:hAnsi="Arial Narrow"/>
                <w:sz w:val="20"/>
                <w:szCs w:val="16"/>
                <w:lang w:val="en-US"/>
              </w:rPr>
              <w:t xml:space="preserve"> or intolerant to</w:t>
            </w:r>
            <w:r w:rsidR="00115400" w:rsidRPr="001B449A">
              <w:rPr>
                <w:rFonts w:ascii="Arial Narrow" w:hAnsi="Arial Narrow"/>
                <w:sz w:val="20"/>
                <w:szCs w:val="16"/>
                <w:lang w:val="en-US"/>
              </w:rPr>
              <w:t xml:space="preserve"> </w:t>
            </w:r>
            <w:r w:rsidR="00CD4AA5" w:rsidRPr="001B449A">
              <w:rPr>
                <w:rFonts w:ascii="Arial Narrow" w:hAnsi="Arial Narrow"/>
                <w:sz w:val="20"/>
                <w:szCs w:val="16"/>
                <w:lang w:val="en-US"/>
              </w:rPr>
              <w:t>imatinib and nilotinib.</w:t>
            </w:r>
          </w:p>
        </w:tc>
        <w:tc>
          <w:tcPr>
            <w:tcW w:w="1348" w:type="pct"/>
            <w:shd w:val="clear" w:color="auto" w:fill="auto"/>
          </w:tcPr>
          <w:p w:rsidR="00CD4AA5" w:rsidRPr="001B449A" w:rsidRDefault="00CD4AA5" w:rsidP="00CD4AA5">
            <w:pPr>
              <w:jc w:val="left"/>
              <w:rPr>
                <w:rFonts w:ascii="Arial Narrow" w:hAnsi="Arial Narrow"/>
                <w:sz w:val="20"/>
                <w:lang w:val="en-US"/>
              </w:rPr>
            </w:pPr>
            <w:r w:rsidRPr="001B449A">
              <w:rPr>
                <w:rFonts w:ascii="Arial Narrow" w:hAnsi="Arial Narrow"/>
                <w:sz w:val="20"/>
                <w:szCs w:val="16"/>
                <w:lang w:val="en-US"/>
              </w:rPr>
              <w:t xml:space="preserve">CHR, </w:t>
            </w: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PCyR</w:t>
            </w:r>
            <w:proofErr w:type="spellEnd"/>
            <w:r w:rsidRPr="001B449A">
              <w:rPr>
                <w:rFonts w:ascii="Arial Narrow" w:hAnsi="Arial Narrow"/>
                <w:sz w:val="20"/>
                <w:szCs w:val="16"/>
                <w:lang w:val="en-US"/>
              </w:rPr>
              <w:t>,</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Muller 2009</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21</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Subgroup analyses of 3 studies;</w:t>
            </w:r>
          </w:p>
          <w:p w:rsidR="00CD4AA5" w:rsidRPr="001B449A" w:rsidRDefault="00D72B6C" w:rsidP="00D72B6C">
            <w:pPr>
              <w:jc w:val="left"/>
              <w:rPr>
                <w:rFonts w:ascii="Arial Narrow" w:hAnsi="Arial Narrow"/>
                <w:sz w:val="20"/>
                <w:szCs w:val="16"/>
                <w:lang w:val="en-US"/>
              </w:rPr>
            </w:pPr>
            <w:r w:rsidRPr="001B449A">
              <w:rPr>
                <w:rFonts w:ascii="Arial Narrow" w:hAnsi="Arial Narrow"/>
                <w:sz w:val="20"/>
                <w:szCs w:val="16"/>
                <w:lang w:val="en-US"/>
              </w:rPr>
              <w:t>Duration n</w:t>
            </w:r>
            <w:r w:rsidR="00CD4AA5" w:rsidRPr="001B449A">
              <w:rPr>
                <w:rFonts w:ascii="Arial Narrow" w:hAnsi="Arial Narrow"/>
                <w:sz w:val="20"/>
                <w:szCs w:val="16"/>
                <w:lang w:val="en-US"/>
              </w:rPr>
              <w:t>ot reported</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CML:</w:t>
            </w:r>
          </w:p>
          <w:p w:rsidR="00CD4AA5" w:rsidRPr="001B449A" w:rsidRDefault="00661DBE" w:rsidP="00661DBE">
            <w:pPr>
              <w:jc w:val="left"/>
              <w:rPr>
                <w:rFonts w:ascii="Arial Narrow" w:hAnsi="Arial Narrow"/>
                <w:sz w:val="20"/>
                <w:szCs w:val="16"/>
                <w:lang w:val="en-US"/>
              </w:rPr>
            </w:pPr>
            <w:r w:rsidRPr="001B449A">
              <w:rPr>
                <w:rFonts w:ascii="Arial Narrow" w:hAnsi="Arial Narrow"/>
                <w:sz w:val="20"/>
                <w:szCs w:val="16"/>
                <w:lang w:val="en-US"/>
              </w:rPr>
              <w:t xml:space="preserve">- resistant or intolerant to </w:t>
            </w:r>
            <w:r w:rsidR="00CD4AA5" w:rsidRPr="001B449A">
              <w:rPr>
                <w:rFonts w:ascii="Arial Narrow" w:hAnsi="Arial Narrow"/>
                <w:sz w:val="20"/>
                <w:szCs w:val="16"/>
                <w:lang w:val="en-US"/>
              </w:rPr>
              <w:t>imatinib; or</w:t>
            </w:r>
          </w:p>
          <w:p w:rsidR="00CD4AA5" w:rsidRPr="001B449A" w:rsidRDefault="00661DBE" w:rsidP="00661DB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00CD4AA5" w:rsidRPr="001B449A">
              <w:rPr>
                <w:rFonts w:ascii="Arial Narrow" w:hAnsi="Arial Narrow"/>
                <w:sz w:val="20"/>
                <w:szCs w:val="16"/>
                <w:lang w:val="en-US"/>
              </w:rPr>
              <w:t>w</w:t>
            </w:r>
            <w:r w:rsidRPr="001B449A">
              <w:rPr>
                <w:rFonts w:ascii="Arial Narrow" w:hAnsi="Arial Narrow"/>
                <w:sz w:val="20"/>
                <w:szCs w:val="16"/>
                <w:lang w:val="en-US"/>
              </w:rPr>
              <w:t>ho</w:t>
            </w:r>
            <w:proofErr w:type="gramEnd"/>
            <w:r w:rsidRPr="001B449A">
              <w:rPr>
                <w:rFonts w:ascii="Arial Narrow" w:hAnsi="Arial Narrow"/>
                <w:sz w:val="20"/>
                <w:szCs w:val="16"/>
                <w:lang w:val="en-US"/>
              </w:rPr>
              <w:t xml:space="preserve"> have</w:t>
            </w:r>
            <w:r w:rsidR="00CD4AA5" w:rsidRPr="001B449A">
              <w:rPr>
                <w:rFonts w:ascii="Arial Narrow" w:hAnsi="Arial Narrow"/>
                <w:sz w:val="20"/>
                <w:szCs w:val="16"/>
                <w:lang w:val="en-US"/>
              </w:rPr>
              <w:t xml:space="preserve"> the T315I mutation.</w:t>
            </w:r>
          </w:p>
        </w:tc>
        <w:tc>
          <w:tcPr>
            <w:tcW w:w="1348" w:type="pct"/>
            <w:shd w:val="clear" w:color="auto" w:fill="auto"/>
          </w:tcPr>
          <w:p w:rsidR="00CD4AA5" w:rsidRPr="001B449A" w:rsidRDefault="00CD4AA5" w:rsidP="00CD4AA5">
            <w:pPr>
              <w:jc w:val="left"/>
              <w:rPr>
                <w:rFonts w:ascii="Arial Narrow" w:hAnsi="Arial Narrow"/>
                <w:sz w:val="20"/>
                <w:lang w:val="en-US"/>
              </w:rPr>
            </w:pPr>
            <w:r w:rsidRPr="001B449A">
              <w:rPr>
                <w:rFonts w:ascii="Arial Narrow" w:hAnsi="Arial Narrow"/>
                <w:sz w:val="20"/>
                <w:szCs w:val="16"/>
                <w:lang w:val="en-US"/>
              </w:rPr>
              <w:t xml:space="preserve">CHR,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p>
        </w:tc>
      </w:tr>
      <w:tr w:rsidR="00CD4AA5" w:rsidRPr="001B449A" w:rsidTr="009C0C48">
        <w:trPr>
          <w:cantSplit/>
        </w:trPr>
        <w:tc>
          <w:tcPr>
            <w:tcW w:w="5000" w:type="pct"/>
            <w:gridSpan w:val="6"/>
            <w:shd w:val="clear" w:color="auto" w:fill="auto"/>
          </w:tcPr>
          <w:p w:rsidR="00CD4AA5" w:rsidRPr="001B449A" w:rsidRDefault="00CD4AA5" w:rsidP="00CD4AA5">
            <w:pPr>
              <w:jc w:val="left"/>
              <w:rPr>
                <w:rFonts w:ascii="Arial Narrow" w:hAnsi="Arial Narrow"/>
                <w:b/>
                <w:sz w:val="20"/>
                <w:lang w:val="en-US"/>
              </w:rPr>
            </w:pPr>
            <w:r w:rsidRPr="001B449A">
              <w:rPr>
                <w:rFonts w:ascii="Arial Narrow" w:hAnsi="Arial Narrow"/>
                <w:b/>
                <w:sz w:val="20"/>
                <w:lang w:val="en-US"/>
              </w:rPr>
              <w:t>Nilotinib</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Giles 2010</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60</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 xml:space="preserve">Phase II, MC, </w:t>
            </w:r>
            <w:r w:rsidR="005F30A3" w:rsidRPr="001B449A">
              <w:rPr>
                <w:rFonts w:ascii="Arial Narrow" w:hAnsi="Arial Narrow"/>
                <w:sz w:val="20"/>
                <w:szCs w:val="16"/>
                <w:lang w:val="en-US"/>
              </w:rPr>
              <w:t xml:space="preserve">SA, </w:t>
            </w:r>
            <w:r w:rsidRPr="001B449A">
              <w:rPr>
                <w:rFonts w:ascii="Arial Narrow" w:hAnsi="Arial Narrow"/>
                <w:sz w:val="20"/>
                <w:szCs w:val="16"/>
                <w:lang w:val="en-US"/>
              </w:rPr>
              <w:t>non-comparative;</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12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and AP CML:</w:t>
            </w:r>
          </w:p>
          <w:p w:rsidR="00CD4AA5" w:rsidRPr="001B449A" w:rsidRDefault="00661DBE" w:rsidP="0083695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Pr="001B449A">
              <w:rPr>
                <w:rFonts w:ascii="Arial Narrow" w:hAnsi="Arial Narrow"/>
                <w:sz w:val="20"/>
                <w:szCs w:val="16"/>
                <w:lang w:val="en-US"/>
              </w:rPr>
              <w:t>resistant</w:t>
            </w:r>
            <w:proofErr w:type="gramEnd"/>
            <w:r w:rsidRPr="001B449A">
              <w:rPr>
                <w:rFonts w:ascii="Arial Narrow" w:hAnsi="Arial Narrow"/>
                <w:sz w:val="20"/>
                <w:szCs w:val="16"/>
                <w:lang w:val="en-US"/>
              </w:rPr>
              <w:t xml:space="preserve"> or intolerant to imatinib and dasatinib</w:t>
            </w:r>
            <w:r w:rsidR="00CD4AA5" w:rsidRPr="001B449A">
              <w:rPr>
                <w:rFonts w:ascii="Arial Narrow" w:hAnsi="Arial Narrow"/>
                <w:sz w:val="20"/>
                <w:szCs w:val="16"/>
                <w:lang w:val="en-US"/>
              </w:rPr>
              <w:t>.</w:t>
            </w:r>
          </w:p>
        </w:tc>
        <w:tc>
          <w:tcPr>
            <w:tcW w:w="1348"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u w:val="single"/>
                <w:lang w:val="en-US"/>
              </w:rPr>
              <w:t>CP CML</w:t>
            </w:r>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PCyR</w:t>
            </w:r>
            <w:proofErr w:type="spellEnd"/>
            <w:r w:rsidRPr="001B449A">
              <w:rPr>
                <w:rFonts w:ascii="Arial Narrow" w:hAnsi="Arial Narrow"/>
                <w:sz w:val="20"/>
                <w:szCs w:val="16"/>
                <w:lang w:val="en-US"/>
              </w:rPr>
              <w:t>)</w:t>
            </w:r>
          </w:p>
          <w:p w:rsidR="00CD4AA5" w:rsidRPr="001B449A" w:rsidRDefault="00CD4AA5" w:rsidP="00CD4AA5">
            <w:pPr>
              <w:jc w:val="left"/>
              <w:rPr>
                <w:rFonts w:ascii="Arial Narrow" w:hAnsi="Arial Narrow"/>
                <w:sz w:val="20"/>
                <w:lang w:val="en-US"/>
              </w:rPr>
            </w:pPr>
            <w:r w:rsidRPr="001B449A">
              <w:rPr>
                <w:rFonts w:ascii="Arial Narrow" w:hAnsi="Arial Narrow"/>
                <w:sz w:val="20"/>
                <w:szCs w:val="16"/>
                <w:u w:val="single"/>
                <w:lang w:val="en-US"/>
              </w:rPr>
              <w:t>AP CML</w:t>
            </w:r>
            <w:r w:rsidRPr="001B449A">
              <w:rPr>
                <w:rFonts w:ascii="Arial Narrow" w:hAnsi="Arial Narrow"/>
                <w:sz w:val="20"/>
                <w:szCs w:val="16"/>
                <w:lang w:val="en-US"/>
              </w:rPr>
              <w:t>: MHR (CHR or NEL)</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proofErr w:type="spellStart"/>
            <w:r w:rsidRPr="001B449A">
              <w:rPr>
                <w:rFonts w:ascii="Arial Narrow" w:hAnsi="Arial Narrow"/>
                <w:sz w:val="20"/>
                <w:szCs w:val="16"/>
                <w:lang w:val="en-US"/>
              </w:rPr>
              <w:t>Nicolini</w:t>
            </w:r>
            <w:proofErr w:type="spellEnd"/>
            <w:r w:rsidRPr="001B449A">
              <w:rPr>
                <w:rFonts w:ascii="Arial Narrow" w:hAnsi="Arial Narrow"/>
                <w:sz w:val="20"/>
                <w:szCs w:val="16"/>
                <w:lang w:val="en-US"/>
              </w:rPr>
              <w:t xml:space="preserve"> 2009</w:t>
            </w:r>
          </w:p>
          <w:p w:rsidR="00CD4AA5" w:rsidRPr="001B449A" w:rsidRDefault="00CD4AA5" w:rsidP="00CD4AA5">
            <w:pPr>
              <w:jc w:val="left"/>
              <w:rPr>
                <w:rFonts w:ascii="Arial Narrow" w:hAnsi="Arial Narrow"/>
                <w:sz w:val="20"/>
                <w:szCs w:val="16"/>
                <w:lang w:val="en-US"/>
              </w:rPr>
            </w:pP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292</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 xml:space="preserve">Post-hoc </w:t>
            </w:r>
            <w:r w:rsidR="005F30A3" w:rsidRPr="001B449A">
              <w:rPr>
                <w:rFonts w:ascii="Arial Narrow" w:hAnsi="Arial Narrow"/>
                <w:sz w:val="20"/>
                <w:szCs w:val="16"/>
                <w:lang w:val="en-US"/>
              </w:rPr>
              <w:t>sub-group analysis of OL, SA, NR study;</w:t>
            </w:r>
          </w:p>
          <w:p w:rsidR="00CD4AA5" w:rsidRPr="001B449A" w:rsidRDefault="00D72B6C" w:rsidP="00D72B6C">
            <w:pPr>
              <w:jc w:val="left"/>
              <w:rPr>
                <w:rFonts w:ascii="Arial Narrow" w:hAnsi="Arial Narrow"/>
                <w:sz w:val="20"/>
                <w:szCs w:val="16"/>
                <w:lang w:val="en-US"/>
              </w:rPr>
            </w:pPr>
            <w:r w:rsidRPr="001B449A">
              <w:rPr>
                <w:rFonts w:ascii="Arial Narrow" w:hAnsi="Arial Narrow"/>
                <w:sz w:val="20"/>
                <w:szCs w:val="16"/>
                <w:lang w:val="en-US"/>
              </w:rPr>
              <w:t>Duration n</w:t>
            </w:r>
            <w:r w:rsidR="00CD4AA5" w:rsidRPr="001B449A">
              <w:rPr>
                <w:rFonts w:ascii="Arial Narrow" w:hAnsi="Arial Narrow"/>
                <w:sz w:val="20"/>
                <w:szCs w:val="16"/>
                <w:lang w:val="en-US"/>
              </w:rPr>
              <w:t>ot reported</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 xml:space="preserve">CP, AP and BC CML: </w:t>
            </w:r>
          </w:p>
          <w:p w:rsidR="00CD4AA5" w:rsidRPr="001B449A" w:rsidRDefault="00661DBE" w:rsidP="0083695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00CD4AA5" w:rsidRPr="001B449A">
              <w:rPr>
                <w:rFonts w:ascii="Arial Narrow" w:hAnsi="Arial Narrow"/>
                <w:sz w:val="20"/>
                <w:szCs w:val="16"/>
                <w:lang w:val="en-US"/>
              </w:rPr>
              <w:t>resistant</w:t>
            </w:r>
            <w:proofErr w:type="gramEnd"/>
            <w:r w:rsidR="00CD4AA5" w:rsidRPr="001B449A">
              <w:rPr>
                <w:rFonts w:ascii="Arial Narrow" w:hAnsi="Arial Narrow"/>
                <w:sz w:val="20"/>
                <w:szCs w:val="16"/>
                <w:lang w:val="en-US"/>
              </w:rPr>
              <w:t xml:space="preserve"> or intolerant to imatinib and dasatinib.</w:t>
            </w:r>
          </w:p>
        </w:tc>
        <w:tc>
          <w:tcPr>
            <w:tcW w:w="1348" w:type="pct"/>
            <w:shd w:val="clear" w:color="auto" w:fill="auto"/>
          </w:tcPr>
          <w:p w:rsidR="00CD4AA5" w:rsidRPr="001B449A" w:rsidRDefault="00CD4AA5" w:rsidP="00CD4AA5">
            <w:pPr>
              <w:jc w:val="left"/>
              <w:rPr>
                <w:rFonts w:ascii="Arial Narrow" w:hAnsi="Arial Narrow"/>
                <w:sz w:val="20"/>
                <w:lang w:val="en-US"/>
              </w:rPr>
            </w:pPr>
            <w:r w:rsidRPr="001B449A">
              <w:rPr>
                <w:rFonts w:ascii="Arial Narrow" w:hAnsi="Arial Narrow"/>
                <w:sz w:val="20"/>
                <w:szCs w:val="16"/>
                <w:lang w:val="en-US"/>
              </w:rPr>
              <w:t xml:space="preserve">CHR,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p>
        </w:tc>
      </w:tr>
      <w:tr w:rsidR="00CD4AA5" w:rsidRPr="001B449A" w:rsidTr="009C0C48">
        <w:trPr>
          <w:cantSplit/>
        </w:trPr>
        <w:tc>
          <w:tcPr>
            <w:tcW w:w="5000" w:type="pct"/>
            <w:gridSpan w:val="6"/>
            <w:shd w:val="clear" w:color="auto" w:fill="auto"/>
          </w:tcPr>
          <w:p w:rsidR="00CD4AA5" w:rsidRPr="001B449A" w:rsidRDefault="00CD4AA5" w:rsidP="00CD4AA5">
            <w:pPr>
              <w:jc w:val="left"/>
              <w:rPr>
                <w:rFonts w:ascii="Arial Narrow" w:hAnsi="Arial Narrow"/>
                <w:b/>
                <w:sz w:val="20"/>
                <w:lang w:val="en-US"/>
              </w:rPr>
            </w:pPr>
            <w:r w:rsidRPr="001B449A">
              <w:rPr>
                <w:rFonts w:ascii="Arial Narrow" w:hAnsi="Arial Narrow"/>
                <w:b/>
                <w:sz w:val="20"/>
                <w:lang w:val="en-US"/>
              </w:rPr>
              <w:t>Dasatinib and nilotinib</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Garcia-Gutierrez 2012</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31</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Analysis of national registry data;</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9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CML:</w:t>
            </w:r>
          </w:p>
          <w:p w:rsidR="00CD4AA5" w:rsidRPr="001B449A" w:rsidRDefault="00661DBE" w:rsidP="0083695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0083695E" w:rsidRPr="001B449A">
              <w:rPr>
                <w:rFonts w:ascii="Arial Narrow" w:hAnsi="Arial Narrow"/>
                <w:sz w:val="20"/>
                <w:szCs w:val="16"/>
                <w:lang w:val="en-US"/>
              </w:rPr>
              <w:t>resistant</w:t>
            </w:r>
            <w:proofErr w:type="gramEnd"/>
            <w:r w:rsidR="0083695E" w:rsidRPr="001B449A">
              <w:rPr>
                <w:rFonts w:ascii="Arial Narrow" w:hAnsi="Arial Narrow"/>
                <w:sz w:val="20"/>
                <w:szCs w:val="16"/>
                <w:lang w:val="en-US"/>
              </w:rPr>
              <w:t xml:space="preserve"> or intolerant to imatinib and a 2</w:t>
            </w:r>
            <w:r w:rsidR="0083695E" w:rsidRPr="001B449A">
              <w:rPr>
                <w:rFonts w:ascii="Arial Narrow" w:hAnsi="Arial Narrow"/>
                <w:sz w:val="20"/>
                <w:szCs w:val="16"/>
                <w:vertAlign w:val="superscript"/>
                <w:lang w:val="en-US"/>
              </w:rPr>
              <w:t>nd</w:t>
            </w:r>
            <w:r w:rsidR="0083695E" w:rsidRPr="001B449A">
              <w:rPr>
                <w:rFonts w:ascii="Arial Narrow" w:hAnsi="Arial Narrow"/>
                <w:sz w:val="20"/>
                <w:szCs w:val="16"/>
                <w:lang w:val="en-US"/>
              </w:rPr>
              <w:t xml:space="preserve"> generation TKI.</w:t>
            </w:r>
          </w:p>
        </w:tc>
        <w:tc>
          <w:tcPr>
            <w:tcW w:w="1348" w:type="pct"/>
            <w:shd w:val="clear" w:color="auto" w:fill="auto"/>
          </w:tcPr>
          <w:p w:rsidR="00CD4AA5" w:rsidRPr="001B449A" w:rsidRDefault="00CD4AA5" w:rsidP="00CD4AA5">
            <w:pPr>
              <w:jc w:val="left"/>
              <w:rPr>
                <w:rFonts w:ascii="Arial Narrow" w:hAnsi="Arial Narrow"/>
                <w:sz w:val="20"/>
                <w:lang w:val="en-US"/>
              </w:rPr>
            </w:pP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CHR</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Garg 2009</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48</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Observational, SC</w:t>
            </w:r>
            <w:r w:rsidR="005F30A3" w:rsidRPr="001B449A">
              <w:rPr>
                <w:rFonts w:ascii="Arial Narrow" w:hAnsi="Arial Narrow"/>
                <w:sz w:val="20"/>
                <w:szCs w:val="16"/>
                <w:lang w:val="en-US"/>
              </w:rPr>
              <w:t>, SA</w:t>
            </w:r>
            <w:r w:rsidRPr="001B449A">
              <w:rPr>
                <w:rFonts w:ascii="Arial Narrow" w:hAnsi="Arial Narrow"/>
                <w:sz w:val="20"/>
                <w:szCs w:val="16"/>
                <w:lang w:val="en-US"/>
              </w:rPr>
              <w:t>;</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13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AP and BC CML:</w:t>
            </w:r>
          </w:p>
          <w:p w:rsidR="00CD4AA5" w:rsidRPr="001B449A" w:rsidRDefault="00661DBE" w:rsidP="00661DBE">
            <w:pPr>
              <w:jc w:val="left"/>
              <w:rPr>
                <w:rFonts w:ascii="Arial Narrow" w:hAnsi="Arial Narrow"/>
                <w:sz w:val="20"/>
                <w:szCs w:val="16"/>
                <w:lang w:val="en-US"/>
              </w:rPr>
            </w:pPr>
            <w:r w:rsidRPr="001B449A">
              <w:rPr>
                <w:rFonts w:ascii="Arial Narrow" w:hAnsi="Arial Narrow"/>
                <w:sz w:val="20"/>
                <w:szCs w:val="16"/>
                <w:lang w:val="en-US"/>
              </w:rPr>
              <w:t xml:space="preserve">- </w:t>
            </w:r>
            <w:r w:rsidR="00CD4AA5" w:rsidRPr="001B449A">
              <w:rPr>
                <w:rFonts w:ascii="Arial Narrow" w:hAnsi="Arial Narrow"/>
                <w:sz w:val="20"/>
                <w:szCs w:val="16"/>
                <w:lang w:val="en-US"/>
              </w:rPr>
              <w:t>switched to 2</w:t>
            </w:r>
            <w:r w:rsidR="00CD4AA5" w:rsidRPr="001B449A">
              <w:rPr>
                <w:rFonts w:ascii="Arial Narrow" w:hAnsi="Arial Narrow"/>
                <w:sz w:val="20"/>
                <w:szCs w:val="16"/>
                <w:vertAlign w:val="superscript"/>
                <w:lang w:val="en-US"/>
              </w:rPr>
              <w:t>nd</w:t>
            </w:r>
            <w:r w:rsidR="00CD4AA5" w:rsidRPr="001B449A">
              <w:rPr>
                <w:rFonts w:ascii="Arial Narrow" w:hAnsi="Arial Narrow"/>
                <w:sz w:val="20"/>
                <w:szCs w:val="16"/>
                <w:lang w:val="en-US"/>
              </w:rPr>
              <w:t xml:space="preserve"> or 3</w:t>
            </w:r>
            <w:r w:rsidR="00CD4AA5" w:rsidRPr="001B449A">
              <w:rPr>
                <w:rFonts w:ascii="Arial Narrow" w:hAnsi="Arial Narrow"/>
                <w:sz w:val="20"/>
                <w:szCs w:val="16"/>
                <w:vertAlign w:val="superscript"/>
                <w:lang w:val="en-US"/>
              </w:rPr>
              <w:t>rd</w:t>
            </w:r>
            <w:r w:rsidR="00CD4AA5" w:rsidRPr="001B449A">
              <w:rPr>
                <w:rFonts w:ascii="Arial Narrow" w:hAnsi="Arial Narrow"/>
                <w:sz w:val="20"/>
                <w:szCs w:val="16"/>
                <w:lang w:val="en-US"/>
              </w:rPr>
              <w:t xml:space="preserve"> line TKI following treatment failure.</w:t>
            </w:r>
          </w:p>
        </w:tc>
        <w:tc>
          <w:tcPr>
            <w:tcW w:w="1348" w:type="pct"/>
            <w:shd w:val="clear" w:color="auto" w:fill="auto"/>
          </w:tcPr>
          <w:p w:rsidR="00CD4AA5" w:rsidRPr="001B449A" w:rsidRDefault="00CD4AA5" w:rsidP="00CD4AA5">
            <w:pPr>
              <w:jc w:val="left"/>
              <w:rPr>
                <w:rFonts w:ascii="Arial Narrow" w:hAnsi="Arial Narrow"/>
                <w:sz w:val="20"/>
                <w:lang w:val="en-US"/>
              </w:rPr>
            </w:pPr>
            <w:r w:rsidRPr="001B449A">
              <w:rPr>
                <w:rFonts w:ascii="Arial Narrow" w:hAnsi="Arial Narrow"/>
                <w:sz w:val="20"/>
                <w:szCs w:val="16"/>
                <w:lang w:val="en-US"/>
              </w:rPr>
              <w:t xml:space="preserve">CHR,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PCyR</w:t>
            </w:r>
            <w:proofErr w:type="spellEnd"/>
            <w:r w:rsidRPr="001B449A">
              <w:rPr>
                <w:rFonts w:ascii="Arial Narrow" w:hAnsi="Arial Narrow"/>
                <w:sz w:val="20"/>
                <w:szCs w:val="16"/>
                <w:lang w:val="en-US"/>
              </w:rPr>
              <w:t>), MMR</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Ibrahim 2010</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26</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Observational, SC</w:t>
            </w:r>
            <w:r w:rsidR="005F30A3" w:rsidRPr="001B449A">
              <w:rPr>
                <w:rFonts w:ascii="Arial Narrow" w:hAnsi="Arial Narrow"/>
                <w:sz w:val="20"/>
                <w:szCs w:val="16"/>
                <w:lang w:val="en-US"/>
              </w:rPr>
              <w:t>, SA</w:t>
            </w:r>
            <w:r w:rsidRPr="001B449A">
              <w:rPr>
                <w:rFonts w:ascii="Arial Narrow" w:hAnsi="Arial Narrow"/>
                <w:sz w:val="20"/>
                <w:szCs w:val="16"/>
                <w:lang w:val="en-US"/>
              </w:rPr>
              <w:t>;</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21.5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CML:</w:t>
            </w:r>
          </w:p>
          <w:p w:rsidR="00CD4AA5" w:rsidRPr="001B449A" w:rsidRDefault="00661DBE" w:rsidP="00661DBE">
            <w:pPr>
              <w:jc w:val="left"/>
              <w:rPr>
                <w:rFonts w:ascii="Arial Narrow" w:hAnsi="Arial Narrow"/>
                <w:sz w:val="20"/>
                <w:szCs w:val="16"/>
                <w:lang w:val="en-US"/>
              </w:rPr>
            </w:pPr>
            <w:r w:rsidRPr="001B449A">
              <w:rPr>
                <w:rFonts w:ascii="Arial Narrow" w:hAnsi="Arial Narrow"/>
                <w:sz w:val="20"/>
                <w:szCs w:val="16"/>
                <w:lang w:val="en-US"/>
              </w:rPr>
              <w:t xml:space="preserve">- </w:t>
            </w:r>
            <w:r w:rsidR="00CD4AA5" w:rsidRPr="001B449A">
              <w:rPr>
                <w:rFonts w:ascii="Arial Narrow" w:hAnsi="Arial Narrow"/>
                <w:sz w:val="20"/>
                <w:szCs w:val="16"/>
                <w:lang w:val="en-US"/>
              </w:rPr>
              <w:t>treated with dasatinib or nilotinib after failing imatinib.</w:t>
            </w:r>
          </w:p>
        </w:tc>
        <w:tc>
          <w:tcPr>
            <w:tcW w:w="1348" w:type="pct"/>
            <w:shd w:val="clear" w:color="auto" w:fill="auto"/>
          </w:tcPr>
          <w:p w:rsidR="00CD4AA5" w:rsidRPr="001B449A" w:rsidRDefault="00CD4AA5" w:rsidP="00CD4AA5">
            <w:pPr>
              <w:jc w:val="left"/>
              <w:rPr>
                <w:rFonts w:ascii="Arial Narrow" w:hAnsi="Arial Narrow"/>
                <w:sz w:val="20"/>
                <w:lang w:val="en-US"/>
              </w:rPr>
            </w:pP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MMR</w:t>
            </w:r>
          </w:p>
        </w:tc>
      </w:tr>
      <w:tr w:rsidR="003375AE" w:rsidRPr="001B449A" w:rsidTr="00A65FAC">
        <w:trPr>
          <w:cantSplit/>
        </w:trPr>
        <w:tc>
          <w:tcPr>
            <w:tcW w:w="440"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Rossi 2013</w:t>
            </w:r>
          </w:p>
        </w:tc>
        <w:tc>
          <w:tcPr>
            <w:tcW w:w="198" w:type="pct"/>
            <w:shd w:val="clear" w:color="auto" w:fill="auto"/>
          </w:tcPr>
          <w:p w:rsidR="00CD4AA5" w:rsidRPr="001B449A" w:rsidRDefault="00CD4AA5" w:rsidP="00CD4AA5">
            <w:pPr>
              <w:jc w:val="center"/>
              <w:rPr>
                <w:rFonts w:ascii="Arial Narrow" w:hAnsi="Arial Narrow"/>
                <w:sz w:val="20"/>
                <w:szCs w:val="16"/>
                <w:lang w:val="en-US"/>
              </w:rPr>
            </w:pPr>
            <w:r w:rsidRPr="001B449A">
              <w:rPr>
                <w:rFonts w:ascii="Arial Narrow" w:hAnsi="Arial Narrow"/>
                <w:sz w:val="20"/>
                <w:szCs w:val="16"/>
                <w:lang w:val="en-US"/>
              </w:rPr>
              <w:t>82</w:t>
            </w:r>
          </w:p>
        </w:tc>
        <w:tc>
          <w:tcPr>
            <w:tcW w:w="976"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Prospective, observational</w:t>
            </w:r>
            <w:r w:rsidR="005F30A3" w:rsidRPr="001B449A">
              <w:rPr>
                <w:rFonts w:ascii="Arial Narrow" w:hAnsi="Arial Narrow"/>
                <w:sz w:val="20"/>
                <w:szCs w:val="16"/>
                <w:lang w:val="en-US"/>
              </w:rPr>
              <w:t>, SA</w:t>
            </w:r>
            <w:r w:rsidRPr="001B449A">
              <w:rPr>
                <w:rFonts w:ascii="Arial Narrow" w:hAnsi="Arial Narrow"/>
                <w:sz w:val="20"/>
                <w:szCs w:val="16"/>
                <w:lang w:val="en-US"/>
              </w:rPr>
              <w:t>;</w:t>
            </w:r>
          </w:p>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14 months</w:t>
            </w:r>
          </w:p>
        </w:tc>
        <w:tc>
          <w:tcPr>
            <w:tcW w:w="339" w:type="pct"/>
            <w:shd w:val="clear" w:color="auto" w:fill="auto"/>
          </w:tcPr>
          <w:p w:rsidR="00CD4AA5" w:rsidRPr="001B449A" w:rsidRDefault="00CD4AA5" w:rsidP="00CD4AA5">
            <w:pPr>
              <w:jc w:val="center"/>
              <w:rPr>
                <w:rFonts w:ascii="Arial Narrow" w:hAnsi="Arial Narrow"/>
                <w:sz w:val="20"/>
                <w:lang w:val="en-US"/>
              </w:rPr>
            </w:pPr>
            <w:r w:rsidRPr="001B449A">
              <w:rPr>
                <w:rFonts w:ascii="Arial Narrow" w:hAnsi="Arial Narrow"/>
                <w:sz w:val="20"/>
                <w:lang w:val="en-US"/>
              </w:rPr>
              <w:t>High</w:t>
            </w:r>
          </w:p>
        </w:tc>
        <w:tc>
          <w:tcPr>
            <w:tcW w:w="1699" w:type="pct"/>
            <w:shd w:val="clear" w:color="auto" w:fill="auto"/>
          </w:tcPr>
          <w:p w:rsidR="00CD4AA5" w:rsidRPr="001B449A" w:rsidRDefault="00CD4AA5" w:rsidP="00CD4AA5">
            <w:pPr>
              <w:jc w:val="left"/>
              <w:rPr>
                <w:rFonts w:ascii="Arial Narrow" w:hAnsi="Arial Narrow"/>
                <w:sz w:val="20"/>
                <w:szCs w:val="16"/>
                <w:lang w:val="en-US"/>
              </w:rPr>
            </w:pPr>
            <w:r w:rsidRPr="001B449A">
              <w:rPr>
                <w:rFonts w:ascii="Arial Narrow" w:hAnsi="Arial Narrow"/>
                <w:sz w:val="20"/>
                <w:szCs w:val="16"/>
                <w:lang w:val="en-US"/>
              </w:rPr>
              <w:t>CP, AP or BC CML:</w:t>
            </w:r>
          </w:p>
          <w:p w:rsidR="00CD4AA5" w:rsidRPr="001B449A" w:rsidRDefault="00661DBE" w:rsidP="00661DBE">
            <w:pPr>
              <w:jc w:val="left"/>
              <w:rPr>
                <w:rFonts w:ascii="Arial Narrow" w:hAnsi="Arial Narrow"/>
                <w:sz w:val="20"/>
                <w:szCs w:val="16"/>
                <w:lang w:val="en-US"/>
              </w:rPr>
            </w:pPr>
            <w:r w:rsidRPr="001B449A">
              <w:rPr>
                <w:rFonts w:ascii="Arial Narrow" w:hAnsi="Arial Narrow"/>
                <w:sz w:val="20"/>
                <w:szCs w:val="16"/>
                <w:lang w:val="en-US"/>
              </w:rPr>
              <w:t xml:space="preserve">- </w:t>
            </w:r>
            <w:proofErr w:type="gramStart"/>
            <w:r w:rsidR="00CD4AA5" w:rsidRPr="001B449A">
              <w:rPr>
                <w:rFonts w:ascii="Arial Narrow" w:hAnsi="Arial Narrow"/>
                <w:sz w:val="20"/>
                <w:szCs w:val="16"/>
                <w:lang w:val="en-US"/>
              </w:rPr>
              <w:t>sequentially</w:t>
            </w:r>
            <w:proofErr w:type="gramEnd"/>
            <w:r w:rsidR="00CD4AA5" w:rsidRPr="001B449A">
              <w:rPr>
                <w:rFonts w:ascii="Arial Narrow" w:hAnsi="Arial Narrow"/>
                <w:sz w:val="20"/>
                <w:szCs w:val="16"/>
                <w:lang w:val="en-US"/>
              </w:rPr>
              <w:t xml:space="preserve"> treated with 3 TKIs.</w:t>
            </w:r>
          </w:p>
        </w:tc>
        <w:tc>
          <w:tcPr>
            <w:tcW w:w="1348" w:type="pct"/>
            <w:shd w:val="clear" w:color="auto" w:fill="auto"/>
          </w:tcPr>
          <w:p w:rsidR="00CD4AA5" w:rsidRPr="001B449A" w:rsidRDefault="00CD4AA5" w:rsidP="00CD4AA5">
            <w:pPr>
              <w:jc w:val="left"/>
              <w:rPr>
                <w:rFonts w:ascii="Arial Narrow" w:hAnsi="Arial Narrow"/>
                <w:sz w:val="20"/>
                <w:lang w:val="en-US"/>
              </w:rPr>
            </w:pPr>
            <w:proofErr w:type="spellStart"/>
            <w:r w:rsidRPr="001B449A">
              <w:rPr>
                <w:rFonts w:ascii="Arial Narrow" w:hAnsi="Arial Narrow"/>
                <w:sz w:val="20"/>
                <w:szCs w:val="16"/>
                <w:lang w:val="en-US"/>
              </w:rPr>
              <w:t>CCyR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PCyR</w:t>
            </w:r>
            <w:proofErr w:type="spellEnd"/>
            <w:r w:rsidRPr="001B449A">
              <w:rPr>
                <w:rFonts w:ascii="Arial Narrow" w:hAnsi="Arial Narrow"/>
                <w:sz w:val="20"/>
                <w:szCs w:val="16"/>
                <w:lang w:val="en-US"/>
              </w:rPr>
              <w:t xml:space="preserve">, </w:t>
            </w:r>
            <w:proofErr w:type="spellStart"/>
            <w:r w:rsidRPr="001B449A">
              <w:rPr>
                <w:rFonts w:ascii="Arial Narrow" w:hAnsi="Arial Narrow"/>
                <w:sz w:val="20"/>
                <w:szCs w:val="16"/>
                <w:lang w:val="en-US"/>
              </w:rPr>
              <w:t>mCyR</w:t>
            </w:r>
            <w:proofErr w:type="spellEnd"/>
            <w:r w:rsidRPr="001B449A">
              <w:rPr>
                <w:rFonts w:ascii="Arial Narrow" w:hAnsi="Arial Narrow"/>
                <w:sz w:val="20"/>
                <w:szCs w:val="16"/>
                <w:lang w:val="en-US"/>
              </w:rPr>
              <w:t>, CHR, MMR</w:t>
            </w:r>
          </w:p>
        </w:tc>
      </w:tr>
    </w:tbl>
    <w:p w:rsidR="00CD4AA5" w:rsidRPr="001B449A" w:rsidRDefault="00CD4AA5" w:rsidP="00CD4AA5">
      <w:pPr>
        <w:pStyle w:val="TableFooter"/>
        <w:ind w:firstLine="720"/>
      </w:pPr>
      <w:r w:rsidRPr="001B449A">
        <w:t>Source: compiled during the evaluation</w:t>
      </w:r>
    </w:p>
    <w:p w:rsidR="00CD4AA5" w:rsidRPr="001B449A" w:rsidRDefault="00CD4AA5" w:rsidP="00CD4AA5">
      <w:pPr>
        <w:pStyle w:val="TableFooter"/>
        <w:ind w:left="720"/>
        <w:rPr>
          <w:b/>
        </w:rPr>
      </w:pPr>
      <w:r w:rsidRPr="001B449A">
        <w:t xml:space="preserve">ALL = acute lymphoblastic leukaemia; AML = acute myeloid leukaemia; AP = accelerated phase; BC = blast crisis; </w:t>
      </w:r>
      <w:proofErr w:type="spellStart"/>
      <w:r w:rsidRPr="001B449A">
        <w:t>CCyR</w:t>
      </w:r>
      <w:proofErr w:type="spellEnd"/>
      <w:r w:rsidRPr="001B449A">
        <w:t xml:space="preserve"> = complete cytogenetic response; CHR = complete haematological response; CML = chronic myeloid leukaemia; CP = chronic phase; MC = multi-centre; </w:t>
      </w:r>
      <w:proofErr w:type="spellStart"/>
      <w:r w:rsidRPr="001B449A">
        <w:t>MCyR</w:t>
      </w:r>
      <w:proofErr w:type="spellEnd"/>
      <w:r w:rsidRPr="001B449A">
        <w:t xml:space="preserve"> = major cytogenetic response; </w:t>
      </w:r>
      <w:proofErr w:type="spellStart"/>
      <w:r w:rsidR="00A13DF2" w:rsidRPr="001B449A">
        <w:t>mCyR</w:t>
      </w:r>
      <w:proofErr w:type="spellEnd"/>
      <w:r w:rsidR="00A13DF2" w:rsidRPr="001B449A">
        <w:t xml:space="preserve"> = minor cytogenetic response; </w:t>
      </w:r>
      <w:r w:rsidRPr="001B449A">
        <w:t xml:space="preserve">MHR = major haematological response; MMR = major molecular response; NEL = no evidence of leukaemia; NR = nonrandomised; OL = open label; </w:t>
      </w:r>
      <w:proofErr w:type="spellStart"/>
      <w:r w:rsidRPr="001B449A">
        <w:t>PCyR</w:t>
      </w:r>
      <w:proofErr w:type="spellEnd"/>
      <w:r w:rsidRPr="001B449A">
        <w:t xml:space="preserve"> = partial cytogenetic response; </w:t>
      </w:r>
      <w:proofErr w:type="spellStart"/>
      <w:r w:rsidRPr="001B449A">
        <w:t>Ph</w:t>
      </w:r>
      <w:proofErr w:type="spellEnd"/>
      <w:r w:rsidRPr="001B449A">
        <w:t>+ = Philadelphia chromosome positive; SA = single arm; SC = single centre; TKI = tyrosine kinase inhibitor</w:t>
      </w:r>
    </w:p>
    <w:p w:rsidR="00CD4AA5" w:rsidRPr="001B449A" w:rsidRDefault="00CD4AA5" w:rsidP="00CD4AA5"/>
    <w:p w:rsidR="00CD4AA5" w:rsidRPr="001B449A" w:rsidRDefault="00CD4AA5" w:rsidP="00537221">
      <w:pPr>
        <w:pStyle w:val="ListParagraph"/>
        <w:widowControl/>
        <w:numPr>
          <w:ilvl w:val="1"/>
          <w:numId w:val="12"/>
        </w:numPr>
        <w:ind w:left="720" w:hanging="720"/>
      </w:pPr>
      <w:r w:rsidRPr="001B449A">
        <w:t>Muller 2009 was excluded by the submission as the proportion of patients with the T315I mutation was deemed too small</w:t>
      </w:r>
      <w:r w:rsidR="0059023E" w:rsidRPr="001B449A">
        <w:t xml:space="preserve"> (n = 21)</w:t>
      </w:r>
      <w:r w:rsidR="00E968D6" w:rsidRPr="001B449A">
        <w:t>. T</w:t>
      </w:r>
      <w:r w:rsidRPr="001B449A">
        <w:t xml:space="preserve">his may not be appropriate </w:t>
      </w:r>
      <w:r w:rsidR="0059023E" w:rsidRPr="001B449A">
        <w:t xml:space="preserve">and </w:t>
      </w:r>
      <w:r w:rsidR="00E968D6" w:rsidRPr="001B449A">
        <w:t>the results for thi</w:t>
      </w:r>
      <w:r w:rsidR="0059023E" w:rsidRPr="001B449A">
        <w:t>s subgroup</w:t>
      </w:r>
      <w:r w:rsidRPr="001B449A">
        <w:t xml:space="preserve"> analysis </w:t>
      </w:r>
      <w:r w:rsidR="008957A8">
        <w:t>were</w:t>
      </w:r>
      <w:r w:rsidRPr="001B449A">
        <w:t xml:space="preserve"> presented </w:t>
      </w:r>
      <w:r w:rsidR="0059023E" w:rsidRPr="001B449A">
        <w:t xml:space="preserve">where appropriate </w:t>
      </w:r>
      <w:r w:rsidRPr="001B449A">
        <w:t>in the commentary.</w:t>
      </w:r>
      <w:r w:rsidR="0059023E" w:rsidRPr="001B449A">
        <w:t xml:space="preserve"> In addition, Muller 2009 and PACE are the only studies to report </w:t>
      </w:r>
      <w:r w:rsidR="00EF272A" w:rsidRPr="001B449A">
        <w:t>results for</w:t>
      </w:r>
      <w:r w:rsidR="0059023E" w:rsidRPr="001B449A">
        <w:t xml:space="preserve"> patients with the T315I mutation.</w:t>
      </w:r>
    </w:p>
    <w:p w:rsidR="00CD4AA5" w:rsidRPr="001B449A" w:rsidRDefault="00CD4AA5" w:rsidP="00CD4AA5">
      <w:pPr>
        <w:ind w:left="720"/>
      </w:pPr>
    </w:p>
    <w:p w:rsidR="00CD4AA5" w:rsidRPr="001B449A" w:rsidRDefault="00113580" w:rsidP="00537221">
      <w:pPr>
        <w:pStyle w:val="ListParagraph"/>
        <w:widowControl/>
        <w:numPr>
          <w:ilvl w:val="1"/>
          <w:numId w:val="12"/>
        </w:numPr>
        <w:ind w:left="720" w:hanging="720"/>
      </w:pPr>
      <w:r>
        <w:lastRenderedPageBreak/>
        <w:t>As all the studies were</w:t>
      </w:r>
      <w:r w:rsidR="00CD4AA5" w:rsidRPr="001B449A">
        <w:t xml:space="preserve"> nonrandomised </w:t>
      </w:r>
      <w:r w:rsidR="009528B9" w:rsidRPr="001B449A">
        <w:t>single-arm</w:t>
      </w:r>
      <w:r w:rsidR="000D6003" w:rsidRPr="001B449A">
        <w:t xml:space="preserve"> </w:t>
      </w:r>
      <w:r>
        <w:t>observational studies, there was</w:t>
      </w:r>
      <w:r w:rsidR="00CD4AA5" w:rsidRPr="001B449A">
        <w:t xml:space="preserve"> no common arm to enable an indirect comparison. </w:t>
      </w:r>
      <w:r w:rsidR="004A089D">
        <w:t>This limitation, as well as</w:t>
      </w:r>
      <w:r w:rsidR="00EF272A" w:rsidRPr="001B449A">
        <w:t xml:space="preserve"> the</w:t>
      </w:r>
      <w:r w:rsidR="00CD4AA5" w:rsidRPr="001B449A">
        <w:t xml:space="preserve"> high levels of heterogeneity between the individual s</w:t>
      </w:r>
      <w:r w:rsidR="003375AE" w:rsidRPr="001B449A">
        <w:t>tudies</w:t>
      </w:r>
      <w:r w:rsidR="004A089D">
        <w:t xml:space="preserve"> </w:t>
      </w:r>
      <w:r>
        <w:t>made</w:t>
      </w:r>
      <w:r w:rsidR="003375AE" w:rsidRPr="001B449A">
        <w:t xml:space="preserve"> interpretation of the results of the key outcomes </w:t>
      </w:r>
      <w:r w:rsidR="00CD4AA5" w:rsidRPr="001B449A">
        <w:t>difficult.</w:t>
      </w:r>
    </w:p>
    <w:p w:rsidR="00CD4AA5" w:rsidRPr="001B449A" w:rsidRDefault="00CD4AA5" w:rsidP="00CD4AA5">
      <w:pPr>
        <w:rPr>
          <w:szCs w:val="22"/>
        </w:rPr>
      </w:pPr>
    </w:p>
    <w:p w:rsidR="00CD4AA5" w:rsidRPr="00976978" w:rsidRDefault="00CD4AA5" w:rsidP="00976978">
      <w:pPr>
        <w:rPr>
          <w:b/>
          <w:szCs w:val="22"/>
        </w:rPr>
      </w:pPr>
      <w:bookmarkStart w:id="9" w:name="_Toc398282530"/>
      <w:r w:rsidRPr="00976978">
        <w:rPr>
          <w:b/>
          <w:szCs w:val="22"/>
        </w:rPr>
        <w:t>Comparative effectiveness</w:t>
      </w:r>
      <w:bookmarkEnd w:id="9"/>
    </w:p>
    <w:p w:rsidR="00CD4AA5" w:rsidRPr="001B449A" w:rsidRDefault="00CD4AA5" w:rsidP="00CD4AA5">
      <w:pPr>
        <w:rPr>
          <w:szCs w:val="22"/>
        </w:rPr>
      </w:pPr>
    </w:p>
    <w:p w:rsidR="00CD4AA5" w:rsidRPr="001B449A" w:rsidRDefault="00113580" w:rsidP="009F0D55">
      <w:pPr>
        <w:pStyle w:val="ListParagraph"/>
        <w:widowControl/>
        <w:numPr>
          <w:ilvl w:val="1"/>
          <w:numId w:val="12"/>
        </w:numPr>
        <w:ind w:left="720" w:hanging="720"/>
        <w:rPr>
          <w:szCs w:val="22"/>
        </w:rPr>
      </w:pPr>
      <w:r>
        <w:rPr>
          <w:szCs w:val="22"/>
        </w:rPr>
        <w:t>The submission compared</w:t>
      </w:r>
      <w:r w:rsidR="00CD4AA5" w:rsidRPr="001B449A">
        <w:rPr>
          <w:szCs w:val="22"/>
        </w:rPr>
        <w:t xml:space="preserve"> cytogenetic, molecular and haematological response rates of ponatinib as a second</w:t>
      </w:r>
      <w:r w:rsidR="009528B9" w:rsidRPr="001B449A">
        <w:rPr>
          <w:szCs w:val="22"/>
        </w:rPr>
        <w:t>-</w:t>
      </w:r>
      <w:r w:rsidR="00CD4AA5" w:rsidRPr="001B449A">
        <w:rPr>
          <w:szCs w:val="22"/>
        </w:rPr>
        <w:t>, third</w:t>
      </w:r>
      <w:r w:rsidR="009528B9" w:rsidRPr="001B449A">
        <w:rPr>
          <w:szCs w:val="22"/>
        </w:rPr>
        <w:t>-</w:t>
      </w:r>
      <w:r w:rsidR="00CD4AA5" w:rsidRPr="001B449A">
        <w:rPr>
          <w:szCs w:val="22"/>
        </w:rPr>
        <w:t xml:space="preserve"> and fourth</w:t>
      </w:r>
      <w:r w:rsidR="009528B9" w:rsidRPr="001B449A">
        <w:rPr>
          <w:szCs w:val="22"/>
        </w:rPr>
        <w:t>-</w:t>
      </w:r>
      <w:r w:rsidR="00CD4AA5" w:rsidRPr="001B449A">
        <w:rPr>
          <w:szCs w:val="22"/>
        </w:rPr>
        <w:t xml:space="preserve">line agent in patients with and without the T315I mutation from the PACE study. </w:t>
      </w:r>
      <w:r>
        <w:rPr>
          <w:szCs w:val="22"/>
        </w:rPr>
        <w:t>Patients were</w:t>
      </w:r>
      <w:r w:rsidR="00E9681F" w:rsidRPr="001B449A">
        <w:rPr>
          <w:szCs w:val="22"/>
        </w:rPr>
        <w:t xml:space="preserve"> tested for mutations following resistance to therapy. </w:t>
      </w:r>
      <w:r w:rsidR="00CD4AA5" w:rsidRPr="001B449A">
        <w:rPr>
          <w:szCs w:val="22"/>
        </w:rPr>
        <w:t xml:space="preserve">A summary </w:t>
      </w:r>
      <w:r w:rsidR="003D30EF" w:rsidRPr="001B449A">
        <w:rPr>
          <w:szCs w:val="22"/>
        </w:rPr>
        <w:t xml:space="preserve">of the major cytogenetic response rates for ponatinib </w:t>
      </w:r>
      <w:r w:rsidR="00CD4AA5" w:rsidRPr="001B449A">
        <w:rPr>
          <w:szCs w:val="22"/>
        </w:rPr>
        <w:t xml:space="preserve">is presented in </w:t>
      </w:r>
      <w:r w:rsidR="00D55F94">
        <w:rPr>
          <w:szCs w:val="22"/>
        </w:rPr>
        <w:t>the following table</w:t>
      </w:r>
      <w:r w:rsidR="00CD4AA5" w:rsidRPr="001B449A">
        <w:rPr>
          <w:szCs w:val="22"/>
        </w:rPr>
        <w:t>.</w:t>
      </w:r>
    </w:p>
    <w:p w:rsidR="00CD4AA5" w:rsidRPr="001B449A" w:rsidRDefault="00CD4AA5" w:rsidP="00CD4AA5">
      <w:pPr>
        <w:pStyle w:val="PBACHeading1"/>
        <w:numPr>
          <w:ilvl w:val="0"/>
          <w:numId w:val="0"/>
        </w:numPr>
        <w:ind w:left="720"/>
      </w:pPr>
    </w:p>
    <w:p w:rsidR="00CD4AA5" w:rsidRPr="001B449A" w:rsidRDefault="00CD4AA5" w:rsidP="009C0C48">
      <w:pPr>
        <w:keepNext/>
        <w:ind w:left="720"/>
        <w:rPr>
          <w:rStyle w:val="CommentReference"/>
        </w:rPr>
      </w:pPr>
      <w:r w:rsidRPr="001B449A">
        <w:rPr>
          <w:rStyle w:val="CommentReference"/>
        </w:rPr>
        <w:t xml:space="preserve">Rates of </w:t>
      </w:r>
      <w:r w:rsidR="003D30EF" w:rsidRPr="001B449A">
        <w:rPr>
          <w:rStyle w:val="CommentReference"/>
        </w:rPr>
        <w:t xml:space="preserve">major cytogenetic </w:t>
      </w:r>
      <w:r w:rsidRPr="001B449A">
        <w:rPr>
          <w:rStyle w:val="CommentReference"/>
        </w:rPr>
        <w:t>response for ponatinib when used second</w:t>
      </w:r>
      <w:r w:rsidR="0072397A" w:rsidRPr="001B449A">
        <w:rPr>
          <w:rStyle w:val="CommentReference"/>
        </w:rPr>
        <w:t>-</w:t>
      </w:r>
      <w:r w:rsidRPr="001B449A">
        <w:rPr>
          <w:rStyle w:val="CommentReference"/>
        </w:rPr>
        <w:t>, third</w:t>
      </w:r>
      <w:r w:rsidR="0072397A" w:rsidRPr="001B449A">
        <w:rPr>
          <w:rStyle w:val="CommentReference"/>
        </w:rPr>
        <w:t>-</w:t>
      </w:r>
      <w:r w:rsidRPr="001B449A">
        <w:rPr>
          <w:rStyle w:val="CommentReference"/>
        </w:rPr>
        <w:t xml:space="preserve"> and fourth</w:t>
      </w:r>
      <w:r w:rsidR="0072397A" w:rsidRPr="001B449A">
        <w:rPr>
          <w:rStyle w:val="CommentReference"/>
        </w:rPr>
        <w:t>-</w:t>
      </w:r>
      <w:r w:rsidRPr="001B449A">
        <w:rPr>
          <w:rStyle w:val="CommentReference"/>
        </w:rPr>
        <w:t xml:space="preserve">line in patients from the PACE study with and without the T315I mutation. </w:t>
      </w:r>
    </w:p>
    <w:tbl>
      <w:tblPr>
        <w:tblW w:w="4602" w:type="pct"/>
        <w:tblInd w:w="737" w:type="dxa"/>
        <w:tblLayout w:type="fixed"/>
        <w:tblLook w:val="04A0" w:firstRow="1" w:lastRow="0" w:firstColumn="1" w:lastColumn="0" w:noHBand="0" w:noVBand="1"/>
      </w:tblPr>
      <w:tblGrid>
        <w:gridCol w:w="3686"/>
        <w:gridCol w:w="1134"/>
        <w:gridCol w:w="1134"/>
        <w:gridCol w:w="1134"/>
        <w:gridCol w:w="1272"/>
      </w:tblGrid>
      <w:tr w:rsidR="00CD4AA5" w:rsidRPr="001B449A" w:rsidTr="00113237">
        <w:trPr>
          <w:cantSplit/>
          <w:trHeight w:val="20"/>
          <w:tblHeader/>
        </w:trPr>
        <w:tc>
          <w:tcPr>
            <w:tcW w:w="220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CD4AA5" w:rsidRPr="001B449A" w:rsidRDefault="00CD4AA5" w:rsidP="009C0C48">
            <w:pPr>
              <w:pStyle w:val="Tabletext"/>
              <w:keepNext/>
              <w:widowControl w:val="0"/>
              <w:rPr>
                <w:lang w:val="en-GB" w:eastAsia="en-GB"/>
              </w:rPr>
            </w:pP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9C0C48">
            <w:pPr>
              <w:pStyle w:val="Tabletext"/>
              <w:keepNext/>
              <w:widowControl w:val="0"/>
              <w:jc w:val="center"/>
              <w:rPr>
                <w:b/>
                <w:bCs/>
                <w:lang w:val="en-GB" w:eastAsia="en-GB"/>
              </w:rPr>
            </w:pPr>
            <w:r w:rsidRPr="001B449A">
              <w:rPr>
                <w:b/>
                <w:bCs/>
                <w:szCs w:val="16"/>
                <w:lang w:eastAsia="en-GB"/>
              </w:rPr>
              <w:t>2</w:t>
            </w:r>
            <w:r w:rsidRPr="001B449A">
              <w:rPr>
                <w:b/>
                <w:bCs/>
                <w:szCs w:val="16"/>
                <w:vertAlign w:val="superscript"/>
                <w:lang w:eastAsia="en-GB"/>
              </w:rPr>
              <w:t>nd</w:t>
            </w:r>
            <w:r w:rsidRPr="001B449A">
              <w:rPr>
                <w:b/>
                <w:bCs/>
                <w:szCs w:val="16"/>
                <w:lang w:eastAsia="en-GB"/>
              </w:rPr>
              <w:t xml:space="preserve"> line</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9C0C48">
            <w:pPr>
              <w:pStyle w:val="Tabletext"/>
              <w:keepNext/>
              <w:widowControl w:val="0"/>
              <w:jc w:val="center"/>
              <w:rPr>
                <w:b/>
                <w:bCs/>
                <w:lang w:val="en-GB" w:eastAsia="en-GB"/>
              </w:rPr>
            </w:pPr>
            <w:r w:rsidRPr="001B449A">
              <w:rPr>
                <w:b/>
                <w:bCs/>
                <w:lang w:val="en-GB" w:eastAsia="en-GB"/>
              </w:rPr>
              <w:t>3</w:t>
            </w:r>
            <w:r w:rsidRPr="001B449A">
              <w:rPr>
                <w:b/>
                <w:bCs/>
                <w:vertAlign w:val="superscript"/>
                <w:lang w:val="en-GB" w:eastAsia="en-GB"/>
              </w:rPr>
              <w:t>rd</w:t>
            </w:r>
            <w:r w:rsidRPr="001B449A">
              <w:rPr>
                <w:b/>
                <w:bCs/>
                <w:lang w:val="en-GB" w:eastAsia="en-GB"/>
              </w:rPr>
              <w:t xml:space="preserve"> line</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9C0C48">
            <w:pPr>
              <w:pStyle w:val="Tabletext"/>
              <w:keepNext/>
              <w:widowControl w:val="0"/>
              <w:jc w:val="center"/>
              <w:rPr>
                <w:b/>
                <w:bCs/>
                <w:lang w:val="en-GB" w:eastAsia="en-GB"/>
              </w:rPr>
            </w:pPr>
            <w:r w:rsidRPr="001B449A">
              <w:rPr>
                <w:b/>
                <w:bCs/>
                <w:szCs w:val="16"/>
                <w:lang w:eastAsia="en-GB"/>
              </w:rPr>
              <w:t>4</w:t>
            </w:r>
            <w:r w:rsidRPr="001B449A">
              <w:rPr>
                <w:b/>
                <w:bCs/>
                <w:szCs w:val="16"/>
                <w:vertAlign w:val="superscript"/>
                <w:lang w:eastAsia="en-GB"/>
              </w:rPr>
              <w:t>th</w:t>
            </w:r>
            <w:r w:rsidRPr="001B449A">
              <w:rPr>
                <w:b/>
                <w:bCs/>
                <w:szCs w:val="16"/>
                <w:lang w:eastAsia="en-GB"/>
              </w:rPr>
              <w:t xml:space="preserve"> line</w:t>
            </w:r>
          </w:p>
        </w:tc>
        <w:tc>
          <w:tcPr>
            <w:tcW w:w="76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9C0C48">
            <w:pPr>
              <w:pStyle w:val="Tabletext"/>
              <w:keepNext/>
              <w:widowControl w:val="0"/>
              <w:jc w:val="center"/>
              <w:rPr>
                <w:b/>
                <w:bCs/>
                <w:lang w:val="en-GB" w:eastAsia="en-GB"/>
              </w:rPr>
            </w:pPr>
            <w:r w:rsidRPr="001B449A">
              <w:rPr>
                <w:b/>
                <w:bCs/>
                <w:lang w:val="en-GB" w:eastAsia="en-GB"/>
              </w:rPr>
              <w:t>All patients</w:t>
            </w:r>
          </w:p>
        </w:tc>
      </w:tr>
      <w:tr w:rsidR="00CD4AA5" w:rsidRPr="001B449A" w:rsidTr="00033821">
        <w:trPr>
          <w:trHeight w:val="20"/>
        </w:trPr>
        <w:tc>
          <w:tcPr>
            <w:tcW w:w="5000" w:type="pct"/>
            <w:gridSpan w:val="5"/>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9C0C48">
            <w:pPr>
              <w:pStyle w:val="Tabletext"/>
              <w:keepNext/>
              <w:widowControl w:val="0"/>
              <w:rPr>
                <w:b/>
                <w:szCs w:val="16"/>
                <w:lang w:eastAsia="en-GB"/>
              </w:rPr>
            </w:pPr>
            <w:r w:rsidRPr="001B449A">
              <w:rPr>
                <w:b/>
                <w:szCs w:val="16"/>
                <w:lang w:eastAsia="en-GB"/>
              </w:rPr>
              <w:t>Chronic phase CML</w:t>
            </w:r>
          </w:p>
        </w:tc>
      </w:tr>
      <w:tr w:rsidR="00CD4AA5" w:rsidRPr="001B449A" w:rsidTr="00113237">
        <w:trPr>
          <w:trHeight w:val="20"/>
        </w:trPr>
        <w:tc>
          <w:tcPr>
            <w:tcW w:w="220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CD4AA5" w:rsidRPr="001B449A" w:rsidRDefault="00CD4AA5" w:rsidP="00CD4AA5">
            <w:pPr>
              <w:pStyle w:val="Tabletext"/>
              <w:rPr>
                <w:lang w:val="en-GB" w:eastAsia="en-GB"/>
              </w:rPr>
            </w:pPr>
            <w:r w:rsidRPr="001B449A">
              <w:rPr>
                <w:szCs w:val="16"/>
                <w:lang w:eastAsia="en-GB"/>
              </w:rPr>
              <w:t xml:space="preserve">    Resistant or intolerant to previous therapy</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szCs w:val="16"/>
                <w:lang w:eastAsia="en-GB"/>
              </w:rPr>
              <w:t>3/5 (60%)</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lang w:val="en-GB" w:eastAsia="en-GB"/>
              </w:rPr>
              <w:t>41/76 (54%)</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szCs w:val="16"/>
                <w:lang w:eastAsia="en-GB"/>
              </w:rPr>
              <w:t>55/122 (45%)</w:t>
            </w:r>
          </w:p>
        </w:tc>
        <w:tc>
          <w:tcPr>
            <w:tcW w:w="761"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CD4AA5" w:rsidRPr="001B449A" w:rsidRDefault="00CD4AA5" w:rsidP="00113237">
            <w:pPr>
              <w:pStyle w:val="Tabletext"/>
              <w:jc w:val="center"/>
              <w:rPr>
                <w:lang w:val="en-GB" w:eastAsia="en-GB"/>
              </w:rPr>
            </w:pPr>
            <w:r w:rsidRPr="001B449A">
              <w:rPr>
                <w:lang w:val="en-GB" w:eastAsia="en-GB"/>
              </w:rPr>
              <w:t xml:space="preserve">144/267 </w:t>
            </w:r>
            <w:r w:rsidR="00113237" w:rsidRPr="001B449A">
              <w:rPr>
                <w:lang w:val="en-GB" w:eastAsia="en-GB"/>
              </w:rPr>
              <w:t>(</w:t>
            </w:r>
            <w:r w:rsidRPr="001B449A">
              <w:rPr>
                <w:lang w:val="en-GB" w:eastAsia="en-GB"/>
              </w:rPr>
              <w:t>54%)</w:t>
            </w:r>
          </w:p>
        </w:tc>
      </w:tr>
      <w:tr w:rsidR="00CD4AA5" w:rsidRPr="001B449A" w:rsidTr="00113237">
        <w:trPr>
          <w:trHeight w:val="20"/>
        </w:trPr>
        <w:tc>
          <w:tcPr>
            <w:tcW w:w="220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CD4AA5" w:rsidRPr="001B449A" w:rsidRDefault="00CD4AA5" w:rsidP="00CD4AA5">
            <w:pPr>
              <w:pStyle w:val="Tabletext"/>
              <w:rPr>
                <w:lang w:val="en-GB" w:eastAsia="en-GB"/>
              </w:rPr>
            </w:pPr>
            <w:r w:rsidRPr="001B449A">
              <w:rPr>
                <w:lang w:val="en-GB" w:eastAsia="en-GB"/>
              </w:rPr>
              <w:t xml:space="preserve">    T315I mutation present</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szCs w:val="16"/>
                <w:lang w:eastAsia="en-GB"/>
              </w:rPr>
              <w:t>10/11 (91%)</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szCs w:val="16"/>
                <w:lang w:eastAsia="en-GB"/>
              </w:rPr>
              <w:t>24/31 (77%)</w:t>
            </w:r>
          </w:p>
        </w:tc>
        <w:tc>
          <w:tcPr>
            <w:tcW w:w="67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D4AA5" w:rsidRPr="001B449A" w:rsidRDefault="00CD4AA5" w:rsidP="00CD4AA5">
            <w:pPr>
              <w:pStyle w:val="Tabletext"/>
              <w:jc w:val="center"/>
              <w:rPr>
                <w:lang w:val="en-GB" w:eastAsia="en-GB"/>
              </w:rPr>
            </w:pPr>
            <w:r w:rsidRPr="001B449A">
              <w:rPr>
                <w:lang w:val="en-GB" w:eastAsia="en-GB"/>
              </w:rPr>
              <w:t>11/21 (52%)</w:t>
            </w:r>
          </w:p>
        </w:tc>
        <w:tc>
          <w:tcPr>
            <w:tcW w:w="761" w:type="pct"/>
            <w:vMerge/>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rsidR="00CD4AA5" w:rsidRPr="001B449A" w:rsidRDefault="00CD4AA5" w:rsidP="00CD4AA5">
            <w:pPr>
              <w:pStyle w:val="Tabletext"/>
              <w:rPr>
                <w:lang w:val="en-GB" w:eastAsia="en-GB"/>
              </w:rPr>
            </w:pPr>
          </w:p>
        </w:tc>
      </w:tr>
      <w:tr w:rsidR="00CD4AA5" w:rsidRPr="001B449A" w:rsidTr="0003382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b/>
                <w:lang w:val="en-GB" w:eastAsia="en-GB"/>
              </w:rPr>
            </w:pPr>
            <w:r w:rsidRPr="001B449A">
              <w:rPr>
                <w:b/>
                <w:lang w:val="en-GB" w:eastAsia="en-GB"/>
              </w:rPr>
              <w:t>Accelerated phase CML</w:t>
            </w:r>
          </w:p>
        </w:tc>
      </w:tr>
      <w:tr w:rsidR="00CD4AA5" w:rsidRPr="001B449A" w:rsidTr="00113237">
        <w:trPr>
          <w:trHeight w:val="20"/>
        </w:trPr>
        <w:tc>
          <w:tcPr>
            <w:tcW w:w="220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lang w:val="en-GB" w:eastAsia="en-GB"/>
              </w:rPr>
            </w:pPr>
            <w:r w:rsidRPr="001B449A">
              <w:rPr>
                <w:szCs w:val="16"/>
                <w:lang w:eastAsia="en-GB"/>
              </w:rPr>
              <w:t xml:space="preserve">    Resistant or intolerant to previous therapy</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eastAsia="en-GB"/>
              </w:rPr>
              <w:t>1/1 (100%)</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eastAsia="uz-Cyrl-UZ" w:bidi="uz-Cyrl-UZ"/>
              </w:rPr>
              <w:t>9/27 (33%)</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eastAsia="uz-Cyrl-UZ" w:bidi="uz-Cyrl-UZ"/>
              </w:rPr>
              <w:t>12/37 (32%)</w:t>
            </w:r>
          </w:p>
        </w:tc>
        <w:tc>
          <w:tcPr>
            <w:tcW w:w="761"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D4AA5" w:rsidRPr="001B449A" w:rsidRDefault="00CD4AA5" w:rsidP="00113237">
            <w:pPr>
              <w:pStyle w:val="Tabletext"/>
              <w:jc w:val="center"/>
              <w:rPr>
                <w:lang w:val="en-GB" w:eastAsia="en-GB"/>
              </w:rPr>
            </w:pPr>
            <w:r w:rsidRPr="001B449A">
              <w:rPr>
                <w:lang w:val="en-GB" w:eastAsia="en-GB"/>
              </w:rPr>
              <w:t>32/83 (39%)</w:t>
            </w:r>
          </w:p>
        </w:tc>
      </w:tr>
      <w:tr w:rsidR="00CD4AA5" w:rsidRPr="001B449A" w:rsidTr="00113237">
        <w:trPr>
          <w:trHeight w:val="20"/>
        </w:trPr>
        <w:tc>
          <w:tcPr>
            <w:tcW w:w="220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lang w:val="en-GB" w:eastAsia="en-GB"/>
              </w:rPr>
            </w:pPr>
            <w:r w:rsidRPr="001B449A">
              <w:rPr>
                <w:lang w:val="en-GB" w:eastAsia="en-GB"/>
              </w:rPr>
              <w:t xml:space="preserve">    T315I mutation present</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eastAsia="en-GB"/>
              </w:rPr>
              <w:t>3/3 (100%)</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Footer"/>
              <w:jc w:val="center"/>
              <w:rPr>
                <w:sz w:val="20"/>
                <w:lang w:val="en-GB" w:eastAsia="en-GB"/>
              </w:rPr>
            </w:pPr>
            <w:r w:rsidRPr="001B449A">
              <w:rPr>
                <w:sz w:val="20"/>
                <w:lang w:eastAsia="uz-Cyrl-UZ" w:bidi="uz-Cyrl-UZ"/>
              </w:rPr>
              <w:t>4/6 (67%)</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Footer"/>
              <w:jc w:val="center"/>
              <w:rPr>
                <w:sz w:val="20"/>
                <w:lang w:val="en-GB" w:eastAsia="en-GB"/>
              </w:rPr>
            </w:pPr>
            <w:r w:rsidRPr="001B449A">
              <w:rPr>
                <w:sz w:val="20"/>
                <w:lang w:eastAsia="uz-Cyrl-UZ" w:bidi="uz-Cyrl-UZ"/>
              </w:rPr>
              <w:t>3/9 (33%)</w:t>
            </w:r>
          </w:p>
        </w:tc>
        <w:tc>
          <w:tcPr>
            <w:tcW w:w="761"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CD4AA5" w:rsidRPr="001B449A" w:rsidRDefault="00CD4AA5" w:rsidP="00CD4AA5">
            <w:pPr>
              <w:pStyle w:val="Tabletext"/>
              <w:rPr>
                <w:lang w:val="en-GB" w:eastAsia="en-GB"/>
              </w:rPr>
            </w:pPr>
          </w:p>
        </w:tc>
      </w:tr>
      <w:tr w:rsidR="00CD4AA5" w:rsidRPr="001B449A" w:rsidTr="0003382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b/>
                <w:lang w:val="en-GB" w:eastAsia="en-GB"/>
              </w:rPr>
            </w:pPr>
            <w:r w:rsidRPr="001B449A">
              <w:rPr>
                <w:b/>
                <w:lang w:val="en-GB" w:eastAsia="en-GB"/>
              </w:rPr>
              <w:t xml:space="preserve">Blast crisis or </w:t>
            </w:r>
            <w:proofErr w:type="spellStart"/>
            <w:r w:rsidRPr="001B449A">
              <w:rPr>
                <w:b/>
                <w:lang w:val="en-GB" w:eastAsia="en-GB"/>
              </w:rPr>
              <w:t>Ph</w:t>
            </w:r>
            <w:proofErr w:type="spellEnd"/>
            <w:r w:rsidRPr="001B449A">
              <w:rPr>
                <w:b/>
                <w:lang w:val="en-GB" w:eastAsia="en-GB"/>
              </w:rPr>
              <w:t>+ ALL</w:t>
            </w:r>
          </w:p>
        </w:tc>
      </w:tr>
      <w:tr w:rsidR="00CD4AA5" w:rsidRPr="001B449A" w:rsidTr="00113237">
        <w:trPr>
          <w:trHeight w:val="20"/>
        </w:trPr>
        <w:tc>
          <w:tcPr>
            <w:tcW w:w="220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lang w:val="en-GB" w:eastAsia="en-GB"/>
              </w:rPr>
            </w:pPr>
            <w:r w:rsidRPr="001B449A">
              <w:rPr>
                <w:szCs w:val="16"/>
                <w:lang w:eastAsia="en-GB"/>
              </w:rPr>
              <w:t xml:space="preserve">    Resistant or intolerant to previous therapy</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val="en-GB" w:eastAsia="en-GB"/>
              </w:rPr>
              <w:t>1/2 (50%)</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val="en-GB" w:eastAsia="en-GB"/>
              </w:rPr>
              <w:t>6/13 (46%)</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val="en-GB" w:eastAsia="en-GB"/>
              </w:rPr>
              <w:t>6/33 (18%)</w:t>
            </w:r>
          </w:p>
        </w:tc>
        <w:tc>
          <w:tcPr>
            <w:tcW w:w="761"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CD4AA5" w:rsidRPr="001B449A" w:rsidRDefault="00CD4AA5" w:rsidP="00113237">
            <w:pPr>
              <w:pStyle w:val="Tabletext"/>
              <w:jc w:val="center"/>
              <w:rPr>
                <w:lang w:val="en-GB" w:eastAsia="en-GB"/>
              </w:rPr>
            </w:pPr>
            <w:r w:rsidRPr="001B449A">
              <w:rPr>
                <w:lang w:val="en-GB" w:eastAsia="en-GB"/>
              </w:rPr>
              <w:t>29/94</w:t>
            </w:r>
            <w:r w:rsidR="00113237" w:rsidRPr="001B449A">
              <w:rPr>
                <w:lang w:val="en-GB" w:eastAsia="en-GB"/>
              </w:rPr>
              <w:t xml:space="preserve"> </w:t>
            </w:r>
            <w:r w:rsidRPr="001B449A">
              <w:rPr>
                <w:lang w:val="en-GB" w:eastAsia="en-GB"/>
              </w:rPr>
              <w:t>(31%)</w:t>
            </w:r>
          </w:p>
        </w:tc>
      </w:tr>
      <w:tr w:rsidR="00CD4AA5" w:rsidRPr="001B449A" w:rsidTr="00113237">
        <w:trPr>
          <w:trHeight w:val="20"/>
        </w:trPr>
        <w:tc>
          <w:tcPr>
            <w:tcW w:w="220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CD4AA5" w:rsidRPr="001B449A" w:rsidRDefault="00CD4AA5" w:rsidP="00CD4AA5">
            <w:pPr>
              <w:pStyle w:val="Tabletext"/>
              <w:rPr>
                <w:lang w:val="en-GB" w:eastAsia="en-GB"/>
              </w:rPr>
            </w:pPr>
            <w:r w:rsidRPr="001B449A">
              <w:rPr>
                <w:lang w:val="en-GB" w:eastAsia="en-GB"/>
              </w:rPr>
              <w:t xml:space="preserve">    T315I mutation present</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text"/>
              <w:jc w:val="center"/>
              <w:rPr>
                <w:lang w:val="en-GB" w:eastAsia="en-GB"/>
              </w:rPr>
            </w:pPr>
            <w:r w:rsidRPr="001B449A">
              <w:rPr>
                <w:lang w:val="en-GB" w:eastAsia="en-GB"/>
              </w:rPr>
              <w:t>4/7 (57%)</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Footer"/>
              <w:jc w:val="center"/>
              <w:rPr>
                <w:sz w:val="20"/>
                <w:lang w:val="en-GB" w:eastAsia="en-GB"/>
              </w:rPr>
            </w:pPr>
            <w:r w:rsidRPr="001B449A">
              <w:rPr>
                <w:sz w:val="20"/>
                <w:lang w:val="en-GB" w:eastAsia="en-GB"/>
              </w:rPr>
              <w:t>9/24 (38%)</w:t>
            </w:r>
          </w:p>
        </w:tc>
        <w:tc>
          <w:tcPr>
            <w:tcW w:w="67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4AA5" w:rsidRPr="001B449A" w:rsidRDefault="00CD4AA5" w:rsidP="00CD4AA5">
            <w:pPr>
              <w:pStyle w:val="TableFooter"/>
              <w:jc w:val="center"/>
              <w:rPr>
                <w:sz w:val="20"/>
                <w:lang w:val="en-GB" w:eastAsia="en-GB"/>
              </w:rPr>
            </w:pPr>
            <w:r w:rsidRPr="001B449A">
              <w:rPr>
                <w:sz w:val="20"/>
                <w:lang w:val="en-GB" w:eastAsia="en-GB"/>
              </w:rPr>
              <w:t>3/15 (20%)</w:t>
            </w:r>
          </w:p>
        </w:tc>
        <w:tc>
          <w:tcPr>
            <w:tcW w:w="761" w:type="pct"/>
            <w:vMerge/>
            <w:tcBorders>
              <w:left w:val="single" w:sz="4" w:space="0" w:color="auto"/>
              <w:bottom w:val="single" w:sz="4" w:space="0" w:color="auto"/>
              <w:right w:val="single" w:sz="4" w:space="0" w:color="auto"/>
            </w:tcBorders>
            <w:tcMar>
              <w:left w:w="28" w:type="dxa"/>
              <w:right w:w="28" w:type="dxa"/>
            </w:tcMar>
            <w:vAlign w:val="center"/>
          </w:tcPr>
          <w:p w:rsidR="00CD4AA5" w:rsidRPr="001B449A" w:rsidRDefault="00CD4AA5" w:rsidP="00CD4AA5">
            <w:pPr>
              <w:pStyle w:val="Tabletext"/>
              <w:rPr>
                <w:lang w:val="en-GB" w:eastAsia="en-GB"/>
              </w:rPr>
            </w:pPr>
          </w:p>
        </w:tc>
      </w:tr>
    </w:tbl>
    <w:p w:rsidR="00CD4AA5" w:rsidRPr="001B449A" w:rsidRDefault="00CD4AA5" w:rsidP="00CD4AA5">
      <w:pPr>
        <w:pStyle w:val="TableFooter"/>
        <w:ind w:firstLine="720"/>
      </w:pPr>
      <w:r w:rsidRPr="001B449A">
        <w:t>Source: Table 30, p78; Table 42, p94; Table 54, p105 of the submission</w:t>
      </w:r>
    </w:p>
    <w:p w:rsidR="00CD4AA5" w:rsidRPr="001B449A" w:rsidRDefault="00CD4AA5" w:rsidP="00CD4AA5">
      <w:pPr>
        <w:pStyle w:val="TableFooter"/>
        <w:ind w:left="720"/>
      </w:pPr>
      <w:r w:rsidRPr="001B449A">
        <w:t xml:space="preserve">ALL= acute lymphoblastic leukaemia; CML = chronic myeloid leukaemia; </w:t>
      </w:r>
      <w:proofErr w:type="spellStart"/>
      <w:r w:rsidRPr="001B449A">
        <w:t>Ph</w:t>
      </w:r>
      <w:proofErr w:type="spellEnd"/>
      <w:r w:rsidRPr="001B449A">
        <w:t>+ = Philadelphia chromosome positive</w:t>
      </w:r>
    </w:p>
    <w:p w:rsidR="00CD4AA5" w:rsidRPr="001B449A" w:rsidRDefault="00CD4AA5" w:rsidP="00CD4AA5">
      <w:pPr>
        <w:rPr>
          <w:rStyle w:val="CommentReference"/>
        </w:rPr>
      </w:pPr>
    </w:p>
    <w:p w:rsidR="00CD4AA5" w:rsidRDefault="00CD4AA5" w:rsidP="00537221">
      <w:pPr>
        <w:pStyle w:val="ListParagraph"/>
        <w:widowControl/>
        <w:numPr>
          <w:ilvl w:val="1"/>
          <w:numId w:val="12"/>
        </w:numPr>
        <w:ind w:left="720" w:hanging="720"/>
        <w:rPr>
          <w:rStyle w:val="CommentReference"/>
          <w:rFonts w:ascii="Arial" w:hAnsi="Arial"/>
          <w:b w:val="0"/>
          <w:sz w:val="22"/>
          <w:szCs w:val="22"/>
        </w:rPr>
      </w:pPr>
      <w:r w:rsidRPr="001B449A">
        <w:rPr>
          <w:rStyle w:val="CommentReference"/>
          <w:rFonts w:ascii="Arial" w:hAnsi="Arial"/>
          <w:b w:val="0"/>
          <w:sz w:val="22"/>
          <w:szCs w:val="22"/>
        </w:rPr>
        <w:t>The results suggest</w:t>
      </w:r>
      <w:r w:rsidR="00113580">
        <w:rPr>
          <w:rStyle w:val="CommentReference"/>
          <w:rFonts w:ascii="Arial" w:hAnsi="Arial"/>
          <w:b w:val="0"/>
          <w:sz w:val="22"/>
          <w:szCs w:val="22"/>
        </w:rPr>
        <w:t>ed</w:t>
      </w:r>
      <w:r w:rsidRPr="001B449A">
        <w:rPr>
          <w:rStyle w:val="CommentReference"/>
          <w:rFonts w:ascii="Arial" w:hAnsi="Arial"/>
          <w:b w:val="0"/>
          <w:sz w:val="22"/>
          <w:szCs w:val="22"/>
        </w:rPr>
        <w:t xml:space="preserve"> that ponatinib may be more effective when used as second</w:t>
      </w:r>
      <w:r w:rsidR="0072397A" w:rsidRPr="001B449A">
        <w:rPr>
          <w:rStyle w:val="CommentReference"/>
          <w:rFonts w:ascii="Arial" w:hAnsi="Arial"/>
          <w:b w:val="0"/>
          <w:sz w:val="22"/>
          <w:szCs w:val="22"/>
        </w:rPr>
        <w:t>-</w:t>
      </w:r>
      <w:r w:rsidRPr="001B449A">
        <w:rPr>
          <w:rStyle w:val="CommentReference"/>
          <w:rFonts w:ascii="Arial" w:hAnsi="Arial"/>
          <w:b w:val="0"/>
          <w:sz w:val="22"/>
          <w:szCs w:val="22"/>
        </w:rPr>
        <w:t xml:space="preserve"> or third</w:t>
      </w:r>
      <w:r w:rsidR="0072397A" w:rsidRPr="001B449A">
        <w:rPr>
          <w:rStyle w:val="CommentReference"/>
          <w:rFonts w:ascii="Arial" w:hAnsi="Arial"/>
          <w:b w:val="0"/>
          <w:sz w:val="22"/>
          <w:szCs w:val="22"/>
        </w:rPr>
        <w:t>-</w:t>
      </w:r>
      <w:r w:rsidRPr="001B449A">
        <w:rPr>
          <w:rStyle w:val="CommentReference"/>
          <w:rFonts w:ascii="Arial" w:hAnsi="Arial"/>
          <w:b w:val="0"/>
          <w:sz w:val="22"/>
          <w:szCs w:val="22"/>
        </w:rPr>
        <w:t xml:space="preserve">line therapy in patients with the T315I mutation who are in the chronic phase. For patients with accelerated phase CML and blast crisis CML or </w:t>
      </w:r>
      <w:r w:rsidR="003375AE" w:rsidRPr="001B449A">
        <w:rPr>
          <w:rStyle w:val="CommentReference"/>
          <w:rFonts w:ascii="Arial" w:hAnsi="Arial"/>
          <w:b w:val="0"/>
          <w:sz w:val="22"/>
          <w:szCs w:val="22"/>
        </w:rPr>
        <w:t xml:space="preserve">those </w:t>
      </w:r>
      <w:r w:rsidRPr="001B449A">
        <w:rPr>
          <w:rStyle w:val="CommentReference"/>
          <w:rFonts w:ascii="Arial" w:hAnsi="Arial"/>
          <w:b w:val="0"/>
          <w:sz w:val="22"/>
          <w:szCs w:val="22"/>
        </w:rPr>
        <w:t xml:space="preserve">with </w:t>
      </w:r>
      <w:proofErr w:type="spellStart"/>
      <w:r w:rsidRPr="001B449A">
        <w:rPr>
          <w:rStyle w:val="CommentReference"/>
          <w:rFonts w:ascii="Arial" w:hAnsi="Arial"/>
          <w:b w:val="0"/>
          <w:sz w:val="22"/>
          <w:szCs w:val="22"/>
        </w:rPr>
        <w:t>Ph</w:t>
      </w:r>
      <w:proofErr w:type="spellEnd"/>
      <w:r w:rsidRPr="001B449A">
        <w:rPr>
          <w:rStyle w:val="CommentReference"/>
          <w:rFonts w:ascii="Arial" w:hAnsi="Arial"/>
          <w:b w:val="0"/>
          <w:sz w:val="22"/>
          <w:szCs w:val="22"/>
        </w:rPr>
        <w:t>+</w:t>
      </w:r>
      <w:r w:rsidR="003375AE" w:rsidRPr="001B449A">
        <w:rPr>
          <w:rStyle w:val="CommentReference"/>
          <w:rFonts w:ascii="Arial" w:hAnsi="Arial"/>
          <w:b w:val="0"/>
          <w:sz w:val="22"/>
          <w:szCs w:val="22"/>
        </w:rPr>
        <w:t xml:space="preserve"> </w:t>
      </w:r>
      <w:r w:rsidRPr="001B449A">
        <w:rPr>
          <w:rStyle w:val="CommentReference"/>
          <w:rFonts w:ascii="Arial" w:hAnsi="Arial"/>
          <w:b w:val="0"/>
          <w:sz w:val="22"/>
          <w:szCs w:val="22"/>
        </w:rPr>
        <w:t xml:space="preserve">ALL ponatinib seems to be as effective in patients with the T315I mutation as in those who are resistant or intolerant to previous therapy. Low patient numbers in a number of the patient categories and the absence of randomisation means that these results </w:t>
      </w:r>
      <w:r w:rsidR="004A089D">
        <w:rPr>
          <w:rStyle w:val="CommentReference"/>
          <w:rFonts w:ascii="Arial" w:hAnsi="Arial"/>
          <w:b w:val="0"/>
          <w:sz w:val="22"/>
          <w:szCs w:val="22"/>
        </w:rPr>
        <w:t>may be of limited reliability</w:t>
      </w:r>
      <w:r w:rsidRPr="001B449A">
        <w:rPr>
          <w:rStyle w:val="CommentReference"/>
          <w:rFonts w:ascii="Arial" w:hAnsi="Arial"/>
          <w:b w:val="0"/>
          <w:sz w:val="22"/>
          <w:szCs w:val="22"/>
        </w:rPr>
        <w:t>.</w:t>
      </w:r>
    </w:p>
    <w:p w:rsidR="00CD3BAA" w:rsidRPr="001B449A" w:rsidRDefault="00CD3BAA" w:rsidP="00121C8D">
      <w:pPr>
        <w:rPr>
          <w:rStyle w:val="CommentReference"/>
          <w:rFonts w:ascii="Arial" w:hAnsi="Arial"/>
          <w:b w:val="0"/>
          <w:sz w:val="22"/>
          <w:szCs w:val="22"/>
        </w:rPr>
      </w:pPr>
    </w:p>
    <w:p w:rsidR="00CD4AA5" w:rsidRPr="001B449A" w:rsidRDefault="00113580" w:rsidP="009F0D55">
      <w:pPr>
        <w:pStyle w:val="ListParagraph"/>
        <w:widowControl/>
        <w:numPr>
          <w:ilvl w:val="1"/>
          <w:numId w:val="12"/>
        </w:numPr>
        <w:ind w:left="720" w:hanging="720"/>
        <w:rPr>
          <w:szCs w:val="22"/>
        </w:rPr>
      </w:pPr>
      <w:r>
        <w:rPr>
          <w:szCs w:val="22"/>
        </w:rPr>
        <w:t>The submission also compared</w:t>
      </w:r>
      <w:r w:rsidR="00CD4AA5" w:rsidRPr="001B449A">
        <w:rPr>
          <w:szCs w:val="22"/>
        </w:rPr>
        <w:t xml:space="preserve"> cytogenetic, molecular and haematological response rates between the two ponatinib studi</w:t>
      </w:r>
      <w:r w:rsidR="00CD4AA5" w:rsidRPr="001B449A">
        <w:t xml:space="preserve">es and eight dasatinib or nilotinib studies. The complete cytogenetic response </w:t>
      </w:r>
      <w:r w:rsidR="00B10134" w:rsidRPr="001B449A">
        <w:t xml:space="preserve">for chronic phase CML and major cytogenetic response for accelerated phase and blast crisis CML or </w:t>
      </w:r>
      <w:proofErr w:type="spellStart"/>
      <w:r w:rsidR="00B10134" w:rsidRPr="001B449A">
        <w:t>Ph</w:t>
      </w:r>
      <w:proofErr w:type="spellEnd"/>
      <w:r w:rsidR="00B10134" w:rsidRPr="001B449A">
        <w:t xml:space="preserve">+ ALL </w:t>
      </w:r>
      <w:r>
        <w:t>results were</w:t>
      </w:r>
      <w:r w:rsidR="00CD4AA5" w:rsidRPr="001B449A">
        <w:t xml:space="preserve"> presented in </w:t>
      </w:r>
      <w:r w:rsidR="009F0D55">
        <w:t>the following table</w:t>
      </w:r>
      <w:r w:rsidR="00CD4AA5" w:rsidRPr="001B449A">
        <w:t>.</w:t>
      </w:r>
    </w:p>
    <w:p w:rsidR="00CD4AA5" w:rsidRPr="001B449A" w:rsidRDefault="00CD4AA5" w:rsidP="00CD4AA5">
      <w:pPr>
        <w:pStyle w:val="ListParagraph"/>
        <w:widowControl/>
        <w:rPr>
          <w:szCs w:val="22"/>
        </w:rPr>
      </w:pPr>
    </w:p>
    <w:p w:rsidR="00CD4AA5" w:rsidRPr="001B449A" w:rsidRDefault="00CD4AA5" w:rsidP="00C54D8E">
      <w:pPr>
        <w:pStyle w:val="ListParagraph"/>
        <w:keepNext/>
        <w:rPr>
          <w:rStyle w:val="CommentReference"/>
        </w:rPr>
      </w:pPr>
      <w:r w:rsidRPr="001B449A">
        <w:rPr>
          <w:rStyle w:val="CommentReference"/>
        </w:rPr>
        <w:lastRenderedPageBreak/>
        <w:t xml:space="preserve">Complete cytogenetic </w:t>
      </w:r>
      <w:r w:rsidR="00B10134" w:rsidRPr="001B449A">
        <w:rPr>
          <w:rStyle w:val="CommentReference"/>
        </w:rPr>
        <w:t xml:space="preserve">or major cytogenetic response </w:t>
      </w:r>
      <w:r w:rsidRPr="001B449A">
        <w:rPr>
          <w:rStyle w:val="CommentReference"/>
        </w:rPr>
        <w:t xml:space="preserve">results across the nonrandomised studies </w:t>
      </w:r>
    </w:p>
    <w:tbl>
      <w:tblPr>
        <w:tblW w:w="4602" w:type="pct"/>
        <w:tblInd w:w="737" w:type="dxa"/>
        <w:tblLook w:val="04A0" w:firstRow="1" w:lastRow="0" w:firstColumn="1" w:lastColumn="0" w:noHBand="0" w:noVBand="1"/>
      </w:tblPr>
      <w:tblGrid>
        <w:gridCol w:w="2127"/>
        <w:gridCol w:w="1558"/>
        <w:gridCol w:w="1562"/>
        <w:gridCol w:w="1558"/>
        <w:gridCol w:w="1555"/>
      </w:tblGrid>
      <w:tr w:rsidR="00CD4AA5" w:rsidRPr="001B449A" w:rsidTr="00872DC3">
        <w:trPr>
          <w:cantSplit/>
          <w:trHeight w:val="20"/>
          <w:tblHeader/>
        </w:trPr>
        <w:tc>
          <w:tcPr>
            <w:tcW w:w="1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left"/>
              <w:rPr>
                <w:rFonts w:ascii="Arial Narrow" w:hAnsi="Arial Narrow" w:cs="Times New Roman"/>
                <w:b/>
                <w:bCs/>
                <w:snapToGrid/>
                <w:color w:val="000000"/>
                <w:sz w:val="20"/>
                <w:lang w:val="en-GB" w:eastAsia="en-GB"/>
              </w:rPr>
            </w:pPr>
            <w:r w:rsidRPr="001B449A">
              <w:rPr>
                <w:rFonts w:ascii="Arial Narrow" w:hAnsi="Arial Narrow" w:cs="Times New Roman"/>
                <w:b/>
                <w:bCs/>
                <w:snapToGrid/>
                <w:color w:val="000000"/>
                <w:sz w:val="20"/>
                <w:lang w:eastAsia="en-GB"/>
              </w:rPr>
              <w:t>Stud</w:t>
            </w:r>
            <w:r w:rsidR="003B189B" w:rsidRPr="001B449A">
              <w:rPr>
                <w:rFonts w:ascii="Arial Narrow" w:hAnsi="Arial Narrow" w:cs="Times New Roman"/>
                <w:b/>
                <w:bCs/>
                <w:snapToGrid/>
                <w:color w:val="000000"/>
                <w:sz w:val="20"/>
                <w:lang w:eastAsia="en-GB"/>
              </w:rPr>
              <w:t>y</w:t>
            </w:r>
          </w:p>
        </w:tc>
        <w:tc>
          <w:tcPr>
            <w:tcW w:w="932" w:type="pct"/>
            <w:tcBorders>
              <w:top w:val="single" w:sz="4" w:space="0" w:color="auto"/>
              <w:left w:val="nil"/>
              <w:bottom w:val="single" w:sz="4" w:space="0" w:color="auto"/>
              <w:right w:val="doub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b/>
                <w:bCs/>
                <w:snapToGrid/>
                <w:color w:val="000000"/>
                <w:sz w:val="20"/>
                <w:lang w:eastAsia="en-GB"/>
              </w:rPr>
            </w:pPr>
            <w:r w:rsidRPr="001B449A">
              <w:rPr>
                <w:rFonts w:ascii="Arial Narrow" w:hAnsi="Arial Narrow" w:cs="Times New Roman"/>
                <w:b/>
                <w:bCs/>
                <w:snapToGrid/>
                <w:color w:val="000000"/>
                <w:sz w:val="20"/>
                <w:lang w:eastAsia="en-GB"/>
              </w:rPr>
              <w:t xml:space="preserve">Ponatinib; </w:t>
            </w:r>
          </w:p>
          <w:p w:rsidR="00CD4AA5" w:rsidRPr="001B449A" w:rsidRDefault="00CD4AA5" w:rsidP="00C54D8E">
            <w:pPr>
              <w:keepNext/>
              <w:jc w:val="center"/>
              <w:rPr>
                <w:rFonts w:ascii="Arial Narrow" w:hAnsi="Arial Narrow" w:cs="Times New Roman"/>
                <w:b/>
                <w:bCs/>
                <w:snapToGrid/>
                <w:color w:val="000000"/>
                <w:sz w:val="20"/>
                <w:lang w:val="en-GB" w:eastAsia="en-GB"/>
              </w:rPr>
            </w:pPr>
            <w:proofErr w:type="gramStart"/>
            <w:r w:rsidRPr="001B449A">
              <w:rPr>
                <w:rFonts w:ascii="Arial Narrow" w:hAnsi="Arial Narrow" w:cs="Times New Roman"/>
                <w:b/>
                <w:bCs/>
                <w:snapToGrid/>
                <w:color w:val="000000"/>
                <w:sz w:val="20"/>
                <w:lang w:eastAsia="en-GB"/>
              </w:rPr>
              <w:t>n/N</w:t>
            </w:r>
            <w:proofErr w:type="gramEnd"/>
            <w:r w:rsidRPr="001B449A">
              <w:rPr>
                <w:rFonts w:ascii="Arial Narrow" w:hAnsi="Arial Narrow" w:cs="Times New Roman"/>
                <w:b/>
                <w:bCs/>
                <w:snapToGrid/>
                <w:color w:val="000000"/>
                <w:sz w:val="20"/>
                <w:lang w:eastAsia="en-GB"/>
              </w:rPr>
              <w:t xml:space="preserve"> (%)</w:t>
            </w:r>
          </w:p>
        </w:tc>
        <w:tc>
          <w:tcPr>
            <w:tcW w:w="934" w:type="pct"/>
            <w:tcBorders>
              <w:top w:val="single" w:sz="4" w:space="0" w:color="auto"/>
              <w:left w:val="doub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b/>
                <w:bCs/>
                <w:snapToGrid/>
                <w:color w:val="000000"/>
                <w:sz w:val="20"/>
                <w:lang w:eastAsia="en-GB"/>
              </w:rPr>
            </w:pPr>
            <w:r w:rsidRPr="001B449A">
              <w:rPr>
                <w:rFonts w:ascii="Arial Narrow" w:hAnsi="Arial Narrow" w:cs="Times New Roman"/>
                <w:b/>
                <w:bCs/>
                <w:snapToGrid/>
                <w:color w:val="000000"/>
                <w:sz w:val="20"/>
                <w:lang w:eastAsia="en-GB"/>
              </w:rPr>
              <w:t>Dasatinib;</w:t>
            </w:r>
          </w:p>
          <w:p w:rsidR="00CD4AA5" w:rsidRPr="001B449A" w:rsidRDefault="00CD4AA5" w:rsidP="00C54D8E">
            <w:pPr>
              <w:keepNext/>
              <w:jc w:val="center"/>
              <w:rPr>
                <w:rFonts w:ascii="Arial Narrow" w:hAnsi="Arial Narrow" w:cs="Times New Roman"/>
                <w:b/>
                <w:bCs/>
                <w:snapToGrid/>
                <w:color w:val="000000"/>
                <w:sz w:val="20"/>
                <w:lang w:val="en-GB" w:eastAsia="en-GB"/>
              </w:rPr>
            </w:pPr>
            <w:r w:rsidRPr="001B449A">
              <w:rPr>
                <w:rFonts w:ascii="Arial Narrow" w:hAnsi="Arial Narrow" w:cs="Times New Roman"/>
                <w:b/>
                <w:bCs/>
                <w:snapToGrid/>
                <w:color w:val="000000"/>
                <w:sz w:val="20"/>
                <w:lang w:eastAsia="en-GB"/>
              </w:rPr>
              <w:t xml:space="preserve"> </w:t>
            </w:r>
            <w:proofErr w:type="gramStart"/>
            <w:r w:rsidRPr="001B449A">
              <w:rPr>
                <w:rFonts w:ascii="Arial Narrow" w:hAnsi="Arial Narrow" w:cs="Times New Roman"/>
                <w:b/>
                <w:bCs/>
                <w:snapToGrid/>
                <w:color w:val="000000"/>
                <w:sz w:val="20"/>
                <w:lang w:eastAsia="en-GB"/>
              </w:rPr>
              <w:t>n/N</w:t>
            </w:r>
            <w:proofErr w:type="gramEnd"/>
            <w:r w:rsidRPr="001B449A">
              <w:rPr>
                <w:rFonts w:ascii="Arial Narrow" w:hAnsi="Arial Narrow" w:cs="Times New Roman"/>
                <w:b/>
                <w:bCs/>
                <w:snapToGrid/>
                <w:color w:val="000000"/>
                <w:sz w:val="20"/>
                <w:lang w:eastAsia="en-GB"/>
              </w:rPr>
              <w:t xml:space="preserve"> (%)</w:t>
            </w:r>
          </w:p>
        </w:tc>
        <w:tc>
          <w:tcPr>
            <w:tcW w:w="9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b/>
                <w:bCs/>
                <w:snapToGrid/>
                <w:color w:val="000000"/>
                <w:sz w:val="20"/>
                <w:lang w:eastAsia="en-GB"/>
              </w:rPr>
            </w:pPr>
            <w:r w:rsidRPr="001B449A">
              <w:rPr>
                <w:rFonts w:ascii="Arial Narrow" w:hAnsi="Arial Narrow" w:cs="Times New Roman"/>
                <w:b/>
                <w:bCs/>
                <w:snapToGrid/>
                <w:color w:val="000000"/>
                <w:sz w:val="20"/>
                <w:lang w:eastAsia="en-GB"/>
              </w:rPr>
              <w:t xml:space="preserve">Nilotinib; </w:t>
            </w:r>
          </w:p>
          <w:p w:rsidR="00CD4AA5" w:rsidRPr="001B449A" w:rsidRDefault="00CD4AA5" w:rsidP="00C54D8E">
            <w:pPr>
              <w:keepNext/>
              <w:jc w:val="center"/>
              <w:rPr>
                <w:rFonts w:ascii="Arial Narrow" w:hAnsi="Arial Narrow" w:cs="Times New Roman"/>
                <w:b/>
                <w:bCs/>
                <w:snapToGrid/>
                <w:color w:val="000000"/>
                <w:sz w:val="20"/>
                <w:lang w:val="en-GB" w:eastAsia="en-GB"/>
              </w:rPr>
            </w:pPr>
            <w:proofErr w:type="gramStart"/>
            <w:r w:rsidRPr="001B449A">
              <w:rPr>
                <w:rFonts w:ascii="Arial Narrow" w:hAnsi="Arial Narrow" w:cs="Times New Roman"/>
                <w:b/>
                <w:bCs/>
                <w:snapToGrid/>
                <w:color w:val="000000"/>
                <w:sz w:val="20"/>
                <w:lang w:eastAsia="en-GB"/>
              </w:rPr>
              <w:t>n/N</w:t>
            </w:r>
            <w:proofErr w:type="gramEnd"/>
            <w:r w:rsidRPr="001B449A">
              <w:rPr>
                <w:rFonts w:ascii="Arial Narrow" w:hAnsi="Arial Narrow" w:cs="Times New Roman"/>
                <w:b/>
                <w:bCs/>
                <w:snapToGrid/>
                <w:color w:val="000000"/>
                <w:sz w:val="20"/>
                <w:lang w:eastAsia="en-GB"/>
              </w:rPr>
              <w:t xml:space="preserve"> (%)</w:t>
            </w:r>
          </w:p>
        </w:tc>
        <w:tc>
          <w:tcPr>
            <w:tcW w:w="9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b/>
                <w:bCs/>
                <w:snapToGrid/>
                <w:color w:val="000000"/>
                <w:sz w:val="20"/>
                <w:lang w:val="en-GB" w:eastAsia="en-GB"/>
              </w:rPr>
            </w:pPr>
            <w:r w:rsidRPr="001B449A">
              <w:rPr>
                <w:rFonts w:ascii="Arial Narrow" w:hAnsi="Arial Narrow" w:cs="Times New Roman"/>
                <w:b/>
                <w:bCs/>
                <w:snapToGrid/>
                <w:color w:val="000000"/>
                <w:sz w:val="20"/>
                <w:lang w:eastAsia="en-GB"/>
              </w:rPr>
              <w:t xml:space="preserve">Dasatinib </w:t>
            </w:r>
            <w:r w:rsidR="00B10134" w:rsidRPr="001B449A">
              <w:rPr>
                <w:rFonts w:ascii="Arial Narrow" w:hAnsi="Arial Narrow" w:cs="Times New Roman"/>
                <w:b/>
                <w:bCs/>
                <w:snapToGrid/>
                <w:color w:val="000000"/>
                <w:sz w:val="20"/>
                <w:lang w:eastAsia="en-GB"/>
              </w:rPr>
              <w:t xml:space="preserve">or </w:t>
            </w:r>
            <w:r w:rsidRPr="001B449A">
              <w:rPr>
                <w:rFonts w:ascii="Arial Narrow" w:hAnsi="Arial Narrow" w:cs="Times New Roman"/>
                <w:b/>
                <w:bCs/>
                <w:snapToGrid/>
                <w:color w:val="000000"/>
                <w:sz w:val="20"/>
                <w:lang w:eastAsia="en-GB"/>
              </w:rPr>
              <w:t>nilotinib; n/N (%)</w:t>
            </w:r>
          </w:p>
        </w:tc>
      </w:tr>
      <w:tr w:rsidR="00CD4AA5" w:rsidRPr="001B449A" w:rsidTr="0003382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CD4AA5" w:rsidRPr="001B449A" w:rsidRDefault="00CD4AA5" w:rsidP="00C54D8E">
            <w:pPr>
              <w:keepNext/>
              <w:jc w:val="left"/>
              <w:rPr>
                <w:rFonts w:ascii="Arial Narrow" w:hAnsi="Arial Narrow" w:cs="Times New Roman"/>
                <w:b/>
                <w:bCs/>
                <w:snapToGrid/>
                <w:color w:val="000000"/>
                <w:sz w:val="20"/>
                <w:lang w:eastAsia="en-GB"/>
              </w:rPr>
            </w:pPr>
            <w:r w:rsidRPr="001B449A">
              <w:rPr>
                <w:rFonts w:ascii="Arial Narrow" w:hAnsi="Arial Narrow" w:cs="Times New Roman"/>
                <w:b/>
                <w:bCs/>
                <w:snapToGrid/>
                <w:color w:val="000000"/>
                <w:sz w:val="20"/>
                <w:lang w:eastAsia="en-GB"/>
              </w:rPr>
              <w:t xml:space="preserve">Chronic phase CML </w:t>
            </w:r>
            <w:r w:rsidR="008E34DD">
              <w:rPr>
                <w:rFonts w:ascii="Arial Narrow" w:hAnsi="Arial Narrow" w:cs="Times New Roman"/>
                <w:b/>
                <w:bCs/>
                <w:snapToGrid/>
                <w:color w:val="000000"/>
                <w:sz w:val="20"/>
                <w:lang w:eastAsia="en-GB"/>
              </w:rPr>
              <w:t>–</w:t>
            </w:r>
            <w:r w:rsidRPr="001B449A">
              <w:rPr>
                <w:rFonts w:ascii="Arial Narrow" w:hAnsi="Arial Narrow" w:cs="Times New Roman"/>
                <w:b/>
                <w:bCs/>
                <w:snapToGrid/>
                <w:color w:val="000000"/>
                <w:sz w:val="20"/>
                <w:lang w:eastAsia="en-GB"/>
              </w:rPr>
              <w:t xml:space="preserve"> </w:t>
            </w:r>
            <w:proofErr w:type="spellStart"/>
            <w:r w:rsidRPr="001B449A">
              <w:rPr>
                <w:rFonts w:ascii="Arial Narrow" w:hAnsi="Arial Narrow" w:cs="Times New Roman"/>
                <w:b/>
                <w:bCs/>
                <w:snapToGrid/>
                <w:color w:val="000000"/>
                <w:sz w:val="20"/>
                <w:lang w:eastAsia="en-GB"/>
              </w:rPr>
              <w:t>C</w:t>
            </w:r>
            <w:r w:rsidR="001C1E53">
              <w:rPr>
                <w:rFonts w:ascii="Arial Narrow" w:hAnsi="Arial Narrow" w:cs="Times New Roman"/>
                <w:b/>
                <w:bCs/>
                <w:snapToGrid/>
                <w:color w:val="000000"/>
                <w:sz w:val="20"/>
                <w:lang w:eastAsia="en-GB"/>
              </w:rPr>
              <w:t>C</w:t>
            </w:r>
            <w:r w:rsidRPr="001B449A">
              <w:rPr>
                <w:rFonts w:ascii="Arial Narrow" w:hAnsi="Arial Narrow" w:cs="Times New Roman"/>
                <w:b/>
                <w:bCs/>
                <w:snapToGrid/>
                <w:color w:val="000000"/>
                <w:sz w:val="20"/>
                <w:lang w:eastAsia="en-GB"/>
              </w:rPr>
              <w:t>yR</w:t>
            </w:r>
            <w:proofErr w:type="spellEnd"/>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PACE</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118/267 (44%)</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Study 101</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28/43 (65%)</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left"/>
              <w:rPr>
                <w:rFonts w:ascii="Arial Narrow" w:hAnsi="Arial Narrow" w:cs="Times New Roman"/>
                <w:snapToGrid/>
                <w:color w:val="000000"/>
                <w:sz w:val="20"/>
                <w:lang w:val="en-GB" w:eastAsia="en-GB"/>
              </w:rPr>
            </w:pPr>
            <w:proofErr w:type="spellStart"/>
            <w:r w:rsidRPr="001B449A">
              <w:rPr>
                <w:rFonts w:ascii="Arial Narrow" w:hAnsi="Arial Narrow" w:cs="Times New Roman"/>
                <w:snapToGrid/>
                <w:color w:val="000000"/>
                <w:sz w:val="20"/>
                <w:lang w:eastAsia="en-GB"/>
              </w:rPr>
              <w:t>Quintas-Cardama</w:t>
            </w:r>
            <w:proofErr w:type="spellEnd"/>
            <w:r w:rsidRPr="001B449A">
              <w:rPr>
                <w:rFonts w:ascii="Arial Narrow" w:hAnsi="Arial Narrow" w:cs="Times New Roman"/>
                <w:snapToGrid/>
                <w:color w:val="000000"/>
                <w:sz w:val="20"/>
                <w:lang w:eastAsia="en-GB"/>
              </w:rPr>
              <w:t xml:space="preserve"> 2007</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r w:rsidRPr="00EC4B92">
              <w:rPr>
                <w:rFonts w:ascii="Arial Narrow" w:hAnsi="Arial Narrow" w:cs="Times New Roman"/>
                <w:i/>
                <w:snapToGrid/>
                <w:color w:val="000000"/>
                <w:sz w:val="20"/>
                <w:lang w:eastAsia="en-GB"/>
              </w:rPr>
              <w:t>0/4 (0%)</w:t>
            </w:r>
            <w:r w:rsidRPr="001B449A">
              <w:rPr>
                <w:rFonts w:ascii="Arial Narrow" w:hAnsi="Arial Narrow" w:cs="Times New Roman"/>
                <w:snapToGrid/>
                <w:color w:val="000000"/>
                <w:sz w:val="20"/>
                <w:lang w:eastAsia="en-GB"/>
              </w:rPr>
              <w:t xml:space="preserve"> </w:t>
            </w:r>
            <w:r w:rsidRPr="001B449A">
              <w:rPr>
                <w:rFonts w:ascii="Arial Narrow" w:hAnsi="Arial Narrow" w:cs="Times New Roman"/>
                <w:snapToGrid/>
                <w:color w:val="000000"/>
                <w:sz w:val="20"/>
                <w:vertAlign w:val="superscript"/>
                <w:lang w:eastAsia="en-GB"/>
              </w:rPr>
              <w:t>a</w:t>
            </w: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hideMark/>
          </w:tcPr>
          <w:p w:rsidR="00CD4AA5" w:rsidRPr="001B449A" w:rsidRDefault="00CD4AA5" w:rsidP="00C54D8E">
            <w:pPr>
              <w:keepNext/>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Giles 2010</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9/37 (24%)</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left"/>
              <w:rPr>
                <w:rFonts w:ascii="Arial Narrow" w:hAnsi="Arial Narrow" w:cs="Times New Roman"/>
                <w:snapToGrid/>
                <w:color w:val="000000"/>
                <w:sz w:val="20"/>
                <w:lang w:val="en-GB" w:eastAsia="en-GB"/>
              </w:rPr>
            </w:pPr>
            <w:proofErr w:type="spellStart"/>
            <w:r w:rsidRPr="001B449A">
              <w:rPr>
                <w:rFonts w:ascii="Arial Narrow" w:hAnsi="Arial Narrow" w:cs="Times New Roman"/>
                <w:snapToGrid/>
                <w:color w:val="000000"/>
                <w:sz w:val="20"/>
                <w:lang w:eastAsia="en-GB"/>
              </w:rPr>
              <w:t>Nicolini</w:t>
            </w:r>
            <w:proofErr w:type="spellEnd"/>
            <w:r w:rsidRPr="001B449A">
              <w:rPr>
                <w:rFonts w:ascii="Arial Narrow" w:hAnsi="Arial Narrow" w:cs="Times New Roman"/>
                <w:snapToGrid/>
                <w:color w:val="000000"/>
                <w:sz w:val="20"/>
                <w:lang w:eastAsia="en-GB"/>
              </w:rPr>
              <w:t xml:space="preserve">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EC4B92">
              <w:rPr>
                <w:rFonts w:ascii="Arial Narrow" w:hAnsi="Arial Narrow" w:cs="Times New Roman"/>
                <w:i/>
                <w:snapToGrid/>
                <w:color w:val="000000"/>
                <w:sz w:val="20"/>
                <w:lang w:eastAsia="en-GB"/>
              </w:rPr>
              <w:t>60/218 (28%)</w:t>
            </w:r>
            <w:r w:rsidR="000B164C" w:rsidRPr="001B449A">
              <w:rPr>
                <w:rFonts w:ascii="Arial Narrow" w:hAnsi="Arial Narrow" w:cs="Times New Roman"/>
                <w:snapToGrid/>
                <w:color w:val="000000"/>
                <w:sz w:val="20"/>
                <w:lang w:eastAsia="en-GB"/>
              </w:rPr>
              <w:t xml:space="preserve"> </w:t>
            </w:r>
            <w:r w:rsidR="000B164C" w:rsidRPr="001B449A">
              <w:rPr>
                <w:rFonts w:ascii="Arial Narrow" w:hAnsi="Arial Narrow" w:cs="Times New Roman"/>
                <w:snapToGrid/>
                <w:color w:val="000000"/>
                <w:sz w:val="20"/>
                <w:vertAlign w:val="superscript"/>
                <w:lang w:eastAsia="en-GB"/>
              </w:rPr>
              <w:t>a</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Garg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5/16 (31%)</w:t>
            </w: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1/9 (11%)</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Ibrahim 2010</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9/26 (35%)</w:t>
            </w:r>
          </w:p>
        </w:tc>
      </w:tr>
      <w:tr w:rsidR="00CD4AA5"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Rossi 2013</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tcPr>
          <w:p w:rsidR="00CD4AA5" w:rsidRPr="001B449A" w:rsidRDefault="00CD4AA5" w:rsidP="00C54D8E">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CD4AA5" w:rsidRPr="001B449A" w:rsidRDefault="00CD4AA5" w:rsidP="00C54D8E">
            <w:pPr>
              <w:keepNext/>
              <w:widowControl/>
              <w:jc w:val="center"/>
              <w:rPr>
                <w:rFonts w:ascii="Arial Narrow" w:hAnsi="Arial Narrow" w:cs="Times New Roman"/>
                <w:snapToGrid/>
                <w:color w:val="000000"/>
                <w:sz w:val="20"/>
                <w:lang w:val="en-GB" w:eastAsia="en-GB"/>
              </w:rPr>
            </w:pPr>
            <w:r w:rsidRPr="00EC4B92">
              <w:rPr>
                <w:rFonts w:ascii="Arial Narrow" w:hAnsi="Arial Narrow" w:cs="Times New Roman"/>
                <w:i/>
                <w:snapToGrid/>
                <w:color w:val="000000"/>
                <w:sz w:val="20"/>
                <w:lang w:eastAsia="en-GB"/>
              </w:rPr>
              <w:t>27/82 (33%)</w:t>
            </w:r>
            <w:r w:rsidR="000B164C" w:rsidRPr="001B449A">
              <w:rPr>
                <w:rFonts w:ascii="Arial Narrow" w:hAnsi="Arial Narrow" w:cs="Times New Roman"/>
                <w:snapToGrid/>
                <w:color w:val="000000"/>
                <w:sz w:val="20"/>
                <w:lang w:eastAsia="en-GB"/>
              </w:rPr>
              <w:t xml:space="preserve"> </w:t>
            </w:r>
            <w:r w:rsidRPr="001B449A">
              <w:rPr>
                <w:rFonts w:ascii="Arial Narrow" w:hAnsi="Arial Narrow" w:cs="Times New Roman"/>
                <w:snapToGrid/>
                <w:color w:val="000000"/>
                <w:sz w:val="20"/>
                <w:vertAlign w:val="superscript"/>
                <w:lang w:eastAsia="en-GB"/>
              </w:rPr>
              <w:t>a</w:t>
            </w:r>
          </w:p>
        </w:tc>
      </w:tr>
      <w:tr w:rsidR="00CD4AA5" w:rsidRPr="001B449A" w:rsidTr="00033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5"/>
            <w:shd w:val="clear" w:color="auto" w:fill="FFFFFF" w:themeFill="background1"/>
            <w:tcMar>
              <w:left w:w="28" w:type="dxa"/>
              <w:right w:w="28" w:type="dxa"/>
            </w:tcMar>
            <w:vAlign w:val="center"/>
            <w:hideMark/>
          </w:tcPr>
          <w:p w:rsidR="00CD4AA5" w:rsidRPr="001B449A" w:rsidRDefault="00CD4AA5" w:rsidP="00C54D8E">
            <w:pPr>
              <w:keepNext/>
              <w:jc w:val="left"/>
              <w:rPr>
                <w:rFonts w:ascii="Arial Narrow" w:hAnsi="Arial Narrow" w:cs="Times New Roman"/>
                <w:b/>
                <w:bCs/>
                <w:snapToGrid/>
                <w:color w:val="000000"/>
                <w:sz w:val="20"/>
                <w:lang w:val="en-GB" w:eastAsia="en-GB"/>
              </w:rPr>
            </w:pPr>
            <w:r w:rsidRPr="001B449A">
              <w:rPr>
                <w:rFonts w:ascii="Arial Narrow" w:hAnsi="Arial Narrow" w:cs="Times New Roman"/>
                <w:b/>
                <w:bCs/>
                <w:snapToGrid/>
                <w:color w:val="000000"/>
                <w:sz w:val="20"/>
                <w:lang w:eastAsia="en-GB"/>
              </w:rPr>
              <w:t xml:space="preserve">Accelerated phase CML </w:t>
            </w:r>
            <w:r w:rsidR="00B10134" w:rsidRPr="001B449A">
              <w:rPr>
                <w:rFonts w:ascii="Arial Narrow" w:hAnsi="Arial Narrow" w:cs="Times New Roman"/>
                <w:b/>
                <w:bCs/>
                <w:snapToGrid/>
                <w:color w:val="000000"/>
                <w:sz w:val="20"/>
                <w:lang w:eastAsia="en-GB"/>
              </w:rPr>
              <w:t xml:space="preserve">- </w:t>
            </w:r>
            <w:proofErr w:type="spellStart"/>
            <w:r w:rsidR="00B10134" w:rsidRPr="001B449A">
              <w:rPr>
                <w:rFonts w:ascii="Arial Narrow" w:hAnsi="Arial Narrow" w:cs="Times New Roman"/>
                <w:b/>
                <w:bCs/>
                <w:snapToGrid/>
                <w:color w:val="000000"/>
                <w:sz w:val="20"/>
                <w:lang w:eastAsia="en-GB"/>
              </w:rPr>
              <w:t>MCyR</w:t>
            </w:r>
            <w:proofErr w:type="spellEnd"/>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PACE</w:t>
            </w:r>
          </w:p>
        </w:tc>
        <w:tc>
          <w:tcPr>
            <w:tcW w:w="932" w:type="pct"/>
            <w:shd w:val="clear" w:color="auto" w:fill="auto"/>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32/83 (39%)</w:t>
            </w:r>
          </w:p>
        </w:tc>
        <w:tc>
          <w:tcPr>
            <w:tcW w:w="934"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2"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0"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Study 101</w:t>
            </w:r>
          </w:p>
        </w:tc>
        <w:tc>
          <w:tcPr>
            <w:tcW w:w="932" w:type="pct"/>
            <w:shd w:val="clear" w:color="auto" w:fill="auto"/>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2/9 (22%)</w:t>
            </w:r>
          </w:p>
        </w:tc>
        <w:tc>
          <w:tcPr>
            <w:tcW w:w="934"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2"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0" w:type="pct"/>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proofErr w:type="spellStart"/>
            <w:r w:rsidRPr="001B449A">
              <w:rPr>
                <w:rFonts w:ascii="Arial Narrow" w:hAnsi="Arial Narrow" w:cs="Times New Roman"/>
                <w:snapToGrid/>
                <w:color w:val="000000"/>
                <w:sz w:val="20"/>
                <w:lang w:eastAsia="en-GB"/>
              </w:rPr>
              <w:t>Quintas-Cardama</w:t>
            </w:r>
            <w:proofErr w:type="spellEnd"/>
            <w:r w:rsidRPr="001B449A">
              <w:rPr>
                <w:rFonts w:ascii="Arial Narrow" w:hAnsi="Arial Narrow" w:cs="Times New Roman"/>
                <w:snapToGrid/>
                <w:color w:val="000000"/>
                <w:sz w:val="20"/>
                <w:lang w:eastAsia="en-GB"/>
              </w:rPr>
              <w:t xml:space="preserve"> 2007</w:t>
            </w:r>
          </w:p>
        </w:tc>
        <w:tc>
          <w:tcPr>
            <w:tcW w:w="932" w:type="pct"/>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shd w:val="clear" w:color="auto" w:fill="auto"/>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r w:rsidRPr="00EC4B92">
              <w:rPr>
                <w:rFonts w:ascii="Arial Narrow" w:hAnsi="Arial Narrow" w:cs="Times New Roman"/>
                <w:i/>
                <w:snapToGrid/>
                <w:color w:val="000000"/>
                <w:sz w:val="20"/>
                <w:lang w:val="en-GB" w:eastAsia="en-GB"/>
              </w:rPr>
              <w:t>4/10 (40%)</w:t>
            </w:r>
            <w:r w:rsidRPr="001B449A">
              <w:rPr>
                <w:rFonts w:ascii="Arial Narrow" w:hAnsi="Arial Narrow" w:cs="Times New Roman"/>
                <w:snapToGrid/>
                <w:color w:val="000000"/>
                <w:sz w:val="20"/>
                <w:lang w:val="en-GB" w:eastAsia="en-GB"/>
              </w:rPr>
              <w:t xml:space="preserve"> </w:t>
            </w:r>
            <w:r w:rsidRPr="001B449A">
              <w:rPr>
                <w:rFonts w:ascii="Arial Narrow" w:hAnsi="Arial Narrow" w:cs="Times New Roman"/>
                <w:snapToGrid/>
                <w:color w:val="000000"/>
                <w:sz w:val="20"/>
                <w:vertAlign w:val="superscript"/>
                <w:lang w:val="en-GB" w:eastAsia="en-GB"/>
              </w:rPr>
              <w:t>b</w:t>
            </w:r>
          </w:p>
        </w:tc>
        <w:tc>
          <w:tcPr>
            <w:tcW w:w="932" w:type="pct"/>
            <w:shd w:val="clear" w:color="000000" w:fill="808080"/>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0"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Giles 2010</w:t>
            </w:r>
          </w:p>
        </w:tc>
        <w:tc>
          <w:tcPr>
            <w:tcW w:w="932" w:type="pct"/>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2" w:type="pct"/>
            <w:shd w:val="clear" w:color="auto" w:fill="auto"/>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2/17 (12%)</w:t>
            </w:r>
          </w:p>
        </w:tc>
        <w:tc>
          <w:tcPr>
            <w:tcW w:w="930"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proofErr w:type="spellStart"/>
            <w:r w:rsidRPr="001B449A">
              <w:rPr>
                <w:rFonts w:ascii="Arial Narrow" w:hAnsi="Arial Narrow" w:cs="Times New Roman"/>
                <w:snapToGrid/>
                <w:color w:val="000000"/>
                <w:sz w:val="20"/>
                <w:lang w:eastAsia="en-GB"/>
              </w:rPr>
              <w:t>Nicolini</w:t>
            </w:r>
            <w:proofErr w:type="spellEnd"/>
            <w:r w:rsidRPr="001B449A">
              <w:rPr>
                <w:rFonts w:ascii="Arial Narrow" w:hAnsi="Arial Narrow" w:cs="Times New Roman"/>
                <w:snapToGrid/>
                <w:color w:val="000000"/>
                <w:sz w:val="20"/>
                <w:lang w:eastAsia="en-GB"/>
              </w:rPr>
              <w:t xml:space="preserve"> 2009</w:t>
            </w:r>
          </w:p>
        </w:tc>
        <w:tc>
          <w:tcPr>
            <w:tcW w:w="932" w:type="pct"/>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2" w:type="pct"/>
            <w:shd w:val="clear" w:color="auto" w:fill="auto"/>
            <w:tcMar>
              <w:left w:w="28" w:type="dxa"/>
              <w:right w:w="28" w:type="dxa"/>
            </w:tcMar>
            <w:vAlign w:val="center"/>
            <w:hideMark/>
          </w:tcPr>
          <w:p w:rsidR="00B10134" w:rsidRPr="00EC4B92" w:rsidRDefault="00B10134" w:rsidP="00C54D8E">
            <w:pPr>
              <w:keepNext/>
              <w:widowControl/>
              <w:jc w:val="center"/>
              <w:rPr>
                <w:rFonts w:ascii="Arial Narrow" w:hAnsi="Arial Narrow" w:cs="Times New Roman"/>
                <w:i/>
                <w:snapToGrid/>
                <w:color w:val="000000"/>
                <w:sz w:val="20"/>
                <w:lang w:val="en-GB" w:eastAsia="en-GB"/>
              </w:rPr>
            </w:pPr>
            <w:r w:rsidRPr="00EC4B92">
              <w:rPr>
                <w:rFonts w:ascii="Arial Narrow" w:hAnsi="Arial Narrow" w:cs="Times New Roman"/>
                <w:i/>
                <w:snapToGrid/>
                <w:color w:val="000000"/>
                <w:sz w:val="20"/>
                <w:lang w:eastAsia="en-GB"/>
              </w:rPr>
              <w:t>2/34 (7%)</w:t>
            </w:r>
          </w:p>
        </w:tc>
        <w:tc>
          <w:tcPr>
            <w:tcW w:w="930"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B10134" w:rsidRPr="001B449A" w:rsidTr="00B10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Garg 2009</w:t>
            </w:r>
          </w:p>
        </w:tc>
        <w:tc>
          <w:tcPr>
            <w:tcW w:w="932" w:type="pct"/>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shd w:val="clear" w:color="auto" w:fill="auto"/>
            <w:tcMar>
              <w:left w:w="28" w:type="dxa"/>
              <w:right w:w="28" w:type="dxa"/>
            </w:tcMar>
            <w:vAlign w:val="center"/>
            <w:hideMark/>
          </w:tcPr>
          <w:p w:rsidR="00B10134" w:rsidRPr="00EC4B92" w:rsidRDefault="00B10134" w:rsidP="00C54D8E">
            <w:pPr>
              <w:keepNext/>
              <w:widowControl/>
              <w:jc w:val="center"/>
              <w:rPr>
                <w:rFonts w:ascii="Arial Narrow" w:hAnsi="Arial Narrow" w:cs="Times New Roman"/>
                <w:i/>
                <w:snapToGrid/>
                <w:color w:val="000000"/>
                <w:sz w:val="20"/>
                <w:lang w:val="en-GB" w:eastAsia="en-GB"/>
              </w:rPr>
            </w:pPr>
            <w:r w:rsidRPr="00EC4B92">
              <w:rPr>
                <w:rFonts w:ascii="Arial Narrow" w:hAnsi="Arial Narrow" w:cs="Times New Roman"/>
                <w:i/>
                <w:snapToGrid/>
                <w:color w:val="000000"/>
                <w:sz w:val="20"/>
                <w:lang w:eastAsia="en-GB"/>
              </w:rPr>
              <w:t>3/8 (38%)</w:t>
            </w:r>
          </w:p>
        </w:tc>
        <w:tc>
          <w:tcPr>
            <w:tcW w:w="932" w:type="pct"/>
            <w:shd w:val="clear" w:color="auto" w:fill="auto"/>
            <w:tcMar>
              <w:left w:w="28" w:type="dxa"/>
              <w:right w:w="28" w:type="dxa"/>
            </w:tcMar>
            <w:vAlign w:val="center"/>
            <w:hideMark/>
          </w:tcPr>
          <w:p w:rsidR="00B10134" w:rsidRPr="00EC4B92" w:rsidRDefault="00B10134" w:rsidP="00C54D8E">
            <w:pPr>
              <w:keepNext/>
              <w:widowControl/>
              <w:jc w:val="center"/>
              <w:rPr>
                <w:rFonts w:ascii="Arial Narrow" w:hAnsi="Arial Narrow" w:cs="Times New Roman"/>
                <w:i/>
                <w:snapToGrid/>
                <w:color w:val="000000"/>
                <w:sz w:val="20"/>
                <w:lang w:val="en-GB" w:eastAsia="en-GB"/>
              </w:rPr>
            </w:pPr>
            <w:r w:rsidRPr="00EC4B92">
              <w:rPr>
                <w:rFonts w:ascii="Arial Narrow" w:hAnsi="Arial Narrow" w:cs="Times New Roman"/>
                <w:i/>
                <w:snapToGrid/>
                <w:color w:val="000000"/>
                <w:sz w:val="20"/>
                <w:lang w:eastAsia="en-GB"/>
              </w:rPr>
              <w:t>1/2 (50%)</w:t>
            </w:r>
          </w:p>
        </w:tc>
        <w:tc>
          <w:tcPr>
            <w:tcW w:w="930" w:type="pct"/>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CD4AA5" w:rsidRPr="001B449A" w:rsidTr="0003382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CD4AA5" w:rsidRPr="001B449A" w:rsidRDefault="00CD4AA5" w:rsidP="00C54D8E">
            <w:pPr>
              <w:keepNext/>
              <w:jc w:val="left"/>
              <w:rPr>
                <w:rFonts w:ascii="Arial Narrow" w:hAnsi="Arial Narrow" w:cs="Times New Roman"/>
                <w:b/>
                <w:bCs/>
                <w:snapToGrid/>
                <w:color w:val="000000"/>
                <w:sz w:val="20"/>
                <w:lang w:val="en-GB" w:eastAsia="en-GB"/>
              </w:rPr>
            </w:pPr>
            <w:r w:rsidRPr="001B449A">
              <w:rPr>
                <w:rFonts w:ascii="Arial Narrow" w:hAnsi="Arial Narrow" w:cs="Times New Roman"/>
                <w:b/>
                <w:bCs/>
                <w:snapToGrid/>
                <w:color w:val="000000"/>
                <w:sz w:val="20"/>
                <w:lang w:eastAsia="en-GB"/>
              </w:rPr>
              <w:t xml:space="preserve">Blast crisis CML or </w:t>
            </w:r>
            <w:proofErr w:type="spellStart"/>
            <w:r w:rsidRPr="001B449A">
              <w:rPr>
                <w:rFonts w:ascii="Arial Narrow" w:hAnsi="Arial Narrow" w:cs="Times New Roman"/>
                <w:b/>
                <w:bCs/>
                <w:snapToGrid/>
                <w:color w:val="000000"/>
                <w:sz w:val="20"/>
                <w:lang w:eastAsia="en-GB"/>
              </w:rPr>
              <w:t>Ph</w:t>
            </w:r>
            <w:proofErr w:type="spellEnd"/>
            <w:r w:rsidRPr="001B449A">
              <w:rPr>
                <w:rFonts w:ascii="Arial Narrow" w:hAnsi="Arial Narrow" w:cs="Times New Roman"/>
                <w:b/>
                <w:bCs/>
                <w:snapToGrid/>
                <w:color w:val="000000"/>
                <w:sz w:val="20"/>
                <w:lang w:eastAsia="en-GB"/>
              </w:rPr>
              <w:t xml:space="preserve">+ ALL </w:t>
            </w:r>
            <w:r w:rsidR="00B10134" w:rsidRPr="001B449A">
              <w:rPr>
                <w:rFonts w:ascii="Arial Narrow" w:hAnsi="Arial Narrow" w:cs="Times New Roman"/>
                <w:b/>
                <w:bCs/>
                <w:snapToGrid/>
                <w:color w:val="000000"/>
                <w:sz w:val="20"/>
                <w:lang w:eastAsia="en-GB"/>
              </w:rPr>
              <w:t xml:space="preserve">- </w:t>
            </w:r>
            <w:proofErr w:type="spellStart"/>
            <w:r w:rsidR="00B10134" w:rsidRPr="001B449A">
              <w:rPr>
                <w:rFonts w:ascii="Arial Narrow" w:hAnsi="Arial Narrow" w:cs="Times New Roman"/>
                <w:b/>
                <w:bCs/>
                <w:snapToGrid/>
                <w:color w:val="000000"/>
                <w:sz w:val="20"/>
                <w:lang w:eastAsia="en-GB"/>
              </w:rPr>
              <w:t>MCyR</w:t>
            </w:r>
            <w:proofErr w:type="spellEnd"/>
          </w:p>
        </w:tc>
      </w:tr>
      <w:tr w:rsidR="00B10134"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PACE</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29/94 (31%)</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r>
      <w:tr w:rsidR="00B10134"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Study 101</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5/13 (38%)</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B10134" w:rsidRPr="001B449A" w:rsidRDefault="00B10134" w:rsidP="00C54D8E">
            <w:pPr>
              <w:keepNext/>
              <w:jc w:val="center"/>
              <w:rPr>
                <w:rFonts w:ascii="Arial Narrow" w:hAnsi="Arial Narrow" w:cs="Times New Roman"/>
                <w:snapToGrid/>
                <w:color w:val="000000"/>
                <w:sz w:val="20"/>
                <w:lang w:val="en-GB" w:eastAsia="en-GB"/>
              </w:rPr>
            </w:pPr>
          </w:p>
        </w:tc>
      </w:tr>
      <w:tr w:rsidR="00B10134"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proofErr w:type="spellStart"/>
            <w:r w:rsidRPr="001B449A">
              <w:rPr>
                <w:rFonts w:ascii="Arial Narrow" w:hAnsi="Arial Narrow" w:cs="Times New Roman"/>
                <w:snapToGrid/>
                <w:color w:val="000000"/>
                <w:sz w:val="20"/>
                <w:lang w:eastAsia="en-GB"/>
              </w:rPr>
              <w:t>Quintas-Cardama</w:t>
            </w:r>
            <w:proofErr w:type="spellEnd"/>
            <w:r w:rsidRPr="001B449A">
              <w:rPr>
                <w:rFonts w:ascii="Arial Narrow" w:hAnsi="Arial Narrow" w:cs="Times New Roman"/>
                <w:snapToGrid/>
                <w:color w:val="000000"/>
                <w:sz w:val="20"/>
                <w:lang w:eastAsia="en-GB"/>
              </w:rPr>
              <w:t xml:space="preserve"> 2007</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r w:rsidRPr="00EC4B92">
              <w:rPr>
                <w:rFonts w:ascii="Arial Narrow" w:hAnsi="Arial Narrow" w:cs="Times New Roman"/>
                <w:i/>
                <w:snapToGrid/>
                <w:color w:val="000000"/>
                <w:sz w:val="20"/>
                <w:lang w:eastAsia="en-GB"/>
              </w:rPr>
              <w:t>1/9 (11%)</w:t>
            </w:r>
            <w:r w:rsidRPr="001B449A">
              <w:rPr>
                <w:rFonts w:ascii="Arial Narrow" w:hAnsi="Arial Narrow" w:cs="Times New Roman"/>
                <w:snapToGrid/>
                <w:color w:val="000000"/>
                <w:sz w:val="20"/>
                <w:lang w:eastAsia="en-GB"/>
              </w:rPr>
              <w:t xml:space="preserve"> </w:t>
            </w:r>
            <w:r w:rsidRPr="001B449A">
              <w:rPr>
                <w:rFonts w:ascii="Arial Narrow" w:hAnsi="Arial Narrow" w:cs="Times New Roman"/>
                <w:snapToGrid/>
                <w:color w:val="000000"/>
                <w:sz w:val="20"/>
                <w:vertAlign w:val="superscript"/>
                <w:lang w:eastAsia="en-GB"/>
              </w:rPr>
              <w:t>b</w:t>
            </w: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B10134"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B10134" w:rsidRPr="001B449A" w:rsidRDefault="00B10134" w:rsidP="00C54D8E">
            <w:pPr>
              <w:keepNext/>
              <w:widowControl/>
              <w:jc w:val="left"/>
              <w:rPr>
                <w:rFonts w:ascii="Arial Narrow" w:hAnsi="Arial Narrow" w:cs="Times New Roman"/>
                <w:snapToGrid/>
                <w:color w:val="000000"/>
                <w:sz w:val="20"/>
                <w:lang w:eastAsia="en-GB"/>
              </w:rPr>
            </w:pPr>
            <w:proofErr w:type="spellStart"/>
            <w:r w:rsidRPr="001B449A">
              <w:rPr>
                <w:rFonts w:ascii="Arial Narrow" w:hAnsi="Arial Narrow" w:cs="Times New Roman"/>
                <w:snapToGrid/>
                <w:color w:val="000000"/>
                <w:sz w:val="20"/>
                <w:lang w:eastAsia="en-GB"/>
              </w:rPr>
              <w:t>Nicolini</w:t>
            </w:r>
            <w:proofErr w:type="spellEnd"/>
            <w:r w:rsidRPr="001B449A">
              <w:rPr>
                <w:rFonts w:ascii="Arial Narrow" w:hAnsi="Arial Narrow" w:cs="Times New Roman"/>
                <w:snapToGrid/>
                <w:color w:val="000000"/>
                <w:sz w:val="20"/>
                <w:lang w:eastAsia="en-GB"/>
              </w:rPr>
              <w:t xml:space="preserve">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7F7F7F" w:themeFill="text1" w:themeFillTint="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eastAsia="en-GB"/>
              </w:rPr>
            </w:pPr>
            <w:r w:rsidRPr="001B449A">
              <w:rPr>
                <w:rFonts w:ascii="Arial Narrow" w:hAnsi="Arial Narrow" w:cs="Times New Roman"/>
                <w:snapToGrid/>
                <w:color w:val="000000"/>
                <w:sz w:val="20"/>
                <w:lang w:eastAsia="en-GB"/>
              </w:rPr>
              <w:t>6/40 (14%)</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r w:rsidR="00B10134" w:rsidRPr="001B449A" w:rsidTr="00B10134">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Garg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B10134" w:rsidRPr="00EC4B92" w:rsidRDefault="00B10134" w:rsidP="00C54D8E">
            <w:pPr>
              <w:keepNext/>
              <w:widowControl/>
              <w:jc w:val="center"/>
              <w:rPr>
                <w:rFonts w:ascii="Arial Narrow" w:hAnsi="Arial Narrow" w:cs="Times New Roman"/>
                <w:i/>
                <w:snapToGrid/>
                <w:color w:val="000000"/>
                <w:sz w:val="20"/>
                <w:lang w:val="en-GB" w:eastAsia="en-GB"/>
              </w:rPr>
            </w:pPr>
            <w:r w:rsidRPr="00EC4B92">
              <w:rPr>
                <w:rFonts w:ascii="Arial Narrow" w:hAnsi="Arial Narrow" w:cs="Times New Roman"/>
                <w:i/>
                <w:snapToGrid/>
                <w:color w:val="000000"/>
                <w:sz w:val="20"/>
                <w:lang w:eastAsia="en-GB"/>
              </w:rPr>
              <w:t>3/10 (30%)</w:t>
            </w: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B10134" w:rsidRPr="001B449A" w:rsidRDefault="00B10134" w:rsidP="00C54D8E">
            <w:pPr>
              <w:keepNext/>
              <w:widowControl/>
              <w:jc w:val="center"/>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eastAsia="en-GB"/>
              </w:rPr>
              <w:t>1/3 (33%)</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B10134" w:rsidRPr="001B449A" w:rsidRDefault="00B10134" w:rsidP="00C54D8E">
            <w:pPr>
              <w:keepNext/>
              <w:widowControl/>
              <w:jc w:val="center"/>
              <w:rPr>
                <w:rFonts w:ascii="Arial Narrow" w:hAnsi="Arial Narrow" w:cs="Times New Roman"/>
                <w:snapToGrid/>
                <w:color w:val="000000"/>
                <w:sz w:val="20"/>
                <w:lang w:val="en-GB" w:eastAsia="en-GB"/>
              </w:rPr>
            </w:pPr>
          </w:p>
        </w:tc>
      </w:tr>
    </w:tbl>
    <w:p w:rsidR="00CD4AA5" w:rsidRPr="001B449A" w:rsidRDefault="003375AE" w:rsidP="00C54D8E">
      <w:pPr>
        <w:pStyle w:val="TableFooter"/>
        <w:keepNext/>
        <w:ind w:firstLine="720"/>
      </w:pPr>
      <w:proofErr w:type="gramStart"/>
      <w:r w:rsidRPr="001B449A">
        <w:rPr>
          <w:vertAlign w:val="superscript"/>
        </w:rPr>
        <w:t>a</w:t>
      </w:r>
      <w:proofErr w:type="gramEnd"/>
      <w:r w:rsidRPr="001B449A">
        <w:t xml:space="preserve"> </w:t>
      </w:r>
      <w:r w:rsidR="00CD4AA5" w:rsidRPr="001B449A">
        <w:t>When best response is reported:</w:t>
      </w:r>
      <w:r w:rsidRPr="001B449A">
        <w:t xml:space="preserve"> </w:t>
      </w:r>
      <w:proofErr w:type="spellStart"/>
      <w:r w:rsidR="00CD4AA5" w:rsidRPr="001B449A">
        <w:t>CCyR</w:t>
      </w:r>
      <w:proofErr w:type="spellEnd"/>
      <w:r w:rsidR="00CD4AA5" w:rsidRPr="001B449A">
        <w:t xml:space="preserve"> = MMR + </w:t>
      </w:r>
      <w:proofErr w:type="spellStart"/>
      <w:r w:rsidR="00CD4AA5" w:rsidRPr="001B449A">
        <w:t>CCyR</w:t>
      </w:r>
      <w:proofErr w:type="spellEnd"/>
    </w:p>
    <w:p w:rsidR="002F6293" w:rsidRPr="001B449A" w:rsidRDefault="00CD4AA5" w:rsidP="00C54D8E">
      <w:pPr>
        <w:pStyle w:val="TableFooter"/>
        <w:keepNext/>
        <w:ind w:firstLine="720"/>
      </w:pPr>
      <w:r w:rsidRPr="001B449A">
        <w:rPr>
          <w:vertAlign w:val="superscript"/>
        </w:rPr>
        <w:t xml:space="preserve"> </w:t>
      </w:r>
      <w:proofErr w:type="gramStart"/>
      <w:r w:rsidR="002F6293" w:rsidRPr="001B449A">
        <w:rPr>
          <w:vertAlign w:val="superscript"/>
        </w:rPr>
        <w:t>b</w:t>
      </w:r>
      <w:proofErr w:type="gramEnd"/>
      <w:r w:rsidR="002F6293" w:rsidRPr="001B449A">
        <w:t xml:space="preserve"> </w:t>
      </w:r>
      <w:r w:rsidR="00F15981" w:rsidRPr="001B449A">
        <w:t>When best response is reported:</w:t>
      </w:r>
      <w:r w:rsidR="002F6293" w:rsidRPr="001B449A">
        <w:t xml:space="preserve"> </w:t>
      </w:r>
      <w:proofErr w:type="spellStart"/>
      <w:r w:rsidR="002F6293" w:rsidRPr="001B449A">
        <w:t>MCyR</w:t>
      </w:r>
      <w:proofErr w:type="spellEnd"/>
      <w:r w:rsidR="002F6293" w:rsidRPr="001B449A">
        <w:t xml:space="preserve"> = MMR + </w:t>
      </w:r>
      <w:proofErr w:type="spellStart"/>
      <w:r w:rsidR="002F6293" w:rsidRPr="001B449A">
        <w:t>CCyR</w:t>
      </w:r>
      <w:proofErr w:type="spellEnd"/>
      <w:r w:rsidR="002F6293" w:rsidRPr="001B449A">
        <w:t xml:space="preserve"> + </w:t>
      </w:r>
      <w:proofErr w:type="spellStart"/>
      <w:r w:rsidR="002F6293" w:rsidRPr="001B449A">
        <w:t>PCyR</w:t>
      </w:r>
      <w:proofErr w:type="spellEnd"/>
    </w:p>
    <w:p w:rsidR="00CD4AA5" w:rsidRPr="001B449A" w:rsidRDefault="00CD4AA5" w:rsidP="00C54D8E">
      <w:pPr>
        <w:pStyle w:val="TableFooter"/>
        <w:keepNext/>
        <w:ind w:left="720"/>
      </w:pPr>
      <w:r w:rsidRPr="001B449A">
        <w:t xml:space="preserve">Source: Table 18, p69; </w:t>
      </w:r>
      <w:r w:rsidRPr="001B449A">
        <w:rPr>
          <w:rStyle w:val="CommentReference"/>
          <w:b w:val="0"/>
          <w:sz w:val="18"/>
          <w:szCs w:val="20"/>
        </w:rPr>
        <w:t xml:space="preserve">Table 32, p87; Table 44, p99; </w:t>
      </w:r>
      <w:r w:rsidRPr="001B449A">
        <w:t xml:space="preserve">of the submission; and </w:t>
      </w:r>
      <w:r w:rsidR="00B10134" w:rsidRPr="001B449A">
        <w:t>i</w:t>
      </w:r>
      <w:r w:rsidRPr="001B449A">
        <w:t>ndividual trial papers</w:t>
      </w:r>
    </w:p>
    <w:p w:rsidR="00CD4AA5" w:rsidRPr="001B449A" w:rsidRDefault="00CD4AA5" w:rsidP="00C54D8E">
      <w:pPr>
        <w:pStyle w:val="TableFooter"/>
        <w:keepNext/>
        <w:ind w:left="720"/>
        <w:rPr>
          <w:b/>
        </w:rPr>
      </w:pPr>
      <w:r w:rsidRPr="001B449A">
        <w:t xml:space="preserve">ALL = acute lymphoblastic leukaemia; </w:t>
      </w:r>
      <w:proofErr w:type="spellStart"/>
      <w:r w:rsidRPr="001B449A">
        <w:t>CCyR</w:t>
      </w:r>
      <w:proofErr w:type="spellEnd"/>
      <w:r w:rsidRPr="001B449A">
        <w:t xml:space="preserve"> = complete cytogenetic response; CML = chronic myeloid leukaemia; </w:t>
      </w:r>
      <w:proofErr w:type="spellStart"/>
      <w:r w:rsidR="002F6293" w:rsidRPr="001B449A">
        <w:t>MCyR</w:t>
      </w:r>
      <w:proofErr w:type="spellEnd"/>
      <w:r w:rsidR="002F6293" w:rsidRPr="001B449A">
        <w:t xml:space="preserve"> = major cytogenetic response; </w:t>
      </w:r>
      <w:r w:rsidR="00F15981" w:rsidRPr="001B449A">
        <w:t xml:space="preserve">MMR = major molecular response; </w:t>
      </w:r>
      <w:proofErr w:type="spellStart"/>
      <w:r w:rsidR="00F15981" w:rsidRPr="001B449A">
        <w:t>PCyR</w:t>
      </w:r>
      <w:proofErr w:type="spellEnd"/>
      <w:r w:rsidR="00F15981" w:rsidRPr="001B449A">
        <w:t xml:space="preserve"> = partial cytogenetic response; </w:t>
      </w:r>
      <w:proofErr w:type="spellStart"/>
      <w:r w:rsidRPr="001B449A">
        <w:t>Ph</w:t>
      </w:r>
      <w:proofErr w:type="spellEnd"/>
      <w:r w:rsidRPr="001B449A">
        <w:t xml:space="preserve">+ = Philadelphia </w:t>
      </w:r>
      <w:r w:rsidRPr="00EC4B92">
        <w:t>chromosome positive; Italics = extracted during evaluation</w:t>
      </w:r>
    </w:p>
    <w:p w:rsidR="00CD4AA5" w:rsidRPr="001B449A" w:rsidRDefault="00CD4AA5" w:rsidP="00CD4AA5">
      <w:pPr>
        <w:rPr>
          <w:rStyle w:val="CommentReference"/>
        </w:rPr>
      </w:pPr>
    </w:p>
    <w:p w:rsidR="00CD4AA5" w:rsidRPr="004D3770" w:rsidRDefault="00CD4AA5" w:rsidP="009F0D55">
      <w:pPr>
        <w:pStyle w:val="ListParagraph"/>
        <w:widowControl/>
        <w:numPr>
          <w:ilvl w:val="1"/>
          <w:numId w:val="12"/>
        </w:numPr>
        <w:ind w:left="720" w:hanging="720"/>
      </w:pPr>
      <w:r w:rsidRPr="004D3770">
        <w:t>The</w:t>
      </w:r>
      <w:r w:rsidRPr="004D3770">
        <w:rPr>
          <w:rStyle w:val="CommentReference"/>
          <w:rFonts w:ascii="Arial" w:hAnsi="Arial"/>
          <w:b w:val="0"/>
          <w:sz w:val="22"/>
          <w:szCs w:val="22"/>
        </w:rPr>
        <w:t xml:space="preserve"> rates of complete cytogenetic response</w:t>
      </w:r>
      <w:r w:rsidR="002F6293" w:rsidRPr="004D3770">
        <w:rPr>
          <w:rStyle w:val="CommentReference"/>
          <w:rFonts w:ascii="Arial" w:hAnsi="Arial"/>
          <w:b w:val="0"/>
          <w:sz w:val="22"/>
          <w:szCs w:val="22"/>
        </w:rPr>
        <w:t xml:space="preserve"> or major cytogenetic response</w:t>
      </w:r>
      <w:r w:rsidR="00113580">
        <w:rPr>
          <w:rStyle w:val="CommentReference"/>
          <w:rFonts w:ascii="Arial" w:hAnsi="Arial"/>
          <w:b w:val="0"/>
          <w:sz w:val="22"/>
          <w:szCs w:val="22"/>
        </w:rPr>
        <w:t xml:space="preserve"> did</w:t>
      </w:r>
      <w:r w:rsidRPr="004D3770">
        <w:rPr>
          <w:rStyle w:val="CommentReference"/>
          <w:rFonts w:ascii="Arial" w:hAnsi="Arial"/>
          <w:b w:val="0"/>
          <w:sz w:val="22"/>
          <w:szCs w:val="22"/>
        </w:rPr>
        <w:t xml:space="preserve"> not suggest differences </w:t>
      </w:r>
      <w:r w:rsidR="0059654E">
        <w:rPr>
          <w:rStyle w:val="CommentReference"/>
          <w:rFonts w:ascii="Arial" w:hAnsi="Arial"/>
          <w:b w:val="0"/>
          <w:sz w:val="22"/>
          <w:szCs w:val="22"/>
        </w:rPr>
        <w:t xml:space="preserve">between </w:t>
      </w:r>
      <w:r w:rsidRPr="004D3770">
        <w:rPr>
          <w:rStyle w:val="CommentReference"/>
          <w:rFonts w:ascii="Arial" w:hAnsi="Arial"/>
          <w:b w:val="0"/>
          <w:sz w:val="22"/>
          <w:szCs w:val="22"/>
        </w:rPr>
        <w:t>ponatinib, dasatinib</w:t>
      </w:r>
      <w:r w:rsidR="0059654E">
        <w:rPr>
          <w:rStyle w:val="CommentReference"/>
          <w:rFonts w:ascii="Arial" w:hAnsi="Arial"/>
          <w:b w:val="0"/>
          <w:sz w:val="22"/>
          <w:szCs w:val="22"/>
        </w:rPr>
        <w:t xml:space="preserve"> and</w:t>
      </w:r>
      <w:r w:rsidRPr="004D3770">
        <w:rPr>
          <w:rStyle w:val="CommentReference"/>
          <w:rFonts w:ascii="Arial" w:hAnsi="Arial"/>
          <w:b w:val="0"/>
          <w:sz w:val="22"/>
          <w:szCs w:val="22"/>
        </w:rPr>
        <w:t xml:space="preserve"> nilotinib. </w:t>
      </w:r>
      <w:r w:rsidRPr="004D3770">
        <w:t xml:space="preserve">Due to differences in study design, </w:t>
      </w:r>
      <w:r w:rsidR="0059023E" w:rsidRPr="004D3770">
        <w:t xml:space="preserve">CML disease phase, </w:t>
      </w:r>
      <w:r w:rsidRPr="004D3770">
        <w:t>time of reporting</w:t>
      </w:r>
      <w:r w:rsidR="00033821" w:rsidRPr="004D3770">
        <w:t>,</w:t>
      </w:r>
      <w:r w:rsidRPr="004D3770">
        <w:t xml:space="preserve"> heterogeneity within and between the studies and the lack of randomisation</w:t>
      </w:r>
      <w:r w:rsidR="0059654E">
        <w:t>,</w:t>
      </w:r>
      <w:r w:rsidR="00B10134" w:rsidRPr="004D3770">
        <w:t xml:space="preserve"> the claim of comparative efficacy may not be valid.</w:t>
      </w:r>
      <w:r w:rsidRPr="004D3770">
        <w:t xml:space="preserve"> Additionally, the response rates for the PACE study include</w:t>
      </w:r>
      <w:r w:rsidR="00B10134" w:rsidRPr="004D3770">
        <w:t>d</w:t>
      </w:r>
      <w:r w:rsidRPr="004D3770">
        <w:t xml:space="preserve"> patients with the T315I mutation which may skew the results in favour of ponatinib</w:t>
      </w:r>
      <w:r w:rsidR="00033821" w:rsidRPr="004D3770">
        <w:t>. I</w:t>
      </w:r>
      <w:r w:rsidRPr="004D3770">
        <w:t xml:space="preserve">t is unclear whether the dasatinib and nilotinib studies included patients with the </w:t>
      </w:r>
      <w:r w:rsidR="002F6293" w:rsidRPr="004D3770">
        <w:t xml:space="preserve">T315I </w:t>
      </w:r>
      <w:r w:rsidRPr="004D3770">
        <w:t>mutation in their results.</w:t>
      </w:r>
    </w:p>
    <w:p w:rsidR="004B6D7C" w:rsidRPr="004D3770" w:rsidRDefault="004B6D7C" w:rsidP="00CD4AA5">
      <w:pPr>
        <w:ind w:left="720"/>
      </w:pPr>
    </w:p>
    <w:p w:rsidR="004B6D7C" w:rsidRPr="004D3770" w:rsidRDefault="004B6D7C" w:rsidP="009F0D55">
      <w:pPr>
        <w:pStyle w:val="ListParagraph"/>
        <w:widowControl/>
        <w:numPr>
          <w:ilvl w:val="1"/>
          <w:numId w:val="12"/>
        </w:numPr>
        <w:ind w:left="720" w:hanging="720"/>
      </w:pPr>
      <w:r w:rsidRPr="004D3770">
        <w:t>T</w:t>
      </w:r>
      <w:r w:rsidR="00113580">
        <w:t>he submission did</w:t>
      </w:r>
      <w:r w:rsidRPr="004D3770">
        <w:t xml:space="preserve"> not present a comparison between ponatinib and dasatinib or nilotinib for those patients who have the T315I mutation. One excluded study (Muller 2009) reported a major cytogenetic response rate of 2/21 (10%) for chronic phase CML patients with the T315I mutation</w:t>
      </w:r>
      <w:r w:rsidR="00113237" w:rsidRPr="004D3770">
        <w:t xml:space="preserve"> when treated with </w:t>
      </w:r>
      <w:r w:rsidR="00C54CAD" w:rsidRPr="004D3770">
        <w:t xml:space="preserve">second-line </w:t>
      </w:r>
      <w:r w:rsidR="00113237" w:rsidRPr="004D3770">
        <w:t>dasatinib</w:t>
      </w:r>
      <w:r w:rsidRPr="004D3770">
        <w:t xml:space="preserve">, compared to a response rate of </w:t>
      </w:r>
      <w:r w:rsidR="00C54CAD" w:rsidRPr="004D3770">
        <w:t>10/11 (91%)</w:t>
      </w:r>
      <w:r w:rsidRPr="004D3770">
        <w:t xml:space="preserve"> for ponatinib</w:t>
      </w:r>
      <w:r w:rsidR="00C54CAD" w:rsidRPr="004D3770">
        <w:t xml:space="preserve"> when used second-line</w:t>
      </w:r>
      <w:r w:rsidRPr="004D3770">
        <w:t xml:space="preserve"> in the PACE study. </w:t>
      </w:r>
    </w:p>
    <w:p w:rsidR="00121C8D" w:rsidRPr="004D3770" w:rsidRDefault="00121C8D" w:rsidP="00121C8D">
      <w:pPr>
        <w:widowControl/>
      </w:pPr>
    </w:p>
    <w:p w:rsidR="00121C8D" w:rsidRPr="004D3770" w:rsidRDefault="00121C8D" w:rsidP="009F0D55">
      <w:pPr>
        <w:pStyle w:val="ListParagraph"/>
        <w:widowControl/>
        <w:numPr>
          <w:ilvl w:val="1"/>
          <w:numId w:val="12"/>
        </w:numPr>
        <w:ind w:left="720" w:hanging="720"/>
      </w:pPr>
      <w:r w:rsidRPr="004D3770">
        <w:t>The ESC considered that the estimate of the comparative effect size is unreliable because:</w:t>
      </w:r>
    </w:p>
    <w:p w:rsidR="00121C8D" w:rsidRPr="004D3770" w:rsidRDefault="00121C8D" w:rsidP="009F0D55">
      <w:pPr>
        <w:pStyle w:val="ListParagraph"/>
        <w:numPr>
          <w:ilvl w:val="0"/>
          <w:numId w:val="9"/>
        </w:numPr>
        <w:ind w:left="1418" w:right="135" w:hanging="567"/>
      </w:pPr>
      <w:r w:rsidRPr="004D3770">
        <w:t>Indirect trial evidence with a high risk of bias: ponatinib is based on two single-arm studies (PACE study and Study 101); while the evidence for dasatinib and nilotinib is based on seven studies, most of which were</w:t>
      </w:r>
      <w:r w:rsidRPr="001B449A">
        <w:t xml:space="preserve"> </w:t>
      </w:r>
      <w:r w:rsidRPr="004D3770">
        <w:lastRenderedPageBreak/>
        <w:t>observational and single centre studies;</w:t>
      </w:r>
    </w:p>
    <w:p w:rsidR="00121C8D" w:rsidRPr="004D3770" w:rsidRDefault="00121C8D" w:rsidP="009F0D55">
      <w:pPr>
        <w:pStyle w:val="ListParagraph"/>
        <w:numPr>
          <w:ilvl w:val="0"/>
          <w:numId w:val="9"/>
        </w:numPr>
        <w:ind w:left="1418" w:right="135" w:hanging="567"/>
      </w:pPr>
      <w:r w:rsidRPr="004D3770">
        <w:t xml:space="preserve">The populations in the reported studies are highly heterogeneous; and </w:t>
      </w:r>
    </w:p>
    <w:p w:rsidR="00121C8D" w:rsidRPr="004D3770" w:rsidRDefault="00121C8D" w:rsidP="009F0D55">
      <w:pPr>
        <w:pStyle w:val="ListParagraph"/>
        <w:numPr>
          <w:ilvl w:val="0"/>
          <w:numId w:val="9"/>
        </w:numPr>
        <w:ind w:left="1418" w:right="135" w:hanging="567"/>
      </w:pPr>
      <w:r w:rsidRPr="004D3770">
        <w:t xml:space="preserve">There is no common comparator between the ponatinib, dasatinib and nilotinib studies making it difficult to compare effectiveness. </w:t>
      </w:r>
    </w:p>
    <w:p w:rsidR="00121C8D" w:rsidRDefault="00121C8D" w:rsidP="009F0D55">
      <w:pPr>
        <w:pStyle w:val="ListParagraph"/>
        <w:numPr>
          <w:ilvl w:val="0"/>
          <w:numId w:val="9"/>
        </w:numPr>
        <w:ind w:left="1418" w:right="135" w:hanging="567"/>
      </w:pPr>
      <w:proofErr w:type="gramStart"/>
      <w:r w:rsidRPr="004D3770">
        <w:t>the</w:t>
      </w:r>
      <w:proofErr w:type="gramEnd"/>
      <w:r w:rsidRPr="004D3770">
        <w:t xml:space="preserve"> treatment effect size is based on a small number of patients for both accelerated phase CML and blast phase or </w:t>
      </w:r>
      <w:proofErr w:type="spellStart"/>
      <w:r w:rsidRPr="004D3770">
        <w:t>P</w:t>
      </w:r>
      <w:r w:rsidR="003C46A7">
        <w:t>h</w:t>
      </w:r>
      <w:proofErr w:type="spellEnd"/>
      <w:r w:rsidRPr="004D3770">
        <w:t>+ ALL in the PACE study.</w:t>
      </w:r>
    </w:p>
    <w:p w:rsidR="0070454F" w:rsidRDefault="0070454F" w:rsidP="0070454F">
      <w:pPr>
        <w:ind w:right="135"/>
      </w:pPr>
    </w:p>
    <w:p w:rsidR="0070454F" w:rsidRPr="004D3770" w:rsidRDefault="0070454F" w:rsidP="00AB3220">
      <w:pPr>
        <w:pStyle w:val="ListParagraph"/>
        <w:widowControl/>
        <w:numPr>
          <w:ilvl w:val="1"/>
          <w:numId w:val="12"/>
        </w:numPr>
        <w:ind w:left="720" w:hanging="720"/>
      </w:pPr>
      <w:r w:rsidRPr="0070454F">
        <w:t>Within the constraints imposed by the poor quality of the comparative data, and recalling data reviewed in previous applications for imatinib, dasatinib and nilotinib, PBAC considered that ponatinib was</w:t>
      </w:r>
      <w:r>
        <w:t>:</w:t>
      </w:r>
    </w:p>
    <w:p w:rsidR="00121C8D" w:rsidRDefault="0070454F" w:rsidP="00CD4AA5">
      <w:pPr>
        <w:ind w:left="720"/>
      </w:pPr>
      <w:r w:rsidRPr="0070454F">
        <w:t>(</w:t>
      </w:r>
      <w:proofErr w:type="spellStart"/>
      <w:r w:rsidRPr="0070454F">
        <w:t>i</w:t>
      </w:r>
      <w:proofErr w:type="spellEnd"/>
      <w:r w:rsidRPr="0070454F">
        <w:t xml:space="preserve">) similar in efficacy in inducing responses in patients with T315I mutant chronic phase CML as other TKIs have been in achieving responses in </w:t>
      </w:r>
      <w:r w:rsidRPr="0070454F">
        <w:rPr>
          <w:i/>
        </w:rPr>
        <w:t>de novo</w:t>
      </w:r>
      <w:r w:rsidRPr="0070454F">
        <w:t xml:space="preserve"> chronic phase CML, with a high rate of sustained major cytogenetic response at 12 months, but that the overall survival of the ponatinib-treated population was less than seen with other TKI therapy in chronic phase CML;</w:t>
      </w:r>
    </w:p>
    <w:p w:rsidR="0070454F" w:rsidRPr="0070454F" w:rsidRDefault="0070454F" w:rsidP="0070454F">
      <w:pPr>
        <w:ind w:left="720"/>
      </w:pPr>
      <w:r w:rsidRPr="0070454F">
        <w:t>(ii) similar in efficacy to dasatinib or nilotinib with respect response rates in second and third line therapy for patients with non-T315I CML, but that relative durability of responses could not be compared;</w:t>
      </w:r>
    </w:p>
    <w:p w:rsidR="0070454F" w:rsidRPr="0070454F" w:rsidRDefault="0070454F" w:rsidP="0070454F">
      <w:pPr>
        <w:ind w:left="720"/>
      </w:pPr>
      <w:r w:rsidRPr="0070454F">
        <w:t xml:space="preserve">(iii) </w:t>
      </w:r>
      <w:proofErr w:type="gramStart"/>
      <w:r w:rsidRPr="0070454F">
        <w:t>similar</w:t>
      </w:r>
      <w:proofErr w:type="gramEnd"/>
      <w:r w:rsidRPr="0070454F">
        <w:t xml:space="preserve"> in efficacy to dasatinib with respect response rates in dasatinib-naïve patients with blast crisis CML, but that the relative durability of responses could not be compared between the two drugs;</w:t>
      </w:r>
    </w:p>
    <w:p w:rsidR="0070454F" w:rsidRDefault="0070454F" w:rsidP="00CD4AA5">
      <w:pPr>
        <w:ind w:left="720"/>
      </w:pPr>
      <w:r w:rsidRPr="0070454F">
        <w:t xml:space="preserve">(iv) </w:t>
      </w:r>
      <w:proofErr w:type="gramStart"/>
      <w:r w:rsidRPr="0070454F">
        <w:t>active</w:t>
      </w:r>
      <w:proofErr w:type="gramEnd"/>
      <w:r w:rsidRPr="0070454F">
        <w:t xml:space="preserve"> at inducing transient responses in </w:t>
      </w:r>
      <w:proofErr w:type="spellStart"/>
      <w:r w:rsidRPr="0070454F">
        <w:t>Ph</w:t>
      </w:r>
      <w:proofErr w:type="spellEnd"/>
      <w:r w:rsidRPr="0070454F">
        <w:t xml:space="preserve">+ ALL with the T315I mutation, and may have activity against non-T315I </w:t>
      </w:r>
      <w:proofErr w:type="spellStart"/>
      <w:r w:rsidRPr="0070454F">
        <w:t>Ph</w:t>
      </w:r>
      <w:proofErr w:type="spellEnd"/>
      <w:r w:rsidRPr="0070454F">
        <w:t>+ ALL, but that the paucity of data for non-T315I ALL was insufficient to enable any confidence</w:t>
      </w:r>
      <w:r w:rsidR="0059654E">
        <w:t xml:space="preserve"> in determining </w:t>
      </w:r>
      <w:r w:rsidRPr="0070454F">
        <w:t xml:space="preserve"> </w:t>
      </w:r>
      <w:r w:rsidR="0017149B" w:rsidRPr="0070454F">
        <w:t xml:space="preserve"> </w:t>
      </w:r>
      <w:r w:rsidRPr="0070454F">
        <w:t>the extent of its effectiveness.</w:t>
      </w:r>
    </w:p>
    <w:p w:rsidR="0070454F" w:rsidRDefault="0070454F" w:rsidP="00CD4AA5">
      <w:pPr>
        <w:ind w:left="720"/>
      </w:pPr>
    </w:p>
    <w:p w:rsidR="00CD4AA5" w:rsidRPr="00976978" w:rsidRDefault="00CD4AA5" w:rsidP="00976978">
      <w:pPr>
        <w:rPr>
          <w:b/>
          <w:szCs w:val="22"/>
        </w:rPr>
      </w:pPr>
      <w:bookmarkStart w:id="10" w:name="_Toc398282531"/>
      <w:r w:rsidRPr="00976978">
        <w:rPr>
          <w:b/>
          <w:szCs w:val="22"/>
        </w:rPr>
        <w:t>Comparative harms</w:t>
      </w:r>
      <w:bookmarkEnd w:id="10"/>
    </w:p>
    <w:p w:rsidR="00CD4AA5" w:rsidRPr="001B449A" w:rsidRDefault="00CD4AA5" w:rsidP="00CD4AA5">
      <w:pPr>
        <w:ind w:left="720" w:hanging="720"/>
        <w:rPr>
          <w:szCs w:val="22"/>
        </w:rPr>
      </w:pPr>
    </w:p>
    <w:p w:rsidR="00CD4AA5" w:rsidRPr="001B449A" w:rsidRDefault="00113580" w:rsidP="00AB3220">
      <w:pPr>
        <w:pStyle w:val="ListParagraph"/>
        <w:widowControl/>
        <w:numPr>
          <w:ilvl w:val="1"/>
          <w:numId w:val="12"/>
        </w:numPr>
        <w:ind w:left="720" w:hanging="720"/>
        <w:rPr>
          <w:szCs w:val="22"/>
        </w:rPr>
      </w:pPr>
      <w:r>
        <w:t>The submission provided</w:t>
      </w:r>
      <w:r w:rsidR="00CD4AA5" w:rsidRPr="001B449A">
        <w:t xml:space="preserve"> very l</w:t>
      </w:r>
      <w:r w:rsidR="003A28C6" w:rsidRPr="001B449A">
        <w:t xml:space="preserve">imited comparative safety data for ponatinib, dasatinib and nilotinib. </w:t>
      </w:r>
      <w:r w:rsidR="004C2E8A" w:rsidRPr="001B449A">
        <w:t>Th</w:t>
      </w:r>
      <w:r>
        <w:t>e incidence of adverse events was</w:t>
      </w:r>
      <w:r w:rsidR="00CD4AA5" w:rsidRPr="001B449A">
        <w:t xml:space="preserve"> presented in </w:t>
      </w:r>
      <w:r w:rsidR="009F0D55">
        <w:t>the following table</w:t>
      </w:r>
      <w:r w:rsidR="00CD4AA5" w:rsidRPr="001B449A">
        <w:t xml:space="preserve">. </w:t>
      </w:r>
    </w:p>
    <w:p w:rsidR="00CD4AA5" w:rsidRPr="001B449A" w:rsidRDefault="00CD4AA5" w:rsidP="00CD4AA5">
      <w:pPr>
        <w:pStyle w:val="ListParagraph"/>
        <w:widowControl/>
        <w:rPr>
          <w:szCs w:val="22"/>
        </w:rPr>
      </w:pPr>
    </w:p>
    <w:p w:rsidR="00CD4AA5" w:rsidRPr="001B449A" w:rsidRDefault="00CD4AA5" w:rsidP="009C0C48">
      <w:pPr>
        <w:pStyle w:val="ListParagraph"/>
        <w:keepNext/>
        <w:rPr>
          <w:rStyle w:val="CommentReference"/>
        </w:rPr>
      </w:pPr>
      <w:r w:rsidRPr="001B449A">
        <w:rPr>
          <w:rStyle w:val="CommentReference"/>
        </w:rPr>
        <w:t>A summary of the adverse events reporte</w:t>
      </w:r>
      <w:r w:rsidR="00D05806" w:rsidRPr="001B449A">
        <w:rPr>
          <w:rStyle w:val="CommentReference"/>
        </w:rPr>
        <w:t>d across the nonrandomised studie</w:t>
      </w:r>
      <w:r w:rsidRPr="001B449A">
        <w:rPr>
          <w:rStyle w:val="CommentReference"/>
        </w:rPr>
        <w:t>s</w:t>
      </w:r>
    </w:p>
    <w:tbl>
      <w:tblPr>
        <w:tblStyle w:val="TableGrid"/>
        <w:tblW w:w="4594" w:type="pct"/>
        <w:tblInd w:w="737" w:type="dxa"/>
        <w:tblLayout w:type="fixed"/>
        <w:tblCellMar>
          <w:left w:w="28" w:type="dxa"/>
          <w:right w:w="28" w:type="dxa"/>
        </w:tblCellMar>
        <w:tblLook w:val="04A0" w:firstRow="1" w:lastRow="0" w:firstColumn="1" w:lastColumn="0" w:noHBand="0" w:noVBand="1"/>
        <w:tblDescription w:val="A summary of the adverse events reported across the nonrandomised studies"/>
      </w:tblPr>
      <w:tblGrid>
        <w:gridCol w:w="1563"/>
        <w:gridCol w:w="847"/>
        <w:gridCol w:w="851"/>
        <w:gridCol w:w="851"/>
        <w:gridCol w:w="709"/>
        <w:gridCol w:w="709"/>
        <w:gridCol w:w="709"/>
        <w:gridCol w:w="709"/>
        <w:gridCol w:w="709"/>
        <w:gridCol w:w="688"/>
      </w:tblGrid>
      <w:tr w:rsidR="00CD4AA5" w:rsidRPr="001B449A" w:rsidTr="00CD4AA5">
        <w:trPr>
          <w:cantSplit/>
          <w:trHeight w:val="20"/>
          <w:tblHeader/>
        </w:trPr>
        <w:tc>
          <w:tcPr>
            <w:tcW w:w="936" w:type="pct"/>
            <w:vMerge w:val="restart"/>
            <w:tcBorders>
              <w:right w:val="single" w:sz="4" w:space="0" w:color="auto"/>
            </w:tcBorders>
            <w:tcMar>
              <w:left w:w="28" w:type="dxa"/>
              <w:right w:w="28" w:type="dxa"/>
            </w:tcMar>
            <w:vAlign w:val="center"/>
          </w:tcPr>
          <w:p w:rsidR="00CD4AA5" w:rsidRPr="001B449A" w:rsidRDefault="00CD4AA5" w:rsidP="009C0C48">
            <w:pPr>
              <w:pStyle w:val="PBACHeading1"/>
              <w:keepNext/>
              <w:widowControl w:val="0"/>
              <w:numPr>
                <w:ilvl w:val="0"/>
                <w:numId w:val="0"/>
              </w:numPr>
              <w:ind w:left="720"/>
            </w:pPr>
          </w:p>
        </w:tc>
        <w:tc>
          <w:tcPr>
            <w:tcW w:w="1017" w:type="pct"/>
            <w:gridSpan w:val="2"/>
          </w:tcPr>
          <w:p w:rsidR="00CD4AA5" w:rsidRPr="001B449A" w:rsidRDefault="00CD4AA5" w:rsidP="009C0C48">
            <w:pPr>
              <w:pStyle w:val="Tabletext"/>
              <w:keepNext/>
              <w:widowControl w:val="0"/>
              <w:jc w:val="center"/>
              <w:rPr>
                <w:b/>
              </w:rPr>
            </w:pPr>
            <w:r w:rsidRPr="001B449A">
              <w:rPr>
                <w:b/>
              </w:rPr>
              <w:t>Ponatinib; n/N (%)</w:t>
            </w:r>
          </w:p>
        </w:tc>
        <w:tc>
          <w:tcPr>
            <w:tcW w:w="1359" w:type="pct"/>
            <w:gridSpan w:val="3"/>
            <w:vAlign w:val="center"/>
          </w:tcPr>
          <w:p w:rsidR="00CD4AA5" w:rsidRPr="001B449A" w:rsidRDefault="00CD4AA5" w:rsidP="009C0C48">
            <w:pPr>
              <w:pStyle w:val="Tabletext"/>
              <w:keepNext/>
              <w:widowControl w:val="0"/>
              <w:jc w:val="center"/>
              <w:rPr>
                <w:b/>
              </w:rPr>
            </w:pPr>
            <w:r w:rsidRPr="001B449A">
              <w:rPr>
                <w:b/>
              </w:rPr>
              <w:t>Dasatinib; n/N (%)</w:t>
            </w:r>
          </w:p>
        </w:tc>
        <w:tc>
          <w:tcPr>
            <w:tcW w:w="1687" w:type="pct"/>
            <w:gridSpan w:val="4"/>
            <w:tcMar>
              <w:left w:w="28" w:type="dxa"/>
              <w:right w:w="28" w:type="dxa"/>
            </w:tcMar>
            <w:vAlign w:val="center"/>
          </w:tcPr>
          <w:p w:rsidR="00CD4AA5" w:rsidRPr="001B449A" w:rsidRDefault="00CD4AA5" w:rsidP="009C0C48">
            <w:pPr>
              <w:pStyle w:val="Tabletext"/>
              <w:keepNext/>
              <w:widowControl w:val="0"/>
              <w:jc w:val="center"/>
              <w:rPr>
                <w:b/>
              </w:rPr>
            </w:pPr>
            <w:r w:rsidRPr="001B449A">
              <w:rPr>
                <w:b/>
              </w:rPr>
              <w:t>Nilotinib; n/N (%)</w:t>
            </w:r>
          </w:p>
        </w:tc>
      </w:tr>
      <w:tr w:rsidR="00CD4AA5" w:rsidRPr="001B449A" w:rsidTr="00CD4AA5">
        <w:trPr>
          <w:cantSplit/>
          <w:trHeight w:val="20"/>
          <w:tblHeader/>
        </w:trPr>
        <w:tc>
          <w:tcPr>
            <w:tcW w:w="936" w:type="pct"/>
            <w:vMerge/>
            <w:tcBorders>
              <w:right w:val="single" w:sz="4" w:space="0" w:color="auto"/>
            </w:tcBorders>
            <w:tcMar>
              <w:left w:w="28" w:type="dxa"/>
              <w:right w:w="28" w:type="dxa"/>
            </w:tcMar>
            <w:vAlign w:val="center"/>
          </w:tcPr>
          <w:p w:rsidR="00CD4AA5" w:rsidRPr="001B449A" w:rsidRDefault="00CD4AA5" w:rsidP="009C0C48">
            <w:pPr>
              <w:pStyle w:val="Tabletext"/>
              <w:keepNext/>
              <w:widowControl w:val="0"/>
            </w:pPr>
          </w:p>
        </w:tc>
        <w:tc>
          <w:tcPr>
            <w:tcW w:w="507" w:type="pct"/>
          </w:tcPr>
          <w:p w:rsidR="00CD4AA5" w:rsidRPr="001B449A" w:rsidRDefault="00CD4AA5" w:rsidP="009C0C48">
            <w:pPr>
              <w:pStyle w:val="Tabletext"/>
              <w:keepNext/>
              <w:widowControl w:val="0"/>
              <w:jc w:val="center"/>
              <w:rPr>
                <w:b/>
              </w:rPr>
            </w:pPr>
            <w:r w:rsidRPr="001B449A">
              <w:rPr>
                <w:b/>
              </w:rPr>
              <w:t>PACE</w:t>
            </w:r>
          </w:p>
          <w:p w:rsidR="00CD4AA5" w:rsidRPr="001B449A" w:rsidRDefault="00CD4AA5" w:rsidP="009C0C48">
            <w:pPr>
              <w:pStyle w:val="Tabletext"/>
              <w:keepNext/>
              <w:widowControl w:val="0"/>
              <w:jc w:val="center"/>
              <w:rPr>
                <w:b/>
              </w:rPr>
            </w:pPr>
            <w:r w:rsidRPr="001B449A">
              <w:rPr>
                <w:b/>
              </w:rPr>
              <w:t>13 July 2012</w:t>
            </w:r>
          </w:p>
        </w:tc>
        <w:tc>
          <w:tcPr>
            <w:tcW w:w="510" w:type="pct"/>
          </w:tcPr>
          <w:p w:rsidR="00CD4AA5" w:rsidRPr="001B449A" w:rsidRDefault="00CD4AA5" w:rsidP="009C0C48">
            <w:pPr>
              <w:pStyle w:val="Tabletext"/>
              <w:keepNext/>
              <w:widowControl w:val="0"/>
              <w:jc w:val="center"/>
              <w:rPr>
                <w:b/>
              </w:rPr>
            </w:pPr>
            <w:r w:rsidRPr="001B449A">
              <w:rPr>
                <w:b/>
              </w:rPr>
              <w:t>Study 101</w:t>
            </w:r>
          </w:p>
          <w:p w:rsidR="00CD4AA5" w:rsidRPr="001B449A" w:rsidRDefault="00CD4AA5" w:rsidP="009C0C48">
            <w:pPr>
              <w:pStyle w:val="Tabletext"/>
              <w:keepNext/>
              <w:widowControl w:val="0"/>
              <w:jc w:val="center"/>
              <w:rPr>
                <w:b/>
              </w:rPr>
            </w:pPr>
            <w:r w:rsidRPr="001B449A">
              <w:rPr>
                <w:b/>
              </w:rPr>
              <w:t>14 June 2012</w:t>
            </w:r>
          </w:p>
        </w:tc>
        <w:tc>
          <w:tcPr>
            <w:tcW w:w="510" w:type="pct"/>
            <w:tcBorders>
              <w:right w:val="single" w:sz="4" w:space="0" w:color="auto"/>
            </w:tcBorders>
            <w:vAlign w:val="center"/>
          </w:tcPr>
          <w:p w:rsidR="00CD4AA5" w:rsidRPr="001B449A" w:rsidRDefault="00CD4AA5" w:rsidP="009C0C48">
            <w:pPr>
              <w:pStyle w:val="Tabletext"/>
              <w:keepNext/>
              <w:widowControl w:val="0"/>
              <w:jc w:val="center"/>
              <w:rPr>
                <w:b/>
              </w:rPr>
            </w:pPr>
            <w:proofErr w:type="spellStart"/>
            <w:r w:rsidRPr="001B449A">
              <w:rPr>
                <w:b/>
              </w:rPr>
              <w:t>Quintas-Cardama</w:t>
            </w:r>
            <w:proofErr w:type="spellEnd"/>
            <w:r w:rsidRPr="001B449A">
              <w:rPr>
                <w:b/>
              </w:rPr>
              <w:t xml:space="preserve"> 2007</w:t>
            </w:r>
          </w:p>
        </w:tc>
        <w:tc>
          <w:tcPr>
            <w:tcW w:w="425" w:type="pct"/>
            <w:tcBorders>
              <w:left w:val="single" w:sz="4" w:space="0" w:color="auto"/>
            </w:tcBorders>
            <w:tcMar>
              <w:left w:w="28" w:type="dxa"/>
              <w:right w:w="28" w:type="dxa"/>
            </w:tcMar>
            <w:vAlign w:val="center"/>
          </w:tcPr>
          <w:p w:rsidR="00CD4AA5" w:rsidRPr="001B449A" w:rsidRDefault="00CD4AA5" w:rsidP="009C0C48">
            <w:pPr>
              <w:pStyle w:val="Tabletext"/>
              <w:keepNext/>
              <w:widowControl w:val="0"/>
              <w:jc w:val="center"/>
              <w:rPr>
                <w:b/>
              </w:rPr>
            </w:pPr>
            <w:r w:rsidRPr="001B449A">
              <w:rPr>
                <w:b/>
              </w:rPr>
              <w:t xml:space="preserve">Garg </w:t>
            </w:r>
          </w:p>
          <w:p w:rsidR="00CD4AA5" w:rsidRPr="001B449A" w:rsidRDefault="00CD4AA5" w:rsidP="009C0C48">
            <w:pPr>
              <w:pStyle w:val="Tabletext"/>
              <w:keepNext/>
              <w:widowControl w:val="0"/>
              <w:jc w:val="center"/>
              <w:rPr>
                <w:b/>
              </w:rPr>
            </w:pPr>
            <w:r w:rsidRPr="001B449A">
              <w:rPr>
                <w:b/>
              </w:rPr>
              <w:t>2009</w:t>
            </w:r>
          </w:p>
        </w:tc>
        <w:tc>
          <w:tcPr>
            <w:tcW w:w="425" w:type="pct"/>
            <w:vAlign w:val="center"/>
          </w:tcPr>
          <w:p w:rsidR="00CD4AA5" w:rsidRPr="001B449A" w:rsidRDefault="00CD4AA5" w:rsidP="009C0C48">
            <w:pPr>
              <w:pStyle w:val="Tabletext"/>
              <w:keepNext/>
              <w:widowControl w:val="0"/>
              <w:jc w:val="center"/>
              <w:rPr>
                <w:b/>
              </w:rPr>
            </w:pPr>
            <w:r w:rsidRPr="001B449A">
              <w:rPr>
                <w:b/>
              </w:rPr>
              <w:t>Rossi 2013</w:t>
            </w:r>
          </w:p>
        </w:tc>
        <w:tc>
          <w:tcPr>
            <w:tcW w:w="425" w:type="pct"/>
            <w:tcMar>
              <w:left w:w="28" w:type="dxa"/>
              <w:right w:w="28" w:type="dxa"/>
            </w:tcMar>
            <w:vAlign w:val="center"/>
          </w:tcPr>
          <w:p w:rsidR="00CD4AA5" w:rsidRPr="001B449A" w:rsidRDefault="00CD4AA5" w:rsidP="009C0C48">
            <w:pPr>
              <w:pStyle w:val="Tabletext"/>
              <w:keepNext/>
              <w:widowControl w:val="0"/>
              <w:jc w:val="center"/>
              <w:rPr>
                <w:b/>
              </w:rPr>
            </w:pPr>
            <w:r w:rsidRPr="001B449A">
              <w:rPr>
                <w:b/>
              </w:rPr>
              <w:t>Giles 2010</w:t>
            </w:r>
          </w:p>
        </w:tc>
        <w:tc>
          <w:tcPr>
            <w:tcW w:w="425" w:type="pct"/>
            <w:tcMar>
              <w:left w:w="28" w:type="dxa"/>
              <w:right w:w="28" w:type="dxa"/>
            </w:tcMar>
            <w:vAlign w:val="center"/>
          </w:tcPr>
          <w:p w:rsidR="00CD4AA5" w:rsidRPr="001B449A" w:rsidRDefault="00CD4AA5" w:rsidP="009C0C48">
            <w:pPr>
              <w:pStyle w:val="Tabletext"/>
              <w:keepNext/>
              <w:widowControl w:val="0"/>
              <w:jc w:val="center"/>
              <w:rPr>
                <w:b/>
              </w:rPr>
            </w:pPr>
            <w:r w:rsidRPr="001B449A">
              <w:rPr>
                <w:b/>
              </w:rPr>
              <w:t xml:space="preserve">Garg </w:t>
            </w:r>
          </w:p>
          <w:p w:rsidR="00CD4AA5" w:rsidRPr="001B449A" w:rsidRDefault="00CD4AA5" w:rsidP="009C0C48">
            <w:pPr>
              <w:pStyle w:val="Tabletext"/>
              <w:keepNext/>
              <w:widowControl w:val="0"/>
              <w:jc w:val="center"/>
              <w:rPr>
                <w:b/>
              </w:rPr>
            </w:pPr>
            <w:r w:rsidRPr="001B449A">
              <w:rPr>
                <w:b/>
              </w:rPr>
              <w:t>2009</w:t>
            </w:r>
          </w:p>
        </w:tc>
        <w:tc>
          <w:tcPr>
            <w:tcW w:w="425" w:type="pct"/>
            <w:tcMar>
              <w:left w:w="28" w:type="dxa"/>
              <w:right w:w="28" w:type="dxa"/>
            </w:tcMar>
            <w:vAlign w:val="center"/>
          </w:tcPr>
          <w:p w:rsidR="00CD4AA5" w:rsidRPr="001B449A" w:rsidRDefault="00CD4AA5" w:rsidP="009C0C48">
            <w:pPr>
              <w:pStyle w:val="Tabletext"/>
              <w:keepNext/>
              <w:widowControl w:val="0"/>
              <w:jc w:val="center"/>
              <w:rPr>
                <w:b/>
              </w:rPr>
            </w:pPr>
            <w:proofErr w:type="spellStart"/>
            <w:r w:rsidRPr="001B449A">
              <w:rPr>
                <w:b/>
              </w:rPr>
              <w:t>Nicolini</w:t>
            </w:r>
            <w:proofErr w:type="spellEnd"/>
            <w:r w:rsidRPr="001B449A">
              <w:rPr>
                <w:b/>
              </w:rPr>
              <w:t xml:space="preserve"> 2009</w:t>
            </w:r>
          </w:p>
        </w:tc>
        <w:tc>
          <w:tcPr>
            <w:tcW w:w="412" w:type="pct"/>
            <w:tcMar>
              <w:left w:w="28" w:type="dxa"/>
              <w:right w:w="28" w:type="dxa"/>
            </w:tcMar>
            <w:vAlign w:val="center"/>
          </w:tcPr>
          <w:p w:rsidR="00CD4AA5" w:rsidRPr="001B449A" w:rsidRDefault="00CD4AA5" w:rsidP="009C0C48">
            <w:pPr>
              <w:pStyle w:val="Tabletext"/>
              <w:keepNext/>
              <w:widowControl w:val="0"/>
              <w:jc w:val="center"/>
              <w:rPr>
                <w:b/>
              </w:rPr>
            </w:pPr>
            <w:r w:rsidRPr="001B449A">
              <w:rPr>
                <w:b/>
              </w:rPr>
              <w:t>Rossi 2013</w:t>
            </w:r>
          </w:p>
        </w:tc>
      </w:tr>
      <w:tr w:rsidR="00CD4AA5" w:rsidRPr="001B449A" w:rsidTr="00CD4AA5">
        <w:trPr>
          <w:cantSplit/>
          <w:trHeight w:val="20"/>
        </w:trPr>
        <w:tc>
          <w:tcPr>
            <w:tcW w:w="936" w:type="pct"/>
            <w:tcBorders>
              <w:right w:val="single" w:sz="4" w:space="0" w:color="auto"/>
            </w:tcBorders>
            <w:tcMar>
              <w:left w:w="28" w:type="dxa"/>
              <w:right w:w="28" w:type="dxa"/>
            </w:tcMar>
            <w:vAlign w:val="center"/>
          </w:tcPr>
          <w:p w:rsidR="00CD4AA5" w:rsidRPr="001B449A" w:rsidRDefault="00CD4AA5" w:rsidP="009C0C48">
            <w:pPr>
              <w:pStyle w:val="Tabletext"/>
              <w:keepNext/>
              <w:widowControl w:val="0"/>
            </w:pPr>
            <w:r w:rsidRPr="001B449A">
              <w:t>N</w:t>
            </w:r>
          </w:p>
        </w:tc>
        <w:tc>
          <w:tcPr>
            <w:tcW w:w="507" w:type="pct"/>
          </w:tcPr>
          <w:p w:rsidR="00CD4AA5" w:rsidRPr="001B449A" w:rsidRDefault="00CD4AA5" w:rsidP="009C0C48">
            <w:pPr>
              <w:pStyle w:val="Tabletext"/>
              <w:keepNext/>
              <w:widowControl w:val="0"/>
              <w:jc w:val="center"/>
            </w:pPr>
            <w:r w:rsidRPr="001B449A">
              <w:t>449</w:t>
            </w:r>
          </w:p>
        </w:tc>
        <w:tc>
          <w:tcPr>
            <w:tcW w:w="510" w:type="pct"/>
          </w:tcPr>
          <w:p w:rsidR="00CD4AA5" w:rsidRPr="001B449A" w:rsidRDefault="00CD4AA5" w:rsidP="009C0C48">
            <w:pPr>
              <w:pStyle w:val="Tabletext"/>
              <w:keepNext/>
              <w:widowControl w:val="0"/>
              <w:jc w:val="center"/>
            </w:pPr>
            <w:r w:rsidRPr="001B449A">
              <w:t>81</w:t>
            </w:r>
          </w:p>
        </w:tc>
        <w:tc>
          <w:tcPr>
            <w:tcW w:w="510" w:type="pct"/>
            <w:tcBorders>
              <w:right w:val="single" w:sz="4" w:space="0" w:color="auto"/>
            </w:tcBorders>
            <w:vAlign w:val="center"/>
          </w:tcPr>
          <w:p w:rsidR="00CD4AA5" w:rsidRPr="001B449A" w:rsidRDefault="00CD4AA5" w:rsidP="009C0C48">
            <w:pPr>
              <w:pStyle w:val="Tabletext"/>
              <w:keepNext/>
              <w:widowControl w:val="0"/>
              <w:jc w:val="center"/>
            </w:pPr>
            <w:r w:rsidRPr="001B449A">
              <w:t>23</w:t>
            </w:r>
          </w:p>
        </w:tc>
        <w:tc>
          <w:tcPr>
            <w:tcW w:w="425" w:type="pct"/>
            <w:tcBorders>
              <w:left w:val="single" w:sz="4" w:space="0" w:color="auto"/>
            </w:tcBorders>
            <w:tcMar>
              <w:left w:w="28" w:type="dxa"/>
              <w:right w:w="28" w:type="dxa"/>
            </w:tcMar>
            <w:vAlign w:val="center"/>
          </w:tcPr>
          <w:p w:rsidR="00CD4AA5" w:rsidRPr="001B449A" w:rsidRDefault="00CD4AA5" w:rsidP="009C0C48">
            <w:pPr>
              <w:pStyle w:val="Tabletext"/>
              <w:keepNext/>
              <w:widowControl w:val="0"/>
              <w:jc w:val="center"/>
            </w:pPr>
            <w:r w:rsidRPr="001B449A">
              <w:t>34</w:t>
            </w:r>
          </w:p>
        </w:tc>
        <w:tc>
          <w:tcPr>
            <w:tcW w:w="425" w:type="pct"/>
            <w:vAlign w:val="center"/>
          </w:tcPr>
          <w:p w:rsidR="00CD4AA5" w:rsidRPr="001B449A" w:rsidRDefault="00CD4AA5" w:rsidP="009C0C48">
            <w:pPr>
              <w:pStyle w:val="Tabletext"/>
              <w:keepNext/>
              <w:widowControl w:val="0"/>
              <w:jc w:val="center"/>
            </w:pPr>
            <w:r w:rsidRPr="001B449A">
              <w:t>34</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60</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14</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292</w:t>
            </w:r>
          </w:p>
        </w:tc>
        <w:tc>
          <w:tcPr>
            <w:tcW w:w="412" w:type="pct"/>
            <w:tcMar>
              <w:left w:w="28" w:type="dxa"/>
              <w:right w:w="28" w:type="dxa"/>
            </w:tcMar>
            <w:vAlign w:val="center"/>
          </w:tcPr>
          <w:p w:rsidR="00CD4AA5" w:rsidRPr="001B449A" w:rsidRDefault="00CD4AA5" w:rsidP="009C0C48">
            <w:pPr>
              <w:pStyle w:val="Tabletext"/>
              <w:keepNext/>
              <w:widowControl w:val="0"/>
              <w:jc w:val="center"/>
            </w:pPr>
            <w:r w:rsidRPr="001B449A">
              <w:t>48</w:t>
            </w:r>
          </w:p>
        </w:tc>
      </w:tr>
      <w:tr w:rsidR="00CD4AA5" w:rsidRPr="001B449A" w:rsidTr="00CD4AA5">
        <w:trPr>
          <w:cantSplit/>
          <w:trHeight w:val="20"/>
        </w:trPr>
        <w:tc>
          <w:tcPr>
            <w:tcW w:w="936" w:type="pct"/>
            <w:tcBorders>
              <w:right w:val="single" w:sz="4" w:space="0" w:color="auto"/>
            </w:tcBorders>
            <w:tcMar>
              <w:left w:w="28" w:type="dxa"/>
              <w:right w:w="28" w:type="dxa"/>
            </w:tcMar>
            <w:vAlign w:val="center"/>
          </w:tcPr>
          <w:p w:rsidR="00CD4AA5" w:rsidRPr="001B449A" w:rsidRDefault="00CD4AA5" w:rsidP="009C0C48">
            <w:pPr>
              <w:pStyle w:val="Tabletext"/>
              <w:keepNext/>
              <w:widowControl w:val="0"/>
            </w:pPr>
            <w:r w:rsidRPr="001B449A">
              <w:t>Any TE AE</w:t>
            </w:r>
          </w:p>
        </w:tc>
        <w:tc>
          <w:tcPr>
            <w:tcW w:w="507" w:type="pct"/>
            <w:vAlign w:val="center"/>
          </w:tcPr>
          <w:p w:rsidR="00CD4AA5" w:rsidRPr="001B449A" w:rsidRDefault="00CD4AA5" w:rsidP="009C0C48">
            <w:pPr>
              <w:pStyle w:val="Tabletext"/>
              <w:keepNext/>
              <w:widowControl w:val="0"/>
              <w:jc w:val="center"/>
            </w:pPr>
            <w:r w:rsidRPr="001B449A">
              <w:t>446/449 (99%)</w:t>
            </w:r>
          </w:p>
        </w:tc>
        <w:tc>
          <w:tcPr>
            <w:tcW w:w="510" w:type="pct"/>
            <w:vAlign w:val="center"/>
          </w:tcPr>
          <w:p w:rsidR="00CD4AA5" w:rsidRPr="001B449A" w:rsidRDefault="00CD4AA5" w:rsidP="009C0C48">
            <w:pPr>
              <w:pStyle w:val="Tabletext"/>
              <w:keepNext/>
              <w:widowControl w:val="0"/>
              <w:jc w:val="center"/>
              <w:rPr>
                <w:highlight w:val="yellow"/>
              </w:rPr>
            </w:pPr>
            <w:r w:rsidRPr="001B449A">
              <w:t>81/81 (100%)</w:t>
            </w:r>
          </w:p>
        </w:tc>
        <w:tc>
          <w:tcPr>
            <w:tcW w:w="510" w:type="pct"/>
            <w:tcBorders>
              <w:right w:val="single" w:sz="4" w:space="0" w:color="auto"/>
            </w:tcBorders>
            <w:vAlign w:val="center"/>
          </w:tcPr>
          <w:p w:rsidR="00CD4AA5" w:rsidRPr="001B449A" w:rsidRDefault="00CD4AA5" w:rsidP="009C0C48">
            <w:pPr>
              <w:pStyle w:val="Tabletext"/>
              <w:keepNext/>
              <w:widowControl w:val="0"/>
              <w:jc w:val="center"/>
            </w:pPr>
            <w:r w:rsidRPr="001B449A">
              <w:t>-</w:t>
            </w:r>
          </w:p>
        </w:tc>
        <w:tc>
          <w:tcPr>
            <w:tcW w:w="425" w:type="pct"/>
            <w:tcBorders>
              <w:left w:val="single" w:sz="4" w:space="0" w:color="auto"/>
            </w:tcBorders>
            <w:tcMar>
              <w:left w:w="28" w:type="dxa"/>
              <w:right w:w="28" w:type="dxa"/>
            </w:tcMar>
            <w:vAlign w:val="center"/>
          </w:tcPr>
          <w:p w:rsidR="00CD4AA5" w:rsidRPr="001B449A" w:rsidRDefault="00CD4AA5" w:rsidP="009C0C48">
            <w:pPr>
              <w:pStyle w:val="Tabletext"/>
              <w:keepNext/>
              <w:widowControl w:val="0"/>
              <w:jc w:val="center"/>
            </w:pPr>
            <w:r w:rsidRPr="001B449A">
              <w:t>-</w:t>
            </w:r>
          </w:p>
        </w:tc>
        <w:tc>
          <w:tcPr>
            <w:tcW w:w="425" w:type="pct"/>
            <w:vAlign w:val="center"/>
          </w:tcPr>
          <w:p w:rsidR="00CD4AA5" w:rsidRPr="001B449A" w:rsidRDefault="00CD4AA5" w:rsidP="009C0C48">
            <w:pPr>
              <w:pStyle w:val="Tabletext"/>
              <w:keepNext/>
              <w:widowControl w:val="0"/>
              <w:jc w:val="center"/>
            </w:pPr>
            <w:r w:rsidRPr="001B449A">
              <w:t>-</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w:t>
            </w:r>
          </w:p>
        </w:tc>
        <w:tc>
          <w:tcPr>
            <w:tcW w:w="425" w:type="pct"/>
            <w:tcMar>
              <w:left w:w="28" w:type="dxa"/>
              <w:right w:w="28" w:type="dxa"/>
            </w:tcMar>
            <w:vAlign w:val="center"/>
          </w:tcPr>
          <w:p w:rsidR="00CD4AA5" w:rsidRPr="001B449A" w:rsidRDefault="00CD4AA5" w:rsidP="009C0C48">
            <w:pPr>
              <w:pStyle w:val="Tabletext"/>
              <w:keepNext/>
              <w:widowControl w:val="0"/>
              <w:jc w:val="center"/>
            </w:pPr>
            <w:r w:rsidRPr="001B449A">
              <w:t>285/292 (98%)</w:t>
            </w:r>
          </w:p>
        </w:tc>
        <w:tc>
          <w:tcPr>
            <w:tcW w:w="412" w:type="pct"/>
            <w:tcMar>
              <w:left w:w="28" w:type="dxa"/>
              <w:right w:w="28" w:type="dxa"/>
            </w:tcMar>
            <w:vAlign w:val="center"/>
          </w:tcPr>
          <w:p w:rsidR="00CD4AA5" w:rsidRPr="001B449A" w:rsidRDefault="00CD4AA5" w:rsidP="009C0C48">
            <w:pPr>
              <w:pStyle w:val="Tabletext"/>
              <w:keepNext/>
              <w:widowControl w:val="0"/>
              <w:jc w:val="center"/>
            </w:pPr>
            <w:r w:rsidRPr="001B449A">
              <w:t>-</w:t>
            </w:r>
          </w:p>
        </w:tc>
      </w:tr>
      <w:tr w:rsidR="00CD4AA5" w:rsidRPr="001B449A" w:rsidTr="00CD4AA5">
        <w:trPr>
          <w:cantSplit/>
          <w:trHeight w:val="20"/>
        </w:trPr>
        <w:tc>
          <w:tcPr>
            <w:tcW w:w="936" w:type="pct"/>
            <w:tcBorders>
              <w:right w:val="single" w:sz="4" w:space="0" w:color="auto"/>
            </w:tcBorders>
            <w:tcMar>
              <w:left w:w="28" w:type="dxa"/>
              <w:right w:w="28" w:type="dxa"/>
            </w:tcMar>
            <w:vAlign w:val="center"/>
          </w:tcPr>
          <w:p w:rsidR="00CD4AA5" w:rsidRPr="001B449A" w:rsidRDefault="00CD4AA5" w:rsidP="003375AE">
            <w:pPr>
              <w:pStyle w:val="Tabletext"/>
            </w:pPr>
            <w:r w:rsidRPr="001B449A">
              <w:t>Discontinu</w:t>
            </w:r>
            <w:r w:rsidR="003375AE" w:rsidRPr="001B449A">
              <w:t>ed:</w:t>
            </w:r>
            <w:r w:rsidRPr="001B449A">
              <w:t xml:space="preserve"> AE</w:t>
            </w:r>
          </w:p>
        </w:tc>
        <w:tc>
          <w:tcPr>
            <w:tcW w:w="507" w:type="pct"/>
            <w:vAlign w:val="center"/>
          </w:tcPr>
          <w:p w:rsidR="00CD4AA5" w:rsidRPr="001B449A" w:rsidRDefault="00CD4AA5" w:rsidP="00CD4AA5">
            <w:pPr>
              <w:pStyle w:val="Tabletext"/>
              <w:jc w:val="center"/>
            </w:pPr>
            <w:r w:rsidRPr="001B449A">
              <w:t>50/449</w:t>
            </w:r>
            <w:r w:rsidRPr="001B449A" w:rsidDel="008F6F2C">
              <w:t xml:space="preserve"> </w:t>
            </w:r>
            <w:r w:rsidRPr="001B449A">
              <w:t>(11%)</w:t>
            </w:r>
          </w:p>
        </w:tc>
        <w:tc>
          <w:tcPr>
            <w:tcW w:w="510" w:type="pct"/>
            <w:vAlign w:val="center"/>
          </w:tcPr>
          <w:p w:rsidR="00CD4AA5" w:rsidRPr="001B449A" w:rsidRDefault="00CD4AA5" w:rsidP="00CD4AA5">
            <w:pPr>
              <w:pStyle w:val="Tabletext"/>
              <w:jc w:val="center"/>
              <w:rPr>
                <w:highlight w:val="yellow"/>
              </w:rPr>
            </w:pPr>
            <w:r w:rsidRPr="001B449A">
              <w:t>61/81 (75%)</w:t>
            </w:r>
          </w:p>
        </w:tc>
        <w:tc>
          <w:tcPr>
            <w:tcW w:w="510" w:type="pct"/>
            <w:tcBorders>
              <w:right w:val="single" w:sz="4" w:space="0" w:color="auto"/>
            </w:tcBorders>
            <w:vAlign w:val="center"/>
          </w:tcPr>
          <w:p w:rsidR="00CD4AA5" w:rsidRPr="001B449A" w:rsidRDefault="00CD4AA5" w:rsidP="00CD4AA5">
            <w:pPr>
              <w:pStyle w:val="Tabletext"/>
              <w:jc w:val="center"/>
            </w:pPr>
            <w:r w:rsidRPr="001B449A">
              <w:t>1/23</w:t>
            </w:r>
          </w:p>
          <w:p w:rsidR="00CD4AA5" w:rsidRPr="001B449A" w:rsidRDefault="00CD4AA5" w:rsidP="00CD4AA5">
            <w:pPr>
              <w:pStyle w:val="Tabletext"/>
              <w:jc w:val="center"/>
            </w:pPr>
            <w:r w:rsidRPr="001B449A">
              <w:t>(4%)</w:t>
            </w:r>
          </w:p>
        </w:tc>
        <w:tc>
          <w:tcPr>
            <w:tcW w:w="425" w:type="pct"/>
            <w:tcBorders>
              <w:left w:val="single" w:sz="4" w:space="0" w:color="auto"/>
            </w:tcBorders>
            <w:tcMar>
              <w:left w:w="28" w:type="dxa"/>
              <w:right w:w="28" w:type="dxa"/>
            </w:tcMar>
            <w:vAlign w:val="center"/>
          </w:tcPr>
          <w:p w:rsidR="00CD4AA5" w:rsidRPr="001B449A" w:rsidRDefault="00CD4AA5" w:rsidP="00CD4AA5">
            <w:pPr>
              <w:pStyle w:val="Tabletext"/>
              <w:jc w:val="center"/>
            </w:pPr>
            <w:r w:rsidRPr="001B449A">
              <w:t>7/34</w:t>
            </w:r>
          </w:p>
          <w:p w:rsidR="00CD4AA5" w:rsidRPr="001B449A" w:rsidRDefault="00CD4AA5" w:rsidP="00CD4AA5">
            <w:pPr>
              <w:pStyle w:val="Tabletext"/>
              <w:jc w:val="center"/>
            </w:pPr>
            <w:r w:rsidRPr="001B449A">
              <w:t>(21%)</w:t>
            </w:r>
          </w:p>
        </w:tc>
        <w:tc>
          <w:tcPr>
            <w:tcW w:w="425" w:type="pct"/>
            <w:vAlign w:val="center"/>
          </w:tcPr>
          <w:p w:rsidR="00CD4AA5" w:rsidRPr="001B449A" w:rsidRDefault="00CD4AA5" w:rsidP="00CD4AA5">
            <w:pPr>
              <w:pStyle w:val="Tabletext"/>
              <w:jc w:val="center"/>
            </w:pPr>
            <w:r w:rsidRPr="001B449A">
              <w:t>14/34</w:t>
            </w:r>
          </w:p>
          <w:p w:rsidR="00CD4AA5" w:rsidRPr="001B449A" w:rsidRDefault="00CD4AA5" w:rsidP="00CD4AA5">
            <w:pPr>
              <w:pStyle w:val="Tabletext"/>
              <w:jc w:val="center"/>
            </w:pPr>
            <w:r w:rsidRPr="001B449A">
              <w:t>(41%)</w:t>
            </w:r>
          </w:p>
        </w:tc>
        <w:tc>
          <w:tcPr>
            <w:tcW w:w="425" w:type="pct"/>
            <w:tcMar>
              <w:left w:w="28" w:type="dxa"/>
              <w:right w:w="28" w:type="dxa"/>
            </w:tcMar>
            <w:vAlign w:val="center"/>
          </w:tcPr>
          <w:p w:rsidR="00CD4AA5" w:rsidRPr="001B449A" w:rsidRDefault="00CD4AA5" w:rsidP="00CD4AA5">
            <w:pPr>
              <w:pStyle w:val="Tabletext"/>
              <w:jc w:val="center"/>
            </w:pPr>
            <w:r w:rsidRPr="001B449A">
              <w:t>10/60</w:t>
            </w:r>
          </w:p>
          <w:p w:rsidR="00CD4AA5" w:rsidRPr="001B449A" w:rsidRDefault="00CD4AA5" w:rsidP="00CD4AA5">
            <w:pPr>
              <w:pStyle w:val="Tabletext"/>
              <w:jc w:val="center"/>
            </w:pPr>
            <w:r w:rsidRPr="001B449A">
              <w:t>(17%)</w:t>
            </w:r>
          </w:p>
        </w:tc>
        <w:tc>
          <w:tcPr>
            <w:tcW w:w="425" w:type="pct"/>
            <w:tcMar>
              <w:left w:w="28" w:type="dxa"/>
              <w:right w:w="28" w:type="dxa"/>
            </w:tcMar>
            <w:vAlign w:val="center"/>
          </w:tcPr>
          <w:p w:rsidR="00CD4AA5" w:rsidRPr="001B449A" w:rsidRDefault="00CD4AA5" w:rsidP="00CD4AA5">
            <w:pPr>
              <w:pStyle w:val="Tabletext"/>
              <w:jc w:val="center"/>
            </w:pPr>
            <w:r w:rsidRPr="001B449A">
              <w:t>0/14</w:t>
            </w:r>
          </w:p>
          <w:p w:rsidR="00CD4AA5" w:rsidRPr="001B449A" w:rsidRDefault="00CD4AA5" w:rsidP="00CD4AA5">
            <w:pPr>
              <w:pStyle w:val="Tabletext"/>
              <w:jc w:val="center"/>
            </w:pPr>
            <w:r w:rsidRPr="001B449A">
              <w:t>(0%)</w:t>
            </w:r>
          </w:p>
        </w:tc>
        <w:tc>
          <w:tcPr>
            <w:tcW w:w="425" w:type="pct"/>
            <w:tcMar>
              <w:left w:w="28" w:type="dxa"/>
              <w:right w:w="28" w:type="dxa"/>
            </w:tcMar>
            <w:vAlign w:val="center"/>
          </w:tcPr>
          <w:p w:rsidR="00CD4AA5" w:rsidRPr="001B449A" w:rsidRDefault="00CD4AA5" w:rsidP="00CD4AA5">
            <w:pPr>
              <w:pStyle w:val="Tabletext"/>
              <w:jc w:val="center"/>
            </w:pPr>
            <w:r w:rsidRPr="001B449A">
              <w:t>33/292 (11%)</w:t>
            </w:r>
          </w:p>
        </w:tc>
        <w:tc>
          <w:tcPr>
            <w:tcW w:w="412" w:type="pct"/>
            <w:tcMar>
              <w:left w:w="28" w:type="dxa"/>
              <w:right w:w="28" w:type="dxa"/>
            </w:tcMar>
            <w:vAlign w:val="center"/>
          </w:tcPr>
          <w:p w:rsidR="00CD4AA5" w:rsidRPr="001B449A" w:rsidRDefault="00CD4AA5" w:rsidP="00CD4AA5">
            <w:pPr>
              <w:pStyle w:val="Tabletext"/>
              <w:jc w:val="center"/>
            </w:pPr>
            <w:r w:rsidRPr="001B449A">
              <w:t>24/48</w:t>
            </w:r>
          </w:p>
          <w:p w:rsidR="00CD4AA5" w:rsidRPr="001B449A" w:rsidRDefault="00CD4AA5" w:rsidP="00CD4AA5">
            <w:pPr>
              <w:pStyle w:val="Tabletext"/>
              <w:jc w:val="center"/>
            </w:pPr>
            <w:r w:rsidRPr="001B449A">
              <w:t>(50%)</w:t>
            </w:r>
          </w:p>
        </w:tc>
      </w:tr>
      <w:tr w:rsidR="00CD4AA5" w:rsidRPr="001B449A" w:rsidTr="00CD4AA5">
        <w:trPr>
          <w:cantSplit/>
          <w:trHeight w:val="20"/>
        </w:trPr>
        <w:tc>
          <w:tcPr>
            <w:tcW w:w="936" w:type="pct"/>
            <w:tcBorders>
              <w:right w:val="single" w:sz="4" w:space="0" w:color="auto"/>
            </w:tcBorders>
            <w:tcMar>
              <w:left w:w="28" w:type="dxa"/>
              <w:right w:w="28" w:type="dxa"/>
            </w:tcMar>
            <w:vAlign w:val="center"/>
          </w:tcPr>
          <w:p w:rsidR="00CD4AA5" w:rsidRPr="001B449A" w:rsidRDefault="00CD4AA5" w:rsidP="003375AE">
            <w:pPr>
              <w:pStyle w:val="Tabletext"/>
            </w:pPr>
            <w:r w:rsidRPr="001B449A">
              <w:t>Discontinu</w:t>
            </w:r>
            <w:r w:rsidR="003375AE" w:rsidRPr="001B449A">
              <w:t xml:space="preserve">ed: </w:t>
            </w:r>
            <w:r w:rsidRPr="001B449A">
              <w:t>lack of effect</w:t>
            </w:r>
          </w:p>
        </w:tc>
        <w:tc>
          <w:tcPr>
            <w:tcW w:w="507" w:type="pct"/>
          </w:tcPr>
          <w:p w:rsidR="00CD4AA5" w:rsidRPr="001B449A" w:rsidRDefault="00CD4AA5" w:rsidP="00CD4AA5">
            <w:pPr>
              <w:pStyle w:val="Tabletext"/>
              <w:jc w:val="center"/>
            </w:pPr>
            <w:r w:rsidRPr="001B449A">
              <w:t>-</w:t>
            </w:r>
          </w:p>
        </w:tc>
        <w:tc>
          <w:tcPr>
            <w:tcW w:w="510" w:type="pct"/>
          </w:tcPr>
          <w:p w:rsidR="00CD4AA5" w:rsidRPr="001B449A" w:rsidRDefault="00CD4AA5" w:rsidP="00CD4AA5">
            <w:pPr>
              <w:pStyle w:val="Tabletext"/>
              <w:jc w:val="center"/>
            </w:pPr>
            <w:r w:rsidRPr="001B449A">
              <w:t>-</w:t>
            </w:r>
          </w:p>
        </w:tc>
        <w:tc>
          <w:tcPr>
            <w:tcW w:w="510" w:type="pct"/>
            <w:tcBorders>
              <w:right w:val="single" w:sz="4" w:space="0" w:color="auto"/>
            </w:tcBorders>
            <w:vAlign w:val="center"/>
          </w:tcPr>
          <w:p w:rsidR="00CD4AA5" w:rsidRPr="001B449A" w:rsidRDefault="00CD4AA5" w:rsidP="00CD4AA5">
            <w:pPr>
              <w:pStyle w:val="Tabletext"/>
              <w:jc w:val="center"/>
            </w:pPr>
            <w:r w:rsidRPr="001B449A">
              <w:t>8/23</w:t>
            </w:r>
          </w:p>
          <w:p w:rsidR="00CD4AA5" w:rsidRPr="001B449A" w:rsidRDefault="00CD4AA5" w:rsidP="00CD4AA5">
            <w:pPr>
              <w:pStyle w:val="Tabletext"/>
              <w:jc w:val="center"/>
            </w:pPr>
            <w:r w:rsidRPr="001B449A">
              <w:t>(35%)</w:t>
            </w:r>
          </w:p>
        </w:tc>
        <w:tc>
          <w:tcPr>
            <w:tcW w:w="425" w:type="pct"/>
            <w:tcBorders>
              <w:left w:val="single" w:sz="4" w:space="0" w:color="auto"/>
            </w:tcBorders>
            <w:tcMar>
              <w:left w:w="28" w:type="dxa"/>
              <w:right w:w="28" w:type="dxa"/>
            </w:tcMar>
            <w:vAlign w:val="center"/>
          </w:tcPr>
          <w:p w:rsidR="00CD4AA5" w:rsidRPr="001B449A" w:rsidRDefault="00CD4AA5" w:rsidP="00CD4AA5">
            <w:pPr>
              <w:pStyle w:val="Tabletext"/>
              <w:jc w:val="center"/>
            </w:pPr>
            <w:r w:rsidRPr="001B449A">
              <w:t>3/34</w:t>
            </w:r>
          </w:p>
          <w:p w:rsidR="00CD4AA5" w:rsidRPr="001B449A" w:rsidRDefault="00CD4AA5" w:rsidP="00CD4AA5">
            <w:pPr>
              <w:pStyle w:val="Tabletext"/>
              <w:jc w:val="center"/>
            </w:pPr>
            <w:r w:rsidRPr="001B449A">
              <w:t>(9%)</w:t>
            </w:r>
          </w:p>
        </w:tc>
        <w:tc>
          <w:tcPr>
            <w:tcW w:w="425" w:type="pct"/>
            <w:vAlign w:val="center"/>
          </w:tcPr>
          <w:p w:rsidR="00CD4AA5" w:rsidRPr="001B449A" w:rsidRDefault="00CD4AA5" w:rsidP="00CD4AA5">
            <w:pPr>
              <w:pStyle w:val="Tabletext"/>
              <w:jc w:val="center"/>
            </w:pPr>
            <w:r w:rsidRPr="001B449A">
              <w:t>-</w:t>
            </w:r>
          </w:p>
        </w:tc>
        <w:tc>
          <w:tcPr>
            <w:tcW w:w="425" w:type="pct"/>
            <w:tcMar>
              <w:left w:w="28" w:type="dxa"/>
              <w:right w:w="28" w:type="dxa"/>
            </w:tcMar>
            <w:vAlign w:val="center"/>
          </w:tcPr>
          <w:p w:rsidR="00CD4AA5" w:rsidRPr="001B449A" w:rsidRDefault="00CD4AA5" w:rsidP="00CD4AA5">
            <w:pPr>
              <w:pStyle w:val="Tabletext"/>
              <w:jc w:val="center"/>
            </w:pPr>
            <w:r w:rsidRPr="001B449A">
              <w:t>19/60</w:t>
            </w:r>
          </w:p>
          <w:p w:rsidR="00CD4AA5" w:rsidRPr="001B449A" w:rsidRDefault="00CD4AA5" w:rsidP="00CD4AA5">
            <w:pPr>
              <w:pStyle w:val="Tabletext"/>
              <w:jc w:val="center"/>
            </w:pPr>
            <w:r w:rsidRPr="001B449A">
              <w:t>(32%)</w:t>
            </w:r>
          </w:p>
        </w:tc>
        <w:tc>
          <w:tcPr>
            <w:tcW w:w="425" w:type="pct"/>
            <w:tcMar>
              <w:left w:w="28" w:type="dxa"/>
              <w:right w:w="28" w:type="dxa"/>
            </w:tcMar>
            <w:vAlign w:val="center"/>
          </w:tcPr>
          <w:p w:rsidR="00CD4AA5" w:rsidRPr="001B449A" w:rsidRDefault="00CD4AA5" w:rsidP="00CD4AA5">
            <w:pPr>
              <w:pStyle w:val="Tabletext"/>
              <w:jc w:val="center"/>
            </w:pPr>
            <w:r w:rsidRPr="001B449A">
              <w:t>2/14</w:t>
            </w:r>
          </w:p>
          <w:p w:rsidR="00CD4AA5" w:rsidRPr="001B449A" w:rsidRDefault="00CD4AA5" w:rsidP="00CD4AA5">
            <w:pPr>
              <w:pStyle w:val="Tabletext"/>
              <w:jc w:val="center"/>
            </w:pPr>
            <w:r w:rsidRPr="001B449A">
              <w:t>(14%)</w:t>
            </w:r>
          </w:p>
        </w:tc>
        <w:tc>
          <w:tcPr>
            <w:tcW w:w="425" w:type="pct"/>
            <w:tcMar>
              <w:left w:w="28" w:type="dxa"/>
              <w:right w:w="28" w:type="dxa"/>
            </w:tcMar>
            <w:vAlign w:val="center"/>
          </w:tcPr>
          <w:p w:rsidR="00CD4AA5" w:rsidRPr="001B449A" w:rsidRDefault="00CD4AA5" w:rsidP="00CD4AA5">
            <w:pPr>
              <w:pStyle w:val="Tabletext"/>
              <w:jc w:val="center"/>
            </w:pPr>
            <w:r w:rsidRPr="001B449A">
              <w:t>68/292 (23%)</w:t>
            </w:r>
          </w:p>
        </w:tc>
        <w:tc>
          <w:tcPr>
            <w:tcW w:w="412" w:type="pct"/>
            <w:tcMar>
              <w:left w:w="28" w:type="dxa"/>
              <w:right w:w="28" w:type="dxa"/>
            </w:tcMar>
            <w:vAlign w:val="center"/>
          </w:tcPr>
          <w:p w:rsidR="00CD4AA5" w:rsidRPr="001B449A" w:rsidRDefault="00824154" w:rsidP="00CD4AA5">
            <w:pPr>
              <w:pStyle w:val="Tabletext"/>
              <w:jc w:val="center"/>
            </w:pPr>
            <w:r w:rsidRPr="001B449A">
              <w:t>-</w:t>
            </w:r>
          </w:p>
        </w:tc>
      </w:tr>
      <w:tr w:rsidR="00CD4AA5" w:rsidRPr="001B449A" w:rsidTr="00CD4AA5">
        <w:trPr>
          <w:cantSplit/>
          <w:trHeight w:val="20"/>
        </w:trPr>
        <w:tc>
          <w:tcPr>
            <w:tcW w:w="936" w:type="pct"/>
            <w:tcBorders>
              <w:right w:val="single" w:sz="4" w:space="0" w:color="auto"/>
            </w:tcBorders>
            <w:tcMar>
              <w:left w:w="28" w:type="dxa"/>
              <w:right w:w="28" w:type="dxa"/>
            </w:tcMar>
            <w:vAlign w:val="center"/>
          </w:tcPr>
          <w:p w:rsidR="00CD4AA5" w:rsidRPr="001B449A" w:rsidRDefault="003375AE" w:rsidP="003375AE">
            <w:pPr>
              <w:pStyle w:val="Tabletext"/>
            </w:pPr>
            <w:r w:rsidRPr="001B449A">
              <w:t>Discontinued:</w:t>
            </w:r>
            <w:r w:rsidR="00CD4AA5" w:rsidRPr="001B449A">
              <w:t xml:space="preserve"> death</w:t>
            </w:r>
          </w:p>
        </w:tc>
        <w:tc>
          <w:tcPr>
            <w:tcW w:w="507" w:type="pct"/>
            <w:vAlign w:val="center"/>
          </w:tcPr>
          <w:p w:rsidR="00CD4AA5" w:rsidRPr="001B449A" w:rsidRDefault="00CD4AA5" w:rsidP="00CD4AA5">
            <w:pPr>
              <w:pStyle w:val="Tabletext"/>
              <w:jc w:val="center"/>
            </w:pPr>
            <w:r w:rsidRPr="001B449A">
              <w:t>18/449</w:t>
            </w:r>
            <w:r w:rsidRPr="001B449A" w:rsidDel="008F6F2C">
              <w:t xml:space="preserve"> </w:t>
            </w:r>
            <w:r w:rsidRPr="001B449A">
              <w:t>(4%)</w:t>
            </w:r>
          </w:p>
        </w:tc>
        <w:tc>
          <w:tcPr>
            <w:tcW w:w="510" w:type="pct"/>
            <w:vAlign w:val="center"/>
          </w:tcPr>
          <w:p w:rsidR="00CD4AA5" w:rsidRPr="001B449A" w:rsidRDefault="00CD4AA5" w:rsidP="00CD4AA5">
            <w:pPr>
              <w:pStyle w:val="Tabletext"/>
              <w:jc w:val="center"/>
              <w:rPr>
                <w:highlight w:val="yellow"/>
              </w:rPr>
            </w:pPr>
            <w:r w:rsidRPr="001B449A">
              <w:t>-</w:t>
            </w:r>
          </w:p>
        </w:tc>
        <w:tc>
          <w:tcPr>
            <w:tcW w:w="510" w:type="pct"/>
            <w:tcBorders>
              <w:right w:val="single" w:sz="4" w:space="0" w:color="auto"/>
            </w:tcBorders>
            <w:vAlign w:val="center"/>
          </w:tcPr>
          <w:p w:rsidR="00CD4AA5" w:rsidRPr="001B449A" w:rsidRDefault="00CD4AA5" w:rsidP="00CD4AA5">
            <w:pPr>
              <w:pStyle w:val="Tabletext"/>
              <w:jc w:val="center"/>
            </w:pPr>
            <w:r w:rsidRPr="001B449A">
              <w:t>7/23</w:t>
            </w:r>
          </w:p>
          <w:p w:rsidR="00CD4AA5" w:rsidRPr="001B449A" w:rsidRDefault="00CD4AA5" w:rsidP="00CD4AA5">
            <w:pPr>
              <w:pStyle w:val="Tabletext"/>
              <w:jc w:val="center"/>
            </w:pPr>
            <w:r w:rsidRPr="001B449A">
              <w:t>(30%)</w:t>
            </w:r>
          </w:p>
        </w:tc>
        <w:tc>
          <w:tcPr>
            <w:tcW w:w="425" w:type="pct"/>
            <w:tcBorders>
              <w:left w:val="single" w:sz="4" w:space="0" w:color="auto"/>
            </w:tcBorders>
            <w:tcMar>
              <w:left w:w="28" w:type="dxa"/>
              <w:right w:w="28" w:type="dxa"/>
            </w:tcMar>
            <w:vAlign w:val="center"/>
          </w:tcPr>
          <w:p w:rsidR="00CD4AA5" w:rsidRPr="001B449A" w:rsidRDefault="00CD4AA5" w:rsidP="00CD4AA5">
            <w:pPr>
              <w:pStyle w:val="Tabletext"/>
              <w:jc w:val="center"/>
            </w:pPr>
            <w:r w:rsidRPr="001B449A">
              <w:t>4/34</w:t>
            </w:r>
          </w:p>
          <w:p w:rsidR="00CD4AA5" w:rsidRPr="001B449A" w:rsidRDefault="00CD4AA5" w:rsidP="00CD4AA5">
            <w:pPr>
              <w:pStyle w:val="Tabletext"/>
              <w:jc w:val="center"/>
            </w:pPr>
            <w:r w:rsidRPr="001B449A">
              <w:t>(12%)</w:t>
            </w:r>
          </w:p>
        </w:tc>
        <w:tc>
          <w:tcPr>
            <w:tcW w:w="425" w:type="pct"/>
            <w:vAlign w:val="center"/>
          </w:tcPr>
          <w:p w:rsidR="00CD4AA5" w:rsidRPr="001B449A" w:rsidRDefault="00CD4AA5" w:rsidP="00CD4AA5">
            <w:pPr>
              <w:pStyle w:val="Tabletext"/>
              <w:jc w:val="center"/>
            </w:pPr>
            <w:r w:rsidRPr="001B449A">
              <w:t>-</w:t>
            </w:r>
          </w:p>
        </w:tc>
        <w:tc>
          <w:tcPr>
            <w:tcW w:w="425" w:type="pct"/>
            <w:tcMar>
              <w:left w:w="28" w:type="dxa"/>
              <w:right w:w="28" w:type="dxa"/>
            </w:tcMar>
            <w:vAlign w:val="center"/>
          </w:tcPr>
          <w:p w:rsidR="00CD4AA5" w:rsidRPr="001B449A" w:rsidRDefault="00CD4AA5" w:rsidP="00CD4AA5">
            <w:pPr>
              <w:pStyle w:val="Tabletext"/>
              <w:jc w:val="center"/>
            </w:pPr>
            <w:r w:rsidRPr="001B449A">
              <w:t>2/60</w:t>
            </w:r>
          </w:p>
          <w:p w:rsidR="00CD4AA5" w:rsidRPr="001B449A" w:rsidRDefault="00CD4AA5" w:rsidP="00CD4AA5">
            <w:pPr>
              <w:pStyle w:val="Tabletext"/>
              <w:jc w:val="center"/>
            </w:pPr>
            <w:r w:rsidRPr="001B449A">
              <w:t>(3%)</w:t>
            </w:r>
          </w:p>
        </w:tc>
        <w:tc>
          <w:tcPr>
            <w:tcW w:w="425" w:type="pct"/>
            <w:tcMar>
              <w:left w:w="28" w:type="dxa"/>
              <w:right w:w="28" w:type="dxa"/>
            </w:tcMar>
            <w:vAlign w:val="center"/>
          </w:tcPr>
          <w:p w:rsidR="00CD4AA5" w:rsidRPr="001B449A" w:rsidRDefault="00CD4AA5" w:rsidP="00CD4AA5">
            <w:pPr>
              <w:pStyle w:val="Tabletext"/>
              <w:jc w:val="center"/>
            </w:pPr>
            <w:r w:rsidRPr="001B449A">
              <w:t>1/14</w:t>
            </w:r>
          </w:p>
          <w:p w:rsidR="00CD4AA5" w:rsidRPr="001B449A" w:rsidRDefault="00CD4AA5" w:rsidP="00CD4AA5">
            <w:pPr>
              <w:pStyle w:val="Tabletext"/>
              <w:jc w:val="center"/>
            </w:pPr>
            <w:r w:rsidRPr="001B449A">
              <w:t>(7%)</w:t>
            </w:r>
          </w:p>
        </w:tc>
        <w:tc>
          <w:tcPr>
            <w:tcW w:w="425" w:type="pct"/>
            <w:tcMar>
              <w:left w:w="28" w:type="dxa"/>
              <w:right w:w="28" w:type="dxa"/>
            </w:tcMar>
            <w:vAlign w:val="center"/>
          </w:tcPr>
          <w:p w:rsidR="00CD4AA5" w:rsidRPr="001B449A" w:rsidRDefault="00CD4AA5" w:rsidP="00CD4AA5">
            <w:pPr>
              <w:pStyle w:val="Tabletext"/>
              <w:jc w:val="center"/>
            </w:pPr>
            <w:r w:rsidRPr="001B449A">
              <w:t>-</w:t>
            </w:r>
          </w:p>
        </w:tc>
        <w:tc>
          <w:tcPr>
            <w:tcW w:w="412" w:type="pct"/>
            <w:tcMar>
              <w:left w:w="28" w:type="dxa"/>
              <w:right w:w="28" w:type="dxa"/>
            </w:tcMar>
            <w:vAlign w:val="center"/>
          </w:tcPr>
          <w:p w:rsidR="00CD4AA5" w:rsidRPr="001B449A" w:rsidRDefault="00CD4AA5" w:rsidP="00CD4AA5">
            <w:pPr>
              <w:pStyle w:val="Tabletext"/>
              <w:jc w:val="center"/>
            </w:pPr>
            <w:r w:rsidRPr="001B449A">
              <w:t>-</w:t>
            </w:r>
          </w:p>
        </w:tc>
      </w:tr>
    </w:tbl>
    <w:p w:rsidR="00CD4AA5" w:rsidRPr="001B449A" w:rsidRDefault="00CD4AA5" w:rsidP="00CD4AA5">
      <w:pPr>
        <w:pStyle w:val="TableFooter"/>
        <w:ind w:firstLine="720"/>
      </w:pPr>
      <w:r w:rsidRPr="001B449A">
        <w:t xml:space="preserve">Source: Table 56, p111; Table 57, p112 of the submission </w:t>
      </w:r>
    </w:p>
    <w:p w:rsidR="00CD4AA5" w:rsidRPr="001B449A" w:rsidRDefault="00CD4AA5" w:rsidP="00CD4AA5">
      <w:pPr>
        <w:pStyle w:val="TableFooter"/>
        <w:ind w:firstLine="720"/>
      </w:pPr>
      <w:r w:rsidRPr="001B449A">
        <w:t xml:space="preserve">AE = adverse event; </w:t>
      </w:r>
      <w:r w:rsidR="00F15981" w:rsidRPr="001B449A">
        <w:t>TE</w:t>
      </w:r>
      <w:r w:rsidRPr="001B449A">
        <w:t xml:space="preserve"> = treatment emergent; Italics = extracted during evaluation</w:t>
      </w:r>
    </w:p>
    <w:p w:rsidR="00CD4AA5" w:rsidRPr="001B449A" w:rsidRDefault="00CD4AA5" w:rsidP="00CD4AA5">
      <w:pPr>
        <w:pStyle w:val="TableFooter"/>
      </w:pPr>
    </w:p>
    <w:p w:rsidR="00CD4AA5" w:rsidRPr="001B449A" w:rsidRDefault="00CD4AA5" w:rsidP="00CD4AA5">
      <w:pPr>
        <w:pStyle w:val="TableFooter"/>
        <w:ind w:left="720"/>
        <w:rPr>
          <w:rFonts w:ascii="Arial" w:hAnsi="Arial"/>
          <w:sz w:val="22"/>
          <w:szCs w:val="22"/>
        </w:rPr>
      </w:pPr>
      <w:r w:rsidRPr="001B449A">
        <w:rPr>
          <w:rFonts w:ascii="Arial" w:hAnsi="Arial"/>
          <w:sz w:val="22"/>
          <w:szCs w:val="22"/>
        </w:rPr>
        <w:t xml:space="preserve">Due to the lack of adverse event reporting in the dasatinib and nilotinib </w:t>
      </w:r>
      <w:r w:rsidR="003375AE" w:rsidRPr="001B449A">
        <w:rPr>
          <w:rFonts w:ascii="Arial" w:hAnsi="Arial"/>
          <w:sz w:val="22"/>
          <w:szCs w:val="22"/>
        </w:rPr>
        <w:t>studies</w:t>
      </w:r>
      <w:r w:rsidRPr="001B449A">
        <w:rPr>
          <w:rFonts w:ascii="Arial" w:hAnsi="Arial"/>
          <w:sz w:val="22"/>
          <w:szCs w:val="22"/>
        </w:rPr>
        <w:t xml:space="preserve">, the </w:t>
      </w:r>
      <w:r w:rsidR="003375AE" w:rsidRPr="001B449A">
        <w:rPr>
          <w:rFonts w:ascii="Arial" w:hAnsi="Arial"/>
          <w:sz w:val="22"/>
          <w:szCs w:val="22"/>
        </w:rPr>
        <w:t xml:space="preserve">heterogeneity across the </w:t>
      </w:r>
      <w:r w:rsidRPr="001B449A">
        <w:rPr>
          <w:rFonts w:ascii="Arial" w:hAnsi="Arial"/>
          <w:sz w:val="22"/>
          <w:szCs w:val="22"/>
        </w:rPr>
        <w:t>studies</w:t>
      </w:r>
      <w:r w:rsidR="00113237" w:rsidRPr="001B449A">
        <w:rPr>
          <w:rFonts w:ascii="Arial" w:hAnsi="Arial"/>
          <w:sz w:val="22"/>
          <w:szCs w:val="22"/>
        </w:rPr>
        <w:t xml:space="preserve"> </w:t>
      </w:r>
      <w:r w:rsidRPr="001B449A">
        <w:rPr>
          <w:rFonts w:ascii="Arial" w:hAnsi="Arial"/>
          <w:sz w:val="22"/>
          <w:szCs w:val="22"/>
        </w:rPr>
        <w:t xml:space="preserve">and the absence of </w:t>
      </w:r>
      <w:r w:rsidR="00113580">
        <w:rPr>
          <w:rFonts w:ascii="Arial" w:hAnsi="Arial"/>
          <w:sz w:val="22"/>
          <w:szCs w:val="22"/>
        </w:rPr>
        <w:t>a head to head comparison, it was</w:t>
      </w:r>
      <w:r w:rsidRPr="001B449A">
        <w:rPr>
          <w:rFonts w:ascii="Arial" w:hAnsi="Arial"/>
          <w:sz w:val="22"/>
          <w:szCs w:val="22"/>
        </w:rPr>
        <w:t xml:space="preserve"> difficult to compare </w:t>
      </w:r>
      <w:r w:rsidR="0059654E" w:rsidRPr="001B449A">
        <w:rPr>
          <w:rFonts w:ascii="Arial" w:hAnsi="Arial"/>
          <w:sz w:val="22"/>
          <w:szCs w:val="22"/>
        </w:rPr>
        <w:t xml:space="preserve">meaningfully </w:t>
      </w:r>
      <w:r w:rsidR="0059654E">
        <w:rPr>
          <w:rFonts w:ascii="Arial" w:hAnsi="Arial"/>
          <w:sz w:val="22"/>
          <w:szCs w:val="22"/>
        </w:rPr>
        <w:t>t</w:t>
      </w:r>
      <w:r w:rsidRPr="001B449A">
        <w:rPr>
          <w:rFonts w:ascii="Arial" w:hAnsi="Arial"/>
          <w:sz w:val="22"/>
          <w:szCs w:val="22"/>
        </w:rPr>
        <w:t>he safety of ponatinib, dasatinib and nilotinib.</w:t>
      </w:r>
    </w:p>
    <w:p w:rsidR="003A28C6" w:rsidRPr="001B449A" w:rsidRDefault="003A28C6" w:rsidP="00CD4AA5">
      <w:pPr>
        <w:pStyle w:val="TableFooter"/>
        <w:ind w:left="720"/>
        <w:rPr>
          <w:rFonts w:ascii="Arial" w:hAnsi="Arial"/>
          <w:sz w:val="22"/>
          <w:szCs w:val="22"/>
        </w:rPr>
      </w:pPr>
    </w:p>
    <w:p w:rsidR="00A65FAC" w:rsidRPr="001B449A" w:rsidRDefault="003A28C6" w:rsidP="003A28C6">
      <w:pPr>
        <w:pStyle w:val="ListParagraph"/>
        <w:widowControl/>
        <w:rPr>
          <w:szCs w:val="22"/>
        </w:rPr>
      </w:pPr>
      <w:r w:rsidRPr="001B449A">
        <w:rPr>
          <w:szCs w:val="22"/>
        </w:rPr>
        <w:lastRenderedPageBreak/>
        <w:t>The most common adverse events reported in the ponatinib studies were decreased platelets (27-40%), decreased neutrophils (12-23%), rash (33-36%) and arthralgia (17-25%). The rate of pancreatitis should also be noted: 6% in the PACE study and 14% in Study 101.</w:t>
      </w:r>
      <w:r w:rsidR="00A65FAC" w:rsidRPr="001B449A">
        <w:rPr>
          <w:szCs w:val="22"/>
        </w:rPr>
        <w:t xml:space="preserve"> </w:t>
      </w:r>
    </w:p>
    <w:p w:rsidR="00A65FAC" w:rsidRPr="001B449A" w:rsidRDefault="00A65FAC" w:rsidP="003A28C6">
      <w:pPr>
        <w:pStyle w:val="ListParagraph"/>
        <w:widowControl/>
        <w:rPr>
          <w:szCs w:val="22"/>
        </w:rPr>
      </w:pPr>
    </w:p>
    <w:p w:rsidR="003A28C6" w:rsidRPr="001B449A" w:rsidRDefault="000B164C" w:rsidP="00AB3220">
      <w:pPr>
        <w:pStyle w:val="ListParagraph"/>
        <w:widowControl/>
        <w:numPr>
          <w:ilvl w:val="1"/>
          <w:numId w:val="12"/>
        </w:numPr>
        <w:ind w:left="720" w:hanging="720"/>
        <w:rPr>
          <w:szCs w:val="22"/>
        </w:rPr>
      </w:pPr>
      <w:r w:rsidRPr="001B449A">
        <w:rPr>
          <w:szCs w:val="22"/>
        </w:rPr>
        <w:t>N</w:t>
      </w:r>
      <w:r w:rsidR="00A65FAC" w:rsidRPr="001B449A">
        <w:rPr>
          <w:szCs w:val="22"/>
        </w:rPr>
        <w:t>either the PACE study nor Study 101</w:t>
      </w:r>
      <w:r w:rsidR="0059654E">
        <w:rPr>
          <w:szCs w:val="22"/>
        </w:rPr>
        <w:t>,</w:t>
      </w:r>
      <w:r w:rsidR="00113237" w:rsidRPr="001B449A">
        <w:rPr>
          <w:szCs w:val="22"/>
        </w:rPr>
        <w:t xml:space="preserve"> </w:t>
      </w:r>
      <w:r w:rsidR="00A65FAC" w:rsidRPr="001B449A">
        <w:rPr>
          <w:szCs w:val="22"/>
        </w:rPr>
        <w:t>identified arterial or venous occlusion as an adverse event</w:t>
      </w:r>
      <w:r w:rsidR="00EC1080" w:rsidRPr="001B449A">
        <w:rPr>
          <w:szCs w:val="22"/>
        </w:rPr>
        <w:t xml:space="preserve"> in their respective clinical study reports</w:t>
      </w:r>
      <w:r w:rsidR="00A65FAC" w:rsidRPr="001B449A">
        <w:rPr>
          <w:szCs w:val="22"/>
        </w:rPr>
        <w:t xml:space="preserve">. Additional analysis of the PACE study data to 3 September 2013 was provided in the submission and </w:t>
      </w:r>
      <w:r w:rsidR="0059654E">
        <w:rPr>
          <w:szCs w:val="22"/>
        </w:rPr>
        <w:t>i</w:t>
      </w:r>
      <w:r w:rsidR="00113580">
        <w:rPr>
          <w:szCs w:val="22"/>
        </w:rPr>
        <w:t>s shown in the table below.</w:t>
      </w:r>
    </w:p>
    <w:p w:rsidR="00A65FAC" w:rsidRPr="001B449A" w:rsidRDefault="00A65FAC" w:rsidP="003A28C6">
      <w:pPr>
        <w:pStyle w:val="ListParagraph"/>
        <w:widowControl/>
        <w:rPr>
          <w:szCs w:val="22"/>
        </w:rPr>
      </w:pPr>
    </w:p>
    <w:p w:rsidR="00A65FAC" w:rsidRPr="001B449A" w:rsidRDefault="00A65FAC" w:rsidP="00C54CAD">
      <w:pPr>
        <w:keepNext/>
        <w:ind w:left="709" w:firstLine="11"/>
        <w:rPr>
          <w:rStyle w:val="CommentReference"/>
        </w:rPr>
      </w:pPr>
      <w:r w:rsidRPr="001B449A">
        <w:rPr>
          <w:rStyle w:val="CommentReference"/>
        </w:rPr>
        <w:t>A summary of vascular occlusion events in the PACE study (data to 3 September 2013</w:t>
      </w:r>
      <w:r w:rsidR="00C54CAD" w:rsidRPr="001B449A">
        <w:rPr>
          <w:rStyle w:val="CommentReference"/>
        </w:rPr>
        <w:t>; median 16 months follow-up</w:t>
      </w:r>
      <w:r w:rsidRPr="001B449A">
        <w:rPr>
          <w:rStyle w:val="CommentReference"/>
        </w:rPr>
        <w:t>)</w:t>
      </w:r>
    </w:p>
    <w:tbl>
      <w:tblPr>
        <w:tblStyle w:val="TableGrid"/>
        <w:tblW w:w="4594" w:type="pct"/>
        <w:tblInd w:w="737" w:type="dxa"/>
        <w:tblCellMar>
          <w:left w:w="28" w:type="dxa"/>
          <w:right w:w="28" w:type="dxa"/>
        </w:tblCellMar>
        <w:tblLook w:val="04A0" w:firstRow="1" w:lastRow="0" w:firstColumn="1" w:lastColumn="0" w:noHBand="0" w:noVBand="1"/>
        <w:tblDescription w:val="A summary of vascular occlusion events in the PACE study (data to 3 September 2013; median 16 months follow-up)"/>
      </w:tblPr>
      <w:tblGrid>
        <w:gridCol w:w="2126"/>
        <w:gridCol w:w="1419"/>
        <w:gridCol w:w="1562"/>
        <w:gridCol w:w="1415"/>
        <w:gridCol w:w="1823"/>
      </w:tblGrid>
      <w:tr w:rsidR="00A65FAC" w:rsidRPr="001B449A" w:rsidTr="0094068E">
        <w:trPr>
          <w:tblHeader/>
        </w:trPr>
        <w:tc>
          <w:tcPr>
            <w:tcW w:w="1274" w:type="pct"/>
            <w:vMerge w:val="restart"/>
          </w:tcPr>
          <w:p w:rsidR="00A65FAC" w:rsidRPr="001B449A" w:rsidRDefault="00A65FAC" w:rsidP="00372C9F">
            <w:pPr>
              <w:pStyle w:val="Tabletext"/>
              <w:keepNext/>
              <w:widowControl w:val="0"/>
              <w:rPr>
                <w:b/>
              </w:rPr>
            </w:pPr>
          </w:p>
        </w:tc>
        <w:tc>
          <w:tcPr>
            <w:tcW w:w="1786" w:type="pct"/>
            <w:gridSpan w:val="2"/>
            <w:vAlign w:val="center"/>
          </w:tcPr>
          <w:p w:rsidR="00A65FAC" w:rsidRPr="001B449A" w:rsidRDefault="00A65FAC" w:rsidP="00372C9F">
            <w:pPr>
              <w:pStyle w:val="Tabletext"/>
              <w:keepNext/>
              <w:widowControl w:val="0"/>
              <w:jc w:val="center"/>
              <w:rPr>
                <w:b/>
              </w:rPr>
            </w:pPr>
            <w:r w:rsidRPr="001B449A">
              <w:rPr>
                <w:b/>
              </w:rPr>
              <w:t>Treatment emergent events</w:t>
            </w:r>
          </w:p>
          <w:p w:rsidR="00A65FAC" w:rsidRPr="001B449A" w:rsidRDefault="00A65FAC" w:rsidP="00372C9F">
            <w:pPr>
              <w:pStyle w:val="Tabletext"/>
              <w:keepNext/>
              <w:widowControl w:val="0"/>
              <w:jc w:val="center"/>
              <w:rPr>
                <w:b/>
              </w:rPr>
            </w:pPr>
            <w:r w:rsidRPr="001B449A">
              <w:rPr>
                <w:b/>
              </w:rPr>
              <w:t>(</w:t>
            </w:r>
            <w:proofErr w:type="gramStart"/>
            <w:r w:rsidRPr="001B449A">
              <w:rPr>
                <w:b/>
              </w:rPr>
              <w:t>all</w:t>
            </w:r>
            <w:proofErr w:type="gramEnd"/>
            <w:r w:rsidRPr="001B449A">
              <w:rPr>
                <w:b/>
              </w:rPr>
              <w:t xml:space="preserve"> causality); n/N (%)</w:t>
            </w:r>
          </w:p>
        </w:tc>
        <w:tc>
          <w:tcPr>
            <w:tcW w:w="1941" w:type="pct"/>
            <w:gridSpan w:val="2"/>
            <w:vAlign w:val="center"/>
          </w:tcPr>
          <w:p w:rsidR="00A65FAC" w:rsidRPr="001B449A" w:rsidRDefault="00A65FAC" w:rsidP="00372C9F">
            <w:pPr>
              <w:pStyle w:val="Tabletext"/>
              <w:keepNext/>
              <w:widowControl w:val="0"/>
              <w:jc w:val="center"/>
              <w:rPr>
                <w:b/>
              </w:rPr>
            </w:pPr>
            <w:r w:rsidRPr="001B449A">
              <w:rPr>
                <w:b/>
              </w:rPr>
              <w:t>Treatment related events; n/N (%)</w:t>
            </w:r>
          </w:p>
        </w:tc>
      </w:tr>
      <w:tr w:rsidR="00A65FAC" w:rsidRPr="001B449A" w:rsidTr="0094068E">
        <w:trPr>
          <w:tblHeader/>
        </w:trPr>
        <w:tc>
          <w:tcPr>
            <w:tcW w:w="1274" w:type="pct"/>
            <w:vMerge/>
          </w:tcPr>
          <w:p w:rsidR="00A65FAC" w:rsidRPr="001B449A" w:rsidRDefault="00A65FAC" w:rsidP="00372C9F">
            <w:pPr>
              <w:pStyle w:val="Tabletext"/>
              <w:keepNext/>
              <w:widowControl w:val="0"/>
              <w:rPr>
                <w:b/>
              </w:rPr>
            </w:pPr>
          </w:p>
        </w:tc>
        <w:tc>
          <w:tcPr>
            <w:tcW w:w="850" w:type="pct"/>
            <w:vAlign w:val="center"/>
          </w:tcPr>
          <w:p w:rsidR="00A65FAC" w:rsidRPr="001B449A" w:rsidRDefault="00A65FAC" w:rsidP="00372C9F">
            <w:pPr>
              <w:pStyle w:val="Tabletext"/>
              <w:keepNext/>
              <w:widowControl w:val="0"/>
              <w:jc w:val="center"/>
              <w:rPr>
                <w:b/>
              </w:rPr>
            </w:pPr>
            <w:r w:rsidRPr="001B449A">
              <w:rPr>
                <w:b/>
              </w:rPr>
              <w:t>All events</w:t>
            </w:r>
          </w:p>
        </w:tc>
        <w:tc>
          <w:tcPr>
            <w:tcW w:w="935" w:type="pct"/>
            <w:vAlign w:val="center"/>
          </w:tcPr>
          <w:p w:rsidR="00A65FAC" w:rsidRPr="001B449A" w:rsidRDefault="00A65FAC" w:rsidP="00372C9F">
            <w:pPr>
              <w:pStyle w:val="Tabletext"/>
              <w:keepNext/>
              <w:widowControl w:val="0"/>
              <w:jc w:val="center"/>
              <w:rPr>
                <w:b/>
              </w:rPr>
            </w:pPr>
            <w:r w:rsidRPr="001B449A">
              <w:rPr>
                <w:b/>
              </w:rPr>
              <w:t>Serious events</w:t>
            </w:r>
          </w:p>
        </w:tc>
        <w:tc>
          <w:tcPr>
            <w:tcW w:w="848" w:type="pct"/>
            <w:vAlign w:val="center"/>
          </w:tcPr>
          <w:p w:rsidR="00A65FAC" w:rsidRPr="001B449A" w:rsidRDefault="00A65FAC" w:rsidP="00372C9F">
            <w:pPr>
              <w:pStyle w:val="Tabletext"/>
              <w:keepNext/>
              <w:widowControl w:val="0"/>
              <w:jc w:val="center"/>
              <w:rPr>
                <w:b/>
              </w:rPr>
            </w:pPr>
            <w:r w:rsidRPr="001B449A">
              <w:rPr>
                <w:b/>
              </w:rPr>
              <w:t>All related events</w:t>
            </w:r>
          </w:p>
        </w:tc>
        <w:tc>
          <w:tcPr>
            <w:tcW w:w="1093" w:type="pct"/>
            <w:vAlign w:val="center"/>
          </w:tcPr>
          <w:p w:rsidR="00A65FAC" w:rsidRPr="001B449A" w:rsidRDefault="00A65FAC" w:rsidP="00372C9F">
            <w:pPr>
              <w:pStyle w:val="Tabletext"/>
              <w:keepNext/>
              <w:widowControl w:val="0"/>
              <w:jc w:val="center"/>
              <w:rPr>
                <w:b/>
              </w:rPr>
            </w:pPr>
            <w:r w:rsidRPr="001B449A">
              <w:rPr>
                <w:b/>
              </w:rPr>
              <w:t>Serious related events</w:t>
            </w:r>
          </w:p>
        </w:tc>
      </w:tr>
      <w:tr w:rsidR="00A65FAC" w:rsidRPr="001B449A" w:rsidTr="0094068E">
        <w:tc>
          <w:tcPr>
            <w:tcW w:w="1274" w:type="pct"/>
          </w:tcPr>
          <w:p w:rsidR="00A65FAC" w:rsidRPr="001B449A" w:rsidRDefault="00A65FAC" w:rsidP="00372C9F">
            <w:pPr>
              <w:pStyle w:val="Tabletext"/>
              <w:keepNext/>
              <w:widowControl w:val="0"/>
              <w:rPr>
                <w:b/>
              </w:rPr>
            </w:pPr>
            <w:r w:rsidRPr="001B449A">
              <w:rPr>
                <w:b/>
              </w:rPr>
              <w:t>Vascular occlusion events</w:t>
            </w:r>
          </w:p>
          <w:p w:rsidR="00A65FAC" w:rsidRPr="001B449A" w:rsidRDefault="00A65FAC" w:rsidP="00372C9F">
            <w:pPr>
              <w:pStyle w:val="Tabletext"/>
              <w:keepNext/>
              <w:widowControl w:val="0"/>
              <w:rPr>
                <w:b/>
              </w:rPr>
            </w:pPr>
            <w:r w:rsidRPr="001B449A">
              <w:rPr>
                <w:b/>
              </w:rPr>
              <w:t>(arterial and venous)</w:t>
            </w:r>
          </w:p>
        </w:tc>
        <w:tc>
          <w:tcPr>
            <w:tcW w:w="850" w:type="pct"/>
            <w:vAlign w:val="center"/>
          </w:tcPr>
          <w:p w:rsidR="00A65FAC" w:rsidRPr="001B449A" w:rsidRDefault="00A65FAC" w:rsidP="00372C9F">
            <w:pPr>
              <w:pStyle w:val="Tabletext"/>
              <w:keepNext/>
              <w:widowControl w:val="0"/>
              <w:jc w:val="center"/>
              <w:rPr>
                <w:b/>
              </w:rPr>
            </w:pPr>
            <w:r w:rsidRPr="001B449A">
              <w:rPr>
                <w:b/>
              </w:rPr>
              <w:t>91/449 (20.3%)</w:t>
            </w:r>
          </w:p>
        </w:tc>
        <w:tc>
          <w:tcPr>
            <w:tcW w:w="935" w:type="pct"/>
            <w:vAlign w:val="center"/>
          </w:tcPr>
          <w:p w:rsidR="00A65FAC" w:rsidRPr="001B449A" w:rsidRDefault="00A65FAC" w:rsidP="00372C9F">
            <w:pPr>
              <w:pStyle w:val="Tabletext"/>
              <w:keepNext/>
              <w:widowControl w:val="0"/>
              <w:jc w:val="center"/>
              <w:rPr>
                <w:b/>
              </w:rPr>
            </w:pPr>
            <w:r w:rsidRPr="001B449A">
              <w:rPr>
                <w:b/>
              </w:rPr>
              <w:t>62/449 (13.8%)</w:t>
            </w:r>
          </w:p>
        </w:tc>
        <w:tc>
          <w:tcPr>
            <w:tcW w:w="848" w:type="pct"/>
            <w:vAlign w:val="center"/>
          </w:tcPr>
          <w:p w:rsidR="00A65FAC" w:rsidRPr="001B449A" w:rsidRDefault="00A65FAC" w:rsidP="00372C9F">
            <w:pPr>
              <w:pStyle w:val="Tabletext"/>
              <w:keepNext/>
              <w:widowControl w:val="0"/>
              <w:jc w:val="center"/>
              <w:rPr>
                <w:b/>
              </w:rPr>
            </w:pPr>
            <w:r w:rsidRPr="001B449A">
              <w:rPr>
                <w:b/>
              </w:rPr>
              <w:t>42/449 (9.4%)</w:t>
            </w:r>
          </w:p>
        </w:tc>
        <w:tc>
          <w:tcPr>
            <w:tcW w:w="1093" w:type="pct"/>
            <w:vAlign w:val="center"/>
          </w:tcPr>
          <w:p w:rsidR="00A65FAC" w:rsidRPr="001B449A" w:rsidRDefault="00A65FAC" w:rsidP="00372C9F">
            <w:pPr>
              <w:pStyle w:val="Tabletext"/>
              <w:keepNext/>
              <w:widowControl w:val="0"/>
              <w:jc w:val="center"/>
              <w:rPr>
                <w:b/>
              </w:rPr>
            </w:pPr>
            <w:r w:rsidRPr="001B449A">
              <w:rPr>
                <w:b/>
              </w:rPr>
              <w:t>26/449 (5.8%)</w:t>
            </w:r>
          </w:p>
        </w:tc>
      </w:tr>
      <w:tr w:rsidR="00A65FAC" w:rsidRPr="001B449A" w:rsidTr="0094068E">
        <w:tc>
          <w:tcPr>
            <w:tcW w:w="1274" w:type="pct"/>
          </w:tcPr>
          <w:p w:rsidR="00A65FAC" w:rsidRPr="001B449A" w:rsidRDefault="00A65FAC" w:rsidP="00372C9F">
            <w:pPr>
              <w:pStyle w:val="Tabletext"/>
              <w:keepNext/>
              <w:widowControl w:val="0"/>
            </w:pPr>
            <w:r w:rsidRPr="001B449A">
              <w:t xml:space="preserve">  Cardiovascular</w:t>
            </w:r>
          </w:p>
        </w:tc>
        <w:tc>
          <w:tcPr>
            <w:tcW w:w="850" w:type="pct"/>
            <w:vAlign w:val="center"/>
          </w:tcPr>
          <w:p w:rsidR="00A65FAC" w:rsidRPr="001B449A" w:rsidRDefault="00A65FAC" w:rsidP="00372C9F">
            <w:pPr>
              <w:pStyle w:val="Tabletext"/>
              <w:keepNext/>
              <w:widowControl w:val="0"/>
              <w:jc w:val="center"/>
            </w:pPr>
            <w:r w:rsidRPr="001B449A">
              <w:t>41/449 (9.1%)</w:t>
            </w:r>
          </w:p>
        </w:tc>
        <w:tc>
          <w:tcPr>
            <w:tcW w:w="935" w:type="pct"/>
            <w:vAlign w:val="center"/>
          </w:tcPr>
          <w:p w:rsidR="00A65FAC" w:rsidRPr="001B449A" w:rsidRDefault="00A65FAC" w:rsidP="00372C9F">
            <w:pPr>
              <w:pStyle w:val="Tabletext"/>
              <w:keepNext/>
              <w:widowControl w:val="0"/>
              <w:jc w:val="center"/>
            </w:pPr>
            <w:r w:rsidRPr="001B449A">
              <w:t>28/449 (6.2%)</w:t>
            </w:r>
          </w:p>
        </w:tc>
        <w:tc>
          <w:tcPr>
            <w:tcW w:w="848" w:type="pct"/>
            <w:vAlign w:val="center"/>
          </w:tcPr>
          <w:p w:rsidR="00A65FAC" w:rsidRPr="001B449A" w:rsidRDefault="00A65FAC" w:rsidP="00372C9F">
            <w:pPr>
              <w:pStyle w:val="Tabletext"/>
              <w:keepNext/>
              <w:widowControl w:val="0"/>
              <w:jc w:val="center"/>
            </w:pPr>
            <w:r w:rsidRPr="001B449A">
              <w:t>16/449 (3.6%)</w:t>
            </w:r>
          </w:p>
        </w:tc>
        <w:tc>
          <w:tcPr>
            <w:tcW w:w="1093" w:type="pct"/>
            <w:vAlign w:val="center"/>
          </w:tcPr>
          <w:p w:rsidR="00A65FAC" w:rsidRPr="001B449A" w:rsidRDefault="00A65FAC" w:rsidP="00372C9F">
            <w:pPr>
              <w:pStyle w:val="Tabletext"/>
              <w:keepNext/>
              <w:widowControl w:val="0"/>
              <w:jc w:val="center"/>
            </w:pPr>
            <w:r w:rsidRPr="001B449A">
              <w:t>13/449 (2.9%)</w:t>
            </w:r>
          </w:p>
        </w:tc>
      </w:tr>
      <w:tr w:rsidR="00A65FAC" w:rsidRPr="001B449A" w:rsidTr="0094068E">
        <w:tc>
          <w:tcPr>
            <w:tcW w:w="1274" w:type="pct"/>
          </w:tcPr>
          <w:p w:rsidR="00A65FAC" w:rsidRPr="001B449A" w:rsidRDefault="00A65FAC" w:rsidP="00372C9F">
            <w:pPr>
              <w:pStyle w:val="Tabletext"/>
              <w:keepNext/>
              <w:widowControl w:val="0"/>
            </w:pPr>
            <w:r w:rsidRPr="001B449A">
              <w:t xml:space="preserve">  Cerebrovascular</w:t>
            </w:r>
          </w:p>
        </w:tc>
        <w:tc>
          <w:tcPr>
            <w:tcW w:w="850" w:type="pct"/>
            <w:vAlign w:val="center"/>
          </w:tcPr>
          <w:p w:rsidR="00A65FAC" w:rsidRPr="001B449A" w:rsidRDefault="00A65FAC" w:rsidP="00372C9F">
            <w:pPr>
              <w:pStyle w:val="Tabletext"/>
              <w:keepNext/>
              <w:widowControl w:val="0"/>
              <w:jc w:val="center"/>
            </w:pPr>
            <w:r w:rsidRPr="001B449A">
              <w:t>26/449 (5.8%)</w:t>
            </w:r>
          </w:p>
        </w:tc>
        <w:tc>
          <w:tcPr>
            <w:tcW w:w="935" w:type="pct"/>
            <w:vAlign w:val="center"/>
          </w:tcPr>
          <w:p w:rsidR="00A65FAC" w:rsidRPr="001B449A" w:rsidRDefault="00A65FAC" w:rsidP="00372C9F">
            <w:pPr>
              <w:pStyle w:val="Tabletext"/>
              <w:keepNext/>
              <w:widowControl w:val="0"/>
              <w:jc w:val="center"/>
            </w:pPr>
            <w:r w:rsidRPr="001B449A">
              <w:t>18/449 (4.0%)</w:t>
            </w:r>
          </w:p>
        </w:tc>
        <w:tc>
          <w:tcPr>
            <w:tcW w:w="848" w:type="pct"/>
            <w:vAlign w:val="center"/>
          </w:tcPr>
          <w:p w:rsidR="00A65FAC" w:rsidRPr="001B449A" w:rsidRDefault="00A65FAC" w:rsidP="00372C9F">
            <w:pPr>
              <w:pStyle w:val="Tabletext"/>
              <w:keepNext/>
              <w:widowControl w:val="0"/>
              <w:jc w:val="center"/>
            </w:pPr>
            <w:r w:rsidRPr="001B449A">
              <w:t>9/449 (2.0%)</w:t>
            </w:r>
          </w:p>
        </w:tc>
        <w:tc>
          <w:tcPr>
            <w:tcW w:w="1093" w:type="pct"/>
            <w:vAlign w:val="center"/>
          </w:tcPr>
          <w:p w:rsidR="00A65FAC" w:rsidRPr="001B449A" w:rsidRDefault="00A65FAC" w:rsidP="00372C9F">
            <w:pPr>
              <w:pStyle w:val="Tabletext"/>
              <w:keepNext/>
              <w:widowControl w:val="0"/>
              <w:jc w:val="center"/>
            </w:pPr>
            <w:r w:rsidRPr="001B449A">
              <w:t>6/449 (1.3%)</w:t>
            </w:r>
          </w:p>
        </w:tc>
      </w:tr>
      <w:tr w:rsidR="00A65FAC" w:rsidRPr="001B449A" w:rsidTr="0094068E">
        <w:tc>
          <w:tcPr>
            <w:tcW w:w="1274" w:type="pct"/>
          </w:tcPr>
          <w:p w:rsidR="00A65FAC" w:rsidRPr="001B449A" w:rsidRDefault="00A65FAC" w:rsidP="00372C9F">
            <w:pPr>
              <w:pStyle w:val="Tabletext"/>
              <w:keepNext/>
              <w:widowControl w:val="0"/>
            </w:pPr>
            <w:r w:rsidRPr="001B449A">
              <w:t xml:space="preserve">  Peripheral vascular</w:t>
            </w:r>
          </w:p>
        </w:tc>
        <w:tc>
          <w:tcPr>
            <w:tcW w:w="850" w:type="pct"/>
            <w:vAlign w:val="center"/>
          </w:tcPr>
          <w:p w:rsidR="00A65FAC" w:rsidRPr="001B449A" w:rsidRDefault="00A65FAC" w:rsidP="00372C9F">
            <w:pPr>
              <w:pStyle w:val="Tabletext"/>
              <w:keepNext/>
              <w:widowControl w:val="0"/>
              <w:jc w:val="center"/>
            </w:pPr>
            <w:r w:rsidRPr="001B449A">
              <w:t>28/449 (6.2%)</w:t>
            </w:r>
          </w:p>
        </w:tc>
        <w:tc>
          <w:tcPr>
            <w:tcW w:w="935" w:type="pct"/>
            <w:vAlign w:val="center"/>
          </w:tcPr>
          <w:p w:rsidR="00A65FAC" w:rsidRPr="001B449A" w:rsidRDefault="00A65FAC" w:rsidP="00372C9F">
            <w:pPr>
              <w:pStyle w:val="Tabletext"/>
              <w:keepNext/>
              <w:widowControl w:val="0"/>
              <w:jc w:val="center"/>
            </w:pPr>
            <w:r w:rsidRPr="001B449A">
              <w:t>16/449 (3.6%)</w:t>
            </w:r>
          </w:p>
        </w:tc>
        <w:tc>
          <w:tcPr>
            <w:tcW w:w="848" w:type="pct"/>
            <w:vAlign w:val="center"/>
          </w:tcPr>
          <w:p w:rsidR="00A65FAC" w:rsidRPr="001B449A" w:rsidRDefault="00A65FAC" w:rsidP="00372C9F">
            <w:pPr>
              <w:pStyle w:val="Tabletext"/>
              <w:keepNext/>
              <w:widowControl w:val="0"/>
              <w:jc w:val="center"/>
            </w:pPr>
            <w:r w:rsidRPr="001B449A">
              <w:t>14/449 (3.1%)</w:t>
            </w:r>
          </w:p>
        </w:tc>
        <w:tc>
          <w:tcPr>
            <w:tcW w:w="1093" w:type="pct"/>
            <w:vAlign w:val="center"/>
          </w:tcPr>
          <w:p w:rsidR="00A65FAC" w:rsidRPr="001B449A" w:rsidRDefault="00A65FAC" w:rsidP="00372C9F">
            <w:pPr>
              <w:pStyle w:val="Tabletext"/>
              <w:keepNext/>
              <w:widowControl w:val="0"/>
              <w:jc w:val="center"/>
            </w:pPr>
            <w:r w:rsidRPr="001B449A">
              <w:t>4/449 (0.9%)</w:t>
            </w:r>
          </w:p>
        </w:tc>
      </w:tr>
      <w:tr w:rsidR="00A65FAC" w:rsidRPr="001B449A" w:rsidTr="0094068E">
        <w:tc>
          <w:tcPr>
            <w:tcW w:w="1274" w:type="pct"/>
          </w:tcPr>
          <w:p w:rsidR="00A65FAC" w:rsidRPr="001B449A" w:rsidRDefault="00A65FAC" w:rsidP="00372C9F">
            <w:pPr>
              <w:pStyle w:val="Tabletext"/>
              <w:keepNext/>
              <w:widowControl w:val="0"/>
            </w:pPr>
            <w:r w:rsidRPr="001B449A">
              <w:t xml:space="preserve">  Venous</w:t>
            </w:r>
          </w:p>
        </w:tc>
        <w:tc>
          <w:tcPr>
            <w:tcW w:w="850" w:type="pct"/>
            <w:vAlign w:val="center"/>
          </w:tcPr>
          <w:p w:rsidR="00A65FAC" w:rsidRPr="001B449A" w:rsidRDefault="00A65FAC" w:rsidP="00372C9F">
            <w:pPr>
              <w:pStyle w:val="Tabletext"/>
              <w:keepNext/>
              <w:widowControl w:val="0"/>
              <w:jc w:val="center"/>
            </w:pPr>
            <w:r w:rsidRPr="001B449A">
              <w:t>23/449 (5.1%)</w:t>
            </w:r>
          </w:p>
        </w:tc>
        <w:tc>
          <w:tcPr>
            <w:tcW w:w="935" w:type="pct"/>
            <w:vAlign w:val="center"/>
          </w:tcPr>
          <w:p w:rsidR="00A65FAC" w:rsidRPr="001B449A" w:rsidRDefault="00A65FAC" w:rsidP="00372C9F">
            <w:pPr>
              <w:pStyle w:val="Tabletext"/>
              <w:keepNext/>
              <w:widowControl w:val="0"/>
              <w:jc w:val="center"/>
            </w:pPr>
            <w:r w:rsidRPr="001B449A">
              <w:t>13/449 (2.9%)</w:t>
            </w:r>
          </w:p>
        </w:tc>
        <w:tc>
          <w:tcPr>
            <w:tcW w:w="848" w:type="pct"/>
            <w:vAlign w:val="center"/>
          </w:tcPr>
          <w:p w:rsidR="00A65FAC" w:rsidRPr="001B449A" w:rsidRDefault="00A65FAC" w:rsidP="00372C9F">
            <w:pPr>
              <w:pStyle w:val="Tabletext"/>
              <w:keepNext/>
              <w:widowControl w:val="0"/>
              <w:jc w:val="center"/>
            </w:pPr>
            <w:r w:rsidRPr="001B449A">
              <w:t>10/449 (2.2%)</w:t>
            </w:r>
          </w:p>
        </w:tc>
        <w:tc>
          <w:tcPr>
            <w:tcW w:w="1093" w:type="pct"/>
            <w:vAlign w:val="center"/>
          </w:tcPr>
          <w:p w:rsidR="00A65FAC" w:rsidRPr="001B449A" w:rsidRDefault="00A65FAC" w:rsidP="00372C9F">
            <w:pPr>
              <w:pStyle w:val="Tabletext"/>
              <w:keepNext/>
              <w:widowControl w:val="0"/>
              <w:jc w:val="center"/>
            </w:pPr>
            <w:r w:rsidRPr="001B449A">
              <w:t>6/449 (1.3%)</w:t>
            </w:r>
          </w:p>
        </w:tc>
      </w:tr>
    </w:tbl>
    <w:p w:rsidR="00A65FAC" w:rsidRPr="001B449A" w:rsidRDefault="00A65FAC" w:rsidP="00A65FAC">
      <w:pPr>
        <w:pStyle w:val="TableFooter"/>
        <w:keepNext/>
        <w:ind w:firstLine="720"/>
      </w:pPr>
      <w:r w:rsidRPr="001B449A">
        <w:t>Source: Table 62, p122 of the submission</w:t>
      </w:r>
    </w:p>
    <w:p w:rsidR="00A65FAC" w:rsidRPr="001B449A" w:rsidRDefault="00A65FAC" w:rsidP="003A28C6">
      <w:pPr>
        <w:pStyle w:val="ListParagraph"/>
        <w:widowControl/>
        <w:rPr>
          <w:szCs w:val="22"/>
        </w:rPr>
      </w:pPr>
    </w:p>
    <w:p w:rsidR="00AA546F" w:rsidRPr="001B449A" w:rsidRDefault="00AA546F" w:rsidP="00AB3220">
      <w:pPr>
        <w:pStyle w:val="ListParagraph"/>
        <w:widowControl/>
        <w:numPr>
          <w:ilvl w:val="1"/>
          <w:numId w:val="12"/>
        </w:numPr>
        <w:ind w:left="720" w:hanging="720"/>
      </w:pPr>
      <w:r w:rsidRPr="001B449A">
        <w:rPr>
          <w:szCs w:val="22"/>
        </w:rPr>
        <w:t xml:space="preserve">In the PACE study after 16 months of follow-up, the overall percentage of patients with vascular occlusion was 20.3% </w:t>
      </w:r>
      <w:r w:rsidRPr="001B449A">
        <w:t xml:space="preserve">and serious vascular occlusion event was 13.8%. The risk of an arterial thrombotic event increases substantially with an increase in risk factors (0 risk factors: risk = 6.4% vs. ≥ 2 risk factors: risk = 26.1%). Hypertension, diabetes and hypercholesterolemia </w:t>
      </w:r>
      <w:r w:rsidR="000B164C" w:rsidRPr="001B449A">
        <w:t>were</w:t>
      </w:r>
      <w:r w:rsidRPr="001B449A">
        <w:t xml:space="preserve"> the major individual risk factors that result</w:t>
      </w:r>
      <w:r w:rsidR="000B164C" w:rsidRPr="001B449A">
        <w:t>ed</w:t>
      </w:r>
      <w:r w:rsidRPr="001B449A">
        <w:t xml:space="preserve"> in an increased risk of an arterial thrombotic event, and the risk of a serious event w</w:t>
      </w:r>
      <w:r w:rsidR="000B164C" w:rsidRPr="001B449A">
        <w:t>ith any individual risk factor wa</w:t>
      </w:r>
      <w:r w:rsidRPr="001B449A">
        <w:t>s high. A history of ischaemic cardiac disease result</w:t>
      </w:r>
      <w:r w:rsidR="00C54CAD" w:rsidRPr="001B449A">
        <w:t>ed</w:t>
      </w:r>
      <w:r w:rsidRPr="001B449A">
        <w:t xml:space="preserve"> in a 37% </w:t>
      </w:r>
      <w:r w:rsidR="000A1D90" w:rsidRPr="001B449A">
        <w:t xml:space="preserve">increased </w:t>
      </w:r>
      <w:r w:rsidRPr="001B449A">
        <w:t>risk of developing an arterial thrombotic event. The PACE study excluded patients who had significant or active cardiovascular disease.</w:t>
      </w:r>
    </w:p>
    <w:p w:rsidR="004312EA" w:rsidRDefault="004312EA" w:rsidP="00D837BA"/>
    <w:p w:rsidR="004312EA" w:rsidRPr="00E7638C" w:rsidRDefault="00E7638C" w:rsidP="00AB3220">
      <w:pPr>
        <w:pStyle w:val="ListParagraph"/>
        <w:widowControl/>
        <w:numPr>
          <w:ilvl w:val="1"/>
          <w:numId w:val="12"/>
        </w:numPr>
        <w:ind w:left="720" w:hanging="720"/>
        <w:rPr>
          <w:u w:val="single"/>
        </w:rPr>
      </w:pPr>
      <w:r w:rsidRPr="00E7638C">
        <w:rPr>
          <w:u w:val="single"/>
        </w:rPr>
        <w:t>FDA information</w:t>
      </w:r>
    </w:p>
    <w:p w:rsidR="00CD3BAA" w:rsidRPr="00E7638C" w:rsidRDefault="00E7638C" w:rsidP="00057716">
      <w:pPr>
        <w:widowControl/>
        <w:ind w:left="709" w:firstLine="11"/>
      </w:pPr>
      <w:r w:rsidRPr="00E7638C">
        <w:t>On 31 October 2013, the FDA suspended the marketing and sale of ponatinib due to a steady increase in the number of serious vascular events. It was observed that the proportion of patients on ponatinib experiencing vascular occlusion events was significantly greater than the proportion reported at the time of approval. The FDA conducted an independent data analysis of the vascular and arterial events and released a ‘Drug Safety Communication’ for ponatinib advising that:</w:t>
      </w:r>
    </w:p>
    <w:p w:rsidR="00E7638C" w:rsidRPr="00E7638C" w:rsidRDefault="00E7638C" w:rsidP="00E7638C">
      <w:pPr>
        <w:widowControl/>
        <w:numPr>
          <w:ilvl w:val="0"/>
          <w:numId w:val="18"/>
        </w:numPr>
      </w:pPr>
      <w:r w:rsidRPr="00E7638C">
        <w:t>It is unlikely that underlying cardiovascular risk factors were responsible for these events as they occurred in patients with and without risk factors and in all age ranges;</w:t>
      </w:r>
    </w:p>
    <w:p w:rsidR="00E7638C" w:rsidRPr="00E7638C" w:rsidRDefault="00E7638C" w:rsidP="00E7638C">
      <w:pPr>
        <w:widowControl/>
        <w:numPr>
          <w:ilvl w:val="0"/>
          <w:numId w:val="18"/>
        </w:numPr>
      </w:pPr>
      <w:r w:rsidRPr="00E7638C">
        <w:t>Although the cumulative number of vascular events was shown to increase with longer use of ponatinib, there was no safe duration for ponatinib use, with events occurring within 2 weeks of starting the drug;</w:t>
      </w:r>
    </w:p>
    <w:p w:rsidR="00E7638C" w:rsidRPr="00E7638C" w:rsidRDefault="00E7638C" w:rsidP="00E7638C">
      <w:pPr>
        <w:widowControl/>
        <w:numPr>
          <w:ilvl w:val="0"/>
          <w:numId w:val="18"/>
        </w:numPr>
      </w:pPr>
      <w:r w:rsidRPr="00E7638C">
        <w:t>Ponatinib can also cause recurrent or multi-site vascular occlusions;</w:t>
      </w:r>
    </w:p>
    <w:p w:rsidR="00E7638C" w:rsidRPr="00E7638C" w:rsidRDefault="00E7638C" w:rsidP="00E7638C">
      <w:pPr>
        <w:widowControl/>
        <w:ind w:left="1069"/>
      </w:pPr>
      <w:r w:rsidRPr="00E7638C">
        <w:t>Events can occur in patients treated at dose levels as low as 15 mg per day, suggesting that the optimal dose of ponatinib has not yet been identified.</w:t>
      </w:r>
    </w:p>
    <w:p w:rsidR="00E7638C" w:rsidRPr="00E7638C" w:rsidRDefault="00E7638C" w:rsidP="00E7638C">
      <w:pPr>
        <w:widowControl/>
        <w:ind w:firstLine="11"/>
      </w:pPr>
    </w:p>
    <w:p w:rsidR="00E7638C" w:rsidRPr="00E7638C" w:rsidRDefault="00E7638C" w:rsidP="00E7638C">
      <w:pPr>
        <w:pStyle w:val="ListParagraph"/>
        <w:widowControl/>
        <w:rPr>
          <w:szCs w:val="22"/>
        </w:rPr>
      </w:pPr>
      <w:r w:rsidRPr="00E7638C">
        <w:rPr>
          <w:szCs w:val="22"/>
        </w:rPr>
        <w:lastRenderedPageBreak/>
        <w:t>Following the introduction of several new safety measures, the FDA, in December 2013, allowed restricted access to ponatinib (FDA 2013). The required safety measures included:</w:t>
      </w:r>
    </w:p>
    <w:p w:rsidR="00E7638C" w:rsidRPr="00E7638C" w:rsidRDefault="00E7638C" w:rsidP="00E7638C">
      <w:pPr>
        <w:pStyle w:val="ListParagraph"/>
        <w:widowControl/>
        <w:numPr>
          <w:ilvl w:val="0"/>
          <w:numId w:val="19"/>
        </w:numPr>
        <w:rPr>
          <w:szCs w:val="22"/>
        </w:rPr>
      </w:pPr>
      <w:r w:rsidRPr="00E7638C">
        <w:rPr>
          <w:szCs w:val="22"/>
        </w:rPr>
        <w:t>A new indication limiting use to adult patients:</w:t>
      </w:r>
    </w:p>
    <w:p w:rsidR="00E7638C" w:rsidRPr="00E7638C" w:rsidRDefault="00E7638C" w:rsidP="00E7638C">
      <w:pPr>
        <w:pStyle w:val="ListParagraph"/>
        <w:widowControl/>
        <w:numPr>
          <w:ilvl w:val="1"/>
          <w:numId w:val="19"/>
        </w:numPr>
        <w:rPr>
          <w:szCs w:val="22"/>
        </w:rPr>
      </w:pPr>
      <w:r w:rsidRPr="00E7638C">
        <w:rPr>
          <w:szCs w:val="22"/>
        </w:rPr>
        <w:t xml:space="preserve">with T315I-positive CML (chronic, accelerated or blast phase) or </w:t>
      </w:r>
      <w:proofErr w:type="spellStart"/>
      <w:r w:rsidRPr="00E7638C">
        <w:rPr>
          <w:szCs w:val="22"/>
        </w:rPr>
        <w:t>Ph</w:t>
      </w:r>
      <w:proofErr w:type="spellEnd"/>
      <w:r w:rsidRPr="00E7638C">
        <w:rPr>
          <w:szCs w:val="22"/>
        </w:rPr>
        <w:t>+ ALL; and</w:t>
      </w:r>
    </w:p>
    <w:p w:rsidR="00E7638C" w:rsidRPr="00E7638C" w:rsidRDefault="00E7638C" w:rsidP="00E7638C">
      <w:pPr>
        <w:pStyle w:val="ListParagraph"/>
        <w:widowControl/>
        <w:numPr>
          <w:ilvl w:val="1"/>
          <w:numId w:val="19"/>
        </w:numPr>
        <w:rPr>
          <w:szCs w:val="22"/>
        </w:rPr>
      </w:pPr>
      <w:proofErr w:type="gramStart"/>
      <w:r w:rsidRPr="00E7638C">
        <w:rPr>
          <w:szCs w:val="22"/>
        </w:rPr>
        <w:t>with</w:t>
      </w:r>
      <w:proofErr w:type="gramEnd"/>
      <w:r w:rsidRPr="00E7638C">
        <w:rPr>
          <w:szCs w:val="22"/>
        </w:rPr>
        <w:t xml:space="preserve"> CML (chronic, accelerated or blast phase) or </w:t>
      </w:r>
      <w:proofErr w:type="spellStart"/>
      <w:r w:rsidRPr="00E7638C">
        <w:rPr>
          <w:szCs w:val="22"/>
        </w:rPr>
        <w:t>Ph</w:t>
      </w:r>
      <w:proofErr w:type="spellEnd"/>
      <w:r w:rsidRPr="00E7638C">
        <w:rPr>
          <w:szCs w:val="22"/>
        </w:rPr>
        <w:t xml:space="preserve">+ ALL </w:t>
      </w:r>
      <w:r w:rsidRPr="00E7638C">
        <w:rPr>
          <w:szCs w:val="22"/>
          <w:u w:val="single"/>
        </w:rPr>
        <w:t>for whom no other TKI therapy is indicated</w:t>
      </w:r>
      <w:r w:rsidRPr="00E7638C">
        <w:rPr>
          <w:szCs w:val="22"/>
        </w:rPr>
        <w:t>.</w:t>
      </w:r>
    </w:p>
    <w:p w:rsidR="00E7638C" w:rsidRPr="00E7638C" w:rsidRDefault="00E7638C" w:rsidP="00E7638C">
      <w:pPr>
        <w:pStyle w:val="ListParagraph"/>
        <w:widowControl/>
        <w:numPr>
          <w:ilvl w:val="0"/>
          <w:numId w:val="19"/>
        </w:numPr>
        <w:rPr>
          <w:szCs w:val="22"/>
        </w:rPr>
      </w:pPr>
      <w:r w:rsidRPr="00E7638C">
        <w:rPr>
          <w:szCs w:val="22"/>
        </w:rPr>
        <w:t>The revision of the Warnings and Precautions in the label to describe the vascular occlusion events, including  a description of the observed arterial and venous thrombosis and occlusion that have occurred in at least 27% of patients (it should be noted that the FDA did not provide the sponsor with details of their incidence calculations – the most current data from the Sponsor cites a vascular occlusion rate of 20% in the PACE study and 35% in Study 101); and</w:t>
      </w:r>
    </w:p>
    <w:p w:rsidR="00E7638C" w:rsidRPr="00E7638C" w:rsidRDefault="00E7638C" w:rsidP="00E7638C">
      <w:pPr>
        <w:pStyle w:val="ListParagraph"/>
        <w:widowControl/>
        <w:numPr>
          <w:ilvl w:val="0"/>
          <w:numId w:val="19"/>
        </w:numPr>
        <w:rPr>
          <w:szCs w:val="22"/>
        </w:rPr>
      </w:pPr>
      <w:r w:rsidRPr="00E7638C">
        <w:rPr>
          <w:szCs w:val="22"/>
        </w:rPr>
        <w:t>The revision of the Dosage and Administration recommendations to state that the optimal dose of ponatinib has not been identified. The recommended starting dose remained at 45 mg once daily, however additional information regarding dose decreases and discontinuations was included.</w:t>
      </w:r>
    </w:p>
    <w:p w:rsidR="002F6293" w:rsidRDefault="002F6293" w:rsidP="00E7638C">
      <w:pPr>
        <w:widowControl/>
        <w:rPr>
          <w:szCs w:val="22"/>
        </w:rPr>
      </w:pPr>
    </w:p>
    <w:p w:rsidR="00E7638C" w:rsidRPr="00E7638C" w:rsidRDefault="00E7638C" w:rsidP="00AB3220">
      <w:pPr>
        <w:pStyle w:val="ListParagraph"/>
        <w:widowControl/>
        <w:numPr>
          <w:ilvl w:val="1"/>
          <w:numId w:val="12"/>
        </w:numPr>
        <w:ind w:left="720" w:hanging="720"/>
        <w:rPr>
          <w:szCs w:val="22"/>
          <w:u w:val="single"/>
        </w:rPr>
      </w:pPr>
      <w:r w:rsidRPr="00E7638C">
        <w:rPr>
          <w:szCs w:val="22"/>
          <w:u w:val="single"/>
        </w:rPr>
        <w:t>EPIC trial</w:t>
      </w:r>
    </w:p>
    <w:p w:rsidR="00E7638C" w:rsidRPr="00D46A7C" w:rsidRDefault="00D46A7C" w:rsidP="00D46A7C">
      <w:pPr>
        <w:widowControl/>
        <w:ind w:left="720"/>
        <w:rPr>
          <w:szCs w:val="22"/>
        </w:rPr>
      </w:pPr>
      <w:r w:rsidRPr="00D46A7C">
        <w:rPr>
          <w:szCs w:val="22"/>
        </w:rPr>
        <w:t>Additional safety data provided by the Sponsor to the TGA included information from the EPIC trial. The EPIC trial was a phase III, randomised, open-label study which compared imatinib with ponatinib in newly diagnosed CML patients. Although this trial was terminated prematurely due to the concerns regarding vascular adverse events with ponatinib, it is the only available trial that provides comparative safety data against an approved agent.</w:t>
      </w:r>
    </w:p>
    <w:p w:rsidR="00D46A7C" w:rsidRPr="00D46A7C" w:rsidRDefault="00D46A7C" w:rsidP="00D46A7C">
      <w:pPr>
        <w:widowControl/>
        <w:ind w:left="720"/>
        <w:rPr>
          <w:szCs w:val="22"/>
        </w:rPr>
      </w:pPr>
    </w:p>
    <w:p w:rsidR="00E7638C" w:rsidRPr="00D46A7C" w:rsidRDefault="00D46A7C" w:rsidP="00D46A7C">
      <w:pPr>
        <w:widowControl/>
        <w:ind w:left="720"/>
        <w:rPr>
          <w:szCs w:val="22"/>
        </w:rPr>
      </w:pPr>
      <w:r w:rsidRPr="00D46A7C">
        <w:rPr>
          <w:szCs w:val="22"/>
        </w:rPr>
        <w:t>The trial, at the time of discontinuation, had a total of 307 randomised subjects. Demographic and baseline disease characteristics were comparable for the two arms.</w:t>
      </w:r>
    </w:p>
    <w:p w:rsidR="00D46A7C" w:rsidRPr="00D46A7C" w:rsidRDefault="00D46A7C" w:rsidP="00D46A7C">
      <w:pPr>
        <w:widowControl/>
        <w:ind w:left="720"/>
        <w:rPr>
          <w:szCs w:val="22"/>
        </w:rPr>
      </w:pPr>
    </w:p>
    <w:p w:rsidR="00D46A7C" w:rsidRPr="00D46A7C" w:rsidRDefault="00D46A7C" w:rsidP="00D46A7C">
      <w:pPr>
        <w:widowControl/>
        <w:ind w:left="720"/>
        <w:rPr>
          <w:szCs w:val="22"/>
        </w:rPr>
      </w:pPr>
      <w:r w:rsidRPr="00D46A7C">
        <w:rPr>
          <w:szCs w:val="22"/>
        </w:rPr>
        <w:t xml:space="preserve">The incidence of adverse events in the EPIC trial are summarised in </w:t>
      </w:r>
      <w:r w:rsidR="00CF37BC">
        <w:rPr>
          <w:szCs w:val="22"/>
        </w:rPr>
        <w:t xml:space="preserve">the </w:t>
      </w:r>
      <w:r w:rsidRPr="00D46A7C">
        <w:rPr>
          <w:szCs w:val="22"/>
        </w:rPr>
        <w:t>table below.</w:t>
      </w:r>
    </w:p>
    <w:tbl>
      <w:tblPr>
        <w:tblStyle w:val="TableGrid"/>
        <w:tblW w:w="0" w:type="auto"/>
        <w:tblInd w:w="737" w:type="dxa"/>
        <w:tblLook w:val="04A0" w:firstRow="1" w:lastRow="0" w:firstColumn="1" w:lastColumn="0" w:noHBand="0" w:noVBand="1"/>
        <w:tblDescription w:val="The incidence of adverse events in the EPIC trial are summarised in the table below."/>
      </w:tblPr>
      <w:tblGrid>
        <w:gridCol w:w="2295"/>
        <w:gridCol w:w="3027"/>
        <w:gridCol w:w="3024"/>
      </w:tblGrid>
      <w:tr w:rsidR="00D46A7C" w:rsidRPr="00625864" w:rsidTr="00D46A7C">
        <w:trPr>
          <w:cantSplit/>
          <w:tblHeader/>
        </w:trPr>
        <w:tc>
          <w:tcPr>
            <w:tcW w:w="2295" w:type="dxa"/>
            <w:tcMar>
              <w:left w:w="28" w:type="dxa"/>
              <w:right w:w="28" w:type="dxa"/>
            </w:tcMar>
            <w:vAlign w:val="center"/>
          </w:tcPr>
          <w:p w:rsidR="00D46A7C" w:rsidRPr="00625864" w:rsidRDefault="00D46A7C" w:rsidP="00CD2884">
            <w:pPr>
              <w:pStyle w:val="Tabletext"/>
              <w:keepNext/>
              <w:widowControl w:val="0"/>
            </w:pPr>
          </w:p>
        </w:tc>
        <w:tc>
          <w:tcPr>
            <w:tcW w:w="3027" w:type="dxa"/>
            <w:tcMar>
              <w:left w:w="28" w:type="dxa"/>
              <w:right w:w="28" w:type="dxa"/>
            </w:tcMar>
            <w:vAlign w:val="center"/>
          </w:tcPr>
          <w:p w:rsidR="00D46A7C" w:rsidRPr="00625864" w:rsidRDefault="00D46A7C" w:rsidP="00CD2884">
            <w:pPr>
              <w:pStyle w:val="Tabletext"/>
              <w:keepNext/>
              <w:widowControl w:val="0"/>
              <w:jc w:val="center"/>
              <w:rPr>
                <w:b/>
              </w:rPr>
            </w:pPr>
            <w:r w:rsidRPr="00625864">
              <w:rPr>
                <w:b/>
              </w:rPr>
              <w:t>Ponatinib</w:t>
            </w:r>
          </w:p>
          <w:p w:rsidR="00D46A7C" w:rsidRPr="00625864" w:rsidRDefault="00D46A7C" w:rsidP="00CD2884">
            <w:pPr>
              <w:pStyle w:val="Tabletext"/>
              <w:keepNext/>
              <w:widowControl w:val="0"/>
              <w:jc w:val="center"/>
              <w:rPr>
                <w:b/>
              </w:rPr>
            </w:pPr>
            <w:r w:rsidRPr="00625864">
              <w:rPr>
                <w:b/>
              </w:rPr>
              <w:t>(n=153)</w:t>
            </w:r>
          </w:p>
        </w:tc>
        <w:tc>
          <w:tcPr>
            <w:tcW w:w="3024" w:type="dxa"/>
            <w:tcMar>
              <w:left w:w="28" w:type="dxa"/>
              <w:right w:w="28" w:type="dxa"/>
            </w:tcMar>
            <w:vAlign w:val="center"/>
          </w:tcPr>
          <w:p w:rsidR="00D46A7C" w:rsidRPr="00625864" w:rsidRDefault="00D46A7C" w:rsidP="00CD2884">
            <w:pPr>
              <w:pStyle w:val="Tabletext"/>
              <w:keepNext/>
              <w:widowControl w:val="0"/>
              <w:jc w:val="center"/>
              <w:rPr>
                <w:b/>
              </w:rPr>
            </w:pPr>
            <w:r w:rsidRPr="00625864">
              <w:rPr>
                <w:b/>
              </w:rPr>
              <w:t>Imatinib</w:t>
            </w:r>
          </w:p>
          <w:p w:rsidR="00D46A7C" w:rsidRPr="00625864" w:rsidRDefault="00D46A7C" w:rsidP="00CD2884">
            <w:pPr>
              <w:pStyle w:val="Tabletext"/>
              <w:keepNext/>
              <w:widowControl w:val="0"/>
              <w:jc w:val="center"/>
              <w:rPr>
                <w:b/>
              </w:rPr>
            </w:pPr>
            <w:r w:rsidRPr="00625864">
              <w:rPr>
                <w:b/>
              </w:rPr>
              <w:t>(n=150)</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widowControl w:val="0"/>
            </w:pPr>
            <w:r w:rsidRPr="00625864">
              <w:t>Median duration of exposure</w:t>
            </w:r>
          </w:p>
        </w:tc>
        <w:tc>
          <w:tcPr>
            <w:tcW w:w="3027" w:type="dxa"/>
            <w:tcMar>
              <w:left w:w="28" w:type="dxa"/>
              <w:right w:w="28" w:type="dxa"/>
            </w:tcMar>
            <w:vAlign w:val="center"/>
          </w:tcPr>
          <w:p w:rsidR="00D46A7C" w:rsidRPr="00625864" w:rsidRDefault="00D46A7C" w:rsidP="00CD2884">
            <w:pPr>
              <w:pStyle w:val="Tabletext"/>
              <w:keepNext/>
              <w:widowControl w:val="0"/>
              <w:jc w:val="center"/>
            </w:pPr>
            <w:r w:rsidRPr="00625864">
              <w:t>114 days</w:t>
            </w:r>
          </w:p>
        </w:tc>
        <w:tc>
          <w:tcPr>
            <w:tcW w:w="3024" w:type="dxa"/>
            <w:tcMar>
              <w:left w:w="28" w:type="dxa"/>
              <w:right w:w="28" w:type="dxa"/>
            </w:tcMar>
            <w:vAlign w:val="center"/>
          </w:tcPr>
          <w:p w:rsidR="00D46A7C" w:rsidRPr="00625864" w:rsidRDefault="00D46A7C" w:rsidP="00CD2884">
            <w:pPr>
              <w:pStyle w:val="Tabletext"/>
              <w:keepNext/>
              <w:widowControl w:val="0"/>
              <w:jc w:val="center"/>
            </w:pPr>
            <w:r w:rsidRPr="00625864">
              <w:t>140 days</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widowControl w:val="0"/>
            </w:pPr>
            <w:r w:rsidRPr="00625864">
              <w:t>Any AE</w:t>
            </w:r>
          </w:p>
        </w:tc>
        <w:tc>
          <w:tcPr>
            <w:tcW w:w="3027" w:type="dxa"/>
            <w:tcMar>
              <w:left w:w="28" w:type="dxa"/>
              <w:right w:w="28" w:type="dxa"/>
            </w:tcMar>
            <w:vAlign w:val="center"/>
          </w:tcPr>
          <w:p w:rsidR="00D46A7C" w:rsidRPr="00625864" w:rsidRDefault="00D46A7C" w:rsidP="00CD2884">
            <w:pPr>
              <w:pStyle w:val="Tabletext"/>
              <w:keepNext/>
              <w:widowControl w:val="0"/>
              <w:jc w:val="center"/>
            </w:pPr>
            <w:r w:rsidRPr="00625864">
              <w:t>94%</w:t>
            </w:r>
          </w:p>
        </w:tc>
        <w:tc>
          <w:tcPr>
            <w:tcW w:w="3024" w:type="dxa"/>
            <w:tcMar>
              <w:left w:w="28" w:type="dxa"/>
              <w:right w:w="28" w:type="dxa"/>
            </w:tcMar>
            <w:vAlign w:val="center"/>
          </w:tcPr>
          <w:p w:rsidR="00D46A7C" w:rsidRPr="00625864" w:rsidRDefault="00D46A7C" w:rsidP="00CD2884">
            <w:pPr>
              <w:pStyle w:val="Tabletext"/>
              <w:keepNext/>
              <w:widowControl w:val="0"/>
              <w:jc w:val="center"/>
            </w:pPr>
            <w:r w:rsidRPr="00625864">
              <w:t>93%</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widowControl w:val="0"/>
            </w:pPr>
            <w:r w:rsidRPr="00625864">
              <w:t>Treatment related AE</w:t>
            </w:r>
          </w:p>
        </w:tc>
        <w:tc>
          <w:tcPr>
            <w:tcW w:w="3027" w:type="dxa"/>
            <w:tcMar>
              <w:left w:w="28" w:type="dxa"/>
              <w:right w:w="28" w:type="dxa"/>
            </w:tcMar>
            <w:vAlign w:val="center"/>
          </w:tcPr>
          <w:p w:rsidR="00D46A7C" w:rsidRPr="00625864" w:rsidRDefault="00D46A7C" w:rsidP="00CD2884">
            <w:pPr>
              <w:pStyle w:val="Tabletext"/>
              <w:keepNext/>
              <w:widowControl w:val="0"/>
              <w:jc w:val="center"/>
            </w:pPr>
            <w:r w:rsidRPr="00625864">
              <w:t>90%</w:t>
            </w:r>
          </w:p>
        </w:tc>
        <w:tc>
          <w:tcPr>
            <w:tcW w:w="3024" w:type="dxa"/>
            <w:tcMar>
              <w:left w:w="28" w:type="dxa"/>
              <w:right w:w="28" w:type="dxa"/>
            </w:tcMar>
            <w:vAlign w:val="center"/>
          </w:tcPr>
          <w:p w:rsidR="00D46A7C" w:rsidRPr="00625864" w:rsidRDefault="00D46A7C" w:rsidP="00CD2884">
            <w:pPr>
              <w:pStyle w:val="Tabletext"/>
              <w:keepNext/>
              <w:widowControl w:val="0"/>
              <w:jc w:val="center"/>
            </w:pPr>
            <w:r w:rsidRPr="00625864">
              <w:t>87%</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pPr>
            <w:r w:rsidRPr="00625864">
              <w:t>Grade ≥ 3 AE</w:t>
            </w:r>
          </w:p>
        </w:tc>
        <w:tc>
          <w:tcPr>
            <w:tcW w:w="3027" w:type="dxa"/>
            <w:tcMar>
              <w:left w:w="28" w:type="dxa"/>
              <w:right w:w="28" w:type="dxa"/>
            </w:tcMar>
            <w:vAlign w:val="center"/>
          </w:tcPr>
          <w:p w:rsidR="00D46A7C" w:rsidRPr="00625864" w:rsidRDefault="00D46A7C" w:rsidP="00CD2884">
            <w:pPr>
              <w:pStyle w:val="Tabletext"/>
              <w:keepNext/>
              <w:jc w:val="center"/>
            </w:pPr>
            <w:r w:rsidRPr="00625864">
              <w:t>59%</w:t>
            </w:r>
          </w:p>
        </w:tc>
        <w:tc>
          <w:tcPr>
            <w:tcW w:w="3024" w:type="dxa"/>
            <w:tcMar>
              <w:left w:w="28" w:type="dxa"/>
              <w:right w:w="28" w:type="dxa"/>
            </w:tcMar>
            <w:vAlign w:val="center"/>
          </w:tcPr>
          <w:p w:rsidR="00D46A7C" w:rsidRPr="00625864" w:rsidRDefault="00D46A7C" w:rsidP="00CD2884">
            <w:pPr>
              <w:pStyle w:val="Tabletext"/>
              <w:keepNext/>
              <w:jc w:val="center"/>
            </w:pPr>
            <w:r w:rsidRPr="00625864">
              <w:t>27%</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pPr>
            <w:r w:rsidRPr="00625864">
              <w:t>SAE</w:t>
            </w:r>
          </w:p>
        </w:tc>
        <w:tc>
          <w:tcPr>
            <w:tcW w:w="3027" w:type="dxa"/>
            <w:tcMar>
              <w:left w:w="28" w:type="dxa"/>
              <w:right w:w="28" w:type="dxa"/>
            </w:tcMar>
            <w:vAlign w:val="center"/>
          </w:tcPr>
          <w:p w:rsidR="00D46A7C" w:rsidRPr="00625864" w:rsidRDefault="00D46A7C" w:rsidP="00CD2884">
            <w:pPr>
              <w:pStyle w:val="Tabletext"/>
              <w:keepNext/>
              <w:jc w:val="center"/>
            </w:pPr>
            <w:r w:rsidRPr="00625864">
              <w:t>30%</w:t>
            </w:r>
          </w:p>
        </w:tc>
        <w:tc>
          <w:tcPr>
            <w:tcW w:w="3024" w:type="dxa"/>
            <w:tcMar>
              <w:left w:w="28" w:type="dxa"/>
              <w:right w:w="28" w:type="dxa"/>
            </w:tcMar>
            <w:vAlign w:val="center"/>
          </w:tcPr>
          <w:p w:rsidR="00D46A7C" w:rsidRPr="00625864" w:rsidRDefault="00D46A7C" w:rsidP="00CD2884">
            <w:pPr>
              <w:pStyle w:val="Tabletext"/>
              <w:keepNext/>
              <w:jc w:val="center"/>
            </w:pPr>
            <w:r w:rsidRPr="00625864">
              <w:t>9%</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pPr>
            <w:r w:rsidRPr="00625864">
              <w:t>Treatment related SAE</w:t>
            </w:r>
          </w:p>
        </w:tc>
        <w:tc>
          <w:tcPr>
            <w:tcW w:w="3027" w:type="dxa"/>
            <w:tcMar>
              <w:left w:w="28" w:type="dxa"/>
              <w:right w:w="28" w:type="dxa"/>
            </w:tcMar>
            <w:vAlign w:val="center"/>
          </w:tcPr>
          <w:p w:rsidR="00D46A7C" w:rsidRPr="00625864" w:rsidRDefault="00D46A7C" w:rsidP="00CD2884">
            <w:pPr>
              <w:pStyle w:val="Tabletext"/>
              <w:keepNext/>
              <w:jc w:val="center"/>
            </w:pPr>
            <w:r w:rsidRPr="00625864">
              <w:t>22%</w:t>
            </w:r>
          </w:p>
        </w:tc>
        <w:tc>
          <w:tcPr>
            <w:tcW w:w="3024" w:type="dxa"/>
            <w:tcMar>
              <w:left w:w="28" w:type="dxa"/>
              <w:right w:w="28" w:type="dxa"/>
            </w:tcMar>
            <w:vAlign w:val="center"/>
          </w:tcPr>
          <w:p w:rsidR="00D46A7C" w:rsidRPr="00625864" w:rsidRDefault="00D46A7C" w:rsidP="00CD2884">
            <w:pPr>
              <w:pStyle w:val="Tabletext"/>
              <w:keepNext/>
              <w:jc w:val="center"/>
            </w:pPr>
            <w:r w:rsidRPr="00625864">
              <w:t>3%</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pPr>
            <w:r w:rsidRPr="00625864">
              <w:t>Death</w:t>
            </w:r>
          </w:p>
        </w:tc>
        <w:tc>
          <w:tcPr>
            <w:tcW w:w="3027" w:type="dxa"/>
            <w:tcMar>
              <w:left w:w="28" w:type="dxa"/>
              <w:right w:w="28" w:type="dxa"/>
            </w:tcMar>
            <w:vAlign w:val="center"/>
          </w:tcPr>
          <w:p w:rsidR="00D46A7C" w:rsidRPr="00625864" w:rsidRDefault="00D46A7C" w:rsidP="00CD2884">
            <w:pPr>
              <w:pStyle w:val="Tabletext"/>
              <w:keepNext/>
              <w:jc w:val="center"/>
            </w:pPr>
            <w:r w:rsidRPr="00625864">
              <w:t>1</w:t>
            </w:r>
          </w:p>
        </w:tc>
        <w:tc>
          <w:tcPr>
            <w:tcW w:w="3024" w:type="dxa"/>
            <w:tcMar>
              <w:left w:w="28" w:type="dxa"/>
              <w:right w:w="28" w:type="dxa"/>
            </w:tcMar>
            <w:vAlign w:val="center"/>
          </w:tcPr>
          <w:p w:rsidR="00D46A7C" w:rsidRPr="00625864" w:rsidRDefault="00D46A7C" w:rsidP="00CD2884">
            <w:pPr>
              <w:pStyle w:val="Tabletext"/>
              <w:keepNext/>
              <w:jc w:val="center"/>
            </w:pPr>
            <w:r w:rsidRPr="00625864">
              <w:t>2</w:t>
            </w:r>
          </w:p>
        </w:tc>
      </w:tr>
      <w:tr w:rsidR="00D46A7C" w:rsidRPr="00625864" w:rsidTr="00D46A7C">
        <w:trPr>
          <w:cantSplit/>
        </w:trPr>
        <w:tc>
          <w:tcPr>
            <w:tcW w:w="2295" w:type="dxa"/>
            <w:tcMar>
              <w:left w:w="28" w:type="dxa"/>
              <w:right w:w="28" w:type="dxa"/>
            </w:tcMar>
            <w:vAlign w:val="center"/>
          </w:tcPr>
          <w:p w:rsidR="00D46A7C" w:rsidRPr="00625864" w:rsidRDefault="00D46A7C" w:rsidP="00CD2884">
            <w:pPr>
              <w:pStyle w:val="Tabletext"/>
              <w:keepNext/>
            </w:pPr>
            <w:r w:rsidRPr="00625864">
              <w:t>Discontinued: AE</w:t>
            </w:r>
          </w:p>
        </w:tc>
        <w:tc>
          <w:tcPr>
            <w:tcW w:w="3027" w:type="dxa"/>
            <w:tcMar>
              <w:left w:w="28" w:type="dxa"/>
              <w:right w:w="28" w:type="dxa"/>
            </w:tcMar>
            <w:vAlign w:val="center"/>
          </w:tcPr>
          <w:p w:rsidR="00D46A7C" w:rsidRPr="00625864" w:rsidRDefault="00D46A7C" w:rsidP="00CD2884">
            <w:pPr>
              <w:pStyle w:val="Tabletext"/>
              <w:keepNext/>
              <w:jc w:val="center"/>
            </w:pPr>
            <w:r w:rsidRPr="00625864">
              <w:t>10%</w:t>
            </w:r>
          </w:p>
        </w:tc>
        <w:tc>
          <w:tcPr>
            <w:tcW w:w="3024" w:type="dxa"/>
            <w:tcMar>
              <w:left w:w="28" w:type="dxa"/>
              <w:right w:w="28" w:type="dxa"/>
            </w:tcMar>
            <w:vAlign w:val="center"/>
          </w:tcPr>
          <w:p w:rsidR="00D46A7C" w:rsidRPr="00625864" w:rsidRDefault="00D46A7C" w:rsidP="00CD2884">
            <w:pPr>
              <w:pStyle w:val="Tabletext"/>
              <w:keepNext/>
              <w:jc w:val="center"/>
            </w:pPr>
            <w:r w:rsidRPr="00625864">
              <w:t>2%</w:t>
            </w:r>
          </w:p>
        </w:tc>
      </w:tr>
    </w:tbl>
    <w:p w:rsidR="00D46A7C" w:rsidRPr="00625864" w:rsidRDefault="00D46A7C" w:rsidP="00D46A7C">
      <w:pPr>
        <w:pStyle w:val="TableFooter"/>
        <w:keepNext/>
        <w:ind w:firstLine="720"/>
      </w:pPr>
      <w:r w:rsidRPr="00625864">
        <w:t>Source: Table 79, p147 of the Office of Medicines Authorisation clinical evaluation report for ponatinib (TGA)</w:t>
      </w:r>
    </w:p>
    <w:p w:rsidR="00D46A7C" w:rsidRPr="00625864" w:rsidRDefault="00D46A7C" w:rsidP="00D46A7C">
      <w:pPr>
        <w:pStyle w:val="TableFooter"/>
        <w:ind w:firstLine="720"/>
      </w:pPr>
      <w:r w:rsidRPr="00625864">
        <w:t>AE = adverse event; SAE = serious adverse event; Italics = extracted during evaluation</w:t>
      </w:r>
    </w:p>
    <w:p w:rsidR="00D46A7C" w:rsidRPr="00625864" w:rsidRDefault="00D46A7C" w:rsidP="00D46A7C">
      <w:pPr>
        <w:widowControl/>
        <w:ind w:left="720"/>
        <w:rPr>
          <w:szCs w:val="22"/>
        </w:rPr>
      </w:pPr>
    </w:p>
    <w:p w:rsidR="00D46A7C" w:rsidRPr="00625864" w:rsidRDefault="00D46A7C" w:rsidP="00D46A7C">
      <w:pPr>
        <w:widowControl/>
        <w:ind w:left="720"/>
        <w:rPr>
          <w:szCs w:val="22"/>
        </w:rPr>
      </w:pPr>
      <w:r w:rsidRPr="00625864">
        <w:rPr>
          <w:szCs w:val="22"/>
        </w:rPr>
        <w:t>The data suggests that ponatinib has an inferior safety profile compared to imatinib when used in first-line treatment of CML, with a higher incidence of Grade 3 to 5 adverse events (59% vs. 27%), serious adverse events (30% vs. 9%) and discontinuations due to adverse events (10% vs. 2%).</w:t>
      </w:r>
    </w:p>
    <w:p w:rsidR="00D46A7C" w:rsidRPr="00625864" w:rsidRDefault="00D46A7C" w:rsidP="00D46A7C">
      <w:pPr>
        <w:widowControl/>
        <w:ind w:left="720"/>
        <w:rPr>
          <w:szCs w:val="22"/>
        </w:rPr>
      </w:pPr>
    </w:p>
    <w:p w:rsidR="00D46A7C" w:rsidRPr="00625864" w:rsidRDefault="00D46A7C" w:rsidP="00D46A7C">
      <w:pPr>
        <w:widowControl/>
        <w:ind w:left="720"/>
        <w:rPr>
          <w:szCs w:val="22"/>
        </w:rPr>
      </w:pPr>
      <w:r w:rsidRPr="00625864">
        <w:rPr>
          <w:szCs w:val="22"/>
        </w:rPr>
        <w:t xml:space="preserve">Ponatinib was associated with a higher incidence of dermatological toxicity (rash, dry skin, alopecia and pruritus), hypertension, headache, thrombocytopenia and </w:t>
      </w:r>
      <w:r w:rsidRPr="00625864">
        <w:rPr>
          <w:szCs w:val="22"/>
        </w:rPr>
        <w:lastRenderedPageBreak/>
        <w:t>abnormal liver function tests than imatinib. Imatinib had a higher rate of oedema, nausea, vomiting, diarrhoea and muscle spasms.</w:t>
      </w:r>
    </w:p>
    <w:p w:rsidR="00143F0D" w:rsidRPr="00625864" w:rsidRDefault="00143F0D" w:rsidP="00D46A7C">
      <w:pPr>
        <w:widowControl/>
        <w:ind w:left="720"/>
        <w:rPr>
          <w:szCs w:val="22"/>
        </w:rPr>
      </w:pPr>
    </w:p>
    <w:p w:rsidR="00143F0D" w:rsidRDefault="00143F0D" w:rsidP="00D46A7C">
      <w:pPr>
        <w:widowControl/>
        <w:ind w:left="720"/>
        <w:rPr>
          <w:szCs w:val="22"/>
        </w:rPr>
      </w:pPr>
      <w:r w:rsidRPr="00625864">
        <w:rPr>
          <w:szCs w:val="22"/>
        </w:rPr>
        <w:t>Serious adverse events that occurred in at least two patients are listed in the table below.</w:t>
      </w:r>
    </w:p>
    <w:p w:rsidR="00CB1035" w:rsidRPr="00625864" w:rsidRDefault="00CB1035" w:rsidP="00D46A7C">
      <w:pPr>
        <w:widowControl/>
        <w:ind w:left="720"/>
        <w:rPr>
          <w:szCs w:val="22"/>
        </w:rPr>
      </w:pPr>
    </w:p>
    <w:p w:rsidR="00143F0D" w:rsidRPr="00625864" w:rsidRDefault="00143F0D" w:rsidP="00143F0D">
      <w:pPr>
        <w:keepNext/>
        <w:ind w:firstLine="720"/>
        <w:rPr>
          <w:rStyle w:val="CommentReference"/>
        </w:rPr>
      </w:pPr>
      <w:r w:rsidRPr="00625864">
        <w:rPr>
          <w:rStyle w:val="CommentReference"/>
        </w:rPr>
        <w:t>Serious adverse events occurring in ≥ 2 patients in the EPIC trial</w:t>
      </w:r>
    </w:p>
    <w:tbl>
      <w:tblPr>
        <w:tblStyle w:val="TableGrid"/>
        <w:tblW w:w="0" w:type="auto"/>
        <w:tblInd w:w="737" w:type="dxa"/>
        <w:tblLook w:val="04A0" w:firstRow="1" w:lastRow="0" w:firstColumn="1" w:lastColumn="0" w:noHBand="0" w:noVBand="1"/>
        <w:tblDescription w:val="Serious adverse events occurring in ≥ 2 patients in the EPIC trial"/>
      </w:tblPr>
      <w:tblGrid>
        <w:gridCol w:w="2693"/>
        <w:gridCol w:w="2632"/>
        <w:gridCol w:w="3021"/>
      </w:tblGrid>
      <w:tr w:rsidR="00143F0D" w:rsidRPr="00625864" w:rsidTr="00143F0D">
        <w:trPr>
          <w:cantSplit/>
          <w:tblHeader/>
        </w:trPr>
        <w:tc>
          <w:tcPr>
            <w:tcW w:w="2693" w:type="dxa"/>
            <w:tcMar>
              <w:left w:w="28" w:type="dxa"/>
              <w:right w:w="28" w:type="dxa"/>
            </w:tcMar>
            <w:vAlign w:val="center"/>
          </w:tcPr>
          <w:p w:rsidR="00143F0D" w:rsidRPr="00625864" w:rsidRDefault="00143F0D" w:rsidP="00CD2884">
            <w:pPr>
              <w:pStyle w:val="Tabletext"/>
              <w:keepNext/>
              <w:widowControl w:val="0"/>
              <w:rPr>
                <w:b/>
              </w:rPr>
            </w:pPr>
          </w:p>
        </w:tc>
        <w:tc>
          <w:tcPr>
            <w:tcW w:w="2632" w:type="dxa"/>
            <w:tcMar>
              <w:left w:w="28" w:type="dxa"/>
              <w:right w:w="28" w:type="dxa"/>
            </w:tcMar>
            <w:vAlign w:val="center"/>
          </w:tcPr>
          <w:p w:rsidR="00143F0D" w:rsidRPr="00625864" w:rsidRDefault="00143F0D" w:rsidP="00CD2884">
            <w:pPr>
              <w:pStyle w:val="Tabletext"/>
              <w:keepNext/>
              <w:widowControl w:val="0"/>
              <w:jc w:val="center"/>
              <w:rPr>
                <w:b/>
              </w:rPr>
            </w:pPr>
            <w:r w:rsidRPr="00625864">
              <w:rPr>
                <w:b/>
              </w:rPr>
              <w:t>Ponatinib; n/N (%)</w:t>
            </w:r>
          </w:p>
        </w:tc>
        <w:tc>
          <w:tcPr>
            <w:tcW w:w="3021" w:type="dxa"/>
            <w:tcMar>
              <w:left w:w="28" w:type="dxa"/>
              <w:right w:w="28" w:type="dxa"/>
            </w:tcMar>
            <w:vAlign w:val="center"/>
          </w:tcPr>
          <w:p w:rsidR="00143F0D" w:rsidRPr="00625864" w:rsidRDefault="00143F0D" w:rsidP="00CD2884">
            <w:pPr>
              <w:pStyle w:val="Tabletext"/>
              <w:keepNext/>
              <w:widowControl w:val="0"/>
              <w:jc w:val="center"/>
              <w:rPr>
                <w:b/>
              </w:rPr>
            </w:pPr>
            <w:r w:rsidRPr="00625864">
              <w:rPr>
                <w:b/>
              </w:rPr>
              <w:t>Imatinib; n/N (%)</w:t>
            </w:r>
          </w:p>
        </w:tc>
      </w:tr>
      <w:tr w:rsidR="00143F0D" w:rsidRPr="00625864" w:rsidTr="00143F0D">
        <w:trPr>
          <w:cantSplit/>
        </w:trPr>
        <w:tc>
          <w:tcPr>
            <w:tcW w:w="2693" w:type="dxa"/>
            <w:tcMar>
              <w:left w:w="28" w:type="dxa"/>
              <w:right w:w="28" w:type="dxa"/>
            </w:tcMar>
            <w:vAlign w:val="center"/>
          </w:tcPr>
          <w:p w:rsidR="00143F0D" w:rsidRPr="00625864" w:rsidRDefault="00143F0D" w:rsidP="00CD2884">
            <w:pPr>
              <w:pStyle w:val="Tabletext"/>
              <w:keepNext/>
              <w:widowControl w:val="0"/>
            </w:pPr>
            <w:r w:rsidRPr="00625864">
              <w:t>Pancreatitis</w:t>
            </w:r>
          </w:p>
        </w:tc>
        <w:tc>
          <w:tcPr>
            <w:tcW w:w="2632" w:type="dxa"/>
            <w:tcMar>
              <w:left w:w="28" w:type="dxa"/>
              <w:right w:w="28" w:type="dxa"/>
            </w:tcMar>
            <w:vAlign w:val="center"/>
          </w:tcPr>
          <w:p w:rsidR="00143F0D" w:rsidRPr="00625864" w:rsidRDefault="00143F0D" w:rsidP="00CD2884">
            <w:pPr>
              <w:pStyle w:val="Tabletext"/>
              <w:keepNext/>
              <w:widowControl w:val="0"/>
              <w:jc w:val="center"/>
            </w:pPr>
            <w:r w:rsidRPr="00625864">
              <w:t>5/153 (3.3%)</w:t>
            </w:r>
          </w:p>
        </w:tc>
        <w:tc>
          <w:tcPr>
            <w:tcW w:w="3021" w:type="dxa"/>
            <w:tcMar>
              <w:left w:w="28" w:type="dxa"/>
              <w:right w:w="28" w:type="dxa"/>
            </w:tcMar>
            <w:vAlign w:val="center"/>
          </w:tcPr>
          <w:p w:rsidR="00143F0D" w:rsidRPr="00625864" w:rsidRDefault="00143F0D" w:rsidP="00CD2884">
            <w:pPr>
              <w:pStyle w:val="Tabletext"/>
              <w:keepNext/>
              <w:widowControl w:val="0"/>
              <w:jc w:val="center"/>
            </w:pPr>
            <w:r w:rsidRPr="00625864">
              <w:t>0/150 (0%)</w:t>
            </w:r>
          </w:p>
        </w:tc>
      </w:tr>
      <w:tr w:rsidR="00143F0D" w:rsidRPr="00625864" w:rsidTr="00143F0D">
        <w:trPr>
          <w:cantSplit/>
        </w:trPr>
        <w:tc>
          <w:tcPr>
            <w:tcW w:w="2693" w:type="dxa"/>
            <w:tcMar>
              <w:left w:w="28" w:type="dxa"/>
              <w:right w:w="28" w:type="dxa"/>
            </w:tcMar>
            <w:vAlign w:val="center"/>
          </w:tcPr>
          <w:p w:rsidR="00143F0D" w:rsidRPr="00625864" w:rsidRDefault="00143F0D" w:rsidP="00CD2884">
            <w:pPr>
              <w:pStyle w:val="Tabletext"/>
              <w:keepNext/>
              <w:widowControl w:val="0"/>
            </w:pPr>
            <w:r w:rsidRPr="00625864">
              <w:t>Atrial fibrillation</w:t>
            </w:r>
          </w:p>
        </w:tc>
        <w:tc>
          <w:tcPr>
            <w:tcW w:w="2632" w:type="dxa"/>
            <w:tcMar>
              <w:left w:w="28" w:type="dxa"/>
              <w:right w:w="28" w:type="dxa"/>
            </w:tcMar>
            <w:vAlign w:val="center"/>
          </w:tcPr>
          <w:p w:rsidR="00143F0D" w:rsidRPr="00625864" w:rsidRDefault="00143F0D" w:rsidP="00CD2884">
            <w:pPr>
              <w:pStyle w:val="Tabletext"/>
              <w:keepNext/>
              <w:widowControl w:val="0"/>
              <w:jc w:val="center"/>
            </w:pPr>
            <w:r w:rsidRPr="00625864">
              <w:t>3/153 (2.0%)</w:t>
            </w:r>
          </w:p>
        </w:tc>
        <w:tc>
          <w:tcPr>
            <w:tcW w:w="3021" w:type="dxa"/>
            <w:tcMar>
              <w:left w:w="28" w:type="dxa"/>
              <w:right w:w="28" w:type="dxa"/>
            </w:tcMar>
            <w:vAlign w:val="center"/>
          </w:tcPr>
          <w:p w:rsidR="00143F0D" w:rsidRPr="00625864" w:rsidRDefault="00143F0D" w:rsidP="00CD2884">
            <w:pPr>
              <w:pStyle w:val="Tabletext"/>
              <w:keepNext/>
              <w:widowControl w:val="0"/>
              <w:jc w:val="center"/>
            </w:pPr>
            <w:r w:rsidRPr="00625864">
              <w:t>0/150 (0%)</w:t>
            </w:r>
          </w:p>
        </w:tc>
      </w:tr>
      <w:tr w:rsidR="00143F0D" w:rsidRPr="00625864" w:rsidTr="00143F0D">
        <w:trPr>
          <w:cantSplit/>
        </w:trPr>
        <w:tc>
          <w:tcPr>
            <w:tcW w:w="2693" w:type="dxa"/>
            <w:tcMar>
              <w:left w:w="28" w:type="dxa"/>
              <w:right w:w="28" w:type="dxa"/>
            </w:tcMar>
            <w:vAlign w:val="center"/>
          </w:tcPr>
          <w:p w:rsidR="00143F0D" w:rsidRPr="00625864" w:rsidRDefault="00143F0D" w:rsidP="00CD2884">
            <w:pPr>
              <w:pStyle w:val="Tabletext"/>
              <w:keepNext/>
              <w:widowControl w:val="0"/>
            </w:pPr>
            <w:r w:rsidRPr="00625864">
              <w:t>Thrombocytopenia</w:t>
            </w:r>
          </w:p>
        </w:tc>
        <w:tc>
          <w:tcPr>
            <w:tcW w:w="2632" w:type="dxa"/>
            <w:tcMar>
              <w:left w:w="28" w:type="dxa"/>
              <w:right w:w="28" w:type="dxa"/>
            </w:tcMar>
            <w:vAlign w:val="center"/>
          </w:tcPr>
          <w:p w:rsidR="00143F0D" w:rsidRPr="00625864" w:rsidRDefault="00143F0D" w:rsidP="00CD2884">
            <w:pPr>
              <w:pStyle w:val="Tabletext"/>
              <w:keepNext/>
              <w:widowControl w:val="0"/>
              <w:jc w:val="center"/>
            </w:pPr>
            <w:r w:rsidRPr="00625864">
              <w:t>3/153 (2.0%)</w:t>
            </w:r>
          </w:p>
        </w:tc>
        <w:tc>
          <w:tcPr>
            <w:tcW w:w="3021" w:type="dxa"/>
            <w:tcMar>
              <w:left w:w="28" w:type="dxa"/>
              <w:right w:w="28" w:type="dxa"/>
            </w:tcMar>
            <w:vAlign w:val="center"/>
          </w:tcPr>
          <w:p w:rsidR="00143F0D" w:rsidRPr="00625864" w:rsidRDefault="00143F0D" w:rsidP="00CD2884">
            <w:pPr>
              <w:pStyle w:val="Tabletext"/>
              <w:keepNext/>
              <w:widowControl w:val="0"/>
              <w:jc w:val="center"/>
            </w:pPr>
            <w:r w:rsidRPr="00625864">
              <w:t>0/150 (0%)</w:t>
            </w:r>
          </w:p>
        </w:tc>
      </w:tr>
      <w:tr w:rsidR="00143F0D" w:rsidRPr="00625864" w:rsidTr="00143F0D">
        <w:trPr>
          <w:cantSplit/>
        </w:trPr>
        <w:tc>
          <w:tcPr>
            <w:tcW w:w="2693" w:type="dxa"/>
            <w:tcMar>
              <w:left w:w="28" w:type="dxa"/>
              <w:right w:w="28" w:type="dxa"/>
            </w:tcMar>
            <w:vAlign w:val="center"/>
          </w:tcPr>
          <w:p w:rsidR="00143F0D" w:rsidRPr="00625864" w:rsidRDefault="00143F0D" w:rsidP="00CD2884">
            <w:pPr>
              <w:pStyle w:val="Tabletext"/>
              <w:keepNext/>
              <w:widowControl w:val="0"/>
            </w:pPr>
            <w:r w:rsidRPr="00625864">
              <w:t>Acute myocardial infarction</w:t>
            </w:r>
          </w:p>
        </w:tc>
        <w:tc>
          <w:tcPr>
            <w:tcW w:w="2632" w:type="dxa"/>
            <w:tcMar>
              <w:left w:w="28" w:type="dxa"/>
              <w:right w:w="28" w:type="dxa"/>
            </w:tcMar>
            <w:vAlign w:val="center"/>
          </w:tcPr>
          <w:p w:rsidR="00143F0D" w:rsidRPr="00625864" w:rsidRDefault="00143F0D" w:rsidP="00CD2884">
            <w:pPr>
              <w:pStyle w:val="Tabletext"/>
              <w:keepNext/>
              <w:widowControl w:val="0"/>
              <w:jc w:val="center"/>
            </w:pPr>
            <w:r w:rsidRPr="00625864">
              <w:t>2/153 (1.3%)</w:t>
            </w:r>
          </w:p>
        </w:tc>
        <w:tc>
          <w:tcPr>
            <w:tcW w:w="3021" w:type="dxa"/>
            <w:tcMar>
              <w:left w:w="28" w:type="dxa"/>
              <w:right w:w="28" w:type="dxa"/>
            </w:tcMar>
            <w:vAlign w:val="center"/>
          </w:tcPr>
          <w:p w:rsidR="00143F0D" w:rsidRPr="00625864" w:rsidRDefault="00143F0D" w:rsidP="00CD2884">
            <w:pPr>
              <w:pStyle w:val="Tabletext"/>
              <w:keepNext/>
              <w:widowControl w:val="0"/>
              <w:jc w:val="center"/>
            </w:pPr>
            <w:r w:rsidRPr="00625864">
              <w:t>0/150 (0%)</w:t>
            </w:r>
          </w:p>
        </w:tc>
      </w:tr>
      <w:tr w:rsidR="00143F0D" w:rsidRPr="00625864" w:rsidTr="00143F0D">
        <w:trPr>
          <w:cantSplit/>
        </w:trPr>
        <w:tc>
          <w:tcPr>
            <w:tcW w:w="2693" w:type="dxa"/>
            <w:tcMar>
              <w:left w:w="28" w:type="dxa"/>
              <w:right w:w="28" w:type="dxa"/>
            </w:tcMar>
            <w:vAlign w:val="center"/>
          </w:tcPr>
          <w:p w:rsidR="00143F0D" w:rsidRPr="00625864" w:rsidRDefault="00143F0D" w:rsidP="00CD2884">
            <w:pPr>
              <w:pStyle w:val="Tabletext"/>
              <w:keepNext/>
              <w:widowControl w:val="0"/>
            </w:pPr>
            <w:r w:rsidRPr="00625864">
              <w:t>Cardiac failure</w:t>
            </w:r>
          </w:p>
        </w:tc>
        <w:tc>
          <w:tcPr>
            <w:tcW w:w="2632" w:type="dxa"/>
            <w:tcMar>
              <w:left w:w="28" w:type="dxa"/>
              <w:right w:w="28" w:type="dxa"/>
            </w:tcMar>
            <w:vAlign w:val="center"/>
          </w:tcPr>
          <w:p w:rsidR="00143F0D" w:rsidRPr="00625864" w:rsidRDefault="00143F0D" w:rsidP="00CD2884">
            <w:pPr>
              <w:pStyle w:val="Tabletext"/>
              <w:keepNext/>
              <w:widowControl w:val="0"/>
              <w:jc w:val="center"/>
            </w:pPr>
            <w:r w:rsidRPr="00625864">
              <w:t>2/153 (1.3%)</w:t>
            </w:r>
          </w:p>
        </w:tc>
        <w:tc>
          <w:tcPr>
            <w:tcW w:w="3021" w:type="dxa"/>
            <w:tcMar>
              <w:left w:w="28" w:type="dxa"/>
              <w:right w:w="28" w:type="dxa"/>
            </w:tcMar>
            <w:vAlign w:val="center"/>
          </w:tcPr>
          <w:p w:rsidR="00143F0D" w:rsidRPr="00625864" w:rsidRDefault="00143F0D" w:rsidP="00CD2884">
            <w:pPr>
              <w:pStyle w:val="Tabletext"/>
              <w:keepNext/>
              <w:widowControl w:val="0"/>
              <w:jc w:val="center"/>
            </w:pPr>
            <w:r w:rsidRPr="00625864">
              <w:t>0/150 (0%)</w:t>
            </w:r>
          </w:p>
        </w:tc>
      </w:tr>
    </w:tbl>
    <w:p w:rsidR="00143F0D" w:rsidRPr="00625864" w:rsidRDefault="00143F0D" w:rsidP="00143F0D">
      <w:pPr>
        <w:pStyle w:val="TableFooter"/>
        <w:keepNext/>
        <w:ind w:firstLine="720"/>
      </w:pPr>
      <w:r w:rsidRPr="00625864">
        <w:t>Source: Table 81, p150 of the Office of Medicines Authorisation clinical evaluation report for ponatinib (TGA)</w:t>
      </w:r>
    </w:p>
    <w:p w:rsidR="00143F0D" w:rsidRPr="00625864" w:rsidRDefault="00143F0D" w:rsidP="00143F0D">
      <w:pPr>
        <w:pStyle w:val="TableFooter"/>
        <w:keepNext/>
        <w:ind w:firstLine="720"/>
      </w:pPr>
      <w:r w:rsidRPr="00625864">
        <w:t>Italics = extracted during evaluation</w:t>
      </w:r>
    </w:p>
    <w:p w:rsidR="00143F0D" w:rsidRPr="00625864" w:rsidRDefault="00143F0D" w:rsidP="00D46A7C">
      <w:pPr>
        <w:widowControl/>
        <w:ind w:left="720"/>
        <w:rPr>
          <w:szCs w:val="22"/>
        </w:rPr>
      </w:pPr>
    </w:p>
    <w:p w:rsidR="00143F0D" w:rsidRDefault="00143F0D" w:rsidP="00D46A7C">
      <w:pPr>
        <w:widowControl/>
        <w:ind w:left="720"/>
        <w:rPr>
          <w:i/>
          <w:szCs w:val="22"/>
        </w:rPr>
      </w:pPr>
      <w:r w:rsidRPr="00625864">
        <w:rPr>
          <w:szCs w:val="22"/>
        </w:rPr>
        <w:t>Notably, there were five cases of pancreatitis in the ponatinib arm.</w:t>
      </w:r>
    </w:p>
    <w:p w:rsidR="00143F0D" w:rsidRDefault="00143F0D" w:rsidP="00D46A7C">
      <w:pPr>
        <w:widowControl/>
        <w:ind w:left="720"/>
        <w:rPr>
          <w:i/>
          <w:szCs w:val="22"/>
        </w:rPr>
      </w:pPr>
    </w:p>
    <w:p w:rsidR="00625864" w:rsidRPr="00625864" w:rsidRDefault="00625864" w:rsidP="00AB3220">
      <w:pPr>
        <w:pStyle w:val="ListParagraph"/>
        <w:widowControl/>
        <w:numPr>
          <w:ilvl w:val="1"/>
          <w:numId w:val="12"/>
        </w:numPr>
        <w:ind w:left="720" w:hanging="720"/>
        <w:rPr>
          <w:szCs w:val="22"/>
        </w:rPr>
      </w:pPr>
      <w:r>
        <w:rPr>
          <w:szCs w:val="22"/>
        </w:rPr>
        <w:t xml:space="preserve">The PBAC noted the submission claimed </w:t>
      </w:r>
      <w:r w:rsidRPr="00625864">
        <w:rPr>
          <w:szCs w:val="22"/>
        </w:rPr>
        <w:t>that the cardiovascular effects seen with ponatinib are class effects, citing QT interval prolongation with nilotinib as a particular concern. The Product Information for both dasatinib and nilotinib contain a warning stating that they should be used with caution in patients who have or who are at significant risk of developing prolongation of QT interval</w:t>
      </w:r>
      <w:r>
        <w:rPr>
          <w:szCs w:val="22"/>
        </w:rPr>
        <w:t>. However, v</w:t>
      </w:r>
      <w:r w:rsidRPr="00625864">
        <w:rPr>
          <w:szCs w:val="22"/>
        </w:rPr>
        <w:t xml:space="preserve">arious </w:t>
      </w:r>
      <w:r w:rsidRPr="00D837BA">
        <w:rPr>
          <w:szCs w:val="22"/>
        </w:rPr>
        <w:t>publications indicate that while nilotinib is associated with QT interval prolongation,</w:t>
      </w:r>
      <w:r w:rsidRPr="00625864">
        <w:rPr>
          <w:szCs w:val="22"/>
        </w:rPr>
        <w:t xml:space="preserve"> the incidence of prolongation above 500 milliseconds is uncommon (less than 1%) (Brave 2008, Breccia 2013, and Kim 2012). One study of 233 patients receiving nilotinib as first- or second-line therapy found five cases (2%) of severe peripheral artery occlusive disease (</w:t>
      </w:r>
      <w:proofErr w:type="spellStart"/>
      <w:r w:rsidRPr="00625864">
        <w:rPr>
          <w:szCs w:val="22"/>
        </w:rPr>
        <w:t>Quintas-Cardama</w:t>
      </w:r>
      <w:proofErr w:type="spellEnd"/>
      <w:r w:rsidRPr="00625864">
        <w:rPr>
          <w:szCs w:val="22"/>
        </w:rPr>
        <w:t xml:space="preserve"> 2012). This rate is lower than that seen with ponatinib. </w:t>
      </w:r>
      <w:r w:rsidR="00D837BA" w:rsidRPr="00D837BA">
        <w:rPr>
          <w:szCs w:val="22"/>
        </w:rPr>
        <w:t>Long-term experience for dasatinib and nilotinib in first- and second-line treatment has not indicated a high risk of vascular occlusive events.</w:t>
      </w:r>
    </w:p>
    <w:p w:rsidR="00625864" w:rsidRDefault="00625864" w:rsidP="00625864">
      <w:pPr>
        <w:widowControl/>
        <w:ind w:left="720" w:hanging="720"/>
        <w:rPr>
          <w:szCs w:val="22"/>
        </w:rPr>
      </w:pPr>
    </w:p>
    <w:p w:rsidR="00D837BA" w:rsidRPr="00D837BA" w:rsidRDefault="00D837BA" w:rsidP="00AB3220">
      <w:pPr>
        <w:pStyle w:val="ListParagraph"/>
        <w:widowControl/>
        <w:numPr>
          <w:ilvl w:val="1"/>
          <w:numId w:val="12"/>
        </w:numPr>
        <w:ind w:left="720" w:hanging="720"/>
        <w:rPr>
          <w:szCs w:val="22"/>
        </w:rPr>
      </w:pPr>
      <w:r>
        <w:rPr>
          <w:szCs w:val="22"/>
        </w:rPr>
        <w:t>The PB</w:t>
      </w:r>
      <w:r w:rsidR="004C289E">
        <w:rPr>
          <w:szCs w:val="22"/>
        </w:rPr>
        <w:t>AC considered that ponatinib had</w:t>
      </w:r>
      <w:r>
        <w:rPr>
          <w:szCs w:val="22"/>
        </w:rPr>
        <w:t xml:space="preserve"> </w:t>
      </w:r>
      <w:r w:rsidRPr="00D837BA">
        <w:rPr>
          <w:szCs w:val="22"/>
        </w:rPr>
        <w:t>an inferior toxicity profile to imatinib, dasatinib, and nilotinib, especially with regard</w:t>
      </w:r>
      <w:r w:rsidR="0059654E">
        <w:rPr>
          <w:szCs w:val="22"/>
        </w:rPr>
        <w:t xml:space="preserve"> to</w:t>
      </w:r>
      <w:r w:rsidRPr="00D837BA">
        <w:rPr>
          <w:szCs w:val="22"/>
        </w:rPr>
        <w:t xml:space="preserve"> serious vascular occlusive events.</w:t>
      </w:r>
    </w:p>
    <w:p w:rsidR="00CF37BC" w:rsidRDefault="00625864" w:rsidP="009142DC">
      <w:pPr>
        <w:widowControl/>
        <w:rPr>
          <w:szCs w:val="22"/>
        </w:rPr>
      </w:pPr>
      <w:r>
        <w:rPr>
          <w:szCs w:val="22"/>
        </w:rPr>
        <w:tab/>
      </w:r>
    </w:p>
    <w:p w:rsidR="00D46A7C" w:rsidRPr="00E7638C" w:rsidRDefault="00D46A7C" w:rsidP="00E7638C">
      <w:pPr>
        <w:widowControl/>
        <w:rPr>
          <w:szCs w:val="22"/>
        </w:rPr>
      </w:pPr>
    </w:p>
    <w:p w:rsidR="00CD4AA5" w:rsidRPr="00976978" w:rsidRDefault="00CD4AA5" w:rsidP="00976978">
      <w:pPr>
        <w:rPr>
          <w:b/>
          <w:szCs w:val="22"/>
        </w:rPr>
      </w:pPr>
      <w:bookmarkStart w:id="11" w:name="_Toc398282532"/>
      <w:r w:rsidRPr="00976978">
        <w:rPr>
          <w:b/>
          <w:szCs w:val="22"/>
        </w:rPr>
        <w:t>Benefits/harms</w:t>
      </w:r>
      <w:bookmarkEnd w:id="11"/>
    </w:p>
    <w:p w:rsidR="003A28C6" w:rsidRPr="001B449A" w:rsidRDefault="003A28C6" w:rsidP="003A28C6">
      <w:pPr>
        <w:pStyle w:val="ListParagraph"/>
        <w:ind w:left="0"/>
        <w:rPr>
          <w:szCs w:val="22"/>
        </w:rPr>
      </w:pPr>
    </w:p>
    <w:p w:rsidR="00CD4AA5" w:rsidRPr="001B449A" w:rsidRDefault="00CD4AA5" w:rsidP="00AB3220">
      <w:pPr>
        <w:pStyle w:val="ListParagraph"/>
        <w:widowControl/>
        <w:numPr>
          <w:ilvl w:val="1"/>
          <w:numId w:val="12"/>
        </w:numPr>
        <w:ind w:left="720" w:hanging="720"/>
        <w:rPr>
          <w:szCs w:val="22"/>
        </w:rPr>
      </w:pPr>
      <w:r w:rsidRPr="001B449A">
        <w:rPr>
          <w:szCs w:val="22"/>
        </w:rPr>
        <w:t xml:space="preserve">A summary of the comparative benefits and harms for </w:t>
      </w:r>
      <w:r w:rsidR="00AA546F" w:rsidRPr="001B449A">
        <w:rPr>
          <w:szCs w:val="22"/>
        </w:rPr>
        <w:t>ponatinib</w:t>
      </w:r>
      <w:r w:rsidRPr="001B449A">
        <w:rPr>
          <w:szCs w:val="22"/>
        </w:rPr>
        <w:t xml:space="preserve"> versus </w:t>
      </w:r>
      <w:r w:rsidR="00AA546F" w:rsidRPr="001B449A">
        <w:rPr>
          <w:szCs w:val="22"/>
        </w:rPr>
        <w:t xml:space="preserve">dasatinib and nilotinib </w:t>
      </w:r>
      <w:r w:rsidR="00670A18">
        <w:rPr>
          <w:szCs w:val="22"/>
        </w:rPr>
        <w:t>was</w:t>
      </w:r>
      <w:r w:rsidR="00372C9F" w:rsidRPr="001B449A">
        <w:rPr>
          <w:szCs w:val="22"/>
        </w:rPr>
        <w:t xml:space="preserve"> presented in the </w:t>
      </w:r>
      <w:r w:rsidR="009F0D55">
        <w:rPr>
          <w:szCs w:val="22"/>
        </w:rPr>
        <w:t>following table</w:t>
      </w:r>
      <w:r w:rsidRPr="001B449A">
        <w:rPr>
          <w:szCs w:val="22"/>
        </w:rPr>
        <w:t xml:space="preserve">. </w:t>
      </w:r>
    </w:p>
    <w:p w:rsidR="00CD4AA5" w:rsidRPr="001B449A" w:rsidRDefault="00CD4AA5" w:rsidP="00CD4AA5"/>
    <w:p w:rsidR="00CD4AA5" w:rsidRPr="001B449A" w:rsidRDefault="00CD4AA5" w:rsidP="003E5B5D">
      <w:pPr>
        <w:keepNext/>
        <w:ind w:left="720"/>
        <w:rPr>
          <w:rStyle w:val="CommentReference"/>
        </w:rPr>
      </w:pPr>
      <w:r w:rsidRPr="001B449A">
        <w:rPr>
          <w:rStyle w:val="CommentReference"/>
        </w:rPr>
        <w:lastRenderedPageBreak/>
        <w:t>Summary of comparative benefits and harms for</w:t>
      </w:r>
      <w:r w:rsidR="00372C9F" w:rsidRPr="001B449A">
        <w:rPr>
          <w:rStyle w:val="CommentReference"/>
        </w:rPr>
        <w:t xml:space="preserve"> ponatinib versus dasatinib and nilotinib</w:t>
      </w:r>
      <w:r w:rsidRPr="001B449A">
        <w:rPr>
          <w:rStyle w:val="CommentReference"/>
        </w:rPr>
        <w:t xml:space="preserve"> </w:t>
      </w:r>
    </w:p>
    <w:tbl>
      <w:tblPr>
        <w:tblStyle w:val="TableGrid"/>
        <w:tblW w:w="4621" w:type="pct"/>
        <w:tblInd w:w="705" w:type="dxa"/>
        <w:tblLayout w:type="fixed"/>
        <w:tblCellMar>
          <w:left w:w="28" w:type="dxa"/>
          <w:right w:w="28" w:type="dxa"/>
        </w:tblCellMar>
        <w:tblLook w:val="04A0" w:firstRow="1" w:lastRow="0" w:firstColumn="1" w:lastColumn="0" w:noHBand="0" w:noVBand="1"/>
        <w:tblDescription w:val="Summary of comparative benefits and harms for ponatinib versus dasatinib and nilotinib "/>
      </w:tblPr>
      <w:tblGrid>
        <w:gridCol w:w="1876"/>
        <w:gridCol w:w="1133"/>
        <w:gridCol w:w="1133"/>
        <w:gridCol w:w="1137"/>
        <w:gridCol w:w="1140"/>
        <w:gridCol w:w="1006"/>
        <w:gridCol w:w="970"/>
      </w:tblGrid>
      <w:tr w:rsidR="00C94020" w:rsidRPr="001B449A" w:rsidTr="0094068E">
        <w:trPr>
          <w:trHeight w:val="150"/>
          <w:tblHeader/>
        </w:trPr>
        <w:tc>
          <w:tcPr>
            <w:tcW w:w="1117" w:type="pct"/>
            <w:vMerge w:val="restart"/>
            <w:shd w:val="clear" w:color="auto" w:fill="auto"/>
            <w:vAlign w:val="center"/>
          </w:tcPr>
          <w:p w:rsidR="00F00F59" w:rsidRPr="001B449A" w:rsidRDefault="003B189B" w:rsidP="003E5B5D">
            <w:pPr>
              <w:keepNext/>
              <w:rPr>
                <w:rFonts w:ascii="Arial Narrow" w:hAnsi="Arial Narrow"/>
                <w:b/>
                <w:color w:val="000000"/>
                <w:sz w:val="20"/>
                <w:szCs w:val="18"/>
              </w:rPr>
            </w:pPr>
            <w:bookmarkStart w:id="12" w:name="_GoBack"/>
            <w:r w:rsidRPr="001B449A">
              <w:rPr>
                <w:rFonts w:ascii="Arial Narrow" w:hAnsi="Arial Narrow"/>
                <w:b/>
                <w:color w:val="000000"/>
                <w:sz w:val="20"/>
                <w:szCs w:val="18"/>
              </w:rPr>
              <w:t>Study</w:t>
            </w:r>
          </w:p>
        </w:tc>
        <w:tc>
          <w:tcPr>
            <w:tcW w:w="675" w:type="pct"/>
            <w:vMerge w:val="restart"/>
            <w:vAlign w:val="center"/>
          </w:tcPr>
          <w:p w:rsidR="00F00F59"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Ponatinib</w:t>
            </w:r>
          </w:p>
        </w:tc>
        <w:tc>
          <w:tcPr>
            <w:tcW w:w="675" w:type="pct"/>
            <w:vMerge w:val="restart"/>
            <w:vAlign w:val="center"/>
          </w:tcPr>
          <w:p w:rsidR="00F00F59"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Dasatinib</w:t>
            </w:r>
          </w:p>
        </w:tc>
        <w:tc>
          <w:tcPr>
            <w:tcW w:w="677" w:type="pct"/>
            <w:vMerge w:val="restart"/>
            <w:tcBorders>
              <w:right w:val="double" w:sz="4" w:space="0" w:color="auto"/>
            </w:tcBorders>
            <w:vAlign w:val="center"/>
          </w:tcPr>
          <w:p w:rsidR="00F00F59"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Nilotinib</w:t>
            </w:r>
          </w:p>
        </w:tc>
        <w:tc>
          <w:tcPr>
            <w:tcW w:w="1856" w:type="pct"/>
            <w:gridSpan w:val="3"/>
            <w:tcBorders>
              <w:left w:val="double" w:sz="4" w:space="0" w:color="auto"/>
            </w:tcBorders>
            <w:vAlign w:val="center"/>
          </w:tcPr>
          <w:p w:rsidR="00F00F59"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 xml:space="preserve">Event rate/100 patients </w:t>
            </w:r>
          </w:p>
        </w:tc>
      </w:tr>
      <w:tr w:rsidR="00C94020" w:rsidRPr="001B449A" w:rsidTr="0094068E">
        <w:trPr>
          <w:trHeight w:val="315"/>
          <w:tblHeader/>
        </w:trPr>
        <w:tc>
          <w:tcPr>
            <w:tcW w:w="1117" w:type="pct"/>
            <w:vMerge/>
            <w:tcBorders>
              <w:bottom w:val="single" w:sz="4" w:space="0" w:color="auto"/>
            </w:tcBorders>
            <w:shd w:val="clear" w:color="auto" w:fill="auto"/>
            <w:vAlign w:val="center"/>
          </w:tcPr>
          <w:p w:rsidR="00CD4AA5" w:rsidRPr="001B449A" w:rsidRDefault="00CD4AA5" w:rsidP="003E5B5D">
            <w:pPr>
              <w:keepNext/>
              <w:rPr>
                <w:rFonts w:ascii="Arial Narrow" w:hAnsi="Arial Narrow"/>
                <w:b/>
                <w:color w:val="000000"/>
                <w:sz w:val="20"/>
                <w:szCs w:val="18"/>
              </w:rPr>
            </w:pPr>
          </w:p>
        </w:tc>
        <w:tc>
          <w:tcPr>
            <w:tcW w:w="675" w:type="pct"/>
            <w:vMerge/>
            <w:tcBorders>
              <w:bottom w:val="single" w:sz="4" w:space="0" w:color="auto"/>
            </w:tcBorders>
            <w:vAlign w:val="center"/>
          </w:tcPr>
          <w:p w:rsidR="00CD4AA5" w:rsidRPr="001B449A" w:rsidRDefault="00CD4AA5" w:rsidP="003E5B5D">
            <w:pPr>
              <w:keepNext/>
              <w:jc w:val="center"/>
              <w:rPr>
                <w:rFonts w:ascii="Arial Narrow" w:hAnsi="Arial Narrow"/>
                <w:b/>
                <w:color w:val="000000"/>
                <w:sz w:val="20"/>
                <w:szCs w:val="18"/>
              </w:rPr>
            </w:pPr>
          </w:p>
        </w:tc>
        <w:tc>
          <w:tcPr>
            <w:tcW w:w="675" w:type="pct"/>
            <w:vMerge/>
            <w:tcBorders>
              <w:bottom w:val="single" w:sz="4" w:space="0" w:color="auto"/>
            </w:tcBorders>
            <w:vAlign w:val="center"/>
          </w:tcPr>
          <w:p w:rsidR="00CD4AA5" w:rsidRPr="001B449A" w:rsidRDefault="00CD4AA5" w:rsidP="003E5B5D">
            <w:pPr>
              <w:keepNext/>
              <w:jc w:val="center"/>
              <w:rPr>
                <w:rFonts w:ascii="Arial Narrow" w:hAnsi="Arial Narrow"/>
                <w:b/>
                <w:color w:val="000000"/>
                <w:sz w:val="20"/>
                <w:szCs w:val="18"/>
              </w:rPr>
            </w:pPr>
          </w:p>
        </w:tc>
        <w:tc>
          <w:tcPr>
            <w:tcW w:w="677" w:type="pct"/>
            <w:vMerge/>
            <w:tcBorders>
              <w:bottom w:val="single" w:sz="4" w:space="0" w:color="auto"/>
              <w:right w:val="double" w:sz="4" w:space="0" w:color="auto"/>
            </w:tcBorders>
            <w:vAlign w:val="center"/>
          </w:tcPr>
          <w:p w:rsidR="00CD4AA5" w:rsidRPr="001B449A" w:rsidRDefault="00CD4AA5" w:rsidP="003E5B5D">
            <w:pPr>
              <w:keepNext/>
              <w:jc w:val="center"/>
              <w:rPr>
                <w:rFonts w:ascii="Arial Narrow" w:hAnsi="Arial Narrow"/>
                <w:b/>
                <w:color w:val="000000"/>
                <w:sz w:val="20"/>
                <w:szCs w:val="18"/>
              </w:rPr>
            </w:pPr>
          </w:p>
        </w:tc>
        <w:tc>
          <w:tcPr>
            <w:tcW w:w="679" w:type="pct"/>
            <w:tcBorders>
              <w:left w:val="double" w:sz="4" w:space="0" w:color="auto"/>
              <w:bottom w:val="single" w:sz="4" w:space="0" w:color="auto"/>
            </w:tcBorders>
            <w:vAlign w:val="center"/>
          </w:tcPr>
          <w:p w:rsidR="00CD4AA5"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Ponatinib</w:t>
            </w:r>
          </w:p>
        </w:tc>
        <w:tc>
          <w:tcPr>
            <w:tcW w:w="599" w:type="pct"/>
            <w:tcBorders>
              <w:bottom w:val="single" w:sz="4" w:space="0" w:color="auto"/>
            </w:tcBorders>
            <w:vAlign w:val="center"/>
          </w:tcPr>
          <w:p w:rsidR="00CD4AA5"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Dasatinib</w:t>
            </w:r>
          </w:p>
        </w:tc>
        <w:tc>
          <w:tcPr>
            <w:tcW w:w="578" w:type="pct"/>
            <w:tcBorders>
              <w:bottom w:val="single" w:sz="4" w:space="0" w:color="auto"/>
            </w:tcBorders>
            <w:vAlign w:val="center"/>
          </w:tcPr>
          <w:p w:rsidR="00CD4AA5" w:rsidRPr="001B449A" w:rsidRDefault="00F00F59" w:rsidP="003E5B5D">
            <w:pPr>
              <w:keepNext/>
              <w:jc w:val="center"/>
              <w:rPr>
                <w:rFonts w:ascii="Arial Narrow" w:hAnsi="Arial Narrow"/>
                <w:b/>
                <w:color w:val="000000"/>
                <w:sz w:val="20"/>
                <w:szCs w:val="18"/>
              </w:rPr>
            </w:pPr>
            <w:r w:rsidRPr="001B449A">
              <w:rPr>
                <w:rFonts w:ascii="Arial Narrow" w:hAnsi="Arial Narrow"/>
                <w:b/>
                <w:color w:val="000000"/>
                <w:sz w:val="20"/>
                <w:szCs w:val="18"/>
              </w:rPr>
              <w:t>Nilotinib</w:t>
            </w:r>
          </w:p>
        </w:tc>
      </w:tr>
      <w:tr w:rsidR="00CD4AA5" w:rsidRPr="001B449A" w:rsidTr="0094068E">
        <w:tc>
          <w:tcPr>
            <w:tcW w:w="5000" w:type="pct"/>
            <w:gridSpan w:val="7"/>
            <w:tcBorders>
              <w:bottom w:val="single" w:sz="4" w:space="0" w:color="auto"/>
            </w:tcBorders>
            <w:shd w:val="clear" w:color="auto" w:fill="auto"/>
            <w:vAlign w:val="center"/>
          </w:tcPr>
          <w:p w:rsidR="00CD4AA5" w:rsidRPr="001B449A" w:rsidRDefault="00824154" w:rsidP="003E5B5D">
            <w:pPr>
              <w:keepNext/>
              <w:rPr>
                <w:rFonts w:ascii="Arial Narrow" w:hAnsi="Arial Narrow"/>
                <w:b/>
                <w:color w:val="000000"/>
                <w:sz w:val="20"/>
                <w:szCs w:val="18"/>
              </w:rPr>
            </w:pPr>
            <w:r w:rsidRPr="001B449A">
              <w:rPr>
                <w:rFonts w:ascii="Arial Narrow" w:hAnsi="Arial Narrow"/>
                <w:b/>
                <w:color w:val="000000"/>
                <w:sz w:val="20"/>
                <w:szCs w:val="18"/>
              </w:rPr>
              <w:t>BENEFITS</w:t>
            </w:r>
          </w:p>
        </w:tc>
      </w:tr>
      <w:tr w:rsidR="00CD4AA5" w:rsidRPr="001B449A" w:rsidTr="0094068E">
        <w:tc>
          <w:tcPr>
            <w:tcW w:w="5000" w:type="pct"/>
            <w:gridSpan w:val="7"/>
            <w:tcBorders>
              <w:top w:val="single" w:sz="4" w:space="0" w:color="auto"/>
            </w:tcBorders>
            <w:shd w:val="clear" w:color="auto" w:fill="auto"/>
            <w:vAlign w:val="center"/>
          </w:tcPr>
          <w:p w:rsidR="00CD4AA5" w:rsidRPr="001B449A" w:rsidRDefault="00114545" w:rsidP="003E5B5D">
            <w:pPr>
              <w:keepNext/>
              <w:rPr>
                <w:rFonts w:ascii="Arial Narrow" w:hAnsi="Arial Narrow"/>
                <w:b/>
                <w:color w:val="000000"/>
                <w:sz w:val="20"/>
                <w:szCs w:val="18"/>
              </w:rPr>
            </w:pPr>
            <w:r w:rsidRPr="001B449A">
              <w:rPr>
                <w:rFonts w:ascii="Arial Narrow" w:hAnsi="Arial Narrow"/>
                <w:b/>
                <w:color w:val="000000"/>
                <w:sz w:val="20"/>
                <w:szCs w:val="18"/>
              </w:rPr>
              <w:t xml:space="preserve">Chronic phase CML </w:t>
            </w:r>
            <w:r w:rsidR="008E34DD">
              <w:rPr>
                <w:rFonts w:ascii="Arial Narrow" w:hAnsi="Arial Narrow"/>
                <w:b/>
                <w:color w:val="000000"/>
                <w:sz w:val="20"/>
                <w:szCs w:val="18"/>
              </w:rPr>
              <w:t>–</w:t>
            </w:r>
            <w:r w:rsidRPr="001B449A">
              <w:rPr>
                <w:rFonts w:ascii="Arial Narrow" w:hAnsi="Arial Narrow"/>
                <w:b/>
                <w:color w:val="000000"/>
                <w:sz w:val="20"/>
                <w:szCs w:val="18"/>
              </w:rPr>
              <w:t xml:space="preserve"> </w:t>
            </w:r>
            <w:proofErr w:type="spellStart"/>
            <w:r w:rsidR="00AA546F" w:rsidRPr="001B449A">
              <w:rPr>
                <w:rFonts w:ascii="Arial Narrow" w:hAnsi="Arial Narrow"/>
                <w:b/>
                <w:color w:val="000000"/>
                <w:sz w:val="20"/>
                <w:szCs w:val="18"/>
              </w:rPr>
              <w:t>M</w:t>
            </w:r>
            <w:r w:rsidR="001C1E53">
              <w:rPr>
                <w:rFonts w:ascii="Arial Narrow" w:hAnsi="Arial Narrow"/>
                <w:b/>
                <w:color w:val="000000"/>
                <w:sz w:val="20"/>
                <w:szCs w:val="18"/>
              </w:rPr>
              <w:t>C</w:t>
            </w:r>
            <w:r w:rsidR="00AA546F" w:rsidRPr="001B449A">
              <w:rPr>
                <w:rFonts w:ascii="Arial Narrow" w:hAnsi="Arial Narrow"/>
                <w:b/>
                <w:color w:val="000000"/>
                <w:sz w:val="20"/>
                <w:szCs w:val="18"/>
              </w:rPr>
              <w:t>yR</w:t>
            </w:r>
            <w:proofErr w:type="spellEnd"/>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PACE</w:t>
            </w:r>
          </w:p>
        </w:tc>
        <w:tc>
          <w:tcPr>
            <w:tcW w:w="675" w:type="pct"/>
            <w:vAlign w:val="center"/>
          </w:tcPr>
          <w:p w:rsidR="00F00F59" w:rsidRPr="001B449A" w:rsidRDefault="00F00F59" w:rsidP="003E5B5D">
            <w:pPr>
              <w:keepNext/>
              <w:jc w:val="center"/>
              <w:rPr>
                <w:rFonts w:ascii="Arial Narrow" w:hAnsi="Arial Narrow"/>
                <w:sz w:val="20"/>
                <w:szCs w:val="18"/>
              </w:rPr>
            </w:pPr>
            <w:r w:rsidRPr="001B449A">
              <w:rPr>
                <w:rFonts w:ascii="Arial Narrow" w:hAnsi="Arial Narrow"/>
                <w:sz w:val="20"/>
                <w:szCs w:val="18"/>
              </w:rPr>
              <w:t>144/267</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F00F59" w:rsidRPr="001B449A" w:rsidRDefault="000F625D" w:rsidP="003E5B5D">
            <w:pPr>
              <w:keepNext/>
              <w:jc w:val="center"/>
              <w:rPr>
                <w:rFonts w:ascii="Arial Narrow" w:hAnsi="Arial Narrow"/>
                <w:sz w:val="20"/>
                <w:szCs w:val="18"/>
              </w:rPr>
            </w:pPr>
            <w:r w:rsidRPr="001B449A">
              <w:rPr>
                <w:rFonts w:ascii="Arial Narrow" w:hAnsi="Arial Narrow"/>
                <w:sz w:val="20"/>
                <w:szCs w:val="18"/>
              </w:rPr>
              <w:t>-</w:t>
            </w:r>
          </w:p>
        </w:tc>
        <w:tc>
          <w:tcPr>
            <w:tcW w:w="679" w:type="pct"/>
            <w:tcBorders>
              <w:left w:val="double" w:sz="4" w:space="0" w:color="auto"/>
            </w:tcBorders>
            <w:vAlign w:val="center"/>
          </w:tcPr>
          <w:p w:rsidR="00F00F59" w:rsidRPr="001B449A" w:rsidRDefault="009A67CF" w:rsidP="003E5B5D">
            <w:pPr>
              <w:keepNext/>
              <w:jc w:val="center"/>
              <w:rPr>
                <w:rFonts w:ascii="Arial Narrow" w:hAnsi="Arial Narrow"/>
                <w:color w:val="000000"/>
                <w:sz w:val="20"/>
                <w:szCs w:val="18"/>
              </w:rPr>
            </w:pPr>
            <w:r w:rsidRPr="001B449A">
              <w:rPr>
                <w:rFonts w:ascii="Arial Narrow" w:hAnsi="Arial Narrow"/>
                <w:color w:val="000000"/>
                <w:sz w:val="20"/>
                <w:szCs w:val="18"/>
              </w:rPr>
              <w:t>54</w:t>
            </w:r>
          </w:p>
        </w:tc>
        <w:tc>
          <w:tcPr>
            <w:tcW w:w="599"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Study 101</w:t>
            </w:r>
          </w:p>
        </w:tc>
        <w:tc>
          <w:tcPr>
            <w:tcW w:w="675"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31/43</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F00F59" w:rsidRPr="001B449A" w:rsidRDefault="009A67CF" w:rsidP="003E5B5D">
            <w:pPr>
              <w:keepNext/>
              <w:jc w:val="center"/>
              <w:rPr>
                <w:rFonts w:ascii="Arial Narrow" w:hAnsi="Arial Narrow"/>
                <w:color w:val="000000"/>
                <w:sz w:val="20"/>
                <w:szCs w:val="18"/>
              </w:rPr>
            </w:pPr>
            <w:r w:rsidRPr="001B449A">
              <w:rPr>
                <w:rFonts w:ascii="Arial Narrow" w:hAnsi="Arial Narrow"/>
                <w:color w:val="000000"/>
                <w:sz w:val="20"/>
                <w:szCs w:val="18"/>
              </w:rPr>
              <w:t>72</w:t>
            </w:r>
          </w:p>
        </w:tc>
        <w:tc>
          <w:tcPr>
            <w:tcW w:w="599"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proofErr w:type="spellStart"/>
            <w:r w:rsidRPr="001B449A">
              <w:rPr>
                <w:rFonts w:ascii="Arial Narrow" w:hAnsi="Arial Narrow"/>
                <w:color w:val="000000"/>
                <w:sz w:val="20"/>
                <w:szCs w:val="18"/>
              </w:rPr>
              <w:t>Quintas-Cardama</w:t>
            </w:r>
            <w:proofErr w:type="spellEnd"/>
            <w:r w:rsidRPr="001B449A">
              <w:rPr>
                <w:rFonts w:ascii="Arial Narrow" w:hAnsi="Arial Narrow"/>
                <w:color w:val="000000"/>
                <w:sz w:val="20"/>
                <w:szCs w:val="18"/>
              </w:rPr>
              <w:t xml:space="preserve"> 2007</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5"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1/4</w:t>
            </w:r>
          </w:p>
        </w:tc>
        <w:tc>
          <w:tcPr>
            <w:tcW w:w="677" w:type="pct"/>
            <w:tcBorders>
              <w:righ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99"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25</w:t>
            </w:r>
          </w:p>
        </w:tc>
        <w:tc>
          <w:tcPr>
            <w:tcW w:w="578"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Giles 2010</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16/</w:t>
            </w:r>
            <w:r w:rsidR="009A67CF" w:rsidRPr="001B449A">
              <w:rPr>
                <w:rFonts w:ascii="Arial Narrow" w:hAnsi="Arial Narrow"/>
                <w:color w:val="000000"/>
                <w:sz w:val="20"/>
                <w:szCs w:val="18"/>
              </w:rPr>
              <w:t>37</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99"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43</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proofErr w:type="spellStart"/>
            <w:r w:rsidRPr="001B449A">
              <w:rPr>
                <w:rFonts w:ascii="Arial Narrow" w:hAnsi="Arial Narrow"/>
                <w:color w:val="000000"/>
                <w:sz w:val="20"/>
                <w:szCs w:val="18"/>
              </w:rPr>
              <w:t>Nicolini</w:t>
            </w:r>
            <w:proofErr w:type="spellEnd"/>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89/218</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99"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41</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Garg 2009</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5" w:type="pct"/>
            <w:tcBorders>
              <w:bottom w:val="sing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6/16</w:t>
            </w:r>
          </w:p>
        </w:tc>
        <w:tc>
          <w:tcPr>
            <w:tcW w:w="677" w:type="pct"/>
            <w:tcBorders>
              <w:bottom w:val="single" w:sz="4" w:space="0" w:color="auto"/>
              <w:right w:val="doub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2/9</w:t>
            </w:r>
          </w:p>
        </w:tc>
        <w:tc>
          <w:tcPr>
            <w:tcW w:w="679" w:type="pct"/>
            <w:tcBorders>
              <w:left w:val="double" w:sz="4" w:space="0" w:color="auto"/>
              <w:bottom w:val="sing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99"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38</w:t>
            </w:r>
          </w:p>
        </w:tc>
        <w:tc>
          <w:tcPr>
            <w:tcW w:w="578" w:type="pct"/>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22</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Ibrahim 2010</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1352" w:type="pct"/>
            <w:gridSpan w:val="2"/>
            <w:tcBorders>
              <w:right w:val="doub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13/26</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1177" w:type="pct"/>
            <w:gridSpan w:val="2"/>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50</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Rossi 2013</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1352" w:type="pct"/>
            <w:gridSpan w:val="2"/>
            <w:tcBorders>
              <w:bottom w:val="single" w:sz="4" w:space="0" w:color="auto"/>
              <w:right w:val="double" w:sz="4" w:space="0" w:color="auto"/>
            </w:tcBorders>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39/82</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1177" w:type="pct"/>
            <w:gridSpan w:val="2"/>
            <w:vAlign w:val="center"/>
          </w:tcPr>
          <w:p w:rsidR="00F00F59" w:rsidRPr="001B449A" w:rsidRDefault="00F00F59" w:rsidP="003E5B5D">
            <w:pPr>
              <w:keepNext/>
              <w:jc w:val="center"/>
              <w:rPr>
                <w:rFonts w:ascii="Arial Narrow" w:hAnsi="Arial Narrow"/>
                <w:color w:val="000000"/>
                <w:sz w:val="20"/>
                <w:szCs w:val="18"/>
              </w:rPr>
            </w:pPr>
            <w:r w:rsidRPr="001B449A">
              <w:rPr>
                <w:rFonts w:ascii="Arial Narrow" w:hAnsi="Arial Narrow"/>
                <w:color w:val="000000"/>
                <w:sz w:val="20"/>
                <w:szCs w:val="18"/>
              </w:rPr>
              <w:t>48</w:t>
            </w:r>
          </w:p>
        </w:tc>
      </w:tr>
      <w:tr w:rsidR="008E648A" w:rsidRPr="001B449A" w:rsidTr="0094068E">
        <w:tc>
          <w:tcPr>
            <w:tcW w:w="5000" w:type="pct"/>
            <w:gridSpan w:val="7"/>
            <w:shd w:val="clear" w:color="auto" w:fill="auto"/>
            <w:vAlign w:val="center"/>
          </w:tcPr>
          <w:p w:rsidR="008E648A" w:rsidRPr="001B449A" w:rsidRDefault="00C94020" w:rsidP="003E5B5D">
            <w:pPr>
              <w:keepNext/>
              <w:jc w:val="left"/>
              <w:rPr>
                <w:rFonts w:ascii="Arial Narrow" w:hAnsi="Arial Narrow"/>
                <w:b/>
                <w:color w:val="000000"/>
                <w:sz w:val="20"/>
                <w:szCs w:val="18"/>
              </w:rPr>
            </w:pPr>
            <w:r w:rsidRPr="001B449A">
              <w:rPr>
                <w:rFonts w:ascii="Arial Narrow" w:hAnsi="Arial Narrow"/>
                <w:b/>
                <w:color w:val="000000"/>
                <w:sz w:val="20"/>
                <w:szCs w:val="18"/>
              </w:rPr>
              <w:t xml:space="preserve">Chronic phase CML – </w:t>
            </w:r>
            <w:proofErr w:type="spellStart"/>
            <w:r w:rsidRPr="001B449A">
              <w:rPr>
                <w:rFonts w:ascii="Arial Narrow" w:hAnsi="Arial Narrow"/>
                <w:b/>
                <w:color w:val="000000"/>
                <w:sz w:val="20"/>
                <w:szCs w:val="18"/>
              </w:rPr>
              <w:t>MCyR</w:t>
            </w:r>
            <w:proofErr w:type="spellEnd"/>
            <w:r w:rsidRPr="001B449A">
              <w:rPr>
                <w:rFonts w:ascii="Arial Narrow" w:hAnsi="Arial Narrow"/>
                <w:b/>
                <w:color w:val="000000"/>
                <w:sz w:val="20"/>
                <w:szCs w:val="18"/>
              </w:rPr>
              <w:t xml:space="preserve"> for patients with the T315I mutation</w:t>
            </w:r>
            <w:r w:rsidR="00057716" w:rsidRPr="001B449A">
              <w:rPr>
                <w:rFonts w:ascii="Arial Narrow" w:hAnsi="Arial Narrow"/>
                <w:b/>
                <w:color w:val="000000"/>
                <w:sz w:val="20"/>
                <w:szCs w:val="18"/>
              </w:rPr>
              <w:t xml:space="preserve"> – second-line TKI</w:t>
            </w:r>
          </w:p>
        </w:tc>
      </w:tr>
      <w:tr w:rsidR="00C94020" w:rsidRPr="001B449A" w:rsidTr="0094068E">
        <w:tc>
          <w:tcPr>
            <w:tcW w:w="1117" w:type="pct"/>
            <w:shd w:val="clear" w:color="auto" w:fill="auto"/>
            <w:vAlign w:val="center"/>
          </w:tcPr>
          <w:p w:rsidR="00C94020" w:rsidRPr="001B449A" w:rsidRDefault="00C94020" w:rsidP="003E5B5D">
            <w:pPr>
              <w:keepNext/>
              <w:rPr>
                <w:rFonts w:ascii="Arial Narrow" w:hAnsi="Arial Narrow"/>
                <w:color w:val="000000"/>
                <w:sz w:val="20"/>
                <w:szCs w:val="18"/>
              </w:rPr>
            </w:pPr>
            <w:r w:rsidRPr="001B449A">
              <w:rPr>
                <w:rFonts w:ascii="Arial Narrow" w:hAnsi="Arial Narrow"/>
                <w:color w:val="000000"/>
                <w:sz w:val="20"/>
                <w:szCs w:val="18"/>
              </w:rPr>
              <w:t>PACE</w:t>
            </w:r>
          </w:p>
        </w:tc>
        <w:tc>
          <w:tcPr>
            <w:tcW w:w="675" w:type="pct"/>
            <w:vAlign w:val="center"/>
          </w:tcPr>
          <w:p w:rsidR="00C94020" w:rsidRPr="001B449A" w:rsidRDefault="00C54CAD" w:rsidP="003E5B5D">
            <w:pPr>
              <w:keepNext/>
              <w:jc w:val="center"/>
              <w:rPr>
                <w:rFonts w:ascii="Arial Narrow" w:hAnsi="Arial Narrow"/>
                <w:color w:val="000000"/>
                <w:sz w:val="20"/>
                <w:szCs w:val="18"/>
              </w:rPr>
            </w:pPr>
            <w:r w:rsidRPr="001B449A">
              <w:rPr>
                <w:rFonts w:ascii="Arial Narrow" w:hAnsi="Arial Narrow"/>
                <w:color w:val="000000"/>
                <w:sz w:val="20"/>
                <w:szCs w:val="18"/>
              </w:rPr>
              <w:t>10/11</w:t>
            </w:r>
          </w:p>
        </w:tc>
        <w:tc>
          <w:tcPr>
            <w:tcW w:w="675" w:type="pct"/>
            <w:tcBorders>
              <w:bottom w:val="single" w:sz="4" w:space="0" w:color="auto"/>
              <w:right w:val="single" w:sz="4" w:space="0" w:color="auto"/>
            </w:tcBorders>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left w:val="single" w:sz="4" w:space="0" w:color="auto"/>
              <w:bottom w:val="single" w:sz="4" w:space="0" w:color="auto"/>
              <w:right w:val="double" w:sz="4" w:space="0" w:color="auto"/>
            </w:tcBorders>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C94020" w:rsidRPr="001B449A" w:rsidRDefault="00C54CAD" w:rsidP="003E5B5D">
            <w:pPr>
              <w:keepNext/>
              <w:jc w:val="center"/>
              <w:rPr>
                <w:rFonts w:ascii="Arial Narrow" w:hAnsi="Arial Narrow"/>
                <w:color w:val="000000"/>
                <w:sz w:val="20"/>
                <w:szCs w:val="18"/>
              </w:rPr>
            </w:pPr>
            <w:r w:rsidRPr="001B449A">
              <w:rPr>
                <w:rFonts w:ascii="Arial Narrow" w:hAnsi="Arial Narrow"/>
                <w:color w:val="000000"/>
                <w:sz w:val="20"/>
                <w:szCs w:val="18"/>
              </w:rPr>
              <w:t>91</w:t>
            </w:r>
          </w:p>
        </w:tc>
        <w:tc>
          <w:tcPr>
            <w:tcW w:w="599" w:type="pct"/>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94020" w:rsidRPr="001B449A" w:rsidTr="0094068E">
        <w:tc>
          <w:tcPr>
            <w:tcW w:w="1117" w:type="pct"/>
            <w:shd w:val="clear" w:color="auto" w:fill="auto"/>
            <w:vAlign w:val="center"/>
          </w:tcPr>
          <w:p w:rsidR="00C94020" w:rsidRPr="001B449A" w:rsidRDefault="00C94020" w:rsidP="003E5B5D">
            <w:pPr>
              <w:keepNext/>
              <w:rPr>
                <w:rFonts w:ascii="Arial Narrow" w:hAnsi="Arial Narrow"/>
                <w:color w:val="000000"/>
                <w:sz w:val="20"/>
                <w:szCs w:val="18"/>
              </w:rPr>
            </w:pPr>
            <w:r w:rsidRPr="001B449A">
              <w:rPr>
                <w:rFonts w:ascii="Arial Narrow" w:hAnsi="Arial Narrow"/>
                <w:color w:val="000000"/>
                <w:sz w:val="20"/>
                <w:szCs w:val="18"/>
              </w:rPr>
              <w:t>Muller 2009</w:t>
            </w:r>
          </w:p>
        </w:tc>
        <w:tc>
          <w:tcPr>
            <w:tcW w:w="675" w:type="pct"/>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5" w:type="pct"/>
            <w:tcBorders>
              <w:bottom w:val="single" w:sz="4" w:space="0" w:color="auto"/>
              <w:right w:val="single" w:sz="4" w:space="0" w:color="auto"/>
            </w:tcBorders>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2/21</w:t>
            </w:r>
          </w:p>
        </w:tc>
        <w:tc>
          <w:tcPr>
            <w:tcW w:w="677" w:type="pct"/>
            <w:tcBorders>
              <w:left w:val="single" w:sz="4" w:space="0" w:color="auto"/>
              <w:bottom w:val="single" w:sz="4" w:space="0" w:color="auto"/>
              <w:right w:val="double" w:sz="4" w:space="0" w:color="auto"/>
            </w:tcBorders>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99" w:type="pct"/>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10</w:t>
            </w:r>
          </w:p>
        </w:tc>
        <w:tc>
          <w:tcPr>
            <w:tcW w:w="578" w:type="pct"/>
            <w:vAlign w:val="center"/>
          </w:tcPr>
          <w:p w:rsidR="00C94020" w:rsidRPr="001B449A" w:rsidRDefault="00C94020"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D4AA5" w:rsidRPr="001B449A" w:rsidTr="0094068E">
        <w:tc>
          <w:tcPr>
            <w:tcW w:w="5000" w:type="pct"/>
            <w:gridSpan w:val="7"/>
            <w:tcBorders>
              <w:top w:val="double" w:sz="4" w:space="0" w:color="auto"/>
            </w:tcBorders>
            <w:shd w:val="clear" w:color="auto" w:fill="auto"/>
            <w:vAlign w:val="center"/>
          </w:tcPr>
          <w:p w:rsidR="00CD4AA5" w:rsidRPr="001B449A" w:rsidRDefault="00CD4AA5" w:rsidP="003E5B5D">
            <w:pPr>
              <w:keepNext/>
              <w:rPr>
                <w:rFonts w:ascii="Arial Narrow" w:hAnsi="Arial Narrow"/>
                <w:b/>
                <w:color w:val="000000"/>
                <w:sz w:val="20"/>
                <w:szCs w:val="18"/>
              </w:rPr>
            </w:pPr>
            <w:r w:rsidRPr="001B449A">
              <w:rPr>
                <w:rFonts w:ascii="Arial Narrow" w:hAnsi="Arial Narrow"/>
                <w:b/>
                <w:color w:val="000000"/>
                <w:sz w:val="20"/>
                <w:szCs w:val="18"/>
              </w:rPr>
              <w:t>H</w:t>
            </w:r>
            <w:r w:rsidR="00824154" w:rsidRPr="001B449A">
              <w:rPr>
                <w:rFonts w:ascii="Arial Narrow" w:hAnsi="Arial Narrow"/>
                <w:b/>
                <w:color w:val="000000"/>
                <w:sz w:val="20"/>
                <w:szCs w:val="18"/>
              </w:rPr>
              <w:t>ARMS</w:t>
            </w:r>
          </w:p>
        </w:tc>
      </w:tr>
      <w:tr w:rsidR="00CD4AA5" w:rsidRPr="001B449A" w:rsidTr="0094068E">
        <w:tc>
          <w:tcPr>
            <w:tcW w:w="5000" w:type="pct"/>
            <w:gridSpan w:val="7"/>
            <w:shd w:val="clear" w:color="auto" w:fill="auto"/>
            <w:vAlign w:val="center"/>
          </w:tcPr>
          <w:p w:rsidR="00CD4AA5" w:rsidRPr="001B449A" w:rsidRDefault="00F00F59" w:rsidP="003E5B5D">
            <w:pPr>
              <w:keepNext/>
              <w:rPr>
                <w:rFonts w:ascii="Arial Narrow" w:hAnsi="Arial Narrow"/>
                <w:b/>
                <w:color w:val="000000"/>
                <w:sz w:val="20"/>
                <w:szCs w:val="18"/>
              </w:rPr>
            </w:pPr>
            <w:r w:rsidRPr="001B449A">
              <w:rPr>
                <w:rFonts w:ascii="Arial Narrow" w:hAnsi="Arial Narrow"/>
                <w:b/>
                <w:color w:val="000000"/>
                <w:sz w:val="20"/>
                <w:szCs w:val="18"/>
              </w:rPr>
              <w:t>Vascular occlusion</w:t>
            </w:r>
          </w:p>
        </w:tc>
      </w:tr>
      <w:tr w:rsidR="00C94020" w:rsidRPr="001B449A" w:rsidTr="0094068E">
        <w:tc>
          <w:tcPr>
            <w:tcW w:w="1117" w:type="pct"/>
            <w:shd w:val="clear" w:color="auto" w:fill="auto"/>
            <w:vAlign w:val="center"/>
          </w:tcPr>
          <w:p w:rsidR="00CD4AA5"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PACE</w:t>
            </w:r>
          </w:p>
        </w:tc>
        <w:tc>
          <w:tcPr>
            <w:tcW w:w="675" w:type="pct"/>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91/449</w:t>
            </w:r>
          </w:p>
        </w:tc>
        <w:tc>
          <w:tcPr>
            <w:tcW w:w="675" w:type="pct"/>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20</w:t>
            </w:r>
          </w:p>
        </w:tc>
        <w:tc>
          <w:tcPr>
            <w:tcW w:w="599" w:type="pct"/>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CD4AA5"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r w:rsidR="00C94020" w:rsidRPr="001B449A" w:rsidTr="0094068E">
        <w:tc>
          <w:tcPr>
            <w:tcW w:w="1117" w:type="pct"/>
            <w:shd w:val="clear" w:color="auto" w:fill="auto"/>
            <w:vAlign w:val="center"/>
          </w:tcPr>
          <w:p w:rsidR="00F00F59" w:rsidRPr="001B449A" w:rsidRDefault="00F00F59" w:rsidP="003E5B5D">
            <w:pPr>
              <w:keepNext/>
              <w:rPr>
                <w:rFonts w:ascii="Arial Narrow" w:hAnsi="Arial Narrow"/>
                <w:color w:val="000000"/>
                <w:sz w:val="20"/>
                <w:szCs w:val="18"/>
              </w:rPr>
            </w:pPr>
            <w:r w:rsidRPr="001B449A">
              <w:rPr>
                <w:rFonts w:ascii="Arial Narrow" w:hAnsi="Arial Narrow"/>
                <w:color w:val="000000"/>
                <w:sz w:val="20"/>
                <w:szCs w:val="18"/>
              </w:rPr>
              <w:t>Study 101</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28/81</w:t>
            </w:r>
          </w:p>
        </w:tc>
        <w:tc>
          <w:tcPr>
            <w:tcW w:w="675"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7" w:type="pct"/>
            <w:tcBorders>
              <w:righ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679" w:type="pct"/>
            <w:tcBorders>
              <w:left w:val="double" w:sz="4" w:space="0" w:color="auto"/>
            </w:tcBorders>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35</w:t>
            </w:r>
          </w:p>
        </w:tc>
        <w:tc>
          <w:tcPr>
            <w:tcW w:w="599"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c>
          <w:tcPr>
            <w:tcW w:w="578" w:type="pct"/>
            <w:vAlign w:val="center"/>
          </w:tcPr>
          <w:p w:rsidR="00F00F59" w:rsidRPr="001B449A" w:rsidRDefault="000F625D" w:rsidP="003E5B5D">
            <w:pPr>
              <w:keepNext/>
              <w:jc w:val="center"/>
              <w:rPr>
                <w:rFonts w:ascii="Arial Narrow" w:hAnsi="Arial Narrow"/>
                <w:color w:val="000000"/>
                <w:sz w:val="20"/>
                <w:szCs w:val="18"/>
              </w:rPr>
            </w:pPr>
            <w:r w:rsidRPr="001B449A">
              <w:rPr>
                <w:rFonts w:ascii="Arial Narrow" w:hAnsi="Arial Narrow"/>
                <w:color w:val="000000"/>
                <w:sz w:val="20"/>
                <w:szCs w:val="18"/>
              </w:rPr>
              <w:t>-</w:t>
            </w:r>
          </w:p>
        </w:tc>
      </w:tr>
    </w:tbl>
    <w:bookmarkEnd w:id="12"/>
    <w:p w:rsidR="00CD4AA5" w:rsidRPr="001B449A" w:rsidRDefault="00CD4AA5" w:rsidP="003E5B5D">
      <w:pPr>
        <w:pStyle w:val="TableFooter"/>
        <w:keepNext/>
        <w:ind w:firstLine="720"/>
      </w:pPr>
      <w:r w:rsidRPr="001B449A">
        <w:t>Source: Compiled during the evaluation</w:t>
      </w:r>
    </w:p>
    <w:p w:rsidR="00824154" w:rsidRPr="001B449A" w:rsidRDefault="00824154" w:rsidP="003B189B">
      <w:pPr>
        <w:pStyle w:val="TableFooter"/>
        <w:ind w:firstLine="720"/>
      </w:pPr>
      <w:r w:rsidRPr="001B449A">
        <w:t xml:space="preserve">CML = chronic myeloid leukaemia; </w:t>
      </w:r>
      <w:proofErr w:type="spellStart"/>
      <w:r w:rsidRPr="001B449A">
        <w:t>MCyR</w:t>
      </w:r>
      <w:proofErr w:type="spellEnd"/>
      <w:r w:rsidRPr="001B449A">
        <w:t xml:space="preserve"> = major cytogenetic response</w:t>
      </w:r>
      <w:r w:rsidR="00057716" w:rsidRPr="001B449A">
        <w:t>; TKI = tyrosine kinase inhibitor</w:t>
      </w:r>
    </w:p>
    <w:p w:rsidR="00CD4AA5" w:rsidRPr="001B449A" w:rsidRDefault="00CD4AA5" w:rsidP="00CD4AA5"/>
    <w:p w:rsidR="00CD4AA5" w:rsidRPr="001B449A" w:rsidRDefault="00AA546F" w:rsidP="00AB3220">
      <w:pPr>
        <w:pStyle w:val="ListParagraph"/>
        <w:widowControl/>
        <w:numPr>
          <w:ilvl w:val="1"/>
          <w:numId w:val="12"/>
        </w:numPr>
        <w:ind w:left="720" w:hanging="720"/>
        <w:rPr>
          <w:szCs w:val="22"/>
        </w:rPr>
      </w:pPr>
      <w:r w:rsidRPr="001B449A">
        <w:t>Based on single</w:t>
      </w:r>
      <w:r w:rsidR="000A1D90" w:rsidRPr="001B449A">
        <w:t>-</w:t>
      </w:r>
      <w:r w:rsidRPr="001B449A">
        <w:t xml:space="preserve">arm </w:t>
      </w:r>
      <w:r w:rsidR="008E648A" w:rsidRPr="001B449A">
        <w:t>non-</w:t>
      </w:r>
      <w:r w:rsidRPr="001B449A">
        <w:t>compar</w:t>
      </w:r>
      <w:r w:rsidR="008E648A" w:rsidRPr="001B449A">
        <w:t>ative</w:t>
      </w:r>
      <w:r w:rsidRPr="001B449A">
        <w:t xml:space="preserve"> evidence presented in the submission, it is not clear whether ponatinib is </w:t>
      </w:r>
      <w:r w:rsidR="000A1D90" w:rsidRPr="001B449A">
        <w:t xml:space="preserve">better or </w:t>
      </w:r>
      <w:r w:rsidRPr="001B449A">
        <w:t xml:space="preserve">worse than dasatinib or nilotinib in the treatment of </w:t>
      </w:r>
      <w:r w:rsidR="00706C30" w:rsidRPr="001B449A">
        <w:t xml:space="preserve">chronic phase </w:t>
      </w:r>
      <w:r w:rsidRPr="001B449A">
        <w:t>chronic myeloid leukaemia</w:t>
      </w:r>
      <w:r w:rsidR="00057716" w:rsidRPr="001B449A">
        <w:t>. Additionally, the ponatinib studies included patients with or without the T315</w:t>
      </w:r>
      <w:r w:rsidR="000B164C" w:rsidRPr="001B449A">
        <w:t>I</w:t>
      </w:r>
      <w:r w:rsidR="00057716" w:rsidRPr="001B449A">
        <w:t xml:space="preserve"> mutation and after failure of one to three </w:t>
      </w:r>
      <w:r w:rsidR="0014702C" w:rsidRPr="001B449A">
        <w:t>TKIs</w:t>
      </w:r>
      <w:r w:rsidR="00057716" w:rsidRPr="001B449A">
        <w:t xml:space="preserve">, while mutation status in the </w:t>
      </w:r>
      <w:r w:rsidR="006E4696" w:rsidRPr="001B449A">
        <w:t xml:space="preserve">dasatinib and </w:t>
      </w:r>
      <w:r w:rsidR="00057716" w:rsidRPr="001B449A">
        <w:t xml:space="preserve">nilotinib studies was unclear (and likely to be lower as ponatinib trial preferentially included patients with </w:t>
      </w:r>
      <w:r w:rsidR="000B164C" w:rsidRPr="001B449A">
        <w:t>the</w:t>
      </w:r>
      <w:r w:rsidR="00057716" w:rsidRPr="001B449A">
        <w:t xml:space="preserve"> mutation) and after failure of two or more </w:t>
      </w:r>
      <w:r w:rsidR="0014702C" w:rsidRPr="001B449A">
        <w:t>TKIs</w:t>
      </w:r>
      <w:r w:rsidR="00057716" w:rsidRPr="001B449A">
        <w:t>.</w:t>
      </w:r>
      <w:r w:rsidR="00C94020" w:rsidRPr="001B449A">
        <w:t xml:space="preserve"> </w:t>
      </w:r>
    </w:p>
    <w:p w:rsidR="00AA546F" w:rsidRPr="001B449A" w:rsidRDefault="00AA546F" w:rsidP="009F0D55">
      <w:pPr>
        <w:pStyle w:val="ListParagraph"/>
        <w:widowControl/>
        <w:numPr>
          <w:ilvl w:val="0"/>
          <w:numId w:val="1"/>
        </w:numPr>
        <w:ind w:left="1004" w:hanging="284"/>
      </w:pPr>
      <w:r w:rsidRPr="001B449A">
        <w:t xml:space="preserve">For </w:t>
      </w:r>
      <w:r w:rsidR="00824154" w:rsidRPr="001B449A">
        <w:t xml:space="preserve">chronic phase </w:t>
      </w:r>
      <w:r w:rsidRPr="001B449A">
        <w:t>chronic myeloid leukaemia, the outcome assessed w</w:t>
      </w:r>
      <w:r w:rsidR="003B189B" w:rsidRPr="001B449A">
        <w:t>as</w:t>
      </w:r>
      <w:r w:rsidRPr="001B449A">
        <w:t xml:space="preserve"> </w:t>
      </w:r>
      <w:r w:rsidR="00824154" w:rsidRPr="001B449A">
        <w:t>major</w:t>
      </w:r>
      <w:r w:rsidRPr="001B449A">
        <w:t xml:space="preserve"> cytogenetic response. </w:t>
      </w:r>
    </w:p>
    <w:p w:rsidR="00706C30" w:rsidRPr="001B449A" w:rsidRDefault="00706C30" w:rsidP="00033821">
      <w:pPr>
        <w:widowControl/>
        <w:ind w:left="720"/>
      </w:pPr>
    </w:p>
    <w:p w:rsidR="00706C30" w:rsidRPr="001B449A" w:rsidRDefault="00706C30" w:rsidP="009F0D55">
      <w:pPr>
        <w:pStyle w:val="ListParagraph"/>
        <w:widowControl/>
        <w:numPr>
          <w:ilvl w:val="0"/>
          <w:numId w:val="13"/>
        </w:numPr>
        <w:ind w:left="1004" w:hanging="284"/>
      </w:pPr>
      <w:r w:rsidRPr="001B449A">
        <w:t>Based on single-arm non-comparative evidence presented in the submission,</w:t>
      </w:r>
      <w:r w:rsidR="00495D02">
        <w:t xml:space="preserve"> and supportive mechanistic evidence,</w:t>
      </w:r>
      <w:r w:rsidRPr="001B449A">
        <w:t xml:space="preserve"> ponatinib </w:t>
      </w:r>
      <w:r w:rsidR="00D837BA">
        <w:t xml:space="preserve">has efficacy </w:t>
      </w:r>
      <w:r w:rsidR="00632AB2" w:rsidRPr="001B449A">
        <w:t>as second-line</w:t>
      </w:r>
      <w:r w:rsidRPr="001B449A">
        <w:t xml:space="preserve"> treatment of chronic phase chronic myeloid leukaemia in p</w:t>
      </w:r>
      <w:r w:rsidR="00D837BA">
        <w:t>atients with the T315I mutation</w:t>
      </w:r>
      <w:r w:rsidR="0017149B">
        <w:t xml:space="preserve">. In contrast, </w:t>
      </w:r>
      <w:r w:rsidR="00D837BA">
        <w:t xml:space="preserve">dasatinib and nilotinib are now </w:t>
      </w:r>
      <w:r w:rsidR="0017149B">
        <w:t xml:space="preserve">not </w:t>
      </w:r>
      <w:r w:rsidR="00D837BA">
        <w:t xml:space="preserve">considered </w:t>
      </w:r>
      <w:r w:rsidR="0017149B">
        <w:t xml:space="preserve">appropriate treatments for </w:t>
      </w:r>
      <w:r w:rsidRPr="001B449A">
        <w:t>chronic phase chronic myeloid leukaemia with the T315I mutation.</w:t>
      </w:r>
    </w:p>
    <w:p w:rsidR="008E648A" w:rsidRPr="001B449A" w:rsidRDefault="008E648A" w:rsidP="00033821">
      <w:pPr>
        <w:widowControl/>
        <w:ind w:left="720"/>
      </w:pPr>
    </w:p>
    <w:p w:rsidR="00AA546F" w:rsidRPr="001B449A" w:rsidRDefault="00AA546F" w:rsidP="003C46A7">
      <w:pPr>
        <w:pStyle w:val="ListParagraph"/>
        <w:widowControl/>
        <w:numPr>
          <w:ilvl w:val="1"/>
          <w:numId w:val="12"/>
        </w:numPr>
        <w:ind w:left="720" w:hanging="720"/>
      </w:pPr>
      <w:r w:rsidRPr="001B449A">
        <w:t>Based on single</w:t>
      </w:r>
      <w:r w:rsidR="000A1D90" w:rsidRPr="001B449A">
        <w:t>-</w:t>
      </w:r>
      <w:r w:rsidRPr="001B449A">
        <w:t xml:space="preserve">arm </w:t>
      </w:r>
      <w:r w:rsidR="004B6D7C" w:rsidRPr="001B449A">
        <w:t>evidence</w:t>
      </w:r>
      <w:r w:rsidR="00CB3A5A" w:rsidRPr="001B449A">
        <w:t xml:space="preserve"> from ponatinib studies and long-term experience with dasatinib and nilotinib for the treatment of patients with chronic myeloid leukaemia</w:t>
      </w:r>
      <w:r w:rsidR="004B6D7C" w:rsidRPr="001B449A">
        <w:t>,</w:t>
      </w:r>
      <w:r w:rsidR="00495D02">
        <w:t xml:space="preserve"> ponatinib is </w:t>
      </w:r>
      <w:r w:rsidR="005B36E1">
        <w:t>associated with</w:t>
      </w:r>
      <w:r w:rsidRPr="001B449A">
        <w:t xml:space="preserve"> a higher frequency of </w:t>
      </w:r>
      <w:r w:rsidR="00FF394F" w:rsidRPr="001B449A">
        <w:t>vascular occlusive events</w:t>
      </w:r>
      <w:r w:rsidRPr="001B449A">
        <w:t xml:space="preserve"> than nilotinib </w:t>
      </w:r>
      <w:r w:rsidR="00CB3A5A" w:rsidRPr="001B449A">
        <w:t xml:space="preserve">and dasatinib </w:t>
      </w:r>
      <w:r w:rsidRPr="001B449A">
        <w:t>in the treatment of chronic myeloid leukaemia</w:t>
      </w:r>
      <w:r w:rsidR="00B047AE" w:rsidRPr="001B449A">
        <w:t xml:space="preserve"> and Philadelphia chromosome positive acute lymphoblastic leukaemia in patients w</w:t>
      </w:r>
      <w:r w:rsidR="008E648A" w:rsidRPr="001B449A">
        <w:t>ith and without</w:t>
      </w:r>
      <w:r w:rsidR="00B047AE" w:rsidRPr="001B449A">
        <w:t xml:space="preserve"> the T315I </w:t>
      </w:r>
      <w:r w:rsidR="008E648A" w:rsidRPr="001B449A">
        <w:t>mutation</w:t>
      </w:r>
      <w:r w:rsidR="00B047AE" w:rsidRPr="001B449A">
        <w:t>.</w:t>
      </w:r>
      <w:r w:rsidR="0017149B">
        <w:t xml:space="preserve"> </w:t>
      </w:r>
      <w:r w:rsidR="007C2FC5" w:rsidRPr="001B449A">
        <w:t>L</w:t>
      </w:r>
      <w:r w:rsidR="009E402F" w:rsidRPr="001B449A">
        <w:t>ong-term e</w:t>
      </w:r>
      <w:r w:rsidR="00CB3A5A" w:rsidRPr="001B449A">
        <w:t>xperience</w:t>
      </w:r>
      <w:r w:rsidR="009E402F" w:rsidRPr="001B449A">
        <w:t xml:space="preserve"> </w:t>
      </w:r>
      <w:r w:rsidR="007C2FC5" w:rsidRPr="001B449A">
        <w:t>for</w:t>
      </w:r>
      <w:r w:rsidR="009E402F" w:rsidRPr="001B449A">
        <w:t xml:space="preserve"> </w:t>
      </w:r>
      <w:r w:rsidR="00F720C6" w:rsidRPr="001B449A">
        <w:t xml:space="preserve">dasatinib and nilotinib </w:t>
      </w:r>
      <w:r w:rsidR="009E402F" w:rsidRPr="001B449A">
        <w:t xml:space="preserve">in first- and second-line treatment </w:t>
      </w:r>
      <w:r w:rsidR="00F720C6" w:rsidRPr="001B449A">
        <w:t>ha</w:t>
      </w:r>
      <w:r w:rsidR="009E402F" w:rsidRPr="001B449A">
        <w:t>s</w:t>
      </w:r>
      <w:r w:rsidR="00F720C6" w:rsidRPr="001B449A">
        <w:t xml:space="preserve"> not </w:t>
      </w:r>
      <w:r w:rsidR="009E402F" w:rsidRPr="001B449A">
        <w:t>indicated a high risk of vascular occlusive events</w:t>
      </w:r>
      <w:r w:rsidRPr="001B449A">
        <w:t>.</w:t>
      </w:r>
    </w:p>
    <w:p w:rsidR="00CD4AA5" w:rsidRPr="001B449A" w:rsidRDefault="00CD4AA5" w:rsidP="00CD4AA5"/>
    <w:p w:rsidR="00CD4AA5" w:rsidRPr="00976978" w:rsidRDefault="00CD4AA5" w:rsidP="00976978">
      <w:pPr>
        <w:rPr>
          <w:b/>
          <w:szCs w:val="22"/>
        </w:rPr>
      </w:pPr>
      <w:bookmarkStart w:id="13" w:name="_Toc398282533"/>
      <w:r w:rsidRPr="00976978">
        <w:rPr>
          <w:b/>
          <w:szCs w:val="22"/>
        </w:rPr>
        <w:t>Clinical claim</w:t>
      </w:r>
      <w:bookmarkEnd w:id="13"/>
    </w:p>
    <w:p w:rsidR="00CD4AA5" w:rsidRPr="001B449A" w:rsidRDefault="00CD4AA5" w:rsidP="00B32047">
      <w:pPr>
        <w:pStyle w:val="BodyText"/>
      </w:pPr>
    </w:p>
    <w:p w:rsidR="00CD4AA5" w:rsidRPr="004D3770" w:rsidRDefault="00543805" w:rsidP="00AB3220">
      <w:pPr>
        <w:pStyle w:val="ListParagraph"/>
        <w:widowControl/>
        <w:numPr>
          <w:ilvl w:val="1"/>
          <w:numId w:val="12"/>
        </w:numPr>
        <w:ind w:left="720" w:hanging="720"/>
      </w:pPr>
      <w:r>
        <w:t>The submission described</w:t>
      </w:r>
      <w:r w:rsidR="00CD4AA5" w:rsidRPr="004D3770">
        <w:t xml:space="preserve"> ponatinib as non-inferior in terms of comparative effectiveness to dasatinib an</w:t>
      </w:r>
      <w:r>
        <w:t>d nilotinib. The submission did</w:t>
      </w:r>
      <w:r w:rsidR="00CD4AA5" w:rsidRPr="004D3770">
        <w:t xml:space="preserve"> not make a claim in terms of the comparative safety of ponatinib to dasatinib and nilotinib, however it </w:t>
      </w:r>
      <w:r>
        <w:t>stated</w:t>
      </w:r>
      <w:r w:rsidR="00CD4AA5" w:rsidRPr="004D3770">
        <w:t xml:space="preserve"> that </w:t>
      </w:r>
      <w:r w:rsidR="00CD4AA5" w:rsidRPr="004D3770">
        <w:lastRenderedPageBreak/>
        <w:t xml:space="preserve">the </w:t>
      </w:r>
      <w:r w:rsidR="000A1D90" w:rsidRPr="004D3770">
        <w:t xml:space="preserve">adverse </w:t>
      </w:r>
      <w:r w:rsidR="00CD4AA5" w:rsidRPr="004D3770">
        <w:t xml:space="preserve">cardiovascular issues appear to be a class effect (particularly with nilotinib), which require ongoing monitoring and management of patients.  </w:t>
      </w:r>
    </w:p>
    <w:p w:rsidR="00CD4AA5" w:rsidRPr="004D3770" w:rsidRDefault="00CD4AA5" w:rsidP="00CD4AA5"/>
    <w:p w:rsidR="00CD4AA5" w:rsidRPr="004D3770" w:rsidRDefault="00CD4AA5" w:rsidP="00AB3220">
      <w:pPr>
        <w:pStyle w:val="ListParagraph"/>
        <w:widowControl/>
        <w:numPr>
          <w:ilvl w:val="1"/>
          <w:numId w:val="12"/>
        </w:numPr>
        <w:ind w:left="720" w:hanging="720"/>
      </w:pPr>
      <w:r w:rsidRPr="004D3770">
        <w:t>This claim is not adequately supported</w:t>
      </w:r>
      <w:r w:rsidR="00EB435F">
        <w:t xml:space="preserve"> because:</w:t>
      </w:r>
    </w:p>
    <w:p w:rsidR="00CD4AA5" w:rsidRPr="004D3770" w:rsidRDefault="00CD4AA5" w:rsidP="009F0D55">
      <w:pPr>
        <w:pStyle w:val="ListParagraph"/>
        <w:numPr>
          <w:ilvl w:val="0"/>
          <w:numId w:val="2"/>
        </w:numPr>
        <w:ind w:left="1004" w:hanging="284"/>
      </w:pPr>
      <w:r w:rsidRPr="004D3770">
        <w:t>There is no direct evidence available for the comparative efficacy and safety of ponatinib v</w:t>
      </w:r>
      <w:r w:rsidR="00EC1080" w:rsidRPr="004D3770">
        <w:t>ersus</w:t>
      </w:r>
      <w:r w:rsidRPr="004D3770">
        <w:t xml:space="preserve"> dasatinib or nilotinib</w:t>
      </w:r>
      <w:r w:rsidR="00EB435F">
        <w:t>.</w:t>
      </w:r>
    </w:p>
    <w:p w:rsidR="00CD4AA5" w:rsidRPr="004D3770" w:rsidRDefault="00CD4AA5" w:rsidP="009F0D55">
      <w:pPr>
        <w:pStyle w:val="ListParagraph"/>
        <w:numPr>
          <w:ilvl w:val="0"/>
          <w:numId w:val="2"/>
        </w:numPr>
        <w:ind w:left="1004" w:hanging="284"/>
      </w:pPr>
      <w:r w:rsidRPr="004D3770">
        <w:t>Dasatinib and nilotinib may not be suitable comparators for ponatinib</w:t>
      </w:r>
      <w:r w:rsidR="00234D40" w:rsidRPr="004D3770">
        <w:t>.</w:t>
      </w:r>
      <w:r w:rsidRPr="004D3770">
        <w:t xml:space="preserve"> Stem cell transplantation or best supportive care may have be</w:t>
      </w:r>
      <w:r w:rsidR="00E31E76" w:rsidRPr="004D3770">
        <w:t>en more appropriate comparators, particularly in 4</w:t>
      </w:r>
      <w:r w:rsidR="00E31E76" w:rsidRPr="004D3770">
        <w:rPr>
          <w:vertAlign w:val="superscript"/>
        </w:rPr>
        <w:t>th</w:t>
      </w:r>
      <w:r w:rsidR="00E31E76" w:rsidRPr="004D3770">
        <w:t xml:space="preserve"> line therapy and in patients with the T315I mutation.</w:t>
      </w:r>
    </w:p>
    <w:p w:rsidR="00CD4AA5" w:rsidRPr="004D3770" w:rsidRDefault="00CD4AA5" w:rsidP="00EB435F">
      <w:pPr>
        <w:widowControl/>
      </w:pPr>
    </w:p>
    <w:p w:rsidR="00CD4AA5" w:rsidRPr="004D3770" w:rsidRDefault="00543805" w:rsidP="00AB3220">
      <w:pPr>
        <w:pStyle w:val="ListParagraph"/>
        <w:widowControl/>
        <w:numPr>
          <w:ilvl w:val="1"/>
          <w:numId w:val="12"/>
        </w:numPr>
        <w:ind w:left="720" w:hanging="720"/>
        <w:rPr>
          <w:szCs w:val="22"/>
        </w:rPr>
      </w:pPr>
      <w:r>
        <w:t>The submission did</w:t>
      </w:r>
      <w:r w:rsidR="00CD4AA5" w:rsidRPr="004D3770">
        <w:t xml:space="preserve"> not provide a comparative claim for safety</w:t>
      </w:r>
      <w:r w:rsidR="004B6D7C" w:rsidRPr="004D3770">
        <w:t xml:space="preserve">. The submission </w:t>
      </w:r>
      <w:r>
        <w:t>mentioned</w:t>
      </w:r>
      <w:r w:rsidR="00CD4AA5" w:rsidRPr="004D3770">
        <w:t xml:space="preserve"> that the </w:t>
      </w:r>
      <w:r w:rsidR="00157EC1" w:rsidRPr="004D3770">
        <w:t xml:space="preserve">adverse </w:t>
      </w:r>
      <w:r w:rsidR="00CD4AA5" w:rsidRPr="004D3770">
        <w:t xml:space="preserve">cardiovascular </w:t>
      </w:r>
      <w:r w:rsidR="00157EC1" w:rsidRPr="004D3770">
        <w:t xml:space="preserve">events </w:t>
      </w:r>
      <w:r w:rsidR="00CD4AA5" w:rsidRPr="004D3770">
        <w:t>may be a class effect</w:t>
      </w:r>
      <w:r w:rsidR="004B6D7C" w:rsidRPr="004D3770">
        <w:t xml:space="preserve"> and that the precaution in the proposed </w:t>
      </w:r>
      <w:r w:rsidR="0043784A" w:rsidRPr="004D3770">
        <w:t xml:space="preserve">Product Information </w:t>
      </w:r>
      <w:r w:rsidR="004B6D7C" w:rsidRPr="004D3770">
        <w:t>will minimise the use of ponatinib in high risk patients</w:t>
      </w:r>
      <w:r w:rsidR="00CD4AA5" w:rsidRPr="004D3770">
        <w:t xml:space="preserve">. This may not be reasonable as dasatinib </w:t>
      </w:r>
      <w:r w:rsidR="008F0C5F" w:rsidRPr="004D3770">
        <w:t xml:space="preserve">and nilotinib </w:t>
      </w:r>
      <w:r w:rsidR="00CB3A5A" w:rsidRPr="004D3770">
        <w:t>have not been</w:t>
      </w:r>
      <w:r w:rsidR="00CD4AA5" w:rsidRPr="004D3770">
        <w:t xml:space="preserve"> associated with vascular occlusive events </w:t>
      </w:r>
      <w:r w:rsidR="008E34DD" w:rsidRPr="004D3770">
        <w:t xml:space="preserve">to </w:t>
      </w:r>
      <w:r w:rsidR="00ED143D" w:rsidRPr="004D3770">
        <w:t>the same extent as ponatinib, but rather with cardiac arrhythmias secondary to long QT syndrome.  Furthermore, as noted in the FDA Risk Evaluation and Mitigation Strategy, vascular occlusive events were observed with ponatinib even in patients without vascular risk factors in the phase II trial (16% in those without vascular risk factors vs 33% in those with vascular risk factors)</w:t>
      </w:r>
    </w:p>
    <w:p w:rsidR="00151BF6" w:rsidRDefault="00ED143D" w:rsidP="00ED143D">
      <w:pPr>
        <w:pStyle w:val="ListParagraph"/>
        <w:widowControl/>
      </w:pPr>
      <w:r w:rsidRPr="00151BF6">
        <w:t>(</w:t>
      </w:r>
      <w:r w:rsidR="009177B9" w:rsidRPr="00084612">
        <w:t>http://www.fda.gov/downloads/drugs/drugsafety/postmarketdrugsafetyinformationforpatientsandproviders/ucm379551.pdf</w:t>
      </w:r>
      <w:r w:rsidRPr="00151BF6">
        <w:t>).</w:t>
      </w:r>
      <w:r w:rsidR="009177B9" w:rsidRPr="004D3770">
        <w:t xml:space="preserve"> </w:t>
      </w:r>
      <w:r w:rsidR="00543805" w:rsidRPr="004D3770">
        <w:t>The ESC noted that cardiac events included vascular occlusion, QT prolongation and arrhythmia.  The ESC considered that ponatinib is likely to have a higher risk of vascular occlusive events than dasatinib and nilotinib</w:t>
      </w:r>
      <w:r w:rsidR="00543805">
        <w:t>.</w:t>
      </w:r>
    </w:p>
    <w:p w:rsidR="005B36E1" w:rsidRPr="00543805" w:rsidRDefault="005B36E1" w:rsidP="00543805">
      <w:pPr>
        <w:pStyle w:val="ListParagraph"/>
        <w:widowControl/>
        <w:rPr>
          <w:szCs w:val="22"/>
        </w:rPr>
      </w:pPr>
    </w:p>
    <w:p w:rsidR="005B36E1" w:rsidRPr="004D3770" w:rsidRDefault="005B36E1" w:rsidP="00AB3220">
      <w:pPr>
        <w:pStyle w:val="ListParagraph"/>
        <w:widowControl/>
        <w:numPr>
          <w:ilvl w:val="1"/>
          <w:numId w:val="12"/>
        </w:numPr>
        <w:ind w:left="720" w:hanging="720"/>
        <w:rPr>
          <w:szCs w:val="22"/>
        </w:rPr>
      </w:pPr>
      <w:r>
        <w:rPr>
          <w:szCs w:val="22"/>
        </w:rPr>
        <w:t xml:space="preserve">The </w:t>
      </w:r>
      <w:r w:rsidR="00CD2884">
        <w:rPr>
          <w:szCs w:val="22"/>
        </w:rPr>
        <w:t xml:space="preserve">PBAC </w:t>
      </w:r>
      <w:r w:rsidRPr="005B36E1">
        <w:rPr>
          <w:szCs w:val="22"/>
        </w:rPr>
        <w:t>considered that ponatinib is active in T315I mutant CML whereas dasatinib and nilotinib are not, that ponatinib has apparently similar efficacy in patients with CML who have failed (including intolerance) both dasatinib and nilotinib as observed for dasatinib and nilotinib in patients who had failed imatinib, and induces responses in patients with re</w:t>
      </w:r>
      <w:r>
        <w:rPr>
          <w:szCs w:val="22"/>
        </w:rPr>
        <w:t xml:space="preserve">lapsed or refractory T315I </w:t>
      </w:r>
      <w:proofErr w:type="spellStart"/>
      <w:r>
        <w:rPr>
          <w:szCs w:val="22"/>
        </w:rPr>
        <w:t>Ph</w:t>
      </w:r>
      <w:proofErr w:type="spellEnd"/>
      <w:r>
        <w:rPr>
          <w:szCs w:val="22"/>
        </w:rPr>
        <w:t xml:space="preserve">+ </w:t>
      </w:r>
      <w:r w:rsidRPr="005B36E1">
        <w:rPr>
          <w:szCs w:val="22"/>
        </w:rPr>
        <w:t xml:space="preserve"> ALL. </w:t>
      </w:r>
      <w:r>
        <w:rPr>
          <w:szCs w:val="22"/>
        </w:rPr>
        <w:t xml:space="preserve">The </w:t>
      </w:r>
      <w:r w:rsidRPr="005B36E1">
        <w:rPr>
          <w:szCs w:val="22"/>
        </w:rPr>
        <w:t>PBAC considered that these comparative benefits over dasatinib and nilotinib for the select group of patients relevant to this application need to be weighed against the inferior safety profile of ponatinib compared to dasatinib and nilotinib.</w:t>
      </w:r>
    </w:p>
    <w:p w:rsidR="00363B72" w:rsidRPr="001B449A" w:rsidRDefault="00363B72" w:rsidP="005B36E1">
      <w:pPr>
        <w:rPr>
          <w:szCs w:val="22"/>
        </w:rPr>
      </w:pPr>
    </w:p>
    <w:p w:rsidR="00CD4AA5" w:rsidRPr="00976978" w:rsidRDefault="00CD4AA5" w:rsidP="00976978">
      <w:pPr>
        <w:rPr>
          <w:b/>
          <w:szCs w:val="22"/>
        </w:rPr>
      </w:pPr>
      <w:bookmarkStart w:id="14" w:name="_Toc398282534"/>
      <w:r w:rsidRPr="00976978">
        <w:rPr>
          <w:b/>
          <w:szCs w:val="22"/>
        </w:rPr>
        <w:t>Economic analysis</w:t>
      </w:r>
      <w:bookmarkEnd w:id="14"/>
      <w:r w:rsidRPr="00976978">
        <w:rPr>
          <w:b/>
          <w:szCs w:val="22"/>
        </w:rPr>
        <w:t xml:space="preserve"> </w:t>
      </w:r>
    </w:p>
    <w:p w:rsidR="00CD4AA5" w:rsidRPr="001B449A" w:rsidRDefault="00CD4AA5" w:rsidP="00CD4AA5">
      <w:pPr>
        <w:ind w:left="720" w:hanging="720"/>
        <w:rPr>
          <w:szCs w:val="22"/>
        </w:rPr>
      </w:pPr>
    </w:p>
    <w:p w:rsidR="009177B9" w:rsidRPr="004D3770" w:rsidRDefault="006E4D54" w:rsidP="00AB3220">
      <w:pPr>
        <w:pStyle w:val="ListParagraph"/>
        <w:widowControl/>
        <w:numPr>
          <w:ilvl w:val="1"/>
          <w:numId w:val="12"/>
        </w:numPr>
        <w:ind w:left="720" w:hanging="720"/>
      </w:pPr>
      <w:r>
        <w:t>The submission presented</w:t>
      </w:r>
      <w:r w:rsidR="00CD4AA5" w:rsidRPr="004D3770">
        <w:t xml:space="preserve"> a cost minimisation analysis for ponatinib.</w:t>
      </w:r>
      <w:r w:rsidR="009177B9" w:rsidRPr="004D3770">
        <w:t xml:space="preserve"> The ESC considered that </w:t>
      </w:r>
      <w:r w:rsidR="00F85293" w:rsidRPr="004D3770">
        <w:t>the clinical evidence</w:t>
      </w:r>
      <w:r w:rsidR="009177B9" w:rsidRPr="004D3770">
        <w:t xml:space="preserve"> did not</w:t>
      </w:r>
      <w:r w:rsidR="00090D1C">
        <w:t xml:space="preserve"> adequately</w:t>
      </w:r>
      <w:r w:rsidR="009177B9" w:rsidRPr="004D3770">
        <w:t xml:space="preserve"> support such an economic evaluation</w:t>
      </w:r>
      <w:r w:rsidR="00090D1C">
        <w:t xml:space="preserve"> because</w:t>
      </w:r>
      <w:r w:rsidR="009177B9" w:rsidRPr="004D3770">
        <w:t>:</w:t>
      </w:r>
    </w:p>
    <w:p w:rsidR="009177B9" w:rsidRPr="004D3770" w:rsidRDefault="009177B9" w:rsidP="00537221">
      <w:pPr>
        <w:pStyle w:val="ListParagraph"/>
        <w:numPr>
          <w:ilvl w:val="0"/>
          <w:numId w:val="2"/>
        </w:numPr>
        <w:ind w:left="1004" w:hanging="284"/>
      </w:pPr>
      <w:r w:rsidRPr="004D3770">
        <w:t>the clinical place of therapy may not support the choice of comparator</w:t>
      </w:r>
    </w:p>
    <w:p w:rsidR="009177B9" w:rsidRPr="004D3770" w:rsidRDefault="009177B9" w:rsidP="00537221">
      <w:pPr>
        <w:pStyle w:val="ListParagraph"/>
        <w:numPr>
          <w:ilvl w:val="0"/>
          <w:numId w:val="2"/>
        </w:numPr>
        <w:ind w:left="1004" w:hanging="284"/>
      </w:pPr>
      <w:r w:rsidRPr="004D3770">
        <w:t xml:space="preserve">the clinical evidence does not support the claim that ponatinib is non-inferior to dasatinib and nilotinib for efficacy </w:t>
      </w:r>
    </w:p>
    <w:p w:rsidR="008A503C" w:rsidRPr="004D3770" w:rsidRDefault="009177B9" w:rsidP="008A503C">
      <w:pPr>
        <w:pStyle w:val="ListParagraph"/>
        <w:numPr>
          <w:ilvl w:val="0"/>
          <w:numId w:val="2"/>
        </w:numPr>
        <w:ind w:left="1004" w:hanging="284"/>
      </w:pPr>
      <w:r w:rsidRPr="004D3770">
        <w:t xml:space="preserve">ponatinib appears to be inferior to dasatinib and nilotinib for safety regarding vascular occlusive events; </w:t>
      </w:r>
    </w:p>
    <w:p w:rsidR="008854E0" w:rsidRPr="004D3770" w:rsidRDefault="008854E0" w:rsidP="00F41195">
      <w:pPr>
        <w:widowControl/>
        <w:rPr>
          <w:szCs w:val="22"/>
        </w:rPr>
      </w:pPr>
    </w:p>
    <w:p w:rsidR="008A503C" w:rsidRPr="004B073D" w:rsidRDefault="008A503C" w:rsidP="008B06D2">
      <w:pPr>
        <w:pStyle w:val="ListParagraph"/>
        <w:widowControl/>
        <w:numPr>
          <w:ilvl w:val="1"/>
          <w:numId w:val="12"/>
        </w:numPr>
        <w:ind w:left="720" w:hanging="720"/>
        <w:rPr>
          <w:szCs w:val="22"/>
        </w:rPr>
      </w:pPr>
      <w:r w:rsidRPr="008A503C">
        <w:rPr>
          <w:szCs w:val="22"/>
        </w:rPr>
        <w:t xml:space="preserve">The PBAC considered that a cost minimisation analysis was problematic given the expected clinical place of ponatinib and the treatments most likely to be replaced. Nevertheless, it considered that benchmarking against nilotinib and dasatinib in second and subsequent line therapy in CML was a reasonable basis for establishing </w:t>
      </w:r>
      <w:r w:rsidRPr="008A503C">
        <w:rPr>
          <w:szCs w:val="22"/>
        </w:rPr>
        <w:lastRenderedPageBreak/>
        <w:t>a cost-effective price for ponatinib, given the similarities between introduction of ponatinib in 2014/5 and the applications for dasatinib and nilotinib for patients with imatinib failure in 2007 and 2008</w:t>
      </w:r>
      <w:r>
        <w:rPr>
          <w:szCs w:val="22"/>
        </w:rPr>
        <w:t>.</w:t>
      </w:r>
      <w:r w:rsidR="008551E7">
        <w:rPr>
          <w:szCs w:val="22"/>
        </w:rPr>
        <w:t xml:space="preserve"> </w:t>
      </w:r>
      <w:r w:rsidRPr="008551E7">
        <w:rPr>
          <w:szCs w:val="22"/>
        </w:rPr>
        <w:t>However, the PBAC also considered that it was essential to acc</w:t>
      </w:r>
      <w:r w:rsidRPr="00250A57">
        <w:rPr>
          <w:szCs w:val="22"/>
        </w:rPr>
        <w:t>ount for the costs of excessive vascular occlusive events seen with ponatinib in determining a benchmarked price that ensured ponatinib use was no more expensive than use of dasatinib or nilotinib</w:t>
      </w:r>
      <w:r w:rsidRPr="004B073D">
        <w:rPr>
          <w:szCs w:val="22"/>
        </w:rPr>
        <w:t xml:space="preserve"> in patients who had failed treatment with imatinib.</w:t>
      </w:r>
    </w:p>
    <w:p w:rsidR="008A503C" w:rsidRPr="008A503C" w:rsidRDefault="008A503C" w:rsidP="008A503C">
      <w:pPr>
        <w:widowControl/>
        <w:rPr>
          <w:szCs w:val="22"/>
        </w:rPr>
      </w:pPr>
    </w:p>
    <w:p w:rsidR="00CD4AA5" w:rsidRPr="004D3770" w:rsidRDefault="006E4D54" w:rsidP="00AB3220">
      <w:pPr>
        <w:pStyle w:val="ListParagraph"/>
        <w:widowControl/>
        <w:numPr>
          <w:ilvl w:val="1"/>
          <w:numId w:val="12"/>
        </w:numPr>
        <w:ind w:left="720" w:hanging="720"/>
        <w:rPr>
          <w:szCs w:val="22"/>
        </w:rPr>
      </w:pPr>
      <w:r>
        <w:t>The equi-effective doses were</w:t>
      </w:r>
      <w:r w:rsidR="00CD4AA5" w:rsidRPr="004D3770">
        <w:t xml:space="preserve"> estimated </w:t>
      </w:r>
      <w:r w:rsidR="008E10DE">
        <w:t xml:space="preserve">by the sponsor </w:t>
      </w:r>
      <w:r w:rsidR="00CD4AA5" w:rsidRPr="004D3770">
        <w:t>as:</w:t>
      </w:r>
    </w:p>
    <w:p w:rsidR="00CD4AA5" w:rsidRPr="004D3770" w:rsidRDefault="00CD4AA5" w:rsidP="00CD4AA5">
      <w:pPr>
        <w:pStyle w:val="ListParagraph"/>
      </w:pPr>
    </w:p>
    <w:p w:rsidR="00CD4AA5" w:rsidRPr="004D3770" w:rsidRDefault="00CD4AA5" w:rsidP="000B164C">
      <w:pPr>
        <w:widowControl/>
        <w:ind w:firstLine="720"/>
        <w:jc w:val="center"/>
      </w:pPr>
      <w:r w:rsidRPr="004D3770">
        <w:t>Ponatinib 30.2 mg daily = Dasatinib 111.0 mg daily = Nilotinib 792.1 mg daily</w:t>
      </w:r>
    </w:p>
    <w:p w:rsidR="00CD4AA5" w:rsidRPr="004D3770" w:rsidRDefault="00CD4AA5" w:rsidP="00CD4AA5">
      <w:pPr>
        <w:widowControl/>
      </w:pPr>
      <w:r w:rsidRPr="004D3770">
        <w:tab/>
      </w:r>
    </w:p>
    <w:p w:rsidR="008E10DE" w:rsidRDefault="00CD4AA5" w:rsidP="008A503C">
      <w:pPr>
        <w:widowControl/>
        <w:ind w:left="720"/>
      </w:pPr>
      <w:r w:rsidRPr="004D3770">
        <w:t xml:space="preserve">Due to the lack of comparative data, mean daily doses of dasatinib and nilotinib were obtained from the </w:t>
      </w:r>
      <w:r w:rsidR="008F0C5F" w:rsidRPr="004D3770">
        <w:t>T</w:t>
      </w:r>
      <w:r w:rsidRPr="004D3770">
        <w:t xml:space="preserve">herapeutic </w:t>
      </w:r>
      <w:r w:rsidR="008F0C5F" w:rsidRPr="004D3770">
        <w:t>R</w:t>
      </w:r>
      <w:r w:rsidRPr="004D3770">
        <w:t xml:space="preserve">elativity </w:t>
      </w:r>
      <w:r w:rsidR="008F0C5F" w:rsidRPr="004D3770">
        <w:t>S</w:t>
      </w:r>
      <w:r w:rsidRPr="004D3770">
        <w:t>heets</w:t>
      </w:r>
      <w:r w:rsidR="000B164C" w:rsidRPr="004D3770">
        <w:t xml:space="preserve"> for second-line treatment</w:t>
      </w:r>
      <w:r w:rsidRPr="004D3770">
        <w:t xml:space="preserve">. The mean </w:t>
      </w:r>
      <w:r w:rsidR="008F0C5F" w:rsidRPr="004D3770">
        <w:t xml:space="preserve">daily </w:t>
      </w:r>
      <w:r w:rsidRPr="004D3770">
        <w:t xml:space="preserve">dose </w:t>
      </w:r>
      <w:r w:rsidR="008F0C5F" w:rsidRPr="004D3770">
        <w:t>from</w:t>
      </w:r>
      <w:r w:rsidRPr="004D3770">
        <w:t xml:space="preserve"> the PACE study was used </w:t>
      </w:r>
      <w:r w:rsidR="008F0C5F" w:rsidRPr="004D3770">
        <w:t>as</w:t>
      </w:r>
      <w:r w:rsidRPr="004D3770">
        <w:t xml:space="preserve"> the likely equivalent dose of ponatinib. </w:t>
      </w:r>
      <w:r w:rsidR="008E10DE">
        <w:t>However, t</w:t>
      </w:r>
      <w:r w:rsidR="008E10DE" w:rsidRPr="004D3770">
        <w:t xml:space="preserve">hough </w:t>
      </w:r>
      <w:r w:rsidRPr="004D3770">
        <w:t xml:space="preserve">the dose estimates for dasatinib and nilotinib may be reasonable, </w:t>
      </w:r>
      <w:r w:rsidR="008F0C5F" w:rsidRPr="004D3770">
        <w:t>they may not be reasonable in the context described in the submission. T</w:t>
      </w:r>
      <w:r w:rsidRPr="004D3770">
        <w:t xml:space="preserve">he </w:t>
      </w:r>
      <w:r w:rsidR="00257B1F" w:rsidRPr="004D3770">
        <w:t xml:space="preserve">equi-effective </w:t>
      </w:r>
      <w:r w:rsidRPr="004D3770">
        <w:t xml:space="preserve">dose of ponatinib </w:t>
      </w:r>
      <w:r w:rsidR="00257B1F" w:rsidRPr="004D3770">
        <w:t>may not be</w:t>
      </w:r>
      <w:r w:rsidRPr="004D3770">
        <w:t xml:space="preserve"> reasonable as </w:t>
      </w:r>
      <w:r w:rsidR="00C157EE" w:rsidRPr="004D3770">
        <w:t xml:space="preserve">it is not based on any </w:t>
      </w:r>
      <w:r w:rsidRPr="004D3770">
        <w:t>comparative data.</w:t>
      </w:r>
      <w:r w:rsidR="009177B9" w:rsidRPr="004D3770">
        <w:t xml:space="preserve"> </w:t>
      </w:r>
    </w:p>
    <w:p w:rsidR="008E10DE" w:rsidRDefault="008E10DE" w:rsidP="008A503C">
      <w:pPr>
        <w:widowControl/>
        <w:ind w:left="720"/>
      </w:pPr>
    </w:p>
    <w:p w:rsidR="008A503C" w:rsidRPr="004D3770" w:rsidRDefault="009177B9" w:rsidP="008A503C">
      <w:pPr>
        <w:widowControl/>
        <w:ind w:left="720"/>
      </w:pPr>
      <w:r w:rsidRPr="004D3770">
        <w:t>The ESC considered that based on the evidence available, the calculation of the equi-effective dose may be reasonable. The ESC noted that nilotinib and dasatinib also have a first line listing, which usually has better outcomes than later line treatment. Therefore, if may not be reasonable to extrapolate the price for these agents, generated from their benefit in earlier lines of treatment, to ponatinib in later lines of treatment, when benefit is likely to be smaller</w:t>
      </w:r>
      <w:r w:rsidR="008A503C">
        <w:t>.</w:t>
      </w:r>
    </w:p>
    <w:p w:rsidR="00CD4AA5" w:rsidRPr="004D3770" w:rsidRDefault="00CD4AA5" w:rsidP="00CD4AA5">
      <w:pPr>
        <w:pStyle w:val="ListParagraph"/>
        <w:widowControl/>
        <w:ind w:left="1440"/>
      </w:pPr>
    </w:p>
    <w:p w:rsidR="00F03F66" w:rsidRPr="00F03F66" w:rsidRDefault="00F03F66" w:rsidP="00AB3220">
      <w:pPr>
        <w:pStyle w:val="ListParagraph"/>
        <w:widowControl/>
        <w:numPr>
          <w:ilvl w:val="1"/>
          <w:numId w:val="12"/>
        </w:numPr>
        <w:ind w:left="720" w:hanging="720"/>
        <w:rPr>
          <w:szCs w:val="22"/>
        </w:rPr>
      </w:pPr>
      <w:r>
        <w:rPr>
          <w:szCs w:val="22"/>
        </w:rPr>
        <w:t xml:space="preserve">The </w:t>
      </w:r>
      <w:r w:rsidR="008A503C" w:rsidRPr="008A503C">
        <w:rPr>
          <w:szCs w:val="22"/>
        </w:rPr>
        <w:t>PBAC recalled that the estimated equi-effective doses of dasatinib and nilotinib for second line use after imatinib were considered to be dasatinib 101 - 103mg and nilotinib 797mg, based on the median daily dose of the drugs in the key clinical trials [see Nilotinib listing in 2008]. The utilisation data for these two drugs since listing on PBS are reasonably consistent with the trial-based data, and so the latter can be considered justified for use in a pragmatic estimation of equi-effectiveness among the three TKIs. The mean daily dose on the PACE trial (30.2mg) is the appropriate input for ponatinib to this estimate</w:t>
      </w:r>
      <w:r w:rsidR="008A503C">
        <w:rPr>
          <w:szCs w:val="22"/>
        </w:rPr>
        <w:t>.</w:t>
      </w:r>
      <w:r>
        <w:rPr>
          <w:szCs w:val="22"/>
        </w:rPr>
        <w:t xml:space="preserve"> Therefore, the PBAC considered th</w:t>
      </w:r>
      <w:r w:rsidR="00E82D3B">
        <w:rPr>
          <w:szCs w:val="22"/>
        </w:rPr>
        <w:t>e equi-effective dose are</w:t>
      </w:r>
      <w:r>
        <w:rPr>
          <w:szCs w:val="22"/>
        </w:rPr>
        <w:t xml:space="preserve"> </w:t>
      </w:r>
      <w:r w:rsidRPr="00F03F66">
        <w:rPr>
          <w:szCs w:val="22"/>
        </w:rPr>
        <w:t>Ponatinib</w:t>
      </w:r>
      <w:r>
        <w:rPr>
          <w:szCs w:val="22"/>
        </w:rPr>
        <w:t xml:space="preserve"> 30.2 mg daily = Dasatinib 102 mg daily = Nilotinib 797</w:t>
      </w:r>
      <w:r w:rsidRPr="00F03F66">
        <w:rPr>
          <w:szCs w:val="22"/>
        </w:rPr>
        <w:t>mg daily</w:t>
      </w:r>
      <w:r w:rsidR="00E82D3B">
        <w:rPr>
          <w:szCs w:val="22"/>
        </w:rPr>
        <w:t>.</w:t>
      </w:r>
    </w:p>
    <w:p w:rsidR="008A503C" w:rsidRDefault="008A503C" w:rsidP="00F03F66">
      <w:pPr>
        <w:pStyle w:val="ListParagraph"/>
        <w:widowControl/>
        <w:rPr>
          <w:szCs w:val="22"/>
        </w:rPr>
      </w:pPr>
    </w:p>
    <w:p w:rsidR="008A503C" w:rsidRDefault="008A503C" w:rsidP="008A503C">
      <w:pPr>
        <w:pStyle w:val="ListParagraph"/>
        <w:widowControl/>
        <w:rPr>
          <w:szCs w:val="22"/>
        </w:rPr>
      </w:pPr>
    </w:p>
    <w:p w:rsidR="00CD4AA5" w:rsidRPr="004D3770" w:rsidRDefault="006E4D54" w:rsidP="00AB3220">
      <w:pPr>
        <w:pStyle w:val="ListParagraph"/>
        <w:widowControl/>
        <w:numPr>
          <w:ilvl w:val="1"/>
          <w:numId w:val="12"/>
        </w:numPr>
        <w:ind w:left="720" w:hanging="720"/>
        <w:rPr>
          <w:szCs w:val="22"/>
        </w:rPr>
      </w:pPr>
      <w:r>
        <w:rPr>
          <w:szCs w:val="22"/>
        </w:rPr>
        <w:t>The cost minimisation analysis wa</w:t>
      </w:r>
      <w:r w:rsidR="00CD4AA5" w:rsidRPr="004D3770">
        <w:rPr>
          <w:szCs w:val="22"/>
        </w:rPr>
        <w:t xml:space="preserve">s presented in </w:t>
      </w:r>
      <w:r w:rsidR="009F0D55">
        <w:rPr>
          <w:szCs w:val="22"/>
        </w:rPr>
        <w:t>the following table</w:t>
      </w:r>
      <w:r w:rsidR="00CD4AA5" w:rsidRPr="004D3770">
        <w:rPr>
          <w:szCs w:val="22"/>
        </w:rPr>
        <w:t>.</w:t>
      </w:r>
      <w:r>
        <w:rPr>
          <w:szCs w:val="22"/>
        </w:rPr>
        <w:t xml:space="preserve"> The submission used</w:t>
      </w:r>
      <w:r w:rsidR="00C157EE" w:rsidRPr="004D3770">
        <w:rPr>
          <w:szCs w:val="22"/>
        </w:rPr>
        <w:t xml:space="preserve"> drug costs only as they assume</w:t>
      </w:r>
      <w:r>
        <w:rPr>
          <w:szCs w:val="22"/>
        </w:rPr>
        <w:t>d</w:t>
      </w:r>
      <w:r w:rsidR="00C157EE" w:rsidRPr="004D3770">
        <w:rPr>
          <w:szCs w:val="22"/>
        </w:rPr>
        <w:t xml:space="preserve"> the cardiovascular issues associated with ponatinib are a class effect. This </w:t>
      </w:r>
      <w:r w:rsidR="008551E7">
        <w:rPr>
          <w:szCs w:val="22"/>
        </w:rPr>
        <w:t xml:space="preserve">assumption </w:t>
      </w:r>
      <w:r w:rsidR="002C40CF" w:rsidRPr="004D3770">
        <w:rPr>
          <w:szCs w:val="22"/>
        </w:rPr>
        <w:t>may not be valid</w:t>
      </w:r>
      <w:r w:rsidR="00FF394F" w:rsidRPr="004D3770">
        <w:rPr>
          <w:szCs w:val="22"/>
        </w:rPr>
        <w:t xml:space="preserve">. As the incidence of vascular occlusive events </w:t>
      </w:r>
      <w:r w:rsidR="00C136F2">
        <w:rPr>
          <w:szCs w:val="22"/>
        </w:rPr>
        <w:t xml:space="preserve">are </w:t>
      </w:r>
      <w:r w:rsidR="00FF394F" w:rsidRPr="004D3770">
        <w:rPr>
          <w:szCs w:val="22"/>
        </w:rPr>
        <w:t xml:space="preserve">higher in the ponatinib studies compared to dasatinib and nilotinib, it may have been appropriate to include the costs of </w:t>
      </w:r>
      <w:r w:rsidR="002C40CF" w:rsidRPr="004D3770">
        <w:rPr>
          <w:szCs w:val="22"/>
        </w:rPr>
        <w:t>these adverse</w:t>
      </w:r>
      <w:r w:rsidR="00C157EE" w:rsidRPr="004D3770">
        <w:rPr>
          <w:szCs w:val="22"/>
        </w:rPr>
        <w:t xml:space="preserve"> events </w:t>
      </w:r>
      <w:r w:rsidR="002C40CF" w:rsidRPr="004D3770">
        <w:rPr>
          <w:szCs w:val="22"/>
        </w:rPr>
        <w:t>in the analysis</w:t>
      </w:r>
      <w:r w:rsidR="00C157EE" w:rsidRPr="004D3770">
        <w:rPr>
          <w:szCs w:val="22"/>
        </w:rPr>
        <w:t xml:space="preserve">.  </w:t>
      </w:r>
    </w:p>
    <w:p w:rsidR="00CD4AA5" w:rsidRPr="001B449A" w:rsidRDefault="00CD4AA5" w:rsidP="00CD4AA5">
      <w:pPr>
        <w:pStyle w:val="ListParagraph"/>
        <w:widowControl/>
        <w:rPr>
          <w:szCs w:val="22"/>
        </w:rPr>
      </w:pPr>
    </w:p>
    <w:p w:rsidR="00C157EE" w:rsidRPr="001B449A" w:rsidRDefault="00CD4AA5" w:rsidP="009C0C48">
      <w:pPr>
        <w:keepNext/>
        <w:ind w:left="720"/>
        <w:rPr>
          <w:rStyle w:val="CommentReference"/>
        </w:rPr>
      </w:pPr>
      <w:r w:rsidRPr="001B449A">
        <w:rPr>
          <w:rStyle w:val="CommentReference"/>
        </w:rPr>
        <w:lastRenderedPageBreak/>
        <w:t>The cost-minimisation analysis for ponatinib, dasatinib and nilotinib</w:t>
      </w:r>
      <w:r w:rsidR="00881B1E" w:rsidRPr="001B449A">
        <w:rPr>
          <w:rStyle w:val="CommentReference"/>
        </w:rPr>
        <w:t xml:space="preserve"> (</w:t>
      </w:r>
      <w:r w:rsidR="00C157EE" w:rsidRPr="001B449A">
        <w:rPr>
          <w:rStyle w:val="CommentReference"/>
        </w:rPr>
        <w:t>prices based on DPMQ)</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851"/>
        <w:gridCol w:w="709"/>
        <w:gridCol w:w="567"/>
        <w:gridCol w:w="846"/>
        <w:gridCol w:w="850"/>
        <w:gridCol w:w="851"/>
        <w:gridCol w:w="998"/>
        <w:gridCol w:w="829"/>
      </w:tblGrid>
      <w:tr w:rsidR="00C157EE" w:rsidRPr="001B449A" w:rsidTr="00C157EE">
        <w:trPr>
          <w:cantSplit/>
          <w:trHeight w:val="199"/>
          <w:tblHeader/>
        </w:trPr>
        <w:tc>
          <w:tcPr>
            <w:tcW w:w="1104" w:type="pct"/>
            <w:shd w:val="clear" w:color="auto" w:fill="auto"/>
            <w:noWrap/>
            <w:vAlign w:val="center"/>
            <w:hideMark/>
          </w:tcPr>
          <w:p w:rsidR="00C157EE" w:rsidRPr="001B449A" w:rsidRDefault="00C157EE" w:rsidP="009C0C48">
            <w:pPr>
              <w:pStyle w:val="Tabletext"/>
              <w:keepNext/>
              <w:jc w:val="center"/>
              <w:rPr>
                <w:b/>
                <w:lang w:val="en-GB" w:eastAsia="en-GB"/>
              </w:rPr>
            </w:pPr>
          </w:p>
        </w:tc>
        <w:tc>
          <w:tcPr>
            <w:tcW w:w="510" w:type="pct"/>
            <w:shd w:val="clear" w:color="auto" w:fill="auto"/>
            <w:noWrap/>
            <w:vAlign w:val="center"/>
            <w:hideMark/>
          </w:tcPr>
          <w:p w:rsidR="00C157EE" w:rsidRPr="001B449A" w:rsidRDefault="00C157EE" w:rsidP="009C0C48">
            <w:pPr>
              <w:pStyle w:val="Tabletext"/>
              <w:keepNext/>
              <w:jc w:val="right"/>
              <w:rPr>
                <w:b/>
                <w:lang w:val="en-GB" w:eastAsia="en-GB"/>
              </w:rPr>
            </w:pPr>
            <w:r w:rsidRPr="001B449A">
              <w:rPr>
                <w:b/>
                <w:lang w:val="en-GB" w:eastAsia="en-GB"/>
              </w:rPr>
              <w:t>DPMQ</w:t>
            </w:r>
          </w:p>
        </w:tc>
        <w:tc>
          <w:tcPr>
            <w:tcW w:w="425" w:type="pct"/>
            <w:shd w:val="clear" w:color="auto" w:fill="auto"/>
            <w:noWrap/>
            <w:vAlign w:val="center"/>
            <w:hideMark/>
          </w:tcPr>
          <w:p w:rsidR="00C157EE" w:rsidRPr="001B449A" w:rsidRDefault="00C157EE" w:rsidP="009C0C48">
            <w:pPr>
              <w:pStyle w:val="Tabletext"/>
              <w:keepNext/>
              <w:jc w:val="right"/>
              <w:rPr>
                <w:b/>
                <w:lang w:val="en-GB" w:eastAsia="en-GB"/>
              </w:rPr>
            </w:pPr>
            <w:r w:rsidRPr="001B449A">
              <w:rPr>
                <w:b/>
                <w:lang w:val="en-GB" w:eastAsia="en-GB"/>
              </w:rPr>
              <w:t>Price per mg</w:t>
            </w:r>
          </w:p>
        </w:tc>
        <w:tc>
          <w:tcPr>
            <w:tcW w:w="340" w:type="pct"/>
            <w:shd w:val="clear" w:color="auto" w:fill="auto"/>
            <w:noWrap/>
            <w:vAlign w:val="center"/>
            <w:hideMark/>
          </w:tcPr>
          <w:p w:rsidR="00C157EE" w:rsidRPr="001B449A" w:rsidRDefault="00C157EE" w:rsidP="009C0C48">
            <w:pPr>
              <w:pStyle w:val="Tabletext"/>
              <w:keepNext/>
              <w:jc w:val="center"/>
              <w:rPr>
                <w:b/>
                <w:lang w:val="en-GB" w:eastAsia="en-GB"/>
              </w:rPr>
            </w:pPr>
            <w:r w:rsidRPr="001B449A">
              <w:rPr>
                <w:b/>
                <w:lang w:val="en-GB" w:eastAsia="en-GB"/>
              </w:rPr>
              <w:t>% use</w:t>
            </w:r>
          </w:p>
        </w:tc>
        <w:tc>
          <w:tcPr>
            <w:tcW w:w="507" w:type="pct"/>
            <w:shd w:val="clear" w:color="auto" w:fill="auto"/>
            <w:noWrap/>
            <w:vAlign w:val="center"/>
            <w:hideMark/>
          </w:tcPr>
          <w:p w:rsidR="00C157EE" w:rsidRPr="001B449A" w:rsidRDefault="00C157EE" w:rsidP="009C0C48">
            <w:pPr>
              <w:pStyle w:val="Tabletext"/>
              <w:keepNext/>
              <w:jc w:val="right"/>
              <w:rPr>
                <w:b/>
                <w:lang w:val="en-GB" w:eastAsia="en-GB"/>
              </w:rPr>
            </w:pPr>
            <w:r w:rsidRPr="001B449A">
              <w:rPr>
                <w:b/>
                <w:lang w:val="en-GB" w:eastAsia="en-GB"/>
              </w:rPr>
              <w:t>Weighted price per mg</w:t>
            </w:r>
          </w:p>
        </w:tc>
        <w:tc>
          <w:tcPr>
            <w:tcW w:w="509" w:type="pct"/>
            <w:shd w:val="clear" w:color="auto" w:fill="auto"/>
            <w:noWrap/>
            <w:vAlign w:val="center"/>
            <w:hideMark/>
          </w:tcPr>
          <w:p w:rsidR="00C157EE" w:rsidRPr="001B449A" w:rsidRDefault="00C157EE" w:rsidP="009C0C48">
            <w:pPr>
              <w:pStyle w:val="Tabletext"/>
              <w:keepNext/>
              <w:jc w:val="center"/>
              <w:rPr>
                <w:b/>
                <w:lang w:val="en-GB" w:eastAsia="en-GB"/>
              </w:rPr>
            </w:pPr>
            <w:r w:rsidRPr="001B449A">
              <w:rPr>
                <w:b/>
                <w:lang w:val="en-GB" w:eastAsia="en-GB"/>
              </w:rPr>
              <w:t>Average dose per day (mg)</w:t>
            </w:r>
          </w:p>
        </w:tc>
        <w:tc>
          <w:tcPr>
            <w:tcW w:w="510" w:type="pct"/>
            <w:shd w:val="clear" w:color="auto" w:fill="auto"/>
            <w:noWrap/>
            <w:vAlign w:val="center"/>
            <w:hideMark/>
          </w:tcPr>
          <w:p w:rsidR="00C157EE" w:rsidRPr="001B449A" w:rsidRDefault="00C157EE" w:rsidP="009C0C48">
            <w:pPr>
              <w:pStyle w:val="Tabletext"/>
              <w:keepNext/>
              <w:jc w:val="right"/>
              <w:rPr>
                <w:b/>
                <w:lang w:val="en-GB" w:eastAsia="en-GB"/>
              </w:rPr>
            </w:pPr>
            <w:r w:rsidRPr="001B449A">
              <w:rPr>
                <w:b/>
                <w:lang w:val="en-GB" w:eastAsia="en-GB"/>
              </w:rPr>
              <w:t>Weighted price per month</w:t>
            </w:r>
          </w:p>
        </w:tc>
        <w:tc>
          <w:tcPr>
            <w:tcW w:w="598" w:type="pct"/>
            <w:shd w:val="clear" w:color="auto" w:fill="auto"/>
            <w:noWrap/>
            <w:vAlign w:val="center"/>
            <w:hideMark/>
          </w:tcPr>
          <w:p w:rsidR="00C157EE" w:rsidRPr="001B449A" w:rsidRDefault="00C157EE" w:rsidP="009C0C48">
            <w:pPr>
              <w:pStyle w:val="Tabletext"/>
              <w:keepNext/>
              <w:jc w:val="center"/>
              <w:rPr>
                <w:b/>
                <w:lang w:val="en-GB" w:eastAsia="en-GB"/>
              </w:rPr>
            </w:pPr>
            <w:r w:rsidRPr="001B449A">
              <w:rPr>
                <w:b/>
                <w:lang w:val="en-GB" w:eastAsia="en-GB"/>
              </w:rPr>
              <w:t>DAS/NIL use 2</w:t>
            </w:r>
            <w:r w:rsidRPr="001B449A">
              <w:rPr>
                <w:b/>
                <w:vertAlign w:val="superscript"/>
                <w:lang w:val="en-GB" w:eastAsia="en-GB"/>
              </w:rPr>
              <w:t>nd</w:t>
            </w:r>
            <w:r w:rsidRPr="001B449A">
              <w:rPr>
                <w:b/>
                <w:lang w:val="en-GB" w:eastAsia="en-GB"/>
              </w:rPr>
              <w:t>/3rd line (%)</w:t>
            </w:r>
          </w:p>
        </w:tc>
        <w:tc>
          <w:tcPr>
            <w:tcW w:w="497" w:type="pct"/>
            <w:shd w:val="clear" w:color="auto" w:fill="auto"/>
            <w:noWrap/>
            <w:vAlign w:val="center"/>
            <w:hideMark/>
          </w:tcPr>
          <w:p w:rsidR="00C157EE" w:rsidRPr="001B449A" w:rsidRDefault="00C157EE" w:rsidP="009C0C48">
            <w:pPr>
              <w:pStyle w:val="Tabletext"/>
              <w:keepNext/>
              <w:jc w:val="right"/>
              <w:rPr>
                <w:b/>
                <w:lang w:val="en-GB" w:eastAsia="en-GB"/>
              </w:rPr>
            </w:pPr>
            <w:r w:rsidRPr="001B449A">
              <w:rPr>
                <w:b/>
                <w:lang w:val="en-GB" w:eastAsia="en-GB"/>
              </w:rPr>
              <w:t>Weighted price per month</w:t>
            </w:r>
          </w:p>
        </w:tc>
      </w:tr>
      <w:tr w:rsidR="00C157EE" w:rsidRPr="001B449A" w:rsidTr="00C157EE">
        <w:trPr>
          <w:trHeight w:val="57"/>
        </w:trPr>
        <w:tc>
          <w:tcPr>
            <w:tcW w:w="4503" w:type="pct"/>
            <w:gridSpan w:val="8"/>
            <w:shd w:val="clear" w:color="auto" w:fill="auto"/>
            <w:noWrap/>
            <w:vAlign w:val="center"/>
            <w:hideMark/>
          </w:tcPr>
          <w:p w:rsidR="00C157EE" w:rsidRPr="001B449A" w:rsidRDefault="00C157EE" w:rsidP="009C0C48">
            <w:pPr>
              <w:pStyle w:val="Tabletext"/>
              <w:keepNext/>
              <w:rPr>
                <w:b/>
                <w:lang w:val="en-GB" w:eastAsia="en-GB"/>
              </w:rPr>
            </w:pPr>
            <w:r w:rsidRPr="001B449A">
              <w:rPr>
                <w:b/>
                <w:lang w:val="en-GB" w:eastAsia="en-GB"/>
              </w:rPr>
              <w:t>Dasatinib tablets; strength (pack size)</w:t>
            </w:r>
          </w:p>
        </w:tc>
        <w:tc>
          <w:tcPr>
            <w:tcW w:w="497" w:type="pct"/>
            <w:vMerge w:val="restart"/>
            <w:shd w:val="clear" w:color="auto" w:fill="auto"/>
            <w:vAlign w:val="center"/>
          </w:tcPr>
          <w:p w:rsidR="00C157EE" w:rsidRPr="001B449A" w:rsidRDefault="00C157EE" w:rsidP="009C0C48">
            <w:pPr>
              <w:pStyle w:val="Tabletext"/>
              <w:keepNext/>
              <w:jc w:val="right"/>
              <w:rPr>
                <w:b/>
                <w:lang w:val="en-GB" w:eastAsia="en-GB"/>
              </w:rPr>
            </w:pPr>
            <w:r w:rsidRPr="001B449A">
              <w:rPr>
                <w:lang w:val="en-GB" w:eastAsia="en-GB"/>
              </w:rPr>
              <w:t>$5,641.71</w:t>
            </w: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pStyle w:val="Tabletext"/>
              <w:keepNext/>
              <w:rPr>
                <w:lang w:val="en-GB" w:eastAsia="en-GB"/>
              </w:rPr>
            </w:pPr>
            <w:r w:rsidRPr="001B449A">
              <w:rPr>
                <w:lang w:val="en-GB" w:eastAsia="en-GB"/>
              </w:rPr>
              <w:t xml:space="preserve">20 mg (60) </w:t>
            </w:r>
          </w:p>
        </w:tc>
        <w:tc>
          <w:tcPr>
            <w:tcW w:w="510"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$3,095.79</w:t>
            </w:r>
          </w:p>
        </w:tc>
        <w:tc>
          <w:tcPr>
            <w:tcW w:w="425"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$2.58</w:t>
            </w:r>
          </w:p>
        </w:tc>
        <w:tc>
          <w:tcPr>
            <w:tcW w:w="340" w:type="pc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4%</w:t>
            </w:r>
          </w:p>
        </w:tc>
        <w:tc>
          <w:tcPr>
            <w:tcW w:w="507" w:type="pct"/>
            <w:vMerge w:val="restar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$1.65</w:t>
            </w:r>
          </w:p>
        </w:tc>
        <w:tc>
          <w:tcPr>
            <w:tcW w:w="509" w:type="pct"/>
            <w:vMerge w:val="restar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111.0</w:t>
            </w:r>
          </w:p>
        </w:tc>
        <w:tc>
          <w:tcPr>
            <w:tcW w:w="510" w:type="pct"/>
            <w:vMerge w:val="restar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$5,491.10</w:t>
            </w:r>
          </w:p>
        </w:tc>
        <w:tc>
          <w:tcPr>
            <w:tcW w:w="598" w:type="pct"/>
            <w:vMerge w:val="restar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53.4%</w:t>
            </w:r>
          </w:p>
        </w:tc>
        <w:tc>
          <w:tcPr>
            <w:tcW w:w="497" w:type="pct"/>
            <w:vMerge/>
            <w:shd w:val="clear" w:color="auto" w:fill="auto"/>
            <w:noWrap/>
            <w:vAlign w:val="center"/>
            <w:hideMark/>
          </w:tcPr>
          <w:p w:rsidR="00C157EE" w:rsidRPr="001B449A" w:rsidRDefault="00C157EE" w:rsidP="009C0C48">
            <w:pPr>
              <w:pStyle w:val="Tabletext"/>
              <w:keepNext/>
              <w:jc w:val="right"/>
              <w:rPr>
                <w:lang w:val="en-GB" w:eastAsia="en-GB"/>
              </w:rPr>
            </w:pP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pStyle w:val="Tabletext"/>
              <w:keepNext/>
              <w:rPr>
                <w:lang w:val="en-GB" w:eastAsia="en-GB"/>
              </w:rPr>
            </w:pPr>
            <w:r w:rsidRPr="001B449A">
              <w:rPr>
                <w:lang w:val="en-GB" w:eastAsia="en-GB"/>
              </w:rPr>
              <w:t xml:space="preserve">50 mg (60) </w:t>
            </w:r>
          </w:p>
        </w:tc>
        <w:tc>
          <w:tcPr>
            <w:tcW w:w="510"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$5,004.14</w:t>
            </w:r>
          </w:p>
        </w:tc>
        <w:tc>
          <w:tcPr>
            <w:tcW w:w="425"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$1.67</w:t>
            </w:r>
          </w:p>
        </w:tc>
        <w:tc>
          <w:tcPr>
            <w:tcW w:w="340" w:type="pc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25%</w:t>
            </w:r>
          </w:p>
        </w:tc>
        <w:tc>
          <w:tcPr>
            <w:tcW w:w="507" w:type="pct"/>
            <w:vMerge/>
            <w:vAlign w:val="center"/>
            <w:hideMark/>
          </w:tcPr>
          <w:p w:rsidR="00C157EE" w:rsidRPr="001B449A" w:rsidRDefault="00C157EE" w:rsidP="00B623ED">
            <w:pPr>
              <w:pStyle w:val="Tabletext"/>
              <w:keepNext/>
              <w:jc w:val="right"/>
              <w:rPr>
                <w:lang w:val="en-GB" w:eastAsia="en-GB"/>
              </w:rPr>
            </w:pPr>
          </w:p>
        </w:tc>
        <w:tc>
          <w:tcPr>
            <w:tcW w:w="509" w:type="pct"/>
            <w:vMerge/>
            <w:vAlign w:val="center"/>
            <w:hideMark/>
          </w:tcPr>
          <w:p w:rsidR="00C157EE" w:rsidRPr="001B449A" w:rsidRDefault="00C157EE" w:rsidP="000D6003">
            <w:pPr>
              <w:pStyle w:val="Tabletext"/>
              <w:keepNext/>
              <w:jc w:val="center"/>
              <w:rPr>
                <w:lang w:val="en-GB" w:eastAsia="en-GB"/>
              </w:rPr>
            </w:pPr>
          </w:p>
        </w:tc>
        <w:tc>
          <w:tcPr>
            <w:tcW w:w="510" w:type="pct"/>
            <w:vMerge/>
            <w:vAlign w:val="center"/>
            <w:hideMark/>
          </w:tcPr>
          <w:p w:rsidR="00C157EE" w:rsidRPr="001B449A" w:rsidRDefault="00C157EE" w:rsidP="000D6003">
            <w:pPr>
              <w:pStyle w:val="Tabletext"/>
              <w:keepNext/>
              <w:jc w:val="right"/>
              <w:rPr>
                <w:lang w:val="en-GB" w:eastAsia="en-GB"/>
              </w:rPr>
            </w:pPr>
          </w:p>
        </w:tc>
        <w:tc>
          <w:tcPr>
            <w:tcW w:w="598" w:type="pct"/>
            <w:vMerge/>
            <w:vAlign w:val="center"/>
            <w:hideMark/>
          </w:tcPr>
          <w:p w:rsidR="00C157EE" w:rsidRPr="001B449A" w:rsidRDefault="00C157EE" w:rsidP="00DA499D">
            <w:pPr>
              <w:pStyle w:val="Tabletext"/>
              <w:keepNext/>
              <w:jc w:val="center"/>
              <w:rPr>
                <w:lang w:val="en-GB" w:eastAsia="en-GB"/>
              </w:rPr>
            </w:pPr>
          </w:p>
        </w:tc>
        <w:tc>
          <w:tcPr>
            <w:tcW w:w="497" w:type="pct"/>
            <w:vMerge/>
            <w:vAlign w:val="center"/>
            <w:hideMark/>
          </w:tcPr>
          <w:p w:rsidR="00C157EE" w:rsidRPr="001B449A" w:rsidRDefault="00C157EE" w:rsidP="00DA499D">
            <w:pPr>
              <w:pStyle w:val="Tabletext"/>
              <w:keepNext/>
              <w:jc w:val="right"/>
              <w:rPr>
                <w:lang w:val="en-GB" w:eastAsia="en-GB"/>
              </w:rPr>
            </w:pP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pStyle w:val="Tabletext"/>
              <w:keepNext/>
              <w:rPr>
                <w:lang w:val="en-GB" w:eastAsia="en-GB"/>
              </w:rPr>
            </w:pPr>
            <w:r w:rsidRPr="001B449A">
              <w:rPr>
                <w:lang w:val="en-GB" w:eastAsia="en-GB"/>
              </w:rPr>
              <w:t xml:space="preserve">70 mg (60) </w:t>
            </w:r>
          </w:p>
        </w:tc>
        <w:tc>
          <w:tcPr>
            <w:tcW w:w="510"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$6,160.53</w:t>
            </w:r>
          </w:p>
        </w:tc>
        <w:tc>
          <w:tcPr>
            <w:tcW w:w="425"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$1.47</w:t>
            </w:r>
          </w:p>
        </w:tc>
        <w:tc>
          <w:tcPr>
            <w:tcW w:w="340" w:type="pc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28%</w:t>
            </w:r>
          </w:p>
        </w:tc>
        <w:tc>
          <w:tcPr>
            <w:tcW w:w="507" w:type="pct"/>
            <w:vMerge/>
            <w:vAlign w:val="center"/>
            <w:hideMark/>
          </w:tcPr>
          <w:p w:rsidR="00C157EE" w:rsidRPr="001B449A" w:rsidRDefault="00C157EE" w:rsidP="003E5B5D">
            <w:pPr>
              <w:pStyle w:val="Tabletext"/>
              <w:keepNext/>
              <w:jc w:val="right"/>
              <w:rPr>
                <w:lang w:val="en-GB" w:eastAsia="en-GB"/>
              </w:rPr>
            </w:pPr>
          </w:p>
        </w:tc>
        <w:tc>
          <w:tcPr>
            <w:tcW w:w="509" w:type="pct"/>
            <w:vMerge/>
            <w:vAlign w:val="center"/>
            <w:hideMark/>
          </w:tcPr>
          <w:p w:rsidR="00C157EE" w:rsidRPr="001B449A" w:rsidRDefault="00C157EE" w:rsidP="003E5B5D">
            <w:pPr>
              <w:pStyle w:val="Tabletext"/>
              <w:keepNext/>
              <w:jc w:val="center"/>
              <w:rPr>
                <w:lang w:val="en-GB" w:eastAsia="en-GB"/>
              </w:rPr>
            </w:pPr>
          </w:p>
        </w:tc>
        <w:tc>
          <w:tcPr>
            <w:tcW w:w="510" w:type="pct"/>
            <w:vMerge/>
            <w:vAlign w:val="center"/>
            <w:hideMark/>
          </w:tcPr>
          <w:p w:rsidR="00C157EE" w:rsidRPr="001B449A" w:rsidRDefault="00C157EE" w:rsidP="003E5B5D">
            <w:pPr>
              <w:pStyle w:val="Tabletext"/>
              <w:keepNext/>
              <w:jc w:val="right"/>
              <w:rPr>
                <w:lang w:val="en-GB" w:eastAsia="en-GB"/>
              </w:rPr>
            </w:pPr>
          </w:p>
        </w:tc>
        <w:tc>
          <w:tcPr>
            <w:tcW w:w="598" w:type="pct"/>
            <w:vMerge/>
            <w:vAlign w:val="center"/>
            <w:hideMark/>
          </w:tcPr>
          <w:p w:rsidR="00C157EE" w:rsidRPr="001B449A" w:rsidRDefault="00C157EE" w:rsidP="003E5B5D">
            <w:pPr>
              <w:pStyle w:val="Tabletext"/>
              <w:keepNext/>
              <w:jc w:val="center"/>
              <w:rPr>
                <w:lang w:val="en-GB" w:eastAsia="en-GB"/>
              </w:rPr>
            </w:pPr>
          </w:p>
        </w:tc>
        <w:tc>
          <w:tcPr>
            <w:tcW w:w="497" w:type="pct"/>
            <w:vMerge/>
            <w:vAlign w:val="center"/>
            <w:hideMark/>
          </w:tcPr>
          <w:p w:rsidR="00C157EE" w:rsidRPr="001B449A" w:rsidRDefault="00C157EE" w:rsidP="003E5B5D">
            <w:pPr>
              <w:pStyle w:val="Tabletext"/>
              <w:keepNext/>
              <w:jc w:val="right"/>
              <w:rPr>
                <w:lang w:val="en-GB" w:eastAsia="en-GB"/>
              </w:rPr>
            </w:pP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pStyle w:val="Tabletext"/>
              <w:keepNext/>
              <w:rPr>
                <w:lang w:val="en-GB" w:eastAsia="en-GB"/>
              </w:rPr>
            </w:pPr>
            <w:r w:rsidRPr="001B449A">
              <w:rPr>
                <w:lang w:val="en-GB" w:eastAsia="en-GB"/>
              </w:rPr>
              <w:t xml:space="preserve">100 mg (30) </w:t>
            </w:r>
          </w:p>
        </w:tc>
        <w:tc>
          <w:tcPr>
            <w:tcW w:w="510" w:type="pct"/>
            <w:shd w:val="clear" w:color="auto" w:fill="auto"/>
            <w:vAlign w:val="center"/>
            <w:hideMark/>
          </w:tcPr>
          <w:p w:rsidR="00C157EE" w:rsidRPr="001B449A" w:rsidRDefault="00C157EE" w:rsidP="009C0C48">
            <w:pPr>
              <w:pStyle w:val="Tabletext"/>
              <w:keepNext/>
              <w:jc w:val="right"/>
              <w:rPr>
                <w:lang w:val="en-GB" w:eastAsia="en-GB"/>
              </w:rPr>
            </w:pPr>
            <w:r w:rsidRPr="001B449A">
              <w:rPr>
                <w:lang w:val="en-GB" w:eastAsia="en-GB"/>
              </w:rPr>
              <w:t>$5,004.14</w:t>
            </w:r>
          </w:p>
        </w:tc>
        <w:tc>
          <w:tcPr>
            <w:tcW w:w="425" w:type="pct"/>
            <w:shd w:val="clear" w:color="auto" w:fill="auto"/>
            <w:noWrap/>
            <w:vAlign w:val="center"/>
            <w:hideMark/>
          </w:tcPr>
          <w:p w:rsidR="00C157EE" w:rsidRPr="001B449A" w:rsidRDefault="00C157EE" w:rsidP="009C0C48">
            <w:pPr>
              <w:pStyle w:val="Tabletext"/>
              <w:keepNext/>
              <w:jc w:val="right"/>
              <w:rPr>
                <w:lang w:val="en-GB" w:eastAsia="en-GB"/>
              </w:rPr>
            </w:pPr>
            <w:r w:rsidRPr="001B449A">
              <w:rPr>
                <w:lang w:val="en-GB" w:eastAsia="en-GB"/>
              </w:rPr>
              <w:t>$1.67</w:t>
            </w:r>
          </w:p>
        </w:tc>
        <w:tc>
          <w:tcPr>
            <w:tcW w:w="340" w:type="pct"/>
            <w:shd w:val="clear" w:color="auto" w:fill="auto"/>
            <w:noWrap/>
            <w:vAlign w:val="center"/>
            <w:hideMark/>
          </w:tcPr>
          <w:p w:rsidR="00C157EE" w:rsidRPr="001B449A" w:rsidRDefault="00C157EE" w:rsidP="009C0C48">
            <w:pPr>
              <w:pStyle w:val="Tabletext"/>
              <w:keepNext/>
              <w:jc w:val="center"/>
              <w:rPr>
                <w:lang w:val="en-GB" w:eastAsia="en-GB"/>
              </w:rPr>
            </w:pPr>
            <w:r w:rsidRPr="001B449A">
              <w:rPr>
                <w:lang w:val="en-GB" w:eastAsia="en-GB"/>
              </w:rPr>
              <w:t>43%</w:t>
            </w:r>
          </w:p>
        </w:tc>
        <w:tc>
          <w:tcPr>
            <w:tcW w:w="507" w:type="pct"/>
            <w:vMerge/>
            <w:vAlign w:val="center"/>
            <w:hideMark/>
          </w:tcPr>
          <w:p w:rsidR="00C157EE" w:rsidRPr="001B449A" w:rsidRDefault="00C157EE" w:rsidP="003E5B5D">
            <w:pPr>
              <w:pStyle w:val="Tabletext"/>
              <w:keepNext/>
              <w:jc w:val="right"/>
              <w:rPr>
                <w:lang w:val="en-GB" w:eastAsia="en-GB"/>
              </w:rPr>
            </w:pPr>
          </w:p>
        </w:tc>
        <w:tc>
          <w:tcPr>
            <w:tcW w:w="509" w:type="pct"/>
            <w:vMerge/>
            <w:vAlign w:val="center"/>
            <w:hideMark/>
          </w:tcPr>
          <w:p w:rsidR="00C157EE" w:rsidRPr="001B449A" w:rsidRDefault="00C157EE" w:rsidP="003E5B5D">
            <w:pPr>
              <w:pStyle w:val="Tabletext"/>
              <w:keepNext/>
              <w:jc w:val="center"/>
              <w:rPr>
                <w:lang w:val="en-GB" w:eastAsia="en-GB"/>
              </w:rPr>
            </w:pPr>
          </w:p>
        </w:tc>
        <w:tc>
          <w:tcPr>
            <w:tcW w:w="510" w:type="pct"/>
            <w:vMerge/>
            <w:vAlign w:val="center"/>
            <w:hideMark/>
          </w:tcPr>
          <w:p w:rsidR="00C157EE" w:rsidRPr="001B449A" w:rsidRDefault="00C157EE" w:rsidP="003E5B5D">
            <w:pPr>
              <w:pStyle w:val="Tabletext"/>
              <w:keepNext/>
              <w:jc w:val="right"/>
              <w:rPr>
                <w:lang w:val="en-GB" w:eastAsia="en-GB"/>
              </w:rPr>
            </w:pPr>
          </w:p>
        </w:tc>
        <w:tc>
          <w:tcPr>
            <w:tcW w:w="598" w:type="pct"/>
            <w:vMerge/>
            <w:vAlign w:val="center"/>
            <w:hideMark/>
          </w:tcPr>
          <w:p w:rsidR="00C157EE" w:rsidRPr="001B449A" w:rsidRDefault="00C157EE" w:rsidP="003E5B5D">
            <w:pPr>
              <w:pStyle w:val="Tabletext"/>
              <w:keepNext/>
              <w:jc w:val="center"/>
              <w:rPr>
                <w:lang w:val="en-GB" w:eastAsia="en-GB"/>
              </w:rPr>
            </w:pPr>
          </w:p>
        </w:tc>
        <w:tc>
          <w:tcPr>
            <w:tcW w:w="497" w:type="pct"/>
            <w:vMerge/>
            <w:vAlign w:val="center"/>
            <w:hideMark/>
          </w:tcPr>
          <w:p w:rsidR="00C157EE" w:rsidRPr="001B449A" w:rsidRDefault="00C157EE" w:rsidP="003E5B5D">
            <w:pPr>
              <w:pStyle w:val="Tabletext"/>
              <w:keepNext/>
              <w:jc w:val="right"/>
              <w:rPr>
                <w:lang w:val="en-GB" w:eastAsia="en-GB"/>
              </w:rPr>
            </w:pPr>
          </w:p>
        </w:tc>
      </w:tr>
      <w:tr w:rsidR="00C157EE" w:rsidRPr="001B449A" w:rsidTr="00C157EE">
        <w:trPr>
          <w:trHeight w:val="57"/>
        </w:trPr>
        <w:tc>
          <w:tcPr>
            <w:tcW w:w="4503" w:type="pct"/>
            <w:gridSpan w:val="8"/>
            <w:shd w:val="clear" w:color="auto" w:fill="auto"/>
            <w:noWrap/>
            <w:vAlign w:val="center"/>
            <w:hideMark/>
          </w:tcPr>
          <w:p w:rsidR="00C157EE" w:rsidRPr="001B449A" w:rsidRDefault="00C157EE" w:rsidP="009C0C48">
            <w:pPr>
              <w:pStyle w:val="Tabletext"/>
              <w:rPr>
                <w:b/>
                <w:lang w:val="en-GB" w:eastAsia="en-GB"/>
              </w:rPr>
            </w:pPr>
            <w:r w:rsidRPr="001B449A">
              <w:rPr>
                <w:b/>
                <w:lang w:val="en-GB" w:eastAsia="en-GB"/>
              </w:rPr>
              <w:t>Nilotinib capsules; strength (pack size)</w:t>
            </w:r>
          </w:p>
        </w:tc>
        <w:tc>
          <w:tcPr>
            <w:tcW w:w="497" w:type="pct"/>
            <w:vMerge/>
            <w:vAlign w:val="center"/>
            <w:hideMark/>
          </w:tcPr>
          <w:p w:rsidR="00C157EE" w:rsidRPr="001B449A" w:rsidRDefault="00C157EE" w:rsidP="003E5B5D">
            <w:pPr>
              <w:pStyle w:val="Tabletext"/>
              <w:jc w:val="right"/>
              <w:rPr>
                <w:lang w:val="en-GB" w:eastAsia="en-GB"/>
              </w:rPr>
            </w:pP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pStyle w:val="Tabletext"/>
              <w:rPr>
                <w:lang w:val="en-GB" w:eastAsia="en-GB"/>
              </w:rPr>
            </w:pPr>
            <w:r w:rsidRPr="001B449A">
              <w:rPr>
                <w:lang w:val="en-GB" w:eastAsia="en-GB"/>
              </w:rPr>
              <w:t>200 mg (120)</w:t>
            </w:r>
          </w:p>
        </w:tc>
        <w:tc>
          <w:tcPr>
            <w:tcW w:w="510" w:type="pct"/>
            <w:shd w:val="clear" w:color="auto" w:fill="auto"/>
            <w:vAlign w:val="center"/>
            <w:hideMark/>
          </w:tcPr>
          <w:p w:rsidR="00C157EE" w:rsidRPr="001B449A" w:rsidRDefault="00C157EE" w:rsidP="009C0C48">
            <w:pPr>
              <w:pStyle w:val="Tabletext"/>
              <w:jc w:val="right"/>
              <w:rPr>
                <w:lang w:val="en-GB" w:eastAsia="en-GB"/>
              </w:rPr>
            </w:pPr>
            <w:r w:rsidRPr="001B449A">
              <w:rPr>
                <w:lang w:val="en-GB" w:eastAsia="en-GB"/>
              </w:rPr>
              <w:t>$5,872.48</w:t>
            </w:r>
          </w:p>
        </w:tc>
        <w:tc>
          <w:tcPr>
            <w:tcW w:w="425" w:type="pct"/>
            <w:shd w:val="clear" w:color="auto" w:fill="auto"/>
            <w:noWrap/>
            <w:vAlign w:val="center"/>
            <w:hideMark/>
          </w:tcPr>
          <w:p w:rsidR="00C157EE" w:rsidRPr="001B449A" w:rsidRDefault="00C157EE" w:rsidP="009C0C48">
            <w:pPr>
              <w:pStyle w:val="Tabletext"/>
              <w:jc w:val="right"/>
              <w:rPr>
                <w:lang w:val="en-GB" w:eastAsia="en-GB"/>
              </w:rPr>
            </w:pPr>
            <w:r w:rsidRPr="001B449A">
              <w:rPr>
                <w:lang w:val="en-GB" w:eastAsia="en-GB"/>
              </w:rPr>
              <w:t>$0.24</w:t>
            </w:r>
          </w:p>
        </w:tc>
        <w:tc>
          <w:tcPr>
            <w:tcW w:w="340" w:type="pct"/>
            <w:shd w:val="clear" w:color="auto" w:fill="auto"/>
            <w:noWrap/>
            <w:vAlign w:val="center"/>
            <w:hideMark/>
          </w:tcPr>
          <w:p w:rsidR="00C157EE" w:rsidRPr="001B449A" w:rsidRDefault="00C157EE" w:rsidP="009C0C48">
            <w:pPr>
              <w:pStyle w:val="Tabletext"/>
              <w:jc w:val="center"/>
              <w:rPr>
                <w:lang w:val="en-GB" w:eastAsia="en-GB"/>
              </w:rPr>
            </w:pPr>
            <w:r w:rsidRPr="001B449A">
              <w:rPr>
                <w:lang w:val="en-GB" w:eastAsia="en-GB"/>
              </w:rPr>
              <w:t>100%</w:t>
            </w:r>
          </w:p>
        </w:tc>
        <w:tc>
          <w:tcPr>
            <w:tcW w:w="507" w:type="pct"/>
            <w:shd w:val="clear" w:color="auto" w:fill="auto"/>
            <w:noWrap/>
            <w:vAlign w:val="center"/>
            <w:hideMark/>
          </w:tcPr>
          <w:p w:rsidR="00C157EE" w:rsidRPr="001B449A" w:rsidRDefault="00C157EE" w:rsidP="009C0C48">
            <w:pPr>
              <w:pStyle w:val="Tabletext"/>
              <w:jc w:val="right"/>
              <w:rPr>
                <w:lang w:val="en-GB" w:eastAsia="en-GB"/>
              </w:rPr>
            </w:pPr>
            <w:r w:rsidRPr="001B449A">
              <w:rPr>
                <w:lang w:val="en-GB" w:eastAsia="en-GB"/>
              </w:rPr>
              <w:t>$0.24</w:t>
            </w:r>
          </w:p>
        </w:tc>
        <w:tc>
          <w:tcPr>
            <w:tcW w:w="509" w:type="pct"/>
            <w:shd w:val="clear" w:color="auto" w:fill="auto"/>
            <w:noWrap/>
            <w:vAlign w:val="center"/>
            <w:hideMark/>
          </w:tcPr>
          <w:p w:rsidR="00C157EE" w:rsidRPr="001B449A" w:rsidRDefault="00C157EE" w:rsidP="009C0C48">
            <w:pPr>
              <w:pStyle w:val="Tabletext"/>
              <w:jc w:val="center"/>
              <w:rPr>
                <w:lang w:val="en-GB" w:eastAsia="en-GB"/>
              </w:rPr>
            </w:pPr>
            <w:r w:rsidRPr="001B449A">
              <w:rPr>
                <w:lang w:val="en-GB" w:eastAsia="en-GB"/>
              </w:rPr>
              <w:t>792.1</w:t>
            </w:r>
          </w:p>
        </w:tc>
        <w:tc>
          <w:tcPr>
            <w:tcW w:w="510" w:type="pct"/>
            <w:shd w:val="clear" w:color="auto" w:fill="auto"/>
            <w:noWrap/>
            <w:vAlign w:val="center"/>
            <w:hideMark/>
          </w:tcPr>
          <w:p w:rsidR="00C157EE" w:rsidRPr="001B449A" w:rsidRDefault="00C157EE" w:rsidP="009C0C48">
            <w:pPr>
              <w:pStyle w:val="Tabletext"/>
              <w:jc w:val="right"/>
              <w:rPr>
                <w:lang w:val="en-GB" w:eastAsia="en-GB"/>
              </w:rPr>
            </w:pPr>
            <w:r w:rsidRPr="001B449A">
              <w:rPr>
                <w:lang w:val="en-GB" w:eastAsia="en-GB"/>
              </w:rPr>
              <w:t>$5,814.49</w:t>
            </w:r>
          </w:p>
        </w:tc>
        <w:tc>
          <w:tcPr>
            <w:tcW w:w="598" w:type="pct"/>
            <w:shd w:val="clear" w:color="auto" w:fill="auto"/>
            <w:noWrap/>
            <w:vAlign w:val="center"/>
            <w:hideMark/>
          </w:tcPr>
          <w:p w:rsidR="00C157EE" w:rsidRPr="001B449A" w:rsidRDefault="00C157EE" w:rsidP="009C0C48">
            <w:pPr>
              <w:pStyle w:val="Tabletext"/>
              <w:jc w:val="center"/>
              <w:rPr>
                <w:lang w:val="en-GB" w:eastAsia="en-GB"/>
              </w:rPr>
            </w:pPr>
            <w:r w:rsidRPr="001B449A">
              <w:rPr>
                <w:lang w:val="en-GB" w:eastAsia="en-GB"/>
              </w:rPr>
              <w:t>46.6%</w:t>
            </w:r>
          </w:p>
        </w:tc>
        <w:tc>
          <w:tcPr>
            <w:tcW w:w="497" w:type="pct"/>
            <w:vMerge/>
            <w:vAlign w:val="center"/>
            <w:hideMark/>
          </w:tcPr>
          <w:p w:rsidR="00C157EE" w:rsidRPr="001B449A" w:rsidRDefault="00C157EE" w:rsidP="003E5B5D">
            <w:pPr>
              <w:pStyle w:val="Tabletext"/>
              <w:jc w:val="right"/>
              <w:rPr>
                <w:lang w:val="en-GB" w:eastAsia="en-GB"/>
              </w:rPr>
            </w:pPr>
          </w:p>
        </w:tc>
      </w:tr>
      <w:tr w:rsidR="00C157EE" w:rsidRPr="001B449A" w:rsidTr="00C157EE">
        <w:trPr>
          <w:trHeight w:val="187"/>
        </w:trPr>
        <w:tc>
          <w:tcPr>
            <w:tcW w:w="5000" w:type="pct"/>
            <w:gridSpan w:val="9"/>
            <w:shd w:val="clear" w:color="auto" w:fill="auto"/>
            <w:noWrap/>
            <w:vAlign w:val="center"/>
            <w:hideMark/>
          </w:tcPr>
          <w:p w:rsidR="00C157EE" w:rsidRPr="001B449A" w:rsidRDefault="00C157EE" w:rsidP="009C0C48">
            <w:pPr>
              <w:pStyle w:val="Tabletext"/>
              <w:rPr>
                <w:b/>
                <w:lang w:val="en-GB" w:eastAsia="en-GB"/>
              </w:rPr>
            </w:pPr>
            <w:r w:rsidRPr="001B449A">
              <w:rPr>
                <w:b/>
                <w:lang w:val="en-GB" w:eastAsia="en-GB"/>
              </w:rPr>
              <w:t>Ponatinib</w:t>
            </w:r>
            <w:r w:rsidRPr="001B449A">
              <w:rPr>
                <w:lang w:val="en-GB" w:eastAsia="en-GB"/>
              </w:rPr>
              <w:t> </w:t>
            </w:r>
            <w:r w:rsidRPr="001B449A">
              <w:rPr>
                <w:b/>
                <w:lang w:val="en-GB" w:eastAsia="en-GB"/>
              </w:rPr>
              <w:t>tablets; strength (pack size)</w:t>
            </w:r>
          </w:p>
        </w:tc>
      </w:tr>
      <w:tr w:rsidR="00C157EE" w:rsidRPr="001B449A" w:rsidTr="00C157EE">
        <w:trPr>
          <w:trHeight w:val="108"/>
        </w:trPr>
        <w:tc>
          <w:tcPr>
            <w:tcW w:w="1104" w:type="pct"/>
            <w:shd w:val="clear" w:color="auto" w:fill="auto"/>
            <w:noWrap/>
            <w:vAlign w:val="center"/>
            <w:hideMark/>
          </w:tcPr>
          <w:p w:rsidR="00C157EE" w:rsidRPr="001B449A" w:rsidRDefault="00C157EE" w:rsidP="009C0C48">
            <w:pPr>
              <w:pStyle w:val="Tabletext"/>
              <w:rPr>
                <w:lang w:val="en-GB" w:eastAsia="en-GB"/>
              </w:rPr>
            </w:pPr>
            <w:r w:rsidRPr="001B449A">
              <w:rPr>
                <w:lang w:val="en-GB" w:eastAsia="en-GB"/>
              </w:rPr>
              <w:t>15 mg (60)</w:t>
            </w:r>
          </w:p>
        </w:tc>
        <w:tc>
          <w:tcPr>
            <w:tcW w:w="510" w:type="pct"/>
            <w:shd w:val="clear" w:color="auto" w:fill="auto"/>
            <w:vAlign w:val="center"/>
            <w:hideMark/>
          </w:tcPr>
          <w:p w:rsidR="00C157EE" w:rsidRPr="00084612" w:rsidRDefault="00084612" w:rsidP="009C0C48">
            <w:pPr>
              <w:pStyle w:val="Tabletext"/>
              <w:jc w:val="right"/>
              <w:rPr>
                <w:highlight w:val="black"/>
                <w:lang w:val="en-GB" w:eastAsia="en-GB"/>
              </w:rPr>
            </w:pPr>
            <w:r>
              <w:rPr>
                <w:noProof/>
                <w:color w:val="000000"/>
                <w:highlight w:val="black"/>
                <w:lang w:val="en-GB" w:eastAsia="en-GB"/>
              </w:rPr>
              <w:t>''''''''''''''''''''''</w:t>
            </w:r>
          </w:p>
        </w:tc>
        <w:tc>
          <w:tcPr>
            <w:tcW w:w="425" w:type="pct"/>
            <w:shd w:val="clear" w:color="auto" w:fill="auto"/>
            <w:noWrap/>
            <w:vAlign w:val="center"/>
            <w:hideMark/>
          </w:tcPr>
          <w:p w:rsidR="00C157EE" w:rsidRPr="00084612" w:rsidRDefault="00084612" w:rsidP="009C0C48">
            <w:pPr>
              <w:pStyle w:val="Tabletext"/>
              <w:jc w:val="right"/>
              <w:rPr>
                <w:highlight w:val="black"/>
                <w:lang w:val="en-GB" w:eastAsia="en-GB"/>
              </w:rPr>
            </w:pPr>
            <w:r>
              <w:rPr>
                <w:noProof/>
                <w:color w:val="000000"/>
                <w:highlight w:val="black"/>
                <w:lang w:val="en-GB" w:eastAsia="en-GB"/>
              </w:rPr>
              <w:t>'''''''''''''</w:t>
            </w:r>
          </w:p>
        </w:tc>
        <w:tc>
          <w:tcPr>
            <w:tcW w:w="340" w:type="pct"/>
            <w:shd w:val="clear" w:color="auto" w:fill="auto"/>
            <w:noWrap/>
            <w:vAlign w:val="center"/>
            <w:hideMark/>
          </w:tcPr>
          <w:p w:rsidR="00C157EE" w:rsidRPr="00084612" w:rsidRDefault="00084612" w:rsidP="009C0C48">
            <w:pPr>
              <w:pStyle w:val="Tabletext"/>
              <w:jc w:val="center"/>
              <w:rPr>
                <w:highlight w:val="black"/>
                <w:lang w:val="en-GB" w:eastAsia="en-GB"/>
              </w:rPr>
            </w:pPr>
            <w:r>
              <w:rPr>
                <w:noProof/>
                <w:color w:val="000000"/>
                <w:highlight w:val="black"/>
                <w:lang w:val="en-GB" w:eastAsia="en-GB"/>
              </w:rPr>
              <w:t>'''''''''''</w:t>
            </w:r>
          </w:p>
        </w:tc>
        <w:tc>
          <w:tcPr>
            <w:tcW w:w="507" w:type="pct"/>
            <w:vMerge w:val="restart"/>
            <w:shd w:val="clear" w:color="auto" w:fill="auto"/>
            <w:noWrap/>
            <w:vAlign w:val="center"/>
            <w:hideMark/>
          </w:tcPr>
          <w:p w:rsidR="00C157EE" w:rsidRPr="00084612" w:rsidRDefault="00084612" w:rsidP="009C0C48">
            <w:pPr>
              <w:pStyle w:val="Tabletext"/>
              <w:jc w:val="right"/>
              <w:rPr>
                <w:highlight w:val="black"/>
                <w:lang w:val="en-GB" w:eastAsia="en-GB"/>
              </w:rPr>
            </w:pPr>
            <w:r>
              <w:rPr>
                <w:noProof/>
                <w:color w:val="000000"/>
                <w:highlight w:val="black"/>
                <w:lang w:val="en-GB" w:eastAsia="en-GB"/>
              </w:rPr>
              <w:t>'''''''''''''</w:t>
            </w:r>
          </w:p>
        </w:tc>
        <w:tc>
          <w:tcPr>
            <w:tcW w:w="509" w:type="pct"/>
            <w:vMerge w:val="restart"/>
            <w:shd w:val="clear" w:color="auto" w:fill="auto"/>
            <w:noWrap/>
            <w:vAlign w:val="center"/>
            <w:hideMark/>
          </w:tcPr>
          <w:p w:rsidR="00C157EE" w:rsidRPr="001B449A" w:rsidRDefault="00C157EE" w:rsidP="009C0C48">
            <w:pPr>
              <w:pStyle w:val="Tabletext"/>
              <w:jc w:val="center"/>
              <w:rPr>
                <w:lang w:val="en-GB" w:eastAsia="en-GB"/>
              </w:rPr>
            </w:pPr>
            <w:r w:rsidRPr="001B449A">
              <w:rPr>
                <w:lang w:val="en-GB" w:eastAsia="en-GB"/>
              </w:rPr>
              <w:t>30.2</w:t>
            </w:r>
          </w:p>
        </w:tc>
        <w:tc>
          <w:tcPr>
            <w:tcW w:w="1108" w:type="pct"/>
            <w:gridSpan w:val="2"/>
            <w:vMerge w:val="restart"/>
            <w:shd w:val="clear" w:color="auto" w:fill="auto"/>
            <w:noWrap/>
            <w:vAlign w:val="center"/>
            <w:hideMark/>
          </w:tcPr>
          <w:p w:rsidR="00C157EE" w:rsidRPr="001B449A" w:rsidRDefault="00C157EE" w:rsidP="009C0C48">
            <w:pPr>
              <w:pStyle w:val="Tabletext"/>
              <w:jc w:val="center"/>
              <w:rPr>
                <w:lang w:val="en-GB" w:eastAsia="en-GB"/>
              </w:rPr>
            </w:pPr>
            <w:r w:rsidRPr="001B449A">
              <w:rPr>
                <w:lang w:val="en-GB" w:eastAsia="en-GB"/>
              </w:rPr>
              <w:t>-</w:t>
            </w:r>
          </w:p>
        </w:tc>
        <w:tc>
          <w:tcPr>
            <w:tcW w:w="497" w:type="pct"/>
            <w:vMerge w:val="restart"/>
            <w:shd w:val="clear" w:color="auto" w:fill="auto"/>
            <w:noWrap/>
            <w:vAlign w:val="center"/>
            <w:hideMark/>
          </w:tcPr>
          <w:p w:rsidR="00C157EE" w:rsidRPr="00084612" w:rsidRDefault="00084612" w:rsidP="009C0C48">
            <w:pPr>
              <w:pStyle w:val="Tabletext"/>
              <w:jc w:val="right"/>
              <w:rPr>
                <w:highlight w:val="black"/>
                <w:lang w:val="en-GB" w:eastAsia="en-GB"/>
              </w:rPr>
            </w:pPr>
            <w:r>
              <w:rPr>
                <w:noProof/>
                <w:color w:val="000000"/>
                <w:highlight w:val="black"/>
                <w:lang w:val="en-GB" w:eastAsia="en-GB"/>
              </w:rPr>
              <w:t>''''''''''''''''''''''''</w:t>
            </w:r>
          </w:p>
        </w:tc>
      </w:tr>
      <w:tr w:rsidR="00C157EE" w:rsidRPr="001B449A" w:rsidTr="00C157EE">
        <w:trPr>
          <w:trHeight w:val="57"/>
        </w:trPr>
        <w:tc>
          <w:tcPr>
            <w:tcW w:w="1104" w:type="pct"/>
            <w:shd w:val="clear" w:color="auto" w:fill="auto"/>
            <w:noWrap/>
            <w:vAlign w:val="center"/>
            <w:hideMark/>
          </w:tcPr>
          <w:p w:rsidR="00C157EE" w:rsidRPr="001B449A" w:rsidRDefault="00C157EE" w:rsidP="009C0C48">
            <w:pPr>
              <w:widowControl/>
              <w:jc w:val="left"/>
              <w:rPr>
                <w:rFonts w:ascii="Arial Narrow" w:hAnsi="Arial Narrow" w:cs="Times New Roman"/>
                <w:snapToGrid/>
                <w:color w:val="000000"/>
                <w:sz w:val="20"/>
                <w:lang w:val="en-GB" w:eastAsia="en-GB"/>
              </w:rPr>
            </w:pPr>
            <w:r w:rsidRPr="001B449A">
              <w:rPr>
                <w:rFonts w:ascii="Arial Narrow" w:hAnsi="Arial Narrow" w:cs="Times New Roman"/>
                <w:snapToGrid/>
                <w:color w:val="000000"/>
                <w:sz w:val="20"/>
                <w:lang w:val="en-GB" w:eastAsia="en-GB"/>
              </w:rPr>
              <w:t>45 mg (30)</w:t>
            </w:r>
          </w:p>
        </w:tc>
        <w:tc>
          <w:tcPr>
            <w:tcW w:w="510" w:type="pct"/>
            <w:shd w:val="clear" w:color="auto" w:fill="auto"/>
            <w:vAlign w:val="center"/>
            <w:hideMark/>
          </w:tcPr>
          <w:p w:rsidR="00C157EE" w:rsidRPr="00084612" w:rsidRDefault="00084612" w:rsidP="009C0C48">
            <w:pPr>
              <w:widowControl/>
              <w:jc w:val="right"/>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w:t>
            </w:r>
          </w:p>
        </w:tc>
        <w:tc>
          <w:tcPr>
            <w:tcW w:w="425" w:type="pct"/>
            <w:shd w:val="clear" w:color="auto" w:fill="auto"/>
            <w:noWrap/>
            <w:vAlign w:val="center"/>
            <w:hideMark/>
          </w:tcPr>
          <w:p w:rsidR="00C157EE" w:rsidRPr="00084612" w:rsidRDefault="00084612" w:rsidP="009C0C48">
            <w:pPr>
              <w:widowControl/>
              <w:jc w:val="right"/>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w:t>
            </w:r>
          </w:p>
        </w:tc>
        <w:tc>
          <w:tcPr>
            <w:tcW w:w="340" w:type="pct"/>
            <w:shd w:val="clear" w:color="auto" w:fill="auto"/>
            <w:noWrap/>
            <w:vAlign w:val="center"/>
            <w:hideMark/>
          </w:tcPr>
          <w:p w:rsidR="00C157EE" w:rsidRPr="00084612" w:rsidRDefault="00084612" w:rsidP="009C0C48">
            <w:pPr>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w:t>
            </w:r>
          </w:p>
        </w:tc>
        <w:tc>
          <w:tcPr>
            <w:tcW w:w="507" w:type="pct"/>
            <w:vMerge/>
            <w:vAlign w:val="center"/>
            <w:hideMark/>
          </w:tcPr>
          <w:p w:rsidR="00C157EE" w:rsidRPr="001B449A" w:rsidRDefault="00C157EE" w:rsidP="003E5B5D">
            <w:pPr>
              <w:widowControl/>
              <w:jc w:val="right"/>
              <w:rPr>
                <w:rFonts w:ascii="Arial Narrow" w:hAnsi="Arial Narrow" w:cs="Times New Roman"/>
                <w:snapToGrid/>
                <w:color w:val="000000"/>
                <w:sz w:val="20"/>
                <w:lang w:val="en-GB" w:eastAsia="en-GB"/>
              </w:rPr>
            </w:pPr>
          </w:p>
        </w:tc>
        <w:tc>
          <w:tcPr>
            <w:tcW w:w="509" w:type="pct"/>
            <w:vMerge/>
            <w:vAlign w:val="center"/>
            <w:hideMark/>
          </w:tcPr>
          <w:p w:rsidR="00C157EE" w:rsidRPr="001B449A" w:rsidRDefault="00C157EE" w:rsidP="003E5B5D">
            <w:pPr>
              <w:widowControl/>
              <w:jc w:val="center"/>
              <w:rPr>
                <w:rFonts w:ascii="Arial Narrow" w:hAnsi="Arial Narrow" w:cs="Times New Roman"/>
                <w:snapToGrid/>
                <w:color w:val="000000"/>
                <w:sz w:val="20"/>
                <w:lang w:val="en-GB" w:eastAsia="en-GB"/>
              </w:rPr>
            </w:pPr>
          </w:p>
        </w:tc>
        <w:tc>
          <w:tcPr>
            <w:tcW w:w="1108" w:type="pct"/>
            <w:gridSpan w:val="2"/>
            <w:vMerge/>
            <w:vAlign w:val="center"/>
            <w:hideMark/>
          </w:tcPr>
          <w:p w:rsidR="00C157EE" w:rsidRPr="001B449A" w:rsidRDefault="00C157EE" w:rsidP="003E5B5D">
            <w:pPr>
              <w:widowControl/>
              <w:jc w:val="right"/>
              <w:rPr>
                <w:rFonts w:ascii="Arial Narrow" w:hAnsi="Arial Narrow" w:cs="Times New Roman"/>
                <w:snapToGrid/>
                <w:color w:val="000000"/>
                <w:sz w:val="20"/>
                <w:lang w:val="en-GB" w:eastAsia="en-GB"/>
              </w:rPr>
            </w:pPr>
          </w:p>
        </w:tc>
        <w:tc>
          <w:tcPr>
            <w:tcW w:w="497" w:type="pct"/>
            <w:vMerge/>
            <w:vAlign w:val="center"/>
            <w:hideMark/>
          </w:tcPr>
          <w:p w:rsidR="00C157EE" w:rsidRPr="001B449A" w:rsidRDefault="00C157EE" w:rsidP="003E5B5D">
            <w:pPr>
              <w:widowControl/>
              <w:jc w:val="right"/>
              <w:rPr>
                <w:rFonts w:ascii="Arial Narrow" w:hAnsi="Arial Narrow" w:cs="Times New Roman"/>
                <w:snapToGrid/>
                <w:color w:val="000000"/>
                <w:sz w:val="20"/>
                <w:lang w:val="en-GB" w:eastAsia="en-GB"/>
              </w:rPr>
            </w:pPr>
          </w:p>
        </w:tc>
      </w:tr>
    </w:tbl>
    <w:p w:rsidR="00C157EE" w:rsidRPr="001B449A" w:rsidRDefault="00C157EE" w:rsidP="00872DC3">
      <w:pPr>
        <w:pStyle w:val="TableFooter"/>
        <w:ind w:firstLine="720"/>
        <w:rPr>
          <w:rStyle w:val="CommentReference"/>
          <w:b w:val="0"/>
          <w:sz w:val="18"/>
          <w:szCs w:val="20"/>
        </w:rPr>
      </w:pPr>
      <w:r w:rsidRPr="001B449A">
        <w:rPr>
          <w:rStyle w:val="CommentReference"/>
          <w:b w:val="0"/>
          <w:sz w:val="18"/>
          <w:szCs w:val="20"/>
        </w:rPr>
        <w:t>Source: Excel workbook: Ponatinib – Section D.</w:t>
      </w:r>
    </w:p>
    <w:p w:rsidR="00C157EE" w:rsidRPr="001B449A" w:rsidRDefault="00C157EE" w:rsidP="00872DC3">
      <w:pPr>
        <w:pStyle w:val="TableFooter"/>
        <w:ind w:firstLine="720"/>
        <w:rPr>
          <w:rStyle w:val="CommentReference"/>
          <w:b w:val="0"/>
          <w:sz w:val="18"/>
          <w:szCs w:val="20"/>
        </w:rPr>
      </w:pPr>
      <w:r w:rsidRPr="001B449A">
        <w:rPr>
          <w:rStyle w:val="CommentReference"/>
          <w:b w:val="0"/>
          <w:sz w:val="18"/>
          <w:szCs w:val="20"/>
        </w:rPr>
        <w:t>DAS = dasatinib; DPMQ = dispensed price, maximum quantity; NIL = nilotinib</w:t>
      </w:r>
    </w:p>
    <w:p w:rsidR="00257B1F" w:rsidRPr="001B449A" w:rsidRDefault="00257B1F" w:rsidP="00872DC3">
      <w:pPr>
        <w:pStyle w:val="TableFooter"/>
        <w:ind w:firstLine="720"/>
        <w:rPr>
          <w:rStyle w:val="CommentReference"/>
          <w:b w:val="0"/>
          <w:sz w:val="18"/>
          <w:szCs w:val="20"/>
        </w:rPr>
      </w:pPr>
    </w:p>
    <w:p w:rsidR="00257B1F" w:rsidRDefault="00257B1F" w:rsidP="00AB3220">
      <w:pPr>
        <w:pStyle w:val="ListParagraph"/>
        <w:widowControl/>
        <w:numPr>
          <w:ilvl w:val="1"/>
          <w:numId w:val="12"/>
        </w:numPr>
        <w:ind w:left="720" w:hanging="720"/>
      </w:pPr>
      <w:r w:rsidRPr="001B449A">
        <w:t>The cost minimisation analysis may not be accurate</w:t>
      </w:r>
      <w:r w:rsidR="00913078" w:rsidRPr="001B449A">
        <w:t xml:space="preserve"> as </w:t>
      </w:r>
      <w:r w:rsidRPr="001B449A">
        <w:t xml:space="preserve">the DPMQ values for ponatinib are higher </w:t>
      </w:r>
      <w:r w:rsidR="00157EC1" w:rsidRPr="001B449A">
        <w:t xml:space="preserve">than </w:t>
      </w:r>
      <w:r w:rsidRPr="001B449A">
        <w:t>the weighted dispensed cost per month. The proposed DPMQ for ponatinib 45 mg per day is almost $800 per month more than for the 30 mg daily dose, yet the higher dose is associated with more adverse events and</w:t>
      </w:r>
      <w:r w:rsidR="00913078" w:rsidRPr="001B449A">
        <w:t>,</w:t>
      </w:r>
      <w:r w:rsidRPr="001B449A">
        <w:t xml:space="preserve"> according to the submission</w:t>
      </w:r>
      <w:r w:rsidR="00913078" w:rsidRPr="001B449A">
        <w:t>,</w:t>
      </w:r>
      <w:r w:rsidRPr="001B449A">
        <w:t xml:space="preserve"> no additional efficacy.</w:t>
      </w:r>
    </w:p>
    <w:p w:rsidR="008A503C" w:rsidRDefault="008A503C" w:rsidP="008A503C">
      <w:pPr>
        <w:pStyle w:val="ListParagraph"/>
        <w:widowControl/>
      </w:pPr>
    </w:p>
    <w:p w:rsidR="008A503C" w:rsidRDefault="008A503C" w:rsidP="00AB3220">
      <w:pPr>
        <w:pStyle w:val="ListParagraph"/>
        <w:widowControl/>
        <w:numPr>
          <w:ilvl w:val="1"/>
          <w:numId w:val="12"/>
        </w:numPr>
        <w:ind w:left="720" w:hanging="720"/>
      </w:pPr>
      <w:r w:rsidRPr="008A503C">
        <w:t>The PBAC considered that costs for the major vascular occlusive events must be accounted for in any costing exercise, and that the DPMQ should align with the weighted dispensed costs per month</w:t>
      </w:r>
      <w:r>
        <w:t>.</w:t>
      </w:r>
    </w:p>
    <w:p w:rsidR="009142DC" w:rsidRDefault="009142DC" w:rsidP="009142DC">
      <w:pPr>
        <w:pStyle w:val="ListParagraph"/>
      </w:pPr>
    </w:p>
    <w:p w:rsidR="009142DC" w:rsidRPr="009142DC" w:rsidRDefault="009142DC" w:rsidP="002563DC">
      <w:pPr>
        <w:widowControl/>
        <w:ind w:firstLine="720"/>
        <w:rPr>
          <w:i/>
        </w:rPr>
      </w:pPr>
      <w:r w:rsidRPr="009142DC">
        <w:rPr>
          <w:i/>
        </w:rPr>
        <w:t>For more detail on PBAC’s view, see section 7 “PBAC outcome”</w:t>
      </w:r>
    </w:p>
    <w:p w:rsidR="00257B1F" w:rsidRPr="001B449A" w:rsidRDefault="00257B1F" w:rsidP="00B32047">
      <w:pPr>
        <w:pStyle w:val="BodyText"/>
        <w:rPr>
          <w:rStyle w:val="CommentReference"/>
        </w:rPr>
      </w:pPr>
    </w:p>
    <w:p w:rsidR="00DA7AFF" w:rsidRPr="001B449A" w:rsidRDefault="00DA7AFF" w:rsidP="00D277F2">
      <w:pPr>
        <w:pStyle w:val="BodyText"/>
        <w:rPr>
          <w:b/>
          <w:szCs w:val="22"/>
        </w:rPr>
      </w:pPr>
      <w:bookmarkStart w:id="15" w:name="_Toc395184051"/>
      <w:bookmarkStart w:id="16" w:name="_Toc395184176"/>
      <w:bookmarkStart w:id="17" w:name="_Toc395612055"/>
      <w:bookmarkStart w:id="18" w:name="_Toc395784110"/>
      <w:bookmarkStart w:id="19" w:name="_Toc396133210"/>
      <w:proofErr w:type="gramStart"/>
      <w:r w:rsidRPr="001B449A">
        <w:rPr>
          <w:b/>
        </w:rPr>
        <w:t>Drug cost/patient/</w:t>
      </w:r>
      <w:r w:rsidR="00257B1F" w:rsidRPr="001B449A">
        <w:rPr>
          <w:b/>
        </w:rPr>
        <w:t>month</w:t>
      </w:r>
      <w:r w:rsidRPr="001B449A">
        <w:rPr>
          <w:b/>
        </w:rPr>
        <w:t xml:space="preserve">: </w:t>
      </w:r>
      <w:bookmarkEnd w:id="15"/>
      <w:bookmarkEnd w:id="16"/>
      <w:bookmarkEnd w:id="17"/>
      <w:bookmarkEnd w:id="18"/>
      <w:bookmarkEnd w:id="19"/>
      <w:r w:rsidR="00084612">
        <w:rPr>
          <w:b/>
          <w:noProof/>
          <w:color w:val="000000"/>
          <w:highlight w:val="black"/>
        </w:rPr>
        <w:t>'''''''''''''''''</w:t>
      </w:r>
      <w:proofErr w:type="gramEnd"/>
    </w:p>
    <w:p w:rsidR="00DA7AFF" w:rsidRPr="001B449A" w:rsidRDefault="00DA7AFF" w:rsidP="00B32047">
      <w:pPr>
        <w:pStyle w:val="BodyText"/>
        <w:rPr>
          <w:rStyle w:val="CommentReference"/>
        </w:rPr>
      </w:pPr>
    </w:p>
    <w:p w:rsidR="00257B1F" w:rsidRPr="008A503C" w:rsidRDefault="00257B1F" w:rsidP="00AB3220">
      <w:pPr>
        <w:pStyle w:val="ListParagraph"/>
        <w:widowControl/>
        <w:numPr>
          <w:ilvl w:val="1"/>
          <w:numId w:val="12"/>
        </w:numPr>
        <w:ind w:left="720" w:hanging="720"/>
        <w:rPr>
          <w:szCs w:val="22"/>
        </w:rPr>
      </w:pPr>
      <w:r w:rsidRPr="001B449A">
        <w:t xml:space="preserve">The drug cost per patient per month is </w:t>
      </w:r>
      <w:r w:rsidR="00084612">
        <w:rPr>
          <w:noProof/>
          <w:color w:val="000000"/>
          <w:highlight w:val="black"/>
        </w:rPr>
        <w:t>'''''''''''''''''''''''''</w:t>
      </w:r>
      <w:r w:rsidRPr="001B449A">
        <w:t>, compared to $5,641.71 for dasatinib and nilotinib. This value is based on the assumption that 70% of the patients will receive the 15 mg</w:t>
      </w:r>
      <w:r w:rsidR="00234D40" w:rsidRPr="001B449A">
        <w:t xml:space="preserve"> (</w:t>
      </w:r>
      <w:r w:rsidRPr="001B449A">
        <w:t>60 tablet</w:t>
      </w:r>
      <w:r w:rsidR="001C1E53">
        <w:t>s</w:t>
      </w:r>
      <w:r w:rsidR="00234D40" w:rsidRPr="001B449A">
        <w:t>)</w:t>
      </w:r>
      <w:r w:rsidRPr="001B449A">
        <w:t xml:space="preserve"> strength and the remainder the higher </w:t>
      </w:r>
      <w:r w:rsidR="00234D40" w:rsidRPr="001B449A">
        <w:t>45 mg (30 tablet</w:t>
      </w:r>
      <w:r w:rsidR="001C1E53">
        <w:t>s</w:t>
      </w:r>
      <w:r w:rsidR="00234D40" w:rsidRPr="001B449A">
        <w:t xml:space="preserve">) </w:t>
      </w:r>
      <w:r w:rsidRPr="001B449A">
        <w:t>strength</w:t>
      </w:r>
      <w:r w:rsidR="00753C85" w:rsidRPr="001B449A">
        <w:t>, resulting in a</w:t>
      </w:r>
      <w:r w:rsidR="00157EC1" w:rsidRPr="001B449A">
        <w:t>n</w:t>
      </w:r>
      <w:r w:rsidR="00753C85" w:rsidRPr="001B449A">
        <w:t xml:space="preserve"> average daily dose of 34.5 mg, compared to the proposed equi-effective dose of 30.2 mg per day</w:t>
      </w:r>
      <w:r w:rsidR="00090D1C">
        <w:t>. The submission did</w:t>
      </w:r>
      <w:r w:rsidRPr="001B449A">
        <w:t xml:space="preserve"> not provide information on the duration of treatment, but the treatment is likely to be ongoing.</w:t>
      </w:r>
    </w:p>
    <w:p w:rsidR="008A503C" w:rsidRPr="008A503C" w:rsidRDefault="008A503C" w:rsidP="008A503C">
      <w:pPr>
        <w:pStyle w:val="ListParagraph"/>
        <w:widowControl/>
        <w:rPr>
          <w:szCs w:val="22"/>
        </w:rPr>
      </w:pPr>
    </w:p>
    <w:p w:rsidR="008A503C" w:rsidRPr="001B449A" w:rsidRDefault="008A503C" w:rsidP="00AB3220">
      <w:pPr>
        <w:pStyle w:val="ListParagraph"/>
        <w:widowControl/>
        <w:numPr>
          <w:ilvl w:val="1"/>
          <w:numId w:val="12"/>
        </w:numPr>
        <w:ind w:left="720" w:hanging="720"/>
        <w:rPr>
          <w:szCs w:val="22"/>
        </w:rPr>
      </w:pPr>
      <w:r w:rsidRPr="008A503C">
        <w:rPr>
          <w:szCs w:val="22"/>
        </w:rPr>
        <w:t>The PBAC considered that a significant reduction in price would be required to account for the significant costs associated with care of patients with vascular occlusive events</w:t>
      </w:r>
      <w:r>
        <w:rPr>
          <w:szCs w:val="22"/>
        </w:rPr>
        <w:t>.</w:t>
      </w:r>
    </w:p>
    <w:p w:rsidR="00CD4AA5" w:rsidRPr="001B449A" w:rsidRDefault="00CD4AA5" w:rsidP="00CD4AA5">
      <w:pPr>
        <w:widowControl/>
        <w:rPr>
          <w:szCs w:val="22"/>
        </w:rPr>
      </w:pPr>
    </w:p>
    <w:p w:rsidR="00CD4AA5" w:rsidRPr="00976978" w:rsidRDefault="00CD4AA5" w:rsidP="00976978">
      <w:pPr>
        <w:rPr>
          <w:b/>
          <w:szCs w:val="22"/>
        </w:rPr>
      </w:pPr>
      <w:bookmarkStart w:id="20" w:name="_Toc398282535"/>
      <w:r w:rsidRPr="00976978">
        <w:rPr>
          <w:b/>
          <w:szCs w:val="22"/>
        </w:rPr>
        <w:t>Estimated PBS usage &amp; financial implications</w:t>
      </w:r>
      <w:bookmarkEnd w:id="20"/>
    </w:p>
    <w:p w:rsidR="00CD4AA5" w:rsidRPr="001B449A" w:rsidRDefault="00CD4AA5" w:rsidP="00CD4AA5">
      <w:pPr>
        <w:ind w:left="720" w:hanging="720"/>
        <w:rPr>
          <w:b/>
          <w:szCs w:val="22"/>
        </w:rPr>
      </w:pPr>
    </w:p>
    <w:p w:rsidR="00881B1E" w:rsidRPr="001B449A" w:rsidRDefault="00382CD7" w:rsidP="00AB3220">
      <w:pPr>
        <w:pStyle w:val="ListParagraph"/>
        <w:widowControl/>
        <w:numPr>
          <w:ilvl w:val="1"/>
          <w:numId w:val="12"/>
        </w:numPr>
        <w:ind w:left="720" w:hanging="720"/>
        <w:rPr>
          <w:szCs w:val="22"/>
        </w:rPr>
      </w:pPr>
      <w:r>
        <w:t>This submission was</w:t>
      </w:r>
      <w:r w:rsidR="00CD4AA5" w:rsidRPr="001B449A">
        <w:t xml:space="preserve"> not considered by DUSC</w:t>
      </w:r>
      <w:r w:rsidR="00CD4AA5" w:rsidRPr="001B449A">
        <w:rPr>
          <w:color w:val="0070C0"/>
        </w:rPr>
        <w:t xml:space="preserve">.  </w:t>
      </w:r>
    </w:p>
    <w:p w:rsidR="00881B1E" w:rsidRPr="001B449A" w:rsidRDefault="00881B1E" w:rsidP="00881B1E">
      <w:pPr>
        <w:pStyle w:val="ListParagraph"/>
        <w:widowControl/>
        <w:rPr>
          <w:color w:val="0070C0"/>
        </w:rPr>
      </w:pPr>
    </w:p>
    <w:p w:rsidR="00881B1E" w:rsidRPr="001B449A" w:rsidRDefault="009142DC" w:rsidP="002C2C55">
      <w:pPr>
        <w:pStyle w:val="ListParagraph"/>
        <w:widowControl/>
        <w:numPr>
          <w:ilvl w:val="1"/>
          <w:numId w:val="12"/>
        </w:numPr>
        <w:ind w:left="720" w:hanging="720"/>
      </w:pPr>
      <w:r>
        <w:t>The submission used</w:t>
      </w:r>
      <w:r w:rsidR="00881B1E" w:rsidRPr="001B449A">
        <w:t xml:space="preserve"> a market share approach to estimate the utilisation and cost of ponatinib over a five year time horizon.</w:t>
      </w:r>
      <w:r>
        <w:t xml:space="preserve"> This was</w:t>
      </w:r>
      <w:r w:rsidR="003B189B" w:rsidRPr="001B449A">
        <w:t xml:space="preserve"> presented in </w:t>
      </w:r>
      <w:r w:rsidR="009F0D55">
        <w:t>the following table</w:t>
      </w:r>
      <w:r w:rsidR="003B189B" w:rsidRPr="001B449A">
        <w:t>.</w:t>
      </w:r>
    </w:p>
    <w:p w:rsidR="00CD4AA5" w:rsidRPr="001B449A" w:rsidRDefault="00CD4AA5" w:rsidP="00CD4AA5">
      <w:pPr>
        <w:widowControl/>
        <w:rPr>
          <w:szCs w:val="22"/>
        </w:rPr>
      </w:pPr>
    </w:p>
    <w:p w:rsidR="00CD4AA5" w:rsidRPr="001B449A" w:rsidRDefault="00CD4AA5" w:rsidP="009C0C48">
      <w:pPr>
        <w:keepNext/>
        <w:ind w:firstLine="709"/>
        <w:rPr>
          <w:rStyle w:val="CommentReference"/>
        </w:rPr>
      </w:pPr>
      <w:r w:rsidRPr="001B449A">
        <w:rPr>
          <w:rStyle w:val="CommentReference"/>
        </w:rPr>
        <w:lastRenderedPageBreak/>
        <w:t>Estimated use and financial implications</w:t>
      </w:r>
      <w:r w:rsidR="003B189B" w:rsidRPr="001B449A">
        <w:rPr>
          <w:rStyle w:val="CommentReference"/>
        </w:rPr>
        <w:t xml:space="preserve"> of ponatinib listing on the PBS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41"/>
        <w:gridCol w:w="1116"/>
        <w:gridCol w:w="992"/>
        <w:gridCol w:w="975"/>
        <w:gridCol w:w="1031"/>
        <w:gridCol w:w="992"/>
      </w:tblGrid>
      <w:tr w:rsidR="00CD4AA5" w:rsidRPr="001B449A" w:rsidTr="000B164C">
        <w:trPr>
          <w:cantSplit/>
          <w:tblHeader/>
        </w:trPr>
        <w:tc>
          <w:tcPr>
            <w:tcW w:w="1952" w:type="pct"/>
            <w:shd w:val="clear" w:color="auto" w:fill="auto"/>
            <w:vAlign w:val="center"/>
          </w:tcPr>
          <w:p w:rsidR="00CD4AA5" w:rsidRPr="001B449A" w:rsidRDefault="00CD4AA5" w:rsidP="009C0C48">
            <w:pPr>
              <w:keepNext/>
              <w:tabs>
                <w:tab w:val="left" w:pos="142"/>
              </w:tabs>
              <w:jc w:val="left"/>
              <w:rPr>
                <w:rFonts w:ascii="Arial Narrow" w:hAnsi="Arial Narrow"/>
                <w:b/>
                <w:sz w:val="20"/>
              </w:rPr>
            </w:pPr>
          </w:p>
        </w:tc>
        <w:tc>
          <w:tcPr>
            <w:tcW w:w="679" w:type="pct"/>
            <w:shd w:val="clear" w:color="auto" w:fill="auto"/>
            <w:vAlign w:val="center"/>
          </w:tcPr>
          <w:p w:rsidR="00CD4AA5" w:rsidRPr="001B449A" w:rsidRDefault="00CD4AA5" w:rsidP="009C0C48">
            <w:pPr>
              <w:keepNext/>
              <w:jc w:val="center"/>
              <w:rPr>
                <w:rFonts w:ascii="Arial Narrow" w:hAnsi="Arial Narrow"/>
                <w:b/>
                <w:sz w:val="20"/>
              </w:rPr>
            </w:pPr>
            <w:r w:rsidRPr="001B449A">
              <w:rPr>
                <w:rFonts w:ascii="Arial Narrow" w:hAnsi="Arial Narrow"/>
                <w:b/>
                <w:sz w:val="20"/>
              </w:rPr>
              <w:t>Year 1</w:t>
            </w:r>
          </w:p>
          <w:p w:rsidR="00872DC3" w:rsidRPr="001B449A" w:rsidRDefault="00872DC3" w:rsidP="009C0C48">
            <w:pPr>
              <w:keepNext/>
              <w:jc w:val="center"/>
              <w:rPr>
                <w:rFonts w:ascii="Arial Narrow" w:hAnsi="Arial Narrow"/>
                <w:b/>
                <w:sz w:val="20"/>
              </w:rPr>
            </w:pPr>
            <w:r w:rsidRPr="001B449A">
              <w:rPr>
                <w:rFonts w:ascii="Arial Narrow" w:hAnsi="Arial Narrow"/>
                <w:b/>
                <w:sz w:val="20"/>
              </w:rPr>
              <w:t>2015</w:t>
            </w:r>
          </w:p>
        </w:tc>
        <w:tc>
          <w:tcPr>
            <w:tcW w:w="594" w:type="pct"/>
            <w:shd w:val="clear" w:color="auto" w:fill="auto"/>
            <w:vAlign w:val="center"/>
          </w:tcPr>
          <w:p w:rsidR="00CD4AA5" w:rsidRPr="001B449A" w:rsidRDefault="00CD4AA5" w:rsidP="009C0C48">
            <w:pPr>
              <w:keepNext/>
              <w:jc w:val="center"/>
              <w:rPr>
                <w:rFonts w:ascii="Arial Narrow" w:hAnsi="Arial Narrow"/>
                <w:b/>
                <w:sz w:val="20"/>
              </w:rPr>
            </w:pPr>
            <w:r w:rsidRPr="001B449A">
              <w:rPr>
                <w:rFonts w:ascii="Arial Narrow" w:hAnsi="Arial Narrow"/>
                <w:b/>
                <w:sz w:val="20"/>
              </w:rPr>
              <w:t>Year 2</w:t>
            </w:r>
          </w:p>
          <w:p w:rsidR="00872DC3" w:rsidRPr="001B449A" w:rsidRDefault="00872DC3" w:rsidP="009C0C48">
            <w:pPr>
              <w:keepNext/>
              <w:jc w:val="center"/>
              <w:rPr>
                <w:rFonts w:ascii="Arial Narrow" w:hAnsi="Arial Narrow"/>
                <w:b/>
                <w:sz w:val="20"/>
              </w:rPr>
            </w:pPr>
            <w:r w:rsidRPr="001B449A">
              <w:rPr>
                <w:rFonts w:ascii="Arial Narrow" w:hAnsi="Arial Narrow"/>
                <w:b/>
                <w:sz w:val="20"/>
              </w:rPr>
              <w:t>2016</w:t>
            </w:r>
          </w:p>
        </w:tc>
        <w:tc>
          <w:tcPr>
            <w:tcW w:w="594" w:type="pct"/>
            <w:shd w:val="clear" w:color="auto" w:fill="auto"/>
            <w:vAlign w:val="center"/>
          </w:tcPr>
          <w:p w:rsidR="00CD4AA5" w:rsidRPr="001B449A" w:rsidRDefault="00CD4AA5" w:rsidP="00872DC3">
            <w:pPr>
              <w:keepNext/>
              <w:jc w:val="center"/>
              <w:rPr>
                <w:rFonts w:ascii="Arial Narrow" w:hAnsi="Arial Narrow"/>
                <w:b/>
                <w:sz w:val="20"/>
              </w:rPr>
            </w:pPr>
            <w:r w:rsidRPr="001B449A">
              <w:rPr>
                <w:rFonts w:ascii="Arial Narrow" w:hAnsi="Arial Narrow"/>
                <w:b/>
                <w:sz w:val="20"/>
              </w:rPr>
              <w:t>Year 3</w:t>
            </w:r>
          </w:p>
          <w:p w:rsidR="00872DC3" w:rsidRPr="001B449A" w:rsidRDefault="00872DC3" w:rsidP="00872DC3">
            <w:pPr>
              <w:keepNext/>
              <w:jc w:val="center"/>
              <w:rPr>
                <w:rFonts w:ascii="Arial Narrow" w:hAnsi="Arial Narrow"/>
                <w:b/>
                <w:sz w:val="20"/>
              </w:rPr>
            </w:pPr>
            <w:r w:rsidRPr="001B449A">
              <w:rPr>
                <w:rFonts w:ascii="Arial Narrow" w:hAnsi="Arial Narrow"/>
                <w:b/>
                <w:sz w:val="20"/>
              </w:rPr>
              <w:t>2017</w:t>
            </w:r>
          </w:p>
        </w:tc>
        <w:tc>
          <w:tcPr>
            <w:tcW w:w="594" w:type="pct"/>
            <w:shd w:val="clear" w:color="auto" w:fill="auto"/>
            <w:vAlign w:val="center"/>
          </w:tcPr>
          <w:p w:rsidR="00CD4AA5" w:rsidRPr="001B449A" w:rsidRDefault="00CD4AA5" w:rsidP="009C0C48">
            <w:pPr>
              <w:keepNext/>
              <w:jc w:val="center"/>
              <w:rPr>
                <w:rFonts w:ascii="Arial Narrow" w:hAnsi="Arial Narrow"/>
                <w:b/>
                <w:sz w:val="20"/>
              </w:rPr>
            </w:pPr>
            <w:r w:rsidRPr="001B449A">
              <w:rPr>
                <w:rFonts w:ascii="Arial Narrow" w:hAnsi="Arial Narrow"/>
                <w:b/>
                <w:sz w:val="20"/>
              </w:rPr>
              <w:t>Year 4</w:t>
            </w:r>
          </w:p>
          <w:p w:rsidR="00872DC3" w:rsidRPr="001B449A" w:rsidRDefault="00872DC3" w:rsidP="009C0C48">
            <w:pPr>
              <w:keepNext/>
              <w:jc w:val="center"/>
              <w:rPr>
                <w:rFonts w:ascii="Arial Narrow" w:hAnsi="Arial Narrow"/>
                <w:b/>
                <w:sz w:val="20"/>
              </w:rPr>
            </w:pPr>
            <w:r w:rsidRPr="001B449A">
              <w:rPr>
                <w:rFonts w:ascii="Arial Narrow" w:hAnsi="Arial Narrow"/>
                <w:b/>
                <w:sz w:val="20"/>
              </w:rPr>
              <w:t>2018</w:t>
            </w:r>
          </w:p>
        </w:tc>
        <w:tc>
          <w:tcPr>
            <w:tcW w:w="586" w:type="pct"/>
            <w:shd w:val="clear" w:color="auto" w:fill="auto"/>
            <w:vAlign w:val="center"/>
          </w:tcPr>
          <w:p w:rsidR="00CD4AA5" w:rsidRPr="001B449A" w:rsidRDefault="00CD4AA5" w:rsidP="009C0C48">
            <w:pPr>
              <w:keepNext/>
              <w:jc w:val="center"/>
              <w:rPr>
                <w:rFonts w:ascii="Arial Narrow" w:hAnsi="Arial Narrow"/>
                <w:b/>
                <w:sz w:val="20"/>
              </w:rPr>
            </w:pPr>
            <w:r w:rsidRPr="001B449A">
              <w:rPr>
                <w:rFonts w:ascii="Arial Narrow" w:hAnsi="Arial Narrow"/>
                <w:b/>
                <w:sz w:val="20"/>
              </w:rPr>
              <w:t>Year 5</w:t>
            </w:r>
          </w:p>
          <w:p w:rsidR="00872DC3" w:rsidRPr="001B449A" w:rsidRDefault="00872DC3" w:rsidP="009C0C48">
            <w:pPr>
              <w:keepNext/>
              <w:jc w:val="center"/>
              <w:rPr>
                <w:rFonts w:ascii="Arial Narrow" w:hAnsi="Arial Narrow"/>
                <w:b/>
                <w:sz w:val="20"/>
              </w:rPr>
            </w:pPr>
            <w:r w:rsidRPr="001B449A">
              <w:rPr>
                <w:rFonts w:ascii="Arial Narrow" w:hAnsi="Arial Narrow"/>
                <w:b/>
                <w:sz w:val="20"/>
              </w:rPr>
              <w:t>2019</w:t>
            </w:r>
          </w:p>
        </w:tc>
      </w:tr>
      <w:tr w:rsidR="00CD4AA5" w:rsidRPr="001B449A" w:rsidTr="000B164C">
        <w:trPr>
          <w:cantSplit/>
        </w:trPr>
        <w:tc>
          <w:tcPr>
            <w:tcW w:w="5000" w:type="pct"/>
            <w:gridSpan w:val="6"/>
            <w:shd w:val="clear" w:color="auto" w:fill="auto"/>
            <w:vAlign w:val="center"/>
          </w:tcPr>
          <w:p w:rsidR="00CD4AA5" w:rsidRPr="001B449A" w:rsidRDefault="00CD4AA5" w:rsidP="009C0C48">
            <w:pPr>
              <w:keepNext/>
              <w:jc w:val="left"/>
              <w:rPr>
                <w:rFonts w:ascii="Arial Narrow" w:hAnsi="Arial Narrow"/>
                <w:b/>
                <w:bCs/>
                <w:color w:val="000000"/>
                <w:sz w:val="20"/>
              </w:rPr>
            </w:pPr>
            <w:r w:rsidRPr="001B449A">
              <w:rPr>
                <w:rFonts w:ascii="Arial Narrow" w:hAnsi="Arial Narrow"/>
                <w:b/>
                <w:bCs/>
                <w:color w:val="000000"/>
                <w:sz w:val="20"/>
              </w:rPr>
              <w:t>Estimated extent of use</w:t>
            </w:r>
          </w:p>
        </w:tc>
      </w:tr>
      <w:tr w:rsidR="00CD4AA5" w:rsidRPr="001B449A" w:rsidTr="000B164C">
        <w:trPr>
          <w:cantSplit/>
        </w:trPr>
        <w:tc>
          <w:tcPr>
            <w:tcW w:w="1952" w:type="pct"/>
            <w:shd w:val="clear" w:color="auto" w:fill="auto"/>
            <w:vAlign w:val="center"/>
          </w:tcPr>
          <w:p w:rsidR="00CD4AA5" w:rsidRPr="001B449A" w:rsidRDefault="00CD4AA5" w:rsidP="009C0C48">
            <w:pPr>
              <w:keepNext/>
              <w:tabs>
                <w:tab w:val="left" w:pos="142"/>
              </w:tabs>
              <w:jc w:val="left"/>
              <w:rPr>
                <w:rFonts w:ascii="Arial Narrow" w:hAnsi="Arial Narrow"/>
                <w:sz w:val="20"/>
              </w:rPr>
            </w:pPr>
            <w:r w:rsidRPr="001B449A">
              <w:rPr>
                <w:rFonts w:ascii="Arial Narrow" w:hAnsi="Arial Narrow"/>
                <w:sz w:val="20"/>
              </w:rPr>
              <w:t>Number treated</w:t>
            </w:r>
          </w:p>
        </w:tc>
        <w:tc>
          <w:tcPr>
            <w:tcW w:w="679" w:type="pct"/>
            <w:shd w:val="clear" w:color="auto" w:fill="auto"/>
            <w:vAlign w:val="center"/>
          </w:tcPr>
          <w:p w:rsidR="00CD4AA5" w:rsidRPr="001B449A" w:rsidRDefault="00CD4AA5" w:rsidP="009C0C48">
            <w:pPr>
              <w:keepNext/>
              <w:jc w:val="center"/>
              <w:rPr>
                <w:rFonts w:ascii="Arial Narrow" w:hAnsi="Arial Narrow"/>
                <w:bCs/>
                <w:color w:val="000000"/>
                <w:sz w:val="20"/>
              </w:rPr>
            </w:pPr>
          </w:p>
        </w:tc>
        <w:tc>
          <w:tcPr>
            <w:tcW w:w="594" w:type="pct"/>
            <w:shd w:val="clear" w:color="auto" w:fill="auto"/>
            <w:vAlign w:val="center"/>
          </w:tcPr>
          <w:p w:rsidR="00CD4AA5" w:rsidRPr="001B449A" w:rsidRDefault="00CD4AA5" w:rsidP="009C0C48">
            <w:pPr>
              <w:keepNext/>
              <w:jc w:val="center"/>
              <w:rPr>
                <w:rFonts w:ascii="Arial Narrow" w:hAnsi="Arial Narrow"/>
                <w:bCs/>
                <w:color w:val="000000"/>
                <w:sz w:val="20"/>
              </w:rPr>
            </w:pPr>
          </w:p>
        </w:tc>
        <w:tc>
          <w:tcPr>
            <w:tcW w:w="594" w:type="pct"/>
            <w:shd w:val="clear" w:color="auto" w:fill="auto"/>
            <w:vAlign w:val="center"/>
          </w:tcPr>
          <w:p w:rsidR="00CD4AA5" w:rsidRPr="001B449A" w:rsidRDefault="00CD4AA5" w:rsidP="009C0C48">
            <w:pPr>
              <w:keepNext/>
              <w:jc w:val="center"/>
              <w:rPr>
                <w:rFonts w:ascii="Arial Narrow" w:hAnsi="Arial Narrow"/>
                <w:bCs/>
                <w:color w:val="000000"/>
                <w:sz w:val="20"/>
              </w:rPr>
            </w:pPr>
          </w:p>
        </w:tc>
        <w:tc>
          <w:tcPr>
            <w:tcW w:w="594" w:type="pct"/>
            <w:shd w:val="clear" w:color="auto" w:fill="auto"/>
            <w:vAlign w:val="center"/>
          </w:tcPr>
          <w:p w:rsidR="00CD4AA5" w:rsidRPr="001B449A" w:rsidRDefault="00CD4AA5" w:rsidP="009C0C48">
            <w:pPr>
              <w:keepNext/>
              <w:jc w:val="center"/>
              <w:rPr>
                <w:rFonts w:ascii="Arial Narrow" w:hAnsi="Arial Narrow"/>
                <w:bCs/>
                <w:color w:val="000000"/>
                <w:sz w:val="20"/>
              </w:rPr>
            </w:pPr>
          </w:p>
        </w:tc>
        <w:tc>
          <w:tcPr>
            <w:tcW w:w="586" w:type="pct"/>
            <w:shd w:val="clear" w:color="auto" w:fill="auto"/>
            <w:vAlign w:val="center"/>
          </w:tcPr>
          <w:p w:rsidR="00CD4AA5" w:rsidRPr="001B449A" w:rsidRDefault="00CD4AA5" w:rsidP="009C0C48">
            <w:pPr>
              <w:keepNext/>
              <w:jc w:val="center"/>
              <w:rPr>
                <w:rFonts w:ascii="Arial Narrow" w:hAnsi="Arial Narrow"/>
                <w:bCs/>
                <w:color w:val="000000"/>
                <w:sz w:val="20"/>
              </w:rPr>
            </w:pPr>
          </w:p>
        </w:tc>
      </w:tr>
      <w:tr w:rsidR="00753C85" w:rsidRPr="001B449A" w:rsidTr="000B164C">
        <w:trPr>
          <w:cantSplit/>
        </w:trPr>
        <w:tc>
          <w:tcPr>
            <w:tcW w:w="1952" w:type="pct"/>
            <w:shd w:val="clear" w:color="auto" w:fill="auto"/>
            <w:vAlign w:val="bottom"/>
          </w:tcPr>
          <w:p w:rsidR="00753C85" w:rsidRPr="001B449A" w:rsidRDefault="00753C85" w:rsidP="00A65FAC">
            <w:pPr>
              <w:keepNext/>
              <w:tabs>
                <w:tab w:val="left" w:pos="142"/>
              </w:tabs>
              <w:ind w:firstLine="114"/>
              <w:jc w:val="left"/>
              <w:rPr>
                <w:rFonts w:ascii="Arial Narrow" w:hAnsi="Arial Narrow"/>
                <w:sz w:val="20"/>
              </w:rPr>
            </w:pPr>
            <w:r w:rsidRPr="001B449A">
              <w:rPr>
                <w:rFonts w:ascii="Arial Narrow" w:hAnsi="Arial Narrow"/>
                <w:color w:val="000000"/>
                <w:sz w:val="20"/>
              </w:rPr>
              <w:t>2</w:t>
            </w:r>
            <w:r w:rsidRPr="001B449A">
              <w:rPr>
                <w:rFonts w:ascii="Arial Narrow" w:hAnsi="Arial Narrow"/>
                <w:color w:val="000000"/>
                <w:sz w:val="20"/>
                <w:vertAlign w:val="superscript"/>
              </w:rPr>
              <w:t>nd</w:t>
            </w:r>
            <w:r w:rsidRPr="001B449A">
              <w:rPr>
                <w:rFonts w:ascii="Arial Narrow" w:hAnsi="Arial Narrow"/>
                <w:color w:val="000000"/>
                <w:sz w:val="20"/>
              </w:rPr>
              <w:t xml:space="preserve"> line (T315I mutation)</w:t>
            </w:r>
            <w:r w:rsidR="005F2B8D" w:rsidRPr="001B449A">
              <w:rPr>
                <w:rFonts w:ascii="Arial Narrow" w:hAnsi="Arial Narrow"/>
                <w:color w:val="000000"/>
                <w:sz w:val="20"/>
              </w:rPr>
              <w:t xml:space="preserve"> </w:t>
            </w:r>
            <w:r w:rsidR="005F2B8D" w:rsidRPr="001B449A">
              <w:rPr>
                <w:rFonts w:ascii="Arial Narrow" w:hAnsi="Arial Narrow"/>
                <w:color w:val="000000"/>
                <w:sz w:val="20"/>
                <w:vertAlign w:val="superscript"/>
              </w:rPr>
              <w:t>a</w:t>
            </w:r>
          </w:p>
        </w:tc>
        <w:tc>
          <w:tcPr>
            <w:tcW w:w="679"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6"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753C85" w:rsidRPr="001B449A" w:rsidTr="000B164C">
        <w:trPr>
          <w:cantSplit/>
        </w:trPr>
        <w:tc>
          <w:tcPr>
            <w:tcW w:w="1952" w:type="pct"/>
            <w:shd w:val="clear" w:color="auto" w:fill="auto"/>
            <w:vAlign w:val="bottom"/>
          </w:tcPr>
          <w:p w:rsidR="00753C85" w:rsidRPr="001B449A" w:rsidRDefault="00753C85" w:rsidP="00A65FAC">
            <w:pPr>
              <w:keepNext/>
              <w:tabs>
                <w:tab w:val="left" w:pos="142"/>
              </w:tabs>
              <w:ind w:firstLine="114"/>
              <w:jc w:val="left"/>
              <w:rPr>
                <w:rFonts w:ascii="Arial Narrow" w:hAnsi="Arial Narrow"/>
                <w:sz w:val="20"/>
              </w:rPr>
            </w:pPr>
            <w:r w:rsidRPr="001B449A">
              <w:rPr>
                <w:rFonts w:ascii="Arial Narrow" w:hAnsi="Arial Narrow"/>
                <w:color w:val="000000"/>
                <w:sz w:val="20"/>
              </w:rPr>
              <w:t>3</w:t>
            </w:r>
            <w:r w:rsidRPr="001B449A">
              <w:rPr>
                <w:rFonts w:ascii="Arial Narrow" w:hAnsi="Arial Narrow"/>
                <w:color w:val="000000"/>
                <w:sz w:val="20"/>
                <w:vertAlign w:val="superscript"/>
              </w:rPr>
              <w:t>rd</w:t>
            </w:r>
            <w:r w:rsidRPr="001B449A">
              <w:rPr>
                <w:rFonts w:ascii="Arial Narrow" w:hAnsi="Arial Narrow"/>
                <w:color w:val="000000"/>
                <w:sz w:val="20"/>
              </w:rPr>
              <w:t xml:space="preserve"> line</w:t>
            </w:r>
            <w:r w:rsidR="005F2B8D" w:rsidRPr="001B449A">
              <w:rPr>
                <w:rFonts w:ascii="Arial Narrow" w:hAnsi="Arial Narrow"/>
                <w:color w:val="000000"/>
                <w:sz w:val="20"/>
              </w:rPr>
              <w:t xml:space="preserve"> </w:t>
            </w:r>
            <w:r w:rsidR="00DA499D" w:rsidRPr="001B449A">
              <w:rPr>
                <w:rFonts w:ascii="Arial Narrow" w:hAnsi="Arial Narrow"/>
                <w:color w:val="000000"/>
                <w:sz w:val="20"/>
                <w:vertAlign w:val="superscript"/>
              </w:rPr>
              <w:t>b</w:t>
            </w:r>
            <w:r w:rsidRPr="001B449A">
              <w:rPr>
                <w:rFonts w:ascii="Arial Narrow" w:hAnsi="Arial Narrow"/>
                <w:color w:val="000000"/>
                <w:sz w:val="20"/>
              </w:rPr>
              <w:t xml:space="preserve"> </w:t>
            </w:r>
          </w:p>
        </w:tc>
        <w:tc>
          <w:tcPr>
            <w:tcW w:w="679"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6"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787746" w:rsidRPr="001B449A" w:rsidTr="000B164C">
        <w:trPr>
          <w:cantSplit/>
        </w:trPr>
        <w:tc>
          <w:tcPr>
            <w:tcW w:w="1952" w:type="pct"/>
            <w:shd w:val="clear" w:color="auto" w:fill="auto"/>
            <w:vAlign w:val="bottom"/>
          </w:tcPr>
          <w:p w:rsidR="00787746" w:rsidRPr="001B449A" w:rsidRDefault="00787746" w:rsidP="00A65FAC">
            <w:pPr>
              <w:keepNext/>
              <w:tabs>
                <w:tab w:val="left" w:pos="142"/>
              </w:tabs>
              <w:ind w:firstLine="114"/>
              <w:jc w:val="left"/>
              <w:rPr>
                <w:rFonts w:ascii="Arial Narrow" w:hAnsi="Arial Narrow"/>
                <w:sz w:val="20"/>
              </w:rPr>
            </w:pPr>
            <w:r w:rsidRPr="001B449A">
              <w:rPr>
                <w:rFonts w:ascii="Arial Narrow" w:hAnsi="Arial Narrow"/>
                <w:color w:val="000000"/>
                <w:sz w:val="20"/>
              </w:rPr>
              <w:t>4</w:t>
            </w:r>
            <w:r w:rsidRPr="001B449A">
              <w:rPr>
                <w:rFonts w:ascii="Arial Narrow" w:hAnsi="Arial Narrow"/>
                <w:color w:val="000000"/>
                <w:sz w:val="20"/>
                <w:vertAlign w:val="superscript"/>
              </w:rPr>
              <w:t>th</w:t>
            </w:r>
            <w:r w:rsidRPr="001B449A">
              <w:rPr>
                <w:rFonts w:ascii="Arial Narrow" w:hAnsi="Arial Narrow"/>
                <w:color w:val="000000"/>
                <w:sz w:val="20"/>
              </w:rPr>
              <w:t xml:space="preserve"> line </w:t>
            </w:r>
            <w:r w:rsidR="00E5612F" w:rsidRPr="001B449A">
              <w:rPr>
                <w:rFonts w:ascii="Arial Narrow" w:hAnsi="Arial Narrow"/>
                <w:color w:val="000000"/>
                <w:sz w:val="20"/>
                <w:vertAlign w:val="superscript"/>
              </w:rPr>
              <w:t>c</w:t>
            </w:r>
          </w:p>
        </w:tc>
        <w:tc>
          <w:tcPr>
            <w:tcW w:w="679" w:type="pct"/>
            <w:shd w:val="clear" w:color="auto" w:fill="auto"/>
            <w:vAlign w:val="center"/>
          </w:tcPr>
          <w:p w:rsidR="00787746" w:rsidRPr="00084612" w:rsidRDefault="00084612" w:rsidP="00A65FAC">
            <w:pPr>
              <w:pStyle w:val="Tabletext"/>
              <w:jc w:val="center"/>
              <w:rPr>
                <w:bCs/>
                <w:color w:val="000000"/>
                <w:highlight w:val="black"/>
              </w:rPr>
            </w:pPr>
            <w:r>
              <w:rPr>
                <w:noProof/>
                <w:color w:val="000000"/>
                <w:highlight w:val="black"/>
              </w:rPr>
              <w:t>''''''</w:t>
            </w:r>
          </w:p>
        </w:tc>
        <w:tc>
          <w:tcPr>
            <w:tcW w:w="594" w:type="pct"/>
            <w:shd w:val="clear" w:color="auto" w:fill="auto"/>
            <w:vAlign w:val="center"/>
          </w:tcPr>
          <w:p w:rsidR="00787746" w:rsidRPr="00084612" w:rsidRDefault="00084612" w:rsidP="00A65FAC">
            <w:pPr>
              <w:pStyle w:val="Tabletext"/>
              <w:jc w:val="center"/>
              <w:rPr>
                <w:bCs/>
                <w:color w:val="000000"/>
                <w:highlight w:val="black"/>
              </w:rPr>
            </w:pPr>
            <w:r>
              <w:rPr>
                <w:noProof/>
                <w:color w:val="000000"/>
                <w:highlight w:val="black"/>
              </w:rPr>
              <w:t>'''''''</w:t>
            </w:r>
          </w:p>
        </w:tc>
        <w:tc>
          <w:tcPr>
            <w:tcW w:w="594" w:type="pct"/>
            <w:shd w:val="clear" w:color="auto" w:fill="auto"/>
            <w:vAlign w:val="center"/>
          </w:tcPr>
          <w:p w:rsidR="00787746" w:rsidRPr="00084612" w:rsidRDefault="00084612" w:rsidP="00A65FAC">
            <w:pPr>
              <w:pStyle w:val="Tabletext"/>
              <w:jc w:val="center"/>
              <w:rPr>
                <w:bCs/>
                <w:color w:val="000000"/>
                <w:highlight w:val="black"/>
              </w:rPr>
            </w:pPr>
            <w:r>
              <w:rPr>
                <w:noProof/>
                <w:color w:val="000000"/>
                <w:highlight w:val="black"/>
              </w:rPr>
              <w:t>''''''</w:t>
            </w:r>
          </w:p>
        </w:tc>
        <w:tc>
          <w:tcPr>
            <w:tcW w:w="594" w:type="pct"/>
            <w:shd w:val="clear" w:color="auto" w:fill="auto"/>
            <w:vAlign w:val="center"/>
          </w:tcPr>
          <w:p w:rsidR="00787746" w:rsidRPr="00084612" w:rsidRDefault="00084612" w:rsidP="00A65FAC">
            <w:pPr>
              <w:pStyle w:val="Tabletext"/>
              <w:jc w:val="center"/>
              <w:rPr>
                <w:bCs/>
                <w:color w:val="000000"/>
                <w:highlight w:val="black"/>
              </w:rPr>
            </w:pPr>
            <w:r>
              <w:rPr>
                <w:noProof/>
                <w:color w:val="000000"/>
                <w:highlight w:val="black"/>
              </w:rPr>
              <w:t>'''''''</w:t>
            </w:r>
          </w:p>
        </w:tc>
        <w:tc>
          <w:tcPr>
            <w:tcW w:w="586" w:type="pct"/>
            <w:shd w:val="clear" w:color="auto" w:fill="auto"/>
            <w:vAlign w:val="center"/>
          </w:tcPr>
          <w:p w:rsidR="00787746" w:rsidRPr="00084612" w:rsidRDefault="00084612" w:rsidP="00A65FAC">
            <w:pPr>
              <w:pStyle w:val="Tabletext"/>
              <w:jc w:val="center"/>
              <w:rPr>
                <w:bCs/>
                <w:color w:val="000000"/>
                <w:highlight w:val="black"/>
              </w:rPr>
            </w:pPr>
            <w:r>
              <w:rPr>
                <w:noProof/>
                <w:color w:val="000000"/>
                <w:highlight w:val="black"/>
              </w:rPr>
              <w:t>'''''</w:t>
            </w:r>
          </w:p>
        </w:tc>
      </w:tr>
      <w:tr w:rsidR="00753C85" w:rsidRPr="001B449A" w:rsidTr="000B164C">
        <w:trPr>
          <w:cantSplit/>
        </w:trPr>
        <w:tc>
          <w:tcPr>
            <w:tcW w:w="1952" w:type="pct"/>
            <w:shd w:val="clear" w:color="auto" w:fill="auto"/>
            <w:vAlign w:val="center"/>
          </w:tcPr>
          <w:p w:rsidR="00753C85" w:rsidRPr="001B449A" w:rsidRDefault="00753C85" w:rsidP="00A65FAC">
            <w:pPr>
              <w:keepNext/>
              <w:tabs>
                <w:tab w:val="left" w:pos="142"/>
              </w:tabs>
              <w:ind w:firstLine="114"/>
              <w:jc w:val="left"/>
              <w:rPr>
                <w:rFonts w:ascii="Arial Narrow" w:hAnsi="Arial Narrow"/>
                <w:sz w:val="20"/>
              </w:rPr>
            </w:pPr>
            <w:r w:rsidRPr="001B449A">
              <w:rPr>
                <w:rFonts w:ascii="Arial Narrow" w:hAnsi="Arial Narrow"/>
                <w:sz w:val="20"/>
              </w:rPr>
              <w:t>Total</w:t>
            </w:r>
          </w:p>
        </w:tc>
        <w:tc>
          <w:tcPr>
            <w:tcW w:w="679"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6"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753C85" w:rsidRPr="001B449A" w:rsidTr="000B164C">
        <w:trPr>
          <w:cantSplit/>
        </w:trPr>
        <w:tc>
          <w:tcPr>
            <w:tcW w:w="1952" w:type="pct"/>
            <w:shd w:val="clear" w:color="auto" w:fill="auto"/>
            <w:vAlign w:val="center"/>
          </w:tcPr>
          <w:p w:rsidR="00753C85" w:rsidRPr="001B449A" w:rsidRDefault="00753C85" w:rsidP="009C0C48">
            <w:pPr>
              <w:keepNext/>
              <w:tabs>
                <w:tab w:val="left" w:pos="142"/>
              </w:tabs>
              <w:jc w:val="left"/>
              <w:rPr>
                <w:rFonts w:ascii="Arial Narrow" w:hAnsi="Arial Narrow"/>
                <w:sz w:val="20"/>
              </w:rPr>
            </w:pPr>
            <w:r w:rsidRPr="001B449A">
              <w:rPr>
                <w:rFonts w:ascii="Arial Narrow" w:hAnsi="Arial Narrow"/>
                <w:sz w:val="20"/>
              </w:rPr>
              <w:t>Market share</w:t>
            </w:r>
          </w:p>
        </w:tc>
        <w:tc>
          <w:tcPr>
            <w:tcW w:w="679" w:type="pct"/>
            <w:shd w:val="clear" w:color="auto" w:fill="auto"/>
            <w:vAlign w:val="center"/>
          </w:tcPr>
          <w:p w:rsidR="00753C85" w:rsidRPr="001B449A" w:rsidRDefault="00753C85" w:rsidP="009C0C48">
            <w:pPr>
              <w:keepNext/>
              <w:jc w:val="center"/>
              <w:rPr>
                <w:rFonts w:ascii="Arial Narrow" w:hAnsi="Arial Narrow"/>
                <w:bCs/>
                <w:color w:val="000000"/>
                <w:sz w:val="20"/>
              </w:rPr>
            </w:pPr>
          </w:p>
        </w:tc>
        <w:tc>
          <w:tcPr>
            <w:tcW w:w="594" w:type="pct"/>
            <w:shd w:val="clear" w:color="auto" w:fill="auto"/>
            <w:vAlign w:val="center"/>
          </w:tcPr>
          <w:p w:rsidR="00753C85" w:rsidRPr="001B449A" w:rsidRDefault="00753C85" w:rsidP="009C0C48">
            <w:pPr>
              <w:keepNext/>
              <w:jc w:val="center"/>
              <w:rPr>
                <w:rFonts w:ascii="Arial Narrow" w:hAnsi="Arial Narrow"/>
                <w:bCs/>
                <w:color w:val="000000"/>
                <w:sz w:val="20"/>
              </w:rPr>
            </w:pPr>
          </w:p>
        </w:tc>
        <w:tc>
          <w:tcPr>
            <w:tcW w:w="594" w:type="pct"/>
            <w:shd w:val="clear" w:color="auto" w:fill="auto"/>
            <w:vAlign w:val="center"/>
          </w:tcPr>
          <w:p w:rsidR="00753C85" w:rsidRPr="001B449A" w:rsidRDefault="00753C85" w:rsidP="009C0C48">
            <w:pPr>
              <w:keepNext/>
              <w:jc w:val="center"/>
              <w:rPr>
                <w:rFonts w:ascii="Arial Narrow" w:hAnsi="Arial Narrow"/>
                <w:bCs/>
                <w:color w:val="000000"/>
                <w:sz w:val="20"/>
              </w:rPr>
            </w:pPr>
          </w:p>
        </w:tc>
        <w:tc>
          <w:tcPr>
            <w:tcW w:w="594" w:type="pct"/>
            <w:shd w:val="clear" w:color="auto" w:fill="auto"/>
            <w:vAlign w:val="center"/>
          </w:tcPr>
          <w:p w:rsidR="00753C85" w:rsidRPr="001B449A" w:rsidRDefault="00753C85" w:rsidP="009C0C48">
            <w:pPr>
              <w:keepNext/>
              <w:jc w:val="center"/>
              <w:rPr>
                <w:rFonts w:ascii="Arial Narrow" w:hAnsi="Arial Narrow"/>
                <w:bCs/>
                <w:color w:val="000000"/>
                <w:sz w:val="20"/>
              </w:rPr>
            </w:pPr>
          </w:p>
        </w:tc>
        <w:tc>
          <w:tcPr>
            <w:tcW w:w="586" w:type="pct"/>
            <w:shd w:val="clear" w:color="auto" w:fill="auto"/>
            <w:vAlign w:val="center"/>
          </w:tcPr>
          <w:p w:rsidR="00753C85" w:rsidRPr="001B449A" w:rsidRDefault="00753C85" w:rsidP="009C0C48">
            <w:pPr>
              <w:keepNext/>
              <w:jc w:val="center"/>
              <w:rPr>
                <w:rFonts w:ascii="Arial Narrow" w:hAnsi="Arial Narrow"/>
                <w:bCs/>
                <w:color w:val="000000"/>
                <w:sz w:val="20"/>
              </w:rPr>
            </w:pPr>
          </w:p>
        </w:tc>
      </w:tr>
      <w:tr w:rsidR="00753C85" w:rsidRPr="001B449A" w:rsidTr="000B164C">
        <w:trPr>
          <w:cantSplit/>
        </w:trPr>
        <w:tc>
          <w:tcPr>
            <w:tcW w:w="1952" w:type="pct"/>
            <w:shd w:val="clear" w:color="auto" w:fill="auto"/>
            <w:vAlign w:val="bottom"/>
          </w:tcPr>
          <w:p w:rsidR="00753C85" w:rsidRPr="001B449A" w:rsidRDefault="00753C85" w:rsidP="00A65FAC">
            <w:pPr>
              <w:keepNext/>
              <w:tabs>
                <w:tab w:val="left" w:pos="142"/>
              </w:tabs>
              <w:ind w:firstLine="114"/>
              <w:jc w:val="left"/>
              <w:rPr>
                <w:rFonts w:ascii="Arial Narrow" w:hAnsi="Arial Narrow"/>
                <w:sz w:val="20"/>
              </w:rPr>
            </w:pPr>
            <w:r w:rsidRPr="001B449A">
              <w:rPr>
                <w:rFonts w:ascii="Arial Narrow" w:hAnsi="Arial Narrow"/>
                <w:color w:val="000000"/>
                <w:sz w:val="20"/>
              </w:rPr>
              <w:t>2</w:t>
            </w:r>
            <w:r w:rsidRPr="001B449A">
              <w:rPr>
                <w:rFonts w:ascii="Arial Narrow" w:hAnsi="Arial Narrow"/>
                <w:color w:val="000000"/>
                <w:sz w:val="20"/>
                <w:vertAlign w:val="superscript"/>
              </w:rPr>
              <w:t>nd</w:t>
            </w:r>
            <w:r w:rsidRPr="001B449A">
              <w:rPr>
                <w:rFonts w:ascii="Arial Narrow" w:hAnsi="Arial Narrow"/>
                <w:color w:val="000000"/>
                <w:sz w:val="20"/>
              </w:rPr>
              <w:t xml:space="preserve"> line (T315I mutation)</w:t>
            </w:r>
          </w:p>
        </w:tc>
        <w:tc>
          <w:tcPr>
            <w:tcW w:w="679"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6"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753C85" w:rsidRPr="001B449A" w:rsidTr="000B164C">
        <w:trPr>
          <w:cantSplit/>
        </w:trPr>
        <w:tc>
          <w:tcPr>
            <w:tcW w:w="1952" w:type="pct"/>
            <w:shd w:val="clear" w:color="auto" w:fill="auto"/>
            <w:vAlign w:val="bottom"/>
          </w:tcPr>
          <w:p w:rsidR="00753C85" w:rsidRPr="001B449A" w:rsidRDefault="00753C85" w:rsidP="00A65FAC">
            <w:pPr>
              <w:keepNext/>
              <w:tabs>
                <w:tab w:val="left" w:pos="142"/>
              </w:tabs>
              <w:ind w:firstLine="114"/>
              <w:jc w:val="left"/>
              <w:rPr>
                <w:rFonts w:ascii="Arial Narrow" w:hAnsi="Arial Narrow"/>
                <w:sz w:val="20"/>
              </w:rPr>
            </w:pPr>
            <w:r w:rsidRPr="001B449A">
              <w:rPr>
                <w:rFonts w:ascii="Arial Narrow" w:hAnsi="Arial Narrow"/>
                <w:color w:val="000000"/>
                <w:sz w:val="20"/>
              </w:rPr>
              <w:t>3</w:t>
            </w:r>
            <w:r w:rsidRPr="001B449A">
              <w:rPr>
                <w:rFonts w:ascii="Arial Narrow" w:hAnsi="Arial Narrow"/>
                <w:color w:val="000000"/>
                <w:sz w:val="20"/>
                <w:vertAlign w:val="superscript"/>
              </w:rPr>
              <w:t>rd</w:t>
            </w:r>
            <w:r w:rsidRPr="001B449A">
              <w:rPr>
                <w:rFonts w:ascii="Arial Narrow" w:hAnsi="Arial Narrow"/>
                <w:color w:val="000000"/>
                <w:sz w:val="20"/>
              </w:rPr>
              <w:t xml:space="preserve"> line </w:t>
            </w:r>
            <w:r w:rsidR="00DA499D" w:rsidRPr="001B449A">
              <w:rPr>
                <w:rFonts w:ascii="Arial Narrow" w:hAnsi="Arial Narrow"/>
                <w:color w:val="000000"/>
                <w:sz w:val="20"/>
                <w:vertAlign w:val="superscript"/>
              </w:rPr>
              <w:t>b</w:t>
            </w:r>
          </w:p>
        </w:tc>
        <w:tc>
          <w:tcPr>
            <w:tcW w:w="679"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6" w:type="pct"/>
            <w:shd w:val="clear" w:color="auto" w:fill="auto"/>
            <w:vAlign w:val="bottom"/>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B0BC0" w:rsidRPr="001B449A" w:rsidTr="000B164C">
        <w:trPr>
          <w:cantSplit/>
        </w:trPr>
        <w:tc>
          <w:tcPr>
            <w:tcW w:w="1952" w:type="pct"/>
            <w:shd w:val="clear" w:color="auto" w:fill="auto"/>
            <w:vAlign w:val="bottom"/>
          </w:tcPr>
          <w:p w:rsidR="003B0BC0" w:rsidRPr="001B449A" w:rsidRDefault="003B0BC0" w:rsidP="00A65FAC">
            <w:pPr>
              <w:keepNext/>
              <w:tabs>
                <w:tab w:val="left" w:pos="142"/>
              </w:tabs>
              <w:ind w:firstLine="114"/>
              <w:jc w:val="left"/>
              <w:rPr>
                <w:rFonts w:ascii="Arial Narrow" w:hAnsi="Arial Narrow"/>
                <w:sz w:val="20"/>
              </w:rPr>
            </w:pPr>
            <w:r w:rsidRPr="001B449A">
              <w:rPr>
                <w:rFonts w:ascii="Arial Narrow" w:hAnsi="Arial Narrow"/>
                <w:color w:val="000000"/>
                <w:sz w:val="20"/>
              </w:rPr>
              <w:t>4</w:t>
            </w:r>
            <w:r w:rsidRPr="001B449A">
              <w:rPr>
                <w:rFonts w:ascii="Arial Narrow" w:hAnsi="Arial Narrow"/>
                <w:color w:val="000000"/>
                <w:sz w:val="20"/>
                <w:vertAlign w:val="superscript"/>
              </w:rPr>
              <w:t>th</w:t>
            </w:r>
            <w:r w:rsidRPr="001B449A">
              <w:rPr>
                <w:rFonts w:ascii="Arial Narrow" w:hAnsi="Arial Narrow"/>
                <w:color w:val="000000"/>
                <w:sz w:val="20"/>
              </w:rPr>
              <w:t xml:space="preserve"> line </w:t>
            </w:r>
          </w:p>
        </w:tc>
        <w:tc>
          <w:tcPr>
            <w:tcW w:w="679" w:type="pct"/>
            <w:shd w:val="clear" w:color="auto" w:fill="auto"/>
            <w:vAlign w:val="bottom"/>
          </w:tcPr>
          <w:p w:rsidR="003B0BC0"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B0BC0"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B0BC0"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B0BC0"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6" w:type="pct"/>
            <w:shd w:val="clear" w:color="auto" w:fill="auto"/>
            <w:vAlign w:val="bottom"/>
          </w:tcPr>
          <w:p w:rsidR="003B0BC0" w:rsidRPr="00084612" w:rsidRDefault="00084612" w:rsidP="009C0C48">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753C85" w:rsidRPr="001B449A" w:rsidTr="000B164C">
        <w:trPr>
          <w:cantSplit/>
        </w:trPr>
        <w:tc>
          <w:tcPr>
            <w:tcW w:w="1952" w:type="pct"/>
            <w:shd w:val="clear" w:color="auto" w:fill="auto"/>
            <w:vAlign w:val="center"/>
          </w:tcPr>
          <w:p w:rsidR="00753C85" w:rsidRPr="001B449A" w:rsidRDefault="00753C85" w:rsidP="009C0C48">
            <w:pPr>
              <w:keepNext/>
              <w:tabs>
                <w:tab w:val="left" w:pos="142"/>
              </w:tabs>
              <w:jc w:val="left"/>
              <w:rPr>
                <w:rFonts w:ascii="Arial Narrow" w:hAnsi="Arial Narrow"/>
                <w:sz w:val="20"/>
              </w:rPr>
            </w:pPr>
            <w:r w:rsidRPr="001B449A">
              <w:rPr>
                <w:rFonts w:ascii="Arial Narrow" w:hAnsi="Arial Narrow"/>
                <w:sz w:val="20"/>
              </w:rPr>
              <w:t>Scripts</w:t>
            </w:r>
            <w:r w:rsidR="005F2B8D" w:rsidRPr="001B449A">
              <w:rPr>
                <w:rFonts w:ascii="Arial Narrow" w:hAnsi="Arial Narrow"/>
                <w:sz w:val="20"/>
              </w:rPr>
              <w:t xml:space="preserve"> </w:t>
            </w:r>
            <w:r w:rsidR="00E5612F" w:rsidRPr="001B449A">
              <w:rPr>
                <w:rFonts w:ascii="Arial Narrow" w:hAnsi="Arial Narrow"/>
                <w:sz w:val="20"/>
                <w:vertAlign w:val="superscript"/>
              </w:rPr>
              <w:t>d</w:t>
            </w:r>
            <w:r w:rsidRPr="001B449A">
              <w:rPr>
                <w:rFonts w:ascii="Arial Narrow" w:hAnsi="Arial Narrow"/>
                <w:sz w:val="20"/>
                <w:vertAlign w:val="superscript"/>
              </w:rPr>
              <w:t xml:space="preserve"> </w:t>
            </w:r>
            <w:r w:rsidRPr="001B449A">
              <w:rPr>
                <w:rFonts w:ascii="Arial Narrow" w:hAnsi="Arial Narrow"/>
                <w:sz w:val="20"/>
              </w:rPr>
              <w:t>– 15 mg (60)</w:t>
            </w:r>
          </w:p>
          <w:p w:rsidR="00753C85" w:rsidRPr="001B449A" w:rsidRDefault="00753C85" w:rsidP="007E218E">
            <w:pPr>
              <w:keepNext/>
              <w:tabs>
                <w:tab w:val="left" w:pos="142"/>
              </w:tabs>
              <w:jc w:val="left"/>
              <w:rPr>
                <w:rFonts w:ascii="Arial Narrow" w:hAnsi="Arial Narrow"/>
                <w:sz w:val="20"/>
              </w:rPr>
            </w:pPr>
            <w:r w:rsidRPr="001B449A">
              <w:rPr>
                <w:rFonts w:ascii="Arial Narrow" w:hAnsi="Arial Narrow"/>
                <w:sz w:val="20"/>
              </w:rPr>
              <w:t xml:space="preserve">                </w:t>
            </w:r>
            <w:r w:rsidR="005F2B8D" w:rsidRPr="001B449A">
              <w:rPr>
                <w:rFonts w:ascii="Arial Narrow" w:hAnsi="Arial Narrow"/>
                <w:sz w:val="20"/>
              </w:rPr>
              <w:t xml:space="preserve"> </w:t>
            </w:r>
            <w:r w:rsidRPr="001B449A">
              <w:rPr>
                <w:rFonts w:ascii="Arial Narrow" w:hAnsi="Arial Narrow"/>
                <w:sz w:val="20"/>
              </w:rPr>
              <w:t>45 mg (30)</w:t>
            </w:r>
          </w:p>
        </w:tc>
        <w:tc>
          <w:tcPr>
            <w:tcW w:w="679"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6" w:type="pct"/>
            <w:shd w:val="clear" w:color="auto" w:fill="auto"/>
            <w:vAlign w:val="center"/>
          </w:tcPr>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p w:rsidR="00753C85" w:rsidRPr="00084612" w:rsidRDefault="00084612" w:rsidP="009C0C48">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753C85" w:rsidRPr="001B449A" w:rsidTr="000B164C">
        <w:trPr>
          <w:cantSplit/>
        </w:trPr>
        <w:tc>
          <w:tcPr>
            <w:tcW w:w="5000" w:type="pct"/>
            <w:gridSpan w:val="6"/>
            <w:shd w:val="clear" w:color="auto" w:fill="auto"/>
            <w:vAlign w:val="center"/>
          </w:tcPr>
          <w:p w:rsidR="00753C85" w:rsidRPr="001B449A" w:rsidRDefault="00753C85" w:rsidP="00CD4AA5">
            <w:pPr>
              <w:jc w:val="left"/>
              <w:rPr>
                <w:rFonts w:ascii="Arial Narrow" w:hAnsi="Arial Narrow"/>
                <w:b/>
                <w:bCs/>
                <w:color w:val="000000"/>
                <w:sz w:val="20"/>
              </w:rPr>
            </w:pPr>
            <w:r w:rsidRPr="001B449A">
              <w:rPr>
                <w:rFonts w:ascii="Arial Narrow" w:hAnsi="Arial Narrow"/>
                <w:b/>
                <w:bCs/>
                <w:color w:val="000000"/>
                <w:sz w:val="20"/>
              </w:rPr>
              <w:t>Estimated net cost to PBS/RPBS/MBS</w:t>
            </w:r>
          </w:p>
        </w:tc>
      </w:tr>
      <w:tr w:rsidR="00753C85" w:rsidRPr="001B449A" w:rsidTr="000B164C">
        <w:trPr>
          <w:cantSplit/>
        </w:trPr>
        <w:tc>
          <w:tcPr>
            <w:tcW w:w="1952" w:type="pct"/>
            <w:shd w:val="clear" w:color="auto" w:fill="auto"/>
            <w:vAlign w:val="center"/>
          </w:tcPr>
          <w:p w:rsidR="00753C85" w:rsidRPr="001B449A" w:rsidRDefault="00753C85" w:rsidP="00CD4AA5">
            <w:pPr>
              <w:tabs>
                <w:tab w:val="left" w:pos="142"/>
              </w:tabs>
              <w:jc w:val="left"/>
              <w:rPr>
                <w:rFonts w:ascii="Arial Narrow" w:hAnsi="Arial Narrow"/>
                <w:sz w:val="20"/>
              </w:rPr>
            </w:pPr>
            <w:r w:rsidRPr="001B449A">
              <w:rPr>
                <w:rFonts w:ascii="Arial Narrow" w:hAnsi="Arial Narrow"/>
                <w:sz w:val="19"/>
                <w:szCs w:val="19"/>
              </w:rPr>
              <w:t>Net cost to PBS/RPBS</w:t>
            </w:r>
          </w:p>
        </w:tc>
        <w:tc>
          <w:tcPr>
            <w:tcW w:w="679" w:type="pct"/>
            <w:shd w:val="clear" w:color="auto" w:fill="auto"/>
            <w:vAlign w:val="center"/>
          </w:tcPr>
          <w:p w:rsidR="00753C85" w:rsidRPr="00084612" w:rsidRDefault="00084612" w:rsidP="00DA7AFF">
            <w:pPr>
              <w:pStyle w:val="Tabletext"/>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jc w:val="right"/>
              <w:rPr>
                <w:b/>
                <w:highlight w:val="black"/>
              </w:rPr>
            </w:pPr>
            <w:r>
              <w:rPr>
                <w:b/>
                <w:noProof/>
                <w:color w:val="000000"/>
                <w:highlight w:val="black"/>
              </w:rPr>
              <w:t>''''''''''''''''''''</w:t>
            </w:r>
          </w:p>
        </w:tc>
        <w:tc>
          <w:tcPr>
            <w:tcW w:w="586" w:type="pct"/>
            <w:shd w:val="clear" w:color="auto" w:fill="auto"/>
            <w:vAlign w:val="center"/>
          </w:tcPr>
          <w:p w:rsidR="00753C85" w:rsidRPr="00084612" w:rsidRDefault="00084612" w:rsidP="00DA7AFF">
            <w:pPr>
              <w:pStyle w:val="Tabletext"/>
              <w:jc w:val="right"/>
              <w:rPr>
                <w:b/>
                <w:highlight w:val="black"/>
              </w:rPr>
            </w:pPr>
            <w:r>
              <w:rPr>
                <w:b/>
                <w:noProof/>
                <w:color w:val="000000"/>
                <w:highlight w:val="black"/>
              </w:rPr>
              <w:t>'''''''''''''''''''''''</w:t>
            </w:r>
          </w:p>
        </w:tc>
      </w:tr>
      <w:tr w:rsidR="00753C85" w:rsidRPr="001B449A" w:rsidTr="000B164C">
        <w:trPr>
          <w:cantSplit/>
        </w:trPr>
        <w:tc>
          <w:tcPr>
            <w:tcW w:w="1952" w:type="pct"/>
            <w:shd w:val="clear" w:color="auto" w:fill="auto"/>
            <w:vAlign w:val="center"/>
          </w:tcPr>
          <w:p w:rsidR="00753C85" w:rsidRPr="001B449A" w:rsidRDefault="00753C85" w:rsidP="00CD4AA5">
            <w:pPr>
              <w:tabs>
                <w:tab w:val="left" w:pos="142"/>
              </w:tabs>
              <w:jc w:val="left"/>
              <w:rPr>
                <w:rFonts w:ascii="Arial Narrow" w:hAnsi="Arial Narrow"/>
                <w:sz w:val="20"/>
              </w:rPr>
            </w:pPr>
            <w:r w:rsidRPr="001B449A">
              <w:rPr>
                <w:rFonts w:ascii="Arial Narrow" w:hAnsi="Arial Narrow"/>
                <w:sz w:val="19"/>
                <w:szCs w:val="19"/>
              </w:rPr>
              <w:t>Net saving to the PBS/RPBS</w:t>
            </w:r>
            <w:r w:rsidR="00E5612F" w:rsidRPr="001B449A">
              <w:rPr>
                <w:rFonts w:ascii="Arial Narrow" w:hAnsi="Arial Narrow"/>
                <w:sz w:val="19"/>
                <w:szCs w:val="19"/>
              </w:rPr>
              <w:t xml:space="preserve"> </w:t>
            </w:r>
            <w:r w:rsidR="00E5612F" w:rsidRPr="001B449A">
              <w:rPr>
                <w:rFonts w:ascii="Arial Narrow" w:hAnsi="Arial Narrow"/>
                <w:sz w:val="19"/>
                <w:szCs w:val="19"/>
                <w:vertAlign w:val="superscript"/>
              </w:rPr>
              <w:t>e</w:t>
            </w:r>
          </w:p>
        </w:tc>
        <w:tc>
          <w:tcPr>
            <w:tcW w:w="679" w:type="pct"/>
            <w:shd w:val="clear" w:color="auto" w:fill="auto"/>
            <w:vAlign w:val="center"/>
          </w:tcPr>
          <w:p w:rsidR="00753C85" w:rsidRPr="00084612" w:rsidRDefault="00084612" w:rsidP="00E5612F">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594" w:type="pct"/>
            <w:shd w:val="clear" w:color="auto" w:fill="auto"/>
            <w:vAlign w:val="center"/>
          </w:tcPr>
          <w:p w:rsidR="00753C85" w:rsidRPr="00084612" w:rsidRDefault="00084612" w:rsidP="00E5612F">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594" w:type="pct"/>
            <w:shd w:val="clear" w:color="auto" w:fill="auto"/>
            <w:vAlign w:val="center"/>
          </w:tcPr>
          <w:p w:rsidR="00753C85" w:rsidRPr="00084612" w:rsidRDefault="00084612" w:rsidP="00E5612F">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594" w:type="pct"/>
            <w:shd w:val="clear" w:color="auto" w:fill="auto"/>
            <w:vAlign w:val="center"/>
          </w:tcPr>
          <w:p w:rsidR="00753C85" w:rsidRPr="00084612" w:rsidRDefault="00084612" w:rsidP="00E5612F">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c>
          <w:tcPr>
            <w:tcW w:w="586" w:type="pct"/>
            <w:shd w:val="clear" w:color="auto" w:fill="auto"/>
            <w:vAlign w:val="center"/>
          </w:tcPr>
          <w:p w:rsidR="00753C85" w:rsidRPr="00084612" w:rsidRDefault="00084612" w:rsidP="00E5612F">
            <w:pPr>
              <w:jc w:val="right"/>
              <w:rPr>
                <w:rFonts w:ascii="Arial Narrow" w:hAnsi="Arial Narrow"/>
                <w:b/>
                <w:bCs/>
                <w:color w:val="000000"/>
                <w:sz w:val="20"/>
                <w:highlight w:val="black"/>
              </w:rPr>
            </w:pPr>
            <w:r>
              <w:rPr>
                <w:rFonts w:ascii="Arial Narrow" w:hAnsi="Arial Narrow"/>
                <w:b/>
                <w:bCs/>
                <w:noProof/>
                <w:color w:val="000000"/>
                <w:sz w:val="20"/>
                <w:highlight w:val="black"/>
              </w:rPr>
              <w:t>''''''''''''''''''''''''</w:t>
            </w:r>
          </w:p>
        </w:tc>
      </w:tr>
      <w:tr w:rsidR="00753C85" w:rsidRPr="001B449A" w:rsidTr="000B164C">
        <w:trPr>
          <w:cantSplit/>
        </w:trPr>
        <w:tc>
          <w:tcPr>
            <w:tcW w:w="5000" w:type="pct"/>
            <w:gridSpan w:val="6"/>
            <w:shd w:val="clear" w:color="auto" w:fill="auto"/>
            <w:vAlign w:val="center"/>
          </w:tcPr>
          <w:p w:rsidR="00753C85" w:rsidRPr="001B449A" w:rsidRDefault="00753C85" w:rsidP="00CD4AA5">
            <w:pPr>
              <w:jc w:val="left"/>
              <w:rPr>
                <w:rFonts w:ascii="Arial Narrow" w:hAnsi="Arial Narrow"/>
                <w:b/>
                <w:color w:val="000000"/>
                <w:sz w:val="20"/>
              </w:rPr>
            </w:pPr>
            <w:r w:rsidRPr="001B449A">
              <w:rPr>
                <w:rFonts w:ascii="Arial Narrow" w:hAnsi="Arial Narrow"/>
                <w:b/>
                <w:color w:val="000000"/>
                <w:sz w:val="20"/>
              </w:rPr>
              <w:t>Estimated total net cost</w:t>
            </w:r>
          </w:p>
        </w:tc>
      </w:tr>
      <w:tr w:rsidR="00753C85" w:rsidRPr="001B449A" w:rsidTr="000B164C">
        <w:trPr>
          <w:cantSplit/>
        </w:trPr>
        <w:tc>
          <w:tcPr>
            <w:tcW w:w="1952" w:type="pct"/>
            <w:shd w:val="clear" w:color="auto" w:fill="auto"/>
            <w:vAlign w:val="center"/>
          </w:tcPr>
          <w:p w:rsidR="00753C85" w:rsidRPr="001B449A" w:rsidRDefault="00753C85" w:rsidP="00CD4AA5">
            <w:pPr>
              <w:tabs>
                <w:tab w:val="left" w:pos="142"/>
              </w:tabs>
              <w:jc w:val="left"/>
              <w:rPr>
                <w:rFonts w:ascii="Arial Narrow" w:hAnsi="Arial Narrow"/>
                <w:b/>
                <w:sz w:val="20"/>
              </w:rPr>
            </w:pPr>
            <w:r w:rsidRPr="001B449A">
              <w:rPr>
                <w:rFonts w:ascii="Arial Narrow" w:hAnsi="Arial Narrow"/>
                <w:b/>
                <w:bCs/>
                <w:color w:val="000000"/>
                <w:sz w:val="20"/>
              </w:rPr>
              <w:t>Net cost to PBS/RPBS/MBS</w:t>
            </w:r>
          </w:p>
        </w:tc>
        <w:tc>
          <w:tcPr>
            <w:tcW w:w="679" w:type="pct"/>
            <w:shd w:val="clear" w:color="auto" w:fill="auto"/>
            <w:vAlign w:val="center"/>
          </w:tcPr>
          <w:p w:rsidR="00753C85" w:rsidRPr="00084612" w:rsidRDefault="00084612" w:rsidP="00DA7AFF">
            <w:pPr>
              <w:pStyle w:val="Tabletext"/>
              <w:keepNext/>
              <w:widowControl w:val="0"/>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keepNext/>
              <w:widowControl w:val="0"/>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keepNext/>
              <w:widowControl w:val="0"/>
              <w:jc w:val="right"/>
              <w:rPr>
                <w:b/>
                <w:highlight w:val="black"/>
              </w:rPr>
            </w:pPr>
            <w:r>
              <w:rPr>
                <w:b/>
                <w:noProof/>
                <w:color w:val="000000"/>
                <w:highlight w:val="black"/>
              </w:rPr>
              <w:t>'''''''''''''''''''''''</w:t>
            </w:r>
          </w:p>
        </w:tc>
        <w:tc>
          <w:tcPr>
            <w:tcW w:w="594" w:type="pct"/>
            <w:shd w:val="clear" w:color="auto" w:fill="auto"/>
            <w:vAlign w:val="center"/>
          </w:tcPr>
          <w:p w:rsidR="00753C85" w:rsidRPr="00084612" w:rsidRDefault="00084612" w:rsidP="00DA7AFF">
            <w:pPr>
              <w:pStyle w:val="Tabletext"/>
              <w:keepNext/>
              <w:widowControl w:val="0"/>
              <w:jc w:val="right"/>
              <w:rPr>
                <w:b/>
                <w:highlight w:val="black"/>
              </w:rPr>
            </w:pPr>
            <w:r>
              <w:rPr>
                <w:b/>
                <w:noProof/>
                <w:color w:val="000000"/>
                <w:highlight w:val="black"/>
              </w:rPr>
              <w:t>'''''''''''''''''''</w:t>
            </w:r>
          </w:p>
        </w:tc>
        <w:tc>
          <w:tcPr>
            <w:tcW w:w="586" w:type="pct"/>
            <w:shd w:val="clear" w:color="auto" w:fill="auto"/>
            <w:vAlign w:val="center"/>
          </w:tcPr>
          <w:p w:rsidR="00753C85" w:rsidRPr="00084612" w:rsidRDefault="00084612" w:rsidP="00DA7AFF">
            <w:pPr>
              <w:pStyle w:val="Tabletext"/>
              <w:keepNext/>
              <w:widowControl w:val="0"/>
              <w:jc w:val="right"/>
              <w:rPr>
                <w:b/>
                <w:highlight w:val="black"/>
              </w:rPr>
            </w:pPr>
            <w:r>
              <w:rPr>
                <w:b/>
                <w:noProof/>
                <w:color w:val="000000"/>
                <w:highlight w:val="black"/>
              </w:rPr>
              <w:t>''''''''''''''''''''</w:t>
            </w:r>
          </w:p>
        </w:tc>
      </w:tr>
      <w:tr w:rsidR="000B164C" w:rsidRPr="001B449A" w:rsidTr="000B164C">
        <w:trPr>
          <w:cantSplit/>
        </w:trPr>
        <w:tc>
          <w:tcPr>
            <w:tcW w:w="5000" w:type="pct"/>
            <w:gridSpan w:val="6"/>
            <w:shd w:val="clear" w:color="auto" w:fill="auto"/>
            <w:vAlign w:val="center"/>
          </w:tcPr>
          <w:p w:rsidR="000B164C" w:rsidRPr="001B449A" w:rsidRDefault="000B164C" w:rsidP="000B164C">
            <w:pPr>
              <w:pStyle w:val="Tabletext"/>
              <w:keepNext/>
              <w:widowControl w:val="0"/>
              <w:rPr>
                <w:rFonts w:cs="Arial"/>
                <w:b/>
                <w:bCs/>
              </w:rPr>
            </w:pPr>
            <w:r w:rsidRPr="001B449A">
              <w:rPr>
                <w:b/>
              </w:rPr>
              <w:t>Sensitivity analysis</w:t>
            </w:r>
          </w:p>
        </w:tc>
      </w:tr>
      <w:tr w:rsidR="000B164C" w:rsidRPr="001B449A" w:rsidTr="000B164C">
        <w:trPr>
          <w:cantSplit/>
        </w:trPr>
        <w:tc>
          <w:tcPr>
            <w:tcW w:w="1952" w:type="pct"/>
            <w:shd w:val="clear" w:color="auto" w:fill="auto"/>
            <w:vAlign w:val="center"/>
          </w:tcPr>
          <w:p w:rsidR="000B164C" w:rsidRPr="001B449A" w:rsidRDefault="000B164C" w:rsidP="000B164C">
            <w:pPr>
              <w:tabs>
                <w:tab w:val="left" w:pos="142"/>
              </w:tabs>
              <w:jc w:val="left"/>
              <w:rPr>
                <w:rFonts w:ascii="Arial Narrow" w:hAnsi="Arial Narrow"/>
                <w:sz w:val="20"/>
              </w:rPr>
            </w:pPr>
            <w:r w:rsidRPr="001B449A">
              <w:rPr>
                <w:rFonts w:ascii="Arial Narrow" w:hAnsi="Arial Narrow"/>
                <w:sz w:val="20"/>
              </w:rPr>
              <w:t>T315I mutation is subset of patients who fail treatment and 12 months of treatment per patient per year</w:t>
            </w:r>
          </w:p>
        </w:tc>
        <w:tc>
          <w:tcPr>
            <w:tcW w:w="679" w:type="pct"/>
            <w:shd w:val="clear" w:color="auto" w:fill="auto"/>
            <w:vAlign w:val="center"/>
          </w:tcPr>
          <w:p w:rsidR="000B164C" w:rsidRPr="00084612" w:rsidRDefault="00084612" w:rsidP="000B164C">
            <w:pPr>
              <w:pStyle w:val="Tabletext"/>
              <w:keepNext/>
              <w:widowControl w:val="0"/>
              <w:jc w:val="right"/>
              <w:rPr>
                <w:highlight w:val="black"/>
              </w:rPr>
            </w:pPr>
            <w:r>
              <w:rPr>
                <w:rFonts w:cs="Arial"/>
                <w:bCs/>
                <w:noProof/>
                <w:color w:val="000000"/>
                <w:highlight w:val="black"/>
              </w:rPr>
              <w:t>''''''''''''''''''''''''''''</w:t>
            </w:r>
          </w:p>
        </w:tc>
        <w:tc>
          <w:tcPr>
            <w:tcW w:w="594" w:type="pct"/>
            <w:shd w:val="clear" w:color="auto" w:fill="auto"/>
            <w:vAlign w:val="center"/>
          </w:tcPr>
          <w:p w:rsidR="000B164C" w:rsidRPr="00084612" w:rsidRDefault="00084612" w:rsidP="000B164C">
            <w:pPr>
              <w:pStyle w:val="Tabletext"/>
              <w:keepNext/>
              <w:widowControl w:val="0"/>
              <w:jc w:val="right"/>
              <w:rPr>
                <w:highlight w:val="black"/>
              </w:rPr>
            </w:pPr>
            <w:r>
              <w:rPr>
                <w:rFonts w:cs="Arial"/>
                <w:bCs/>
                <w:noProof/>
                <w:color w:val="000000"/>
                <w:highlight w:val="black"/>
              </w:rPr>
              <w:t>'''''''''''''''''''''''''''</w:t>
            </w:r>
          </w:p>
        </w:tc>
        <w:tc>
          <w:tcPr>
            <w:tcW w:w="594" w:type="pct"/>
            <w:shd w:val="clear" w:color="auto" w:fill="auto"/>
            <w:vAlign w:val="center"/>
          </w:tcPr>
          <w:p w:rsidR="000B164C" w:rsidRPr="00084612" w:rsidRDefault="00084612" w:rsidP="000B164C">
            <w:pPr>
              <w:pStyle w:val="Tabletext"/>
              <w:keepNext/>
              <w:widowControl w:val="0"/>
              <w:jc w:val="right"/>
              <w:rPr>
                <w:highlight w:val="black"/>
              </w:rPr>
            </w:pPr>
            <w:r>
              <w:rPr>
                <w:rFonts w:cs="Arial"/>
                <w:bCs/>
                <w:noProof/>
                <w:color w:val="000000"/>
                <w:highlight w:val="black"/>
              </w:rPr>
              <w:t>''''''''''''''''''''''''''</w:t>
            </w:r>
          </w:p>
        </w:tc>
        <w:tc>
          <w:tcPr>
            <w:tcW w:w="594" w:type="pct"/>
            <w:shd w:val="clear" w:color="auto" w:fill="auto"/>
            <w:vAlign w:val="center"/>
          </w:tcPr>
          <w:p w:rsidR="000B164C" w:rsidRPr="00084612" w:rsidRDefault="00084612" w:rsidP="000B164C">
            <w:pPr>
              <w:pStyle w:val="Tabletext"/>
              <w:keepNext/>
              <w:widowControl w:val="0"/>
              <w:jc w:val="right"/>
              <w:rPr>
                <w:highlight w:val="black"/>
              </w:rPr>
            </w:pPr>
            <w:r>
              <w:rPr>
                <w:rFonts w:cs="Arial"/>
                <w:bCs/>
                <w:noProof/>
                <w:color w:val="000000"/>
                <w:highlight w:val="black"/>
              </w:rPr>
              <w:t>''''''''''''''''''''''''''''</w:t>
            </w:r>
          </w:p>
        </w:tc>
        <w:tc>
          <w:tcPr>
            <w:tcW w:w="586" w:type="pct"/>
            <w:shd w:val="clear" w:color="auto" w:fill="auto"/>
            <w:vAlign w:val="center"/>
          </w:tcPr>
          <w:p w:rsidR="000B164C" w:rsidRPr="00084612" w:rsidRDefault="00084612" w:rsidP="000B164C">
            <w:pPr>
              <w:pStyle w:val="Tabletext"/>
              <w:keepNext/>
              <w:widowControl w:val="0"/>
              <w:jc w:val="right"/>
              <w:rPr>
                <w:highlight w:val="black"/>
              </w:rPr>
            </w:pPr>
            <w:r>
              <w:rPr>
                <w:rFonts w:cs="Arial"/>
                <w:bCs/>
                <w:noProof/>
                <w:color w:val="000000"/>
                <w:highlight w:val="black"/>
              </w:rPr>
              <w:t>'''''''''''''''''''''''''''</w:t>
            </w:r>
          </w:p>
        </w:tc>
      </w:tr>
      <w:tr w:rsidR="00E91CFC" w:rsidRPr="001B449A" w:rsidTr="000B164C">
        <w:trPr>
          <w:cantSplit/>
        </w:trPr>
        <w:tc>
          <w:tcPr>
            <w:tcW w:w="1952" w:type="pct"/>
            <w:shd w:val="clear" w:color="auto" w:fill="auto"/>
            <w:vAlign w:val="center"/>
          </w:tcPr>
          <w:p w:rsidR="00E91CFC" w:rsidRPr="001B449A" w:rsidRDefault="00E91CFC" w:rsidP="000B164C">
            <w:pPr>
              <w:tabs>
                <w:tab w:val="left" w:pos="142"/>
              </w:tabs>
              <w:jc w:val="left"/>
              <w:rPr>
                <w:rFonts w:ascii="Arial Narrow" w:hAnsi="Arial Narrow"/>
                <w:sz w:val="20"/>
              </w:rPr>
            </w:pPr>
          </w:p>
        </w:tc>
        <w:tc>
          <w:tcPr>
            <w:tcW w:w="679" w:type="pct"/>
            <w:shd w:val="clear" w:color="auto" w:fill="auto"/>
            <w:vAlign w:val="center"/>
          </w:tcPr>
          <w:p w:rsidR="00E91CFC" w:rsidRPr="00084612" w:rsidRDefault="00E91CFC" w:rsidP="000B164C">
            <w:pPr>
              <w:pStyle w:val="Tabletext"/>
              <w:keepNext/>
              <w:widowControl w:val="0"/>
              <w:jc w:val="right"/>
              <w:rPr>
                <w:rFonts w:cs="Arial"/>
                <w:bCs/>
              </w:rPr>
            </w:pPr>
          </w:p>
        </w:tc>
        <w:tc>
          <w:tcPr>
            <w:tcW w:w="594" w:type="pct"/>
            <w:shd w:val="clear" w:color="auto" w:fill="auto"/>
            <w:vAlign w:val="center"/>
          </w:tcPr>
          <w:p w:rsidR="00E91CFC" w:rsidRPr="00084612" w:rsidRDefault="00E91CFC" w:rsidP="000B164C">
            <w:pPr>
              <w:pStyle w:val="Tabletext"/>
              <w:keepNext/>
              <w:widowControl w:val="0"/>
              <w:jc w:val="right"/>
              <w:rPr>
                <w:rFonts w:cs="Arial"/>
                <w:bCs/>
              </w:rPr>
            </w:pPr>
          </w:p>
        </w:tc>
        <w:tc>
          <w:tcPr>
            <w:tcW w:w="594" w:type="pct"/>
            <w:shd w:val="clear" w:color="auto" w:fill="auto"/>
            <w:vAlign w:val="center"/>
          </w:tcPr>
          <w:p w:rsidR="00E91CFC" w:rsidRPr="00084612" w:rsidRDefault="00E91CFC" w:rsidP="000B164C">
            <w:pPr>
              <w:pStyle w:val="Tabletext"/>
              <w:keepNext/>
              <w:widowControl w:val="0"/>
              <w:jc w:val="right"/>
              <w:rPr>
                <w:rFonts w:cs="Arial"/>
                <w:bCs/>
              </w:rPr>
            </w:pPr>
          </w:p>
        </w:tc>
        <w:tc>
          <w:tcPr>
            <w:tcW w:w="594" w:type="pct"/>
            <w:shd w:val="clear" w:color="auto" w:fill="auto"/>
            <w:vAlign w:val="center"/>
          </w:tcPr>
          <w:p w:rsidR="00E91CFC" w:rsidRPr="00084612" w:rsidRDefault="00E91CFC" w:rsidP="000B164C">
            <w:pPr>
              <w:pStyle w:val="Tabletext"/>
              <w:keepNext/>
              <w:widowControl w:val="0"/>
              <w:jc w:val="right"/>
              <w:rPr>
                <w:rFonts w:cs="Arial"/>
                <w:bCs/>
              </w:rPr>
            </w:pPr>
          </w:p>
        </w:tc>
        <w:tc>
          <w:tcPr>
            <w:tcW w:w="586" w:type="pct"/>
            <w:shd w:val="clear" w:color="auto" w:fill="auto"/>
            <w:vAlign w:val="center"/>
          </w:tcPr>
          <w:p w:rsidR="00E91CFC" w:rsidRPr="00084612" w:rsidRDefault="00E91CFC" w:rsidP="000B164C">
            <w:pPr>
              <w:pStyle w:val="Tabletext"/>
              <w:keepNext/>
              <w:widowControl w:val="0"/>
              <w:jc w:val="right"/>
              <w:rPr>
                <w:rFonts w:cs="Arial"/>
                <w:bCs/>
              </w:rPr>
            </w:pPr>
          </w:p>
        </w:tc>
      </w:tr>
    </w:tbl>
    <w:p w:rsidR="005F2B8D" w:rsidRPr="001B449A" w:rsidRDefault="005F2B8D" w:rsidP="00872DC3">
      <w:pPr>
        <w:pStyle w:val="TableFooter"/>
        <w:ind w:left="720"/>
        <w:rPr>
          <w:szCs w:val="18"/>
        </w:rPr>
      </w:pPr>
      <w:proofErr w:type="gramStart"/>
      <w:r w:rsidRPr="001B449A">
        <w:rPr>
          <w:szCs w:val="18"/>
          <w:vertAlign w:val="superscript"/>
        </w:rPr>
        <w:t>a</w:t>
      </w:r>
      <w:proofErr w:type="gramEnd"/>
      <w:r w:rsidRPr="001B449A">
        <w:rPr>
          <w:szCs w:val="18"/>
          <w:vertAlign w:val="superscript"/>
        </w:rPr>
        <w:t xml:space="preserve"> </w:t>
      </w:r>
      <w:r w:rsidRPr="001B449A">
        <w:rPr>
          <w:szCs w:val="18"/>
        </w:rPr>
        <w:t xml:space="preserve">Submission assumes a ponatinib uptake rate of </w:t>
      </w:r>
      <w:r w:rsidR="00084612">
        <w:rPr>
          <w:noProof/>
          <w:color w:val="000000"/>
          <w:szCs w:val="18"/>
          <w:highlight w:val="black"/>
        </w:rPr>
        <w:t>'''''''''''''</w:t>
      </w:r>
      <w:r w:rsidRPr="001B449A">
        <w:rPr>
          <w:szCs w:val="18"/>
        </w:rPr>
        <w:t xml:space="preserve"> </w:t>
      </w:r>
      <w:r w:rsidR="00B623ED" w:rsidRPr="001B449A">
        <w:rPr>
          <w:szCs w:val="18"/>
        </w:rPr>
        <w:t>for</w:t>
      </w:r>
      <w:r w:rsidRPr="001B449A">
        <w:rPr>
          <w:szCs w:val="18"/>
        </w:rPr>
        <w:t xml:space="preserve"> patients with the T315I mutation </w:t>
      </w:r>
    </w:p>
    <w:p w:rsidR="005F2B8D" w:rsidRPr="001B449A" w:rsidRDefault="005F2B8D" w:rsidP="00872DC3">
      <w:pPr>
        <w:pStyle w:val="TableFooter"/>
        <w:ind w:left="720"/>
        <w:rPr>
          <w:szCs w:val="18"/>
        </w:rPr>
      </w:pPr>
      <w:proofErr w:type="gramStart"/>
      <w:r w:rsidRPr="001B449A">
        <w:rPr>
          <w:szCs w:val="18"/>
          <w:vertAlign w:val="superscript"/>
        </w:rPr>
        <w:t>b</w:t>
      </w:r>
      <w:proofErr w:type="gramEnd"/>
      <w:r w:rsidR="00E5612F" w:rsidRPr="001B449A">
        <w:rPr>
          <w:szCs w:val="18"/>
          <w:vertAlign w:val="superscript"/>
        </w:rPr>
        <w:t xml:space="preserve"> </w:t>
      </w:r>
      <w:r w:rsidR="00E5612F" w:rsidRPr="001B449A">
        <w:rPr>
          <w:szCs w:val="18"/>
        </w:rPr>
        <w:t xml:space="preserve">Submission assumes a ponatinib uptake rate of </w:t>
      </w:r>
      <w:r w:rsidR="00084612">
        <w:rPr>
          <w:noProof/>
          <w:color w:val="000000"/>
          <w:szCs w:val="18"/>
          <w:highlight w:val="black"/>
        </w:rPr>
        <w:t>'''''''''''''''</w:t>
      </w:r>
      <w:r w:rsidR="00E5612F" w:rsidRPr="001B449A">
        <w:rPr>
          <w:szCs w:val="18"/>
        </w:rPr>
        <w:t xml:space="preserve"> </w:t>
      </w:r>
      <w:r w:rsidR="00B623ED" w:rsidRPr="001B449A">
        <w:rPr>
          <w:szCs w:val="18"/>
        </w:rPr>
        <w:t>for</w:t>
      </w:r>
      <w:r w:rsidR="00E5612F" w:rsidRPr="001B449A">
        <w:rPr>
          <w:szCs w:val="18"/>
        </w:rPr>
        <w:t xml:space="preserve"> patients with the T315I mutation and </w:t>
      </w:r>
      <w:r w:rsidR="00084612">
        <w:rPr>
          <w:noProof/>
          <w:color w:val="000000"/>
          <w:szCs w:val="18"/>
          <w:highlight w:val="black"/>
        </w:rPr>
        <w:t>''''''''''''</w:t>
      </w:r>
      <w:r w:rsidR="00E5612F" w:rsidRPr="001B449A">
        <w:rPr>
          <w:szCs w:val="18"/>
        </w:rPr>
        <w:t xml:space="preserve"> for those without the mutation but requiring a 3</w:t>
      </w:r>
      <w:r w:rsidR="00E5612F" w:rsidRPr="001B449A">
        <w:rPr>
          <w:szCs w:val="18"/>
          <w:vertAlign w:val="superscript"/>
        </w:rPr>
        <w:t>rd</w:t>
      </w:r>
      <w:r w:rsidR="00E5612F" w:rsidRPr="001B449A">
        <w:rPr>
          <w:szCs w:val="18"/>
        </w:rPr>
        <w:t xml:space="preserve"> line treatment</w:t>
      </w:r>
    </w:p>
    <w:p w:rsidR="00E5612F" w:rsidRPr="001B449A" w:rsidRDefault="00E5612F" w:rsidP="00872DC3">
      <w:pPr>
        <w:pStyle w:val="TableFooter"/>
        <w:ind w:left="720"/>
        <w:rPr>
          <w:szCs w:val="18"/>
        </w:rPr>
      </w:pPr>
      <w:proofErr w:type="gramStart"/>
      <w:r w:rsidRPr="001B449A">
        <w:rPr>
          <w:szCs w:val="18"/>
          <w:vertAlign w:val="superscript"/>
        </w:rPr>
        <w:t>c</w:t>
      </w:r>
      <w:proofErr w:type="gramEnd"/>
      <w:r w:rsidRPr="001B449A">
        <w:rPr>
          <w:szCs w:val="18"/>
          <w:vertAlign w:val="superscript"/>
        </w:rPr>
        <w:t xml:space="preserve"> </w:t>
      </w:r>
      <w:r w:rsidRPr="001B449A">
        <w:rPr>
          <w:szCs w:val="18"/>
        </w:rPr>
        <w:t>Submission assumes a</w:t>
      </w:r>
      <w:r w:rsidR="00B623ED" w:rsidRPr="001B449A">
        <w:rPr>
          <w:szCs w:val="18"/>
        </w:rPr>
        <w:t xml:space="preserve"> ponatinib uptake rate of </w:t>
      </w:r>
      <w:r w:rsidR="00084612">
        <w:rPr>
          <w:noProof/>
          <w:color w:val="000000"/>
          <w:szCs w:val="18"/>
          <w:highlight w:val="black"/>
        </w:rPr>
        <w:t>'''''''''''''</w:t>
      </w:r>
      <w:r w:rsidR="00B623ED" w:rsidRPr="001B449A">
        <w:rPr>
          <w:szCs w:val="18"/>
        </w:rPr>
        <w:t xml:space="preserve"> for </w:t>
      </w:r>
      <w:r w:rsidRPr="001B449A">
        <w:rPr>
          <w:szCs w:val="18"/>
        </w:rPr>
        <w:t>patients with the T315</w:t>
      </w:r>
      <w:r w:rsidR="000B164C" w:rsidRPr="001B449A">
        <w:rPr>
          <w:szCs w:val="18"/>
        </w:rPr>
        <w:t>I</w:t>
      </w:r>
      <w:r w:rsidRPr="001B449A">
        <w:rPr>
          <w:szCs w:val="18"/>
        </w:rPr>
        <w:t xml:space="preserve"> mutation and for those patients without the mutation but requiring a 4</w:t>
      </w:r>
      <w:r w:rsidRPr="001B449A">
        <w:rPr>
          <w:szCs w:val="18"/>
          <w:vertAlign w:val="superscript"/>
        </w:rPr>
        <w:t>th</w:t>
      </w:r>
      <w:r w:rsidRPr="001B449A">
        <w:rPr>
          <w:szCs w:val="18"/>
        </w:rPr>
        <w:t xml:space="preserve"> line treatment</w:t>
      </w:r>
    </w:p>
    <w:p w:rsidR="00CD4AA5" w:rsidRPr="001B449A" w:rsidRDefault="00E5612F" w:rsidP="00872DC3">
      <w:pPr>
        <w:pStyle w:val="TableFooter"/>
        <w:ind w:left="720"/>
        <w:rPr>
          <w:szCs w:val="18"/>
        </w:rPr>
      </w:pPr>
      <w:proofErr w:type="gramStart"/>
      <w:r w:rsidRPr="001B449A">
        <w:rPr>
          <w:szCs w:val="18"/>
          <w:vertAlign w:val="superscript"/>
        </w:rPr>
        <w:t>d</w:t>
      </w:r>
      <w:proofErr w:type="gramEnd"/>
      <w:r w:rsidR="00CD4AA5" w:rsidRPr="001B449A">
        <w:rPr>
          <w:szCs w:val="18"/>
        </w:rPr>
        <w:t xml:space="preserve"> Assuming </w:t>
      </w:r>
      <w:r w:rsidR="00234D40" w:rsidRPr="001B449A">
        <w:rPr>
          <w:szCs w:val="18"/>
        </w:rPr>
        <w:t>one</w:t>
      </w:r>
      <w:r w:rsidR="007E218E" w:rsidRPr="001B449A">
        <w:rPr>
          <w:szCs w:val="18"/>
        </w:rPr>
        <w:t xml:space="preserve"> script </w:t>
      </w:r>
      <w:r w:rsidR="00CD4AA5" w:rsidRPr="001B449A">
        <w:rPr>
          <w:szCs w:val="18"/>
        </w:rPr>
        <w:t xml:space="preserve">per year </w:t>
      </w:r>
      <w:r w:rsidR="00872DC3" w:rsidRPr="001B449A">
        <w:rPr>
          <w:szCs w:val="18"/>
        </w:rPr>
        <w:t>for patients receiving ponatinib 1</w:t>
      </w:r>
      <w:r w:rsidR="00234D40" w:rsidRPr="001B449A">
        <w:rPr>
          <w:szCs w:val="18"/>
        </w:rPr>
        <w:t>5 mg/day or 45 mg/day dose and two</w:t>
      </w:r>
      <w:r w:rsidR="00872DC3" w:rsidRPr="001B449A">
        <w:rPr>
          <w:szCs w:val="18"/>
        </w:rPr>
        <w:t xml:space="preserve"> scripts per year for patients receiving 30</w:t>
      </w:r>
      <w:r w:rsidR="00234D40" w:rsidRPr="001B449A">
        <w:rPr>
          <w:szCs w:val="18"/>
        </w:rPr>
        <w:t xml:space="preserve"> </w:t>
      </w:r>
      <w:r w:rsidR="00872DC3" w:rsidRPr="001B449A">
        <w:rPr>
          <w:szCs w:val="18"/>
        </w:rPr>
        <w:t>mg/day</w:t>
      </w:r>
      <w:r w:rsidR="00234D40" w:rsidRPr="001B449A">
        <w:rPr>
          <w:szCs w:val="18"/>
        </w:rPr>
        <w:t>,</w:t>
      </w:r>
      <w:r w:rsidR="00872DC3" w:rsidRPr="001B449A">
        <w:rPr>
          <w:szCs w:val="18"/>
        </w:rPr>
        <w:t xml:space="preserve"> </w:t>
      </w:r>
      <w:r w:rsidR="00CD4AA5" w:rsidRPr="001B449A">
        <w:rPr>
          <w:szCs w:val="18"/>
        </w:rPr>
        <w:t>as estimated by the submission.</w:t>
      </w:r>
    </w:p>
    <w:p w:rsidR="00E5612F" w:rsidRPr="001B449A" w:rsidRDefault="00E5612F" w:rsidP="00872DC3">
      <w:pPr>
        <w:pStyle w:val="TableFooter"/>
        <w:ind w:left="720"/>
        <w:rPr>
          <w:szCs w:val="18"/>
        </w:rPr>
      </w:pPr>
      <w:proofErr w:type="gramStart"/>
      <w:r w:rsidRPr="001B449A">
        <w:rPr>
          <w:szCs w:val="18"/>
          <w:vertAlign w:val="superscript"/>
        </w:rPr>
        <w:t>e</w:t>
      </w:r>
      <w:proofErr w:type="gramEnd"/>
      <w:r w:rsidRPr="001B449A">
        <w:rPr>
          <w:szCs w:val="18"/>
          <w:vertAlign w:val="superscript"/>
        </w:rPr>
        <w:t xml:space="preserve"> </w:t>
      </w:r>
      <w:r w:rsidRPr="001B449A">
        <w:rPr>
          <w:szCs w:val="18"/>
        </w:rPr>
        <w:t>The submission applies the number of patients receiving 4</w:t>
      </w:r>
      <w:r w:rsidRPr="001B449A">
        <w:rPr>
          <w:szCs w:val="18"/>
          <w:vertAlign w:val="superscript"/>
        </w:rPr>
        <w:t>th</w:t>
      </w:r>
      <w:r w:rsidRPr="001B449A">
        <w:rPr>
          <w:szCs w:val="18"/>
        </w:rPr>
        <w:t xml:space="preserve"> line treatment, rather than 3</w:t>
      </w:r>
      <w:r w:rsidRPr="001B449A">
        <w:rPr>
          <w:szCs w:val="18"/>
          <w:vertAlign w:val="superscript"/>
        </w:rPr>
        <w:t>rd</w:t>
      </w:r>
      <w:r w:rsidRPr="001B449A">
        <w:rPr>
          <w:szCs w:val="18"/>
        </w:rPr>
        <w:t xml:space="preserve"> line treatment, uses an incorrect weighting and uses the incorrect cost of nilotinib for Year 2 to 5. These are the corrected values.</w:t>
      </w:r>
    </w:p>
    <w:p w:rsidR="00CD4AA5" w:rsidRPr="001B449A" w:rsidRDefault="00CD4AA5" w:rsidP="00CD4AA5">
      <w:pPr>
        <w:pStyle w:val="TableFooter"/>
        <w:ind w:firstLine="720"/>
        <w:rPr>
          <w:szCs w:val="18"/>
        </w:rPr>
      </w:pPr>
      <w:r w:rsidRPr="001B449A">
        <w:rPr>
          <w:szCs w:val="18"/>
        </w:rPr>
        <w:t xml:space="preserve">Source: </w:t>
      </w:r>
      <w:r w:rsidR="001F3F1A" w:rsidRPr="001B449A">
        <w:rPr>
          <w:szCs w:val="18"/>
        </w:rPr>
        <w:t xml:space="preserve">Table </w:t>
      </w:r>
      <w:proofErr w:type="gramStart"/>
      <w:r w:rsidR="001F3F1A" w:rsidRPr="001B449A">
        <w:rPr>
          <w:szCs w:val="18"/>
        </w:rPr>
        <w:t>E(</w:t>
      </w:r>
      <w:proofErr w:type="spellStart"/>
      <w:proofErr w:type="gramEnd"/>
      <w:r w:rsidR="001F3F1A" w:rsidRPr="001B449A">
        <w:rPr>
          <w:szCs w:val="18"/>
        </w:rPr>
        <w:t>cma</w:t>
      </w:r>
      <w:proofErr w:type="spellEnd"/>
      <w:r w:rsidR="001F3F1A" w:rsidRPr="001B449A">
        <w:rPr>
          <w:szCs w:val="18"/>
        </w:rPr>
        <w:t>).2..2 – E(</w:t>
      </w:r>
      <w:proofErr w:type="spellStart"/>
      <w:r w:rsidR="001F3F1A" w:rsidRPr="001B449A">
        <w:rPr>
          <w:szCs w:val="18"/>
        </w:rPr>
        <w:t>cma</w:t>
      </w:r>
      <w:proofErr w:type="spellEnd"/>
      <w:r w:rsidR="001F3F1A" w:rsidRPr="001B449A">
        <w:rPr>
          <w:szCs w:val="18"/>
        </w:rPr>
        <w:t xml:space="preserve">).4.1 of the commentary </w:t>
      </w:r>
    </w:p>
    <w:p w:rsidR="00872DC3" w:rsidRPr="001B449A" w:rsidRDefault="00F15981" w:rsidP="00F15981">
      <w:pPr>
        <w:pStyle w:val="TableFooter"/>
        <w:ind w:left="720"/>
        <w:rPr>
          <w:szCs w:val="18"/>
        </w:rPr>
      </w:pPr>
      <w:r w:rsidRPr="001B449A">
        <w:rPr>
          <w:szCs w:val="18"/>
        </w:rPr>
        <w:t xml:space="preserve">MBS = Medical Benefits Schedule; </w:t>
      </w:r>
      <w:r w:rsidR="00872DC3" w:rsidRPr="001B449A">
        <w:rPr>
          <w:szCs w:val="18"/>
        </w:rPr>
        <w:t>PBS = Pharmaceutical Benefits Scheme; RPBS = Repatriation Pharmaceutical Benefits Scheme</w:t>
      </w:r>
    </w:p>
    <w:p w:rsidR="0005670B" w:rsidRDefault="0005670B">
      <w:pPr>
        <w:widowControl/>
        <w:jc w:val="left"/>
        <w:rPr>
          <w:szCs w:val="22"/>
        </w:rPr>
      </w:pPr>
    </w:p>
    <w:p w:rsidR="00F34EAC" w:rsidRPr="00976978" w:rsidRDefault="00F34EAC" w:rsidP="00F34EAC">
      <w:pPr>
        <w:widowControl/>
        <w:ind w:left="709" w:firstLine="11"/>
        <w:jc w:val="left"/>
        <w:rPr>
          <w:i/>
          <w:szCs w:val="22"/>
        </w:rPr>
      </w:pPr>
      <w:r w:rsidRPr="00976978">
        <w:rPr>
          <w:i/>
          <w:szCs w:val="22"/>
        </w:rPr>
        <w:t xml:space="preserve">The redacted table above shows the estimated patients to receive treatment with ponatinib to be less than 10,000 per year and the estimated net cost to the PBS/MBS </w:t>
      </w:r>
      <w:r w:rsidR="00976978">
        <w:rPr>
          <w:i/>
          <w:szCs w:val="22"/>
        </w:rPr>
        <w:t>to be</w:t>
      </w:r>
      <w:r w:rsidRPr="00976978">
        <w:rPr>
          <w:i/>
          <w:szCs w:val="22"/>
        </w:rPr>
        <w:t xml:space="preserve"> less than $10 million per year. </w:t>
      </w:r>
    </w:p>
    <w:p w:rsidR="00E91CFC" w:rsidRDefault="00E91CFC">
      <w:pPr>
        <w:widowControl/>
        <w:jc w:val="left"/>
        <w:rPr>
          <w:szCs w:val="22"/>
        </w:rPr>
      </w:pPr>
    </w:p>
    <w:p w:rsidR="00CD4AA5" w:rsidRPr="004D3770" w:rsidRDefault="001F3F1A" w:rsidP="00AB3220">
      <w:pPr>
        <w:pStyle w:val="ListParagraph"/>
        <w:widowControl/>
        <w:numPr>
          <w:ilvl w:val="1"/>
          <w:numId w:val="12"/>
        </w:numPr>
        <w:ind w:left="720" w:hanging="720"/>
        <w:rPr>
          <w:szCs w:val="22"/>
        </w:rPr>
      </w:pPr>
      <w:r w:rsidRPr="004D3770">
        <w:rPr>
          <w:szCs w:val="22"/>
        </w:rPr>
        <w:t xml:space="preserve">The accuracy of the </w:t>
      </w:r>
      <w:r w:rsidR="00473D01" w:rsidRPr="004D3770">
        <w:rPr>
          <w:szCs w:val="22"/>
        </w:rPr>
        <w:t>financial estimates</w:t>
      </w:r>
      <w:r w:rsidR="002061F7" w:rsidRPr="004D3770">
        <w:rPr>
          <w:szCs w:val="22"/>
        </w:rPr>
        <w:t xml:space="preserve"> </w:t>
      </w:r>
      <w:r w:rsidRPr="004D3770">
        <w:rPr>
          <w:szCs w:val="22"/>
        </w:rPr>
        <w:t>is uncertain.</w:t>
      </w:r>
      <w:r w:rsidR="002061F7" w:rsidRPr="004D3770">
        <w:rPr>
          <w:szCs w:val="22"/>
        </w:rPr>
        <w:t xml:space="preserve"> Th</w:t>
      </w:r>
      <w:r w:rsidR="00473D01" w:rsidRPr="004D3770">
        <w:rPr>
          <w:szCs w:val="22"/>
        </w:rPr>
        <w:t>e</w:t>
      </w:r>
      <w:r w:rsidR="002061F7" w:rsidRPr="004D3770">
        <w:rPr>
          <w:szCs w:val="22"/>
        </w:rPr>
        <w:t xml:space="preserve"> main factors contributing to this uncertainty are:</w:t>
      </w:r>
    </w:p>
    <w:p w:rsidR="00D9471E" w:rsidRPr="004D3770" w:rsidRDefault="00473D01" w:rsidP="009F0D55">
      <w:pPr>
        <w:pStyle w:val="ListParagraph"/>
        <w:widowControl/>
        <w:numPr>
          <w:ilvl w:val="1"/>
          <w:numId w:val="6"/>
        </w:numPr>
        <w:ind w:left="1004" w:hanging="284"/>
        <w:rPr>
          <w:szCs w:val="22"/>
        </w:rPr>
      </w:pPr>
      <w:r w:rsidRPr="004D3770">
        <w:rPr>
          <w:szCs w:val="22"/>
        </w:rPr>
        <w:t>The submission underestimate</w:t>
      </w:r>
      <w:r w:rsidR="00EF4A31">
        <w:rPr>
          <w:szCs w:val="22"/>
        </w:rPr>
        <w:t>d</w:t>
      </w:r>
      <w:r w:rsidRPr="004D3770">
        <w:rPr>
          <w:szCs w:val="22"/>
        </w:rPr>
        <w:t xml:space="preserve"> the number of patients treated with </w:t>
      </w:r>
      <w:r w:rsidR="00F720C6" w:rsidRPr="004D3770">
        <w:rPr>
          <w:szCs w:val="22"/>
        </w:rPr>
        <w:t>TKI</w:t>
      </w:r>
      <w:r w:rsidR="0014702C" w:rsidRPr="004D3770">
        <w:rPr>
          <w:szCs w:val="22"/>
        </w:rPr>
        <w:t>s</w:t>
      </w:r>
      <w:r w:rsidR="002C40CF" w:rsidRPr="004D3770">
        <w:rPr>
          <w:szCs w:val="22"/>
        </w:rPr>
        <w:t xml:space="preserve"> (imatinib, dasatinib and nilotinib)</w:t>
      </w:r>
      <w:r w:rsidRPr="004D3770">
        <w:rPr>
          <w:szCs w:val="22"/>
        </w:rPr>
        <w:t xml:space="preserve"> as compared to the </w:t>
      </w:r>
      <w:r w:rsidR="00B623ED" w:rsidRPr="004D3770">
        <w:rPr>
          <w:szCs w:val="22"/>
        </w:rPr>
        <w:t xml:space="preserve">February 2014 </w:t>
      </w:r>
      <w:r w:rsidRPr="004D3770">
        <w:rPr>
          <w:szCs w:val="22"/>
        </w:rPr>
        <w:t>DUSC review of TKI use</w:t>
      </w:r>
      <w:r w:rsidR="00B623ED" w:rsidRPr="004D3770">
        <w:rPr>
          <w:szCs w:val="22"/>
        </w:rPr>
        <w:t xml:space="preserve"> </w:t>
      </w:r>
      <w:r w:rsidR="00B623ED" w:rsidRPr="004D3770">
        <w:t>(2013 TKI patients in the submission = 1,937 v</w:t>
      </w:r>
      <w:r w:rsidR="00DC7467" w:rsidRPr="004D3770">
        <w:t>s.</w:t>
      </w:r>
      <w:r w:rsidR="00B623ED" w:rsidRPr="004D3770">
        <w:t xml:space="preserve"> approximately 2,500 in the DU</w:t>
      </w:r>
      <w:r w:rsidR="00234D40" w:rsidRPr="004D3770">
        <w:t>SC review);</w:t>
      </w:r>
      <w:r w:rsidR="0005670B" w:rsidRPr="004D3770">
        <w:t xml:space="preserve"> </w:t>
      </w:r>
      <w:r w:rsidR="00D9471E" w:rsidRPr="004D3770">
        <w:t>The ESC noted that in the PSCR (p3), the sponsor accept</w:t>
      </w:r>
      <w:r w:rsidR="00EF4A31">
        <w:t>ed</w:t>
      </w:r>
      <w:r w:rsidR="00D9471E" w:rsidRPr="004D3770">
        <w:t xml:space="preserve"> that the estimates in the DUSC review are more likely to be more accurate. </w:t>
      </w:r>
    </w:p>
    <w:p w:rsidR="00473D01" w:rsidRPr="004D3770" w:rsidRDefault="00473D01" w:rsidP="009F0D55">
      <w:pPr>
        <w:pStyle w:val="ListParagraph"/>
        <w:widowControl/>
        <w:numPr>
          <w:ilvl w:val="1"/>
          <w:numId w:val="6"/>
        </w:numPr>
        <w:ind w:left="1004" w:hanging="284"/>
        <w:rPr>
          <w:szCs w:val="22"/>
        </w:rPr>
      </w:pPr>
      <w:r w:rsidRPr="004D3770">
        <w:rPr>
          <w:szCs w:val="22"/>
        </w:rPr>
        <w:t>The submission overestimate</w:t>
      </w:r>
      <w:r w:rsidR="00EF4A31">
        <w:rPr>
          <w:szCs w:val="22"/>
        </w:rPr>
        <w:t>d</w:t>
      </w:r>
      <w:r w:rsidRPr="004D3770">
        <w:rPr>
          <w:szCs w:val="22"/>
        </w:rPr>
        <w:t xml:space="preserve"> the number of patients with the T315I mutation</w:t>
      </w:r>
      <w:r w:rsidR="00B623ED" w:rsidRPr="004D3770">
        <w:rPr>
          <w:szCs w:val="22"/>
        </w:rPr>
        <w:t>. For example,</w:t>
      </w:r>
      <w:r w:rsidRPr="004D3770">
        <w:rPr>
          <w:szCs w:val="22"/>
        </w:rPr>
        <w:t xml:space="preserve"> to estimate the number of patients on second-line </w:t>
      </w:r>
      <w:r w:rsidR="00B623ED" w:rsidRPr="004D3770">
        <w:rPr>
          <w:szCs w:val="22"/>
        </w:rPr>
        <w:t xml:space="preserve">therapy </w:t>
      </w:r>
      <w:r w:rsidRPr="004D3770">
        <w:rPr>
          <w:szCs w:val="22"/>
        </w:rPr>
        <w:t xml:space="preserve">with the T315I mutation, the </w:t>
      </w:r>
      <w:r w:rsidR="008551E7">
        <w:rPr>
          <w:szCs w:val="22"/>
        </w:rPr>
        <w:t xml:space="preserve">proportion </w:t>
      </w:r>
      <w:r w:rsidRPr="004D3770">
        <w:rPr>
          <w:szCs w:val="22"/>
        </w:rPr>
        <w:t xml:space="preserve">of patients with the mutation </w:t>
      </w:r>
      <w:r w:rsidR="008551E7">
        <w:rPr>
          <w:szCs w:val="22"/>
        </w:rPr>
        <w:t xml:space="preserve">is multiplied </w:t>
      </w:r>
      <w:r w:rsidR="00B623ED" w:rsidRPr="004D3770">
        <w:rPr>
          <w:szCs w:val="22"/>
        </w:rPr>
        <w:t>by</w:t>
      </w:r>
      <w:r w:rsidRPr="004D3770">
        <w:rPr>
          <w:szCs w:val="22"/>
        </w:rPr>
        <w:t xml:space="preserve"> all patients on first</w:t>
      </w:r>
      <w:r w:rsidR="003F0BA9" w:rsidRPr="004D3770">
        <w:rPr>
          <w:szCs w:val="22"/>
        </w:rPr>
        <w:t>-</w:t>
      </w:r>
      <w:r w:rsidRPr="004D3770">
        <w:rPr>
          <w:szCs w:val="22"/>
        </w:rPr>
        <w:t xml:space="preserve">line treatment. </w:t>
      </w:r>
      <w:r w:rsidR="008551E7">
        <w:rPr>
          <w:szCs w:val="22"/>
        </w:rPr>
        <w:t xml:space="preserve">The correct method is to </w:t>
      </w:r>
      <w:r w:rsidRPr="004D3770">
        <w:rPr>
          <w:szCs w:val="22"/>
        </w:rPr>
        <w:t xml:space="preserve">multiply this </w:t>
      </w:r>
      <w:r w:rsidR="008551E7">
        <w:rPr>
          <w:szCs w:val="22"/>
        </w:rPr>
        <w:t>p</w:t>
      </w:r>
      <w:r w:rsidR="004F4F9F">
        <w:rPr>
          <w:szCs w:val="22"/>
        </w:rPr>
        <w:t>r</w:t>
      </w:r>
      <w:r w:rsidR="008551E7">
        <w:rPr>
          <w:szCs w:val="22"/>
        </w:rPr>
        <w:t>op</w:t>
      </w:r>
      <w:r w:rsidR="004F4F9F">
        <w:rPr>
          <w:szCs w:val="22"/>
        </w:rPr>
        <w:t>o</w:t>
      </w:r>
      <w:r w:rsidR="008551E7">
        <w:rPr>
          <w:szCs w:val="22"/>
        </w:rPr>
        <w:t>rtion</w:t>
      </w:r>
      <w:r w:rsidR="004F4F9F">
        <w:rPr>
          <w:szCs w:val="22"/>
        </w:rPr>
        <w:t xml:space="preserve"> </w:t>
      </w:r>
      <w:r w:rsidR="00B623ED" w:rsidRPr="004D3770">
        <w:rPr>
          <w:szCs w:val="22"/>
        </w:rPr>
        <w:t>by</w:t>
      </w:r>
      <w:r w:rsidRPr="004D3770">
        <w:rPr>
          <w:szCs w:val="22"/>
        </w:rPr>
        <w:t xml:space="preserve"> all patients failing first</w:t>
      </w:r>
      <w:r w:rsidR="003F0BA9" w:rsidRPr="004D3770">
        <w:rPr>
          <w:szCs w:val="22"/>
        </w:rPr>
        <w:t>-</w:t>
      </w:r>
      <w:r w:rsidR="00234D40" w:rsidRPr="004D3770">
        <w:rPr>
          <w:szCs w:val="22"/>
        </w:rPr>
        <w:t>line treatment</w:t>
      </w:r>
      <w:r w:rsidR="008551E7">
        <w:rPr>
          <w:szCs w:val="22"/>
        </w:rPr>
        <w:t>.</w:t>
      </w:r>
      <w:r w:rsidRPr="004D3770">
        <w:rPr>
          <w:szCs w:val="22"/>
        </w:rPr>
        <w:t xml:space="preserve"> </w:t>
      </w:r>
    </w:p>
    <w:p w:rsidR="002061F7" w:rsidRPr="004D3770" w:rsidRDefault="002061F7" w:rsidP="009F0D55">
      <w:pPr>
        <w:pStyle w:val="ListParagraph"/>
        <w:widowControl/>
        <w:numPr>
          <w:ilvl w:val="1"/>
          <w:numId w:val="6"/>
        </w:numPr>
        <w:ind w:left="1004" w:hanging="284"/>
        <w:rPr>
          <w:szCs w:val="22"/>
        </w:rPr>
      </w:pPr>
      <w:r w:rsidRPr="004D3770">
        <w:rPr>
          <w:szCs w:val="22"/>
        </w:rPr>
        <w:lastRenderedPageBreak/>
        <w:t>The uptake of</w:t>
      </w:r>
      <w:r w:rsidR="00234D40" w:rsidRPr="004D3770">
        <w:rPr>
          <w:szCs w:val="22"/>
        </w:rPr>
        <w:t xml:space="preserve"> ponatinib </w:t>
      </w:r>
      <w:r w:rsidR="00F459BC">
        <w:rPr>
          <w:szCs w:val="22"/>
        </w:rPr>
        <w:t>was</w:t>
      </w:r>
      <w:r w:rsidR="00EC06FF">
        <w:rPr>
          <w:szCs w:val="22"/>
        </w:rPr>
        <w:t xml:space="preserve"> overestimated</w:t>
      </w:r>
      <w:r w:rsidR="00EC06FF">
        <w:t xml:space="preserve"> as the submission assume</w:t>
      </w:r>
      <w:r w:rsidR="00F459BC">
        <w:t>d</w:t>
      </w:r>
      <w:r w:rsidR="00EC06FF">
        <w:t xml:space="preserve"> </w:t>
      </w:r>
      <w:r w:rsidR="0005670B" w:rsidRPr="004D3770">
        <w:t xml:space="preserve">100% </w:t>
      </w:r>
      <w:r w:rsidR="00EC06FF">
        <w:t>of</w:t>
      </w:r>
      <w:r w:rsidR="0005670B" w:rsidRPr="004D3770">
        <w:t xml:space="preserve"> patients with T315I mutation</w:t>
      </w:r>
      <w:r w:rsidR="00850139">
        <w:t xml:space="preserve"> will receive ponatinib.</w:t>
      </w:r>
      <w:r w:rsidR="00EF4A31">
        <w:t xml:space="preserve"> </w:t>
      </w:r>
      <w:r w:rsidR="00850139">
        <w:t>This assumption d</w:t>
      </w:r>
      <w:r w:rsidR="00F459BC">
        <w:t>id</w:t>
      </w:r>
      <w:r w:rsidR="00850139">
        <w:t xml:space="preserve"> not consider </w:t>
      </w:r>
      <w:r w:rsidR="00F459BC">
        <w:t xml:space="preserve">that </w:t>
      </w:r>
      <w:r w:rsidR="00850139">
        <w:t xml:space="preserve">the serious adverse effects of ponatinib and the availability of allogeneic stem cell therapy </w:t>
      </w:r>
      <w:r w:rsidR="00EF4A31">
        <w:t>will reduce the uptake of ponatinib.</w:t>
      </w:r>
    </w:p>
    <w:p w:rsidR="002842AE" w:rsidRPr="004D3770" w:rsidRDefault="002842AE" w:rsidP="009F0D55">
      <w:pPr>
        <w:pStyle w:val="ListParagraph"/>
        <w:numPr>
          <w:ilvl w:val="0"/>
          <w:numId w:val="7"/>
        </w:numPr>
        <w:rPr>
          <w:szCs w:val="22"/>
        </w:rPr>
      </w:pPr>
      <w:r w:rsidRPr="004D3770">
        <w:rPr>
          <w:szCs w:val="22"/>
        </w:rPr>
        <w:t>The lack of consideration given to the cost of adverse effects due to ponatinib</w:t>
      </w:r>
      <w:r w:rsidR="00234D40" w:rsidRPr="004D3770">
        <w:rPr>
          <w:szCs w:val="22"/>
        </w:rPr>
        <w:t xml:space="preserve"> (underestimation)</w:t>
      </w:r>
      <w:r w:rsidRPr="004D3770">
        <w:rPr>
          <w:szCs w:val="22"/>
        </w:rPr>
        <w:t>.</w:t>
      </w:r>
      <w:r w:rsidR="00D9471E" w:rsidRPr="004D3770">
        <w:rPr>
          <w:szCs w:val="22"/>
        </w:rPr>
        <w:t xml:space="preserve"> The ESC noted costs not considered in the submission (such as treatment of additional vascular occlusive events and testing for T315I mutation) have an increased but unknown financial effect.</w:t>
      </w:r>
    </w:p>
    <w:p w:rsidR="0005670B" w:rsidRPr="004D3770" w:rsidRDefault="0005670B" w:rsidP="009F0D55">
      <w:pPr>
        <w:pStyle w:val="ListParagraph"/>
        <w:numPr>
          <w:ilvl w:val="0"/>
          <w:numId w:val="7"/>
        </w:numPr>
      </w:pPr>
      <w:r w:rsidRPr="004D3770">
        <w:t>The submission assume</w:t>
      </w:r>
      <w:r w:rsidR="00F459BC">
        <w:t>d</w:t>
      </w:r>
      <w:r w:rsidRPr="004D3770">
        <w:t xml:space="preserve"> that ponatinib treated patients on 15 mg per day will receive two months’ supply and those on 30 mg or 45 mg per day will receive one month supply per year. For dasatinib and nilotinib, the submission assume</w:t>
      </w:r>
      <w:r w:rsidR="00F459BC">
        <w:t>d</w:t>
      </w:r>
      <w:r w:rsidRPr="004D3770">
        <w:t xml:space="preserve"> that patients will receive one month supply per year. This is an underestimate as treatment is expected to continue for as long as a patient continues to receive benefits, until disease progression or development of intolerance. </w:t>
      </w:r>
      <w:r w:rsidR="00F85293" w:rsidRPr="004D3770">
        <w:t>The PSCR (p4) acknowledge</w:t>
      </w:r>
      <w:r w:rsidR="00F459BC">
        <w:t>d</w:t>
      </w:r>
      <w:r w:rsidR="00F85293" w:rsidRPr="004D3770">
        <w:t xml:space="preserve"> the error in the calculation of the number of scripts per patient.</w:t>
      </w:r>
    </w:p>
    <w:p w:rsidR="00495D02" w:rsidRPr="004D3770" w:rsidRDefault="00495D02" w:rsidP="009F0D55">
      <w:pPr>
        <w:pStyle w:val="ListParagraph"/>
        <w:numPr>
          <w:ilvl w:val="0"/>
          <w:numId w:val="7"/>
        </w:numPr>
        <w:ind w:right="135"/>
      </w:pPr>
      <w:r w:rsidRPr="004D3770">
        <w:t>The ESC noted that the savings resulted in change of use dasatinib and nilotinib are unclear as patients are likely to trial all agents, especially if they do not have the T315I mutation.</w:t>
      </w:r>
    </w:p>
    <w:p w:rsidR="003C6B62" w:rsidRDefault="003C6B62" w:rsidP="00F459BC">
      <w:pPr>
        <w:widowControl/>
      </w:pPr>
    </w:p>
    <w:p w:rsidR="00662FE8" w:rsidRDefault="003C6B62" w:rsidP="00AB3220">
      <w:pPr>
        <w:pStyle w:val="ListParagraph"/>
        <w:widowControl/>
        <w:numPr>
          <w:ilvl w:val="1"/>
          <w:numId w:val="12"/>
        </w:numPr>
        <w:ind w:left="720" w:hanging="720"/>
      </w:pPr>
      <w:r>
        <w:t xml:space="preserve">The </w:t>
      </w:r>
      <w:r w:rsidRPr="003C6B62">
        <w:t xml:space="preserve">PBAC </w:t>
      </w:r>
      <w:r w:rsidR="00662FE8">
        <w:t xml:space="preserve">considered that </w:t>
      </w:r>
      <w:r w:rsidRPr="003C6B62">
        <w:t>the financial estimates</w:t>
      </w:r>
      <w:r w:rsidR="00662FE8">
        <w:t xml:space="preserve"> are inaccurate and </w:t>
      </w:r>
      <w:r w:rsidRPr="003C6B62">
        <w:t>required significant revision to reflect</w:t>
      </w:r>
      <w:r w:rsidR="00662FE8">
        <w:t>:</w:t>
      </w:r>
    </w:p>
    <w:p w:rsidR="00662FE8" w:rsidRPr="00662FE8" w:rsidRDefault="00662FE8" w:rsidP="00662FE8">
      <w:pPr>
        <w:pStyle w:val="ListParagraph"/>
        <w:widowControl/>
      </w:pPr>
      <w:proofErr w:type="spellStart"/>
      <w:r w:rsidRPr="00662FE8">
        <w:t>i</w:t>
      </w:r>
      <w:proofErr w:type="spellEnd"/>
      <w:r w:rsidRPr="00662FE8">
        <w:t>) DUSC’s estimates of TKI use by line</w:t>
      </w:r>
      <w:r w:rsidR="006832BB">
        <w:t xml:space="preserve"> of </w:t>
      </w:r>
      <w:r w:rsidR="00F459BC">
        <w:t>therapy</w:t>
      </w:r>
      <w:r w:rsidRPr="00662FE8">
        <w:t xml:space="preserve"> and correct calculation of number of patients moving from first to second and subsequent lines per annum;</w:t>
      </w:r>
    </w:p>
    <w:p w:rsidR="00662FE8" w:rsidRPr="00662FE8" w:rsidRDefault="00662FE8" w:rsidP="00662FE8">
      <w:pPr>
        <w:pStyle w:val="ListParagraph"/>
        <w:widowControl/>
      </w:pPr>
      <w:r w:rsidRPr="00662FE8">
        <w:t xml:space="preserve">(ii) </w:t>
      </w:r>
      <w:proofErr w:type="gramStart"/>
      <w:r w:rsidRPr="00662FE8">
        <w:t>that</w:t>
      </w:r>
      <w:proofErr w:type="gramEnd"/>
      <w:r w:rsidRPr="00662FE8">
        <w:t xml:space="preserve"> only 15% of patients failing first line TKI therapy will have T315I;</w:t>
      </w:r>
    </w:p>
    <w:p w:rsidR="00662FE8" w:rsidRPr="00662FE8" w:rsidRDefault="00662FE8" w:rsidP="00662FE8">
      <w:pPr>
        <w:pStyle w:val="ListParagraph"/>
        <w:widowControl/>
      </w:pPr>
      <w:r w:rsidRPr="00662FE8">
        <w:t xml:space="preserve">(iii) </w:t>
      </w:r>
      <w:proofErr w:type="gramStart"/>
      <w:r w:rsidRPr="00662FE8">
        <w:t>that</w:t>
      </w:r>
      <w:proofErr w:type="gramEnd"/>
      <w:r w:rsidRPr="00662FE8">
        <w:t xml:space="preserve"> although uptake in T315I mutation CML will be &gt;90%, it will not be 100% given the risks in patients with pre-existing cardiovascular disease and the availability of allogeneic SCT;</w:t>
      </w:r>
    </w:p>
    <w:p w:rsidR="00662FE8" w:rsidRPr="00662FE8" w:rsidRDefault="00662FE8" w:rsidP="00662FE8">
      <w:pPr>
        <w:pStyle w:val="ListParagraph"/>
        <w:widowControl/>
      </w:pPr>
      <w:r w:rsidRPr="00662FE8">
        <w:t xml:space="preserve">(iv) use of ponatinib only after failure of both nilotinib and dasatinib for patients with non-T315I CML, and use only in T315I mutant </w:t>
      </w:r>
      <w:proofErr w:type="spellStart"/>
      <w:r w:rsidRPr="00662FE8">
        <w:t>Ph</w:t>
      </w:r>
      <w:proofErr w:type="spellEnd"/>
      <w:r w:rsidRPr="00662FE8">
        <w:t>+ ALL;</w:t>
      </w:r>
    </w:p>
    <w:p w:rsidR="00662FE8" w:rsidRPr="004D3770" w:rsidRDefault="00662FE8" w:rsidP="00662FE8">
      <w:pPr>
        <w:pStyle w:val="ListParagraph"/>
        <w:widowControl/>
      </w:pPr>
      <w:r w:rsidRPr="00662FE8">
        <w:t xml:space="preserve">(v) </w:t>
      </w:r>
      <w:proofErr w:type="gramStart"/>
      <w:r w:rsidRPr="00662FE8">
        <w:t>minimal</w:t>
      </w:r>
      <w:proofErr w:type="gramEnd"/>
      <w:r w:rsidRPr="00662FE8">
        <w:t xml:space="preserve"> substitution for nilotinib or dasatinib</w:t>
      </w:r>
      <w:r>
        <w:t>.</w:t>
      </w:r>
    </w:p>
    <w:p w:rsidR="00B65F97" w:rsidRDefault="00B65F97" w:rsidP="00B65F97">
      <w:pPr>
        <w:pStyle w:val="ListParagraph"/>
        <w:ind w:left="709"/>
        <w:rPr>
          <w:i/>
          <w:szCs w:val="22"/>
        </w:rPr>
      </w:pPr>
    </w:p>
    <w:p w:rsidR="00CB1035" w:rsidRDefault="00CB1035" w:rsidP="00B65F97">
      <w:pPr>
        <w:pStyle w:val="ListParagraph"/>
        <w:ind w:left="709"/>
        <w:rPr>
          <w:i/>
          <w:szCs w:val="22"/>
        </w:rPr>
      </w:pPr>
    </w:p>
    <w:p w:rsidR="00F918CA" w:rsidRPr="002C2C55" w:rsidRDefault="00F918CA" w:rsidP="002C2C55">
      <w:pPr>
        <w:pStyle w:val="PBACHeading1"/>
        <w:numPr>
          <w:ilvl w:val="0"/>
          <w:numId w:val="12"/>
        </w:numPr>
        <w:ind w:left="709" w:hanging="709"/>
        <w:rPr>
          <w:bCs/>
        </w:rPr>
      </w:pPr>
      <w:r w:rsidRPr="002C2C55">
        <w:rPr>
          <w:bCs/>
        </w:rPr>
        <w:t>PBAC Outcome</w:t>
      </w:r>
    </w:p>
    <w:p w:rsidR="001225A8" w:rsidRPr="00B65F97" w:rsidRDefault="001225A8" w:rsidP="008F2482">
      <w:pPr>
        <w:widowControl/>
      </w:pPr>
    </w:p>
    <w:p w:rsidR="00F36DBA" w:rsidRDefault="00480856" w:rsidP="002C2C55">
      <w:pPr>
        <w:pStyle w:val="ListParagraph"/>
        <w:widowControl/>
        <w:numPr>
          <w:ilvl w:val="1"/>
          <w:numId w:val="12"/>
        </w:numPr>
        <w:ind w:left="720" w:hanging="720"/>
        <w:rPr>
          <w:bCs/>
          <w:szCs w:val="22"/>
          <w:lang w:val="en-GB"/>
        </w:rPr>
      </w:pPr>
      <w:r w:rsidRPr="00241315">
        <w:rPr>
          <w:bCs/>
          <w:szCs w:val="22"/>
          <w:lang w:val="en-GB"/>
        </w:rPr>
        <w:t>The PBAC d</w:t>
      </w:r>
      <w:r w:rsidR="008F2482" w:rsidRPr="00241315">
        <w:rPr>
          <w:bCs/>
          <w:szCs w:val="22"/>
          <w:lang w:val="en-GB"/>
        </w:rPr>
        <w:t>efer</w:t>
      </w:r>
      <w:r w:rsidRPr="00241315">
        <w:rPr>
          <w:bCs/>
          <w:szCs w:val="22"/>
          <w:lang w:val="en-GB"/>
        </w:rPr>
        <w:t xml:space="preserve">red </w:t>
      </w:r>
      <w:r w:rsidR="0035148B">
        <w:rPr>
          <w:bCs/>
          <w:szCs w:val="22"/>
          <w:lang w:val="en-GB"/>
        </w:rPr>
        <w:t xml:space="preserve">the submission to </w:t>
      </w:r>
      <w:r w:rsidR="00F36DBA">
        <w:rPr>
          <w:bCs/>
          <w:szCs w:val="22"/>
          <w:lang w:val="en-GB"/>
        </w:rPr>
        <w:t xml:space="preserve">request </w:t>
      </w:r>
      <w:r w:rsidR="0002708B">
        <w:rPr>
          <w:bCs/>
          <w:szCs w:val="22"/>
          <w:lang w:val="en-GB"/>
        </w:rPr>
        <w:t>better alignment of the restrictions to the populations of patients most likely to benefit</w:t>
      </w:r>
      <w:r w:rsidR="00A75040">
        <w:rPr>
          <w:bCs/>
          <w:szCs w:val="22"/>
          <w:lang w:val="en-GB"/>
        </w:rPr>
        <w:t xml:space="preserve">, adjustments of the economic analyses and financial estimates in line with the considerations of the PBAC, and </w:t>
      </w:r>
      <w:r w:rsidR="00F36DBA">
        <w:rPr>
          <w:bCs/>
          <w:szCs w:val="22"/>
          <w:lang w:val="en-GB"/>
        </w:rPr>
        <w:t xml:space="preserve">a significant price reduction of ponatinib to account for the significant costs associated with care of patients with vascular occlusive events induced by ponatinib.  </w:t>
      </w:r>
    </w:p>
    <w:p w:rsidR="00E82D3B" w:rsidRPr="00DF0558" w:rsidRDefault="00E82D3B" w:rsidP="00DF0558">
      <w:pPr>
        <w:rPr>
          <w:bCs/>
          <w:szCs w:val="22"/>
          <w:lang w:val="en-GB"/>
        </w:rPr>
      </w:pPr>
    </w:p>
    <w:p w:rsidR="009B09B6" w:rsidRDefault="009B09B6" w:rsidP="002C2C55">
      <w:pPr>
        <w:pStyle w:val="ListParagraph"/>
        <w:widowControl/>
        <w:numPr>
          <w:ilvl w:val="1"/>
          <w:numId w:val="12"/>
        </w:numPr>
        <w:ind w:left="720" w:hanging="720"/>
        <w:rPr>
          <w:bCs/>
          <w:szCs w:val="22"/>
          <w:lang w:val="en-GB"/>
        </w:rPr>
      </w:pPr>
      <w:r>
        <w:rPr>
          <w:bCs/>
          <w:szCs w:val="22"/>
        </w:rPr>
        <w:t xml:space="preserve">The </w:t>
      </w:r>
      <w:r w:rsidRPr="009B09B6">
        <w:rPr>
          <w:bCs/>
          <w:szCs w:val="22"/>
        </w:rPr>
        <w:t xml:space="preserve">PBAC considered that restrictions that aligned ponatinib use with clinical scenarios where its </w:t>
      </w:r>
      <w:proofErr w:type="spellStart"/>
      <w:r w:rsidRPr="009B09B6">
        <w:rPr>
          <w:bCs/>
          <w:szCs w:val="22"/>
        </w:rPr>
        <w:t>risk</w:t>
      </w:r>
      <w:proofErr w:type="gramStart"/>
      <w:r w:rsidRPr="009B09B6">
        <w:rPr>
          <w:bCs/>
          <w:szCs w:val="22"/>
        </w:rPr>
        <w:t>:benefit</w:t>
      </w:r>
      <w:proofErr w:type="spellEnd"/>
      <w:proofErr w:type="gramEnd"/>
      <w:r w:rsidRPr="009B09B6">
        <w:rPr>
          <w:bCs/>
          <w:szCs w:val="22"/>
        </w:rPr>
        <w:t xml:space="preserve"> ratios were most favourable were more appropriate</w:t>
      </w:r>
      <w:r w:rsidR="0002708B">
        <w:rPr>
          <w:bCs/>
          <w:szCs w:val="22"/>
        </w:rPr>
        <w:t xml:space="preserve"> than those originally proposed by the sponsor. The PBAC recommended the following restrictions:</w:t>
      </w:r>
      <w:r w:rsidR="0002708B" w:rsidRPr="009B09B6">
        <w:rPr>
          <w:rFonts w:ascii="Arial Narrow" w:hAnsi="Arial Narrow"/>
          <w:color w:val="0000FF"/>
          <w:szCs w:val="22"/>
        </w:rPr>
        <w:t xml:space="preserve"> </w:t>
      </w:r>
      <w:r>
        <w:rPr>
          <w:bCs/>
          <w:szCs w:val="22"/>
        </w:rPr>
        <w:t>(</w:t>
      </w:r>
      <w:proofErr w:type="spellStart"/>
      <w:r>
        <w:rPr>
          <w:bCs/>
          <w:szCs w:val="22"/>
        </w:rPr>
        <w:t>i</w:t>
      </w:r>
      <w:proofErr w:type="spellEnd"/>
      <w:r>
        <w:rPr>
          <w:bCs/>
          <w:szCs w:val="22"/>
        </w:rPr>
        <w:t>)</w:t>
      </w:r>
      <w:r w:rsidRPr="009B09B6">
        <w:rPr>
          <w:bCs/>
          <w:szCs w:val="22"/>
        </w:rPr>
        <w:t xml:space="preserve">Patients with CML who have failed [standard definition as per dasatinib and nilotinib] first line therapy with imatinib or </w:t>
      </w:r>
      <w:r w:rsidR="00020332">
        <w:rPr>
          <w:bCs/>
          <w:szCs w:val="22"/>
        </w:rPr>
        <w:t>dasatinib or nilotinib and</w:t>
      </w:r>
      <w:r w:rsidRPr="009B09B6">
        <w:rPr>
          <w:bCs/>
          <w:szCs w:val="22"/>
        </w:rPr>
        <w:t xml:space="preserve"> whose CML has the T315I mutation</w:t>
      </w:r>
      <w:r>
        <w:rPr>
          <w:bCs/>
          <w:szCs w:val="22"/>
        </w:rPr>
        <w:t>;</w:t>
      </w:r>
      <w:r w:rsidRPr="009B09B6">
        <w:rPr>
          <w:rFonts w:ascii="Arial Narrow" w:hAnsi="Arial Narrow"/>
          <w:color w:val="0000FF"/>
          <w:szCs w:val="22"/>
        </w:rPr>
        <w:t xml:space="preserve"> </w:t>
      </w:r>
      <w:r>
        <w:rPr>
          <w:bCs/>
          <w:szCs w:val="22"/>
        </w:rPr>
        <w:t xml:space="preserve">(ii) </w:t>
      </w:r>
      <w:r w:rsidRPr="009B09B6">
        <w:rPr>
          <w:bCs/>
          <w:szCs w:val="22"/>
        </w:rPr>
        <w:t>Patients with CML where both nilotinib and dasatinib have failed [standard definition as above];</w:t>
      </w:r>
      <w:r>
        <w:rPr>
          <w:bCs/>
          <w:szCs w:val="22"/>
        </w:rPr>
        <w:t xml:space="preserve"> or </w:t>
      </w:r>
      <w:r w:rsidRPr="009B09B6">
        <w:rPr>
          <w:bCs/>
          <w:szCs w:val="22"/>
        </w:rPr>
        <w:t>where one of nilot</w:t>
      </w:r>
      <w:r w:rsidR="007C4ED2">
        <w:rPr>
          <w:bCs/>
          <w:szCs w:val="22"/>
        </w:rPr>
        <w:t>inib or dasatinib has failed and</w:t>
      </w:r>
      <w:r w:rsidRPr="009B09B6">
        <w:rPr>
          <w:bCs/>
          <w:szCs w:val="22"/>
        </w:rPr>
        <w:t xml:space="preserve"> who are intolerant of the other drug;</w:t>
      </w:r>
      <w:r w:rsidRPr="009B09B6">
        <w:rPr>
          <w:rFonts w:ascii="Arial Narrow" w:hAnsi="Arial Narrow"/>
          <w:color w:val="0000FF"/>
          <w:szCs w:val="22"/>
        </w:rPr>
        <w:t xml:space="preserve"> </w:t>
      </w:r>
      <w:r>
        <w:rPr>
          <w:bCs/>
          <w:szCs w:val="22"/>
        </w:rPr>
        <w:t>(iii)</w:t>
      </w:r>
      <w:r w:rsidRPr="009B09B6">
        <w:rPr>
          <w:bCs/>
          <w:szCs w:val="22"/>
        </w:rPr>
        <w:t>Patients with relapsed or refractory [standard definition] BCR-ABL positive acute lymphoblastic</w:t>
      </w:r>
      <w:r w:rsidRPr="009B09B6">
        <w:rPr>
          <w:rFonts w:ascii="Arial Narrow" w:hAnsi="Arial Narrow"/>
          <w:color w:val="0000FF"/>
          <w:szCs w:val="22"/>
        </w:rPr>
        <w:t xml:space="preserve"> </w:t>
      </w:r>
      <w:r>
        <w:rPr>
          <w:bCs/>
          <w:szCs w:val="22"/>
        </w:rPr>
        <w:t xml:space="preserve">leukaemia and </w:t>
      </w:r>
      <w:r w:rsidRPr="009B09B6">
        <w:rPr>
          <w:bCs/>
          <w:szCs w:val="22"/>
        </w:rPr>
        <w:t>whose ALL has the T315I mutation</w:t>
      </w:r>
      <w:r>
        <w:rPr>
          <w:bCs/>
          <w:szCs w:val="22"/>
        </w:rPr>
        <w:t>.</w:t>
      </w:r>
    </w:p>
    <w:p w:rsidR="009B09B6" w:rsidRPr="009B09B6" w:rsidRDefault="009B09B6" w:rsidP="009B09B6">
      <w:pPr>
        <w:pStyle w:val="ListParagraph"/>
        <w:rPr>
          <w:bCs/>
          <w:szCs w:val="22"/>
          <w:lang w:val="en-GB"/>
        </w:rPr>
      </w:pPr>
    </w:p>
    <w:p w:rsidR="00336563" w:rsidRDefault="00336563" w:rsidP="002C2C55">
      <w:pPr>
        <w:pStyle w:val="ListParagraph"/>
        <w:widowControl/>
        <w:numPr>
          <w:ilvl w:val="1"/>
          <w:numId w:val="12"/>
        </w:numPr>
        <w:ind w:left="720" w:hanging="720"/>
        <w:rPr>
          <w:bCs/>
          <w:szCs w:val="22"/>
        </w:rPr>
      </w:pPr>
      <w:r>
        <w:rPr>
          <w:bCs/>
          <w:szCs w:val="22"/>
          <w:lang w:val="en-GB"/>
        </w:rPr>
        <w:lastRenderedPageBreak/>
        <w:t>The PBAC considered the clinical place of ponatinib will be determined by (1)</w:t>
      </w:r>
      <w:r w:rsidRPr="00336563">
        <w:rPr>
          <w:rFonts w:asciiTheme="minorHAnsi" w:eastAsia="MS PGothic" w:hAnsi="Calibri" w:cs="MS PGothic"/>
          <w:snapToGrid/>
          <w:color w:val="000000" w:themeColor="text1"/>
          <w:kern w:val="24"/>
          <w:sz w:val="56"/>
          <w:szCs w:val="56"/>
          <w:lang w:eastAsia="en-AU"/>
        </w:rPr>
        <w:t xml:space="preserve"> </w:t>
      </w:r>
      <w:r w:rsidR="00CA5C72" w:rsidRPr="00336563">
        <w:rPr>
          <w:bCs/>
          <w:szCs w:val="22"/>
        </w:rPr>
        <w:t xml:space="preserve">presence or absence of T315I mutation in patients who had failed to respond to current TKI therapy or who had progressed during current TKI therapy after achieving an initial response; </w:t>
      </w:r>
      <w:r>
        <w:rPr>
          <w:bCs/>
          <w:szCs w:val="22"/>
        </w:rPr>
        <w:t>(2)</w:t>
      </w:r>
      <w:r w:rsidRPr="00336563">
        <w:rPr>
          <w:rFonts w:asciiTheme="minorHAnsi" w:eastAsia="MS PGothic" w:hAnsi="Calibri" w:cs="MS PGothic"/>
          <w:color w:val="000000" w:themeColor="text1"/>
          <w:kern w:val="24"/>
          <w:sz w:val="56"/>
          <w:szCs w:val="56"/>
        </w:rPr>
        <w:t xml:space="preserve"> </w:t>
      </w:r>
      <w:r w:rsidRPr="00336563">
        <w:rPr>
          <w:bCs/>
          <w:szCs w:val="22"/>
        </w:rPr>
        <w:t>the response to, and tolerability of, current TKIs in patients who are beyond first line therapy;</w:t>
      </w:r>
      <w:r>
        <w:rPr>
          <w:bCs/>
          <w:szCs w:val="22"/>
        </w:rPr>
        <w:t xml:space="preserve"> and (3)</w:t>
      </w:r>
      <w:r w:rsidR="008804A9" w:rsidRPr="008804A9">
        <w:rPr>
          <w:rFonts w:asciiTheme="minorHAnsi" w:eastAsia="MS PGothic" w:hAnsi="Calibri" w:cs="MS PGothic"/>
          <w:color w:val="000000" w:themeColor="text1"/>
          <w:kern w:val="24"/>
          <w:sz w:val="56"/>
          <w:szCs w:val="56"/>
        </w:rPr>
        <w:t xml:space="preserve"> </w:t>
      </w:r>
      <w:r w:rsidR="008804A9" w:rsidRPr="008804A9">
        <w:rPr>
          <w:bCs/>
          <w:szCs w:val="22"/>
        </w:rPr>
        <w:t>co-morbid conditions given the differing toxicity profiles of the TKIs</w:t>
      </w:r>
      <w:r w:rsidR="008804A9">
        <w:rPr>
          <w:bCs/>
          <w:szCs w:val="22"/>
        </w:rPr>
        <w:t>.</w:t>
      </w:r>
      <w:r w:rsidR="0000298B">
        <w:rPr>
          <w:bCs/>
          <w:szCs w:val="22"/>
        </w:rPr>
        <w:t xml:space="preserve"> The PBAC noted the considered restrictions have reflected these determinants.</w:t>
      </w:r>
    </w:p>
    <w:p w:rsidR="0002708B" w:rsidRPr="0000298B" w:rsidRDefault="0002708B" w:rsidP="00DF0558">
      <w:pPr>
        <w:pStyle w:val="ListParagraph"/>
        <w:widowControl/>
        <w:rPr>
          <w:bCs/>
          <w:szCs w:val="22"/>
        </w:rPr>
      </w:pPr>
    </w:p>
    <w:p w:rsidR="008804A9" w:rsidRDefault="008804A9" w:rsidP="002C2C55">
      <w:pPr>
        <w:pStyle w:val="ListParagraph"/>
        <w:widowControl/>
        <w:numPr>
          <w:ilvl w:val="1"/>
          <w:numId w:val="12"/>
        </w:numPr>
        <w:ind w:left="720" w:hanging="720"/>
        <w:rPr>
          <w:bCs/>
          <w:szCs w:val="22"/>
          <w:lang w:val="en-GB"/>
        </w:rPr>
      </w:pPr>
      <w:r>
        <w:rPr>
          <w:bCs/>
          <w:szCs w:val="22"/>
          <w:lang w:val="en-GB"/>
        </w:rPr>
        <w:t>The PBAC noted that the comparators for ponatinib are complex</w:t>
      </w:r>
      <w:r w:rsidR="00611C64">
        <w:rPr>
          <w:bCs/>
          <w:szCs w:val="22"/>
          <w:lang w:val="en-GB"/>
        </w:rPr>
        <w:t>. Depending on different clinical scenarios they can be dasatinib or ni</w:t>
      </w:r>
      <w:r w:rsidR="003458E9">
        <w:rPr>
          <w:bCs/>
          <w:szCs w:val="22"/>
          <w:lang w:val="en-GB"/>
        </w:rPr>
        <w:t>lotinib or other non-TKI therapie</w:t>
      </w:r>
      <w:r w:rsidR="00611C64">
        <w:rPr>
          <w:bCs/>
          <w:szCs w:val="22"/>
          <w:lang w:val="en-GB"/>
        </w:rPr>
        <w:t xml:space="preserve">s i.e. </w:t>
      </w:r>
      <w:proofErr w:type="spellStart"/>
      <w:r w:rsidR="00611C64">
        <w:rPr>
          <w:bCs/>
          <w:szCs w:val="22"/>
          <w:lang w:val="en-GB"/>
        </w:rPr>
        <w:t>hydroxyurea</w:t>
      </w:r>
      <w:proofErr w:type="spellEnd"/>
      <w:r w:rsidR="00611C64">
        <w:rPr>
          <w:bCs/>
          <w:szCs w:val="22"/>
          <w:lang w:val="en-GB"/>
        </w:rPr>
        <w:t xml:space="preserve">, </w:t>
      </w:r>
      <w:r w:rsidR="00CB1035">
        <w:rPr>
          <w:bCs/>
          <w:szCs w:val="22"/>
          <w:lang w:val="en-GB"/>
        </w:rPr>
        <w:t>interferon</w:t>
      </w:r>
      <w:r w:rsidR="00611C64">
        <w:rPr>
          <w:bCs/>
          <w:szCs w:val="22"/>
          <w:lang w:val="en-GB"/>
        </w:rPr>
        <w:t xml:space="preserve">, allogeneic transplantation and salvage chemotherapy. </w:t>
      </w:r>
    </w:p>
    <w:p w:rsidR="008804A9" w:rsidRPr="008804A9" w:rsidRDefault="008804A9" w:rsidP="008804A9">
      <w:pPr>
        <w:pStyle w:val="ListParagraph"/>
        <w:rPr>
          <w:bCs/>
          <w:szCs w:val="22"/>
          <w:lang w:val="en-GB"/>
        </w:rPr>
      </w:pPr>
    </w:p>
    <w:p w:rsidR="00B730D8" w:rsidRPr="00937DE2" w:rsidRDefault="0012677C" w:rsidP="002C2C55">
      <w:pPr>
        <w:pStyle w:val="ListParagraph"/>
        <w:widowControl/>
        <w:numPr>
          <w:ilvl w:val="1"/>
          <w:numId w:val="12"/>
        </w:numPr>
        <w:ind w:left="720" w:hanging="720"/>
        <w:rPr>
          <w:bCs/>
          <w:szCs w:val="22"/>
          <w:lang w:val="en-GB"/>
        </w:rPr>
      </w:pPr>
      <w:r>
        <w:rPr>
          <w:bCs/>
          <w:szCs w:val="22"/>
          <w:lang w:val="en-GB"/>
        </w:rPr>
        <w:t>Based on the comparative data presented in the submission and recalling data reviewed in previous applications for imatinib, dasatinib and nilotinib, t</w:t>
      </w:r>
      <w:r w:rsidR="00CA5C72">
        <w:rPr>
          <w:bCs/>
          <w:szCs w:val="22"/>
          <w:lang w:val="en-GB"/>
        </w:rPr>
        <w:t>he PBAC co</w:t>
      </w:r>
      <w:r>
        <w:rPr>
          <w:bCs/>
          <w:szCs w:val="22"/>
          <w:lang w:val="en-GB"/>
        </w:rPr>
        <w:t xml:space="preserve">nsidered ponatinib was </w:t>
      </w:r>
      <w:r w:rsidR="00F10E22">
        <w:rPr>
          <w:bCs/>
          <w:szCs w:val="22"/>
          <w:lang w:val="en-GB"/>
        </w:rPr>
        <w:t>(1)</w:t>
      </w:r>
      <w:r w:rsidR="00F10E22" w:rsidRPr="00F10E22">
        <w:rPr>
          <w:rFonts w:asciiTheme="minorHAnsi" w:eastAsia="MS PGothic" w:hAnsi="Calibri" w:cs="MS PGothic"/>
          <w:color w:val="000000" w:themeColor="text1"/>
          <w:kern w:val="24"/>
          <w:sz w:val="48"/>
          <w:szCs w:val="48"/>
        </w:rPr>
        <w:t xml:space="preserve"> </w:t>
      </w:r>
      <w:r w:rsidR="00F10E22" w:rsidRPr="00F10E22">
        <w:rPr>
          <w:bCs/>
          <w:szCs w:val="22"/>
        </w:rPr>
        <w:t xml:space="preserve">similar in efficacy in inducing responses in patients with T315I mutant chronic phase CML as other TKIs have been in achieving responses in </w:t>
      </w:r>
      <w:r w:rsidR="00F10E22" w:rsidRPr="00F10E22">
        <w:rPr>
          <w:bCs/>
          <w:i/>
          <w:iCs/>
          <w:szCs w:val="22"/>
        </w:rPr>
        <w:t>de novo</w:t>
      </w:r>
      <w:r w:rsidR="00F10E22" w:rsidRPr="00F10E22">
        <w:rPr>
          <w:bCs/>
          <w:szCs w:val="22"/>
        </w:rPr>
        <w:t xml:space="preserve"> chronic phase CML</w:t>
      </w:r>
      <w:r w:rsidR="00F10E22">
        <w:rPr>
          <w:bCs/>
          <w:szCs w:val="22"/>
        </w:rPr>
        <w:t>;</w:t>
      </w:r>
      <w:r w:rsidR="008643BD">
        <w:rPr>
          <w:bCs/>
          <w:szCs w:val="22"/>
        </w:rPr>
        <w:t xml:space="preserve"> </w:t>
      </w:r>
      <w:r w:rsidR="00F10E22">
        <w:rPr>
          <w:bCs/>
          <w:szCs w:val="22"/>
        </w:rPr>
        <w:t>(2)</w:t>
      </w:r>
      <w:r w:rsidR="008643BD">
        <w:rPr>
          <w:rFonts w:asciiTheme="minorHAnsi" w:eastAsia="MS PGothic" w:hAnsi="Calibri" w:cs="MS PGothic"/>
          <w:color w:val="000000" w:themeColor="text1"/>
          <w:kern w:val="24"/>
          <w:sz w:val="48"/>
          <w:szCs w:val="48"/>
        </w:rPr>
        <w:t xml:space="preserve"> </w:t>
      </w:r>
      <w:r w:rsidR="008643BD">
        <w:rPr>
          <w:bCs/>
          <w:szCs w:val="22"/>
        </w:rPr>
        <w:t>similar in efficacy to dasatinib or nilotinib</w:t>
      </w:r>
      <w:r w:rsidR="00F10E22" w:rsidRPr="00F10E22">
        <w:rPr>
          <w:bCs/>
          <w:szCs w:val="22"/>
        </w:rPr>
        <w:t xml:space="preserve"> with respect response rates in 2nd and 3rd line therapy for patients with non-T315I CML</w:t>
      </w:r>
      <w:r w:rsidR="008643BD">
        <w:rPr>
          <w:bCs/>
          <w:szCs w:val="22"/>
        </w:rPr>
        <w:t>; (3)</w:t>
      </w:r>
      <w:r w:rsidR="008643BD" w:rsidRPr="008643BD">
        <w:rPr>
          <w:rFonts w:asciiTheme="minorHAnsi" w:eastAsia="MS PGothic" w:hAnsi="Calibri" w:cs="MS PGothic"/>
          <w:color w:val="000000" w:themeColor="text1"/>
          <w:kern w:val="24"/>
          <w:sz w:val="48"/>
          <w:szCs w:val="48"/>
        </w:rPr>
        <w:t xml:space="preserve"> </w:t>
      </w:r>
      <w:r w:rsidR="008643BD">
        <w:rPr>
          <w:bCs/>
          <w:szCs w:val="22"/>
        </w:rPr>
        <w:t>similar in efficacy to dasatinib</w:t>
      </w:r>
      <w:r w:rsidR="008643BD" w:rsidRPr="008643BD">
        <w:rPr>
          <w:bCs/>
          <w:szCs w:val="22"/>
        </w:rPr>
        <w:t xml:space="preserve"> with respect response rates in dasatinib-naïve patients with blast crisis CML</w:t>
      </w:r>
      <w:r w:rsidR="008643BD">
        <w:rPr>
          <w:bCs/>
          <w:szCs w:val="22"/>
        </w:rPr>
        <w:t xml:space="preserve">; (4) </w:t>
      </w:r>
      <w:r w:rsidR="008643BD" w:rsidRPr="008643BD">
        <w:rPr>
          <w:bCs/>
          <w:szCs w:val="22"/>
        </w:rPr>
        <w:t xml:space="preserve">active at inducing transient responses in </w:t>
      </w:r>
      <w:proofErr w:type="spellStart"/>
      <w:r w:rsidR="008643BD" w:rsidRPr="008643BD">
        <w:rPr>
          <w:bCs/>
          <w:szCs w:val="22"/>
        </w:rPr>
        <w:t>Ph+ve</w:t>
      </w:r>
      <w:proofErr w:type="spellEnd"/>
      <w:r w:rsidR="008643BD" w:rsidRPr="008643BD">
        <w:rPr>
          <w:bCs/>
          <w:szCs w:val="22"/>
        </w:rPr>
        <w:t xml:space="preserve"> ALL with the T315I mutatio</w:t>
      </w:r>
      <w:r w:rsidR="006140DA">
        <w:rPr>
          <w:bCs/>
          <w:szCs w:val="22"/>
        </w:rPr>
        <w:t>n and (5) probably active in non</w:t>
      </w:r>
      <w:r w:rsidR="006140DA" w:rsidRPr="006140DA">
        <w:rPr>
          <w:bCs/>
          <w:szCs w:val="22"/>
        </w:rPr>
        <w:t xml:space="preserve">-T315I </w:t>
      </w:r>
      <w:proofErr w:type="spellStart"/>
      <w:r w:rsidR="006140DA" w:rsidRPr="006140DA">
        <w:rPr>
          <w:bCs/>
          <w:szCs w:val="22"/>
        </w:rPr>
        <w:t>Ph+ve</w:t>
      </w:r>
      <w:proofErr w:type="spellEnd"/>
      <w:r w:rsidR="006140DA" w:rsidRPr="006140DA">
        <w:rPr>
          <w:bCs/>
          <w:szCs w:val="22"/>
        </w:rPr>
        <w:t xml:space="preserve"> ALL</w:t>
      </w:r>
      <w:r w:rsidR="007F4F41">
        <w:rPr>
          <w:bCs/>
          <w:szCs w:val="22"/>
        </w:rPr>
        <w:t xml:space="preserve"> but the paucity of data for non-T315I ALL was insufficient to enable any confidence in the extent of its effectiveness to be drawn.</w:t>
      </w:r>
    </w:p>
    <w:p w:rsidR="00937DE2" w:rsidRPr="00937DE2" w:rsidRDefault="00937DE2" w:rsidP="00937DE2">
      <w:pPr>
        <w:widowControl/>
        <w:rPr>
          <w:bCs/>
          <w:szCs w:val="22"/>
          <w:lang w:val="en-GB"/>
        </w:rPr>
      </w:pPr>
    </w:p>
    <w:p w:rsidR="00D42330" w:rsidRPr="00DF0558" w:rsidRDefault="00EC4D15" w:rsidP="002C2C55">
      <w:pPr>
        <w:pStyle w:val="ListParagraph"/>
        <w:widowControl/>
        <w:numPr>
          <w:ilvl w:val="1"/>
          <w:numId w:val="12"/>
        </w:numPr>
        <w:ind w:left="720" w:hanging="720"/>
        <w:rPr>
          <w:b/>
          <w:bCs/>
          <w:szCs w:val="22"/>
          <w:lang w:val="en-GB"/>
        </w:rPr>
      </w:pPr>
      <w:r>
        <w:rPr>
          <w:bCs/>
          <w:szCs w:val="22"/>
          <w:lang w:val="en-GB"/>
        </w:rPr>
        <w:t>According to the FDA information and trial data (PACE</w:t>
      </w:r>
      <w:r w:rsidR="00D42330">
        <w:rPr>
          <w:bCs/>
          <w:szCs w:val="22"/>
          <w:lang w:val="en-GB"/>
        </w:rPr>
        <w:t xml:space="preserve"> </w:t>
      </w:r>
      <w:r>
        <w:rPr>
          <w:bCs/>
          <w:szCs w:val="22"/>
          <w:lang w:val="en-GB"/>
        </w:rPr>
        <w:t>study, Study 101 and EPIC trial), t</w:t>
      </w:r>
      <w:r w:rsidR="00A948D7" w:rsidRPr="00D42330">
        <w:rPr>
          <w:bCs/>
          <w:szCs w:val="22"/>
          <w:lang w:val="en-GB"/>
        </w:rPr>
        <w:t>he PBAC considered that ponatinib had an inferior toxicity profile to imatinib, dasatinib, and ni</w:t>
      </w:r>
      <w:r w:rsidR="008E7938">
        <w:rPr>
          <w:bCs/>
          <w:szCs w:val="22"/>
          <w:lang w:val="en-GB"/>
        </w:rPr>
        <w:t>lotinib, especially with regard to</w:t>
      </w:r>
      <w:r w:rsidR="00A948D7" w:rsidRPr="00D42330">
        <w:rPr>
          <w:bCs/>
          <w:szCs w:val="22"/>
          <w:lang w:val="en-GB"/>
        </w:rPr>
        <w:t xml:space="preserve"> serious vascular occlusive events.</w:t>
      </w:r>
      <w:r w:rsidR="00D42330" w:rsidRPr="00D42330">
        <w:rPr>
          <w:bCs/>
          <w:szCs w:val="22"/>
          <w:lang w:val="en-GB"/>
        </w:rPr>
        <w:t xml:space="preserve"> </w:t>
      </w:r>
      <w:r w:rsidR="00B730D8" w:rsidRPr="00D42330">
        <w:t xml:space="preserve">Consequently, the </w:t>
      </w:r>
      <w:r w:rsidR="00B244FE" w:rsidRPr="00D42330">
        <w:t>PBAC considered that clinical benefit was only likely to exceed clinical harm in patients where use of all other TKIs had or would fail to induce response, or was not appropriate because of significant toxicities or contraindications.</w:t>
      </w:r>
    </w:p>
    <w:p w:rsidR="00DF0558" w:rsidRPr="00691FD7" w:rsidRDefault="00DF0558" w:rsidP="00691FD7">
      <w:pPr>
        <w:widowControl/>
        <w:rPr>
          <w:b/>
          <w:bCs/>
          <w:szCs w:val="22"/>
          <w:lang w:val="en-GB"/>
        </w:rPr>
      </w:pPr>
    </w:p>
    <w:p w:rsidR="00DF0558" w:rsidRPr="00DF0558" w:rsidRDefault="00DF0558" w:rsidP="00DF0558">
      <w:pPr>
        <w:pStyle w:val="ListParagraph"/>
        <w:widowControl/>
        <w:numPr>
          <w:ilvl w:val="1"/>
          <w:numId w:val="12"/>
        </w:numPr>
        <w:ind w:left="720" w:hanging="720"/>
        <w:rPr>
          <w:bCs/>
          <w:szCs w:val="22"/>
          <w:lang w:val="en-GB"/>
        </w:rPr>
      </w:pPr>
      <w:r w:rsidRPr="00DF0558">
        <w:rPr>
          <w:bCs/>
          <w:szCs w:val="22"/>
        </w:rPr>
        <w:t>The PBAC considered that benchmarking against nilotinib and dasatinib in second and subsequent line therapy in CML was a reasonable basis for establishing a cost-effective price for ponatinib, because of the similarities between the submission for ponatinib and the applications for dasatinib and nilotinib for patients with imatinib failure in 2007 and 2008.</w:t>
      </w:r>
      <w:r w:rsidRPr="00DF0558">
        <w:rPr>
          <w:szCs w:val="22"/>
        </w:rPr>
        <w:t xml:space="preserve"> </w:t>
      </w:r>
      <w:r w:rsidRPr="00DF0558">
        <w:rPr>
          <w:bCs/>
          <w:szCs w:val="22"/>
        </w:rPr>
        <w:t>However, the PBAC considered that it was essential to account for the costs of excessive vascular occlusive events seen with ponatinib in determining a benchmarked price that ensured ponatinib use was no more expensive than use of dasatinib or nilotinib in patients who had failed treatment with imatinib.</w:t>
      </w:r>
    </w:p>
    <w:p w:rsidR="00DF0558" w:rsidRPr="00DF0558" w:rsidRDefault="00DF0558" w:rsidP="00DF0558">
      <w:pPr>
        <w:pStyle w:val="ListParagraph"/>
        <w:rPr>
          <w:bCs/>
          <w:szCs w:val="22"/>
          <w:lang w:val="en-GB"/>
        </w:rPr>
      </w:pPr>
    </w:p>
    <w:p w:rsidR="00DF0558" w:rsidRPr="00DF0558" w:rsidRDefault="00DF0558" w:rsidP="00DF0558">
      <w:pPr>
        <w:pStyle w:val="ListParagraph"/>
        <w:widowControl/>
        <w:numPr>
          <w:ilvl w:val="1"/>
          <w:numId w:val="12"/>
        </w:numPr>
        <w:ind w:left="720" w:hanging="720"/>
        <w:rPr>
          <w:bCs/>
          <w:szCs w:val="22"/>
          <w:lang w:val="en-GB"/>
        </w:rPr>
      </w:pPr>
      <w:r w:rsidRPr="00DF0558">
        <w:rPr>
          <w:bCs/>
          <w:szCs w:val="22"/>
          <w:lang w:val="en-GB"/>
        </w:rPr>
        <w:t xml:space="preserve">The PBAC recalled </w:t>
      </w:r>
      <w:r w:rsidRPr="00DF0558">
        <w:rPr>
          <w:bCs/>
          <w:szCs w:val="22"/>
        </w:rPr>
        <w:t>that the estimated equi-effective doses of dasatinib and nilotinib for second line use after imatinib were considered to be dasatinib 101 - 103mg and nilotinib 797mg, based on the median daily dose of the drugs in the key clinical trials [see Nilotinib listing in 2008]. The utilisation data for these two drugs since listing on PBS are reasonably consistent with the trial-based data, and so the latter can be considered justified for use in a pragmatic estimation of equi-effectiveness among the three TKIs. The mean daily dose on the PACE trial (30.2mg) is the appropriate input for ponatinib to this estimate. Therefore, the PBAC considered the equi-effective dose are Ponatinib 30.2 mg daily = Dasatinib 102 mg daily = Nilotinib 797mg daily.</w:t>
      </w:r>
    </w:p>
    <w:p w:rsidR="00495C9C" w:rsidRPr="00691FD7" w:rsidRDefault="00495C9C" w:rsidP="00691FD7">
      <w:pPr>
        <w:rPr>
          <w:bCs/>
          <w:szCs w:val="22"/>
          <w:lang w:val="en-GB"/>
        </w:rPr>
      </w:pPr>
    </w:p>
    <w:p w:rsidR="00495C9C" w:rsidRPr="0039208E" w:rsidRDefault="00495C9C" w:rsidP="002C2C55">
      <w:pPr>
        <w:pStyle w:val="ListParagraph"/>
        <w:widowControl/>
        <w:numPr>
          <w:ilvl w:val="1"/>
          <w:numId w:val="12"/>
        </w:numPr>
        <w:ind w:left="720" w:hanging="720"/>
        <w:rPr>
          <w:bCs/>
          <w:szCs w:val="22"/>
          <w:lang w:val="en-GB"/>
        </w:rPr>
      </w:pPr>
      <w:r>
        <w:rPr>
          <w:bCs/>
          <w:szCs w:val="22"/>
          <w:lang w:val="en-GB"/>
        </w:rPr>
        <w:t>The PBAC considered the financial estimates are inaccurate as the realistic patient numbers are likely overestimated.</w:t>
      </w:r>
    </w:p>
    <w:p w:rsidR="00565F97" w:rsidRDefault="00565F97" w:rsidP="00233ADA">
      <w:pPr>
        <w:widowControl/>
        <w:rPr>
          <w:b/>
          <w:bCs/>
          <w:szCs w:val="22"/>
          <w:lang w:val="en-GB"/>
        </w:rPr>
      </w:pPr>
    </w:p>
    <w:p w:rsidR="00ED58B6" w:rsidRPr="00ED58B6" w:rsidRDefault="00ED58B6" w:rsidP="00233ADA">
      <w:pPr>
        <w:widowControl/>
        <w:rPr>
          <w:b/>
          <w:bCs/>
          <w:szCs w:val="22"/>
          <w:lang w:val="en-GB"/>
        </w:rPr>
      </w:pPr>
    </w:p>
    <w:p w:rsidR="00F918CA" w:rsidRPr="00B226ED" w:rsidRDefault="00F918CA" w:rsidP="00B226ED">
      <w:pPr>
        <w:pStyle w:val="PBACHeading1"/>
        <w:numPr>
          <w:ilvl w:val="0"/>
          <w:numId w:val="0"/>
        </w:numPr>
        <w:ind w:left="720" w:hanging="720"/>
        <w:rPr>
          <w:bCs/>
          <w:lang w:val="en-GB"/>
        </w:rPr>
      </w:pPr>
      <w:r w:rsidRPr="00B226ED">
        <w:rPr>
          <w:bCs/>
          <w:lang w:val="en-GB"/>
        </w:rPr>
        <w:t>Outcome:</w:t>
      </w:r>
    </w:p>
    <w:p w:rsidR="00B226ED" w:rsidRDefault="00F918CA" w:rsidP="00B226ED">
      <w:pPr>
        <w:ind w:right="135"/>
      </w:pPr>
      <w:r w:rsidRPr="00B226ED">
        <w:t>Deferred</w:t>
      </w:r>
    </w:p>
    <w:p w:rsidR="00B226ED" w:rsidRDefault="00B226ED" w:rsidP="00B226ED">
      <w:pPr>
        <w:ind w:right="135"/>
      </w:pPr>
    </w:p>
    <w:p w:rsidR="00976978" w:rsidRDefault="00976978" w:rsidP="00B226ED">
      <w:pPr>
        <w:ind w:right="135"/>
      </w:pPr>
    </w:p>
    <w:p w:rsidR="001F163E" w:rsidRPr="00E11620" w:rsidRDefault="001F163E" w:rsidP="00E11620">
      <w:pPr>
        <w:pStyle w:val="PBACHeading1"/>
        <w:numPr>
          <w:ilvl w:val="0"/>
          <w:numId w:val="12"/>
        </w:numPr>
        <w:ind w:left="709" w:hanging="709"/>
        <w:rPr>
          <w:bCs/>
        </w:rPr>
      </w:pPr>
      <w:r w:rsidRPr="00E11620">
        <w:rPr>
          <w:bCs/>
        </w:rPr>
        <w:t>Context for Decision</w:t>
      </w:r>
    </w:p>
    <w:p w:rsidR="001F163E" w:rsidRPr="00D4420F" w:rsidRDefault="001F163E" w:rsidP="001F163E">
      <w:pPr>
        <w:pStyle w:val="ListParagraph"/>
        <w:rPr>
          <w:b/>
        </w:rPr>
      </w:pPr>
    </w:p>
    <w:p w:rsidR="001F163E" w:rsidRPr="00D4420F" w:rsidRDefault="001F163E" w:rsidP="001F163E">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F163E" w:rsidRDefault="001F163E" w:rsidP="001F163E"/>
    <w:p w:rsidR="00E11620" w:rsidRDefault="00E11620" w:rsidP="001F163E"/>
    <w:p w:rsidR="001F163E" w:rsidRPr="00E11620" w:rsidRDefault="001F163E" w:rsidP="00E11620">
      <w:pPr>
        <w:pStyle w:val="PBACHeading1"/>
        <w:numPr>
          <w:ilvl w:val="0"/>
          <w:numId w:val="12"/>
        </w:numPr>
        <w:ind w:left="709" w:hanging="709"/>
        <w:rPr>
          <w:bCs/>
        </w:rPr>
      </w:pPr>
      <w:r w:rsidRPr="00E11620">
        <w:rPr>
          <w:bCs/>
        </w:rPr>
        <w:t>Sponsor’s Comment</w:t>
      </w:r>
    </w:p>
    <w:p w:rsidR="001F163E" w:rsidRDefault="001F163E" w:rsidP="000F0021">
      <w:pPr>
        <w:ind w:left="720" w:right="135"/>
      </w:pPr>
    </w:p>
    <w:p w:rsidR="000F0021" w:rsidRDefault="000F0021" w:rsidP="000F0021">
      <w:pPr>
        <w:ind w:left="720" w:right="135"/>
      </w:pPr>
      <w:r>
        <w:t xml:space="preserve">Given the urgent </w:t>
      </w:r>
      <w:proofErr w:type="spellStart"/>
      <w:r>
        <w:t>life saving</w:t>
      </w:r>
      <w:proofErr w:type="spellEnd"/>
      <w:r>
        <w:t xml:space="preserve"> need for an active therapy to treat patients with CML who are refractory to previous TKI therapies, Specialised Therapeutics looks forward to meeting and working with the PBAC to find a rapid and commercially feasible solution to achieve equitable access to </w:t>
      </w:r>
      <w:proofErr w:type="spellStart"/>
      <w:r>
        <w:t>Iclusig</w:t>
      </w:r>
      <w:proofErr w:type="spellEnd"/>
      <w:r>
        <w:t xml:space="preserve"> for all Australians.</w:t>
      </w:r>
    </w:p>
    <w:sectPr w:rsidR="000F0021" w:rsidSect="005D6F65">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12" w:rsidRDefault="00084612" w:rsidP="00124A51">
      <w:r>
        <w:separator/>
      </w:r>
    </w:p>
  </w:endnote>
  <w:endnote w:type="continuationSeparator" w:id="0">
    <w:p w:rsidR="00084612" w:rsidRDefault="0008461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E91CFC" w:rsidRPr="00541A0D" w:rsidRDefault="00E91CFC" w:rsidP="004D3770">
        <w:pPr>
          <w:pStyle w:val="Footer"/>
          <w:ind w:left="360"/>
          <w:jc w:val="center"/>
          <w:rPr>
            <w:sz w:val="20"/>
          </w:rPr>
        </w:pPr>
      </w:p>
      <w:p w:rsidR="00E91CFC" w:rsidRPr="00651169" w:rsidRDefault="00E91CFC" w:rsidP="004D3770">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94068E">
          <w:rPr>
            <w:noProof/>
            <w:sz w:val="20"/>
          </w:rPr>
          <w:t>14</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12" w:rsidRDefault="00084612" w:rsidP="00124A51">
      <w:r>
        <w:separator/>
      </w:r>
    </w:p>
  </w:footnote>
  <w:footnote w:type="continuationSeparator" w:id="0">
    <w:p w:rsidR="00084612" w:rsidRDefault="0008461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C" w:rsidRPr="00DF217D" w:rsidRDefault="00E91CFC" w:rsidP="004D3770">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E91CFC" w:rsidRDefault="00E91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7E889A1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nsid w:val="16654AFE"/>
    <w:multiLevelType w:val="hybridMultilevel"/>
    <w:tmpl w:val="596E4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932F1A"/>
    <w:multiLevelType w:val="multilevel"/>
    <w:tmpl w:val="23641BC8"/>
    <w:lvl w:ilvl="0">
      <w:start w:val="6"/>
      <w:numFmt w:val="decimal"/>
      <w:lvlText w:val="%1"/>
      <w:lvlJc w:val="left"/>
      <w:pPr>
        <w:ind w:left="360" w:hanging="360"/>
      </w:pPr>
      <w:rPr>
        <w:rFonts w:hint="default"/>
        <w:i w:val="0"/>
      </w:rPr>
    </w:lvl>
    <w:lvl w:ilvl="1">
      <w:start w:val="23"/>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D103237"/>
    <w:multiLevelType w:val="hybridMultilevel"/>
    <w:tmpl w:val="BC3280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AF82A05"/>
    <w:multiLevelType w:val="hybridMultilevel"/>
    <w:tmpl w:val="E14CB166"/>
    <w:lvl w:ilvl="0" w:tplc="F488CFD6">
      <w:numFmt w:val="bullet"/>
      <w:lvlText w:val="-"/>
      <w:lvlJc w:val="left"/>
      <w:pPr>
        <w:ind w:left="8299" w:hanging="360"/>
      </w:pPr>
      <w:rPr>
        <w:rFonts w:ascii="Times New Roman" w:eastAsia="Times New Roman" w:hAnsi="Times New Roman" w:cs="Times New Roman" w:hint="default"/>
      </w:rPr>
    </w:lvl>
    <w:lvl w:ilvl="1" w:tplc="0C090001">
      <w:start w:val="1"/>
      <w:numFmt w:val="bullet"/>
      <w:lvlText w:val=""/>
      <w:lvlJc w:val="left"/>
      <w:pPr>
        <w:ind w:left="1080" w:hanging="360"/>
      </w:pPr>
      <w:rPr>
        <w:rFonts w:ascii="Symbol" w:hAnsi="Symbol" w:hint="default"/>
      </w:rPr>
    </w:lvl>
    <w:lvl w:ilvl="2" w:tplc="F488CFD6">
      <w:numFmt w:val="bullet"/>
      <w:lvlText w:val="-"/>
      <w:lvlJc w:val="left"/>
      <w:pPr>
        <w:ind w:left="1800" w:hanging="360"/>
      </w:pPr>
      <w:rPr>
        <w:rFonts w:ascii="Times New Roman" w:eastAsia="Times New Roman" w:hAnsi="Times New Roman" w:cs="Times New Roman"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DCD3F2A"/>
    <w:multiLevelType w:val="hybridMultilevel"/>
    <w:tmpl w:val="BD0C0830"/>
    <w:lvl w:ilvl="0" w:tplc="645A57D2">
      <w:start w:val="1"/>
      <w:numFmt w:val="bullet"/>
      <w:lvlText w:val="•"/>
      <w:lvlJc w:val="left"/>
      <w:pPr>
        <w:tabs>
          <w:tab w:val="num" w:pos="720"/>
        </w:tabs>
        <w:ind w:left="720" w:hanging="360"/>
      </w:pPr>
      <w:rPr>
        <w:rFonts w:ascii="Arial" w:hAnsi="Arial" w:hint="default"/>
      </w:rPr>
    </w:lvl>
    <w:lvl w:ilvl="1" w:tplc="9ED258F2" w:tentative="1">
      <w:start w:val="1"/>
      <w:numFmt w:val="bullet"/>
      <w:lvlText w:val="•"/>
      <w:lvlJc w:val="left"/>
      <w:pPr>
        <w:tabs>
          <w:tab w:val="num" w:pos="1440"/>
        </w:tabs>
        <w:ind w:left="1440" w:hanging="360"/>
      </w:pPr>
      <w:rPr>
        <w:rFonts w:ascii="Arial" w:hAnsi="Arial" w:hint="default"/>
      </w:rPr>
    </w:lvl>
    <w:lvl w:ilvl="2" w:tplc="938624DC" w:tentative="1">
      <w:start w:val="1"/>
      <w:numFmt w:val="bullet"/>
      <w:lvlText w:val="•"/>
      <w:lvlJc w:val="left"/>
      <w:pPr>
        <w:tabs>
          <w:tab w:val="num" w:pos="2160"/>
        </w:tabs>
        <w:ind w:left="2160" w:hanging="360"/>
      </w:pPr>
      <w:rPr>
        <w:rFonts w:ascii="Arial" w:hAnsi="Arial" w:hint="default"/>
      </w:rPr>
    </w:lvl>
    <w:lvl w:ilvl="3" w:tplc="96CECFE4" w:tentative="1">
      <w:start w:val="1"/>
      <w:numFmt w:val="bullet"/>
      <w:lvlText w:val="•"/>
      <w:lvlJc w:val="left"/>
      <w:pPr>
        <w:tabs>
          <w:tab w:val="num" w:pos="2880"/>
        </w:tabs>
        <w:ind w:left="2880" w:hanging="360"/>
      </w:pPr>
      <w:rPr>
        <w:rFonts w:ascii="Arial" w:hAnsi="Arial" w:hint="default"/>
      </w:rPr>
    </w:lvl>
    <w:lvl w:ilvl="4" w:tplc="FCAC11FE" w:tentative="1">
      <w:start w:val="1"/>
      <w:numFmt w:val="bullet"/>
      <w:lvlText w:val="•"/>
      <w:lvlJc w:val="left"/>
      <w:pPr>
        <w:tabs>
          <w:tab w:val="num" w:pos="3600"/>
        </w:tabs>
        <w:ind w:left="3600" w:hanging="360"/>
      </w:pPr>
      <w:rPr>
        <w:rFonts w:ascii="Arial" w:hAnsi="Arial" w:hint="default"/>
      </w:rPr>
    </w:lvl>
    <w:lvl w:ilvl="5" w:tplc="98022CA0" w:tentative="1">
      <w:start w:val="1"/>
      <w:numFmt w:val="bullet"/>
      <w:lvlText w:val="•"/>
      <w:lvlJc w:val="left"/>
      <w:pPr>
        <w:tabs>
          <w:tab w:val="num" w:pos="4320"/>
        </w:tabs>
        <w:ind w:left="4320" w:hanging="360"/>
      </w:pPr>
      <w:rPr>
        <w:rFonts w:ascii="Arial" w:hAnsi="Arial" w:hint="default"/>
      </w:rPr>
    </w:lvl>
    <w:lvl w:ilvl="6" w:tplc="6E44A230" w:tentative="1">
      <w:start w:val="1"/>
      <w:numFmt w:val="bullet"/>
      <w:lvlText w:val="•"/>
      <w:lvlJc w:val="left"/>
      <w:pPr>
        <w:tabs>
          <w:tab w:val="num" w:pos="5040"/>
        </w:tabs>
        <w:ind w:left="5040" w:hanging="360"/>
      </w:pPr>
      <w:rPr>
        <w:rFonts w:ascii="Arial" w:hAnsi="Arial" w:hint="default"/>
      </w:rPr>
    </w:lvl>
    <w:lvl w:ilvl="7" w:tplc="8B769E4E" w:tentative="1">
      <w:start w:val="1"/>
      <w:numFmt w:val="bullet"/>
      <w:lvlText w:val="•"/>
      <w:lvlJc w:val="left"/>
      <w:pPr>
        <w:tabs>
          <w:tab w:val="num" w:pos="5760"/>
        </w:tabs>
        <w:ind w:left="5760" w:hanging="360"/>
      </w:pPr>
      <w:rPr>
        <w:rFonts w:ascii="Arial" w:hAnsi="Arial" w:hint="default"/>
      </w:rPr>
    </w:lvl>
    <w:lvl w:ilvl="8" w:tplc="BA5AA552" w:tentative="1">
      <w:start w:val="1"/>
      <w:numFmt w:val="bullet"/>
      <w:lvlText w:val="•"/>
      <w:lvlJc w:val="left"/>
      <w:pPr>
        <w:tabs>
          <w:tab w:val="num" w:pos="6480"/>
        </w:tabs>
        <w:ind w:left="6480" w:hanging="360"/>
      </w:pPr>
      <w:rPr>
        <w:rFonts w:ascii="Arial" w:hAnsi="Arial" w:hint="default"/>
      </w:rPr>
    </w:lvl>
  </w:abstractNum>
  <w:abstractNum w:abstractNumId="6">
    <w:nsid w:val="313D3170"/>
    <w:multiLevelType w:val="multilevel"/>
    <w:tmpl w:val="67548B96"/>
    <w:lvl w:ilvl="0">
      <w:start w:val="7"/>
      <w:numFmt w:val="decimal"/>
      <w:lvlText w:val="%1"/>
      <w:lvlJc w:val="left"/>
      <w:pPr>
        <w:ind w:left="360" w:hanging="360"/>
      </w:pPr>
      <w:rPr>
        <w:rFonts w:hint="default"/>
        <w:i w:val="0"/>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7F15CE2"/>
    <w:multiLevelType w:val="multilevel"/>
    <w:tmpl w:val="D1CE5320"/>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B2F2C2F"/>
    <w:multiLevelType w:val="hybridMultilevel"/>
    <w:tmpl w:val="9B0820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B991A9A"/>
    <w:multiLevelType w:val="hybridMultilevel"/>
    <w:tmpl w:val="56E06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FBF56E1"/>
    <w:multiLevelType w:val="hybridMultilevel"/>
    <w:tmpl w:val="5B4CF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263004A"/>
    <w:multiLevelType w:val="hybridMultilevel"/>
    <w:tmpl w:val="03ECCCD0"/>
    <w:lvl w:ilvl="0" w:tplc="0C090011">
      <w:start w:val="1"/>
      <w:numFmt w:val="decimal"/>
      <w:lvlText w:val="%1)"/>
      <w:lvlJc w:val="left"/>
      <w:pPr>
        <w:tabs>
          <w:tab w:val="num" w:pos="4613"/>
        </w:tabs>
        <w:ind w:left="4613" w:hanging="360"/>
      </w:pPr>
      <w:rPr>
        <w:rFonts w:hint="default"/>
      </w:rPr>
    </w:lvl>
    <w:lvl w:ilvl="1" w:tplc="F488CFD6">
      <w:numFmt w:val="bullet"/>
      <w:lvlText w:val="-"/>
      <w:lvlJc w:val="left"/>
      <w:pPr>
        <w:tabs>
          <w:tab w:val="num" w:pos="872"/>
        </w:tabs>
        <w:ind w:left="872" w:hanging="360"/>
      </w:pPr>
      <w:rPr>
        <w:rFonts w:ascii="Times New Roman" w:eastAsia="Times New Roman" w:hAnsi="Times New Roman" w:cs="Times New Roman" w:hint="default"/>
      </w:rPr>
    </w:lvl>
    <w:lvl w:ilvl="2" w:tplc="FFFFFFFF" w:tentative="1">
      <w:start w:val="1"/>
      <w:numFmt w:val="bullet"/>
      <w:lvlText w:val=""/>
      <w:lvlJc w:val="left"/>
      <w:pPr>
        <w:tabs>
          <w:tab w:val="num" w:pos="1592"/>
        </w:tabs>
        <w:ind w:left="1592" w:hanging="360"/>
      </w:pPr>
      <w:rPr>
        <w:rFonts w:ascii="Wingdings" w:hAnsi="Wingdings" w:hint="default"/>
      </w:rPr>
    </w:lvl>
    <w:lvl w:ilvl="3" w:tplc="FFFFFFFF" w:tentative="1">
      <w:start w:val="1"/>
      <w:numFmt w:val="bullet"/>
      <w:lvlText w:val=""/>
      <w:lvlJc w:val="left"/>
      <w:pPr>
        <w:tabs>
          <w:tab w:val="num" w:pos="2312"/>
        </w:tabs>
        <w:ind w:left="2312" w:hanging="360"/>
      </w:pPr>
      <w:rPr>
        <w:rFonts w:ascii="Symbol" w:hAnsi="Symbol" w:hint="default"/>
      </w:rPr>
    </w:lvl>
    <w:lvl w:ilvl="4" w:tplc="FFFFFFFF" w:tentative="1">
      <w:start w:val="1"/>
      <w:numFmt w:val="bullet"/>
      <w:lvlText w:val="o"/>
      <w:lvlJc w:val="left"/>
      <w:pPr>
        <w:tabs>
          <w:tab w:val="num" w:pos="3032"/>
        </w:tabs>
        <w:ind w:left="3032" w:hanging="360"/>
      </w:pPr>
      <w:rPr>
        <w:rFonts w:ascii="Courier New" w:hAnsi="Courier New" w:cs="Courier New" w:hint="default"/>
      </w:rPr>
    </w:lvl>
    <w:lvl w:ilvl="5" w:tplc="FFFFFFFF" w:tentative="1">
      <w:start w:val="1"/>
      <w:numFmt w:val="bullet"/>
      <w:lvlText w:val=""/>
      <w:lvlJc w:val="left"/>
      <w:pPr>
        <w:tabs>
          <w:tab w:val="num" w:pos="3752"/>
        </w:tabs>
        <w:ind w:left="3752" w:hanging="360"/>
      </w:pPr>
      <w:rPr>
        <w:rFonts w:ascii="Wingdings" w:hAnsi="Wingdings" w:hint="default"/>
      </w:rPr>
    </w:lvl>
    <w:lvl w:ilvl="6" w:tplc="FFFFFFFF" w:tentative="1">
      <w:start w:val="1"/>
      <w:numFmt w:val="bullet"/>
      <w:lvlText w:val=""/>
      <w:lvlJc w:val="left"/>
      <w:pPr>
        <w:tabs>
          <w:tab w:val="num" w:pos="4472"/>
        </w:tabs>
        <w:ind w:left="4472" w:hanging="360"/>
      </w:pPr>
      <w:rPr>
        <w:rFonts w:ascii="Symbol" w:hAnsi="Symbol" w:hint="default"/>
      </w:rPr>
    </w:lvl>
    <w:lvl w:ilvl="7" w:tplc="FFFFFFFF" w:tentative="1">
      <w:start w:val="1"/>
      <w:numFmt w:val="bullet"/>
      <w:lvlText w:val="o"/>
      <w:lvlJc w:val="left"/>
      <w:pPr>
        <w:tabs>
          <w:tab w:val="num" w:pos="5192"/>
        </w:tabs>
        <w:ind w:left="5192" w:hanging="360"/>
      </w:pPr>
      <w:rPr>
        <w:rFonts w:ascii="Courier New" w:hAnsi="Courier New" w:cs="Courier New" w:hint="default"/>
      </w:rPr>
    </w:lvl>
    <w:lvl w:ilvl="8" w:tplc="FFFFFFFF" w:tentative="1">
      <w:start w:val="1"/>
      <w:numFmt w:val="bullet"/>
      <w:lvlText w:val=""/>
      <w:lvlJc w:val="left"/>
      <w:pPr>
        <w:tabs>
          <w:tab w:val="num" w:pos="5912"/>
        </w:tabs>
        <w:ind w:left="5912" w:hanging="360"/>
      </w:pPr>
      <w:rPr>
        <w:rFonts w:ascii="Wingdings" w:hAnsi="Wingdings" w:hint="default"/>
      </w:rPr>
    </w:lvl>
  </w:abstractNum>
  <w:abstractNum w:abstractNumId="12">
    <w:nsid w:val="4E0565EB"/>
    <w:multiLevelType w:val="hybridMultilevel"/>
    <w:tmpl w:val="591621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6D02C18"/>
    <w:multiLevelType w:val="multilevel"/>
    <w:tmpl w:val="3858DBEC"/>
    <w:lvl w:ilvl="0">
      <w:start w:val="6"/>
      <w:numFmt w:val="decimal"/>
      <w:lvlText w:val="%1"/>
      <w:lvlJc w:val="left"/>
      <w:pPr>
        <w:ind w:left="360" w:hanging="360"/>
      </w:pPr>
      <w:rPr>
        <w:rFonts w:hint="default"/>
        <w:i w:val="0"/>
      </w:rPr>
    </w:lvl>
    <w:lvl w:ilvl="1">
      <w:start w:val="14"/>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7FD5002"/>
    <w:multiLevelType w:val="hybridMultilevel"/>
    <w:tmpl w:val="F1D6624A"/>
    <w:lvl w:ilvl="0" w:tplc="A538F68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4752D4"/>
    <w:multiLevelType w:val="hybridMultilevel"/>
    <w:tmpl w:val="BA20D80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66F51779"/>
    <w:multiLevelType w:val="hybridMultilevel"/>
    <w:tmpl w:val="100AB9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8D32F78"/>
    <w:multiLevelType w:val="hybridMultilevel"/>
    <w:tmpl w:val="7A78CE20"/>
    <w:lvl w:ilvl="0" w:tplc="F488CFD6">
      <w:numFmt w:val="bullet"/>
      <w:lvlText w:val="-"/>
      <w:lvlJc w:val="left"/>
      <w:pPr>
        <w:tabs>
          <w:tab w:val="num" w:pos="152"/>
        </w:tabs>
        <w:ind w:left="152" w:hanging="360"/>
      </w:pPr>
      <w:rPr>
        <w:rFonts w:ascii="Times New Roman" w:eastAsia="Times New Roman" w:hAnsi="Times New Roman" w:cs="Times New Roman" w:hint="default"/>
      </w:rPr>
    </w:lvl>
    <w:lvl w:ilvl="1" w:tplc="F488CFD6">
      <w:numFmt w:val="bullet"/>
      <w:lvlText w:val="-"/>
      <w:lvlJc w:val="left"/>
      <w:pPr>
        <w:tabs>
          <w:tab w:val="num" w:pos="872"/>
        </w:tabs>
        <w:ind w:left="872" w:hanging="360"/>
      </w:pPr>
      <w:rPr>
        <w:rFonts w:ascii="Times New Roman" w:eastAsia="Times New Roman" w:hAnsi="Times New Roman" w:cs="Times New Roman" w:hint="default"/>
      </w:rPr>
    </w:lvl>
    <w:lvl w:ilvl="2" w:tplc="FFFFFFFF" w:tentative="1">
      <w:start w:val="1"/>
      <w:numFmt w:val="bullet"/>
      <w:lvlText w:val=""/>
      <w:lvlJc w:val="left"/>
      <w:pPr>
        <w:tabs>
          <w:tab w:val="num" w:pos="1592"/>
        </w:tabs>
        <w:ind w:left="1592" w:hanging="360"/>
      </w:pPr>
      <w:rPr>
        <w:rFonts w:ascii="Wingdings" w:hAnsi="Wingdings" w:hint="default"/>
      </w:rPr>
    </w:lvl>
    <w:lvl w:ilvl="3" w:tplc="FFFFFFFF" w:tentative="1">
      <w:start w:val="1"/>
      <w:numFmt w:val="bullet"/>
      <w:lvlText w:val=""/>
      <w:lvlJc w:val="left"/>
      <w:pPr>
        <w:tabs>
          <w:tab w:val="num" w:pos="2312"/>
        </w:tabs>
        <w:ind w:left="2312" w:hanging="360"/>
      </w:pPr>
      <w:rPr>
        <w:rFonts w:ascii="Symbol" w:hAnsi="Symbol" w:hint="default"/>
      </w:rPr>
    </w:lvl>
    <w:lvl w:ilvl="4" w:tplc="FFFFFFFF" w:tentative="1">
      <w:start w:val="1"/>
      <w:numFmt w:val="bullet"/>
      <w:lvlText w:val="o"/>
      <w:lvlJc w:val="left"/>
      <w:pPr>
        <w:tabs>
          <w:tab w:val="num" w:pos="3032"/>
        </w:tabs>
        <w:ind w:left="3032" w:hanging="360"/>
      </w:pPr>
      <w:rPr>
        <w:rFonts w:ascii="Courier New" w:hAnsi="Courier New" w:cs="Courier New" w:hint="default"/>
      </w:rPr>
    </w:lvl>
    <w:lvl w:ilvl="5" w:tplc="FFFFFFFF" w:tentative="1">
      <w:start w:val="1"/>
      <w:numFmt w:val="bullet"/>
      <w:lvlText w:val=""/>
      <w:lvlJc w:val="left"/>
      <w:pPr>
        <w:tabs>
          <w:tab w:val="num" w:pos="3752"/>
        </w:tabs>
        <w:ind w:left="3752" w:hanging="360"/>
      </w:pPr>
      <w:rPr>
        <w:rFonts w:ascii="Wingdings" w:hAnsi="Wingdings" w:hint="default"/>
      </w:rPr>
    </w:lvl>
    <w:lvl w:ilvl="6" w:tplc="FFFFFFFF" w:tentative="1">
      <w:start w:val="1"/>
      <w:numFmt w:val="bullet"/>
      <w:lvlText w:val=""/>
      <w:lvlJc w:val="left"/>
      <w:pPr>
        <w:tabs>
          <w:tab w:val="num" w:pos="4472"/>
        </w:tabs>
        <w:ind w:left="4472" w:hanging="360"/>
      </w:pPr>
      <w:rPr>
        <w:rFonts w:ascii="Symbol" w:hAnsi="Symbol" w:hint="default"/>
      </w:rPr>
    </w:lvl>
    <w:lvl w:ilvl="7" w:tplc="FFFFFFFF" w:tentative="1">
      <w:start w:val="1"/>
      <w:numFmt w:val="bullet"/>
      <w:lvlText w:val="o"/>
      <w:lvlJc w:val="left"/>
      <w:pPr>
        <w:tabs>
          <w:tab w:val="num" w:pos="5192"/>
        </w:tabs>
        <w:ind w:left="5192" w:hanging="360"/>
      </w:pPr>
      <w:rPr>
        <w:rFonts w:ascii="Courier New" w:hAnsi="Courier New" w:cs="Courier New" w:hint="default"/>
      </w:rPr>
    </w:lvl>
    <w:lvl w:ilvl="8" w:tplc="FFFFFFFF" w:tentative="1">
      <w:start w:val="1"/>
      <w:numFmt w:val="bullet"/>
      <w:lvlText w:val=""/>
      <w:lvlJc w:val="left"/>
      <w:pPr>
        <w:tabs>
          <w:tab w:val="num" w:pos="5912"/>
        </w:tabs>
        <w:ind w:left="5912" w:hanging="360"/>
      </w:pPr>
      <w:rPr>
        <w:rFonts w:ascii="Wingdings" w:hAnsi="Wingdings" w:hint="default"/>
      </w:rPr>
    </w:lvl>
  </w:abstractNum>
  <w:abstractNum w:abstractNumId="18">
    <w:nsid w:val="6FE147B6"/>
    <w:multiLevelType w:val="hybridMultilevel"/>
    <w:tmpl w:val="B2D05B06"/>
    <w:lvl w:ilvl="0" w:tplc="0C090001">
      <w:start w:val="1"/>
      <w:numFmt w:val="bullet"/>
      <w:lvlText w:val=""/>
      <w:lvlJc w:val="left"/>
      <w:pPr>
        <w:ind w:left="76" w:hanging="360"/>
      </w:pPr>
      <w:rPr>
        <w:rFonts w:ascii="Symbol" w:hAnsi="Symbol" w:hint="default"/>
      </w:rPr>
    </w:lvl>
    <w:lvl w:ilvl="1" w:tplc="F488CFD6">
      <w:numFmt w:val="bullet"/>
      <w:lvlText w:val="-"/>
      <w:lvlJc w:val="left"/>
      <w:pPr>
        <w:ind w:left="796" w:hanging="360"/>
      </w:pPr>
      <w:rPr>
        <w:rFonts w:ascii="Times New Roman" w:eastAsia="Times New Roman" w:hAnsi="Times New Roman" w:cs="Times New Roman"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9">
    <w:nsid w:val="784D033C"/>
    <w:multiLevelType w:val="multilevel"/>
    <w:tmpl w:val="054A5066"/>
    <w:lvl w:ilvl="0">
      <w:start w:val="6"/>
      <w:numFmt w:val="decimal"/>
      <w:pStyle w:val="PBACHeading1"/>
      <w:lvlText w:val="%1"/>
      <w:lvlJc w:val="left"/>
      <w:pPr>
        <w:ind w:left="720" w:hanging="720"/>
      </w:pPr>
      <w:rPr>
        <w:rFonts w:hint="default"/>
        <w:b/>
      </w:rPr>
    </w:lvl>
    <w:lvl w:ilvl="1">
      <w:start w:val="16"/>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9545DE"/>
    <w:multiLevelType w:val="hybridMultilevel"/>
    <w:tmpl w:val="3D0446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0"/>
  </w:num>
  <w:num w:numId="4">
    <w:abstractNumId w:val="9"/>
  </w:num>
  <w:num w:numId="5">
    <w:abstractNumId w:val="16"/>
  </w:num>
  <w:num w:numId="6">
    <w:abstractNumId w:val="4"/>
  </w:num>
  <w:num w:numId="7">
    <w:abstractNumId w:val="12"/>
  </w:num>
  <w:num w:numId="8">
    <w:abstractNumId w:val="18"/>
  </w:num>
  <w:num w:numId="9">
    <w:abstractNumId w:val="17"/>
  </w:num>
  <w:num w:numId="10">
    <w:abstractNumId w:val="11"/>
  </w:num>
  <w:num w:numId="11">
    <w:abstractNumId w:val="19"/>
  </w:num>
  <w:num w:numId="12">
    <w:abstractNumId w:val="7"/>
  </w:num>
  <w:num w:numId="13">
    <w:abstractNumId w:val="10"/>
  </w:num>
  <w:num w:numId="14">
    <w:abstractNumId w:val="14"/>
  </w:num>
  <w:num w:numId="15">
    <w:abstractNumId w:val="19"/>
  </w:num>
  <w:num w:numId="16">
    <w:abstractNumId w:val="1"/>
  </w:num>
  <w:num w:numId="17">
    <w:abstractNumId w:val="13"/>
  </w:num>
  <w:num w:numId="18">
    <w:abstractNumId w:val="15"/>
  </w:num>
  <w:num w:numId="19">
    <w:abstractNumId w:val="8"/>
  </w:num>
  <w:num w:numId="20">
    <w:abstractNumId w:val="2"/>
  </w:num>
  <w:num w:numId="21">
    <w:abstractNumId w:val="6"/>
  </w:num>
  <w:num w:numId="22">
    <w:abstractNumId w:val="5"/>
  </w:num>
  <w:num w:numId="23">
    <w:abstractNumId w:val="19"/>
  </w:num>
  <w:num w:numId="24">
    <w:abstractNumId w:val="19"/>
  </w:num>
  <w:num w:numId="25">
    <w:abstractNumId w:val="19"/>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B8"/>
    <w:rsid w:val="00000790"/>
    <w:rsid w:val="0000110B"/>
    <w:rsid w:val="0000161A"/>
    <w:rsid w:val="0000298B"/>
    <w:rsid w:val="000030C7"/>
    <w:rsid w:val="00003499"/>
    <w:rsid w:val="00004B4C"/>
    <w:rsid w:val="000104A2"/>
    <w:rsid w:val="00012D18"/>
    <w:rsid w:val="00013247"/>
    <w:rsid w:val="00015886"/>
    <w:rsid w:val="00015980"/>
    <w:rsid w:val="00016188"/>
    <w:rsid w:val="000162EF"/>
    <w:rsid w:val="00020082"/>
    <w:rsid w:val="00020332"/>
    <w:rsid w:val="0002225F"/>
    <w:rsid w:val="00023763"/>
    <w:rsid w:val="0002419C"/>
    <w:rsid w:val="00025854"/>
    <w:rsid w:val="0002708B"/>
    <w:rsid w:val="0002730B"/>
    <w:rsid w:val="00031DAD"/>
    <w:rsid w:val="00033821"/>
    <w:rsid w:val="00034324"/>
    <w:rsid w:val="00034533"/>
    <w:rsid w:val="00040895"/>
    <w:rsid w:val="00043C37"/>
    <w:rsid w:val="000445E4"/>
    <w:rsid w:val="000449E9"/>
    <w:rsid w:val="00050BBA"/>
    <w:rsid w:val="00052149"/>
    <w:rsid w:val="00052A1C"/>
    <w:rsid w:val="00052ADE"/>
    <w:rsid w:val="00053656"/>
    <w:rsid w:val="000546D7"/>
    <w:rsid w:val="000552A1"/>
    <w:rsid w:val="00056085"/>
    <w:rsid w:val="0005670B"/>
    <w:rsid w:val="00056EA6"/>
    <w:rsid w:val="00057307"/>
    <w:rsid w:val="00057716"/>
    <w:rsid w:val="00062ACB"/>
    <w:rsid w:val="000637CF"/>
    <w:rsid w:val="000647B1"/>
    <w:rsid w:val="00066469"/>
    <w:rsid w:val="00070275"/>
    <w:rsid w:val="00071248"/>
    <w:rsid w:val="000720B9"/>
    <w:rsid w:val="000812CA"/>
    <w:rsid w:val="00081C6B"/>
    <w:rsid w:val="00084612"/>
    <w:rsid w:val="000870A4"/>
    <w:rsid w:val="000876E5"/>
    <w:rsid w:val="00090C7E"/>
    <w:rsid w:val="00090D1C"/>
    <w:rsid w:val="00094596"/>
    <w:rsid w:val="00097642"/>
    <w:rsid w:val="000A0058"/>
    <w:rsid w:val="000A1D90"/>
    <w:rsid w:val="000A265B"/>
    <w:rsid w:val="000A2D90"/>
    <w:rsid w:val="000A30E1"/>
    <w:rsid w:val="000B164C"/>
    <w:rsid w:val="000B1E6F"/>
    <w:rsid w:val="000B3AEF"/>
    <w:rsid w:val="000B47FA"/>
    <w:rsid w:val="000B4A76"/>
    <w:rsid w:val="000B5317"/>
    <w:rsid w:val="000B7F70"/>
    <w:rsid w:val="000C4BB6"/>
    <w:rsid w:val="000C6B0F"/>
    <w:rsid w:val="000C7908"/>
    <w:rsid w:val="000D0084"/>
    <w:rsid w:val="000D06E6"/>
    <w:rsid w:val="000D1BFC"/>
    <w:rsid w:val="000D4F47"/>
    <w:rsid w:val="000D6003"/>
    <w:rsid w:val="000E0471"/>
    <w:rsid w:val="000E12FD"/>
    <w:rsid w:val="000E7DEA"/>
    <w:rsid w:val="000F0021"/>
    <w:rsid w:val="000F27DA"/>
    <w:rsid w:val="000F31B4"/>
    <w:rsid w:val="000F3F32"/>
    <w:rsid w:val="000F409F"/>
    <w:rsid w:val="000F4BB8"/>
    <w:rsid w:val="000F625D"/>
    <w:rsid w:val="000F7127"/>
    <w:rsid w:val="00100F8A"/>
    <w:rsid w:val="00101B32"/>
    <w:rsid w:val="00101CBF"/>
    <w:rsid w:val="001027C2"/>
    <w:rsid w:val="001031F3"/>
    <w:rsid w:val="00103BDB"/>
    <w:rsid w:val="00103E72"/>
    <w:rsid w:val="00105CBB"/>
    <w:rsid w:val="0011032E"/>
    <w:rsid w:val="00110511"/>
    <w:rsid w:val="00113237"/>
    <w:rsid w:val="0011348B"/>
    <w:rsid w:val="00113580"/>
    <w:rsid w:val="00114545"/>
    <w:rsid w:val="00115400"/>
    <w:rsid w:val="0011597E"/>
    <w:rsid w:val="0011649E"/>
    <w:rsid w:val="001167B7"/>
    <w:rsid w:val="001171A1"/>
    <w:rsid w:val="0012111C"/>
    <w:rsid w:val="00121799"/>
    <w:rsid w:val="001219CF"/>
    <w:rsid w:val="00121C8D"/>
    <w:rsid w:val="001222FC"/>
    <w:rsid w:val="00122458"/>
    <w:rsid w:val="001225A8"/>
    <w:rsid w:val="00122BCF"/>
    <w:rsid w:val="00124721"/>
    <w:rsid w:val="00124A51"/>
    <w:rsid w:val="001260EE"/>
    <w:rsid w:val="00126621"/>
    <w:rsid w:val="0012677C"/>
    <w:rsid w:val="001301E9"/>
    <w:rsid w:val="00132158"/>
    <w:rsid w:val="0013225F"/>
    <w:rsid w:val="001373B0"/>
    <w:rsid w:val="00137645"/>
    <w:rsid w:val="0014015A"/>
    <w:rsid w:val="00140E99"/>
    <w:rsid w:val="00143391"/>
    <w:rsid w:val="00143F0D"/>
    <w:rsid w:val="001450E4"/>
    <w:rsid w:val="00145540"/>
    <w:rsid w:val="001456B0"/>
    <w:rsid w:val="001459E9"/>
    <w:rsid w:val="0014702C"/>
    <w:rsid w:val="0014770B"/>
    <w:rsid w:val="00151821"/>
    <w:rsid w:val="00151BF6"/>
    <w:rsid w:val="001528C4"/>
    <w:rsid w:val="00157130"/>
    <w:rsid w:val="00157EC1"/>
    <w:rsid w:val="0016149F"/>
    <w:rsid w:val="00162913"/>
    <w:rsid w:val="00163EFF"/>
    <w:rsid w:val="0016418E"/>
    <w:rsid w:val="00164943"/>
    <w:rsid w:val="001661FB"/>
    <w:rsid w:val="0017149B"/>
    <w:rsid w:val="00174050"/>
    <w:rsid w:val="00174132"/>
    <w:rsid w:val="001801CC"/>
    <w:rsid w:val="0018442E"/>
    <w:rsid w:val="0018752F"/>
    <w:rsid w:val="00192FDA"/>
    <w:rsid w:val="00195222"/>
    <w:rsid w:val="001952A6"/>
    <w:rsid w:val="001975D8"/>
    <w:rsid w:val="0019776E"/>
    <w:rsid w:val="001A3808"/>
    <w:rsid w:val="001A3B3D"/>
    <w:rsid w:val="001A75D2"/>
    <w:rsid w:val="001B0F11"/>
    <w:rsid w:val="001B17D4"/>
    <w:rsid w:val="001B3443"/>
    <w:rsid w:val="001B4430"/>
    <w:rsid w:val="001B449A"/>
    <w:rsid w:val="001B45FE"/>
    <w:rsid w:val="001B783C"/>
    <w:rsid w:val="001C1E53"/>
    <w:rsid w:val="001C57F6"/>
    <w:rsid w:val="001C5F17"/>
    <w:rsid w:val="001C6E66"/>
    <w:rsid w:val="001D1897"/>
    <w:rsid w:val="001D1BE8"/>
    <w:rsid w:val="001D26C3"/>
    <w:rsid w:val="001D2F69"/>
    <w:rsid w:val="001D67B1"/>
    <w:rsid w:val="001D7638"/>
    <w:rsid w:val="001E238E"/>
    <w:rsid w:val="001E2B1E"/>
    <w:rsid w:val="001E52EB"/>
    <w:rsid w:val="001E740C"/>
    <w:rsid w:val="001F09E4"/>
    <w:rsid w:val="001F1235"/>
    <w:rsid w:val="001F163E"/>
    <w:rsid w:val="001F1CB3"/>
    <w:rsid w:val="001F2640"/>
    <w:rsid w:val="001F34A9"/>
    <w:rsid w:val="001F3F1A"/>
    <w:rsid w:val="001F4ED9"/>
    <w:rsid w:val="001F53A0"/>
    <w:rsid w:val="001F5965"/>
    <w:rsid w:val="001F5B4F"/>
    <w:rsid w:val="001F6E65"/>
    <w:rsid w:val="001F7361"/>
    <w:rsid w:val="001F7D63"/>
    <w:rsid w:val="0020385F"/>
    <w:rsid w:val="002061F7"/>
    <w:rsid w:val="00207021"/>
    <w:rsid w:val="0020775D"/>
    <w:rsid w:val="00207D00"/>
    <w:rsid w:val="0021049B"/>
    <w:rsid w:val="002105C1"/>
    <w:rsid w:val="0021202A"/>
    <w:rsid w:val="0021680A"/>
    <w:rsid w:val="00216FAE"/>
    <w:rsid w:val="00217FE6"/>
    <w:rsid w:val="002211B7"/>
    <w:rsid w:val="00221621"/>
    <w:rsid w:val="00223B49"/>
    <w:rsid w:val="00224DD4"/>
    <w:rsid w:val="002265B1"/>
    <w:rsid w:val="00227283"/>
    <w:rsid w:val="002309CC"/>
    <w:rsid w:val="00232D6F"/>
    <w:rsid w:val="00233ADA"/>
    <w:rsid w:val="00234D40"/>
    <w:rsid w:val="002405C2"/>
    <w:rsid w:val="00241315"/>
    <w:rsid w:val="00244434"/>
    <w:rsid w:val="00250A57"/>
    <w:rsid w:val="00251C32"/>
    <w:rsid w:val="00254DCF"/>
    <w:rsid w:val="0025534B"/>
    <w:rsid w:val="00255BB7"/>
    <w:rsid w:val="002563DC"/>
    <w:rsid w:val="00257B1F"/>
    <w:rsid w:val="00257B77"/>
    <w:rsid w:val="00257F73"/>
    <w:rsid w:val="00262A87"/>
    <w:rsid w:val="002649E1"/>
    <w:rsid w:val="00264DBD"/>
    <w:rsid w:val="00271830"/>
    <w:rsid w:val="00275C5A"/>
    <w:rsid w:val="00281014"/>
    <w:rsid w:val="00282B7A"/>
    <w:rsid w:val="002842AE"/>
    <w:rsid w:val="00292646"/>
    <w:rsid w:val="002930D2"/>
    <w:rsid w:val="00295853"/>
    <w:rsid w:val="00295940"/>
    <w:rsid w:val="002962FD"/>
    <w:rsid w:val="002A14AB"/>
    <w:rsid w:val="002A1C99"/>
    <w:rsid w:val="002A2CC6"/>
    <w:rsid w:val="002A45DD"/>
    <w:rsid w:val="002A6680"/>
    <w:rsid w:val="002A78EB"/>
    <w:rsid w:val="002B10E9"/>
    <w:rsid w:val="002B1C1F"/>
    <w:rsid w:val="002B28CB"/>
    <w:rsid w:val="002B4121"/>
    <w:rsid w:val="002B432F"/>
    <w:rsid w:val="002B54FC"/>
    <w:rsid w:val="002B64E9"/>
    <w:rsid w:val="002B6CCE"/>
    <w:rsid w:val="002B715B"/>
    <w:rsid w:val="002C0F45"/>
    <w:rsid w:val="002C2775"/>
    <w:rsid w:val="002C27C1"/>
    <w:rsid w:val="002C2C55"/>
    <w:rsid w:val="002C40CF"/>
    <w:rsid w:val="002C6BCD"/>
    <w:rsid w:val="002D1C6E"/>
    <w:rsid w:val="002D3274"/>
    <w:rsid w:val="002D459A"/>
    <w:rsid w:val="002D6A00"/>
    <w:rsid w:val="002E0198"/>
    <w:rsid w:val="002E5AD9"/>
    <w:rsid w:val="002E6B4B"/>
    <w:rsid w:val="002E792E"/>
    <w:rsid w:val="002F3F7C"/>
    <w:rsid w:val="002F48FC"/>
    <w:rsid w:val="002F4F5A"/>
    <w:rsid w:val="002F4FC8"/>
    <w:rsid w:val="002F6293"/>
    <w:rsid w:val="002F7BC0"/>
    <w:rsid w:val="00301017"/>
    <w:rsid w:val="003013C0"/>
    <w:rsid w:val="0030450C"/>
    <w:rsid w:val="0030786C"/>
    <w:rsid w:val="00307BB1"/>
    <w:rsid w:val="0031031A"/>
    <w:rsid w:val="00310981"/>
    <w:rsid w:val="00312168"/>
    <w:rsid w:val="003144A2"/>
    <w:rsid w:val="003148CC"/>
    <w:rsid w:val="0031521A"/>
    <w:rsid w:val="00315498"/>
    <w:rsid w:val="00315AEC"/>
    <w:rsid w:val="0031710F"/>
    <w:rsid w:val="00320219"/>
    <w:rsid w:val="00322957"/>
    <w:rsid w:val="00323BDB"/>
    <w:rsid w:val="00324357"/>
    <w:rsid w:val="00324F53"/>
    <w:rsid w:val="00327821"/>
    <w:rsid w:val="00327F20"/>
    <w:rsid w:val="0033588D"/>
    <w:rsid w:val="00335BA3"/>
    <w:rsid w:val="00336563"/>
    <w:rsid w:val="003366C9"/>
    <w:rsid w:val="003371B0"/>
    <w:rsid w:val="003375AE"/>
    <w:rsid w:val="003431ED"/>
    <w:rsid w:val="003431F3"/>
    <w:rsid w:val="0034377C"/>
    <w:rsid w:val="00344183"/>
    <w:rsid w:val="0034518A"/>
    <w:rsid w:val="003458E9"/>
    <w:rsid w:val="0035148B"/>
    <w:rsid w:val="003519BC"/>
    <w:rsid w:val="003522A8"/>
    <w:rsid w:val="0035261C"/>
    <w:rsid w:val="00352E1B"/>
    <w:rsid w:val="003531D2"/>
    <w:rsid w:val="003532FC"/>
    <w:rsid w:val="003552FB"/>
    <w:rsid w:val="00355550"/>
    <w:rsid w:val="0035620E"/>
    <w:rsid w:val="0036220F"/>
    <w:rsid w:val="00363B72"/>
    <w:rsid w:val="00367C8D"/>
    <w:rsid w:val="00367CB5"/>
    <w:rsid w:val="0037077F"/>
    <w:rsid w:val="00372C9F"/>
    <w:rsid w:val="00380259"/>
    <w:rsid w:val="003802E0"/>
    <w:rsid w:val="00382CD7"/>
    <w:rsid w:val="00382F81"/>
    <w:rsid w:val="0038365C"/>
    <w:rsid w:val="0038645D"/>
    <w:rsid w:val="00391A40"/>
    <w:rsid w:val="0039208E"/>
    <w:rsid w:val="0039362C"/>
    <w:rsid w:val="00393F2C"/>
    <w:rsid w:val="00395824"/>
    <w:rsid w:val="00396E19"/>
    <w:rsid w:val="00396FD0"/>
    <w:rsid w:val="003A1A7A"/>
    <w:rsid w:val="003A28C6"/>
    <w:rsid w:val="003A7731"/>
    <w:rsid w:val="003B0BC0"/>
    <w:rsid w:val="003B1634"/>
    <w:rsid w:val="003B17F3"/>
    <w:rsid w:val="003B189B"/>
    <w:rsid w:val="003B5074"/>
    <w:rsid w:val="003C1D00"/>
    <w:rsid w:val="003C1F3F"/>
    <w:rsid w:val="003C3651"/>
    <w:rsid w:val="003C46A7"/>
    <w:rsid w:val="003C6B62"/>
    <w:rsid w:val="003D1828"/>
    <w:rsid w:val="003D2422"/>
    <w:rsid w:val="003D30EF"/>
    <w:rsid w:val="003E00B5"/>
    <w:rsid w:val="003E0D25"/>
    <w:rsid w:val="003E2097"/>
    <w:rsid w:val="003E4D9B"/>
    <w:rsid w:val="003E5B5D"/>
    <w:rsid w:val="003E5BD3"/>
    <w:rsid w:val="003F0BA9"/>
    <w:rsid w:val="003F0CE6"/>
    <w:rsid w:val="003F4156"/>
    <w:rsid w:val="003F7052"/>
    <w:rsid w:val="0040121F"/>
    <w:rsid w:val="004017E5"/>
    <w:rsid w:val="00403496"/>
    <w:rsid w:val="00403F1D"/>
    <w:rsid w:val="004043A7"/>
    <w:rsid w:val="0040590B"/>
    <w:rsid w:val="00410708"/>
    <w:rsid w:val="00410EC7"/>
    <w:rsid w:val="00411AA2"/>
    <w:rsid w:val="00413BB1"/>
    <w:rsid w:val="00414476"/>
    <w:rsid w:val="00415CC3"/>
    <w:rsid w:val="00420B9F"/>
    <w:rsid w:val="0042374F"/>
    <w:rsid w:val="00423AD8"/>
    <w:rsid w:val="004306AC"/>
    <w:rsid w:val="004312EA"/>
    <w:rsid w:val="00431927"/>
    <w:rsid w:val="004319F8"/>
    <w:rsid w:val="004328CC"/>
    <w:rsid w:val="00433044"/>
    <w:rsid w:val="00436538"/>
    <w:rsid w:val="004369BB"/>
    <w:rsid w:val="00437512"/>
    <w:rsid w:val="0043784A"/>
    <w:rsid w:val="00440BE9"/>
    <w:rsid w:val="00441821"/>
    <w:rsid w:val="00441FD7"/>
    <w:rsid w:val="0044409D"/>
    <w:rsid w:val="004443A7"/>
    <w:rsid w:val="004464EB"/>
    <w:rsid w:val="0045337C"/>
    <w:rsid w:val="00455D45"/>
    <w:rsid w:val="004565A3"/>
    <w:rsid w:val="00457032"/>
    <w:rsid w:val="004641C3"/>
    <w:rsid w:val="00464595"/>
    <w:rsid w:val="00470866"/>
    <w:rsid w:val="00473D01"/>
    <w:rsid w:val="00474185"/>
    <w:rsid w:val="00476C06"/>
    <w:rsid w:val="00476DED"/>
    <w:rsid w:val="004806D9"/>
    <w:rsid w:val="00480856"/>
    <w:rsid w:val="00480A78"/>
    <w:rsid w:val="00481881"/>
    <w:rsid w:val="00481C73"/>
    <w:rsid w:val="00482182"/>
    <w:rsid w:val="004821E1"/>
    <w:rsid w:val="00484890"/>
    <w:rsid w:val="00484F81"/>
    <w:rsid w:val="004867E2"/>
    <w:rsid w:val="004874EA"/>
    <w:rsid w:val="00487CC9"/>
    <w:rsid w:val="00491435"/>
    <w:rsid w:val="00491B3A"/>
    <w:rsid w:val="00492CFD"/>
    <w:rsid w:val="004935E4"/>
    <w:rsid w:val="00493F0D"/>
    <w:rsid w:val="004958FD"/>
    <w:rsid w:val="00495C9C"/>
    <w:rsid w:val="00495D02"/>
    <w:rsid w:val="00495D4F"/>
    <w:rsid w:val="004962D2"/>
    <w:rsid w:val="004975DD"/>
    <w:rsid w:val="004A089D"/>
    <w:rsid w:val="004A0DA1"/>
    <w:rsid w:val="004A1768"/>
    <w:rsid w:val="004A6597"/>
    <w:rsid w:val="004B073D"/>
    <w:rsid w:val="004B0D9A"/>
    <w:rsid w:val="004B1CB4"/>
    <w:rsid w:val="004B2F18"/>
    <w:rsid w:val="004B3DDB"/>
    <w:rsid w:val="004B44FD"/>
    <w:rsid w:val="004B5CFC"/>
    <w:rsid w:val="004B6D7C"/>
    <w:rsid w:val="004C0F1E"/>
    <w:rsid w:val="004C19EC"/>
    <w:rsid w:val="004C2826"/>
    <w:rsid w:val="004C289E"/>
    <w:rsid w:val="004C2E8A"/>
    <w:rsid w:val="004C3EF9"/>
    <w:rsid w:val="004C42C3"/>
    <w:rsid w:val="004C4AED"/>
    <w:rsid w:val="004D0812"/>
    <w:rsid w:val="004D15F9"/>
    <w:rsid w:val="004D3770"/>
    <w:rsid w:val="004D3E64"/>
    <w:rsid w:val="004D4FE0"/>
    <w:rsid w:val="004E0EB8"/>
    <w:rsid w:val="004E2ADC"/>
    <w:rsid w:val="004E43B2"/>
    <w:rsid w:val="004F08E7"/>
    <w:rsid w:val="004F09E1"/>
    <w:rsid w:val="004F1D02"/>
    <w:rsid w:val="004F1F14"/>
    <w:rsid w:val="004F2679"/>
    <w:rsid w:val="004F4D50"/>
    <w:rsid w:val="004F4F9F"/>
    <w:rsid w:val="004F5761"/>
    <w:rsid w:val="004F5C29"/>
    <w:rsid w:val="004F7865"/>
    <w:rsid w:val="004F798A"/>
    <w:rsid w:val="00500C0E"/>
    <w:rsid w:val="00501593"/>
    <w:rsid w:val="00501B22"/>
    <w:rsid w:val="00506928"/>
    <w:rsid w:val="00511557"/>
    <w:rsid w:val="00513428"/>
    <w:rsid w:val="00513D38"/>
    <w:rsid w:val="00514153"/>
    <w:rsid w:val="005152B5"/>
    <w:rsid w:val="0051534D"/>
    <w:rsid w:val="00515F67"/>
    <w:rsid w:val="00516AFB"/>
    <w:rsid w:val="00521319"/>
    <w:rsid w:val="00521E6B"/>
    <w:rsid w:val="0052309A"/>
    <w:rsid w:val="00523C28"/>
    <w:rsid w:val="00524380"/>
    <w:rsid w:val="00525C7D"/>
    <w:rsid w:val="00530F60"/>
    <w:rsid w:val="00537221"/>
    <w:rsid w:val="00543805"/>
    <w:rsid w:val="00545968"/>
    <w:rsid w:val="00545D99"/>
    <w:rsid w:val="00552BD3"/>
    <w:rsid w:val="00555109"/>
    <w:rsid w:val="00560C29"/>
    <w:rsid w:val="00561A2E"/>
    <w:rsid w:val="00562EEE"/>
    <w:rsid w:val="005654DE"/>
    <w:rsid w:val="00565F97"/>
    <w:rsid w:val="0056696F"/>
    <w:rsid w:val="00572D42"/>
    <w:rsid w:val="00575C17"/>
    <w:rsid w:val="00575D8D"/>
    <w:rsid w:val="00576972"/>
    <w:rsid w:val="00580288"/>
    <w:rsid w:val="005814F6"/>
    <w:rsid w:val="00582296"/>
    <w:rsid w:val="0058356E"/>
    <w:rsid w:val="00583699"/>
    <w:rsid w:val="00583C0C"/>
    <w:rsid w:val="005849D5"/>
    <w:rsid w:val="00584F23"/>
    <w:rsid w:val="00587877"/>
    <w:rsid w:val="005879AC"/>
    <w:rsid w:val="0059023E"/>
    <w:rsid w:val="005918CA"/>
    <w:rsid w:val="00591FEE"/>
    <w:rsid w:val="0059654E"/>
    <w:rsid w:val="005975D5"/>
    <w:rsid w:val="005A08CD"/>
    <w:rsid w:val="005B27E5"/>
    <w:rsid w:val="005B3122"/>
    <w:rsid w:val="005B36E1"/>
    <w:rsid w:val="005B4D6C"/>
    <w:rsid w:val="005B5857"/>
    <w:rsid w:val="005C1B83"/>
    <w:rsid w:val="005C210F"/>
    <w:rsid w:val="005C346B"/>
    <w:rsid w:val="005C42F4"/>
    <w:rsid w:val="005D044D"/>
    <w:rsid w:val="005D0FA6"/>
    <w:rsid w:val="005D18AD"/>
    <w:rsid w:val="005D3D9E"/>
    <w:rsid w:val="005D53BD"/>
    <w:rsid w:val="005D6F65"/>
    <w:rsid w:val="005E0880"/>
    <w:rsid w:val="005E25A7"/>
    <w:rsid w:val="005E73C0"/>
    <w:rsid w:val="005F2706"/>
    <w:rsid w:val="005F2B8D"/>
    <w:rsid w:val="005F30A3"/>
    <w:rsid w:val="005F3E77"/>
    <w:rsid w:val="005F5E4A"/>
    <w:rsid w:val="005F6A8F"/>
    <w:rsid w:val="0060002F"/>
    <w:rsid w:val="0060590F"/>
    <w:rsid w:val="00605976"/>
    <w:rsid w:val="00605E4C"/>
    <w:rsid w:val="00607669"/>
    <w:rsid w:val="00610A9F"/>
    <w:rsid w:val="00611C64"/>
    <w:rsid w:val="00612F97"/>
    <w:rsid w:val="006140DA"/>
    <w:rsid w:val="006155BE"/>
    <w:rsid w:val="00616802"/>
    <w:rsid w:val="00617CA6"/>
    <w:rsid w:val="00617E12"/>
    <w:rsid w:val="00621477"/>
    <w:rsid w:val="006219EC"/>
    <w:rsid w:val="00624376"/>
    <w:rsid w:val="00625864"/>
    <w:rsid w:val="00626007"/>
    <w:rsid w:val="00631D6B"/>
    <w:rsid w:val="00631FCB"/>
    <w:rsid w:val="00632AB2"/>
    <w:rsid w:val="0063479F"/>
    <w:rsid w:val="006364A1"/>
    <w:rsid w:val="00637BFD"/>
    <w:rsid w:val="0064682F"/>
    <w:rsid w:val="006471CC"/>
    <w:rsid w:val="0065079F"/>
    <w:rsid w:val="00651CC9"/>
    <w:rsid w:val="00652959"/>
    <w:rsid w:val="0065576E"/>
    <w:rsid w:val="00655937"/>
    <w:rsid w:val="00657F6C"/>
    <w:rsid w:val="00661DBE"/>
    <w:rsid w:val="0066291A"/>
    <w:rsid w:val="00662FE8"/>
    <w:rsid w:val="00666676"/>
    <w:rsid w:val="00666AAB"/>
    <w:rsid w:val="00670A18"/>
    <w:rsid w:val="00671D72"/>
    <w:rsid w:val="00671F1D"/>
    <w:rsid w:val="006746DA"/>
    <w:rsid w:val="00674E42"/>
    <w:rsid w:val="0067746B"/>
    <w:rsid w:val="00682112"/>
    <w:rsid w:val="00682167"/>
    <w:rsid w:val="006827DE"/>
    <w:rsid w:val="006832BB"/>
    <w:rsid w:val="00685865"/>
    <w:rsid w:val="0068706B"/>
    <w:rsid w:val="006872BA"/>
    <w:rsid w:val="006917D7"/>
    <w:rsid w:val="00691FD7"/>
    <w:rsid w:val="00692A8B"/>
    <w:rsid w:val="00694F44"/>
    <w:rsid w:val="006978BE"/>
    <w:rsid w:val="006A0FE9"/>
    <w:rsid w:val="006A357D"/>
    <w:rsid w:val="006A4E6B"/>
    <w:rsid w:val="006B1013"/>
    <w:rsid w:val="006B178A"/>
    <w:rsid w:val="006B26D2"/>
    <w:rsid w:val="006B3BB1"/>
    <w:rsid w:val="006B4D7B"/>
    <w:rsid w:val="006C05EE"/>
    <w:rsid w:val="006C1EEB"/>
    <w:rsid w:val="006C1F7B"/>
    <w:rsid w:val="006C2A8E"/>
    <w:rsid w:val="006C722A"/>
    <w:rsid w:val="006D3C7D"/>
    <w:rsid w:val="006D423A"/>
    <w:rsid w:val="006D5D5F"/>
    <w:rsid w:val="006E04A6"/>
    <w:rsid w:val="006E3A8F"/>
    <w:rsid w:val="006E4696"/>
    <w:rsid w:val="006E4D54"/>
    <w:rsid w:val="006E7A7E"/>
    <w:rsid w:val="006F1A8C"/>
    <w:rsid w:val="006F580F"/>
    <w:rsid w:val="006F583B"/>
    <w:rsid w:val="006F5939"/>
    <w:rsid w:val="006F63A5"/>
    <w:rsid w:val="00700B23"/>
    <w:rsid w:val="0070276E"/>
    <w:rsid w:val="00702B68"/>
    <w:rsid w:val="00702F8F"/>
    <w:rsid w:val="0070454F"/>
    <w:rsid w:val="007056F0"/>
    <w:rsid w:val="00706C30"/>
    <w:rsid w:val="007102B0"/>
    <w:rsid w:val="00711A36"/>
    <w:rsid w:val="0071207C"/>
    <w:rsid w:val="007159CD"/>
    <w:rsid w:val="007172AD"/>
    <w:rsid w:val="00717C27"/>
    <w:rsid w:val="00717FF9"/>
    <w:rsid w:val="00721768"/>
    <w:rsid w:val="0072265A"/>
    <w:rsid w:val="0072397A"/>
    <w:rsid w:val="0072416F"/>
    <w:rsid w:val="0073194D"/>
    <w:rsid w:val="00735328"/>
    <w:rsid w:val="0073685B"/>
    <w:rsid w:val="00744BAE"/>
    <w:rsid w:val="00746B0B"/>
    <w:rsid w:val="00747A28"/>
    <w:rsid w:val="0075090A"/>
    <w:rsid w:val="007517D2"/>
    <w:rsid w:val="007525BA"/>
    <w:rsid w:val="00753225"/>
    <w:rsid w:val="00753C85"/>
    <w:rsid w:val="00755148"/>
    <w:rsid w:val="0075710B"/>
    <w:rsid w:val="007651E1"/>
    <w:rsid w:val="00766127"/>
    <w:rsid w:val="00767C8D"/>
    <w:rsid w:val="00767F10"/>
    <w:rsid w:val="00776638"/>
    <w:rsid w:val="007825FA"/>
    <w:rsid w:val="00784293"/>
    <w:rsid w:val="007842EB"/>
    <w:rsid w:val="00787746"/>
    <w:rsid w:val="007905DF"/>
    <w:rsid w:val="00791AD9"/>
    <w:rsid w:val="007944B4"/>
    <w:rsid w:val="00794CF6"/>
    <w:rsid w:val="00794D70"/>
    <w:rsid w:val="00794DFB"/>
    <w:rsid w:val="00795A15"/>
    <w:rsid w:val="007972F1"/>
    <w:rsid w:val="007A0A12"/>
    <w:rsid w:val="007A13DB"/>
    <w:rsid w:val="007A457D"/>
    <w:rsid w:val="007B0B26"/>
    <w:rsid w:val="007B0C58"/>
    <w:rsid w:val="007B1B1F"/>
    <w:rsid w:val="007B251D"/>
    <w:rsid w:val="007B415A"/>
    <w:rsid w:val="007B525A"/>
    <w:rsid w:val="007B77D1"/>
    <w:rsid w:val="007C031C"/>
    <w:rsid w:val="007C1BA5"/>
    <w:rsid w:val="007C2FC5"/>
    <w:rsid w:val="007C361D"/>
    <w:rsid w:val="007C478D"/>
    <w:rsid w:val="007C48F4"/>
    <w:rsid w:val="007C4ED2"/>
    <w:rsid w:val="007C50ED"/>
    <w:rsid w:val="007C5BD7"/>
    <w:rsid w:val="007C5E88"/>
    <w:rsid w:val="007D0B38"/>
    <w:rsid w:val="007D366C"/>
    <w:rsid w:val="007D5BE4"/>
    <w:rsid w:val="007E0A09"/>
    <w:rsid w:val="007E218E"/>
    <w:rsid w:val="007E3E20"/>
    <w:rsid w:val="007E534A"/>
    <w:rsid w:val="007E59A2"/>
    <w:rsid w:val="007E679C"/>
    <w:rsid w:val="007E7EFE"/>
    <w:rsid w:val="007F1017"/>
    <w:rsid w:val="007F3224"/>
    <w:rsid w:val="007F4A3F"/>
    <w:rsid w:val="007F4F41"/>
    <w:rsid w:val="007F5490"/>
    <w:rsid w:val="00800923"/>
    <w:rsid w:val="00801047"/>
    <w:rsid w:val="008017F6"/>
    <w:rsid w:val="008033EB"/>
    <w:rsid w:val="00805142"/>
    <w:rsid w:val="008056CD"/>
    <w:rsid w:val="00807A8B"/>
    <w:rsid w:val="008104A9"/>
    <w:rsid w:val="00811110"/>
    <w:rsid w:val="00811261"/>
    <w:rsid w:val="00812149"/>
    <w:rsid w:val="008166EF"/>
    <w:rsid w:val="00816F65"/>
    <w:rsid w:val="0082331B"/>
    <w:rsid w:val="00823C5A"/>
    <w:rsid w:val="00824154"/>
    <w:rsid w:val="008245B4"/>
    <w:rsid w:val="008264EB"/>
    <w:rsid w:val="008311D4"/>
    <w:rsid w:val="00832EB9"/>
    <w:rsid w:val="00833B05"/>
    <w:rsid w:val="0083446E"/>
    <w:rsid w:val="00835EC4"/>
    <w:rsid w:val="0083695E"/>
    <w:rsid w:val="00840C2E"/>
    <w:rsid w:val="00840CA2"/>
    <w:rsid w:val="008416DB"/>
    <w:rsid w:val="008426D5"/>
    <w:rsid w:val="00842C59"/>
    <w:rsid w:val="00843054"/>
    <w:rsid w:val="008460D4"/>
    <w:rsid w:val="008467B0"/>
    <w:rsid w:val="00850139"/>
    <w:rsid w:val="00850321"/>
    <w:rsid w:val="008531C3"/>
    <w:rsid w:val="008551E7"/>
    <w:rsid w:val="00855605"/>
    <w:rsid w:val="00856E9A"/>
    <w:rsid w:val="00857615"/>
    <w:rsid w:val="00862502"/>
    <w:rsid w:val="00863FA5"/>
    <w:rsid w:val="008643BD"/>
    <w:rsid w:val="008654E7"/>
    <w:rsid w:val="00866ECB"/>
    <w:rsid w:val="00871257"/>
    <w:rsid w:val="00872DC3"/>
    <w:rsid w:val="00873B39"/>
    <w:rsid w:val="00875D55"/>
    <w:rsid w:val="00876A08"/>
    <w:rsid w:val="008801CE"/>
    <w:rsid w:val="00880214"/>
    <w:rsid w:val="008804A9"/>
    <w:rsid w:val="00881B1E"/>
    <w:rsid w:val="00882874"/>
    <w:rsid w:val="00883787"/>
    <w:rsid w:val="00885169"/>
    <w:rsid w:val="008854E0"/>
    <w:rsid w:val="00886FC0"/>
    <w:rsid w:val="00890594"/>
    <w:rsid w:val="008911BF"/>
    <w:rsid w:val="00894489"/>
    <w:rsid w:val="008957A8"/>
    <w:rsid w:val="008963A5"/>
    <w:rsid w:val="008A03B9"/>
    <w:rsid w:val="008A3C3E"/>
    <w:rsid w:val="008A503C"/>
    <w:rsid w:val="008A652B"/>
    <w:rsid w:val="008A79DE"/>
    <w:rsid w:val="008B0062"/>
    <w:rsid w:val="008B04CB"/>
    <w:rsid w:val="008B06D2"/>
    <w:rsid w:val="008B1328"/>
    <w:rsid w:val="008B3316"/>
    <w:rsid w:val="008B5F8C"/>
    <w:rsid w:val="008B695A"/>
    <w:rsid w:val="008B7D7E"/>
    <w:rsid w:val="008C0FDC"/>
    <w:rsid w:val="008C3BE7"/>
    <w:rsid w:val="008C7ECB"/>
    <w:rsid w:val="008E10DE"/>
    <w:rsid w:val="008E1A39"/>
    <w:rsid w:val="008E1B9E"/>
    <w:rsid w:val="008E34DD"/>
    <w:rsid w:val="008E5355"/>
    <w:rsid w:val="008E5EF9"/>
    <w:rsid w:val="008E648A"/>
    <w:rsid w:val="008E6EB8"/>
    <w:rsid w:val="008E7938"/>
    <w:rsid w:val="008F0C5F"/>
    <w:rsid w:val="008F0CEE"/>
    <w:rsid w:val="008F120A"/>
    <w:rsid w:val="008F2482"/>
    <w:rsid w:val="008F48EB"/>
    <w:rsid w:val="008F4F0B"/>
    <w:rsid w:val="008F72A6"/>
    <w:rsid w:val="0090037B"/>
    <w:rsid w:val="009012C8"/>
    <w:rsid w:val="009062A5"/>
    <w:rsid w:val="00906EEC"/>
    <w:rsid w:val="00910531"/>
    <w:rsid w:val="00911086"/>
    <w:rsid w:val="00911272"/>
    <w:rsid w:val="00913078"/>
    <w:rsid w:val="009142DC"/>
    <w:rsid w:val="00915B30"/>
    <w:rsid w:val="0091611D"/>
    <w:rsid w:val="00916852"/>
    <w:rsid w:val="009177B9"/>
    <w:rsid w:val="00921A87"/>
    <w:rsid w:val="0092225B"/>
    <w:rsid w:val="00922412"/>
    <w:rsid w:val="0092251C"/>
    <w:rsid w:val="00922967"/>
    <w:rsid w:val="009317A0"/>
    <w:rsid w:val="009353AF"/>
    <w:rsid w:val="00936979"/>
    <w:rsid w:val="00937DE2"/>
    <w:rsid w:val="0094068E"/>
    <w:rsid w:val="00943F2D"/>
    <w:rsid w:val="00944DA1"/>
    <w:rsid w:val="009528B9"/>
    <w:rsid w:val="00954375"/>
    <w:rsid w:val="00962CB9"/>
    <w:rsid w:val="00963573"/>
    <w:rsid w:val="00964312"/>
    <w:rsid w:val="009709A1"/>
    <w:rsid w:val="00972207"/>
    <w:rsid w:val="0097523B"/>
    <w:rsid w:val="009763CA"/>
    <w:rsid w:val="00976978"/>
    <w:rsid w:val="00976B30"/>
    <w:rsid w:val="00980184"/>
    <w:rsid w:val="009804B1"/>
    <w:rsid w:val="00980FED"/>
    <w:rsid w:val="00983E57"/>
    <w:rsid w:val="00984FD5"/>
    <w:rsid w:val="0098584D"/>
    <w:rsid w:val="009866A4"/>
    <w:rsid w:val="00991541"/>
    <w:rsid w:val="0099227A"/>
    <w:rsid w:val="00994891"/>
    <w:rsid w:val="0099616F"/>
    <w:rsid w:val="00996781"/>
    <w:rsid w:val="00996B1A"/>
    <w:rsid w:val="009A35F2"/>
    <w:rsid w:val="009A4AD3"/>
    <w:rsid w:val="009A67CF"/>
    <w:rsid w:val="009B09B6"/>
    <w:rsid w:val="009B262E"/>
    <w:rsid w:val="009B2AC5"/>
    <w:rsid w:val="009B3E26"/>
    <w:rsid w:val="009B45D9"/>
    <w:rsid w:val="009B6DFA"/>
    <w:rsid w:val="009C0C48"/>
    <w:rsid w:val="009C1B53"/>
    <w:rsid w:val="009C2091"/>
    <w:rsid w:val="009C42B8"/>
    <w:rsid w:val="009C6C5C"/>
    <w:rsid w:val="009C76AC"/>
    <w:rsid w:val="009C7814"/>
    <w:rsid w:val="009D0168"/>
    <w:rsid w:val="009D0F89"/>
    <w:rsid w:val="009D3C46"/>
    <w:rsid w:val="009D44A2"/>
    <w:rsid w:val="009D4522"/>
    <w:rsid w:val="009D5B91"/>
    <w:rsid w:val="009E133F"/>
    <w:rsid w:val="009E25A9"/>
    <w:rsid w:val="009E2DE1"/>
    <w:rsid w:val="009E402F"/>
    <w:rsid w:val="009E4C07"/>
    <w:rsid w:val="009E50F7"/>
    <w:rsid w:val="009F0D55"/>
    <w:rsid w:val="009F0FC0"/>
    <w:rsid w:val="009F1F91"/>
    <w:rsid w:val="009F2909"/>
    <w:rsid w:val="00A02C69"/>
    <w:rsid w:val="00A02E2E"/>
    <w:rsid w:val="00A03D43"/>
    <w:rsid w:val="00A04380"/>
    <w:rsid w:val="00A13605"/>
    <w:rsid w:val="00A13948"/>
    <w:rsid w:val="00A13DF2"/>
    <w:rsid w:val="00A14DC9"/>
    <w:rsid w:val="00A15E09"/>
    <w:rsid w:val="00A15F16"/>
    <w:rsid w:val="00A169A8"/>
    <w:rsid w:val="00A20DE1"/>
    <w:rsid w:val="00A24F59"/>
    <w:rsid w:val="00A27AEC"/>
    <w:rsid w:val="00A31FDB"/>
    <w:rsid w:val="00A3362E"/>
    <w:rsid w:val="00A35D16"/>
    <w:rsid w:val="00A377DB"/>
    <w:rsid w:val="00A40FA1"/>
    <w:rsid w:val="00A419D4"/>
    <w:rsid w:val="00A42DD8"/>
    <w:rsid w:val="00A42FF2"/>
    <w:rsid w:val="00A43C59"/>
    <w:rsid w:val="00A50ECD"/>
    <w:rsid w:val="00A519E4"/>
    <w:rsid w:val="00A52729"/>
    <w:rsid w:val="00A52AA4"/>
    <w:rsid w:val="00A53675"/>
    <w:rsid w:val="00A53969"/>
    <w:rsid w:val="00A548FC"/>
    <w:rsid w:val="00A56B6A"/>
    <w:rsid w:val="00A578DC"/>
    <w:rsid w:val="00A63EB9"/>
    <w:rsid w:val="00A656C0"/>
    <w:rsid w:val="00A6584F"/>
    <w:rsid w:val="00A65FAC"/>
    <w:rsid w:val="00A66988"/>
    <w:rsid w:val="00A6725B"/>
    <w:rsid w:val="00A673EF"/>
    <w:rsid w:val="00A702D4"/>
    <w:rsid w:val="00A73F8E"/>
    <w:rsid w:val="00A74606"/>
    <w:rsid w:val="00A75040"/>
    <w:rsid w:val="00A80205"/>
    <w:rsid w:val="00A818C1"/>
    <w:rsid w:val="00A86E8B"/>
    <w:rsid w:val="00A91724"/>
    <w:rsid w:val="00A93072"/>
    <w:rsid w:val="00A93717"/>
    <w:rsid w:val="00A948D7"/>
    <w:rsid w:val="00A959D8"/>
    <w:rsid w:val="00A96065"/>
    <w:rsid w:val="00A973AD"/>
    <w:rsid w:val="00AA20D8"/>
    <w:rsid w:val="00AA2C50"/>
    <w:rsid w:val="00AA3DA6"/>
    <w:rsid w:val="00AA546F"/>
    <w:rsid w:val="00AA7A1A"/>
    <w:rsid w:val="00AB042A"/>
    <w:rsid w:val="00AB0583"/>
    <w:rsid w:val="00AB2D34"/>
    <w:rsid w:val="00AB3220"/>
    <w:rsid w:val="00AB3430"/>
    <w:rsid w:val="00AB5927"/>
    <w:rsid w:val="00AB6498"/>
    <w:rsid w:val="00AB7CFA"/>
    <w:rsid w:val="00AC32D6"/>
    <w:rsid w:val="00AC3DD7"/>
    <w:rsid w:val="00AC3FE3"/>
    <w:rsid w:val="00AD1B9C"/>
    <w:rsid w:val="00AD2B6D"/>
    <w:rsid w:val="00AD476F"/>
    <w:rsid w:val="00AD4828"/>
    <w:rsid w:val="00AF1759"/>
    <w:rsid w:val="00AF456E"/>
    <w:rsid w:val="00B00E65"/>
    <w:rsid w:val="00B047AE"/>
    <w:rsid w:val="00B0624E"/>
    <w:rsid w:val="00B07760"/>
    <w:rsid w:val="00B07E5B"/>
    <w:rsid w:val="00B10134"/>
    <w:rsid w:val="00B1092B"/>
    <w:rsid w:val="00B11074"/>
    <w:rsid w:val="00B16934"/>
    <w:rsid w:val="00B22022"/>
    <w:rsid w:val="00B22174"/>
    <w:rsid w:val="00B226ED"/>
    <w:rsid w:val="00B2310E"/>
    <w:rsid w:val="00B2437E"/>
    <w:rsid w:val="00B244FE"/>
    <w:rsid w:val="00B30FBA"/>
    <w:rsid w:val="00B3108A"/>
    <w:rsid w:val="00B32047"/>
    <w:rsid w:val="00B32C52"/>
    <w:rsid w:val="00B34A6C"/>
    <w:rsid w:val="00B41752"/>
    <w:rsid w:val="00B4185D"/>
    <w:rsid w:val="00B42851"/>
    <w:rsid w:val="00B4285A"/>
    <w:rsid w:val="00B44D11"/>
    <w:rsid w:val="00B44D82"/>
    <w:rsid w:val="00B50DA2"/>
    <w:rsid w:val="00B50DB8"/>
    <w:rsid w:val="00B53905"/>
    <w:rsid w:val="00B54407"/>
    <w:rsid w:val="00B54B5B"/>
    <w:rsid w:val="00B5562E"/>
    <w:rsid w:val="00B57000"/>
    <w:rsid w:val="00B604DC"/>
    <w:rsid w:val="00B60939"/>
    <w:rsid w:val="00B60AFD"/>
    <w:rsid w:val="00B623ED"/>
    <w:rsid w:val="00B62715"/>
    <w:rsid w:val="00B65F97"/>
    <w:rsid w:val="00B71777"/>
    <w:rsid w:val="00B722A8"/>
    <w:rsid w:val="00B727A5"/>
    <w:rsid w:val="00B730D8"/>
    <w:rsid w:val="00B739E3"/>
    <w:rsid w:val="00B73A59"/>
    <w:rsid w:val="00B74AC3"/>
    <w:rsid w:val="00B818A4"/>
    <w:rsid w:val="00B850D0"/>
    <w:rsid w:val="00B85A7A"/>
    <w:rsid w:val="00B8649C"/>
    <w:rsid w:val="00B86FA9"/>
    <w:rsid w:val="00B87FDE"/>
    <w:rsid w:val="00B91F9E"/>
    <w:rsid w:val="00B92CCE"/>
    <w:rsid w:val="00B92D0B"/>
    <w:rsid w:val="00B93859"/>
    <w:rsid w:val="00B94945"/>
    <w:rsid w:val="00B97B01"/>
    <w:rsid w:val="00BA2C2D"/>
    <w:rsid w:val="00BA4913"/>
    <w:rsid w:val="00BA573E"/>
    <w:rsid w:val="00BB623B"/>
    <w:rsid w:val="00BB7405"/>
    <w:rsid w:val="00BC45AE"/>
    <w:rsid w:val="00BC566A"/>
    <w:rsid w:val="00BC5A7C"/>
    <w:rsid w:val="00BC680A"/>
    <w:rsid w:val="00BD5430"/>
    <w:rsid w:val="00BD656B"/>
    <w:rsid w:val="00BD6CF3"/>
    <w:rsid w:val="00BD6FAF"/>
    <w:rsid w:val="00BD7B89"/>
    <w:rsid w:val="00BE137D"/>
    <w:rsid w:val="00BE2180"/>
    <w:rsid w:val="00BE3D22"/>
    <w:rsid w:val="00BE4275"/>
    <w:rsid w:val="00BE607B"/>
    <w:rsid w:val="00BF22F8"/>
    <w:rsid w:val="00BF2433"/>
    <w:rsid w:val="00BF61C9"/>
    <w:rsid w:val="00BF65BC"/>
    <w:rsid w:val="00C00A99"/>
    <w:rsid w:val="00C03479"/>
    <w:rsid w:val="00C04CBF"/>
    <w:rsid w:val="00C05266"/>
    <w:rsid w:val="00C12D55"/>
    <w:rsid w:val="00C136F2"/>
    <w:rsid w:val="00C14B55"/>
    <w:rsid w:val="00C157EE"/>
    <w:rsid w:val="00C15E73"/>
    <w:rsid w:val="00C208C9"/>
    <w:rsid w:val="00C25115"/>
    <w:rsid w:val="00C25418"/>
    <w:rsid w:val="00C25D9C"/>
    <w:rsid w:val="00C26001"/>
    <w:rsid w:val="00C261E4"/>
    <w:rsid w:val="00C31649"/>
    <w:rsid w:val="00C3226D"/>
    <w:rsid w:val="00C32D26"/>
    <w:rsid w:val="00C33E6F"/>
    <w:rsid w:val="00C40385"/>
    <w:rsid w:val="00C45E9E"/>
    <w:rsid w:val="00C4779F"/>
    <w:rsid w:val="00C528D6"/>
    <w:rsid w:val="00C54CAD"/>
    <w:rsid w:val="00C54D8E"/>
    <w:rsid w:val="00C5535A"/>
    <w:rsid w:val="00C60B7D"/>
    <w:rsid w:val="00C63975"/>
    <w:rsid w:val="00C65576"/>
    <w:rsid w:val="00C66165"/>
    <w:rsid w:val="00C6636E"/>
    <w:rsid w:val="00C750C8"/>
    <w:rsid w:val="00C751C2"/>
    <w:rsid w:val="00C7608F"/>
    <w:rsid w:val="00C770E1"/>
    <w:rsid w:val="00C77C60"/>
    <w:rsid w:val="00C80B1D"/>
    <w:rsid w:val="00C8213F"/>
    <w:rsid w:val="00C855E7"/>
    <w:rsid w:val="00C8797A"/>
    <w:rsid w:val="00C905DC"/>
    <w:rsid w:val="00C918A0"/>
    <w:rsid w:val="00C938CF"/>
    <w:rsid w:val="00C94020"/>
    <w:rsid w:val="00C94FE6"/>
    <w:rsid w:val="00C957D0"/>
    <w:rsid w:val="00CA3CF9"/>
    <w:rsid w:val="00CA5245"/>
    <w:rsid w:val="00CA5C72"/>
    <w:rsid w:val="00CA5DD0"/>
    <w:rsid w:val="00CA6CB9"/>
    <w:rsid w:val="00CA7B09"/>
    <w:rsid w:val="00CB0425"/>
    <w:rsid w:val="00CB1035"/>
    <w:rsid w:val="00CB3A5A"/>
    <w:rsid w:val="00CB5B1A"/>
    <w:rsid w:val="00CC07BE"/>
    <w:rsid w:val="00CC2936"/>
    <w:rsid w:val="00CD01B7"/>
    <w:rsid w:val="00CD0E9C"/>
    <w:rsid w:val="00CD2884"/>
    <w:rsid w:val="00CD2E81"/>
    <w:rsid w:val="00CD3BAA"/>
    <w:rsid w:val="00CD4AA5"/>
    <w:rsid w:val="00CD4E24"/>
    <w:rsid w:val="00CD69D3"/>
    <w:rsid w:val="00CD6ADC"/>
    <w:rsid w:val="00CD6CC5"/>
    <w:rsid w:val="00CE35D2"/>
    <w:rsid w:val="00CE6274"/>
    <w:rsid w:val="00CF2A26"/>
    <w:rsid w:val="00CF2E74"/>
    <w:rsid w:val="00CF37BC"/>
    <w:rsid w:val="00CF456B"/>
    <w:rsid w:val="00CF547D"/>
    <w:rsid w:val="00CF5A22"/>
    <w:rsid w:val="00CF5CAC"/>
    <w:rsid w:val="00D01928"/>
    <w:rsid w:val="00D0262E"/>
    <w:rsid w:val="00D03673"/>
    <w:rsid w:val="00D05806"/>
    <w:rsid w:val="00D110BD"/>
    <w:rsid w:val="00D116ED"/>
    <w:rsid w:val="00D17B67"/>
    <w:rsid w:val="00D17D6C"/>
    <w:rsid w:val="00D211DD"/>
    <w:rsid w:val="00D2272A"/>
    <w:rsid w:val="00D24C8F"/>
    <w:rsid w:val="00D277F2"/>
    <w:rsid w:val="00D306EF"/>
    <w:rsid w:val="00D33343"/>
    <w:rsid w:val="00D33825"/>
    <w:rsid w:val="00D33DFD"/>
    <w:rsid w:val="00D34C42"/>
    <w:rsid w:val="00D357FF"/>
    <w:rsid w:val="00D417F0"/>
    <w:rsid w:val="00D42330"/>
    <w:rsid w:val="00D4240C"/>
    <w:rsid w:val="00D4361C"/>
    <w:rsid w:val="00D46A7C"/>
    <w:rsid w:val="00D51CC9"/>
    <w:rsid w:val="00D51D68"/>
    <w:rsid w:val="00D51F46"/>
    <w:rsid w:val="00D52F4E"/>
    <w:rsid w:val="00D52F8A"/>
    <w:rsid w:val="00D53290"/>
    <w:rsid w:val="00D55F94"/>
    <w:rsid w:val="00D6127E"/>
    <w:rsid w:val="00D62553"/>
    <w:rsid w:val="00D63B0E"/>
    <w:rsid w:val="00D64431"/>
    <w:rsid w:val="00D65A07"/>
    <w:rsid w:val="00D65EEA"/>
    <w:rsid w:val="00D72B3A"/>
    <w:rsid w:val="00D72B6C"/>
    <w:rsid w:val="00D76A44"/>
    <w:rsid w:val="00D837BA"/>
    <w:rsid w:val="00D857DB"/>
    <w:rsid w:val="00D85B1A"/>
    <w:rsid w:val="00D87692"/>
    <w:rsid w:val="00D911F5"/>
    <w:rsid w:val="00D92572"/>
    <w:rsid w:val="00D93446"/>
    <w:rsid w:val="00D93753"/>
    <w:rsid w:val="00D944FE"/>
    <w:rsid w:val="00D9471E"/>
    <w:rsid w:val="00D97136"/>
    <w:rsid w:val="00D979B6"/>
    <w:rsid w:val="00DA499D"/>
    <w:rsid w:val="00DA4DE6"/>
    <w:rsid w:val="00DA58E5"/>
    <w:rsid w:val="00DA77A5"/>
    <w:rsid w:val="00DA7AFF"/>
    <w:rsid w:val="00DB2634"/>
    <w:rsid w:val="00DB5204"/>
    <w:rsid w:val="00DC03FB"/>
    <w:rsid w:val="00DC1A19"/>
    <w:rsid w:val="00DC2820"/>
    <w:rsid w:val="00DC2E11"/>
    <w:rsid w:val="00DC3481"/>
    <w:rsid w:val="00DC5501"/>
    <w:rsid w:val="00DC6419"/>
    <w:rsid w:val="00DC7467"/>
    <w:rsid w:val="00DD18FA"/>
    <w:rsid w:val="00DD31E8"/>
    <w:rsid w:val="00DD3F28"/>
    <w:rsid w:val="00DD4537"/>
    <w:rsid w:val="00DD4CC9"/>
    <w:rsid w:val="00DD4E15"/>
    <w:rsid w:val="00DD4FCD"/>
    <w:rsid w:val="00DD5B61"/>
    <w:rsid w:val="00DE04E7"/>
    <w:rsid w:val="00DE387C"/>
    <w:rsid w:val="00DE4FCB"/>
    <w:rsid w:val="00DE6433"/>
    <w:rsid w:val="00DE6D53"/>
    <w:rsid w:val="00DF0558"/>
    <w:rsid w:val="00DF0F41"/>
    <w:rsid w:val="00DF3BD7"/>
    <w:rsid w:val="00DF400B"/>
    <w:rsid w:val="00DF5D2B"/>
    <w:rsid w:val="00DF6348"/>
    <w:rsid w:val="00DF7709"/>
    <w:rsid w:val="00DF7832"/>
    <w:rsid w:val="00E02301"/>
    <w:rsid w:val="00E03126"/>
    <w:rsid w:val="00E03B55"/>
    <w:rsid w:val="00E10149"/>
    <w:rsid w:val="00E11620"/>
    <w:rsid w:val="00E12B4C"/>
    <w:rsid w:val="00E1402F"/>
    <w:rsid w:val="00E1419C"/>
    <w:rsid w:val="00E15D0C"/>
    <w:rsid w:val="00E16372"/>
    <w:rsid w:val="00E20ED6"/>
    <w:rsid w:val="00E21358"/>
    <w:rsid w:val="00E2249B"/>
    <w:rsid w:val="00E22A0D"/>
    <w:rsid w:val="00E2771E"/>
    <w:rsid w:val="00E300A4"/>
    <w:rsid w:val="00E31485"/>
    <w:rsid w:val="00E31E76"/>
    <w:rsid w:val="00E33B85"/>
    <w:rsid w:val="00E353D6"/>
    <w:rsid w:val="00E35C42"/>
    <w:rsid w:val="00E362A4"/>
    <w:rsid w:val="00E37569"/>
    <w:rsid w:val="00E41E30"/>
    <w:rsid w:val="00E43D70"/>
    <w:rsid w:val="00E44743"/>
    <w:rsid w:val="00E47B2C"/>
    <w:rsid w:val="00E47B75"/>
    <w:rsid w:val="00E51560"/>
    <w:rsid w:val="00E54399"/>
    <w:rsid w:val="00E55424"/>
    <w:rsid w:val="00E55BB5"/>
    <w:rsid w:val="00E5612F"/>
    <w:rsid w:val="00E60B66"/>
    <w:rsid w:val="00E61D4D"/>
    <w:rsid w:val="00E65E79"/>
    <w:rsid w:val="00E67416"/>
    <w:rsid w:val="00E67930"/>
    <w:rsid w:val="00E718B6"/>
    <w:rsid w:val="00E73581"/>
    <w:rsid w:val="00E7638C"/>
    <w:rsid w:val="00E77BD2"/>
    <w:rsid w:val="00E77BFA"/>
    <w:rsid w:val="00E8015A"/>
    <w:rsid w:val="00E822CE"/>
    <w:rsid w:val="00E82D3B"/>
    <w:rsid w:val="00E831D2"/>
    <w:rsid w:val="00E83BDF"/>
    <w:rsid w:val="00E86804"/>
    <w:rsid w:val="00E87612"/>
    <w:rsid w:val="00E91CFC"/>
    <w:rsid w:val="00E93386"/>
    <w:rsid w:val="00E960AE"/>
    <w:rsid w:val="00E9681F"/>
    <w:rsid w:val="00E968D6"/>
    <w:rsid w:val="00E9709E"/>
    <w:rsid w:val="00E9744A"/>
    <w:rsid w:val="00EA035A"/>
    <w:rsid w:val="00EA3864"/>
    <w:rsid w:val="00EA4ECA"/>
    <w:rsid w:val="00EA7D4A"/>
    <w:rsid w:val="00EB15B6"/>
    <w:rsid w:val="00EB3B02"/>
    <w:rsid w:val="00EB435F"/>
    <w:rsid w:val="00EB4916"/>
    <w:rsid w:val="00EB73E9"/>
    <w:rsid w:val="00EC00C7"/>
    <w:rsid w:val="00EC00C9"/>
    <w:rsid w:val="00EC06FF"/>
    <w:rsid w:val="00EC09F4"/>
    <w:rsid w:val="00EC1080"/>
    <w:rsid w:val="00EC13E3"/>
    <w:rsid w:val="00EC1572"/>
    <w:rsid w:val="00EC4B92"/>
    <w:rsid w:val="00EC4D15"/>
    <w:rsid w:val="00EC4D8D"/>
    <w:rsid w:val="00EC50F3"/>
    <w:rsid w:val="00ED143D"/>
    <w:rsid w:val="00ED58B6"/>
    <w:rsid w:val="00ED6537"/>
    <w:rsid w:val="00ED73A2"/>
    <w:rsid w:val="00EE07D3"/>
    <w:rsid w:val="00EE0C80"/>
    <w:rsid w:val="00EE3FFF"/>
    <w:rsid w:val="00EE696E"/>
    <w:rsid w:val="00EF272A"/>
    <w:rsid w:val="00EF4A31"/>
    <w:rsid w:val="00EF5279"/>
    <w:rsid w:val="00EF55B0"/>
    <w:rsid w:val="00EF6091"/>
    <w:rsid w:val="00EF77CF"/>
    <w:rsid w:val="00F00F59"/>
    <w:rsid w:val="00F022C3"/>
    <w:rsid w:val="00F03F66"/>
    <w:rsid w:val="00F067A2"/>
    <w:rsid w:val="00F070A1"/>
    <w:rsid w:val="00F070A8"/>
    <w:rsid w:val="00F10E22"/>
    <w:rsid w:val="00F11309"/>
    <w:rsid w:val="00F12CB8"/>
    <w:rsid w:val="00F14DDC"/>
    <w:rsid w:val="00F151F4"/>
    <w:rsid w:val="00F15981"/>
    <w:rsid w:val="00F24837"/>
    <w:rsid w:val="00F253E6"/>
    <w:rsid w:val="00F2575F"/>
    <w:rsid w:val="00F25A8A"/>
    <w:rsid w:val="00F3067C"/>
    <w:rsid w:val="00F33DE9"/>
    <w:rsid w:val="00F34EAC"/>
    <w:rsid w:val="00F3619A"/>
    <w:rsid w:val="00F36BB8"/>
    <w:rsid w:val="00F36DBA"/>
    <w:rsid w:val="00F40387"/>
    <w:rsid w:val="00F40BE8"/>
    <w:rsid w:val="00F41195"/>
    <w:rsid w:val="00F412CC"/>
    <w:rsid w:val="00F433FB"/>
    <w:rsid w:val="00F4437D"/>
    <w:rsid w:val="00F459BC"/>
    <w:rsid w:val="00F46CB6"/>
    <w:rsid w:val="00F4778B"/>
    <w:rsid w:val="00F51332"/>
    <w:rsid w:val="00F54DEE"/>
    <w:rsid w:val="00F550AE"/>
    <w:rsid w:val="00F55E73"/>
    <w:rsid w:val="00F56A60"/>
    <w:rsid w:val="00F60092"/>
    <w:rsid w:val="00F60ADE"/>
    <w:rsid w:val="00F60F3F"/>
    <w:rsid w:val="00F62519"/>
    <w:rsid w:val="00F62B6C"/>
    <w:rsid w:val="00F64A3F"/>
    <w:rsid w:val="00F654EB"/>
    <w:rsid w:val="00F71078"/>
    <w:rsid w:val="00F720C6"/>
    <w:rsid w:val="00F74B17"/>
    <w:rsid w:val="00F768FA"/>
    <w:rsid w:val="00F7759C"/>
    <w:rsid w:val="00F77B95"/>
    <w:rsid w:val="00F801F6"/>
    <w:rsid w:val="00F80CC2"/>
    <w:rsid w:val="00F80E5D"/>
    <w:rsid w:val="00F8125C"/>
    <w:rsid w:val="00F851CE"/>
    <w:rsid w:val="00F85293"/>
    <w:rsid w:val="00F85CC8"/>
    <w:rsid w:val="00F86295"/>
    <w:rsid w:val="00F8648C"/>
    <w:rsid w:val="00F918CA"/>
    <w:rsid w:val="00F9269C"/>
    <w:rsid w:val="00F9524D"/>
    <w:rsid w:val="00F95339"/>
    <w:rsid w:val="00F9555B"/>
    <w:rsid w:val="00F955C9"/>
    <w:rsid w:val="00F9726C"/>
    <w:rsid w:val="00F97A78"/>
    <w:rsid w:val="00FA24E7"/>
    <w:rsid w:val="00FA25C6"/>
    <w:rsid w:val="00FA6554"/>
    <w:rsid w:val="00FA76B1"/>
    <w:rsid w:val="00FA7B52"/>
    <w:rsid w:val="00FB056F"/>
    <w:rsid w:val="00FB0CCC"/>
    <w:rsid w:val="00FB2FCB"/>
    <w:rsid w:val="00FB78EA"/>
    <w:rsid w:val="00FC1074"/>
    <w:rsid w:val="00FC12C2"/>
    <w:rsid w:val="00FC1884"/>
    <w:rsid w:val="00FC21EA"/>
    <w:rsid w:val="00FC483B"/>
    <w:rsid w:val="00FC5ACF"/>
    <w:rsid w:val="00FD07ED"/>
    <w:rsid w:val="00FD2100"/>
    <w:rsid w:val="00FD446D"/>
    <w:rsid w:val="00FD5917"/>
    <w:rsid w:val="00FD6627"/>
    <w:rsid w:val="00FD6B81"/>
    <w:rsid w:val="00FE1675"/>
    <w:rsid w:val="00FE3BBC"/>
    <w:rsid w:val="00FE5FCF"/>
    <w:rsid w:val="00FE7FD8"/>
    <w:rsid w:val="00FF394F"/>
    <w:rsid w:val="00FF3DCF"/>
    <w:rsid w:val="00FF44DC"/>
    <w:rsid w:val="00FF56C5"/>
    <w:rsid w:val="00FF5AA3"/>
    <w:rsid w:val="00FF6B68"/>
    <w:rsid w:val="00FF7F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03F66"/>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1"/>
      </w:numPr>
    </w:pPr>
    <w:rPr>
      <w:rFonts w:ascii="Arial" w:hAnsi="Arial" w:cs="Arial"/>
      <w:b/>
      <w:snapToGrid w:val="0"/>
      <w:sz w:val="22"/>
      <w:szCs w:val="22"/>
      <w:lang w:eastAsia="en-US"/>
    </w:rPr>
  </w:style>
  <w:style w:type="character" w:customStyle="1" w:styleId="Heading5Char">
    <w:name w:val="Heading 5 Char"/>
    <w:basedOn w:val="DefaultParagraphFont"/>
    <w:link w:val="Heading5"/>
    <w:rsid w:val="007517D2"/>
    <w:rPr>
      <w:rFonts w:ascii="Arial" w:hAnsi="Arial" w:cs="Arial"/>
      <w:b/>
      <w:bCs/>
      <w:iCs/>
      <w:snapToGrid w:val="0"/>
      <w:sz w:val="26"/>
      <w:szCs w:val="26"/>
      <w:lang w:eastAsia="en-US"/>
    </w:rPr>
  </w:style>
  <w:style w:type="character" w:customStyle="1" w:styleId="TableTextChar0">
    <w:name w:val="TableText Char"/>
    <w:basedOn w:val="DefaultParagraphFont"/>
    <w:link w:val="TableText0"/>
    <w:rsid w:val="002F48FC"/>
    <w:rPr>
      <w:rFonts w:ascii="Arial Narrow" w:hAnsi="Arial Narrow" w:cs="Arial Narrow"/>
      <w:lang w:eastAsia="en-US"/>
    </w:rPr>
  </w:style>
  <w:style w:type="paragraph" w:customStyle="1" w:styleId="TableDash">
    <w:name w:val="TableDash"/>
    <w:basedOn w:val="TableText0"/>
    <w:rsid w:val="002F48FC"/>
    <w:pPr>
      <w:tabs>
        <w:tab w:val="num" w:pos="360"/>
      </w:tabs>
      <w:spacing w:line="360" w:lineRule="auto"/>
      <w:ind w:left="216" w:hanging="216"/>
      <w:jc w:val="both"/>
    </w:pPr>
  </w:style>
  <w:style w:type="character" w:styleId="FollowedHyperlink">
    <w:name w:val="FollowedHyperlink"/>
    <w:basedOn w:val="DefaultParagraphFont"/>
    <w:semiHidden/>
    <w:unhideWhenUsed/>
    <w:rsid w:val="002B4121"/>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874E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1F163E"/>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03F66"/>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1"/>
      </w:numPr>
    </w:pPr>
    <w:rPr>
      <w:rFonts w:ascii="Arial" w:hAnsi="Arial" w:cs="Arial"/>
      <w:b/>
      <w:snapToGrid w:val="0"/>
      <w:sz w:val="22"/>
      <w:szCs w:val="22"/>
      <w:lang w:eastAsia="en-US"/>
    </w:rPr>
  </w:style>
  <w:style w:type="character" w:customStyle="1" w:styleId="Heading5Char">
    <w:name w:val="Heading 5 Char"/>
    <w:basedOn w:val="DefaultParagraphFont"/>
    <w:link w:val="Heading5"/>
    <w:rsid w:val="007517D2"/>
    <w:rPr>
      <w:rFonts w:ascii="Arial" w:hAnsi="Arial" w:cs="Arial"/>
      <w:b/>
      <w:bCs/>
      <w:iCs/>
      <w:snapToGrid w:val="0"/>
      <w:sz w:val="26"/>
      <w:szCs w:val="26"/>
      <w:lang w:eastAsia="en-US"/>
    </w:rPr>
  </w:style>
  <w:style w:type="character" w:customStyle="1" w:styleId="TableTextChar0">
    <w:name w:val="TableText Char"/>
    <w:basedOn w:val="DefaultParagraphFont"/>
    <w:link w:val="TableText0"/>
    <w:rsid w:val="002F48FC"/>
    <w:rPr>
      <w:rFonts w:ascii="Arial Narrow" w:hAnsi="Arial Narrow" w:cs="Arial Narrow"/>
      <w:lang w:eastAsia="en-US"/>
    </w:rPr>
  </w:style>
  <w:style w:type="paragraph" w:customStyle="1" w:styleId="TableDash">
    <w:name w:val="TableDash"/>
    <w:basedOn w:val="TableText0"/>
    <w:rsid w:val="002F48FC"/>
    <w:pPr>
      <w:tabs>
        <w:tab w:val="num" w:pos="360"/>
      </w:tabs>
      <w:spacing w:line="360" w:lineRule="auto"/>
      <w:ind w:left="216" w:hanging="216"/>
      <w:jc w:val="both"/>
    </w:pPr>
  </w:style>
  <w:style w:type="character" w:styleId="FollowedHyperlink">
    <w:name w:val="FollowedHyperlink"/>
    <w:basedOn w:val="DefaultParagraphFont"/>
    <w:semiHidden/>
    <w:unhideWhenUsed/>
    <w:rsid w:val="002B4121"/>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874E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1F163E"/>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910">
      <w:bodyDiv w:val="1"/>
      <w:marLeft w:val="0"/>
      <w:marRight w:val="0"/>
      <w:marTop w:val="0"/>
      <w:marBottom w:val="0"/>
      <w:divBdr>
        <w:top w:val="none" w:sz="0" w:space="0" w:color="auto"/>
        <w:left w:val="none" w:sz="0" w:space="0" w:color="auto"/>
        <w:bottom w:val="none" w:sz="0" w:space="0" w:color="auto"/>
        <w:right w:val="none" w:sz="0" w:space="0" w:color="auto"/>
      </w:divBdr>
      <w:divsChild>
        <w:div w:id="630791900">
          <w:marLeft w:val="533"/>
          <w:marRight w:val="0"/>
          <w:marTop w:val="134"/>
          <w:marBottom w:val="0"/>
          <w:divBdr>
            <w:top w:val="none" w:sz="0" w:space="0" w:color="auto"/>
            <w:left w:val="none" w:sz="0" w:space="0" w:color="auto"/>
            <w:bottom w:val="none" w:sz="0" w:space="0" w:color="auto"/>
            <w:right w:val="none" w:sz="0" w:space="0" w:color="auto"/>
          </w:divBdr>
        </w:div>
      </w:divsChild>
    </w:div>
    <w:div w:id="259873712">
      <w:bodyDiv w:val="1"/>
      <w:marLeft w:val="0"/>
      <w:marRight w:val="0"/>
      <w:marTop w:val="0"/>
      <w:marBottom w:val="0"/>
      <w:divBdr>
        <w:top w:val="none" w:sz="0" w:space="0" w:color="auto"/>
        <w:left w:val="none" w:sz="0" w:space="0" w:color="auto"/>
        <w:bottom w:val="none" w:sz="0" w:space="0" w:color="auto"/>
        <w:right w:val="none" w:sz="0" w:space="0" w:color="auto"/>
      </w:divBdr>
    </w:div>
    <w:div w:id="274681538">
      <w:bodyDiv w:val="1"/>
      <w:marLeft w:val="0"/>
      <w:marRight w:val="0"/>
      <w:marTop w:val="0"/>
      <w:marBottom w:val="0"/>
      <w:divBdr>
        <w:top w:val="none" w:sz="0" w:space="0" w:color="auto"/>
        <w:left w:val="none" w:sz="0" w:space="0" w:color="auto"/>
        <w:bottom w:val="none" w:sz="0" w:space="0" w:color="auto"/>
        <w:right w:val="none" w:sz="0" w:space="0" w:color="auto"/>
      </w:divBdr>
      <w:divsChild>
        <w:div w:id="433552788">
          <w:marLeft w:val="0"/>
          <w:marRight w:val="0"/>
          <w:marTop w:val="0"/>
          <w:marBottom w:val="0"/>
          <w:divBdr>
            <w:top w:val="none" w:sz="0" w:space="0" w:color="auto"/>
            <w:left w:val="none" w:sz="0" w:space="0" w:color="auto"/>
            <w:bottom w:val="none" w:sz="0" w:space="0" w:color="auto"/>
            <w:right w:val="none" w:sz="0" w:space="0" w:color="auto"/>
          </w:divBdr>
        </w:div>
        <w:div w:id="577327971">
          <w:marLeft w:val="0"/>
          <w:marRight w:val="0"/>
          <w:marTop w:val="0"/>
          <w:marBottom w:val="0"/>
          <w:divBdr>
            <w:top w:val="none" w:sz="0" w:space="0" w:color="auto"/>
            <w:left w:val="none" w:sz="0" w:space="0" w:color="auto"/>
            <w:bottom w:val="none" w:sz="0" w:space="0" w:color="auto"/>
            <w:right w:val="none" w:sz="0" w:space="0" w:color="auto"/>
          </w:divBdr>
        </w:div>
        <w:div w:id="799766000">
          <w:marLeft w:val="0"/>
          <w:marRight w:val="0"/>
          <w:marTop w:val="0"/>
          <w:marBottom w:val="0"/>
          <w:divBdr>
            <w:top w:val="none" w:sz="0" w:space="0" w:color="auto"/>
            <w:left w:val="none" w:sz="0" w:space="0" w:color="auto"/>
            <w:bottom w:val="none" w:sz="0" w:space="0" w:color="auto"/>
            <w:right w:val="none" w:sz="0" w:space="0" w:color="auto"/>
          </w:divBdr>
        </w:div>
        <w:div w:id="1297301092">
          <w:marLeft w:val="0"/>
          <w:marRight w:val="0"/>
          <w:marTop w:val="0"/>
          <w:marBottom w:val="0"/>
          <w:divBdr>
            <w:top w:val="none" w:sz="0" w:space="0" w:color="auto"/>
            <w:left w:val="none" w:sz="0" w:space="0" w:color="auto"/>
            <w:bottom w:val="none" w:sz="0" w:space="0" w:color="auto"/>
            <w:right w:val="none" w:sz="0" w:space="0" w:color="auto"/>
          </w:divBdr>
        </w:div>
      </w:divsChild>
    </w:div>
    <w:div w:id="330988274">
      <w:bodyDiv w:val="1"/>
      <w:marLeft w:val="0"/>
      <w:marRight w:val="0"/>
      <w:marTop w:val="0"/>
      <w:marBottom w:val="0"/>
      <w:divBdr>
        <w:top w:val="none" w:sz="0" w:space="0" w:color="auto"/>
        <w:left w:val="none" w:sz="0" w:space="0" w:color="auto"/>
        <w:bottom w:val="none" w:sz="0" w:space="0" w:color="auto"/>
        <w:right w:val="none" w:sz="0" w:space="0" w:color="auto"/>
      </w:divBdr>
      <w:divsChild>
        <w:div w:id="1060521182">
          <w:marLeft w:val="533"/>
          <w:marRight w:val="0"/>
          <w:marTop w:val="134"/>
          <w:marBottom w:val="0"/>
          <w:divBdr>
            <w:top w:val="none" w:sz="0" w:space="0" w:color="auto"/>
            <w:left w:val="none" w:sz="0" w:space="0" w:color="auto"/>
            <w:bottom w:val="none" w:sz="0" w:space="0" w:color="auto"/>
            <w:right w:val="none" w:sz="0" w:space="0" w:color="auto"/>
          </w:divBdr>
        </w:div>
      </w:divsChild>
    </w:div>
    <w:div w:id="547688581">
      <w:bodyDiv w:val="1"/>
      <w:marLeft w:val="0"/>
      <w:marRight w:val="0"/>
      <w:marTop w:val="0"/>
      <w:marBottom w:val="0"/>
      <w:divBdr>
        <w:top w:val="none" w:sz="0" w:space="0" w:color="auto"/>
        <w:left w:val="none" w:sz="0" w:space="0" w:color="auto"/>
        <w:bottom w:val="none" w:sz="0" w:space="0" w:color="auto"/>
        <w:right w:val="none" w:sz="0" w:space="0" w:color="auto"/>
      </w:divBdr>
    </w:div>
    <w:div w:id="570428965">
      <w:bodyDiv w:val="1"/>
      <w:marLeft w:val="0"/>
      <w:marRight w:val="0"/>
      <w:marTop w:val="0"/>
      <w:marBottom w:val="0"/>
      <w:divBdr>
        <w:top w:val="none" w:sz="0" w:space="0" w:color="auto"/>
        <w:left w:val="none" w:sz="0" w:space="0" w:color="auto"/>
        <w:bottom w:val="none" w:sz="0" w:space="0" w:color="auto"/>
        <w:right w:val="none" w:sz="0" w:space="0" w:color="auto"/>
      </w:divBdr>
    </w:div>
    <w:div w:id="718358139">
      <w:bodyDiv w:val="1"/>
      <w:marLeft w:val="0"/>
      <w:marRight w:val="0"/>
      <w:marTop w:val="0"/>
      <w:marBottom w:val="0"/>
      <w:divBdr>
        <w:top w:val="none" w:sz="0" w:space="0" w:color="auto"/>
        <w:left w:val="none" w:sz="0" w:space="0" w:color="auto"/>
        <w:bottom w:val="none" w:sz="0" w:space="0" w:color="auto"/>
        <w:right w:val="none" w:sz="0" w:space="0" w:color="auto"/>
      </w:divBdr>
    </w:div>
    <w:div w:id="758521380">
      <w:bodyDiv w:val="1"/>
      <w:marLeft w:val="0"/>
      <w:marRight w:val="0"/>
      <w:marTop w:val="0"/>
      <w:marBottom w:val="0"/>
      <w:divBdr>
        <w:top w:val="none" w:sz="0" w:space="0" w:color="auto"/>
        <w:left w:val="none" w:sz="0" w:space="0" w:color="auto"/>
        <w:bottom w:val="none" w:sz="0" w:space="0" w:color="auto"/>
        <w:right w:val="none" w:sz="0" w:space="0" w:color="auto"/>
      </w:divBdr>
    </w:div>
    <w:div w:id="775904523">
      <w:bodyDiv w:val="1"/>
      <w:marLeft w:val="0"/>
      <w:marRight w:val="0"/>
      <w:marTop w:val="0"/>
      <w:marBottom w:val="0"/>
      <w:divBdr>
        <w:top w:val="none" w:sz="0" w:space="0" w:color="auto"/>
        <w:left w:val="none" w:sz="0" w:space="0" w:color="auto"/>
        <w:bottom w:val="none" w:sz="0" w:space="0" w:color="auto"/>
        <w:right w:val="none" w:sz="0" w:space="0" w:color="auto"/>
      </w:divBdr>
      <w:divsChild>
        <w:div w:id="751203194">
          <w:marLeft w:val="1800"/>
          <w:marRight w:val="0"/>
          <w:marTop w:val="96"/>
          <w:marBottom w:val="0"/>
          <w:divBdr>
            <w:top w:val="none" w:sz="0" w:space="0" w:color="auto"/>
            <w:left w:val="none" w:sz="0" w:space="0" w:color="auto"/>
            <w:bottom w:val="none" w:sz="0" w:space="0" w:color="auto"/>
            <w:right w:val="none" w:sz="0" w:space="0" w:color="auto"/>
          </w:divBdr>
        </w:div>
      </w:divsChild>
    </w:div>
    <w:div w:id="851992672">
      <w:bodyDiv w:val="1"/>
      <w:marLeft w:val="0"/>
      <w:marRight w:val="0"/>
      <w:marTop w:val="0"/>
      <w:marBottom w:val="0"/>
      <w:divBdr>
        <w:top w:val="none" w:sz="0" w:space="0" w:color="auto"/>
        <w:left w:val="none" w:sz="0" w:space="0" w:color="auto"/>
        <w:bottom w:val="none" w:sz="0" w:space="0" w:color="auto"/>
        <w:right w:val="none" w:sz="0" w:space="0" w:color="auto"/>
      </w:divBdr>
      <w:divsChild>
        <w:div w:id="118837829">
          <w:marLeft w:val="1800"/>
          <w:marRight w:val="0"/>
          <w:marTop w:val="96"/>
          <w:marBottom w:val="0"/>
          <w:divBdr>
            <w:top w:val="none" w:sz="0" w:space="0" w:color="auto"/>
            <w:left w:val="none" w:sz="0" w:space="0" w:color="auto"/>
            <w:bottom w:val="none" w:sz="0" w:space="0" w:color="auto"/>
            <w:right w:val="none" w:sz="0" w:space="0" w:color="auto"/>
          </w:divBdr>
        </w:div>
      </w:divsChild>
    </w:div>
    <w:div w:id="960381754">
      <w:bodyDiv w:val="1"/>
      <w:marLeft w:val="0"/>
      <w:marRight w:val="0"/>
      <w:marTop w:val="0"/>
      <w:marBottom w:val="0"/>
      <w:divBdr>
        <w:top w:val="none" w:sz="0" w:space="0" w:color="auto"/>
        <w:left w:val="none" w:sz="0" w:space="0" w:color="auto"/>
        <w:bottom w:val="none" w:sz="0" w:space="0" w:color="auto"/>
        <w:right w:val="none" w:sz="0" w:space="0" w:color="auto"/>
      </w:divBdr>
      <w:divsChild>
        <w:div w:id="1662588013">
          <w:marLeft w:val="547"/>
          <w:marRight w:val="0"/>
          <w:marTop w:val="134"/>
          <w:marBottom w:val="0"/>
          <w:divBdr>
            <w:top w:val="none" w:sz="0" w:space="0" w:color="auto"/>
            <w:left w:val="none" w:sz="0" w:space="0" w:color="auto"/>
            <w:bottom w:val="none" w:sz="0" w:space="0" w:color="auto"/>
            <w:right w:val="none" w:sz="0" w:space="0" w:color="auto"/>
          </w:divBdr>
        </w:div>
      </w:divsChild>
    </w:div>
    <w:div w:id="1052849975">
      <w:bodyDiv w:val="1"/>
      <w:marLeft w:val="0"/>
      <w:marRight w:val="0"/>
      <w:marTop w:val="0"/>
      <w:marBottom w:val="0"/>
      <w:divBdr>
        <w:top w:val="none" w:sz="0" w:space="0" w:color="auto"/>
        <w:left w:val="none" w:sz="0" w:space="0" w:color="auto"/>
        <w:bottom w:val="none" w:sz="0" w:space="0" w:color="auto"/>
        <w:right w:val="none" w:sz="0" w:space="0" w:color="auto"/>
      </w:divBdr>
    </w:div>
    <w:div w:id="1158889310">
      <w:bodyDiv w:val="1"/>
      <w:marLeft w:val="0"/>
      <w:marRight w:val="0"/>
      <w:marTop w:val="0"/>
      <w:marBottom w:val="0"/>
      <w:divBdr>
        <w:top w:val="none" w:sz="0" w:space="0" w:color="auto"/>
        <w:left w:val="none" w:sz="0" w:space="0" w:color="auto"/>
        <w:bottom w:val="none" w:sz="0" w:space="0" w:color="auto"/>
        <w:right w:val="none" w:sz="0" w:space="0" w:color="auto"/>
      </w:divBdr>
      <w:divsChild>
        <w:div w:id="277107012">
          <w:marLeft w:val="0"/>
          <w:marRight w:val="0"/>
          <w:marTop w:val="0"/>
          <w:marBottom w:val="0"/>
          <w:divBdr>
            <w:top w:val="none" w:sz="0" w:space="0" w:color="auto"/>
            <w:left w:val="none" w:sz="0" w:space="0" w:color="auto"/>
            <w:bottom w:val="none" w:sz="0" w:space="0" w:color="auto"/>
            <w:right w:val="none" w:sz="0" w:space="0" w:color="auto"/>
          </w:divBdr>
        </w:div>
        <w:div w:id="306204037">
          <w:marLeft w:val="0"/>
          <w:marRight w:val="0"/>
          <w:marTop w:val="0"/>
          <w:marBottom w:val="0"/>
          <w:divBdr>
            <w:top w:val="none" w:sz="0" w:space="0" w:color="auto"/>
            <w:left w:val="none" w:sz="0" w:space="0" w:color="auto"/>
            <w:bottom w:val="none" w:sz="0" w:space="0" w:color="auto"/>
            <w:right w:val="none" w:sz="0" w:space="0" w:color="auto"/>
          </w:divBdr>
        </w:div>
        <w:div w:id="539123726">
          <w:marLeft w:val="0"/>
          <w:marRight w:val="0"/>
          <w:marTop w:val="0"/>
          <w:marBottom w:val="0"/>
          <w:divBdr>
            <w:top w:val="none" w:sz="0" w:space="0" w:color="auto"/>
            <w:left w:val="none" w:sz="0" w:space="0" w:color="auto"/>
            <w:bottom w:val="none" w:sz="0" w:space="0" w:color="auto"/>
            <w:right w:val="none" w:sz="0" w:space="0" w:color="auto"/>
          </w:divBdr>
        </w:div>
        <w:div w:id="1382747902">
          <w:marLeft w:val="0"/>
          <w:marRight w:val="0"/>
          <w:marTop w:val="0"/>
          <w:marBottom w:val="0"/>
          <w:divBdr>
            <w:top w:val="none" w:sz="0" w:space="0" w:color="auto"/>
            <w:left w:val="none" w:sz="0" w:space="0" w:color="auto"/>
            <w:bottom w:val="none" w:sz="0" w:space="0" w:color="auto"/>
            <w:right w:val="none" w:sz="0" w:space="0" w:color="auto"/>
          </w:divBdr>
        </w:div>
      </w:divsChild>
    </w:div>
    <w:div w:id="1297370297">
      <w:bodyDiv w:val="1"/>
      <w:marLeft w:val="0"/>
      <w:marRight w:val="0"/>
      <w:marTop w:val="0"/>
      <w:marBottom w:val="0"/>
      <w:divBdr>
        <w:top w:val="none" w:sz="0" w:space="0" w:color="auto"/>
        <w:left w:val="none" w:sz="0" w:space="0" w:color="auto"/>
        <w:bottom w:val="none" w:sz="0" w:space="0" w:color="auto"/>
        <w:right w:val="none" w:sz="0" w:space="0" w:color="auto"/>
      </w:divBdr>
      <w:divsChild>
        <w:div w:id="1061831787">
          <w:marLeft w:val="533"/>
          <w:marRight w:val="0"/>
          <w:marTop w:val="115"/>
          <w:marBottom w:val="0"/>
          <w:divBdr>
            <w:top w:val="none" w:sz="0" w:space="0" w:color="auto"/>
            <w:left w:val="none" w:sz="0" w:space="0" w:color="auto"/>
            <w:bottom w:val="none" w:sz="0" w:space="0" w:color="auto"/>
            <w:right w:val="none" w:sz="0" w:space="0" w:color="auto"/>
          </w:divBdr>
        </w:div>
      </w:divsChild>
    </w:div>
    <w:div w:id="1713462181">
      <w:bodyDiv w:val="1"/>
      <w:marLeft w:val="0"/>
      <w:marRight w:val="0"/>
      <w:marTop w:val="0"/>
      <w:marBottom w:val="0"/>
      <w:divBdr>
        <w:top w:val="none" w:sz="0" w:space="0" w:color="auto"/>
        <w:left w:val="none" w:sz="0" w:space="0" w:color="auto"/>
        <w:bottom w:val="none" w:sz="0" w:space="0" w:color="auto"/>
        <w:right w:val="none" w:sz="0" w:space="0" w:color="auto"/>
      </w:divBdr>
    </w:div>
    <w:div w:id="19578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4F10-9A18-4B88-8D10-4F606525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8343</Words>
  <Characters>45984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2015-02-23T22:52:00Z</dcterms:created>
  <dcterms:modified xsi:type="dcterms:W3CDTF">2015-03-13T01:22:00Z</dcterms:modified>
</cp:coreProperties>
</file>