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30" w:rsidRDefault="00031528" w:rsidP="007C0F57">
      <w:pPr>
        <w:ind w:left="720" w:hanging="720"/>
        <w:rPr>
          <w:rFonts w:ascii="Arial" w:hAnsi="Arial"/>
          <w:b/>
          <w:sz w:val="28"/>
          <w:szCs w:val="28"/>
        </w:rPr>
      </w:pPr>
      <w:bookmarkStart w:id="0" w:name="_GoBack"/>
      <w:bookmarkEnd w:id="0"/>
      <w:r>
        <w:rPr>
          <w:rFonts w:ascii="Arial" w:hAnsi="Arial"/>
          <w:b/>
          <w:sz w:val="28"/>
          <w:szCs w:val="28"/>
        </w:rPr>
        <w:t>6.13</w:t>
      </w:r>
      <w:r w:rsidR="007C0F57" w:rsidRPr="006D6EC7">
        <w:rPr>
          <w:rFonts w:ascii="Arial" w:hAnsi="Arial"/>
          <w:b/>
          <w:sz w:val="28"/>
          <w:szCs w:val="28"/>
        </w:rPr>
        <w:tab/>
      </w:r>
      <w:r>
        <w:rPr>
          <w:rFonts w:ascii="Arial" w:hAnsi="Arial"/>
          <w:b/>
          <w:sz w:val="28"/>
          <w:szCs w:val="28"/>
        </w:rPr>
        <w:t>OXYCODONE</w:t>
      </w:r>
    </w:p>
    <w:p w:rsidR="00D3280C" w:rsidRPr="006D6EC7" w:rsidRDefault="00031528" w:rsidP="00135B30">
      <w:pPr>
        <w:ind w:left="720"/>
        <w:rPr>
          <w:rFonts w:ascii="Arial" w:hAnsi="Arial"/>
          <w:b/>
          <w:sz w:val="28"/>
          <w:szCs w:val="28"/>
        </w:rPr>
      </w:pPr>
      <w:proofErr w:type="gramStart"/>
      <w:r>
        <w:rPr>
          <w:rFonts w:ascii="Arial" w:hAnsi="Arial"/>
          <w:b/>
          <w:sz w:val="28"/>
          <w:szCs w:val="28"/>
        </w:rPr>
        <w:t>modified</w:t>
      </w:r>
      <w:proofErr w:type="gramEnd"/>
      <w:r>
        <w:rPr>
          <w:rFonts w:ascii="Arial" w:hAnsi="Arial"/>
          <w:b/>
          <w:sz w:val="28"/>
          <w:szCs w:val="28"/>
        </w:rPr>
        <w:t xml:space="preserve"> release tablets</w:t>
      </w:r>
      <w:r w:rsidR="0004240E" w:rsidRPr="006D6EC7">
        <w:rPr>
          <w:rFonts w:ascii="Arial" w:hAnsi="Arial"/>
          <w:b/>
          <w:sz w:val="28"/>
          <w:szCs w:val="28"/>
        </w:rPr>
        <w:t xml:space="preserve">, </w:t>
      </w:r>
      <w:r>
        <w:rPr>
          <w:rFonts w:ascii="Arial" w:hAnsi="Arial"/>
          <w:b/>
          <w:sz w:val="28"/>
          <w:szCs w:val="28"/>
        </w:rPr>
        <w:t>10mg, 15mg, 20mg, 30mg, 40mg, 80mg</w:t>
      </w:r>
      <w:r w:rsidR="0004240E" w:rsidRPr="006D6EC7">
        <w:rPr>
          <w:rFonts w:ascii="Arial" w:hAnsi="Arial"/>
          <w:b/>
          <w:sz w:val="28"/>
          <w:szCs w:val="28"/>
        </w:rPr>
        <w:t xml:space="preserve">, </w:t>
      </w:r>
      <w:r>
        <w:rPr>
          <w:rFonts w:ascii="Arial" w:hAnsi="Arial"/>
          <w:b/>
          <w:sz w:val="28"/>
          <w:szCs w:val="28"/>
        </w:rPr>
        <w:t>OxyContin</w:t>
      </w:r>
      <w:r w:rsidR="0004240E" w:rsidRPr="006D6EC7">
        <w:rPr>
          <w:rFonts w:ascii="Arial" w:hAnsi="Arial"/>
          <w:b/>
          <w:sz w:val="28"/>
          <w:szCs w:val="28"/>
          <w:vertAlign w:val="superscript"/>
        </w:rPr>
        <w:t>®</w:t>
      </w:r>
      <w:r w:rsidR="00EF44A0">
        <w:rPr>
          <w:rFonts w:ascii="Arial" w:hAnsi="Arial"/>
          <w:b/>
          <w:sz w:val="28"/>
          <w:szCs w:val="28"/>
        </w:rPr>
        <w:t xml:space="preserve">, </w:t>
      </w:r>
      <w:proofErr w:type="spellStart"/>
      <w:r>
        <w:rPr>
          <w:rFonts w:ascii="Arial" w:hAnsi="Arial"/>
          <w:b/>
          <w:sz w:val="28"/>
          <w:szCs w:val="28"/>
        </w:rPr>
        <w:t>Mundipharma</w:t>
      </w:r>
      <w:proofErr w:type="spellEnd"/>
      <w:r>
        <w:rPr>
          <w:rFonts w:ascii="Arial" w:hAnsi="Arial"/>
          <w:b/>
          <w:sz w:val="28"/>
          <w:szCs w:val="28"/>
        </w:rPr>
        <w:t xml:space="preserve"> Pty Ltd.</w:t>
      </w:r>
    </w:p>
    <w:p w:rsidR="00CE10C4" w:rsidRDefault="00CE10C4" w:rsidP="00A5273B">
      <w:pPr>
        <w:rPr>
          <w:rFonts w:ascii="Arial" w:hAnsi="Arial"/>
          <w:b/>
        </w:rPr>
      </w:pPr>
    </w:p>
    <w:p w:rsidR="00A9364D" w:rsidRDefault="00A9364D"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031528" w:rsidRPr="00031528" w:rsidRDefault="00031528" w:rsidP="00031528">
      <w:pPr>
        <w:pStyle w:val="ListParagraph"/>
        <w:numPr>
          <w:ilvl w:val="1"/>
          <w:numId w:val="25"/>
        </w:numPr>
        <w:jc w:val="both"/>
        <w:rPr>
          <w:rFonts w:ascii="Arial" w:hAnsi="Arial" w:cs="Arial"/>
          <w:sz w:val="22"/>
          <w:szCs w:val="22"/>
        </w:rPr>
      </w:pPr>
      <w:r w:rsidRPr="00031528">
        <w:rPr>
          <w:rFonts w:ascii="Arial" w:hAnsi="Arial" w:cs="Arial"/>
          <w:sz w:val="22"/>
          <w:szCs w:val="22"/>
        </w:rPr>
        <w:t xml:space="preserve">The minor submission </w:t>
      </w:r>
      <w:r w:rsidR="00BE4FE2">
        <w:rPr>
          <w:rFonts w:ascii="Arial" w:hAnsi="Arial" w:cs="Arial"/>
          <w:sz w:val="22"/>
          <w:szCs w:val="22"/>
        </w:rPr>
        <w:t>requests the PBAC advise the Minister that</w:t>
      </w:r>
      <w:r w:rsidR="00A1208B">
        <w:rPr>
          <w:rFonts w:ascii="Arial" w:hAnsi="Arial" w:cs="Arial"/>
          <w:sz w:val="22"/>
          <w:szCs w:val="22"/>
        </w:rPr>
        <w:t xml:space="preserve"> </w:t>
      </w:r>
      <w:r w:rsidRPr="00031528">
        <w:rPr>
          <w:rFonts w:ascii="Arial" w:hAnsi="Arial" w:cs="Arial"/>
          <w:sz w:val="22"/>
          <w:szCs w:val="22"/>
        </w:rPr>
        <w:t xml:space="preserve">generic oxycodone </w:t>
      </w:r>
      <w:r w:rsidR="00BE4FE2">
        <w:rPr>
          <w:rFonts w:ascii="Arial" w:hAnsi="Arial" w:cs="Arial"/>
          <w:sz w:val="22"/>
          <w:szCs w:val="22"/>
        </w:rPr>
        <w:t xml:space="preserve">modified release </w:t>
      </w:r>
      <w:r w:rsidRPr="00031528">
        <w:rPr>
          <w:rFonts w:ascii="Arial" w:hAnsi="Arial" w:cs="Arial"/>
          <w:sz w:val="22"/>
          <w:szCs w:val="22"/>
        </w:rPr>
        <w:t xml:space="preserve">tablets without a claimed abuse-resistant formulation </w:t>
      </w:r>
      <w:r w:rsidR="00A95406">
        <w:rPr>
          <w:rFonts w:ascii="Arial" w:hAnsi="Arial" w:cs="Arial"/>
          <w:sz w:val="22"/>
          <w:szCs w:val="22"/>
        </w:rPr>
        <w:t>should not be</w:t>
      </w:r>
      <w:r w:rsidR="00A1208B">
        <w:rPr>
          <w:rFonts w:ascii="Arial" w:hAnsi="Arial" w:cs="Arial"/>
          <w:sz w:val="22"/>
          <w:szCs w:val="22"/>
        </w:rPr>
        <w:t xml:space="preserve"> </w:t>
      </w:r>
      <w:r w:rsidRPr="00031528">
        <w:rPr>
          <w:rFonts w:ascii="Arial" w:hAnsi="Arial" w:cs="Arial"/>
          <w:sz w:val="22"/>
          <w:szCs w:val="22"/>
        </w:rPr>
        <w:t>substitut</w:t>
      </w:r>
      <w:r w:rsidR="00A1208B">
        <w:rPr>
          <w:rFonts w:ascii="Arial" w:hAnsi="Arial" w:cs="Arial"/>
          <w:sz w:val="22"/>
          <w:szCs w:val="22"/>
        </w:rPr>
        <w:t>ed</w:t>
      </w:r>
      <w:r w:rsidRPr="00031528">
        <w:rPr>
          <w:rFonts w:ascii="Arial" w:hAnsi="Arial" w:cs="Arial"/>
          <w:sz w:val="22"/>
          <w:szCs w:val="22"/>
        </w:rPr>
        <w:t xml:space="preserve"> </w:t>
      </w:r>
      <w:r w:rsidR="00A1208B">
        <w:rPr>
          <w:rFonts w:ascii="Arial" w:hAnsi="Arial" w:cs="Arial"/>
          <w:sz w:val="22"/>
          <w:szCs w:val="22"/>
        </w:rPr>
        <w:t>for</w:t>
      </w:r>
      <w:r w:rsidRPr="00031528">
        <w:rPr>
          <w:rFonts w:ascii="Arial" w:hAnsi="Arial" w:cs="Arial"/>
          <w:sz w:val="22"/>
          <w:szCs w:val="22"/>
        </w:rPr>
        <w:t xml:space="preserve"> OxyContin</w:t>
      </w:r>
      <w:r w:rsidRPr="00031528">
        <w:rPr>
          <w:rFonts w:ascii="Arial" w:hAnsi="Arial" w:cs="Arial"/>
          <w:sz w:val="22"/>
          <w:szCs w:val="22"/>
          <w:vertAlign w:val="superscript"/>
        </w:rPr>
        <w:t>®</w:t>
      </w:r>
      <w:r w:rsidRPr="00031528">
        <w:rPr>
          <w:rFonts w:ascii="Arial" w:hAnsi="Arial" w:cs="Arial"/>
          <w:sz w:val="22"/>
          <w:szCs w:val="22"/>
        </w:rPr>
        <w:t xml:space="preserve"> </w:t>
      </w:r>
      <w:r w:rsidR="00A1208B">
        <w:rPr>
          <w:rFonts w:ascii="Arial" w:hAnsi="Arial" w:cs="Arial"/>
          <w:sz w:val="22"/>
          <w:szCs w:val="22"/>
        </w:rPr>
        <w:t xml:space="preserve">(and vice-versa) </w:t>
      </w:r>
      <w:r w:rsidRPr="00031528">
        <w:rPr>
          <w:rFonts w:ascii="Arial" w:hAnsi="Arial" w:cs="Arial"/>
          <w:sz w:val="22"/>
          <w:szCs w:val="22"/>
        </w:rPr>
        <w:t xml:space="preserve">by a dispensing pharmacist (i.e. not ‘a’ flagged). The submission further requests the PBAC consider quality use of medicines issues related to the listing of generic oxycodone tablets that do not have abuse-resistant formulation properties.  </w:t>
      </w:r>
    </w:p>
    <w:p w:rsidR="00F9629A" w:rsidRPr="00031528" w:rsidRDefault="00F9629A" w:rsidP="00031528">
      <w:pPr>
        <w:jc w:val="both"/>
        <w:rPr>
          <w:rFonts w:ascii="Arial" w:hAnsi="Arial"/>
          <w:sz w:val="22"/>
          <w:szCs w:val="22"/>
        </w:rPr>
      </w:pPr>
    </w:p>
    <w:p w:rsidR="00EF44A0" w:rsidRPr="00135B30" w:rsidRDefault="00EF44A0" w:rsidP="00135B30">
      <w:pPr>
        <w:jc w:val="both"/>
        <w:rPr>
          <w:rFonts w:ascii="Arial" w:hAnsi="Arial"/>
          <w:b/>
          <w:sz w:val="22"/>
          <w:szCs w:val="22"/>
        </w:rPr>
      </w:pPr>
    </w:p>
    <w:p w:rsidR="00D4306A" w:rsidRDefault="00CE10C4" w:rsidP="00D4306A">
      <w:pPr>
        <w:pStyle w:val="ListParagraph"/>
        <w:numPr>
          <w:ilvl w:val="0"/>
          <w:numId w:val="25"/>
        </w:numPr>
        <w:jc w:val="both"/>
        <w:rPr>
          <w:rFonts w:ascii="Arial" w:hAnsi="Arial"/>
          <w:b/>
          <w:sz w:val="22"/>
          <w:szCs w:val="22"/>
        </w:rPr>
      </w:pPr>
      <w:r w:rsidRPr="00031528">
        <w:rPr>
          <w:rFonts w:ascii="Arial" w:hAnsi="Arial"/>
          <w:b/>
          <w:sz w:val="22"/>
          <w:szCs w:val="22"/>
        </w:rPr>
        <w:t>Background</w:t>
      </w:r>
    </w:p>
    <w:p w:rsidR="00D4306A" w:rsidRPr="00882085" w:rsidRDefault="00D4306A" w:rsidP="00D4306A">
      <w:pPr>
        <w:jc w:val="both"/>
        <w:rPr>
          <w:rFonts w:ascii="Arial" w:hAnsi="Arial"/>
          <w:sz w:val="22"/>
          <w:szCs w:val="22"/>
        </w:rPr>
      </w:pPr>
    </w:p>
    <w:p w:rsidR="00D4306A" w:rsidRPr="00037936" w:rsidRDefault="00D4306A" w:rsidP="00037936">
      <w:pPr>
        <w:pStyle w:val="ListParagraph"/>
        <w:numPr>
          <w:ilvl w:val="1"/>
          <w:numId w:val="25"/>
        </w:numPr>
        <w:jc w:val="both"/>
        <w:rPr>
          <w:rFonts w:ascii="Arial" w:hAnsi="Arial"/>
          <w:i/>
          <w:sz w:val="22"/>
          <w:szCs w:val="22"/>
        </w:rPr>
      </w:pPr>
      <w:r>
        <w:rPr>
          <w:rFonts w:ascii="Arial" w:hAnsi="Arial"/>
          <w:sz w:val="22"/>
          <w:szCs w:val="22"/>
        </w:rPr>
        <w:t>Reformulated abuse-deterrent OxyContin</w:t>
      </w:r>
      <w:r w:rsidRPr="00031528">
        <w:rPr>
          <w:rFonts w:ascii="Arial" w:hAnsi="Arial" w:cs="Arial"/>
          <w:sz w:val="22"/>
          <w:szCs w:val="22"/>
          <w:vertAlign w:val="superscript"/>
        </w:rPr>
        <w:t>®</w:t>
      </w:r>
      <w:r>
        <w:rPr>
          <w:rFonts w:ascii="Arial" w:hAnsi="Arial"/>
          <w:sz w:val="22"/>
          <w:szCs w:val="22"/>
        </w:rPr>
        <w:t xml:space="preserve"> was TGA registered on 22 October 2013. </w:t>
      </w:r>
      <w:r w:rsidR="00A70967">
        <w:rPr>
          <w:rFonts w:ascii="Arial" w:hAnsi="Arial"/>
          <w:sz w:val="22"/>
          <w:szCs w:val="22"/>
        </w:rPr>
        <w:t xml:space="preserve">According to the </w:t>
      </w:r>
      <w:r w:rsidR="003B7970">
        <w:rPr>
          <w:rFonts w:ascii="Arial" w:hAnsi="Arial"/>
          <w:sz w:val="22"/>
          <w:szCs w:val="22"/>
        </w:rPr>
        <w:t>Therapeutic Goods Administration (</w:t>
      </w:r>
      <w:r w:rsidR="00A70967">
        <w:rPr>
          <w:rFonts w:ascii="Arial" w:hAnsi="Arial"/>
          <w:sz w:val="22"/>
          <w:szCs w:val="22"/>
        </w:rPr>
        <w:t>TGA</w:t>
      </w:r>
      <w:r w:rsidR="003B7970">
        <w:rPr>
          <w:rFonts w:ascii="Arial" w:hAnsi="Arial"/>
          <w:sz w:val="22"/>
          <w:szCs w:val="22"/>
        </w:rPr>
        <w:t>)</w:t>
      </w:r>
      <w:r w:rsidR="00A70967">
        <w:rPr>
          <w:rFonts w:ascii="Arial" w:hAnsi="Arial"/>
          <w:sz w:val="22"/>
          <w:szCs w:val="22"/>
        </w:rPr>
        <w:t xml:space="preserve"> approved Product Information</w:t>
      </w:r>
      <w:r w:rsidR="001B2AC8">
        <w:rPr>
          <w:rFonts w:ascii="Arial" w:hAnsi="Arial"/>
          <w:sz w:val="22"/>
          <w:szCs w:val="22"/>
        </w:rPr>
        <w:t xml:space="preserve"> (p1)</w:t>
      </w:r>
      <w:r w:rsidR="00A70967">
        <w:rPr>
          <w:rFonts w:ascii="Arial" w:hAnsi="Arial"/>
          <w:sz w:val="22"/>
          <w:szCs w:val="22"/>
        </w:rPr>
        <w:t>, t</w:t>
      </w:r>
      <w:r>
        <w:rPr>
          <w:rFonts w:ascii="Arial" w:hAnsi="Arial"/>
          <w:sz w:val="22"/>
          <w:szCs w:val="22"/>
        </w:rPr>
        <w:t xml:space="preserve">he reformulation makes the tablet more difficult to crush </w:t>
      </w:r>
      <w:r w:rsidR="00BD532B">
        <w:rPr>
          <w:rFonts w:ascii="Arial" w:hAnsi="Arial"/>
          <w:sz w:val="22"/>
          <w:szCs w:val="22"/>
        </w:rPr>
        <w:t>and reduce</w:t>
      </w:r>
      <w:r w:rsidR="00DE439A">
        <w:rPr>
          <w:rFonts w:ascii="Arial" w:hAnsi="Arial"/>
          <w:sz w:val="22"/>
          <w:szCs w:val="22"/>
        </w:rPr>
        <w:t>s</w:t>
      </w:r>
      <w:r w:rsidR="00BD532B">
        <w:rPr>
          <w:rFonts w:ascii="Arial" w:hAnsi="Arial"/>
          <w:sz w:val="22"/>
          <w:szCs w:val="22"/>
        </w:rPr>
        <w:t xml:space="preserve"> the rapid release of oxycodone upon accidental or intentional misuse</w:t>
      </w:r>
      <w:r w:rsidR="001B2AC8">
        <w:rPr>
          <w:rFonts w:ascii="Arial" w:hAnsi="Arial"/>
          <w:sz w:val="22"/>
          <w:szCs w:val="22"/>
        </w:rPr>
        <w:t>.</w:t>
      </w:r>
    </w:p>
    <w:p w:rsidR="00BD532B" w:rsidRPr="006B0B8C" w:rsidRDefault="00BD532B" w:rsidP="00BD532B">
      <w:pPr>
        <w:pStyle w:val="ListParagraph"/>
        <w:jc w:val="both"/>
        <w:rPr>
          <w:rFonts w:ascii="Arial" w:hAnsi="Arial"/>
          <w:i/>
          <w:sz w:val="22"/>
          <w:szCs w:val="22"/>
        </w:rPr>
      </w:pPr>
    </w:p>
    <w:p w:rsidR="00D4306A" w:rsidRPr="00D4306A" w:rsidRDefault="00D4306A" w:rsidP="00264C31">
      <w:pPr>
        <w:pStyle w:val="ListParagraph"/>
        <w:numPr>
          <w:ilvl w:val="1"/>
          <w:numId w:val="25"/>
        </w:numPr>
        <w:jc w:val="both"/>
        <w:rPr>
          <w:rFonts w:ascii="Arial" w:hAnsi="Arial"/>
          <w:i/>
          <w:sz w:val="22"/>
          <w:szCs w:val="22"/>
        </w:rPr>
      </w:pPr>
      <w:r>
        <w:rPr>
          <w:rFonts w:ascii="Arial" w:hAnsi="Arial"/>
          <w:sz w:val="22"/>
          <w:szCs w:val="22"/>
        </w:rPr>
        <w:t xml:space="preserve">From 1 April 2014, the original </w:t>
      </w:r>
      <w:r w:rsidR="00BD532B">
        <w:rPr>
          <w:rFonts w:ascii="Arial" w:hAnsi="Arial"/>
          <w:sz w:val="22"/>
          <w:szCs w:val="22"/>
        </w:rPr>
        <w:t xml:space="preserve">PBS listed </w:t>
      </w:r>
      <w:r>
        <w:rPr>
          <w:rFonts w:ascii="Arial" w:hAnsi="Arial"/>
          <w:sz w:val="22"/>
          <w:szCs w:val="22"/>
        </w:rPr>
        <w:t>formulation of OxyContin</w:t>
      </w:r>
      <w:r w:rsidRPr="00031528">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sz w:val="22"/>
          <w:szCs w:val="22"/>
        </w:rPr>
        <w:t xml:space="preserve">was replaced by the equivalent abuse-deterrent reformulation. As the formulations were considered bioequivalent by the TGA, this change in the formulation of the PBS listed product was done without reference to the PBAC. </w:t>
      </w:r>
      <w:r w:rsidR="00264C31">
        <w:rPr>
          <w:rFonts w:ascii="Arial" w:hAnsi="Arial"/>
          <w:sz w:val="22"/>
          <w:szCs w:val="22"/>
        </w:rPr>
        <w:t xml:space="preserve"> In parallel with changing the </w:t>
      </w:r>
      <w:proofErr w:type="spellStart"/>
      <w:r w:rsidR="00264C31">
        <w:rPr>
          <w:rFonts w:ascii="Arial" w:hAnsi="Arial"/>
          <w:sz w:val="22"/>
          <w:szCs w:val="22"/>
        </w:rPr>
        <w:t>Oxycontin</w:t>
      </w:r>
      <w:proofErr w:type="spellEnd"/>
      <w:r w:rsidR="007343C5" w:rsidRPr="00031528">
        <w:rPr>
          <w:rFonts w:ascii="Arial" w:hAnsi="Arial" w:cs="Arial"/>
          <w:sz w:val="22"/>
          <w:szCs w:val="22"/>
          <w:vertAlign w:val="superscript"/>
        </w:rPr>
        <w:t>®</w:t>
      </w:r>
      <w:r w:rsidR="00264C31">
        <w:rPr>
          <w:rFonts w:ascii="Arial" w:hAnsi="Arial"/>
          <w:sz w:val="22"/>
          <w:szCs w:val="22"/>
        </w:rPr>
        <w:t xml:space="preserve"> formulation, </w:t>
      </w:r>
      <w:proofErr w:type="spellStart"/>
      <w:r w:rsidR="00264C31">
        <w:rPr>
          <w:rFonts w:ascii="Arial" w:hAnsi="Arial"/>
          <w:sz w:val="22"/>
          <w:szCs w:val="22"/>
        </w:rPr>
        <w:t>Mundi</w:t>
      </w:r>
      <w:r w:rsidR="00596763">
        <w:rPr>
          <w:rFonts w:ascii="Arial" w:hAnsi="Arial"/>
          <w:sz w:val="22"/>
          <w:szCs w:val="22"/>
        </w:rPr>
        <w:t>p</w:t>
      </w:r>
      <w:r w:rsidR="00264C31">
        <w:rPr>
          <w:rFonts w:ascii="Arial" w:hAnsi="Arial"/>
          <w:sz w:val="22"/>
          <w:szCs w:val="22"/>
        </w:rPr>
        <w:t>harma</w:t>
      </w:r>
      <w:proofErr w:type="spellEnd"/>
      <w:r w:rsidR="00264C31">
        <w:rPr>
          <w:rFonts w:ascii="Arial" w:hAnsi="Arial"/>
          <w:sz w:val="22"/>
          <w:szCs w:val="22"/>
        </w:rPr>
        <w:t xml:space="preserve"> removed the 5 mg strength from the PBS.  The PBAC had no objections </w:t>
      </w:r>
      <w:r w:rsidR="00BD532B">
        <w:rPr>
          <w:rFonts w:ascii="Arial" w:hAnsi="Arial"/>
          <w:sz w:val="22"/>
          <w:szCs w:val="22"/>
        </w:rPr>
        <w:t>t</w:t>
      </w:r>
      <w:r w:rsidR="00264C31">
        <w:rPr>
          <w:rFonts w:ascii="Arial" w:hAnsi="Arial"/>
          <w:sz w:val="22"/>
          <w:szCs w:val="22"/>
        </w:rPr>
        <w:t xml:space="preserve">o the deletion of the 5 mg strength as </w:t>
      </w:r>
      <w:r w:rsidR="00264C31" w:rsidRPr="00264C31">
        <w:rPr>
          <w:rFonts w:ascii="Arial" w:hAnsi="Arial"/>
          <w:sz w:val="22"/>
          <w:szCs w:val="22"/>
        </w:rPr>
        <w:t xml:space="preserve">other therapeutic alternatives were available on the PBS </w:t>
      </w:r>
      <w:r w:rsidR="00264C31">
        <w:rPr>
          <w:rFonts w:ascii="Arial" w:hAnsi="Arial"/>
          <w:sz w:val="22"/>
          <w:szCs w:val="22"/>
        </w:rPr>
        <w:t>(January 2014 extraordinary PBAC meeting)</w:t>
      </w:r>
      <w:r w:rsidR="0038719C">
        <w:rPr>
          <w:rFonts w:ascii="Arial" w:hAnsi="Arial"/>
          <w:sz w:val="22"/>
          <w:szCs w:val="22"/>
        </w:rPr>
        <w:t>.</w:t>
      </w:r>
    </w:p>
    <w:p w:rsidR="00D4306A" w:rsidRDefault="00D4306A" w:rsidP="00D4306A">
      <w:pPr>
        <w:pStyle w:val="ListParagraph"/>
        <w:jc w:val="both"/>
        <w:rPr>
          <w:rFonts w:ascii="Arial" w:hAnsi="Arial"/>
          <w:b/>
          <w:sz w:val="22"/>
          <w:szCs w:val="22"/>
        </w:rPr>
      </w:pPr>
    </w:p>
    <w:p w:rsidR="00D4306A" w:rsidRDefault="00D4306A" w:rsidP="00D4306A">
      <w:pPr>
        <w:pStyle w:val="ListParagraph"/>
        <w:jc w:val="both"/>
        <w:rPr>
          <w:rFonts w:ascii="Arial" w:hAnsi="Arial"/>
          <w:b/>
          <w:sz w:val="22"/>
          <w:szCs w:val="22"/>
        </w:rPr>
      </w:pPr>
    </w:p>
    <w:p w:rsidR="00D4306A" w:rsidRPr="00D4306A" w:rsidRDefault="00D4306A" w:rsidP="00D4306A">
      <w:pPr>
        <w:pStyle w:val="ListParagraph"/>
        <w:numPr>
          <w:ilvl w:val="0"/>
          <w:numId w:val="25"/>
        </w:numPr>
        <w:jc w:val="both"/>
        <w:rPr>
          <w:rFonts w:ascii="Arial" w:hAnsi="Arial"/>
          <w:b/>
          <w:sz w:val="22"/>
          <w:szCs w:val="22"/>
        </w:rPr>
      </w:pPr>
      <w:r w:rsidRPr="00D4306A">
        <w:rPr>
          <w:rFonts w:ascii="Arial" w:hAnsi="Arial"/>
          <w:b/>
          <w:sz w:val="22"/>
          <w:szCs w:val="22"/>
        </w:rPr>
        <w:t>Current situation</w:t>
      </w:r>
    </w:p>
    <w:p w:rsidR="006B0B8C" w:rsidRPr="006B0B8C" w:rsidRDefault="006B0B8C" w:rsidP="006B0B8C">
      <w:pPr>
        <w:pStyle w:val="ListParagraph"/>
        <w:rPr>
          <w:rFonts w:ascii="Arial" w:hAnsi="Arial"/>
          <w:i/>
          <w:sz w:val="22"/>
          <w:szCs w:val="22"/>
        </w:rPr>
      </w:pPr>
    </w:p>
    <w:p w:rsidR="009D03DE" w:rsidRPr="00037936" w:rsidRDefault="00734B9E" w:rsidP="00894522">
      <w:pPr>
        <w:pStyle w:val="ListParagraph"/>
        <w:numPr>
          <w:ilvl w:val="1"/>
          <w:numId w:val="25"/>
        </w:numPr>
        <w:jc w:val="both"/>
        <w:rPr>
          <w:rFonts w:ascii="Arial" w:hAnsi="Arial" w:cs="Arial"/>
          <w:i/>
          <w:sz w:val="22"/>
          <w:szCs w:val="22"/>
        </w:rPr>
      </w:pPr>
      <w:r>
        <w:rPr>
          <w:rFonts w:ascii="Arial" w:hAnsi="Arial"/>
          <w:sz w:val="22"/>
          <w:szCs w:val="22"/>
        </w:rPr>
        <w:t xml:space="preserve">Two </w:t>
      </w:r>
      <w:r w:rsidR="000F2F60">
        <w:rPr>
          <w:rFonts w:ascii="Arial" w:hAnsi="Arial"/>
          <w:sz w:val="22"/>
          <w:szCs w:val="22"/>
        </w:rPr>
        <w:t xml:space="preserve">new </w:t>
      </w:r>
      <w:r>
        <w:rPr>
          <w:rFonts w:ascii="Arial" w:hAnsi="Arial"/>
          <w:sz w:val="22"/>
          <w:szCs w:val="22"/>
        </w:rPr>
        <w:t xml:space="preserve">brands of </w:t>
      </w:r>
      <w:r w:rsidR="00FA202B">
        <w:rPr>
          <w:rFonts w:ascii="Arial" w:hAnsi="Arial"/>
          <w:sz w:val="22"/>
          <w:szCs w:val="22"/>
        </w:rPr>
        <w:t>modified</w:t>
      </w:r>
      <w:r>
        <w:rPr>
          <w:rFonts w:ascii="Arial" w:hAnsi="Arial"/>
          <w:sz w:val="22"/>
          <w:szCs w:val="22"/>
        </w:rPr>
        <w:t>-release oxycodone,</w:t>
      </w:r>
      <w:r w:rsidR="0020419F">
        <w:rPr>
          <w:rFonts w:ascii="Arial" w:hAnsi="Arial"/>
          <w:sz w:val="22"/>
          <w:szCs w:val="22"/>
        </w:rPr>
        <w:t xml:space="preserve"> which do</w:t>
      </w:r>
      <w:r>
        <w:rPr>
          <w:rFonts w:ascii="Arial" w:hAnsi="Arial"/>
          <w:sz w:val="22"/>
          <w:szCs w:val="22"/>
        </w:rPr>
        <w:t xml:space="preserve"> not have the same abuse-deterrent formulation, ha</w:t>
      </w:r>
      <w:r w:rsidR="0020419F">
        <w:rPr>
          <w:rFonts w:ascii="Arial" w:hAnsi="Arial"/>
          <w:sz w:val="22"/>
          <w:szCs w:val="22"/>
        </w:rPr>
        <w:t>ve</w:t>
      </w:r>
      <w:r>
        <w:rPr>
          <w:rFonts w:ascii="Arial" w:hAnsi="Arial"/>
          <w:sz w:val="22"/>
          <w:szCs w:val="22"/>
        </w:rPr>
        <w:t xml:space="preserve"> been grant</w:t>
      </w:r>
      <w:r w:rsidR="0020419F">
        <w:rPr>
          <w:rFonts w:ascii="Arial" w:hAnsi="Arial"/>
          <w:sz w:val="22"/>
          <w:szCs w:val="22"/>
        </w:rPr>
        <w:t xml:space="preserve">ed registration on the ARTG, with one </w:t>
      </w:r>
      <w:r>
        <w:rPr>
          <w:rFonts w:ascii="Arial" w:hAnsi="Arial"/>
          <w:sz w:val="22"/>
          <w:szCs w:val="22"/>
        </w:rPr>
        <w:t>me</w:t>
      </w:r>
      <w:r w:rsidR="0020419F">
        <w:rPr>
          <w:rFonts w:ascii="Arial" w:hAnsi="Arial"/>
          <w:sz w:val="22"/>
          <w:szCs w:val="22"/>
        </w:rPr>
        <w:t>e</w:t>
      </w:r>
      <w:r>
        <w:rPr>
          <w:rFonts w:ascii="Arial" w:hAnsi="Arial"/>
          <w:sz w:val="22"/>
          <w:szCs w:val="22"/>
        </w:rPr>
        <w:t>t</w:t>
      </w:r>
      <w:r w:rsidR="0020419F">
        <w:rPr>
          <w:rFonts w:ascii="Arial" w:hAnsi="Arial"/>
          <w:sz w:val="22"/>
          <w:szCs w:val="22"/>
        </w:rPr>
        <w:t>ing</w:t>
      </w:r>
      <w:r>
        <w:rPr>
          <w:rFonts w:ascii="Arial" w:hAnsi="Arial"/>
          <w:sz w:val="22"/>
          <w:szCs w:val="22"/>
        </w:rPr>
        <w:t xml:space="preserve"> all listing requirements</w:t>
      </w:r>
      <w:r w:rsidR="00FB3AB3">
        <w:rPr>
          <w:rFonts w:ascii="Arial" w:hAnsi="Arial"/>
          <w:sz w:val="22"/>
          <w:szCs w:val="22"/>
        </w:rPr>
        <w:t xml:space="preserve"> </w:t>
      </w:r>
      <w:r w:rsidR="000F2F60">
        <w:rPr>
          <w:rFonts w:ascii="Arial" w:hAnsi="Arial"/>
          <w:sz w:val="22"/>
          <w:szCs w:val="22"/>
        </w:rPr>
        <w:t>being considered for</w:t>
      </w:r>
      <w:r>
        <w:rPr>
          <w:rFonts w:ascii="Arial" w:hAnsi="Arial"/>
          <w:sz w:val="22"/>
          <w:szCs w:val="22"/>
        </w:rPr>
        <w:t xml:space="preserve"> list</w:t>
      </w:r>
      <w:r w:rsidR="000F2F60">
        <w:rPr>
          <w:rFonts w:ascii="Arial" w:hAnsi="Arial"/>
          <w:sz w:val="22"/>
          <w:szCs w:val="22"/>
        </w:rPr>
        <w:t>ing</w:t>
      </w:r>
      <w:r>
        <w:rPr>
          <w:rFonts w:ascii="Arial" w:hAnsi="Arial"/>
          <w:sz w:val="22"/>
          <w:szCs w:val="22"/>
        </w:rPr>
        <w:t xml:space="preserve"> on the PBS from 1</w:t>
      </w:r>
      <w:r w:rsidR="00BD532B">
        <w:rPr>
          <w:rFonts w:ascii="Arial" w:hAnsi="Arial"/>
          <w:sz w:val="22"/>
          <w:szCs w:val="22"/>
        </w:rPr>
        <w:t> </w:t>
      </w:r>
      <w:r>
        <w:rPr>
          <w:rFonts w:ascii="Arial" w:hAnsi="Arial"/>
          <w:sz w:val="22"/>
          <w:szCs w:val="22"/>
        </w:rPr>
        <w:t xml:space="preserve">December 2014. </w:t>
      </w:r>
      <w:r w:rsidR="00BD532B">
        <w:rPr>
          <w:rFonts w:ascii="Arial" w:hAnsi="Arial"/>
          <w:sz w:val="22"/>
          <w:szCs w:val="22"/>
        </w:rPr>
        <w:t xml:space="preserve"> </w:t>
      </w:r>
      <w:r w:rsidR="000F2F60">
        <w:rPr>
          <w:rFonts w:ascii="Arial" w:hAnsi="Arial"/>
          <w:sz w:val="22"/>
          <w:szCs w:val="22"/>
        </w:rPr>
        <w:t xml:space="preserve">In line with usual practice for new brand listings that meet all listing requirements, the listing </w:t>
      </w:r>
      <w:r w:rsidR="003A464B">
        <w:rPr>
          <w:rFonts w:ascii="Arial" w:hAnsi="Arial"/>
          <w:sz w:val="22"/>
          <w:szCs w:val="22"/>
        </w:rPr>
        <w:t>has been</w:t>
      </w:r>
      <w:r w:rsidR="000F2F60">
        <w:rPr>
          <w:rFonts w:ascii="Arial" w:hAnsi="Arial"/>
          <w:sz w:val="22"/>
          <w:szCs w:val="22"/>
        </w:rPr>
        <w:t xml:space="preserve"> progressed without reference to the PBAC.  Also in line with usual practice for new brands with evidence of bioequivalence, it is intended that the new brand be </w:t>
      </w:r>
      <w:r w:rsidR="00BD532B">
        <w:rPr>
          <w:rFonts w:ascii="Arial" w:hAnsi="Arial"/>
          <w:sz w:val="22"/>
          <w:szCs w:val="22"/>
        </w:rPr>
        <w:t>‘</w:t>
      </w:r>
      <w:r w:rsidR="000F2F60">
        <w:rPr>
          <w:rFonts w:ascii="Arial" w:hAnsi="Arial"/>
          <w:sz w:val="22"/>
          <w:szCs w:val="22"/>
        </w:rPr>
        <w:t>a</w:t>
      </w:r>
      <w:r w:rsidR="00BD532B">
        <w:rPr>
          <w:rFonts w:ascii="Arial" w:hAnsi="Arial"/>
          <w:sz w:val="22"/>
          <w:szCs w:val="22"/>
        </w:rPr>
        <w:t>’</w:t>
      </w:r>
      <w:r w:rsidR="000F2F60">
        <w:rPr>
          <w:rFonts w:ascii="Arial" w:hAnsi="Arial"/>
          <w:sz w:val="22"/>
          <w:szCs w:val="22"/>
        </w:rPr>
        <w:t xml:space="preserve"> flagged with </w:t>
      </w:r>
      <w:r w:rsidR="00B22DF9">
        <w:rPr>
          <w:rFonts w:ascii="Arial" w:hAnsi="Arial"/>
          <w:sz w:val="22"/>
          <w:szCs w:val="22"/>
        </w:rPr>
        <w:t>OxyContin</w:t>
      </w:r>
      <w:r w:rsidR="00FB3AB3" w:rsidRPr="00031528">
        <w:rPr>
          <w:rFonts w:ascii="Arial" w:hAnsi="Arial" w:cs="Arial"/>
          <w:sz w:val="22"/>
          <w:szCs w:val="22"/>
          <w:vertAlign w:val="superscript"/>
        </w:rPr>
        <w:t>®</w:t>
      </w:r>
      <w:r w:rsidR="000F2F60">
        <w:rPr>
          <w:rFonts w:ascii="Arial" w:hAnsi="Arial"/>
          <w:sz w:val="22"/>
          <w:szCs w:val="22"/>
        </w:rPr>
        <w:t>.</w:t>
      </w:r>
    </w:p>
    <w:p w:rsidR="00EB60FB" w:rsidRDefault="00EB60FB" w:rsidP="00037936">
      <w:pPr>
        <w:ind w:left="720"/>
        <w:jc w:val="both"/>
        <w:rPr>
          <w:rFonts w:ascii="Arial" w:hAnsi="Arial" w:cs="Arial"/>
          <w:i/>
          <w:sz w:val="22"/>
          <w:szCs w:val="22"/>
        </w:rPr>
      </w:pPr>
    </w:p>
    <w:p w:rsidR="0038719C" w:rsidRPr="00FB3AB3" w:rsidRDefault="00894522" w:rsidP="00FB3AB3">
      <w:pPr>
        <w:pStyle w:val="ListParagraph"/>
        <w:numPr>
          <w:ilvl w:val="1"/>
          <w:numId w:val="25"/>
        </w:numPr>
        <w:jc w:val="both"/>
        <w:rPr>
          <w:rFonts w:ascii="Arial" w:hAnsi="Arial" w:cs="Arial"/>
          <w:i/>
          <w:sz w:val="22"/>
          <w:szCs w:val="22"/>
        </w:rPr>
      </w:pPr>
      <w:r w:rsidRPr="00A05B33">
        <w:rPr>
          <w:rFonts w:ascii="Arial" w:hAnsi="Arial" w:cs="Arial"/>
          <w:sz w:val="22"/>
          <w:szCs w:val="22"/>
        </w:rPr>
        <w:t xml:space="preserve">The Schedule of Pharmaceutical Benefits (Schedule) uses ‘a’ flags to indicate that different pharmaceutical benefits are equivalent for the purposes of substitution by the pharmacist at the time of dispensing. An </w:t>
      </w:r>
      <w:r w:rsidR="00596763">
        <w:rPr>
          <w:rFonts w:ascii="Arial" w:hAnsi="Arial" w:cs="Arial"/>
          <w:sz w:val="22"/>
          <w:szCs w:val="22"/>
        </w:rPr>
        <w:t>‘</w:t>
      </w:r>
      <w:r w:rsidRPr="00A05B33">
        <w:rPr>
          <w:rFonts w:ascii="Arial" w:hAnsi="Arial" w:cs="Arial"/>
          <w:sz w:val="22"/>
          <w:szCs w:val="22"/>
        </w:rPr>
        <w:t>a</w:t>
      </w:r>
      <w:r w:rsidR="00596763">
        <w:rPr>
          <w:rFonts w:ascii="Arial" w:hAnsi="Arial" w:cs="Arial"/>
          <w:sz w:val="22"/>
          <w:szCs w:val="22"/>
        </w:rPr>
        <w:t>’</w:t>
      </w:r>
      <w:r w:rsidRPr="00A05B33">
        <w:rPr>
          <w:rFonts w:ascii="Arial" w:hAnsi="Arial" w:cs="Arial"/>
          <w:sz w:val="22"/>
          <w:szCs w:val="22"/>
        </w:rPr>
        <w:t xml:space="preserve"> flag can apply to different brands of the same pharmaceutical item</w:t>
      </w:r>
      <w:r w:rsidR="0005132D">
        <w:rPr>
          <w:rFonts w:ascii="Arial" w:hAnsi="Arial" w:cs="Arial"/>
          <w:sz w:val="22"/>
          <w:szCs w:val="22"/>
        </w:rPr>
        <w:t>, which would be the case here,</w:t>
      </w:r>
      <w:r w:rsidRPr="00A05B33">
        <w:rPr>
          <w:rFonts w:ascii="Arial" w:hAnsi="Arial" w:cs="Arial"/>
          <w:sz w:val="22"/>
          <w:szCs w:val="22"/>
        </w:rPr>
        <w:t xml:space="preserve"> or to different forms of pharmaceutical items</w:t>
      </w:r>
      <w:r w:rsidR="00596763">
        <w:rPr>
          <w:rFonts w:ascii="Arial" w:hAnsi="Arial" w:cs="Arial"/>
          <w:sz w:val="22"/>
          <w:szCs w:val="22"/>
        </w:rPr>
        <w:t xml:space="preserve"> (</w:t>
      </w:r>
      <w:r w:rsidR="00E624E6">
        <w:rPr>
          <w:rFonts w:ascii="Arial" w:hAnsi="Arial" w:cs="Arial"/>
          <w:sz w:val="22"/>
          <w:szCs w:val="22"/>
        </w:rPr>
        <w:t>e.g.</w:t>
      </w:r>
      <w:r w:rsidR="00596763">
        <w:rPr>
          <w:rFonts w:ascii="Arial" w:hAnsi="Arial" w:cs="Arial"/>
          <w:sz w:val="22"/>
          <w:szCs w:val="22"/>
        </w:rPr>
        <w:t xml:space="preserve"> a tablet may be </w:t>
      </w:r>
      <w:r w:rsidR="00FB3AB3">
        <w:rPr>
          <w:rFonts w:ascii="Arial" w:hAnsi="Arial" w:cs="Arial"/>
          <w:sz w:val="22"/>
          <w:szCs w:val="22"/>
        </w:rPr>
        <w:t>‘</w:t>
      </w:r>
      <w:r w:rsidR="00596763">
        <w:rPr>
          <w:rFonts w:ascii="Arial" w:hAnsi="Arial" w:cs="Arial"/>
          <w:sz w:val="22"/>
          <w:szCs w:val="22"/>
        </w:rPr>
        <w:t>a</w:t>
      </w:r>
      <w:r w:rsidR="00FB3AB3">
        <w:rPr>
          <w:rFonts w:ascii="Arial" w:hAnsi="Arial" w:cs="Arial"/>
          <w:sz w:val="22"/>
          <w:szCs w:val="22"/>
        </w:rPr>
        <w:t xml:space="preserve">’ </w:t>
      </w:r>
      <w:r w:rsidR="00596763" w:rsidRPr="00FB3AB3">
        <w:rPr>
          <w:rFonts w:ascii="Arial" w:hAnsi="Arial" w:cs="Arial"/>
          <w:sz w:val="22"/>
          <w:szCs w:val="22"/>
        </w:rPr>
        <w:t>flagged with a capsule).</w:t>
      </w:r>
    </w:p>
    <w:p w:rsidR="00A05B33" w:rsidRDefault="00A05B33" w:rsidP="00037936">
      <w:pPr>
        <w:pStyle w:val="ListParagraph"/>
        <w:jc w:val="both"/>
      </w:pPr>
    </w:p>
    <w:p w:rsidR="00A05B33" w:rsidRPr="00894522" w:rsidRDefault="00A05B33" w:rsidP="00A05B33">
      <w:pPr>
        <w:pStyle w:val="ListParagraph"/>
        <w:numPr>
          <w:ilvl w:val="1"/>
          <w:numId w:val="25"/>
        </w:numPr>
        <w:jc w:val="both"/>
        <w:rPr>
          <w:rFonts w:ascii="Arial" w:hAnsi="Arial" w:cs="Arial"/>
          <w:i/>
          <w:sz w:val="22"/>
          <w:szCs w:val="22"/>
        </w:rPr>
      </w:pPr>
      <w:r w:rsidRPr="00A05B33">
        <w:rPr>
          <w:rFonts w:ascii="Arial" w:hAnsi="Arial" w:cs="Arial"/>
          <w:sz w:val="22"/>
          <w:szCs w:val="22"/>
        </w:rPr>
        <w:t xml:space="preserve">The </w:t>
      </w:r>
      <w:r w:rsidRPr="00037936">
        <w:rPr>
          <w:rFonts w:ascii="Arial" w:hAnsi="Arial" w:cs="Arial"/>
          <w:i/>
          <w:sz w:val="22"/>
          <w:szCs w:val="22"/>
        </w:rPr>
        <w:t>National Health Act 1953</w:t>
      </w:r>
      <w:r w:rsidRPr="00A05B33">
        <w:rPr>
          <w:rFonts w:ascii="Arial" w:hAnsi="Arial" w:cs="Arial"/>
          <w:sz w:val="22"/>
          <w:szCs w:val="22"/>
        </w:rPr>
        <w:t xml:space="preserve"> (the Act) makes it an offence for a pharmacist to supply a pharmaceutical benefit other than the benefit directed to be supplied in a </w:t>
      </w:r>
      <w:r w:rsidRPr="00A05B33">
        <w:rPr>
          <w:rFonts w:ascii="Arial" w:hAnsi="Arial" w:cs="Arial"/>
          <w:sz w:val="22"/>
          <w:szCs w:val="22"/>
        </w:rPr>
        <w:lastRenderedPageBreak/>
        <w:t>prescription except when, amongst other criteria, the Schedule issued by the</w:t>
      </w:r>
      <w:r w:rsidR="00894522">
        <w:rPr>
          <w:rFonts w:ascii="Arial" w:hAnsi="Arial" w:cs="Arial"/>
          <w:sz w:val="22"/>
          <w:szCs w:val="22"/>
        </w:rPr>
        <w:t xml:space="preserve"> Department of Health</w:t>
      </w:r>
      <w:r w:rsidRPr="00A05B33">
        <w:rPr>
          <w:rFonts w:ascii="Arial" w:hAnsi="Arial" w:cs="Arial"/>
          <w:sz w:val="22"/>
          <w:szCs w:val="22"/>
        </w:rPr>
        <w:t xml:space="preserve"> states that the specified benefit and the substitute benefit are equivalent.  The relevant section of the Act is reproduced below.</w:t>
      </w:r>
    </w:p>
    <w:p w:rsidR="00A05B33" w:rsidRDefault="00A05B33" w:rsidP="00A05B33">
      <w:pPr>
        <w:pStyle w:val="ListParagraph"/>
      </w:pP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rPr>
          <w:rFonts w:ascii="Arial" w:hAnsi="Arial" w:cs="Arial"/>
          <w:b/>
          <w:sz w:val="22"/>
        </w:rPr>
      </w:pPr>
      <w:r w:rsidRPr="00135B30">
        <w:rPr>
          <w:rFonts w:ascii="Arial" w:hAnsi="Arial" w:cs="Arial"/>
          <w:b/>
          <w:sz w:val="22"/>
        </w:rPr>
        <w:t xml:space="preserve">Extract from </w:t>
      </w:r>
      <w:r w:rsidRPr="00135B30">
        <w:rPr>
          <w:rFonts w:ascii="Arial" w:hAnsi="Arial" w:cs="Arial"/>
          <w:b/>
          <w:i/>
          <w:sz w:val="22"/>
        </w:rPr>
        <w:t>National Health Act 1953</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rPr>
          <w:rFonts w:ascii="Arial" w:hAnsi="Arial" w:cs="Arial"/>
          <w:sz w:val="22"/>
        </w:rPr>
      </w:pPr>
      <w:proofErr w:type="gramStart"/>
      <w:r w:rsidRPr="00135B30">
        <w:rPr>
          <w:rFonts w:ascii="Arial" w:hAnsi="Arial" w:cs="Arial"/>
          <w:sz w:val="22"/>
        </w:rPr>
        <w:t>s103  Offences</w:t>
      </w:r>
      <w:proofErr w:type="gramEnd"/>
      <w:r w:rsidRPr="00135B30">
        <w:rPr>
          <w:rFonts w:ascii="Arial" w:hAnsi="Arial" w:cs="Arial"/>
          <w:sz w:val="22"/>
        </w:rPr>
        <w:t xml:space="preserve"> </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rPr>
          <w:rFonts w:ascii="Arial" w:hAnsi="Arial" w:cs="Arial"/>
          <w:sz w:val="22"/>
        </w:rPr>
      </w:pPr>
      <w:r w:rsidRPr="00135B30">
        <w:rPr>
          <w:rFonts w:ascii="Arial" w:hAnsi="Arial" w:cs="Arial"/>
          <w:sz w:val="22"/>
        </w:rPr>
        <w:t>…</w:t>
      </w:r>
      <w:r w:rsidRPr="00135B30">
        <w:rPr>
          <w:rFonts w:ascii="Arial" w:hAnsi="Arial" w:cs="Arial"/>
          <w:sz w:val="22"/>
        </w:rPr>
        <w:tab/>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(2)</w:t>
      </w:r>
      <w:r w:rsidRPr="00135B30">
        <w:rPr>
          <w:rFonts w:ascii="Arial" w:hAnsi="Arial" w:cs="Arial"/>
          <w:sz w:val="22"/>
        </w:rPr>
        <w:tab/>
        <w:t>Except as prescribed, a pharmacist to whom a prescription is presented shall not:</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(a)</w:t>
      </w:r>
      <w:r w:rsidRPr="00135B30">
        <w:rPr>
          <w:rFonts w:ascii="Arial" w:hAnsi="Arial" w:cs="Arial"/>
          <w:sz w:val="22"/>
        </w:rPr>
        <w:tab/>
        <w:t>supply, in purported pursuance of this Part, anything other than the pharmaceutical benefit that is directed to be supplied in the prescription; or</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(b)</w:t>
      </w:r>
      <w:r w:rsidRPr="00135B30">
        <w:rPr>
          <w:rFonts w:ascii="Arial" w:hAnsi="Arial" w:cs="Arial"/>
          <w:sz w:val="22"/>
        </w:rPr>
        <w:tab/>
      </w:r>
      <w:proofErr w:type="gramStart"/>
      <w:r w:rsidRPr="00135B30">
        <w:rPr>
          <w:rFonts w:ascii="Arial" w:hAnsi="Arial" w:cs="Arial"/>
          <w:sz w:val="22"/>
        </w:rPr>
        <w:t>in</w:t>
      </w:r>
      <w:proofErr w:type="gramEnd"/>
      <w:r w:rsidRPr="00135B30">
        <w:rPr>
          <w:rFonts w:ascii="Arial" w:hAnsi="Arial" w:cs="Arial"/>
          <w:sz w:val="22"/>
        </w:rPr>
        <w:t xml:space="preserve"> exchange for the prescription make a payment in money or give any other consideration to the person presenting the prescription.</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Penalty:</w:t>
      </w:r>
      <w:r w:rsidRPr="00135B30">
        <w:rPr>
          <w:rFonts w:ascii="Arial" w:hAnsi="Arial" w:cs="Arial"/>
          <w:sz w:val="22"/>
        </w:rPr>
        <w:tab/>
        <w:t>$2,000 or imprisonment for 12 months, or both.</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(2A)</w:t>
      </w:r>
      <w:r w:rsidRPr="00135B30">
        <w:rPr>
          <w:rFonts w:ascii="Arial" w:hAnsi="Arial" w:cs="Arial"/>
          <w:sz w:val="22"/>
        </w:rPr>
        <w:tab/>
        <w:t>Paragraph (2</w:t>
      </w:r>
      <w:proofErr w:type="gramStart"/>
      <w:r w:rsidRPr="00135B30">
        <w:rPr>
          <w:rFonts w:ascii="Arial" w:hAnsi="Arial" w:cs="Arial"/>
          <w:sz w:val="22"/>
        </w:rPr>
        <w:t>)(</w:t>
      </w:r>
      <w:proofErr w:type="gramEnd"/>
      <w:r w:rsidRPr="00135B30">
        <w:rPr>
          <w:rFonts w:ascii="Arial" w:hAnsi="Arial" w:cs="Arial"/>
          <w:sz w:val="22"/>
        </w:rPr>
        <w:t>a) does not prohibit a pharmacist from supplying, instead of the pharmaceutical benefit that is directed to be supplied in a prescription (the specified benefit), another pharmaceutical benefit (the substitute benefit) if:</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(a)</w:t>
      </w:r>
      <w:r w:rsidRPr="00135B30">
        <w:rPr>
          <w:rFonts w:ascii="Arial" w:hAnsi="Arial" w:cs="Arial"/>
          <w:sz w:val="22"/>
        </w:rPr>
        <w:tab/>
      </w:r>
      <w:proofErr w:type="gramStart"/>
      <w:r w:rsidRPr="00135B30">
        <w:rPr>
          <w:rFonts w:ascii="Arial" w:hAnsi="Arial" w:cs="Arial"/>
          <w:sz w:val="22"/>
        </w:rPr>
        <w:t>the</w:t>
      </w:r>
      <w:proofErr w:type="gramEnd"/>
      <w:r w:rsidRPr="00135B30">
        <w:rPr>
          <w:rFonts w:ascii="Arial" w:hAnsi="Arial" w:cs="Arial"/>
          <w:sz w:val="22"/>
        </w:rPr>
        <w:t xml:space="preserve"> person who prescribed the specified benefit did not indicate on the prescription that only that benefit was to be supplied; and</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(b)</w:t>
      </w:r>
      <w:r w:rsidRPr="00135B30">
        <w:rPr>
          <w:rFonts w:ascii="Arial" w:hAnsi="Arial" w:cs="Arial"/>
          <w:sz w:val="22"/>
        </w:rPr>
        <w:tab/>
      </w:r>
      <w:proofErr w:type="gramStart"/>
      <w:r w:rsidRPr="00135B30">
        <w:rPr>
          <w:rFonts w:ascii="Arial" w:hAnsi="Arial" w:cs="Arial"/>
          <w:sz w:val="22"/>
        </w:rPr>
        <w:t>the</w:t>
      </w:r>
      <w:proofErr w:type="gramEnd"/>
      <w:r w:rsidRPr="00135B30">
        <w:rPr>
          <w:rFonts w:ascii="Arial" w:hAnsi="Arial" w:cs="Arial"/>
          <w:sz w:val="22"/>
        </w:rPr>
        <w:t xml:space="preserve"> Schedule of Pharmaceutical Benefits issued by the Department states that the specified benefit and the substitute benefit are equivalent; and</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(c)</w:t>
      </w:r>
      <w:r w:rsidRPr="00135B30">
        <w:rPr>
          <w:rFonts w:ascii="Arial" w:hAnsi="Arial" w:cs="Arial"/>
          <w:sz w:val="22"/>
        </w:rPr>
        <w:tab/>
      </w:r>
      <w:proofErr w:type="gramStart"/>
      <w:r w:rsidRPr="00135B30">
        <w:rPr>
          <w:rFonts w:ascii="Arial" w:hAnsi="Arial" w:cs="Arial"/>
          <w:sz w:val="22"/>
        </w:rPr>
        <w:t>the</w:t>
      </w:r>
      <w:proofErr w:type="gramEnd"/>
      <w:r w:rsidRPr="00135B30">
        <w:rPr>
          <w:rFonts w:ascii="Arial" w:hAnsi="Arial" w:cs="Arial"/>
          <w:sz w:val="22"/>
        </w:rPr>
        <w:t xml:space="preserve"> substitute benefit is a listed brand of a pharmaceutical item; and</w:t>
      </w:r>
    </w:p>
    <w:p w:rsidR="00A05B33" w:rsidRPr="00135B30" w:rsidRDefault="00A05B33" w:rsidP="00A05B33">
      <w:pPr>
        <w:pStyle w:val="ListParagraph"/>
        <w:pBdr>
          <w:top w:val="single" w:sz="4" w:space="1" w:color="auto"/>
          <w:left w:val="single" w:sz="4" w:space="4" w:color="auto"/>
          <w:bottom w:val="single" w:sz="4" w:space="1" w:color="auto"/>
          <w:right w:val="single" w:sz="4" w:space="4" w:color="auto"/>
        </w:pBdr>
        <w:tabs>
          <w:tab w:val="left" w:pos="567"/>
          <w:tab w:val="left" w:pos="1134"/>
        </w:tabs>
        <w:rPr>
          <w:rFonts w:ascii="Arial" w:hAnsi="Arial" w:cs="Arial"/>
          <w:sz w:val="22"/>
        </w:rPr>
      </w:pPr>
      <w:r w:rsidRPr="00135B30">
        <w:rPr>
          <w:rFonts w:ascii="Arial" w:hAnsi="Arial" w:cs="Arial"/>
          <w:sz w:val="22"/>
        </w:rPr>
        <w:tab/>
        <w:t>(d)</w:t>
      </w:r>
      <w:r w:rsidRPr="00135B30">
        <w:rPr>
          <w:rFonts w:ascii="Arial" w:hAnsi="Arial" w:cs="Arial"/>
          <w:sz w:val="22"/>
        </w:rPr>
        <w:tab/>
      </w:r>
      <w:proofErr w:type="gramStart"/>
      <w:r w:rsidRPr="00135B30">
        <w:rPr>
          <w:rFonts w:ascii="Arial" w:hAnsi="Arial" w:cs="Arial"/>
          <w:sz w:val="22"/>
        </w:rPr>
        <w:t>the</w:t>
      </w:r>
      <w:proofErr w:type="gramEnd"/>
      <w:r w:rsidRPr="00135B30">
        <w:rPr>
          <w:rFonts w:ascii="Arial" w:hAnsi="Arial" w:cs="Arial"/>
          <w:sz w:val="22"/>
        </w:rPr>
        <w:t xml:space="preserve"> supply of the substitute benefit is not prohibited by a law of the State or Territory in which the substitute benefit is supplied.</w:t>
      </w:r>
    </w:p>
    <w:p w:rsidR="00BB6DF7" w:rsidRPr="00A05B33" w:rsidRDefault="00BB6DF7" w:rsidP="00A05B33">
      <w:pPr>
        <w:pStyle w:val="ListParagraph"/>
        <w:rPr>
          <w:rFonts w:ascii="Arial" w:hAnsi="Arial" w:cs="Arial"/>
          <w:i/>
          <w:sz w:val="22"/>
          <w:szCs w:val="22"/>
        </w:rPr>
      </w:pPr>
    </w:p>
    <w:p w:rsidR="00AA4B60" w:rsidRPr="006B4B84" w:rsidRDefault="00A05B33" w:rsidP="00AA4B60">
      <w:pPr>
        <w:pStyle w:val="ListParagraph"/>
        <w:numPr>
          <w:ilvl w:val="1"/>
          <w:numId w:val="25"/>
        </w:numPr>
        <w:jc w:val="both"/>
        <w:rPr>
          <w:rFonts w:ascii="Arial" w:hAnsi="Arial" w:cs="Arial"/>
          <w:i/>
          <w:sz w:val="20"/>
          <w:szCs w:val="22"/>
        </w:rPr>
      </w:pPr>
      <w:r w:rsidRPr="00A05B33">
        <w:rPr>
          <w:rFonts w:ascii="Arial" w:hAnsi="Arial"/>
          <w:sz w:val="22"/>
        </w:rPr>
        <w:t>When writing a prescription, prescribers are able to indicate whether or not they wish to allow the prescribed item to be substituted with an equivalent item at the time of dispensing by the pharmacist.  Pharmacists are not permitted to substitute items on prescriptions</w:t>
      </w:r>
      <w:r w:rsidR="00BB5703">
        <w:rPr>
          <w:rFonts w:ascii="Arial" w:hAnsi="Arial"/>
          <w:sz w:val="22"/>
        </w:rPr>
        <w:t xml:space="preserve"> where</w:t>
      </w:r>
      <w:r w:rsidRPr="00A05B33">
        <w:rPr>
          <w:rFonts w:ascii="Arial" w:hAnsi="Arial"/>
          <w:sz w:val="22"/>
        </w:rPr>
        <w:t xml:space="preserve"> the prescriber has marked “brand substitution not permitted”, “not for substitution” or other words to that effect.</w:t>
      </w:r>
      <w:r w:rsidR="001064F4">
        <w:rPr>
          <w:rFonts w:ascii="Arial" w:hAnsi="Arial"/>
          <w:sz w:val="22"/>
        </w:rPr>
        <w:t xml:space="preserve"> If a prescriber was concerned by the way their patient may use the medication, marking a prescription as not suitable for substitution is an option available to all prescribers to ensure the patient receives the </w:t>
      </w:r>
      <w:r w:rsidR="00596763">
        <w:rPr>
          <w:rFonts w:ascii="Arial" w:hAnsi="Arial"/>
          <w:sz w:val="22"/>
        </w:rPr>
        <w:t>preferred</w:t>
      </w:r>
      <w:r w:rsidR="001064F4">
        <w:rPr>
          <w:rFonts w:ascii="Arial" w:hAnsi="Arial"/>
          <w:sz w:val="22"/>
        </w:rPr>
        <w:t xml:space="preserve"> formulation.</w:t>
      </w:r>
    </w:p>
    <w:p w:rsidR="000C180B" w:rsidRPr="006B4B84" w:rsidRDefault="000C180B" w:rsidP="006B4B84">
      <w:pPr>
        <w:pStyle w:val="ListParagraph"/>
        <w:jc w:val="both"/>
        <w:rPr>
          <w:rFonts w:ascii="Arial" w:hAnsi="Arial" w:cs="Arial"/>
          <w:i/>
          <w:sz w:val="20"/>
          <w:szCs w:val="22"/>
        </w:rPr>
      </w:pPr>
    </w:p>
    <w:p w:rsidR="000C180B" w:rsidRPr="006B4B84" w:rsidRDefault="000C180B" w:rsidP="00AA4B60">
      <w:pPr>
        <w:pStyle w:val="ListParagraph"/>
        <w:numPr>
          <w:ilvl w:val="1"/>
          <w:numId w:val="25"/>
        </w:numPr>
        <w:jc w:val="both"/>
        <w:rPr>
          <w:rFonts w:ascii="Arial" w:hAnsi="Arial" w:cs="Arial"/>
          <w:i/>
          <w:sz w:val="22"/>
          <w:szCs w:val="22"/>
        </w:rPr>
      </w:pPr>
      <w:r>
        <w:rPr>
          <w:rFonts w:ascii="Arial" w:hAnsi="Arial" w:cs="Arial"/>
          <w:sz w:val="22"/>
          <w:szCs w:val="22"/>
        </w:rPr>
        <w:t>A</w:t>
      </w:r>
      <w:r w:rsidRPr="006B4B84">
        <w:rPr>
          <w:rFonts w:ascii="Arial" w:hAnsi="Arial" w:cs="Arial"/>
          <w:sz w:val="22"/>
          <w:szCs w:val="22"/>
        </w:rPr>
        <w:t xml:space="preserve"> pharmacist is not obliged to substitute brands at the time of dispensing. If a pharmacist had concerns about the way the patient would use the medication, the pharmacist could elect not to substitute brands.</w:t>
      </w:r>
    </w:p>
    <w:p w:rsidR="00AA4B60" w:rsidRPr="006B4B84" w:rsidRDefault="00AA4B60" w:rsidP="00AA4B60">
      <w:pPr>
        <w:pStyle w:val="ListParagraph"/>
        <w:jc w:val="both"/>
        <w:rPr>
          <w:rFonts w:ascii="Arial" w:hAnsi="Arial" w:cs="Arial"/>
          <w:i/>
          <w:sz w:val="22"/>
          <w:szCs w:val="22"/>
        </w:rPr>
      </w:pPr>
    </w:p>
    <w:p w:rsidR="008A1956" w:rsidRPr="006B4B84" w:rsidRDefault="00A05B33" w:rsidP="00882085">
      <w:pPr>
        <w:pStyle w:val="ListParagraph"/>
        <w:numPr>
          <w:ilvl w:val="1"/>
          <w:numId w:val="25"/>
        </w:numPr>
        <w:jc w:val="both"/>
        <w:rPr>
          <w:rFonts w:ascii="Arial" w:hAnsi="Arial" w:cs="Arial"/>
          <w:i/>
          <w:sz w:val="20"/>
          <w:szCs w:val="22"/>
        </w:rPr>
      </w:pPr>
      <w:r w:rsidRPr="00AA4B60">
        <w:rPr>
          <w:rFonts w:ascii="Arial" w:hAnsi="Arial"/>
          <w:sz w:val="22"/>
          <w:szCs w:val="22"/>
        </w:rPr>
        <w:t xml:space="preserve">Any significant safety concerns regarding </w:t>
      </w:r>
      <w:r w:rsidR="00AA4B60">
        <w:rPr>
          <w:rFonts w:ascii="Arial" w:hAnsi="Arial"/>
          <w:sz w:val="22"/>
          <w:szCs w:val="22"/>
        </w:rPr>
        <w:t>generic</w:t>
      </w:r>
      <w:r w:rsidRPr="00AA4B60">
        <w:rPr>
          <w:rFonts w:ascii="Arial" w:hAnsi="Arial"/>
          <w:sz w:val="22"/>
          <w:szCs w:val="22"/>
        </w:rPr>
        <w:t xml:space="preserve"> formulations of oxycodone </w:t>
      </w:r>
      <w:r w:rsidR="00EE7EAD">
        <w:rPr>
          <w:rFonts w:ascii="Arial" w:hAnsi="Arial"/>
          <w:sz w:val="22"/>
          <w:szCs w:val="22"/>
        </w:rPr>
        <w:t>modified</w:t>
      </w:r>
      <w:r w:rsidR="006837FA">
        <w:rPr>
          <w:rFonts w:ascii="Arial" w:hAnsi="Arial"/>
          <w:sz w:val="22"/>
          <w:szCs w:val="22"/>
        </w:rPr>
        <w:t xml:space="preserve"> </w:t>
      </w:r>
      <w:r w:rsidRPr="00AA4B60">
        <w:rPr>
          <w:rFonts w:ascii="Arial" w:hAnsi="Arial"/>
          <w:sz w:val="22"/>
          <w:szCs w:val="22"/>
        </w:rPr>
        <w:t xml:space="preserve">release </w:t>
      </w:r>
      <w:r w:rsidR="003A464B">
        <w:rPr>
          <w:rFonts w:ascii="Arial" w:hAnsi="Arial"/>
          <w:sz w:val="22"/>
          <w:szCs w:val="22"/>
        </w:rPr>
        <w:t xml:space="preserve">would normally </w:t>
      </w:r>
      <w:r w:rsidRPr="00AA4B60">
        <w:rPr>
          <w:rFonts w:ascii="Arial" w:hAnsi="Arial"/>
          <w:sz w:val="22"/>
          <w:szCs w:val="22"/>
        </w:rPr>
        <w:t>be addressed by the T</w:t>
      </w:r>
      <w:r w:rsidR="00FB3AB3">
        <w:rPr>
          <w:rFonts w:ascii="Arial" w:hAnsi="Arial"/>
          <w:sz w:val="22"/>
          <w:szCs w:val="22"/>
        </w:rPr>
        <w:t>G</w:t>
      </w:r>
      <w:r w:rsidRPr="00AA4B60">
        <w:rPr>
          <w:rFonts w:ascii="Arial" w:hAnsi="Arial"/>
          <w:sz w:val="22"/>
          <w:szCs w:val="22"/>
        </w:rPr>
        <w:t>A.</w:t>
      </w:r>
      <w:r w:rsidR="00133F99">
        <w:rPr>
          <w:rFonts w:ascii="Arial" w:hAnsi="Arial"/>
          <w:sz w:val="22"/>
          <w:szCs w:val="22"/>
        </w:rPr>
        <w:t xml:space="preserve"> Under the </w:t>
      </w:r>
      <w:r w:rsidR="00133F99">
        <w:rPr>
          <w:rFonts w:ascii="Arial" w:hAnsi="Arial"/>
          <w:i/>
          <w:sz w:val="22"/>
          <w:szCs w:val="22"/>
        </w:rPr>
        <w:t xml:space="preserve">Therapeutic Goods Act 1989, </w:t>
      </w:r>
      <w:r w:rsidR="00133F99" w:rsidRPr="00E75A9E">
        <w:rPr>
          <w:rFonts w:ascii="Arial" w:hAnsi="Arial"/>
          <w:sz w:val="22"/>
          <w:szCs w:val="22"/>
        </w:rPr>
        <w:t>the Secretary can remove approved medicines from the ARTG</w:t>
      </w:r>
      <w:r w:rsidR="00596763">
        <w:rPr>
          <w:rFonts w:ascii="Arial" w:hAnsi="Arial"/>
          <w:sz w:val="22"/>
          <w:szCs w:val="22"/>
        </w:rPr>
        <w:t xml:space="preserve"> </w:t>
      </w:r>
      <w:r w:rsidR="0087093B">
        <w:rPr>
          <w:rFonts w:ascii="Arial" w:hAnsi="Arial" w:cs="Arial"/>
          <w:sz w:val="22"/>
          <w:szCs w:val="22"/>
        </w:rPr>
        <w:t xml:space="preserve">on </w:t>
      </w:r>
      <w:r w:rsidR="00AA4B60" w:rsidRPr="00AA4B60">
        <w:rPr>
          <w:rFonts w:ascii="Arial" w:hAnsi="Arial" w:cs="Arial"/>
          <w:sz w:val="22"/>
          <w:szCs w:val="22"/>
        </w:rPr>
        <w:t xml:space="preserve">grounds </w:t>
      </w:r>
      <w:r w:rsidR="0087093B">
        <w:rPr>
          <w:rFonts w:ascii="Arial" w:hAnsi="Arial" w:cs="Arial"/>
          <w:sz w:val="22"/>
          <w:szCs w:val="22"/>
        </w:rPr>
        <w:t>including</w:t>
      </w:r>
      <w:r w:rsidR="00AA4B60" w:rsidRPr="00AA4B60">
        <w:rPr>
          <w:rFonts w:ascii="Arial" w:hAnsi="Arial" w:cs="Arial"/>
          <w:sz w:val="22"/>
          <w:szCs w:val="22"/>
        </w:rPr>
        <w:t xml:space="preserve"> where failure to cancel the product would result in an imminent risk of death, serious illness or serious injury, or where it appears to the Secretary that the safety, quality or efficacy of the product is unacceptable.  Given that the TGA granted original approval for the generic products on the basis that the safety, quality and efficacy was satisfactorily established, the delegate would have to be satisfied that the risk-benefit balance has changed sufficiently to warrant such action.</w:t>
      </w:r>
      <w:r w:rsidR="00AA4B60" w:rsidRPr="00AA4B60">
        <w:rPr>
          <w:rFonts w:ascii="Arial" w:hAnsi="Arial" w:cs="Arial"/>
        </w:rPr>
        <w:t xml:space="preserve">   </w:t>
      </w:r>
    </w:p>
    <w:p w:rsidR="00EE7EAD" w:rsidRPr="006B4B84" w:rsidRDefault="00EE7EAD" w:rsidP="006B4B84">
      <w:pPr>
        <w:pStyle w:val="ListParagraph"/>
        <w:rPr>
          <w:rFonts w:ascii="Arial" w:hAnsi="Arial" w:cs="Arial"/>
          <w:i/>
          <w:sz w:val="20"/>
          <w:szCs w:val="22"/>
        </w:rPr>
      </w:pPr>
    </w:p>
    <w:p w:rsidR="00A04C60" w:rsidRDefault="00EE7EAD" w:rsidP="00A04C60">
      <w:pPr>
        <w:pStyle w:val="ListParagraph"/>
        <w:numPr>
          <w:ilvl w:val="1"/>
          <w:numId w:val="25"/>
        </w:numPr>
        <w:jc w:val="both"/>
        <w:rPr>
          <w:rFonts w:ascii="Arial" w:hAnsi="Arial" w:cs="Arial"/>
          <w:sz w:val="22"/>
          <w:szCs w:val="22"/>
        </w:rPr>
      </w:pPr>
      <w:r w:rsidRPr="006B4B84">
        <w:rPr>
          <w:rFonts w:ascii="Arial" w:hAnsi="Arial" w:cs="Arial"/>
          <w:sz w:val="22"/>
          <w:szCs w:val="22"/>
        </w:rPr>
        <w:lastRenderedPageBreak/>
        <w:t>Abuse-deterrent OxyContin</w:t>
      </w:r>
      <w:r w:rsidR="000C67AA" w:rsidRPr="00031528">
        <w:rPr>
          <w:rFonts w:ascii="Arial" w:hAnsi="Arial" w:cs="Arial"/>
          <w:sz w:val="22"/>
          <w:szCs w:val="22"/>
          <w:vertAlign w:val="superscript"/>
        </w:rPr>
        <w:t>®</w:t>
      </w:r>
      <w:r w:rsidRPr="006B4B84">
        <w:rPr>
          <w:rFonts w:ascii="Arial" w:hAnsi="Arial" w:cs="Arial"/>
          <w:sz w:val="22"/>
          <w:szCs w:val="22"/>
        </w:rPr>
        <w:t xml:space="preserve"> is not recommended for patients with swallowing difficulties, patients with mechanical bowel obstruction, and patients prone to intestinal obstruction because of conditions such as bowel cancer or excessive bowel inflammation and swelling due to Crohn’s disease. The availability of a generic brand of oxycodone</w:t>
      </w:r>
      <w:r w:rsidR="00BB5703">
        <w:rPr>
          <w:rFonts w:ascii="Arial" w:hAnsi="Arial" w:cs="Arial"/>
          <w:sz w:val="22"/>
          <w:szCs w:val="22"/>
        </w:rPr>
        <w:t>, without abuse-</w:t>
      </w:r>
      <w:r w:rsidR="00596763">
        <w:rPr>
          <w:rFonts w:ascii="Arial" w:hAnsi="Arial" w:cs="Arial"/>
          <w:sz w:val="22"/>
          <w:szCs w:val="22"/>
        </w:rPr>
        <w:t>deterrent properties</w:t>
      </w:r>
      <w:r w:rsidR="003B7970">
        <w:rPr>
          <w:rFonts w:ascii="Arial" w:hAnsi="Arial" w:cs="Arial"/>
          <w:sz w:val="22"/>
          <w:szCs w:val="22"/>
        </w:rPr>
        <w:t>,</w:t>
      </w:r>
      <w:r w:rsidRPr="006B4B84">
        <w:rPr>
          <w:rFonts w:ascii="Arial" w:hAnsi="Arial" w:cs="Arial"/>
          <w:sz w:val="22"/>
          <w:szCs w:val="22"/>
        </w:rPr>
        <w:t xml:space="preserve"> would provide an alternative treatment option for these patients. </w:t>
      </w:r>
    </w:p>
    <w:p w:rsidR="00A04C60" w:rsidRPr="00A04C60" w:rsidRDefault="00A04C60" w:rsidP="00A04C60">
      <w:pPr>
        <w:pStyle w:val="ListParagraph"/>
        <w:jc w:val="both"/>
        <w:rPr>
          <w:rFonts w:ascii="Arial" w:hAnsi="Arial" w:cs="Arial"/>
          <w:sz w:val="22"/>
          <w:szCs w:val="22"/>
        </w:rPr>
      </w:pPr>
    </w:p>
    <w:p w:rsidR="00A1725C" w:rsidRDefault="007C3826" w:rsidP="00B838A8">
      <w:pPr>
        <w:pStyle w:val="ListParagraph"/>
        <w:numPr>
          <w:ilvl w:val="1"/>
          <w:numId w:val="25"/>
        </w:numPr>
        <w:jc w:val="both"/>
        <w:rPr>
          <w:rFonts w:ascii="Arial" w:hAnsi="Arial" w:cs="Arial"/>
          <w:sz w:val="22"/>
          <w:szCs w:val="22"/>
        </w:rPr>
      </w:pPr>
      <w:r w:rsidRPr="00A1725C">
        <w:rPr>
          <w:rFonts w:ascii="Arial" w:hAnsi="Arial" w:cs="Arial"/>
          <w:sz w:val="22"/>
          <w:szCs w:val="22"/>
        </w:rPr>
        <w:t xml:space="preserve">There is some evidence emerging from overseas, and reported in the medical literature, which indicates that while the release of </w:t>
      </w:r>
      <w:proofErr w:type="spellStart"/>
      <w:r w:rsidRPr="00A1725C">
        <w:rPr>
          <w:rFonts w:ascii="Arial" w:hAnsi="Arial" w:cs="Arial"/>
          <w:sz w:val="22"/>
          <w:szCs w:val="22"/>
        </w:rPr>
        <w:t>Mundipharma’s</w:t>
      </w:r>
      <w:proofErr w:type="spellEnd"/>
      <w:r w:rsidRPr="00A1725C">
        <w:rPr>
          <w:rFonts w:ascii="Arial" w:hAnsi="Arial" w:cs="Arial"/>
          <w:sz w:val="22"/>
          <w:szCs w:val="22"/>
        </w:rPr>
        <w:t xml:space="preserve"> abuse-deterrent OxyContin</w:t>
      </w:r>
      <w:r w:rsidRPr="00A1725C">
        <w:rPr>
          <w:rFonts w:ascii="Arial" w:hAnsi="Arial" w:cs="Arial"/>
          <w:sz w:val="22"/>
          <w:szCs w:val="22"/>
          <w:vertAlign w:val="superscript"/>
        </w:rPr>
        <w:t>®</w:t>
      </w:r>
      <w:r w:rsidRPr="00A1725C">
        <w:rPr>
          <w:rFonts w:ascii="Arial" w:hAnsi="Arial" w:cs="Arial"/>
          <w:sz w:val="22"/>
          <w:szCs w:val="22"/>
        </w:rPr>
        <w:t xml:space="preserve"> formulation has been associated with a reduction in injuries or deaths from oxycodone, there has been a rise in the abuse of other opioid medications, such</w:t>
      </w:r>
      <w:r w:rsidR="005F1270">
        <w:rPr>
          <w:rFonts w:ascii="Arial" w:hAnsi="Arial" w:cs="Arial"/>
          <w:sz w:val="22"/>
          <w:szCs w:val="22"/>
        </w:rPr>
        <w:t xml:space="preserve"> as fentanyl and </w:t>
      </w:r>
      <w:r w:rsidRPr="00A1725C">
        <w:rPr>
          <w:rFonts w:ascii="Arial" w:hAnsi="Arial" w:cs="Arial"/>
          <w:sz w:val="22"/>
          <w:szCs w:val="22"/>
        </w:rPr>
        <w:t xml:space="preserve">heroin. </w:t>
      </w:r>
    </w:p>
    <w:p w:rsidR="007C3826" w:rsidRPr="005F1270" w:rsidRDefault="007C3826" w:rsidP="005F1270">
      <w:pPr>
        <w:pStyle w:val="ListParagraph"/>
        <w:jc w:val="both"/>
      </w:pPr>
    </w:p>
    <w:p w:rsidR="00EE7EAD" w:rsidRPr="00A04C60" w:rsidRDefault="00DC1656" w:rsidP="00A04C60">
      <w:pPr>
        <w:pStyle w:val="ListParagraph"/>
        <w:numPr>
          <w:ilvl w:val="1"/>
          <w:numId w:val="25"/>
        </w:numPr>
        <w:jc w:val="both"/>
        <w:rPr>
          <w:rFonts w:ascii="Arial" w:hAnsi="Arial" w:cs="Arial"/>
          <w:sz w:val="22"/>
          <w:szCs w:val="22"/>
        </w:rPr>
      </w:pPr>
      <w:r w:rsidRPr="007C3826">
        <w:rPr>
          <w:rFonts w:ascii="Arial" w:hAnsi="Arial" w:cs="Arial"/>
          <w:sz w:val="22"/>
          <w:szCs w:val="22"/>
        </w:rPr>
        <w:t>The PBAC were advise</w:t>
      </w:r>
      <w:r w:rsidR="007C3826">
        <w:rPr>
          <w:rFonts w:ascii="Arial" w:hAnsi="Arial" w:cs="Arial"/>
          <w:sz w:val="22"/>
          <w:szCs w:val="22"/>
        </w:rPr>
        <w:t>d</w:t>
      </w:r>
      <w:r w:rsidRPr="007C3826">
        <w:rPr>
          <w:rFonts w:ascii="Arial" w:hAnsi="Arial" w:cs="Arial"/>
          <w:sz w:val="22"/>
          <w:szCs w:val="22"/>
        </w:rPr>
        <w:t xml:space="preserve"> that at</w:t>
      </w:r>
      <w:r w:rsidR="00BD532B" w:rsidRPr="007C3826">
        <w:rPr>
          <w:rFonts w:ascii="Arial" w:hAnsi="Arial" w:cs="Arial"/>
          <w:sz w:val="22"/>
          <w:szCs w:val="22"/>
        </w:rPr>
        <w:t xml:space="preserve"> the</w:t>
      </w:r>
      <w:r w:rsidR="00BD532B" w:rsidRPr="00A04C60">
        <w:rPr>
          <w:rFonts w:ascii="Arial" w:hAnsi="Arial" w:cs="Arial"/>
          <w:sz w:val="22"/>
          <w:szCs w:val="22"/>
        </w:rPr>
        <w:t xml:space="preserve"> Senate Estimates Hearing on Community Affairs Legislation Committee on 2 June 2014</w:t>
      </w:r>
      <w:r w:rsidR="00BB5703" w:rsidRPr="00A04C60">
        <w:rPr>
          <w:rFonts w:ascii="Arial" w:hAnsi="Arial" w:cs="Arial"/>
          <w:sz w:val="22"/>
          <w:szCs w:val="22"/>
        </w:rPr>
        <w:t>,</w:t>
      </w:r>
      <w:r w:rsidR="00BD532B" w:rsidRPr="00A04C60">
        <w:rPr>
          <w:rFonts w:ascii="Arial" w:hAnsi="Arial" w:cs="Arial"/>
          <w:sz w:val="22"/>
          <w:szCs w:val="22"/>
        </w:rPr>
        <w:t xml:space="preserve"> it was reported that</w:t>
      </w:r>
      <w:r w:rsidR="00EE7EAD" w:rsidRPr="00A04C60">
        <w:rPr>
          <w:rFonts w:ascii="Arial" w:hAnsi="Arial" w:cs="Arial"/>
          <w:sz w:val="22"/>
          <w:szCs w:val="22"/>
        </w:rPr>
        <w:t xml:space="preserve"> the Sydney Medically Supervised Injecting Centre has advised that injecting drug users in Australia are now successfully injecting the abuse-deterrent formulation. </w:t>
      </w:r>
    </w:p>
    <w:p w:rsidR="00476FDD" w:rsidRPr="006B4B84" w:rsidRDefault="00476FDD" w:rsidP="002F7087">
      <w:pPr>
        <w:rPr>
          <w:sz w:val="20"/>
        </w:rPr>
      </w:pPr>
    </w:p>
    <w:p w:rsidR="001F3AEC" w:rsidRPr="006B4B84" w:rsidRDefault="00BE7A5C" w:rsidP="006B4B84">
      <w:pPr>
        <w:pStyle w:val="ListParagraph"/>
        <w:numPr>
          <w:ilvl w:val="1"/>
          <w:numId w:val="25"/>
        </w:numPr>
        <w:jc w:val="both"/>
        <w:rPr>
          <w:rFonts w:ascii="Arial" w:hAnsi="Arial" w:cs="Arial"/>
          <w:i/>
          <w:sz w:val="22"/>
          <w:szCs w:val="22"/>
        </w:rPr>
      </w:pPr>
      <w:r w:rsidRPr="00EB60FB">
        <w:rPr>
          <w:rFonts w:ascii="Arial" w:hAnsi="Arial" w:cs="Arial"/>
          <w:sz w:val="22"/>
          <w:szCs w:val="22"/>
        </w:rPr>
        <w:t xml:space="preserve">The submission </w:t>
      </w:r>
      <w:r w:rsidRPr="009F297C">
        <w:rPr>
          <w:rFonts w:ascii="Arial" w:hAnsi="Arial" w:cs="Arial"/>
          <w:sz w:val="22"/>
          <w:szCs w:val="22"/>
        </w:rPr>
        <w:t xml:space="preserve">suggests that if non-abuse deterrent formulations of oxycodone are to be introduced onto the PBS then the Schedule should clearly </w:t>
      </w:r>
      <w:r w:rsidRPr="000F054D">
        <w:rPr>
          <w:rFonts w:ascii="Arial" w:hAnsi="Arial" w:cs="Arial"/>
          <w:sz w:val="22"/>
          <w:szCs w:val="22"/>
        </w:rPr>
        <w:t xml:space="preserve">differentiate between abuse-deterrent and non-abuse-deterrent formulations to avoid confusion by health care providers. </w:t>
      </w:r>
    </w:p>
    <w:p w:rsidR="001F3AEC" w:rsidRPr="006B4B84" w:rsidRDefault="001F3AEC" w:rsidP="006B4B84">
      <w:pPr>
        <w:pStyle w:val="ListParagraph"/>
        <w:rPr>
          <w:rFonts w:ascii="Arial" w:hAnsi="Arial" w:cs="Arial"/>
          <w:sz w:val="22"/>
          <w:szCs w:val="22"/>
        </w:rPr>
      </w:pPr>
    </w:p>
    <w:p w:rsidR="008C7249" w:rsidRDefault="00133F99" w:rsidP="00470BD1">
      <w:pPr>
        <w:pStyle w:val="ListParagraph"/>
        <w:rPr>
          <w:rFonts w:ascii="Arial" w:hAnsi="Arial" w:cs="Arial"/>
          <w:sz w:val="22"/>
          <w:szCs w:val="22"/>
        </w:rPr>
      </w:pPr>
      <w:r>
        <w:rPr>
          <w:rFonts w:ascii="Arial" w:hAnsi="Arial" w:cs="Arial"/>
          <w:sz w:val="22"/>
          <w:szCs w:val="22"/>
        </w:rPr>
        <w:t>The Department advised that t</w:t>
      </w:r>
      <w:r w:rsidR="003A464B">
        <w:rPr>
          <w:rFonts w:ascii="Arial" w:hAnsi="Arial" w:cs="Arial"/>
          <w:sz w:val="22"/>
          <w:szCs w:val="22"/>
        </w:rPr>
        <w:t xml:space="preserve">he following </w:t>
      </w:r>
      <w:r w:rsidR="001F3AEC" w:rsidRPr="001F3AEC">
        <w:rPr>
          <w:rFonts w:ascii="Arial" w:hAnsi="Arial" w:cs="Arial"/>
          <w:sz w:val="22"/>
          <w:szCs w:val="22"/>
        </w:rPr>
        <w:t xml:space="preserve">note will be included in the PBS schedule </w:t>
      </w:r>
      <w:r w:rsidR="003A464B">
        <w:rPr>
          <w:rFonts w:ascii="Arial" w:hAnsi="Arial" w:cs="Arial"/>
          <w:sz w:val="22"/>
          <w:szCs w:val="22"/>
        </w:rPr>
        <w:t>to</w:t>
      </w:r>
      <w:r w:rsidR="003A464B" w:rsidRPr="001F3AEC">
        <w:rPr>
          <w:rFonts w:ascii="Arial" w:hAnsi="Arial" w:cs="Arial"/>
          <w:sz w:val="22"/>
          <w:szCs w:val="22"/>
        </w:rPr>
        <w:t xml:space="preserve"> </w:t>
      </w:r>
      <w:r w:rsidR="001F3AEC" w:rsidRPr="001F3AEC">
        <w:rPr>
          <w:rFonts w:ascii="Arial" w:hAnsi="Arial" w:cs="Arial"/>
          <w:sz w:val="22"/>
          <w:szCs w:val="22"/>
        </w:rPr>
        <w:t>make the difference in the formulations clear to assist prescribers to prescribe the most suitable product to meet the clinical needs of their patients</w:t>
      </w:r>
      <w:r w:rsidR="008C7249">
        <w:rPr>
          <w:rFonts w:ascii="Arial" w:hAnsi="Arial" w:cs="Arial"/>
          <w:sz w:val="22"/>
          <w:szCs w:val="22"/>
        </w:rPr>
        <w:t>:</w:t>
      </w:r>
      <w:r w:rsidR="00D36ECF">
        <w:rPr>
          <w:rFonts w:ascii="Arial" w:hAnsi="Arial" w:cs="Arial"/>
          <w:sz w:val="22"/>
          <w:szCs w:val="22"/>
        </w:rPr>
        <w:t xml:space="preserve"> </w:t>
      </w:r>
    </w:p>
    <w:p w:rsidR="008C7249" w:rsidRDefault="008C7249" w:rsidP="00470BD1">
      <w:pPr>
        <w:pStyle w:val="ListParagraph"/>
        <w:rPr>
          <w:rFonts w:ascii="Arial" w:hAnsi="Arial" w:cs="Arial"/>
          <w:sz w:val="22"/>
          <w:szCs w:val="22"/>
        </w:rPr>
      </w:pPr>
    </w:p>
    <w:p w:rsidR="003A464B" w:rsidRPr="00470BD1" w:rsidRDefault="008C7249" w:rsidP="00470BD1">
      <w:pPr>
        <w:ind w:firstLine="720"/>
        <w:rPr>
          <w:rFonts w:ascii="Arial" w:hAnsi="Arial" w:cs="Arial"/>
          <w:sz w:val="22"/>
          <w:szCs w:val="22"/>
        </w:rPr>
      </w:pPr>
      <w:r>
        <w:rPr>
          <w:rFonts w:ascii="Arial" w:hAnsi="Arial" w:cs="Arial"/>
          <w:sz w:val="22"/>
          <w:szCs w:val="22"/>
        </w:rPr>
        <w:tab/>
      </w:r>
      <w:r w:rsidR="003A464B" w:rsidRPr="00470BD1">
        <w:rPr>
          <w:rFonts w:ascii="Arial" w:hAnsi="Arial" w:cs="Arial"/>
          <w:sz w:val="22"/>
          <w:szCs w:val="22"/>
          <w:u w:val="single"/>
        </w:rPr>
        <w:t>Note</w:t>
      </w:r>
    </w:p>
    <w:p w:rsidR="00470BD1" w:rsidRDefault="00B22DF9" w:rsidP="00470BD1">
      <w:pPr>
        <w:ind w:left="1440" w:right="946"/>
        <w:rPr>
          <w:rFonts w:ascii="Arial" w:hAnsi="Arial" w:cs="Arial"/>
          <w:sz w:val="22"/>
          <w:szCs w:val="22"/>
        </w:rPr>
      </w:pPr>
      <w:r w:rsidRPr="003A464B">
        <w:rPr>
          <w:rFonts w:ascii="Arial" w:hAnsi="Arial" w:cs="Arial"/>
          <w:sz w:val="22"/>
          <w:szCs w:val="22"/>
        </w:rPr>
        <w:t>OxyContin</w:t>
      </w:r>
      <w:r w:rsidR="003A464B" w:rsidRPr="003A464B">
        <w:rPr>
          <w:rFonts w:ascii="Arial" w:hAnsi="Arial" w:cs="Arial"/>
          <w:sz w:val="22"/>
          <w:szCs w:val="22"/>
        </w:rPr>
        <w:t xml:space="preserve"> modified release tablets are intended to be crush-deterrent and to reduce the rapid release of oxycodone upon accidental or intentional misuse.</w:t>
      </w:r>
    </w:p>
    <w:p w:rsidR="00587C10" w:rsidRDefault="00587C10" w:rsidP="00470BD1">
      <w:pPr>
        <w:ind w:left="1440" w:right="946"/>
        <w:rPr>
          <w:rFonts w:ascii="Arial" w:hAnsi="Arial"/>
          <w:b/>
          <w:sz w:val="22"/>
          <w:szCs w:val="22"/>
        </w:rPr>
      </w:pPr>
    </w:p>
    <w:p w:rsidR="0063777A" w:rsidRPr="00882085" w:rsidRDefault="0063777A" w:rsidP="00470BD1">
      <w:pPr>
        <w:ind w:left="1440" w:right="946"/>
        <w:rPr>
          <w:rFonts w:ascii="Arial" w:hAnsi="Arial"/>
          <w:b/>
          <w:sz w:val="22"/>
          <w:szCs w:val="22"/>
        </w:rPr>
      </w:pPr>
    </w:p>
    <w:p w:rsidR="00ED64AA" w:rsidRPr="00ED64AA" w:rsidRDefault="00ED64AA" w:rsidP="00ED64AA">
      <w:pPr>
        <w:pStyle w:val="ListParagraph"/>
        <w:numPr>
          <w:ilvl w:val="0"/>
          <w:numId w:val="25"/>
        </w:numPr>
        <w:jc w:val="both"/>
        <w:rPr>
          <w:rFonts w:ascii="Arial" w:hAnsi="Arial"/>
          <w:sz w:val="22"/>
          <w:szCs w:val="22"/>
        </w:rPr>
      </w:pPr>
      <w:r>
        <w:rPr>
          <w:rFonts w:ascii="Arial" w:hAnsi="Arial"/>
          <w:b/>
          <w:sz w:val="22"/>
          <w:szCs w:val="22"/>
        </w:rPr>
        <w:t>Clinical claim</w:t>
      </w:r>
    </w:p>
    <w:p w:rsidR="00ED64AA" w:rsidRPr="00ED64AA" w:rsidRDefault="00ED64AA" w:rsidP="00ED64AA">
      <w:pPr>
        <w:pStyle w:val="ListParagraph"/>
        <w:jc w:val="both"/>
        <w:rPr>
          <w:rFonts w:ascii="Arial" w:hAnsi="Arial"/>
          <w:sz w:val="22"/>
          <w:szCs w:val="22"/>
        </w:rPr>
      </w:pPr>
    </w:p>
    <w:p w:rsidR="00ED64AA" w:rsidRDefault="00ED64AA" w:rsidP="00ED64AA">
      <w:pPr>
        <w:pStyle w:val="ListParagraph"/>
        <w:numPr>
          <w:ilvl w:val="1"/>
          <w:numId w:val="25"/>
        </w:numPr>
        <w:jc w:val="both"/>
        <w:rPr>
          <w:rFonts w:ascii="Arial" w:hAnsi="Arial"/>
          <w:sz w:val="22"/>
          <w:szCs w:val="22"/>
        </w:rPr>
      </w:pPr>
      <w:r>
        <w:rPr>
          <w:rFonts w:ascii="Arial" w:hAnsi="Arial"/>
          <w:sz w:val="22"/>
          <w:szCs w:val="22"/>
        </w:rPr>
        <w:t xml:space="preserve">As this is a minor submission, no claim of superiority in relation to comparative harms of the abuse-deterrent formulation compared to the </w:t>
      </w:r>
      <w:r w:rsidR="00D4306A">
        <w:rPr>
          <w:rFonts w:ascii="Arial" w:hAnsi="Arial"/>
          <w:sz w:val="22"/>
          <w:szCs w:val="22"/>
        </w:rPr>
        <w:t>generic</w:t>
      </w:r>
      <w:r w:rsidR="009040F5">
        <w:rPr>
          <w:rFonts w:ascii="Arial" w:hAnsi="Arial"/>
          <w:sz w:val="22"/>
          <w:szCs w:val="22"/>
        </w:rPr>
        <w:t xml:space="preserve"> formulations has been assessed</w:t>
      </w:r>
      <w:r>
        <w:rPr>
          <w:rFonts w:ascii="Arial" w:hAnsi="Arial"/>
          <w:sz w:val="22"/>
          <w:szCs w:val="22"/>
        </w:rPr>
        <w:t xml:space="preserve">.  </w:t>
      </w:r>
    </w:p>
    <w:p w:rsidR="00942213" w:rsidRPr="00135B30" w:rsidRDefault="00942213" w:rsidP="00135B30">
      <w:pPr>
        <w:jc w:val="both"/>
        <w:rPr>
          <w:rFonts w:ascii="Arial" w:hAnsi="Arial"/>
          <w:sz w:val="22"/>
          <w:szCs w:val="22"/>
        </w:rPr>
      </w:pPr>
    </w:p>
    <w:p w:rsidR="00B22DF9" w:rsidRDefault="00B22DF9">
      <w:pPr>
        <w:rPr>
          <w:rFonts w:ascii="Arial" w:hAnsi="Arial"/>
          <w:b/>
          <w:sz w:val="22"/>
          <w:szCs w:val="22"/>
        </w:rPr>
      </w:pPr>
    </w:p>
    <w:p w:rsidR="00942213" w:rsidRPr="00882085" w:rsidRDefault="00942213" w:rsidP="00942213">
      <w:pPr>
        <w:pStyle w:val="ListParagraph"/>
        <w:numPr>
          <w:ilvl w:val="0"/>
          <w:numId w:val="25"/>
        </w:numPr>
        <w:jc w:val="both"/>
        <w:rPr>
          <w:rFonts w:ascii="Arial" w:hAnsi="Arial"/>
          <w:b/>
          <w:sz w:val="22"/>
          <w:szCs w:val="22"/>
        </w:rPr>
      </w:pPr>
      <w:r w:rsidRPr="00882085">
        <w:rPr>
          <w:rFonts w:ascii="Arial" w:hAnsi="Arial"/>
          <w:b/>
          <w:sz w:val="22"/>
          <w:szCs w:val="22"/>
        </w:rPr>
        <w:t>PBAC consideration of the evidence</w:t>
      </w:r>
    </w:p>
    <w:p w:rsidR="00942213" w:rsidRDefault="00942213" w:rsidP="00942213">
      <w:pPr>
        <w:jc w:val="both"/>
        <w:rPr>
          <w:rFonts w:ascii="Arial" w:hAnsi="Arial"/>
          <w:b/>
          <w:sz w:val="22"/>
          <w:szCs w:val="22"/>
        </w:rPr>
      </w:pPr>
    </w:p>
    <w:p w:rsidR="00942213" w:rsidRPr="0063777A" w:rsidRDefault="00942213" w:rsidP="00942213">
      <w:pPr>
        <w:jc w:val="both"/>
        <w:rPr>
          <w:rFonts w:ascii="Arial" w:hAnsi="Arial"/>
          <w:b/>
          <w:sz w:val="22"/>
          <w:szCs w:val="22"/>
        </w:rPr>
      </w:pPr>
      <w:r w:rsidRPr="0063777A">
        <w:rPr>
          <w:rFonts w:ascii="Arial" w:hAnsi="Arial"/>
          <w:b/>
          <w:sz w:val="22"/>
          <w:szCs w:val="22"/>
        </w:rPr>
        <w:t>Sponsor hearing</w:t>
      </w:r>
    </w:p>
    <w:p w:rsidR="00942213" w:rsidRPr="00882085" w:rsidRDefault="00942213" w:rsidP="00942213">
      <w:pPr>
        <w:ind w:left="709"/>
        <w:jc w:val="both"/>
        <w:rPr>
          <w:rFonts w:ascii="Arial" w:hAnsi="Arial"/>
          <w:b/>
          <w:sz w:val="22"/>
          <w:szCs w:val="22"/>
        </w:rPr>
      </w:pPr>
    </w:p>
    <w:p w:rsidR="00942213" w:rsidRDefault="00942213" w:rsidP="00942213">
      <w:pPr>
        <w:pStyle w:val="ListParagraph"/>
        <w:numPr>
          <w:ilvl w:val="1"/>
          <w:numId w:val="25"/>
        </w:numPr>
        <w:jc w:val="both"/>
        <w:rPr>
          <w:rFonts w:ascii="Arial" w:hAnsi="Arial"/>
          <w:sz w:val="22"/>
          <w:szCs w:val="22"/>
        </w:rPr>
      </w:pPr>
      <w:r>
        <w:rPr>
          <w:rFonts w:ascii="Arial" w:hAnsi="Arial"/>
          <w:sz w:val="22"/>
          <w:szCs w:val="22"/>
        </w:rPr>
        <w:t xml:space="preserve">There was no hearing for this item as </w:t>
      </w:r>
      <w:r w:rsidR="0063777A">
        <w:rPr>
          <w:rFonts w:ascii="Arial" w:hAnsi="Arial"/>
          <w:sz w:val="22"/>
          <w:szCs w:val="22"/>
        </w:rPr>
        <w:t>it was</w:t>
      </w:r>
      <w:r>
        <w:rPr>
          <w:rFonts w:ascii="Arial" w:hAnsi="Arial"/>
          <w:sz w:val="22"/>
          <w:szCs w:val="22"/>
        </w:rPr>
        <w:t xml:space="preserve"> a minor submission. </w:t>
      </w:r>
    </w:p>
    <w:p w:rsidR="00942213" w:rsidRDefault="00942213" w:rsidP="00942213">
      <w:pPr>
        <w:pStyle w:val="ListParagraph"/>
        <w:ind w:left="709"/>
        <w:jc w:val="both"/>
        <w:rPr>
          <w:rFonts w:ascii="Arial" w:hAnsi="Arial"/>
          <w:sz w:val="22"/>
          <w:szCs w:val="22"/>
        </w:rPr>
      </w:pPr>
    </w:p>
    <w:p w:rsidR="00942213" w:rsidRPr="0063777A" w:rsidRDefault="00942213" w:rsidP="00942213">
      <w:pPr>
        <w:jc w:val="both"/>
        <w:rPr>
          <w:rFonts w:ascii="Arial" w:hAnsi="Arial"/>
          <w:b/>
          <w:sz w:val="22"/>
          <w:szCs w:val="22"/>
        </w:rPr>
      </w:pPr>
      <w:r w:rsidRPr="0063777A">
        <w:rPr>
          <w:rFonts w:ascii="Arial" w:hAnsi="Arial"/>
          <w:b/>
          <w:sz w:val="22"/>
          <w:szCs w:val="22"/>
        </w:rPr>
        <w:t>Consumer comments</w:t>
      </w:r>
    </w:p>
    <w:p w:rsidR="00942213" w:rsidRDefault="00942213" w:rsidP="00942213">
      <w:pPr>
        <w:pStyle w:val="ListParagraph"/>
        <w:ind w:left="709"/>
        <w:jc w:val="both"/>
        <w:rPr>
          <w:rFonts w:ascii="Arial" w:hAnsi="Arial"/>
          <w:sz w:val="22"/>
          <w:szCs w:val="22"/>
        </w:rPr>
      </w:pPr>
    </w:p>
    <w:p w:rsidR="002C079B" w:rsidRDefault="00942213" w:rsidP="00942213">
      <w:pPr>
        <w:pStyle w:val="ListParagraph"/>
        <w:numPr>
          <w:ilvl w:val="1"/>
          <w:numId w:val="25"/>
        </w:numPr>
        <w:jc w:val="both"/>
        <w:rPr>
          <w:rFonts w:ascii="Arial" w:hAnsi="Arial"/>
          <w:sz w:val="22"/>
          <w:szCs w:val="22"/>
        </w:rPr>
      </w:pPr>
      <w:r w:rsidRPr="00E25E6E">
        <w:rPr>
          <w:rFonts w:ascii="Arial" w:hAnsi="Arial"/>
          <w:sz w:val="22"/>
          <w:szCs w:val="22"/>
        </w:rPr>
        <w:lastRenderedPageBreak/>
        <w:t xml:space="preserve">The PBAC noted and welcomed the input from individuals (3), health care professionals (3) and organisations (7) via the Consumer Comments facility on the PBS website.  </w:t>
      </w:r>
    </w:p>
    <w:p w:rsidR="002C079B" w:rsidRDefault="002C079B" w:rsidP="006F3981">
      <w:pPr>
        <w:pStyle w:val="ListParagraph"/>
        <w:jc w:val="both"/>
        <w:rPr>
          <w:rFonts w:ascii="Arial" w:hAnsi="Arial"/>
          <w:sz w:val="22"/>
          <w:szCs w:val="22"/>
        </w:rPr>
      </w:pPr>
    </w:p>
    <w:p w:rsidR="00942213" w:rsidRPr="001B2AC8" w:rsidRDefault="002E0E8C" w:rsidP="00942213">
      <w:pPr>
        <w:pStyle w:val="ListParagraph"/>
        <w:numPr>
          <w:ilvl w:val="1"/>
          <w:numId w:val="25"/>
        </w:numPr>
        <w:jc w:val="both"/>
        <w:rPr>
          <w:rFonts w:ascii="Arial" w:hAnsi="Arial"/>
          <w:sz w:val="22"/>
          <w:szCs w:val="22"/>
        </w:rPr>
      </w:pPr>
      <w:r>
        <w:rPr>
          <w:rFonts w:ascii="Arial" w:hAnsi="Arial"/>
          <w:sz w:val="22"/>
          <w:szCs w:val="22"/>
        </w:rPr>
        <w:t xml:space="preserve">The majority </w:t>
      </w:r>
      <w:r w:rsidR="002C079B">
        <w:rPr>
          <w:rFonts w:ascii="Arial" w:hAnsi="Arial"/>
          <w:sz w:val="22"/>
          <w:szCs w:val="22"/>
        </w:rPr>
        <w:t>of t</w:t>
      </w:r>
      <w:r w:rsidR="00942213" w:rsidRPr="00E25E6E">
        <w:rPr>
          <w:rFonts w:ascii="Arial" w:hAnsi="Arial"/>
          <w:sz w:val="22"/>
          <w:szCs w:val="22"/>
        </w:rPr>
        <w:t>he comments</w:t>
      </w:r>
      <w:r w:rsidR="002C079B">
        <w:rPr>
          <w:rFonts w:ascii="Arial" w:hAnsi="Arial"/>
          <w:sz w:val="22"/>
          <w:szCs w:val="22"/>
        </w:rPr>
        <w:t xml:space="preserve"> received</w:t>
      </w:r>
      <w:r w:rsidR="003F75BD" w:rsidRPr="00E25E6E">
        <w:rPr>
          <w:rFonts w:ascii="Arial" w:hAnsi="Arial"/>
          <w:sz w:val="22"/>
          <w:szCs w:val="22"/>
        </w:rPr>
        <w:t xml:space="preserve"> </w:t>
      </w:r>
      <w:r w:rsidR="00942213" w:rsidRPr="00E25E6E">
        <w:rPr>
          <w:rFonts w:ascii="Arial" w:hAnsi="Arial"/>
          <w:sz w:val="22"/>
          <w:szCs w:val="22"/>
        </w:rPr>
        <w:t xml:space="preserve">described a range of </w:t>
      </w:r>
      <w:r w:rsidR="003F75BD" w:rsidRPr="00E25E6E">
        <w:rPr>
          <w:rFonts w:ascii="Arial" w:hAnsi="Arial"/>
          <w:sz w:val="22"/>
          <w:szCs w:val="22"/>
        </w:rPr>
        <w:t>potential harms in relation to</w:t>
      </w:r>
      <w:r w:rsidR="00942213" w:rsidRPr="00E25E6E">
        <w:rPr>
          <w:rFonts w:ascii="Arial" w:hAnsi="Arial"/>
          <w:sz w:val="22"/>
          <w:szCs w:val="22"/>
        </w:rPr>
        <w:t xml:space="preserve"> treatment with</w:t>
      </w:r>
      <w:r w:rsidR="003F75BD" w:rsidRPr="00E25E6E">
        <w:rPr>
          <w:rFonts w:ascii="Arial" w:hAnsi="Arial"/>
          <w:sz w:val="22"/>
          <w:szCs w:val="22"/>
        </w:rPr>
        <w:t xml:space="preserve"> non-</w:t>
      </w:r>
      <w:r w:rsidR="00942213" w:rsidRPr="00E25E6E">
        <w:rPr>
          <w:rFonts w:ascii="Arial" w:hAnsi="Arial"/>
          <w:sz w:val="22"/>
          <w:szCs w:val="22"/>
        </w:rPr>
        <w:t>abuse</w:t>
      </w:r>
      <w:r w:rsidR="003F75BD" w:rsidRPr="00E25E6E">
        <w:rPr>
          <w:rFonts w:ascii="Arial" w:hAnsi="Arial"/>
          <w:sz w:val="22"/>
          <w:szCs w:val="22"/>
        </w:rPr>
        <w:t xml:space="preserve"> </w:t>
      </w:r>
      <w:r w:rsidR="00942213" w:rsidRPr="00E25E6E">
        <w:rPr>
          <w:rFonts w:ascii="Arial" w:hAnsi="Arial"/>
          <w:sz w:val="22"/>
          <w:szCs w:val="22"/>
        </w:rPr>
        <w:t>deterrent oxycodone including</w:t>
      </w:r>
      <w:r w:rsidR="003F75BD" w:rsidRPr="00E25E6E">
        <w:rPr>
          <w:rFonts w:ascii="Arial" w:hAnsi="Arial"/>
          <w:sz w:val="22"/>
          <w:szCs w:val="22"/>
        </w:rPr>
        <w:t xml:space="preserve"> increased diversion and abuse, compromising patient care and safety while also placing pharmacists at risk in the workplace. </w:t>
      </w:r>
      <w:r w:rsidR="00592ABD">
        <w:rPr>
          <w:rFonts w:ascii="Arial" w:hAnsi="Arial"/>
          <w:sz w:val="22"/>
          <w:szCs w:val="22"/>
        </w:rPr>
        <w:t>These</w:t>
      </w:r>
      <w:r w:rsidR="007C3826">
        <w:rPr>
          <w:rFonts w:ascii="Arial" w:hAnsi="Arial"/>
          <w:sz w:val="22"/>
          <w:szCs w:val="22"/>
        </w:rPr>
        <w:t xml:space="preserve"> comments were received from the Pharmaceutical Society of Australia, Australian Pain Society, Society of Hospital Pharmacists of Australia, and the Australian and New Zealand College of Anaesthetists. </w:t>
      </w:r>
      <w:r w:rsidR="003F75BD" w:rsidRPr="00E25E6E">
        <w:rPr>
          <w:rFonts w:ascii="Arial" w:hAnsi="Arial"/>
          <w:sz w:val="22"/>
          <w:szCs w:val="22"/>
        </w:rPr>
        <w:t>It was stated</w:t>
      </w:r>
      <w:r w:rsidR="007C3826">
        <w:rPr>
          <w:rFonts w:ascii="Arial" w:hAnsi="Arial"/>
          <w:sz w:val="22"/>
          <w:szCs w:val="22"/>
        </w:rPr>
        <w:t xml:space="preserve"> by these organisations</w:t>
      </w:r>
      <w:r w:rsidR="003F75BD" w:rsidRPr="00E25E6E">
        <w:rPr>
          <w:rFonts w:ascii="Arial" w:hAnsi="Arial"/>
          <w:sz w:val="22"/>
          <w:szCs w:val="22"/>
        </w:rPr>
        <w:t xml:space="preserve"> that the risks of listing non-abuse deterrent formulations far outweighs any potential benefits, with this listing being irresponsible, costly and damaging to the community. Comments further highlighted that abuse deterrent formulations align with the National Pain Strategy (2010), the National Pharmaceutical Drug Misuse Framework for Action (2014), the Prescription Opioid Policy and the Drug Misuse Framework which promote the use of tamper-resistant technologies. </w:t>
      </w:r>
      <w:r w:rsidR="00942213" w:rsidRPr="00E25E6E">
        <w:rPr>
          <w:rFonts w:ascii="Arial" w:hAnsi="Arial"/>
          <w:sz w:val="22"/>
          <w:szCs w:val="22"/>
        </w:rPr>
        <w:t xml:space="preserve"> </w:t>
      </w:r>
    </w:p>
    <w:p w:rsidR="0004255D" w:rsidRPr="00E25E6E" w:rsidRDefault="0004255D" w:rsidP="0004255D">
      <w:pPr>
        <w:pStyle w:val="ListParagraph"/>
        <w:jc w:val="both"/>
        <w:rPr>
          <w:rFonts w:ascii="Arial" w:hAnsi="Arial"/>
          <w:sz w:val="22"/>
          <w:szCs w:val="22"/>
        </w:rPr>
      </w:pPr>
    </w:p>
    <w:p w:rsidR="0004255D" w:rsidRPr="001B2AC8" w:rsidRDefault="003F75BD" w:rsidP="00942213">
      <w:pPr>
        <w:pStyle w:val="ListParagraph"/>
        <w:numPr>
          <w:ilvl w:val="1"/>
          <w:numId w:val="25"/>
        </w:numPr>
        <w:jc w:val="both"/>
        <w:rPr>
          <w:rFonts w:ascii="Arial" w:hAnsi="Arial"/>
          <w:sz w:val="22"/>
          <w:szCs w:val="22"/>
        </w:rPr>
      </w:pPr>
      <w:r w:rsidRPr="00E25E6E">
        <w:rPr>
          <w:rFonts w:ascii="Arial" w:hAnsi="Arial"/>
          <w:sz w:val="22"/>
          <w:szCs w:val="22"/>
        </w:rPr>
        <w:t xml:space="preserve">In contrast, </w:t>
      </w:r>
      <w:r w:rsidR="002C079B">
        <w:rPr>
          <w:rFonts w:ascii="Arial" w:hAnsi="Arial"/>
          <w:sz w:val="22"/>
          <w:szCs w:val="22"/>
        </w:rPr>
        <w:t xml:space="preserve">other </w:t>
      </w:r>
      <w:r w:rsidRPr="00E25E6E">
        <w:rPr>
          <w:rFonts w:ascii="Arial" w:hAnsi="Arial"/>
          <w:sz w:val="22"/>
          <w:szCs w:val="22"/>
        </w:rPr>
        <w:t>comments were received</w:t>
      </w:r>
      <w:r w:rsidR="007C3826">
        <w:rPr>
          <w:rFonts w:ascii="Arial" w:hAnsi="Arial"/>
          <w:sz w:val="22"/>
          <w:szCs w:val="22"/>
        </w:rPr>
        <w:t xml:space="preserve"> from </w:t>
      </w:r>
      <w:proofErr w:type="spellStart"/>
      <w:r w:rsidR="007C3826">
        <w:rPr>
          <w:rFonts w:ascii="Arial" w:hAnsi="Arial"/>
          <w:sz w:val="22"/>
          <w:szCs w:val="22"/>
        </w:rPr>
        <w:t>Alphapharm</w:t>
      </w:r>
      <w:proofErr w:type="spellEnd"/>
      <w:r w:rsidR="007C3826">
        <w:rPr>
          <w:rFonts w:ascii="Arial" w:hAnsi="Arial"/>
          <w:sz w:val="22"/>
          <w:szCs w:val="22"/>
        </w:rPr>
        <w:t xml:space="preserve"> and Sandoz</w:t>
      </w:r>
      <w:r w:rsidRPr="00E25E6E">
        <w:rPr>
          <w:rFonts w:ascii="Arial" w:hAnsi="Arial"/>
          <w:sz w:val="22"/>
          <w:szCs w:val="22"/>
        </w:rPr>
        <w:t xml:space="preserve"> which stated that prohibiting </w:t>
      </w:r>
      <w:r w:rsidR="006D57C7">
        <w:rPr>
          <w:rFonts w:ascii="Arial" w:hAnsi="Arial"/>
          <w:sz w:val="22"/>
          <w:szCs w:val="22"/>
        </w:rPr>
        <w:t>‘</w:t>
      </w:r>
      <w:r w:rsidRPr="00E25E6E">
        <w:rPr>
          <w:rFonts w:ascii="Arial" w:hAnsi="Arial"/>
          <w:sz w:val="22"/>
          <w:szCs w:val="22"/>
        </w:rPr>
        <w:t>a</w:t>
      </w:r>
      <w:r w:rsidR="006D57C7">
        <w:rPr>
          <w:rFonts w:ascii="Arial" w:hAnsi="Arial"/>
          <w:sz w:val="22"/>
          <w:szCs w:val="22"/>
        </w:rPr>
        <w:t>’</w:t>
      </w:r>
      <w:r w:rsidRPr="00E25E6E">
        <w:rPr>
          <w:rFonts w:ascii="Arial" w:hAnsi="Arial"/>
          <w:sz w:val="22"/>
          <w:szCs w:val="22"/>
        </w:rPr>
        <w:t xml:space="preserve"> flagging threatens patient choice and timely access to affordable medication, while also removing the ability for pharmacists to exercise professional judgement. </w:t>
      </w:r>
    </w:p>
    <w:p w:rsidR="00942213" w:rsidRPr="00BB7EC3" w:rsidRDefault="00942213" w:rsidP="00942213">
      <w:pPr>
        <w:pStyle w:val="ListParagraph"/>
        <w:ind w:left="709"/>
        <w:jc w:val="both"/>
        <w:rPr>
          <w:rFonts w:ascii="Arial" w:hAnsi="Arial"/>
          <w:sz w:val="22"/>
          <w:szCs w:val="22"/>
        </w:rPr>
      </w:pPr>
    </w:p>
    <w:p w:rsidR="00942213" w:rsidRPr="00BB7EC3" w:rsidRDefault="00942213" w:rsidP="00942213">
      <w:pPr>
        <w:pStyle w:val="ListParagraph"/>
        <w:ind w:left="709"/>
        <w:jc w:val="both"/>
        <w:rPr>
          <w:rFonts w:ascii="Arial" w:hAnsi="Arial"/>
          <w:i/>
          <w:sz w:val="22"/>
          <w:szCs w:val="22"/>
        </w:rPr>
      </w:pPr>
      <w:r>
        <w:rPr>
          <w:rFonts w:ascii="Arial" w:hAnsi="Arial"/>
          <w:i/>
          <w:sz w:val="22"/>
          <w:szCs w:val="22"/>
        </w:rPr>
        <w:t xml:space="preserve">For more detail on PBAC’s view, see section </w:t>
      </w:r>
      <w:r w:rsidR="001B2AC8">
        <w:rPr>
          <w:rFonts w:ascii="Arial" w:hAnsi="Arial"/>
          <w:i/>
          <w:sz w:val="22"/>
          <w:szCs w:val="22"/>
        </w:rPr>
        <w:t xml:space="preserve">6 </w:t>
      </w:r>
      <w:r>
        <w:rPr>
          <w:rFonts w:ascii="Arial" w:hAnsi="Arial"/>
          <w:i/>
          <w:sz w:val="22"/>
          <w:szCs w:val="22"/>
        </w:rPr>
        <w:t>“PBAC outcome”</w:t>
      </w:r>
    </w:p>
    <w:p w:rsidR="00AA4B60" w:rsidRDefault="00AA4B60" w:rsidP="00AA4B60">
      <w:pPr>
        <w:pStyle w:val="ListParagraph"/>
        <w:jc w:val="both"/>
        <w:rPr>
          <w:rFonts w:ascii="Arial" w:hAnsi="Arial"/>
          <w:sz w:val="22"/>
          <w:szCs w:val="22"/>
        </w:rPr>
      </w:pPr>
    </w:p>
    <w:p w:rsidR="00AA4B60" w:rsidRPr="00ED64AA" w:rsidRDefault="00AA4B60" w:rsidP="00091E99">
      <w:pPr>
        <w:pStyle w:val="ListParagraph"/>
        <w:jc w:val="both"/>
        <w:rPr>
          <w:rFonts w:ascii="Arial" w:hAnsi="Arial"/>
          <w:sz w:val="22"/>
          <w:szCs w:val="22"/>
        </w:rPr>
      </w:pPr>
    </w:p>
    <w:p w:rsidR="00F33BA9" w:rsidRPr="00E25E6E" w:rsidRDefault="00F33BA9" w:rsidP="00942213">
      <w:pPr>
        <w:pStyle w:val="ListParagraph"/>
        <w:numPr>
          <w:ilvl w:val="0"/>
          <w:numId w:val="25"/>
        </w:numPr>
        <w:jc w:val="both"/>
        <w:rPr>
          <w:rFonts w:ascii="Arial" w:hAnsi="Arial"/>
          <w:b/>
          <w:sz w:val="22"/>
          <w:szCs w:val="22"/>
        </w:rPr>
      </w:pPr>
      <w:r w:rsidRPr="00E25E6E">
        <w:rPr>
          <w:rFonts w:ascii="Arial" w:hAnsi="Arial"/>
          <w:b/>
          <w:sz w:val="22"/>
          <w:szCs w:val="22"/>
        </w:rPr>
        <w:t xml:space="preserve">PBAC Outcome </w:t>
      </w:r>
    </w:p>
    <w:p w:rsidR="00F33BA9" w:rsidRPr="00F33BA9" w:rsidRDefault="00F33BA9" w:rsidP="00F33BA9">
      <w:pPr>
        <w:rPr>
          <w:rFonts w:ascii="Arial" w:hAnsi="Arial" w:cs="Arial"/>
          <w:b/>
          <w:sz w:val="22"/>
          <w:szCs w:val="22"/>
        </w:rPr>
      </w:pPr>
    </w:p>
    <w:p w:rsidR="00AE7FD6" w:rsidRDefault="00AE7FD6" w:rsidP="00F33BA9">
      <w:pPr>
        <w:pStyle w:val="ListParagraph"/>
        <w:numPr>
          <w:ilvl w:val="1"/>
          <w:numId w:val="25"/>
        </w:numPr>
        <w:jc w:val="both"/>
        <w:rPr>
          <w:rFonts w:ascii="Arial" w:hAnsi="Arial" w:cs="Arial"/>
          <w:sz w:val="22"/>
          <w:szCs w:val="22"/>
        </w:rPr>
      </w:pPr>
      <w:r>
        <w:rPr>
          <w:rFonts w:ascii="Arial" w:hAnsi="Arial" w:cs="Arial"/>
          <w:sz w:val="22"/>
          <w:szCs w:val="22"/>
        </w:rPr>
        <w:t xml:space="preserve">The PBAC </w:t>
      </w:r>
      <w:r w:rsidR="002C079B">
        <w:rPr>
          <w:rFonts w:ascii="Arial" w:hAnsi="Arial" w:cs="Arial"/>
          <w:sz w:val="22"/>
          <w:szCs w:val="22"/>
        </w:rPr>
        <w:t>did not agree to</w:t>
      </w:r>
      <w:r>
        <w:rPr>
          <w:rFonts w:ascii="Arial" w:hAnsi="Arial" w:cs="Arial"/>
          <w:sz w:val="22"/>
          <w:szCs w:val="22"/>
        </w:rPr>
        <w:t xml:space="preserve"> the </w:t>
      </w:r>
      <w:r w:rsidR="00A83751">
        <w:rPr>
          <w:rFonts w:ascii="Arial" w:hAnsi="Arial" w:cs="Arial"/>
          <w:sz w:val="22"/>
          <w:szCs w:val="22"/>
        </w:rPr>
        <w:t>submission</w:t>
      </w:r>
      <w:r w:rsidR="002C079B">
        <w:rPr>
          <w:rFonts w:ascii="Arial" w:hAnsi="Arial" w:cs="Arial"/>
          <w:sz w:val="22"/>
          <w:szCs w:val="22"/>
        </w:rPr>
        <w:t xml:space="preserve">’s request that PBAC </w:t>
      </w:r>
      <w:r w:rsidR="00A83751">
        <w:rPr>
          <w:rFonts w:ascii="Arial" w:hAnsi="Arial" w:cs="Arial"/>
          <w:sz w:val="22"/>
          <w:szCs w:val="22"/>
        </w:rPr>
        <w:t xml:space="preserve">advise the Minister that generic oxycodone modified release tablets without abuse-resistant formulations should not be ‘a’ flagged with OxyContin. </w:t>
      </w:r>
    </w:p>
    <w:p w:rsidR="00A83751" w:rsidRPr="0041757D" w:rsidRDefault="00A83751" w:rsidP="0041757D">
      <w:pPr>
        <w:jc w:val="both"/>
        <w:rPr>
          <w:rFonts w:ascii="Arial" w:hAnsi="Arial" w:cs="Arial"/>
          <w:sz w:val="22"/>
          <w:szCs w:val="22"/>
        </w:rPr>
      </w:pPr>
    </w:p>
    <w:p w:rsidR="002E0E8C" w:rsidRDefault="00A83751" w:rsidP="006B5EBD">
      <w:pPr>
        <w:pStyle w:val="ListParagraph"/>
        <w:numPr>
          <w:ilvl w:val="1"/>
          <w:numId w:val="25"/>
        </w:numPr>
        <w:jc w:val="both"/>
        <w:rPr>
          <w:rFonts w:ascii="Arial" w:hAnsi="Arial" w:cs="Arial"/>
          <w:sz w:val="22"/>
          <w:szCs w:val="22"/>
        </w:rPr>
      </w:pPr>
      <w:r w:rsidRPr="002E0E8C">
        <w:rPr>
          <w:rFonts w:ascii="Arial" w:hAnsi="Arial" w:cs="Arial"/>
          <w:sz w:val="22"/>
          <w:szCs w:val="22"/>
        </w:rPr>
        <w:t>The PBAC</w:t>
      </w:r>
      <w:r w:rsidR="002C079B" w:rsidRPr="002E0E8C">
        <w:rPr>
          <w:rFonts w:ascii="Arial" w:hAnsi="Arial" w:cs="Arial"/>
          <w:sz w:val="22"/>
          <w:szCs w:val="22"/>
        </w:rPr>
        <w:t xml:space="preserve"> noted that it is usual practice for brands</w:t>
      </w:r>
      <w:r w:rsidRPr="002E0E8C">
        <w:rPr>
          <w:rFonts w:ascii="Arial" w:hAnsi="Arial" w:cs="Arial"/>
          <w:sz w:val="22"/>
          <w:szCs w:val="22"/>
        </w:rPr>
        <w:t xml:space="preserve"> </w:t>
      </w:r>
      <w:r w:rsidR="002C079B" w:rsidRPr="002E0E8C">
        <w:rPr>
          <w:rFonts w:ascii="Arial" w:hAnsi="Arial" w:cs="Arial"/>
          <w:sz w:val="22"/>
          <w:szCs w:val="22"/>
        </w:rPr>
        <w:t xml:space="preserve">of the same pharmaceutical item </w:t>
      </w:r>
      <w:r w:rsidRPr="002E0E8C">
        <w:rPr>
          <w:rFonts w:ascii="Arial" w:hAnsi="Arial" w:cs="Arial"/>
          <w:sz w:val="22"/>
          <w:szCs w:val="22"/>
        </w:rPr>
        <w:t xml:space="preserve">which have been considered by the TGA to be bioequivalent </w:t>
      </w:r>
      <w:r w:rsidR="002C079B" w:rsidRPr="002E0E8C">
        <w:rPr>
          <w:rFonts w:ascii="Arial" w:hAnsi="Arial" w:cs="Arial"/>
          <w:sz w:val="22"/>
          <w:szCs w:val="22"/>
        </w:rPr>
        <w:t>to</w:t>
      </w:r>
      <w:r w:rsidR="00CE3239" w:rsidRPr="002E0E8C">
        <w:rPr>
          <w:rFonts w:ascii="Arial" w:hAnsi="Arial" w:cs="Arial"/>
          <w:sz w:val="22"/>
          <w:szCs w:val="22"/>
        </w:rPr>
        <w:t xml:space="preserve"> be ‘a’ flagg</w:t>
      </w:r>
      <w:r w:rsidR="006D57C7" w:rsidRPr="002E0E8C">
        <w:rPr>
          <w:rFonts w:ascii="Arial" w:hAnsi="Arial" w:cs="Arial"/>
          <w:sz w:val="22"/>
          <w:szCs w:val="22"/>
        </w:rPr>
        <w:t xml:space="preserve">ed </w:t>
      </w:r>
      <w:r w:rsidR="002C079B" w:rsidRPr="002E0E8C">
        <w:rPr>
          <w:rFonts w:ascii="Arial" w:hAnsi="Arial" w:cs="Arial"/>
          <w:sz w:val="22"/>
          <w:szCs w:val="22"/>
        </w:rPr>
        <w:t>in the Schedule.</w:t>
      </w:r>
      <w:r w:rsidR="002E0E8C">
        <w:rPr>
          <w:rFonts w:ascii="Arial" w:hAnsi="Arial" w:cs="Arial"/>
          <w:sz w:val="22"/>
          <w:szCs w:val="22"/>
        </w:rPr>
        <w:t xml:space="preserve"> </w:t>
      </w:r>
    </w:p>
    <w:p w:rsidR="002E0E8C" w:rsidRPr="00A04C60" w:rsidRDefault="002E0E8C" w:rsidP="00A04C60">
      <w:pPr>
        <w:pStyle w:val="ListParagraph"/>
        <w:rPr>
          <w:rFonts w:ascii="Arial" w:hAnsi="Arial" w:cs="Arial"/>
          <w:sz w:val="22"/>
          <w:szCs w:val="22"/>
        </w:rPr>
      </w:pPr>
    </w:p>
    <w:p w:rsidR="00A04C60" w:rsidRDefault="0087093B" w:rsidP="006B5EBD">
      <w:pPr>
        <w:pStyle w:val="ListParagraph"/>
        <w:numPr>
          <w:ilvl w:val="1"/>
          <w:numId w:val="25"/>
        </w:numPr>
        <w:jc w:val="both"/>
        <w:rPr>
          <w:rFonts w:ascii="Arial" w:hAnsi="Arial" w:cs="Arial"/>
          <w:sz w:val="22"/>
          <w:szCs w:val="22"/>
        </w:rPr>
      </w:pPr>
      <w:r w:rsidRPr="002E0E8C">
        <w:rPr>
          <w:rFonts w:ascii="Arial" w:hAnsi="Arial" w:cs="Arial"/>
          <w:sz w:val="22"/>
          <w:szCs w:val="22"/>
        </w:rPr>
        <w:t>The PBAC further noted that based on the</w:t>
      </w:r>
      <w:r w:rsidR="002E0E8C" w:rsidRPr="002E0E8C">
        <w:rPr>
          <w:rFonts w:ascii="Arial" w:hAnsi="Arial" w:cs="Arial"/>
          <w:sz w:val="22"/>
          <w:szCs w:val="22"/>
        </w:rPr>
        <w:t xml:space="preserve"> TGA’s finding of</w:t>
      </w:r>
      <w:r w:rsidRPr="002E0E8C">
        <w:rPr>
          <w:rFonts w:ascii="Arial" w:hAnsi="Arial" w:cs="Arial"/>
          <w:sz w:val="22"/>
          <w:szCs w:val="22"/>
        </w:rPr>
        <w:t xml:space="preserve"> bioequivalence</w:t>
      </w:r>
      <w:r w:rsidR="002E0E8C" w:rsidRPr="002E0E8C">
        <w:rPr>
          <w:rFonts w:ascii="Arial" w:hAnsi="Arial" w:cs="Arial"/>
          <w:sz w:val="22"/>
          <w:szCs w:val="22"/>
        </w:rPr>
        <w:t>,</w:t>
      </w:r>
      <w:r w:rsidRPr="002E0E8C">
        <w:rPr>
          <w:rFonts w:ascii="Arial" w:hAnsi="Arial" w:cs="Arial"/>
          <w:sz w:val="22"/>
          <w:szCs w:val="22"/>
        </w:rPr>
        <w:t xml:space="preserve"> it is reasonable to conclude that the t</w:t>
      </w:r>
      <w:r w:rsidR="002E0E8C" w:rsidRPr="002E0E8C">
        <w:rPr>
          <w:rFonts w:ascii="Arial" w:hAnsi="Arial" w:cs="Arial"/>
          <w:sz w:val="22"/>
          <w:szCs w:val="22"/>
        </w:rPr>
        <w:t>wo modified release oxycodone products would be</w:t>
      </w:r>
      <w:r w:rsidRPr="002E0E8C">
        <w:rPr>
          <w:rFonts w:ascii="Arial" w:hAnsi="Arial" w:cs="Arial"/>
          <w:sz w:val="22"/>
          <w:szCs w:val="22"/>
        </w:rPr>
        <w:t xml:space="preserve"> therapeutically equivalent</w:t>
      </w:r>
      <w:r w:rsidR="002E0E8C" w:rsidRPr="002E0E8C">
        <w:rPr>
          <w:rFonts w:ascii="Arial" w:hAnsi="Arial" w:cs="Arial"/>
          <w:sz w:val="22"/>
          <w:szCs w:val="22"/>
        </w:rPr>
        <w:t xml:space="preserve"> </w:t>
      </w:r>
      <w:r w:rsidRPr="002E0E8C">
        <w:rPr>
          <w:rFonts w:ascii="Arial" w:hAnsi="Arial" w:cs="Arial"/>
          <w:sz w:val="22"/>
          <w:szCs w:val="22"/>
        </w:rPr>
        <w:t>when taken as intended</w:t>
      </w:r>
      <w:r w:rsidR="002E0E8C">
        <w:rPr>
          <w:rFonts w:ascii="Arial" w:hAnsi="Arial" w:cs="Arial"/>
          <w:sz w:val="22"/>
          <w:szCs w:val="22"/>
        </w:rPr>
        <w:t xml:space="preserve">, and that therapeutic equivalence is the primary consideration for </w:t>
      </w:r>
      <w:r w:rsidR="00A04C60">
        <w:rPr>
          <w:rFonts w:ascii="Arial" w:hAnsi="Arial" w:cs="Arial"/>
          <w:sz w:val="22"/>
          <w:szCs w:val="22"/>
        </w:rPr>
        <w:t>‘</w:t>
      </w:r>
      <w:r w:rsidR="002E0E8C">
        <w:rPr>
          <w:rFonts w:ascii="Arial" w:hAnsi="Arial" w:cs="Arial"/>
          <w:sz w:val="22"/>
          <w:szCs w:val="22"/>
        </w:rPr>
        <w:t>a</w:t>
      </w:r>
      <w:r w:rsidR="00A04C60">
        <w:rPr>
          <w:rFonts w:ascii="Arial" w:hAnsi="Arial" w:cs="Arial"/>
          <w:sz w:val="22"/>
          <w:szCs w:val="22"/>
        </w:rPr>
        <w:t>’</w:t>
      </w:r>
      <w:r w:rsidR="002E0E8C">
        <w:rPr>
          <w:rFonts w:ascii="Arial" w:hAnsi="Arial" w:cs="Arial"/>
          <w:sz w:val="22"/>
          <w:szCs w:val="22"/>
        </w:rPr>
        <w:t xml:space="preserve"> flagging.</w:t>
      </w:r>
    </w:p>
    <w:p w:rsidR="006B5EBD" w:rsidRPr="002E0E8C" w:rsidRDefault="006B5EBD" w:rsidP="006B5EBD">
      <w:pPr>
        <w:pStyle w:val="ListParagraph"/>
        <w:rPr>
          <w:rFonts w:ascii="Arial" w:hAnsi="Arial" w:cs="Arial"/>
          <w:sz w:val="22"/>
          <w:szCs w:val="22"/>
        </w:rPr>
      </w:pPr>
    </w:p>
    <w:p w:rsidR="006B5EBD" w:rsidRDefault="006B5EBD" w:rsidP="0041757D">
      <w:pPr>
        <w:pStyle w:val="ListParagraph"/>
        <w:numPr>
          <w:ilvl w:val="1"/>
          <w:numId w:val="25"/>
        </w:numPr>
        <w:jc w:val="both"/>
        <w:rPr>
          <w:rFonts w:ascii="Arial" w:hAnsi="Arial" w:cs="Arial"/>
          <w:sz w:val="22"/>
          <w:szCs w:val="22"/>
        </w:rPr>
      </w:pPr>
      <w:r>
        <w:rPr>
          <w:rFonts w:ascii="Arial" w:hAnsi="Arial" w:cs="Arial"/>
          <w:sz w:val="22"/>
          <w:szCs w:val="22"/>
        </w:rPr>
        <w:t>The PBAC note</w:t>
      </w:r>
      <w:r w:rsidR="002C079B">
        <w:rPr>
          <w:rFonts w:ascii="Arial" w:hAnsi="Arial" w:cs="Arial"/>
          <w:sz w:val="22"/>
          <w:szCs w:val="22"/>
        </w:rPr>
        <w:t>d the Department’s advice that a note will</w:t>
      </w:r>
      <w:r>
        <w:rPr>
          <w:rFonts w:ascii="Arial" w:hAnsi="Arial" w:cs="Arial"/>
          <w:sz w:val="22"/>
          <w:szCs w:val="22"/>
        </w:rPr>
        <w:t xml:space="preserve"> </w:t>
      </w:r>
      <w:r w:rsidRPr="001F3AEC">
        <w:rPr>
          <w:rFonts w:ascii="Arial" w:hAnsi="Arial" w:cs="Arial"/>
          <w:sz w:val="22"/>
          <w:szCs w:val="22"/>
        </w:rPr>
        <w:t>be included in the PBS schedule that makes the difference in the formulations clear</w:t>
      </w:r>
      <w:r w:rsidR="002C079B">
        <w:rPr>
          <w:rFonts w:ascii="Arial" w:hAnsi="Arial" w:cs="Arial"/>
          <w:sz w:val="22"/>
          <w:szCs w:val="22"/>
        </w:rPr>
        <w:t xml:space="preserve"> and agreed this would</w:t>
      </w:r>
      <w:r w:rsidRPr="001F3AEC">
        <w:rPr>
          <w:rFonts w:ascii="Arial" w:hAnsi="Arial" w:cs="Arial"/>
          <w:sz w:val="22"/>
          <w:szCs w:val="22"/>
        </w:rPr>
        <w:t xml:space="preserve"> assist prescribers to </w:t>
      </w:r>
      <w:r w:rsidR="002C079B">
        <w:rPr>
          <w:rFonts w:ascii="Arial" w:hAnsi="Arial" w:cs="Arial"/>
          <w:sz w:val="22"/>
          <w:szCs w:val="22"/>
        </w:rPr>
        <w:t>choose</w:t>
      </w:r>
      <w:r w:rsidRPr="001F3AEC">
        <w:rPr>
          <w:rFonts w:ascii="Arial" w:hAnsi="Arial" w:cs="Arial"/>
          <w:sz w:val="22"/>
          <w:szCs w:val="22"/>
        </w:rPr>
        <w:t xml:space="preserve"> the most suitable product to meet the clinical needs of their patients</w:t>
      </w:r>
      <w:r>
        <w:rPr>
          <w:rFonts w:ascii="Arial" w:hAnsi="Arial" w:cs="Arial"/>
          <w:sz w:val="22"/>
          <w:szCs w:val="22"/>
        </w:rPr>
        <w:t xml:space="preserve">. </w:t>
      </w:r>
    </w:p>
    <w:p w:rsidR="0041757D" w:rsidRPr="0041757D" w:rsidRDefault="0041757D" w:rsidP="0041757D">
      <w:pPr>
        <w:pStyle w:val="ListParagraph"/>
        <w:rPr>
          <w:rFonts w:ascii="Arial" w:hAnsi="Arial" w:cs="Arial"/>
          <w:sz w:val="22"/>
          <w:szCs w:val="22"/>
        </w:rPr>
      </w:pPr>
    </w:p>
    <w:p w:rsidR="002C079B" w:rsidRDefault="002C079B" w:rsidP="002C079B">
      <w:pPr>
        <w:pStyle w:val="ListParagraph"/>
        <w:numPr>
          <w:ilvl w:val="1"/>
          <w:numId w:val="25"/>
        </w:numPr>
        <w:jc w:val="both"/>
        <w:rPr>
          <w:rFonts w:ascii="Arial" w:hAnsi="Arial" w:cs="Arial"/>
          <w:sz w:val="22"/>
          <w:szCs w:val="22"/>
        </w:rPr>
      </w:pPr>
      <w:r w:rsidRPr="002C079B">
        <w:rPr>
          <w:rFonts w:ascii="Arial" w:hAnsi="Arial" w:cs="Arial"/>
          <w:sz w:val="22"/>
          <w:szCs w:val="22"/>
        </w:rPr>
        <w:t xml:space="preserve">The PBAC </w:t>
      </w:r>
      <w:r>
        <w:rPr>
          <w:rFonts w:ascii="Arial" w:hAnsi="Arial" w:cs="Arial"/>
          <w:sz w:val="22"/>
          <w:szCs w:val="22"/>
        </w:rPr>
        <w:t xml:space="preserve">also </w:t>
      </w:r>
      <w:r w:rsidRPr="002C079B">
        <w:rPr>
          <w:rFonts w:ascii="Arial" w:hAnsi="Arial" w:cs="Arial"/>
          <w:sz w:val="22"/>
          <w:szCs w:val="22"/>
        </w:rPr>
        <w:t xml:space="preserve">noted input via the Consumer Comments facility on the PBS website and recognised the concerns </w:t>
      </w:r>
      <w:proofErr w:type="gramStart"/>
      <w:r w:rsidRPr="002C079B">
        <w:rPr>
          <w:rFonts w:ascii="Arial" w:hAnsi="Arial" w:cs="Arial"/>
          <w:sz w:val="22"/>
          <w:szCs w:val="22"/>
        </w:rPr>
        <w:t>raised</w:t>
      </w:r>
      <w:proofErr w:type="gramEnd"/>
      <w:r w:rsidRPr="002C079B">
        <w:rPr>
          <w:rFonts w:ascii="Arial" w:hAnsi="Arial" w:cs="Arial"/>
          <w:sz w:val="22"/>
          <w:szCs w:val="22"/>
        </w:rPr>
        <w:t xml:space="preserve"> regarding Quality Use of Medicines</w:t>
      </w:r>
      <w:r w:rsidR="002E0E8C">
        <w:rPr>
          <w:rFonts w:ascii="Arial" w:hAnsi="Arial" w:cs="Arial"/>
          <w:sz w:val="22"/>
          <w:szCs w:val="22"/>
        </w:rPr>
        <w:t xml:space="preserve">. </w:t>
      </w:r>
    </w:p>
    <w:p w:rsidR="00A04C60" w:rsidRPr="00A04C60" w:rsidRDefault="00A04C60" w:rsidP="00A04C60">
      <w:pPr>
        <w:jc w:val="both"/>
        <w:rPr>
          <w:rFonts w:ascii="Arial" w:hAnsi="Arial" w:cs="Arial"/>
          <w:sz w:val="22"/>
          <w:szCs w:val="22"/>
        </w:rPr>
      </w:pPr>
    </w:p>
    <w:p w:rsidR="00CE3239" w:rsidRDefault="008C7249" w:rsidP="00A04C60">
      <w:pPr>
        <w:pStyle w:val="ListParagraph"/>
        <w:numPr>
          <w:ilvl w:val="1"/>
          <w:numId w:val="25"/>
        </w:numPr>
        <w:jc w:val="both"/>
        <w:rPr>
          <w:rFonts w:ascii="Arial" w:hAnsi="Arial" w:cs="Arial"/>
          <w:sz w:val="22"/>
          <w:szCs w:val="22"/>
        </w:rPr>
      </w:pPr>
      <w:r w:rsidRPr="00146564">
        <w:rPr>
          <w:rFonts w:ascii="Arial" w:hAnsi="Arial" w:cs="Arial"/>
          <w:sz w:val="22"/>
          <w:szCs w:val="22"/>
        </w:rPr>
        <w:lastRenderedPageBreak/>
        <w:t>Whilst acknowledging the</w:t>
      </w:r>
      <w:r w:rsidR="00E3124A">
        <w:rPr>
          <w:rFonts w:ascii="Arial" w:hAnsi="Arial" w:cs="Arial"/>
          <w:sz w:val="22"/>
          <w:szCs w:val="22"/>
        </w:rPr>
        <w:t>se</w:t>
      </w:r>
      <w:r w:rsidRPr="00146564">
        <w:rPr>
          <w:rFonts w:ascii="Arial" w:hAnsi="Arial" w:cs="Arial"/>
          <w:sz w:val="22"/>
          <w:szCs w:val="22"/>
        </w:rPr>
        <w:t xml:space="preserve"> concerns</w:t>
      </w:r>
      <w:r w:rsidR="00E75A9E">
        <w:rPr>
          <w:rFonts w:ascii="Arial" w:hAnsi="Arial" w:cs="Arial"/>
          <w:sz w:val="22"/>
          <w:szCs w:val="22"/>
        </w:rPr>
        <w:t xml:space="preserve"> </w:t>
      </w:r>
      <w:r w:rsidR="00A04C60">
        <w:rPr>
          <w:rFonts w:ascii="Arial" w:hAnsi="Arial" w:cs="Arial"/>
          <w:sz w:val="22"/>
          <w:szCs w:val="22"/>
        </w:rPr>
        <w:t>highlighted</w:t>
      </w:r>
      <w:r w:rsidR="00E75A9E">
        <w:rPr>
          <w:rFonts w:ascii="Arial" w:hAnsi="Arial" w:cs="Arial"/>
          <w:sz w:val="22"/>
          <w:szCs w:val="22"/>
        </w:rPr>
        <w:t xml:space="preserve"> in the </w:t>
      </w:r>
      <w:r w:rsidR="00A04C60">
        <w:rPr>
          <w:rFonts w:ascii="Arial" w:hAnsi="Arial" w:cs="Arial"/>
          <w:sz w:val="22"/>
          <w:szCs w:val="22"/>
        </w:rPr>
        <w:t>consumer</w:t>
      </w:r>
      <w:r w:rsidR="00E75A9E">
        <w:rPr>
          <w:rFonts w:ascii="Arial" w:hAnsi="Arial" w:cs="Arial"/>
          <w:sz w:val="22"/>
          <w:szCs w:val="22"/>
        </w:rPr>
        <w:t xml:space="preserve"> comments and </w:t>
      </w:r>
      <w:r w:rsidR="00E75A9E" w:rsidRPr="00A04C60">
        <w:rPr>
          <w:rFonts w:ascii="Arial" w:hAnsi="Arial" w:cs="Arial"/>
          <w:sz w:val="22"/>
          <w:szCs w:val="22"/>
        </w:rPr>
        <w:t>noting that abuse deterrent formulations may have some impact on QUM</w:t>
      </w:r>
      <w:r w:rsidR="002C079B" w:rsidRPr="00A04C60">
        <w:rPr>
          <w:rFonts w:ascii="Arial" w:hAnsi="Arial" w:cs="Arial"/>
          <w:sz w:val="22"/>
          <w:szCs w:val="22"/>
        </w:rPr>
        <w:t xml:space="preserve">, </w:t>
      </w:r>
      <w:r w:rsidR="00337DAA">
        <w:rPr>
          <w:rFonts w:ascii="Arial" w:hAnsi="Arial" w:cs="Arial"/>
          <w:sz w:val="22"/>
          <w:szCs w:val="22"/>
        </w:rPr>
        <w:t xml:space="preserve">the PBAC considered that </w:t>
      </w:r>
      <w:r w:rsidR="00CE3239">
        <w:rPr>
          <w:rFonts w:ascii="Arial" w:hAnsi="Arial" w:cs="Arial"/>
          <w:sz w:val="22"/>
          <w:szCs w:val="22"/>
        </w:rPr>
        <w:t>removing ‘a’ flagging</w:t>
      </w:r>
      <w:r w:rsidR="007778F5">
        <w:rPr>
          <w:rFonts w:ascii="Arial" w:hAnsi="Arial" w:cs="Arial"/>
          <w:sz w:val="22"/>
          <w:szCs w:val="22"/>
        </w:rPr>
        <w:t xml:space="preserve"> between OxyContin and </w:t>
      </w:r>
      <w:r w:rsidR="00337DAA">
        <w:rPr>
          <w:rFonts w:ascii="Arial" w:hAnsi="Arial" w:cs="Arial"/>
          <w:sz w:val="22"/>
          <w:szCs w:val="22"/>
        </w:rPr>
        <w:t xml:space="preserve">other </w:t>
      </w:r>
      <w:r w:rsidR="007778F5">
        <w:rPr>
          <w:rFonts w:ascii="Arial" w:hAnsi="Arial" w:cs="Arial"/>
          <w:sz w:val="22"/>
          <w:szCs w:val="22"/>
        </w:rPr>
        <w:t>brands</w:t>
      </w:r>
      <w:r w:rsidR="00CE3239">
        <w:rPr>
          <w:rFonts w:ascii="Arial" w:hAnsi="Arial" w:cs="Arial"/>
          <w:sz w:val="22"/>
          <w:szCs w:val="22"/>
        </w:rPr>
        <w:t xml:space="preserve"> was not an appropriate mechanism to deal with </w:t>
      </w:r>
      <w:r w:rsidR="00337DAA">
        <w:rPr>
          <w:rFonts w:ascii="Arial" w:hAnsi="Arial" w:cs="Arial"/>
          <w:sz w:val="22"/>
          <w:szCs w:val="22"/>
        </w:rPr>
        <w:t>abuse</w:t>
      </w:r>
      <w:r w:rsidR="00B94C18">
        <w:rPr>
          <w:rFonts w:ascii="Arial" w:hAnsi="Arial" w:cs="Arial"/>
          <w:sz w:val="22"/>
          <w:szCs w:val="22"/>
        </w:rPr>
        <w:t xml:space="preserve">, </w:t>
      </w:r>
      <w:r w:rsidR="00337DAA">
        <w:rPr>
          <w:rFonts w:ascii="Arial" w:hAnsi="Arial" w:cs="Arial"/>
          <w:sz w:val="22"/>
          <w:szCs w:val="22"/>
        </w:rPr>
        <w:t xml:space="preserve">which it </w:t>
      </w:r>
      <w:r w:rsidR="00CE3239">
        <w:rPr>
          <w:rFonts w:ascii="Arial" w:hAnsi="Arial" w:cs="Arial"/>
          <w:sz w:val="22"/>
          <w:szCs w:val="22"/>
        </w:rPr>
        <w:t xml:space="preserve">is part of a much broader problem of opioid overuse. </w:t>
      </w:r>
    </w:p>
    <w:p w:rsidR="00337DAA" w:rsidRPr="006F3981" w:rsidRDefault="00337DAA" w:rsidP="006F3981">
      <w:pPr>
        <w:pStyle w:val="ListParagraph"/>
        <w:rPr>
          <w:rFonts w:ascii="Arial" w:hAnsi="Arial" w:cs="Arial"/>
          <w:sz w:val="22"/>
          <w:szCs w:val="22"/>
        </w:rPr>
      </w:pPr>
    </w:p>
    <w:p w:rsidR="00337DAA" w:rsidRPr="00337DAA" w:rsidRDefault="00337DAA" w:rsidP="00337DAA">
      <w:pPr>
        <w:pStyle w:val="ListParagraph"/>
        <w:numPr>
          <w:ilvl w:val="1"/>
          <w:numId w:val="25"/>
        </w:numPr>
        <w:rPr>
          <w:rFonts w:ascii="Arial" w:hAnsi="Arial" w:cs="Arial"/>
          <w:sz w:val="22"/>
          <w:szCs w:val="22"/>
        </w:rPr>
      </w:pPr>
      <w:r w:rsidRPr="00337DAA">
        <w:rPr>
          <w:rFonts w:ascii="Arial" w:hAnsi="Arial" w:cs="Arial"/>
          <w:sz w:val="22"/>
          <w:szCs w:val="22"/>
        </w:rPr>
        <w:t>In this context, the PBAC noted that use of opioids, particularly oxycodone and paracetamol + codeine, is drastically increasing. The PBAC</w:t>
      </w:r>
      <w:r>
        <w:rPr>
          <w:rFonts w:ascii="Arial" w:hAnsi="Arial" w:cs="Arial"/>
          <w:sz w:val="22"/>
          <w:szCs w:val="22"/>
        </w:rPr>
        <w:t xml:space="preserve"> </w:t>
      </w:r>
      <w:r w:rsidRPr="00337DAA">
        <w:rPr>
          <w:rFonts w:ascii="Arial" w:hAnsi="Arial" w:cs="Arial"/>
          <w:sz w:val="22"/>
          <w:szCs w:val="22"/>
        </w:rPr>
        <w:t xml:space="preserve">advised the Minister that a systematic approach should be undertaken to review and target the use of these opioids to promote the Quality Use of Medicines. </w:t>
      </w:r>
    </w:p>
    <w:p w:rsidR="0041757D" w:rsidRPr="0041757D" w:rsidRDefault="0041757D" w:rsidP="0041757D">
      <w:pPr>
        <w:jc w:val="both"/>
        <w:rPr>
          <w:rFonts w:ascii="Arial" w:hAnsi="Arial" w:cs="Arial"/>
          <w:sz w:val="22"/>
          <w:szCs w:val="22"/>
        </w:rPr>
      </w:pPr>
    </w:p>
    <w:p w:rsidR="0041757D" w:rsidRPr="0063777A" w:rsidRDefault="00337DAA" w:rsidP="0041757D">
      <w:pPr>
        <w:pStyle w:val="ListParagraph"/>
        <w:numPr>
          <w:ilvl w:val="1"/>
          <w:numId w:val="25"/>
        </w:numPr>
        <w:jc w:val="both"/>
        <w:rPr>
          <w:rFonts w:ascii="Arial" w:hAnsi="Arial" w:cs="Arial"/>
          <w:sz w:val="22"/>
          <w:szCs w:val="22"/>
        </w:rPr>
      </w:pPr>
      <w:r>
        <w:rPr>
          <w:rFonts w:ascii="Arial" w:hAnsi="Arial" w:cs="Arial"/>
          <w:sz w:val="22"/>
          <w:szCs w:val="22"/>
        </w:rPr>
        <w:t>Lastly, t</w:t>
      </w:r>
      <w:r w:rsidR="0041757D" w:rsidRPr="0041757D">
        <w:rPr>
          <w:rFonts w:ascii="Arial" w:hAnsi="Arial" w:cs="Arial"/>
          <w:sz w:val="22"/>
          <w:szCs w:val="22"/>
        </w:rPr>
        <w:t>he PBAC noted advi</w:t>
      </w:r>
      <w:r w:rsidR="0041757D">
        <w:rPr>
          <w:rFonts w:ascii="Arial" w:hAnsi="Arial" w:cs="Arial"/>
          <w:sz w:val="22"/>
          <w:szCs w:val="22"/>
        </w:rPr>
        <w:t>c</w:t>
      </w:r>
      <w:r w:rsidR="0041757D" w:rsidRPr="0041757D">
        <w:rPr>
          <w:rFonts w:ascii="Arial" w:hAnsi="Arial" w:cs="Arial"/>
          <w:sz w:val="22"/>
          <w:szCs w:val="22"/>
        </w:rPr>
        <w:t xml:space="preserve">e from the </w:t>
      </w:r>
      <w:r w:rsidR="0041757D" w:rsidRPr="0063777A">
        <w:rPr>
          <w:rFonts w:ascii="Arial" w:hAnsi="Arial" w:cs="Arial"/>
          <w:sz w:val="22"/>
          <w:szCs w:val="22"/>
        </w:rPr>
        <w:t xml:space="preserve">Department </w:t>
      </w:r>
      <w:r w:rsidR="007778F5" w:rsidRPr="0063777A">
        <w:rPr>
          <w:rFonts w:ascii="Arial" w:hAnsi="Arial" w:cs="Arial"/>
          <w:sz w:val="22"/>
          <w:szCs w:val="22"/>
        </w:rPr>
        <w:t>that</w:t>
      </w:r>
      <w:r w:rsidR="0041757D" w:rsidRPr="0063777A">
        <w:rPr>
          <w:rFonts w:ascii="Arial" w:hAnsi="Arial" w:cs="Arial"/>
          <w:sz w:val="22"/>
          <w:szCs w:val="22"/>
        </w:rPr>
        <w:t xml:space="preserve"> the Electronic Recording and Reporting of Controlled Drugs (ERRCD) initiative may improve the ability to efficiently monitor the prescribing and dispensing of Controlled Drugs</w:t>
      </w:r>
      <w:r w:rsidRPr="0063777A">
        <w:rPr>
          <w:rFonts w:ascii="Arial" w:hAnsi="Arial" w:cs="Arial"/>
          <w:sz w:val="22"/>
          <w:szCs w:val="22"/>
        </w:rPr>
        <w:t>, including oxycodone,</w:t>
      </w:r>
      <w:r w:rsidR="0041757D" w:rsidRPr="0063777A">
        <w:rPr>
          <w:rFonts w:ascii="Arial" w:hAnsi="Arial" w:cs="Arial"/>
          <w:sz w:val="22"/>
          <w:szCs w:val="22"/>
        </w:rPr>
        <w:t xml:space="preserve"> to help ensure appropriate access to these medicines and</w:t>
      </w:r>
      <w:r w:rsidR="007778F5" w:rsidRPr="0063777A">
        <w:rPr>
          <w:rFonts w:ascii="Arial" w:hAnsi="Arial" w:cs="Arial"/>
          <w:sz w:val="22"/>
          <w:szCs w:val="22"/>
        </w:rPr>
        <w:t xml:space="preserve"> in turn</w:t>
      </w:r>
      <w:r w:rsidR="0041757D" w:rsidRPr="0063777A">
        <w:rPr>
          <w:rFonts w:ascii="Arial" w:hAnsi="Arial" w:cs="Arial"/>
          <w:sz w:val="22"/>
          <w:szCs w:val="22"/>
        </w:rPr>
        <w:t xml:space="preserve"> address consumer concerns. </w:t>
      </w:r>
    </w:p>
    <w:p w:rsidR="0041757D" w:rsidRPr="0041757D" w:rsidRDefault="0041757D" w:rsidP="0041757D">
      <w:pPr>
        <w:pStyle w:val="ListParagraph"/>
        <w:rPr>
          <w:rFonts w:ascii="Arial" w:hAnsi="Arial" w:cs="Arial"/>
          <w:sz w:val="22"/>
          <w:szCs w:val="22"/>
        </w:rPr>
      </w:pPr>
    </w:p>
    <w:p w:rsidR="00E25E6E" w:rsidRPr="00E53DA3" w:rsidRDefault="00F33BA9" w:rsidP="00E53DA3">
      <w:pPr>
        <w:pStyle w:val="ListParagraph"/>
        <w:numPr>
          <w:ilvl w:val="1"/>
          <w:numId w:val="25"/>
        </w:numPr>
        <w:jc w:val="both"/>
        <w:rPr>
          <w:rFonts w:ascii="Arial" w:hAnsi="Arial" w:cs="Arial"/>
          <w:sz w:val="22"/>
          <w:szCs w:val="22"/>
        </w:rPr>
      </w:pPr>
      <w:r w:rsidRPr="00334E45">
        <w:rPr>
          <w:rFonts w:ascii="Arial" w:hAnsi="Arial" w:cs="Arial"/>
          <w:sz w:val="22"/>
          <w:szCs w:val="22"/>
        </w:rPr>
        <w:t>The PBAC noted that this submission is not eligible for an Independent Review.</w:t>
      </w:r>
      <w:r w:rsidR="00E25E6E" w:rsidRPr="00334E45">
        <w:rPr>
          <w:rFonts w:ascii="Arial" w:hAnsi="Arial" w:cs="Arial"/>
          <w:sz w:val="22"/>
          <w:szCs w:val="22"/>
        </w:rPr>
        <w:t xml:space="preserve"> This process is not available in response to a request </w:t>
      </w:r>
      <w:r w:rsidR="002B41B9">
        <w:rPr>
          <w:rFonts w:ascii="Arial" w:hAnsi="Arial" w:cs="Arial"/>
          <w:sz w:val="22"/>
          <w:szCs w:val="22"/>
        </w:rPr>
        <w:t xml:space="preserve">from the Minister’s delegate </w:t>
      </w:r>
      <w:r w:rsidR="00334E45">
        <w:rPr>
          <w:rFonts w:ascii="Arial" w:hAnsi="Arial" w:cs="Arial"/>
          <w:sz w:val="22"/>
          <w:szCs w:val="22"/>
        </w:rPr>
        <w:t xml:space="preserve">for PBAC advice in relation to </w:t>
      </w:r>
      <w:r w:rsidR="00A04C60">
        <w:rPr>
          <w:rFonts w:ascii="Arial" w:hAnsi="Arial" w:cs="Arial"/>
          <w:sz w:val="22"/>
          <w:szCs w:val="22"/>
        </w:rPr>
        <w:t>‘</w:t>
      </w:r>
      <w:r w:rsidR="00334E45">
        <w:rPr>
          <w:rFonts w:ascii="Arial" w:hAnsi="Arial" w:cs="Arial"/>
          <w:sz w:val="22"/>
          <w:szCs w:val="22"/>
        </w:rPr>
        <w:t>a</w:t>
      </w:r>
      <w:r w:rsidR="00A04C60">
        <w:rPr>
          <w:rFonts w:ascii="Arial" w:hAnsi="Arial" w:cs="Arial"/>
          <w:sz w:val="22"/>
          <w:szCs w:val="22"/>
        </w:rPr>
        <w:t>’</w:t>
      </w:r>
      <w:r w:rsidR="00334E45">
        <w:rPr>
          <w:rFonts w:ascii="Arial" w:hAnsi="Arial" w:cs="Arial"/>
          <w:sz w:val="22"/>
          <w:szCs w:val="22"/>
        </w:rPr>
        <w:t xml:space="preserve"> flagging. </w:t>
      </w:r>
    </w:p>
    <w:p w:rsidR="00135B30" w:rsidRDefault="00135B30" w:rsidP="00135B30">
      <w:pPr>
        <w:rPr>
          <w:rFonts w:ascii="Arial" w:hAnsi="Arial" w:cs="Arial"/>
          <w:sz w:val="22"/>
          <w:szCs w:val="22"/>
        </w:rPr>
      </w:pPr>
    </w:p>
    <w:p w:rsidR="00135B30" w:rsidRPr="00135B30" w:rsidRDefault="00135B30" w:rsidP="00135B30">
      <w:pPr>
        <w:rPr>
          <w:rFonts w:ascii="Arial" w:hAnsi="Arial" w:cs="Arial"/>
          <w:sz w:val="22"/>
          <w:szCs w:val="22"/>
        </w:rPr>
      </w:pPr>
    </w:p>
    <w:p w:rsidR="00F33BA9" w:rsidRPr="00F33BA9" w:rsidRDefault="00F33BA9" w:rsidP="00F33BA9">
      <w:pPr>
        <w:rPr>
          <w:rFonts w:ascii="Arial" w:hAnsi="Arial" w:cs="Arial"/>
          <w:b/>
          <w:sz w:val="22"/>
          <w:szCs w:val="22"/>
        </w:rPr>
      </w:pPr>
      <w:r w:rsidRPr="00F33BA9">
        <w:rPr>
          <w:rFonts w:ascii="Arial" w:hAnsi="Arial" w:cs="Arial"/>
          <w:b/>
          <w:sz w:val="22"/>
          <w:szCs w:val="22"/>
        </w:rPr>
        <w:t>Outcome:</w:t>
      </w:r>
    </w:p>
    <w:p w:rsidR="00F33BA9" w:rsidRPr="0063777A" w:rsidRDefault="00857E3D" w:rsidP="00F33BA9">
      <w:pPr>
        <w:rPr>
          <w:rFonts w:ascii="Arial" w:hAnsi="Arial" w:cs="Arial"/>
          <w:sz w:val="22"/>
          <w:szCs w:val="22"/>
        </w:rPr>
      </w:pPr>
      <w:r>
        <w:rPr>
          <w:rFonts w:ascii="Arial" w:hAnsi="Arial" w:cs="Arial"/>
          <w:sz w:val="22"/>
          <w:szCs w:val="22"/>
        </w:rPr>
        <w:t>The PBAC advises</w:t>
      </w:r>
      <w:r w:rsidR="002D54B7">
        <w:rPr>
          <w:rFonts w:ascii="Arial" w:hAnsi="Arial" w:cs="Arial"/>
          <w:sz w:val="22"/>
          <w:szCs w:val="22"/>
        </w:rPr>
        <w:t xml:space="preserve"> the Minister</w:t>
      </w:r>
      <w:r>
        <w:rPr>
          <w:rFonts w:ascii="Arial" w:hAnsi="Arial" w:cs="Arial"/>
          <w:sz w:val="22"/>
          <w:szCs w:val="22"/>
        </w:rPr>
        <w:t xml:space="preserve"> that generic oxycodone modified release tablets without a claimed abuse-resistant formulation should be schedule equivalent to oxycodone, modified release tablets, 10mg, 20mg, 30mg, 40mg and 80mg with the brand Oxy</w:t>
      </w:r>
      <w:r w:rsidR="00B22DF9">
        <w:rPr>
          <w:rFonts w:ascii="Arial" w:hAnsi="Arial" w:cs="Arial"/>
          <w:sz w:val="22"/>
          <w:szCs w:val="22"/>
        </w:rPr>
        <w:t>C</w:t>
      </w:r>
      <w:r>
        <w:rPr>
          <w:rFonts w:ascii="Arial" w:hAnsi="Arial" w:cs="Arial"/>
          <w:sz w:val="22"/>
          <w:szCs w:val="22"/>
        </w:rPr>
        <w:t>ontin</w:t>
      </w:r>
      <w:r w:rsidR="002D54B7">
        <w:rPr>
          <w:rFonts w:ascii="Arial" w:hAnsi="Arial" w:cs="Arial"/>
          <w:sz w:val="22"/>
          <w:szCs w:val="22"/>
        </w:rPr>
        <w:t>,</w:t>
      </w:r>
      <w:r>
        <w:rPr>
          <w:rFonts w:ascii="Arial" w:hAnsi="Arial" w:cs="Arial"/>
          <w:sz w:val="22"/>
          <w:szCs w:val="22"/>
        </w:rPr>
        <w:t xml:space="preserve"> for the purposes of the Schedule of Pharmaceutical Benefits referred to in paragraph 103(2A)(b) of the</w:t>
      </w:r>
      <w:r>
        <w:rPr>
          <w:rFonts w:ascii="Arial" w:hAnsi="Arial" w:cs="Arial"/>
          <w:i/>
          <w:sz w:val="22"/>
          <w:szCs w:val="22"/>
        </w:rPr>
        <w:t xml:space="preserve"> National Health Act 1953</w:t>
      </w:r>
      <w:r>
        <w:rPr>
          <w:rFonts w:ascii="Arial" w:hAnsi="Arial" w:cs="Arial"/>
          <w:sz w:val="22"/>
          <w:szCs w:val="22"/>
        </w:rPr>
        <w:t xml:space="preserve"> (“the Act”).</w:t>
      </w:r>
    </w:p>
    <w:p w:rsidR="00135B30" w:rsidRPr="00135B30" w:rsidRDefault="00135B30" w:rsidP="00135B30">
      <w:pPr>
        <w:rPr>
          <w:rFonts w:ascii="Arial" w:hAnsi="Arial" w:cs="Arial"/>
          <w:sz w:val="22"/>
          <w:szCs w:val="22"/>
        </w:rPr>
      </w:pPr>
    </w:p>
    <w:p w:rsidR="00135B30" w:rsidRPr="00135B30" w:rsidRDefault="00135B30" w:rsidP="00135B30">
      <w:pPr>
        <w:rPr>
          <w:rFonts w:ascii="Arial" w:hAnsi="Arial" w:cs="Arial"/>
          <w:sz w:val="22"/>
          <w:szCs w:val="22"/>
        </w:rPr>
      </w:pPr>
    </w:p>
    <w:p w:rsidR="00ED1F2E" w:rsidRDefault="00ED1F2E" w:rsidP="00ED1F2E">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ED1F2E" w:rsidRPr="00D4420F" w:rsidRDefault="00ED1F2E" w:rsidP="00ED1F2E">
      <w:pPr>
        <w:pStyle w:val="ListParagraph"/>
        <w:jc w:val="both"/>
        <w:rPr>
          <w:rFonts w:ascii="Arial" w:hAnsi="Arial" w:cs="Arial"/>
          <w:b/>
          <w:sz w:val="22"/>
        </w:rPr>
      </w:pPr>
    </w:p>
    <w:p w:rsidR="00ED1F2E" w:rsidRPr="00D4420F" w:rsidRDefault="00ED1F2E" w:rsidP="00ED1F2E">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22781" w:rsidRDefault="00722781" w:rsidP="00ED1F2E">
      <w:pPr>
        <w:tabs>
          <w:tab w:val="left" w:pos="2070"/>
        </w:tabs>
        <w:jc w:val="both"/>
        <w:rPr>
          <w:rFonts w:ascii="Arial" w:hAnsi="Arial" w:cs="Arial"/>
          <w:sz w:val="22"/>
        </w:rPr>
      </w:pPr>
    </w:p>
    <w:p w:rsidR="00ED1F2E" w:rsidRPr="00D4420F" w:rsidRDefault="00ED1F2E" w:rsidP="00ED1F2E">
      <w:pPr>
        <w:tabs>
          <w:tab w:val="left" w:pos="2070"/>
        </w:tabs>
        <w:jc w:val="both"/>
        <w:rPr>
          <w:rFonts w:ascii="Arial" w:hAnsi="Arial" w:cs="Arial"/>
          <w:sz w:val="22"/>
        </w:rPr>
      </w:pPr>
    </w:p>
    <w:p w:rsidR="00ED1F2E" w:rsidRDefault="00ED1F2E" w:rsidP="00ED1F2E">
      <w:pPr>
        <w:pStyle w:val="ListParagraph"/>
        <w:numPr>
          <w:ilvl w:val="0"/>
          <w:numId w:val="25"/>
        </w:numPr>
        <w:jc w:val="both"/>
        <w:rPr>
          <w:rFonts w:ascii="Arial" w:hAnsi="Arial" w:cs="Arial"/>
          <w:b/>
          <w:sz w:val="22"/>
        </w:rPr>
      </w:pPr>
      <w:r w:rsidRPr="00D4420F">
        <w:rPr>
          <w:rFonts w:ascii="Arial" w:hAnsi="Arial" w:cs="Arial"/>
          <w:b/>
          <w:sz w:val="22"/>
        </w:rPr>
        <w:t>Sponsor’s Comment</w:t>
      </w:r>
    </w:p>
    <w:p w:rsidR="00BB7EC3" w:rsidRPr="00722781" w:rsidRDefault="00BB7EC3" w:rsidP="00722781">
      <w:pPr>
        <w:ind w:left="720"/>
        <w:jc w:val="both"/>
        <w:rPr>
          <w:rFonts w:ascii="Arial" w:hAnsi="Arial" w:cs="Arial"/>
          <w:sz w:val="22"/>
        </w:rPr>
      </w:pPr>
    </w:p>
    <w:p w:rsidR="00ED1F2E" w:rsidRPr="00722781" w:rsidRDefault="00ED1F2E" w:rsidP="00722781">
      <w:pPr>
        <w:ind w:left="720"/>
        <w:jc w:val="both"/>
        <w:rPr>
          <w:rFonts w:ascii="Arial" w:hAnsi="Arial" w:cs="Arial"/>
          <w:sz w:val="22"/>
        </w:rPr>
      </w:pPr>
      <w:proofErr w:type="spellStart"/>
      <w:r w:rsidRPr="00722781">
        <w:rPr>
          <w:rFonts w:ascii="Arial" w:hAnsi="Arial" w:cs="Arial"/>
          <w:sz w:val="22"/>
        </w:rPr>
        <w:t>Mundipharma</w:t>
      </w:r>
      <w:proofErr w:type="spellEnd"/>
      <w:r w:rsidRPr="00722781">
        <w:rPr>
          <w:rFonts w:ascii="Arial" w:hAnsi="Arial" w:cs="Arial"/>
          <w:sz w:val="22"/>
        </w:rPr>
        <w:t xml:space="preserve"> is disappointed that the PBAC has limited its consideration of substitutability to the criterion of bioequivalence, when it is not obliged to do so. If the objective of the PBAC is to assist prescribers to choose the most suitable product to meet the clinical needs of individual patients then a more prudent option would be to allow both products to be available on the PBS, but not to recommend an ‘a’ flag. This would ensure both that the prescribers have choice and that what gets dispensed matches th</w:t>
      </w:r>
      <w:r w:rsidR="00722781">
        <w:rPr>
          <w:rFonts w:ascii="Arial" w:hAnsi="Arial" w:cs="Arial"/>
          <w:sz w:val="22"/>
        </w:rPr>
        <w:t>eir prescribing intention. It </w:t>
      </w:r>
      <w:r w:rsidRPr="00722781">
        <w:rPr>
          <w:rFonts w:ascii="Arial" w:hAnsi="Arial" w:cs="Arial"/>
          <w:sz w:val="22"/>
        </w:rPr>
        <w:t>would also provide better protect</w:t>
      </w:r>
      <w:r w:rsidR="00722781">
        <w:rPr>
          <w:rFonts w:ascii="Arial" w:hAnsi="Arial" w:cs="Arial"/>
          <w:sz w:val="22"/>
        </w:rPr>
        <w:t>ion to dispensing pharmacists. </w:t>
      </w:r>
      <w:proofErr w:type="spellStart"/>
      <w:r w:rsidRPr="00722781">
        <w:rPr>
          <w:rFonts w:ascii="Arial" w:hAnsi="Arial" w:cs="Arial"/>
          <w:sz w:val="22"/>
        </w:rPr>
        <w:t>Mundipharma</w:t>
      </w:r>
      <w:proofErr w:type="spellEnd"/>
      <w:r w:rsidRPr="00722781">
        <w:rPr>
          <w:rFonts w:ascii="Arial" w:hAnsi="Arial" w:cs="Arial"/>
          <w:sz w:val="22"/>
        </w:rPr>
        <w:t xml:space="preserve"> agrees that the problem of prescription opioid abuse requires a broad approach. No single initiative, however, can be </w:t>
      </w:r>
      <w:r w:rsidRPr="00722781">
        <w:rPr>
          <w:rFonts w:ascii="Arial" w:hAnsi="Arial" w:cs="Arial"/>
          <w:sz w:val="22"/>
        </w:rPr>
        <w:lastRenderedPageBreak/>
        <w:t>expected to solve the problem in isolation. The National Prescription Opioids Abuse Framework for action, which has been ratified by the Commonwealth Government, includes a specific recommendation to ‘promote the use of tamper-resistant technologies for target medications’. </w:t>
      </w:r>
      <w:proofErr w:type="spellStart"/>
      <w:r w:rsidRPr="00722781">
        <w:rPr>
          <w:rFonts w:ascii="Arial" w:hAnsi="Arial" w:cs="Arial"/>
          <w:sz w:val="22"/>
        </w:rPr>
        <w:t>Mundipharma</w:t>
      </w:r>
      <w:proofErr w:type="spellEnd"/>
      <w:r w:rsidRPr="00722781">
        <w:rPr>
          <w:rFonts w:ascii="Arial" w:hAnsi="Arial" w:cs="Arial"/>
          <w:sz w:val="22"/>
        </w:rPr>
        <w:t xml:space="preserve"> believes that this recommendation represents a missed opportunity to support an important element of the Framework.</w:t>
      </w:r>
    </w:p>
    <w:p w:rsidR="00ED1F2E" w:rsidRPr="00722781" w:rsidRDefault="00ED1F2E" w:rsidP="00722781">
      <w:pPr>
        <w:ind w:left="720"/>
        <w:jc w:val="both"/>
        <w:rPr>
          <w:rFonts w:ascii="Arial" w:hAnsi="Arial" w:cs="Arial"/>
          <w:sz w:val="22"/>
        </w:rPr>
      </w:pPr>
    </w:p>
    <w:sectPr w:rsidR="00ED1F2E" w:rsidRPr="00722781" w:rsidSect="00135B30">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DB7" w:rsidRDefault="00036DB7">
      <w:r>
        <w:separator/>
      </w:r>
    </w:p>
  </w:endnote>
  <w:endnote w:type="continuationSeparator" w:id="0">
    <w:p w:rsidR="00036DB7" w:rsidRDefault="0003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0" w:rsidRPr="0063777A" w:rsidRDefault="00EF44A0" w:rsidP="00EF44A0">
    <w:pPr>
      <w:pStyle w:val="Footer"/>
      <w:rPr>
        <w:rFonts w:ascii="Arial" w:hAnsi="Arial" w:cs="Arial"/>
        <w:sz w:val="22"/>
      </w:rPr>
    </w:pPr>
  </w:p>
  <w:p w:rsidR="00EF44A0" w:rsidRPr="0063777A" w:rsidRDefault="005037AA">
    <w:pPr>
      <w:pStyle w:val="Footer"/>
      <w:jc w:val="center"/>
      <w:rPr>
        <w:rFonts w:ascii="Arial" w:hAnsi="Arial" w:cs="Arial"/>
        <w:sz w:val="22"/>
      </w:rPr>
    </w:pPr>
    <w:sdt>
      <w:sdtPr>
        <w:rPr>
          <w:rFonts w:ascii="Arial" w:hAnsi="Arial" w:cs="Arial"/>
          <w:sz w:val="22"/>
        </w:rPr>
        <w:id w:val="646254239"/>
        <w:docPartObj>
          <w:docPartGallery w:val="Page Numbers (Bottom of Page)"/>
          <w:docPartUnique/>
        </w:docPartObj>
      </w:sdtPr>
      <w:sdtEndPr>
        <w:rPr>
          <w:noProof/>
        </w:rPr>
      </w:sdtEndPr>
      <w:sdtContent>
        <w:r w:rsidR="00EF44A0" w:rsidRPr="0063777A">
          <w:rPr>
            <w:rFonts w:ascii="Arial" w:hAnsi="Arial" w:cs="Arial"/>
            <w:sz w:val="22"/>
          </w:rPr>
          <w:fldChar w:fldCharType="begin"/>
        </w:r>
        <w:r w:rsidR="00EF44A0" w:rsidRPr="0063777A">
          <w:rPr>
            <w:rFonts w:ascii="Arial" w:hAnsi="Arial" w:cs="Arial"/>
            <w:sz w:val="22"/>
          </w:rPr>
          <w:instrText xml:space="preserve"> PAGE   \* MERGEFORMAT </w:instrText>
        </w:r>
        <w:r w:rsidR="00EF44A0" w:rsidRPr="0063777A">
          <w:rPr>
            <w:rFonts w:ascii="Arial" w:hAnsi="Arial" w:cs="Arial"/>
            <w:sz w:val="22"/>
          </w:rPr>
          <w:fldChar w:fldCharType="separate"/>
        </w:r>
        <w:r>
          <w:rPr>
            <w:rFonts w:ascii="Arial" w:hAnsi="Arial" w:cs="Arial"/>
            <w:noProof/>
            <w:sz w:val="22"/>
          </w:rPr>
          <w:t>1</w:t>
        </w:r>
        <w:r w:rsidR="00EF44A0" w:rsidRPr="0063777A">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B7" w:rsidRDefault="00036DB7">
      <w:r>
        <w:separator/>
      </w:r>
    </w:p>
  </w:footnote>
  <w:footnote w:type="continuationSeparator" w:id="0">
    <w:p w:rsidR="00036DB7" w:rsidRDefault="0003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9" w:rsidRPr="00F33BA9" w:rsidRDefault="00A21DFC" w:rsidP="00F33BA9">
    <w:pPr>
      <w:pStyle w:val="Header"/>
      <w:jc w:val="center"/>
      <w:rPr>
        <w:rFonts w:ascii="Arial" w:hAnsi="Arial" w:cs="Arial"/>
        <w:i/>
        <w:color w:val="808080"/>
      </w:rPr>
    </w:pPr>
    <w:r>
      <w:rPr>
        <w:rFonts w:ascii="Arial" w:hAnsi="Arial" w:cs="Arial"/>
        <w:i/>
        <w:color w:val="808080"/>
      </w:rPr>
      <w:t>Public Summary Document</w:t>
    </w:r>
    <w:r w:rsidR="00F33BA9" w:rsidRPr="00F33BA9">
      <w:rPr>
        <w:rFonts w:ascii="Arial" w:hAnsi="Arial" w:cs="Arial"/>
        <w:i/>
        <w:color w:val="808080"/>
      </w:rPr>
      <w:t xml:space="preserve"> – November 2014 PBAC Meeting</w:t>
    </w:r>
  </w:p>
  <w:p w:rsidR="00F33BA9" w:rsidRDefault="00F33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340003B"/>
    <w:multiLevelType w:val="hybridMultilevel"/>
    <w:tmpl w:val="8D1850C4"/>
    <w:lvl w:ilvl="0" w:tplc="E3502378">
      <w:start w:val="1"/>
      <w:numFmt w:val="bullet"/>
      <w:lvlText w:val=""/>
      <w:lvlJc w:val="left"/>
      <w:pPr>
        <w:tabs>
          <w:tab w:val="num" w:pos="360"/>
        </w:tabs>
        <w:ind w:left="360" w:hanging="360"/>
      </w:pPr>
      <w:rPr>
        <w:rFonts w:ascii="Symbol" w:hAnsi="Symbol" w:hint="default"/>
        <w:sz w:val="24"/>
        <w:szCs w:val="24"/>
      </w:rPr>
    </w:lvl>
    <w:lvl w:ilvl="1" w:tplc="22CAFDE8">
      <w:start w:val="1"/>
      <w:numFmt w:val="bullet"/>
      <w:lvlText w:val=""/>
      <w:lvlJc w:val="left"/>
      <w:pPr>
        <w:tabs>
          <w:tab w:val="num" w:pos="1060"/>
        </w:tabs>
        <w:ind w:left="1060" w:hanging="340"/>
      </w:pPr>
      <w:rPr>
        <w:rFonts w:ascii="Symbol" w:hAnsi="Symbol" w:hint="default"/>
      </w:rPr>
    </w:lvl>
    <w:lvl w:ilvl="2" w:tplc="52CCC682">
      <w:numFmt w:val="bullet"/>
      <w:lvlText w:val="-"/>
      <w:lvlJc w:val="left"/>
      <w:pPr>
        <w:ind w:left="1800" w:hanging="360"/>
      </w:pPr>
      <w:rPr>
        <w:rFonts w:ascii="Arial" w:eastAsia="Times New Roman" w:hAnsi="Arial" w:cs="Arial" w:hint="default"/>
      </w:rPr>
    </w:lvl>
    <w:lvl w:ilvl="3" w:tplc="ED602876" w:tentative="1">
      <w:start w:val="1"/>
      <w:numFmt w:val="bullet"/>
      <w:lvlText w:val=""/>
      <w:lvlJc w:val="left"/>
      <w:pPr>
        <w:tabs>
          <w:tab w:val="num" w:pos="2520"/>
        </w:tabs>
        <w:ind w:left="2520" w:hanging="360"/>
      </w:pPr>
      <w:rPr>
        <w:rFonts w:ascii="Symbol" w:hAnsi="Symbol" w:hint="default"/>
      </w:rPr>
    </w:lvl>
    <w:lvl w:ilvl="4" w:tplc="8A10F87E" w:tentative="1">
      <w:start w:val="1"/>
      <w:numFmt w:val="bullet"/>
      <w:lvlText w:val="o"/>
      <w:lvlJc w:val="left"/>
      <w:pPr>
        <w:tabs>
          <w:tab w:val="num" w:pos="3240"/>
        </w:tabs>
        <w:ind w:left="3240" w:hanging="360"/>
      </w:pPr>
      <w:rPr>
        <w:rFonts w:ascii="Courier New" w:hAnsi="Courier New" w:cs="Courier New" w:hint="default"/>
      </w:rPr>
    </w:lvl>
    <w:lvl w:ilvl="5" w:tplc="9E3A9950" w:tentative="1">
      <w:start w:val="1"/>
      <w:numFmt w:val="bullet"/>
      <w:lvlText w:val=""/>
      <w:lvlJc w:val="left"/>
      <w:pPr>
        <w:tabs>
          <w:tab w:val="num" w:pos="3960"/>
        </w:tabs>
        <w:ind w:left="3960" w:hanging="360"/>
      </w:pPr>
      <w:rPr>
        <w:rFonts w:ascii="Wingdings" w:hAnsi="Wingdings" w:hint="default"/>
      </w:rPr>
    </w:lvl>
    <w:lvl w:ilvl="6" w:tplc="FF1EE418" w:tentative="1">
      <w:start w:val="1"/>
      <w:numFmt w:val="bullet"/>
      <w:lvlText w:val=""/>
      <w:lvlJc w:val="left"/>
      <w:pPr>
        <w:tabs>
          <w:tab w:val="num" w:pos="4680"/>
        </w:tabs>
        <w:ind w:left="4680" w:hanging="360"/>
      </w:pPr>
      <w:rPr>
        <w:rFonts w:ascii="Symbol" w:hAnsi="Symbol" w:hint="default"/>
      </w:rPr>
    </w:lvl>
    <w:lvl w:ilvl="7" w:tplc="10EECA80" w:tentative="1">
      <w:start w:val="1"/>
      <w:numFmt w:val="bullet"/>
      <w:lvlText w:val="o"/>
      <w:lvlJc w:val="left"/>
      <w:pPr>
        <w:tabs>
          <w:tab w:val="num" w:pos="5400"/>
        </w:tabs>
        <w:ind w:left="5400" w:hanging="360"/>
      </w:pPr>
      <w:rPr>
        <w:rFonts w:ascii="Courier New" w:hAnsi="Courier New" w:cs="Courier New" w:hint="default"/>
      </w:rPr>
    </w:lvl>
    <w:lvl w:ilvl="8" w:tplc="1B1E900E" w:tentative="1">
      <w:start w:val="1"/>
      <w:numFmt w:val="bullet"/>
      <w:lvlText w:val=""/>
      <w:lvlJc w:val="left"/>
      <w:pPr>
        <w:tabs>
          <w:tab w:val="num" w:pos="6120"/>
        </w:tabs>
        <w:ind w:left="6120"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9829F6"/>
    <w:multiLevelType w:val="hybridMultilevel"/>
    <w:tmpl w:val="42BA60E0"/>
    <w:lvl w:ilvl="0" w:tplc="4282E8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B7A2731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1">
    <w:nsid w:val="7D447211"/>
    <w:multiLevelType w:val="hybridMultilevel"/>
    <w:tmpl w:val="761CA6D6"/>
    <w:lvl w:ilvl="0" w:tplc="4ADC6D82">
      <w:start w:val="1"/>
      <w:numFmt w:val="bullet"/>
      <w:lvlText w:val=""/>
      <w:lvlJc w:val="left"/>
      <w:pPr>
        <w:ind w:left="360" w:hanging="360"/>
      </w:pPr>
      <w:rPr>
        <w:rFonts w:ascii="Symbol" w:hAnsi="Symbol" w:hint="default"/>
      </w:rPr>
    </w:lvl>
    <w:lvl w:ilvl="1" w:tplc="94A0620A" w:tentative="1">
      <w:start w:val="1"/>
      <w:numFmt w:val="bullet"/>
      <w:lvlText w:val="o"/>
      <w:lvlJc w:val="left"/>
      <w:pPr>
        <w:ind w:left="1080" w:hanging="360"/>
      </w:pPr>
      <w:rPr>
        <w:rFonts w:ascii="Courier New" w:hAnsi="Courier New" w:cs="Courier New" w:hint="default"/>
      </w:rPr>
    </w:lvl>
    <w:lvl w:ilvl="2" w:tplc="B39E4C5E" w:tentative="1">
      <w:start w:val="1"/>
      <w:numFmt w:val="bullet"/>
      <w:lvlText w:val=""/>
      <w:lvlJc w:val="left"/>
      <w:pPr>
        <w:ind w:left="1800" w:hanging="360"/>
      </w:pPr>
      <w:rPr>
        <w:rFonts w:ascii="Wingdings" w:hAnsi="Wingdings" w:hint="default"/>
      </w:rPr>
    </w:lvl>
    <w:lvl w:ilvl="3" w:tplc="1CE4974E" w:tentative="1">
      <w:start w:val="1"/>
      <w:numFmt w:val="bullet"/>
      <w:lvlText w:val=""/>
      <w:lvlJc w:val="left"/>
      <w:pPr>
        <w:ind w:left="2520" w:hanging="360"/>
      </w:pPr>
      <w:rPr>
        <w:rFonts w:ascii="Symbol" w:hAnsi="Symbol" w:hint="default"/>
      </w:rPr>
    </w:lvl>
    <w:lvl w:ilvl="4" w:tplc="345ADC4C" w:tentative="1">
      <w:start w:val="1"/>
      <w:numFmt w:val="bullet"/>
      <w:lvlText w:val="o"/>
      <w:lvlJc w:val="left"/>
      <w:pPr>
        <w:ind w:left="3240" w:hanging="360"/>
      </w:pPr>
      <w:rPr>
        <w:rFonts w:ascii="Courier New" w:hAnsi="Courier New" w:cs="Courier New" w:hint="default"/>
      </w:rPr>
    </w:lvl>
    <w:lvl w:ilvl="5" w:tplc="D3224EF8" w:tentative="1">
      <w:start w:val="1"/>
      <w:numFmt w:val="bullet"/>
      <w:lvlText w:val=""/>
      <w:lvlJc w:val="left"/>
      <w:pPr>
        <w:ind w:left="3960" w:hanging="360"/>
      </w:pPr>
      <w:rPr>
        <w:rFonts w:ascii="Wingdings" w:hAnsi="Wingdings" w:hint="default"/>
      </w:rPr>
    </w:lvl>
    <w:lvl w:ilvl="6" w:tplc="D1DA1DCC" w:tentative="1">
      <w:start w:val="1"/>
      <w:numFmt w:val="bullet"/>
      <w:lvlText w:val=""/>
      <w:lvlJc w:val="left"/>
      <w:pPr>
        <w:ind w:left="4680" w:hanging="360"/>
      </w:pPr>
      <w:rPr>
        <w:rFonts w:ascii="Symbol" w:hAnsi="Symbol" w:hint="default"/>
      </w:rPr>
    </w:lvl>
    <w:lvl w:ilvl="7" w:tplc="983E2E80" w:tentative="1">
      <w:start w:val="1"/>
      <w:numFmt w:val="bullet"/>
      <w:lvlText w:val="o"/>
      <w:lvlJc w:val="left"/>
      <w:pPr>
        <w:ind w:left="5400" w:hanging="360"/>
      </w:pPr>
      <w:rPr>
        <w:rFonts w:ascii="Courier New" w:hAnsi="Courier New" w:cs="Courier New" w:hint="default"/>
      </w:rPr>
    </w:lvl>
    <w:lvl w:ilvl="8" w:tplc="6DF83FC8" w:tentative="1">
      <w:start w:val="1"/>
      <w:numFmt w:val="bullet"/>
      <w:lvlText w:val=""/>
      <w:lvlJc w:val="left"/>
      <w:pPr>
        <w:ind w:left="6120" w:hanging="360"/>
      </w:pPr>
      <w:rPr>
        <w:rFonts w:ascii="Wingdings" w:hAnsi="Wingdings" w:hint="default"/>
      </w:rPr>
    </w:lvl>
  </w:abstractNum>
  <w:abstractNum w:abstractNumId="42">
    <w:nsid w:val="7F4134C2"/>
    <w:multiLevelType w:val="multilevel"/>
    <w:tmpl w:val="611E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4"/>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2"/>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5"/>
  </w:num>
  <w:num w:numId="15">
    <w:abstractNumId w:val="27"/>
  </w:num>
  <w:num w:numId="16">
    <w:abstractNumId w:val="22"/>
  </w:num>
  <w:num w:numId="17">
    <w:abstractNumId w:val="37"/>
  </w:num>
  <w:num w:numId="18">
    <w:abstractNumId w:val="12"/>
  </w:num>
  <w:num w:numId="19">
    <w:abstractNumId w:val="17"/>
  </w:num>
  <w:num w:numId="20">
    <w:abstractNumId w:val="3"/>
  </w:num>
  <w:num w:numId="21">
    <w:abstractNumId w:val="31"/>
  </w:num>
  <w:num w:numId="22">
    <w:abstractNumId w:val="33"/>
  </w:num>
  <w:num w:numId="23">
    <w:abstractNumId w:val="39"/>
  </w:num>
  <w:num w:numId="24">
    <w:abstractNumId w:val="14"/>
  </w:num>
  <w:num w:numId="25">
    <w:abstractNumId w:val="38"/>
  </w:num>
  <w:num w:numId="26">
    <w:abstractNumId w:val="28"/>
  </w:num>
  <w:num w:numId="27">
    <w:abstractNumId w:val="11"/>
  </w:num>
  <w:num w:numId="28">
    <w:abstractNumId w:val="6"/>
  </w:num>
  <w:num w:numId="29">
    <w:abstractNumId w:val="24"/>
  </w:num>
  <w:num w:numId="30">
    <w:abstractNumId w:val="2"/>
  </w:num>
  <w:num w:numId="31">
    <w:abstractNumId w:val="26"/>
  </w:num>
  <w:num w:numId="32">
    <w:abstractNumId w:val="36"/>
  </w:num>
  <w:num w:numId="33">
    <w:abstractNumId w:val="23"/>
  </w:num>
  <w:num w:numId="34">
    <w:abstractNumId w:val="40"/>
  </w:num>
  <w:num w:numId="35">
    <w:abstractNumId w:val="10"/>
  </w:num>
  <w:num w:numId="36">
    <w:abstractNumId w:val="21"/>
  </w:num>
  <w:num w:numId="37">
    <w:abstractNumId w:val="30"/>
  </w:num>
  <w:num w:numId="38">
    <w:abstractNumId w:val="8"/>
  </w:num>
  <w:num w:numId="39">
    <w:abstractNumId w:val="16"/>
  </w:num>
  <w:num w:numId="40">
    <w:abstractNumId w:val="1"/>
  </w:num>
  <w:num w:numId="41">
    <w:abstractNumId w:val="13"/>
  </w:num>
  <w:num w:numId="42">
    <w:abstractNumId w:val="29"/>
  </w:num>
  <w:num w:numId="43">
    <w:abstractNumId w:val="25"/>
  </w:num>
  <w:num w:numId="44">
    <w:abstractNumId w:val="4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528"/>
    <w:rsid w:val="00036DB7"/>
    <w:rsid w:val="00037936"/>
    <w:rsid w:val="000421A1"/>
    <w:rsid w:val="0004240E"/>
    <w:rsid w:val="0004255D"/>
    <w:rsid w:val="00045E26"/>
    <w:rsid w:val="0005132D"/>
    <w:rsid w:val="000514B5"/>
    <w:rsid w:val="00060E64"/>
    <w:rsid w:val="00066755"/>
    <w:rsid w:val="00091E99"/>
    <w:rsid w:val="000969AD"/>
    <w:rsid w:val="000B558D"/>
    <w:rsid w:val="000C180B"/>
    <w:rsid w:val="000C67AA"/>
    <w:rsid w:val="000C6996"/>
    <w:rsid w:val="000D23BA"/>
    <w:rsid w:val="000E03A1"/>
    <w:rsid w:val="000E681E"/>
    <w:rsid w:val="000E6E25"/>
    <w:rsid w:val="000F054D"/>
    <w:rsid w:val="000F2F60"/>
    <w:rsid w:val="000F4E6A"/>
    <w:rsid w:val="001064F4"/>
    <w:rsid w:val="0010776F"/>
    <w:rsid w:val="001107BF"/>
    <w:rsid w:val="0012417C"/>
    <w:rsid w:val="00132C04"/>
    <w:rsid w:val="00133F99"/>
    <w:rsid w:val="00135B30"/>
    <w:rsid w:val="00142395"/>
    <w:rsid w:val="00142714"/>
    <w:rsid w:val="001452ED"/>
    <w:rsid w:val="00146564"/>
    <w:rsid w:val="0016698C"/>
    <w:rsid w:val="001830CE"/>
    <w:rsid w:val="00196307"/>
    <w:rsid w:val="001B017F"/>
    <w:rsid w:val="001B2AC8"/>
    <w:rsid w:val="001B5129"/>
    <w:rsid w:val="001C1195"/>
    <w:rsid w:val="001E0D20"/>
    <w:rsid w:val="001F3AEC"/>
    <w:rsid w:val="0020419F"/>
    <w:rsid w:val="00213CFB"/>
    <w:rsid w:val="002617DF"/>
    <w:rsid w:val="00264C31"/>
    <w:rsid w:val="00271BA1"/>
    <w:rsid w:val="00277505"/>
    <w:rsid w:val="0029458F"/>
    <w:rsid w:val="002A104C"/>
    <w:rsid w:val="002A48DA"/>
    <w:rsid w:val="002A4960"/>
    <w:rsid w:val="002B1AE6"/>
    <w:rsid w:val="002B30F8"/>
    <w:rsid w:val="002B41B9"/>
    <w:rsid w:val="002C079B"/>
    <w:rsid w:val="002C212F"/>
    <w:rsid w:val="002D54B7"/>
    <w:rsid w:val="002E0E8C"/>
    <w:rsid w:val="002E72CA"/>
    <w:rsid w:val="002F7087"/>
    <w:rsid w:val="00326E79"/>
    <w:rsid w:val="00334E45"/>
    <w:rsid w:val="003367EF"/>
    <w:rsid w:val="00337DAA"/>
    <w:rsid w:val="00340D0D"/>
    <w:rsid w:val="00341824"/>
    <w:rsid w:val="00341AE4"/>
    <w:rsid w:val="00343C7E"/>
    <w:rsid w:val="0038719C"/>
    <w:rsid w:val="0039292A"/>
    <w:rsid w:val="003A464B"/>
    <w:rsid w:val="003A5B4A"/>
    <w:rsid w:val="003B23C5"/>
    <w:rsid w:val="003B2A75"/>
    <w:rsid w:val="003B7970"/>
    <w:rsid w:val="003D4AC4"/>
    <w:rsid w:val="003D63B7"/>
    <w:rsid w:val="003E468B"/>
    <w:rsid w:val="003F5C8C"/>
    <w:rsid w:val="003F75BD"/>
    <w:rsid w:val="0041757D"/>
    <w:rsid w:val="004316F6"/>
    <w:rsid w:val="00432B28"/>
    <w:rsid w:val="004465BD"/>
    <w:rsid w:val="00466ADA"/>
    <w:rsid w:val="00470BD1"/>
    <w:rsid w:val="00476245"/>
    <w:rsid w:val="00476FDD"/>
    <w:rsid w:val="00485940"/>
    <w:rsid w:val="00495FDC"/>
    <w:rsid w:val="004A5A85"/>
    <w:rsid w:val="004B5640"/>
    <w:rsid w:val="004C1BD7"/>
    <w:rsid w:val="004C691D"/>
    <w:rsid w:val="004E692D"/>
    <w:rsid w:val="005037AA"/>
    <w:rsid w:val="0050688D"/>
    <w:rsid w:val="00514CD7"/>
    <w:rsid w:val="00534E2E"/>
    <w:rsid w:val="00536A58"/>
    <w:rsid w:val="00544552"/>
    <w:rsid w:val="00581932"/>
    <w:rsid w:val="00584121"/>
    <w:rsid w:val="00587C10"/>
    <w:rsid w:val="00592ABD"/>
    <w:rsid w:val="005963BB"/>
    <w:rsid w:val="00596763"/>
    <w:rsid w:val="005A3173"/>
    <w:rsid w:val="005A3223"/>
    <w:rsid w:val="005A3DA3"/>
    <w:rsid w:val="005A52C4"/>
    <w:rsid w:val="005D03AB"/>
    <w:rsid w:val="005D5017"/>
    <w:rsid w:val="005F1270"/>
    <w:rsid w:val="00601A91"/>
    <w:rsid w:val="00602BA3"/>
    <w:rsid w:val="00614159"/>
    <w:rsid w:val="00617C00"/>
    <w:rsid w:val="006263BF"/>
    <w:rsid w:val="00630A2C"/>
    <w:rsid w:val="0063777A"/>
    <w:rsid w:val="00651169"/>
    <w:rsid w:val="00653D69"/>
    <w:rsid w:val="00670A76"/>
    <w:rsid w:val="006711AA"/>
    <w:rsid w:val="00674189"/>
    <w:rsid w:val="00675622"/>
    <w:rsid w:val="006837FA"/>
    <w:rsid w:val="006906DB"/>
    <w:rsid w:val="00693D5D"/>
    <w:rsid w:val="006A12A5"/>
    <w:rsid w:val="006A654E"/>
    <w:rsid w:val="006B0B8C"/>
    <w:rsid w:val="006B0D94"/>
    <w:rsid w:val="006B485D"/>
    <w:rsid w:val="006B4B84"/>
    <w:rsid w:val="006B5EBD"/>
    <w:rsid w:val="006C708E"/>
    <w:rsid w:val="006D31D9"/>
    <w:rsid w:val="006D57C7"/>
    <w:rsid w:val="006D6EC7"/>
    <w:rsid w:val="006F3981"/>
    <w:rsid w:val="006F5125"/>
    <w:rsid w:val="007174BB"/>
    <w:rsid w:val="00722781"/>
    <w:rsid w:val="007343C5"/>
    <w:rsid w:val="00734B9E"/>
    <w:rsid w:val="00742AE2"/>
    <w:rsid w:val="00756D28"/>
    <w:rsid w:val="0076420C"/>
    <w:rsid w:val="007753C2"/>
    <w:rsid w:val="007778F5"/>
    <w:rsid w:val="007838B8"/>
    <w:rsid w:val="007900FC"/>
    <w:rsid w:val="007B2AEB"/>
    <w:rsid w:val="007C0F57"/>
    <w:rsid w:val="007C3826"/>
    <w:rsid w:val="007C40B6"/>
    <w:rsid w:val="007C729F"/>
    <w:rsid w:val="007E1D28"/>
    <w:rsid w:val="007F2641"/>
    <w:rsid w:val="007F7C36"/>
    <w:rsid w:val="00806796"/>
    <w:rsid w:val="00826F6D"/>
    <w:rsid w:val="00840747"/>
    <w:rsid w:val="00856DDD"/>
    <w:rsid w:val="00857E3D"/>
    <w:rsid w:val="00863E68"/>
    <w:rsid w:val="0087093B"/>
    <w:rsid w:val="00882085"/>
    <w:rsid w:val="00883188"/>
    <w:rsid w:val="00894522"/>
    <w:rsid w:val="00897D58"/>
    <w:rsid w:val="008A1956"/>
    <w:rsid w:val="008A4937"/>
    <w:rsid w:val="008C7249"/>
    <w:rsid w:val="008D3C82"/>
    <w:rsid w:val="008D447E"/>
    <w:rsid w:val="008D7A41"/>
    <w:rsid w:val="008E3680"/>
    <w:rsid w:val="008E5870"/>
    <w:rsid w:val="008F1434"/>
    <w:rsid w:val="008F7355"/>
    <w:rsid w:val="009040F5"/>
    <w:rsid w:val="009067B7"/>
    <w:rsid w:val="00930937"/>
    <w:rsid w:val="00933E6C"/>
    <w:rsid w:val="00942160"/>
    <w:rsid w:val="00942213"/>
    <w:rsid w:val="009602C5"/>
    <w:rsid w:val="009733DB"/>
    <w:rsid w:val="00974C21"/>
    <w:rsid w:val="009A3B5C"/>
    <w:rsid w:val="009B0F67"/>
    <w:rsid w:val="009C23FB"/>
    <w:rsid w:val="009C703C"/>
    <w:rsid w:val="009D03DE"/>
    <w:rsid w:val="009D3CAA"/>
    <w:rsid w:val="009E443A"/>
    <w:rsid w:val="009F297C"/>
    <w:rsid w:val="009F4E46"/>
    <w:rsid w:val="009F5B65"/>
    <w:rsid w:val="009F5F2E"/>
    <w:rsid w:val="00A04C60"/>
    <w:rsid w:val="00A05B33"/>
    <w:rsid w:val="00A06225"/>
    <w:rsid w:val="00A1208B"/>
    <w:rsid w:val="00A1725C"/>
    <w:rsid w:val="00A21DFC"/>
    <w:rsid w:val="00A37C8D"/>
    <w:rsid w:val="00A5273B"/>
    <w:rsid w:val="00A53A9D"/>
    <w:rsid w:val="00A62C1A"/>
    <w:rsid w:val="00A6426D"/>
    <w:rsid w:val="00A70622"/>
    <w:rsid w:val="00A70967"/>
    <w:rsid w:val="00A70977"/>
    <w:rsid w:val="00A83751"/>
    <w:rsid w:val="00A8390C"/>
    <w:rsid w:val="00A9364D"/>
    <w:rsid w:val="00A95406"/>
    <w:rsid w:val="00AA4B60"/>
    <w:rsid w:val="00AA4D1C"/>
    <w:rsid w:val="00AA6D3C"/>
    <w:rsid w:val="00AC3CB1"/>
    <w:rsid w:val="00AC5206"/>
    <w:rsid w:val="00AE11A5"/>
    <w:rsid w:val="00AE7FD6"/>
    <w:rsid w:val="00AF68CC"/>
    <w:rsid w:val="00B115E5"/>
    <w:rsid w:val="00B205AA"/>
    <w:rsid w:val="00B22DF9"/>
    <w:rsid w:val="00B22E84"/>
    <w:rsid w:val="00B25F75"/>
    <w:rsid w:val="00B43E90"/>
    <w:rsid w:val="00B56118"/>
    <w:rsid w:val="00B6773F"/>
    <w:rsid w:val="00B838A8"/>
    <w:rsid w:val="00B94C18"/>
    <w:rsid w:val="00BB5703"/>
    <w:rsid w:val="00BB69F5"/>
    <w:rsid w:val="00BB6DF7"/>
    <w:rsid w:val="00BB7EC3"/>
    <w:rsid w:val="00BC4B9A"/>
    <w:rsid w:val="00BD532B"/>
    <w:rsid w:val="00BD784C"/>
    <w:rsid w:val="00BE4FE2"/>
    <w:rsid w:val="00BE7A5C"/>
    <w:rsid w:val="00BF4CB6"/>
    <w:rsid w:val="00C00DA7"/>
    <w:rsid w:val="00C12768"/>
    <w:rsid w:val="00C35996"/>
    <w:rsid w:val="00C40841"/>
    <w:rsid w:val="00C5342C"/>
    <w:rsid w:val="00C6256A"/>
    <w:rsid w:val="00C91449"/>
    <w:rsid w:val="00C92D10"/>
    <w:rsid w:val="00CE10C4"/>
    <w:rsid w:val="00CE27B5"/>
    <w:rsid w:val="00CE3239"/>
    <w:rsid w:val="00D0321E"/>
    <w:rsid w:val="00D1455A"/>
    <w:rsid w:val="00D3280C"/>
    <w:rsid w:val="00D3406A"/>
    <w:rsid w:val="00D36ECF"/>
    <w:rsid w:val="00D4306A"/>
    <w:rsid w:val="00D469B2"/>
    <w:rsid w:val="00D741EB"/>
    <w:rsid w:val="00D91271"/>
    <w:rsid w:val="00D97209"/>
    <w:rsid w:val="00DA2CB5"/>
    <w:rsid w:val="00DA4BAC"/>
    <w:rsid w:val="00DC1656"/>
    <w:rsid w:val="00DE439A"/>
    <w:rsid w:val="00DE64C9"/>
    <w:rsid w:val="00DE6D27"/>
    <w:rsid w:val="00DF217D"/>
    <w:rsid w:val="00DF26A7"/>
    <w:rsid w:val="00E07075"/>
    <w:rsid w:val="00E164B3"/>
    <w:rsid w:val="00E16910"/>
    <w:rsid w:val="00E22365"/>
    <w:rsid w:val="00E25E6E"/>
    <w:rsid w:val="00E3124A"/>
    <w:rsid w:val="00E46BE5"/>
    <w:rsid w:val="00E53DA3"/>
    <w:rsid w:val="00E624E6"/>
    <w:rsid w:val="00E65E54"/>
    <w:rsid w:val="00E75A9E"/>
    <w:rsid w:val="00E80155"/>
    <w:rsid w:val="00E848C0"/>
    <w:rsid w:val="00E91B96"/>
    <w:rsid w:val="00E941A1"/>
    <w:rsid w:val="00E95CE3"/>
    <w:rsid w:val="00EA2825"/>
    <w:rsid w:val="00EB5088"/>
    <w:rsid w:val="00EB60FB"/>
    <w:rsid w:val="00ED1644"/>
    <w:rsid w:val="00ED1F2E"/>
    <w:rsid w:val="00ED64AA"/>
    <w:rsid w:val="00EE2F66"/>
    <w:rsid w:val="00EE7EAD"/>
    <w:rsid w:val="00EF44A0"/>
    <w:rsid w:val="00F050BD"/>
    <w:rsid w:val="00F05657"/>
    <w:rsid w:val="00F25578"/>
    <w:rsid w:val="00F258E5"/>
    <w:rsid w:val="00F300BC"/>
    <w:rsid w:val="00F3334E"/>
    <w:rsid w:val="00F33BA9"/>
    <w:rsid w:val="00F50EC4"/>
    <w:rsid w:val="00F57A6D"/>
    <w:rsid w:val="00F638CC"/>
    <w:rsid w:val="00F8247A"/>
    <w:rsid w:val="00F9629A"/>
    <w:rsid w:val="00FA202B"/>
    <w:rsid w:val="00FA5883"/>
    <w:rsid w:val="00FA6055"/>
    <w:rsid w:val="00FB322F"/>
    <w:rsid w:val="00FB3AB3"/>
    <w:rsid w:val="00FB442F"/>
    <w:rsid w:val="00FC1929"/>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031528"/>
    <w:pPr>
      <w:spacing w:before="100" w:beforeAutospacing="1" w:after="100" w:afterAutospacing="1"/>
    </w:pPr>
  </w:style>
  <w:style w:type="character" w:styleId="Hyperlink">
    <w:name w:val="Hyperlink"/>
    <w:basedOn w:val="DefaultParagraphFont"/>
    <w:rsid w:val="001F3AEC"/>
    <w:rPr>
      <w:color w:val="0000FF" w:themeColor="hyperlink"/>
      <w:u w:val="single"/>
    </w:rPr>
  </w:style>
  <w:style w:type="paragraph" w:styleId="Revision">
    <w:name w:val="Revision"/>
    <w:hidden/>
    <w:uiPriority w:val="71"/>
    <w:rsid w:val="00132C04"/>
    <w:rPr>
      <w:sz w:val="24"/>
      <w:szCs w:val="24"/>
    </w:rPr>
  </w:style>
  <w:style w:type="paragraph" w:customStyle="1" w:styleId="PBACheading1">
    <w:name w:val="PBAC heading 1"/>
    <w:qFormat/>
    <w:rsid w:val="00F33BA9"/>
    <w:pPr>
      <w:ind w:left="720" w:hanging="720"/>
    </w:pPr>
    <w:rPr>
      <w:rFonts w:ascii="Arial" w:hAnsi="Arial" w:cs="Arial"/>
      <w:snapToGrid w:val="0"/>
      <w:sz w:val="22"/>
      <w:szCs w:val="22"/>
      <w:lang w:eastAsia="en-US"/>
    </w:rPr>
  </w:style>
  <w:style w:type="paragraph" w:customStyle="1" w:styleId="PBACHeading10">
    <w:name w:val="PBAC Heading 1"/>
    <w:qFormat/>
    <w:rsid w:val="00F33BA9"/>
    <w:pPr>
      <w:ind w:left="720" w:hanging="720"/>
    </w:pPr>
    <w:rPr>
      <w:rFonts w:ascii="Arial" w:hAnsi="Arial" w:cs="Arial"/>
      <w:b/>
      <w:snapToGrid w:val="0"/>
      <w:sz w:val="22"/>
      <w:szCs w:val="22"/>
      <w:lang w:eastAsia="en-US"/>
    </w:rPr>
  </w:style>
  <w:style w:type="paragraph" w:styleId="PlainText">
    <w:name w:val="Plain Text"/>
    <w:basedOn w:val="Normal"/>
    <w:link w:val="PlainTextChar"/>
    <w:uiPriority w:val="99"/>
    <w:unhideWhenUsed/>
    <w:rsid w:val="00ED1F2E"/>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ED1F2E"/>
    <w:rPr>
      <w:rFonts w:ascii="Calibri" w:eastAsiaTheme="minorHAnsi" w:hAnsi="Calibri"/>
      <w:sz w:val="22"/>
      <w:szCs w:val="22"/>
      <w:lang w:eastAsia="en-US"/>
    </w:rPr>
  </w:style>
  <w:style w:type="character" w:customStyle="1" w:styleId="ListParagraphChar">
    <w:name w:val="List Paragraph Char"/>
    <w:basedOn w:val="DefaultParagraphFont"/>
    <w:link w:val="ListParagraph"/>
    <w:uiPriority w:val="72"/>
    <w:rsid w:val="00ED1F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031528"/>
    <w:pPr>
      <w:spacing w:before="100" w:beforeAutospacing="1" w:after="100" w:afterAutospacing="1"/>
    </w:pPr>
  </w:style>
  <w:style w:type="character" w:styleId="Hyperlink">
    <w:name w:val="Hyperlink"/>
    <w:basedOn w:val="DefaultParagraphFont"/>
    <w:rsid w:val="001F3AEC"/>
    <w:rPr>
      <w:color w:val="0000FF" w:themeColor="hyperlink"/>
      <w:u w:val="single"/>
    </w:rPr>
  </w:style>
  <w:style w:type="paragraph" w:styleId="Revision">
    <w:name w:val="Revision"/>
    <w:hidden/>
    <w:uiPriority w:val="71"/>
    <w:rsid w:val="00132C04"/>
    <w:rPr>
      <w:sz w:val="24"/>
      <w:szCs w:val="24"/>
    </w:rPr>
  </w:style>
  <w:style w:type="paragraph" w:customStyle="1" w:styleId="PBACheading1">
    <w:name w:val="PBAC heading 1"/>
    <w:qFormat/>
    <w:rsid w:val="00F33BA9"/>
    <w:pPr>
      <w:ind w:left="720" w:hanging="720"/>
    </w:pPr>
    <w:rPr>
      <w:rFonts w:ascii="Arial" w:hAnsi="Arial" w:cs="Arial"/>
      <w:snapToGrid w:val="0"/>
      <w:sz w:val="22"/>
      <w:szCs w:val="22"/>
      <w:lang w:eastAsia="en-US"/>
    </w:rPr>
  </w:style>
  <w:style w:type="paragraph" w:customStyle="1" w:styleId="PBACHeading10">
    <w:name w:val="PBAC Heading 1"/>
    <w:qFormat/>
    <w:rsid w:val="00F33BA9"/>
    <w:pPr>
      <w:ind w:left="720" w:hanging="720"/>
    </w:pPr>
    <w:rPr>
      <w:rFonts w:ascii="Arial" w:hAnsi="Arial" w:cs="Arial"/>
      <w:b/>
      <w:snapToGrid w:val="0"/>
      <w:sz w:val="22"/>
      <w:szCs w:val="22"/>
      <w:lang w:eastAsia="en-US"/>
    </w:rPr>
  </w:style>
  <w:style w:type="paragraph" w:styleId="PlainText">
    <w:name w:val="Plain Text"/>
    <w:basedOn w:val="Normal"/>
    <w:link w:val="PlainTextChar"/>
    <w:uiPriority w:val="99"/>
    <w:unhideWhenUsed/>
    <w:rsid w:val="00ED1F2E"/>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ED1F2E"/>
    <w:rPr>
      <w:rFonts w:ascii="Calibri" w:eastAsiaTheme="minorHAnsi" w:hAnsi="Calibri"/>
      <w:sz w:val="22"/>
      <w:szCs w:val="22"/>
      <w:lang w:eastAsia="en-US"/>
    </w:rPr>
  </w:style>
  <w:style w:type="character" w:customStyle="1" w:styleId="ListParagraphChar">
    <w:name w:val="List Paragraph Char"/>
    <w:basedOn w:val="DefaultParagraphFont"/>
    <w:link w:val="ListParagraph"/>
    <w:uiPriority w:val="72"/>
    <w:rsid w:val="00ED1F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89552713">
      <w:bodyDiv w:val="1"/>
      <w:marLeft w:val="0"/>
      <w:marRight w:val="0"/>
      <w:marTop w:val="0"/>
      <w:marBottom w:val="0"/>
      <w:divBdr>
        <w:top w:val="none" w:sz="0" w:space="0" w:color="auto"/>
        <w:left w:val="none" w:sz="0" w:space="0" w:color="auto"/>
        <w:bottom w:val="none" w:sz="0" w:space="0" w:color="auto"/>
        <w:right w:val="none" w:sz="0" w:space="0" w:color="auto"/>
      </w:divBdr>
    </w:div>
    <w:div w:id="14555646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0EA2-5125-47AB-A106-9A7A66DD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11483</Characters>
  <Application>Microsoft Office Word</Application>
  <DocSecurity>2</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2015-02-20T00:36:00Z</dcterms:created>
  <dcterms:modified xsi:type="dcterms:W3CDTF">2015-03-04T03:11:00Z</dcterms:modified>
</cp:coreProperties>
</file>