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C7D" w:rsidRPr="00283DC5" w:rsidRDefault="00454981" w:rsidP="00283DC5">
      <w:pPr>
        <w:rPr>
          <w:b/>
          <w:sz w:val="28"/>
        </w:rPr>
      </w:pPr>
      <w:bookmarkStart w:id="0" w:name="_Toc398024508"/>
      <w:r>
        <w:rPr>
          <w:b/>
          <w:sz w:val="28"/>
        </w:rPr>
        <w:t>5.5</w:t>
      </w:r>
      <w:r>
        <w:rPr>
          <w:b/>
          <w:sz w:val="28"/>
        </w:rPr>
        <w:tab/>
        <w:t>NITISINONE</w:t>
      </w:r>
      <w:bookmarkStart w:id="1" w:name="_GoBack"/>
      <w:bookmarkEnd w:id="1"/>
    </w:p>
    <w:p w:rsidR="000A3C7D" w:rsidRPr="00283DC5" w:rsidRDefault="000A3C7D" w:rsidP="00283DC5">
      <w:pPr>
        <w:ind w:left="709"/>
        <w:rPr>
          <w:b/>
          <w:sz w:val="28"/>
        </w:rPr>
      </w:pPr>
      <w:r w:rsidRPr="00283DC5">
        <w:rPr>
          <w:b/>
          <w:sz w:val="28"/>
        </w:rPr>
        <w:t xml:space="preserve">2 mg capsule, 60; 5 mg capsule, 60; 10 mg capsule, 60; </w:t>
      </w:r>
      <w:proofErr w:type="spellStart"/>
      <w:r w:rsidRPr="00283DC5">
        <w:rPr>
          <w:b/>
          <w:sz w:val="28"/>
        </w:rPr>
        <w:t>Orfadin</w:t>
      </w:r>
      <w:proofErr w:type="spellEnd"/>
      <w:r w:rsidRPr="00283DC5">
        <w:rPr>
          <w:b/>
          <w:sz w:val="28"/>
        </w:rPr>
        <w:t xml:space="preserve">®, A. </w:t>
      </w:r>
      <w:proofErr w:type="spellStart"/>
      <w:r w:rsidRPr="00283DC5">
        <w:rPr>
          <w:b/>
          <w:sz w:val="28"/>
        </w:rPr>
        <w:t>Menarini</w:t>
      </w:r>
      <w:proofErr w:type="spellEnd"/>
      <w:r w:rsidRPr="00283DC5">
        <w:rPr>
          <w:b/>
          <w:sz w:val="28"/>
        </w:rPr>
        <w:t xml:space="preserve"> Australia Pty Ltd.</w:t>
      </w:r>
      <w:bookmarkEnd w:id="0"/>
    </w:p>
    <w:p w:rsidR="000A3C7D" w:rsidRDefault="000A3C7D" w:rsidP="00207D00"/>
    <w:p w:rsidR="000A3C7D" w:rsidRPr="00E37ACD" w:rsidRDefault="000A3C7D" w:rsidP="00207D00"/>
    <w:p w:rsidR="000A3C7D" w:rsidRPr="00E37ACD" w:rsidRDefault="000A3C7D" w:rsidP="00BD6CF3">
      <w:pPr>
        <w:pStyle w:val="PBACHeading1"/>
      </w:pPr>
      <w:bookmarkStart w:id="2" w:name="_Toc398024510"/>
      <w:r w:rsidRPr="00E37ACD">
        <w:t>Purpose of Application</w:t>
      </w:r>
      <w:bookmarkEnd w:id="2"/>
    </w:p>
    <w:p w:rsidR="000A3C7D" w:rsidRPr="00E37ACD" w:rsidRDefault="000A3C7D" w:rsidP="00B60939">
      <w:pPr>
        <w:rPr>
          <w:szCs w:val="22"/>
        </w:rPr>
      </w:pPr>
    </w:p>
    <w:p w:rsidR="000A3C7D" w:rsidRPr="00E37ACD" w:rsidRDefault="000A3C7D" w:rsidP="00F31E6E">
      <w:pPr>
        <w:pStyle w:val="ListParagraph"/>
        <w:widowControl/>
        <w:numPr>
          <w:ilvl w:val="1"/>
          <w:numId w:val="3"/>
        </w:numPr>
        <w:rPr>
          <w:szCs w:val="22"/>
        </w:rPr>
      </w:pPr>
      <w:r w:rsidRPr="00E37ACD">
        <w:t xml:space="preserve">Section 100 (Highly Specialised Drugs) listing for </w:t>
      </w:r>
      <w:proofErr w:type="spellStart"/>
      <w:r w:rsidRPr="00E37ACD">
        <w:t>nitisinone</w:t>
      </w:r>
      <w:proofErr w:type="spellEnd"/>
      <w:r w:rsidRPr="00E37ACD">
        <w:t xml:space="preserve"> for treatment of </w:t>
      </w:r>
      <w:r w:rsidRPr="00E37ACD">
        <w:rPr>
          <w:szCs w:val="22"/>
        </w:rPr>
        <w:t xml:space="preserve">hereditary </w:t>
      </w:r>
      <w:proofErr w:type="spellStart"/>
      <w:r w:rsidRPr="00E37ACD">
        <w:rPr>
          <w:szCs w:val="22"/>
        </w:rPr>
        <w:t>tyrosinaemia</w:t>
      </w:r>
      <w:proofErr w:type="spellEnd"/>
      <w:r w:rsidRPr="00E37ACD">
        <w:rPr>
          <w:szCs w:val="22"/>
        </w:rPr>
        <w:t xml:space="preserve"> type 1 (HT-1)</w:t>
      </w:r>
      <w:r w:rsidRPr="00E37ACD">
        <w:t>.</w:t>
      </w:r>
    </w:p>
    <w:p w:rsidR="000A3C7D" w:rsidRDefault="000A3C7D" w:rsidP="004B1CB4"/>
    <w:p w:rsidR="000A3C7D" w:rsidRPr="00E37ACD" w:rsidRDefault="000A3C7D" w:rsidP="004B1CB4"/>
    <w:p w:rsidR="000A3C7D" w:rsidRPr="00E37ACD" w:rsidRDefault="000A3C7D" w:rsidP="00283DC5">
      <w:pPr>
        <w:pStyle w:val="PBACHeading1"/>
      </w:pPr>
      <w:bookmarkStart w:id="3" w:name="_Toc398024511"/>
      <w:r w:rsidRPr="00E37ACD">
        <w:t>Requested listing</w:t>
      </w:r>
      <w:bookmarkEnd w:id="3"/>
    </w:p>
    <w:p w:rsidR="000A3C7D" w:rsidRPr="00E37ACD" w:rsidRDefault="000A3C7D" w:rsidP="00283DC5"/>
    <w:p w:rsidR="000A3C7D" w:rsidRPr="00E37ACD" w:rsidRDefault="000A3C7D" w:rsidP="00F31E6E">
      <w:pPr>
        <w:pStyle w:val="ListParagraph"/>
        <w:widowControl/>
        <w:numPr>
          <w:ilvl w:val="1"/>
          <w:numId w:val="3"/>
        </w:numPr>
        <w:rPr>
          <w:szCs w:val="22"/>
        </w:rPr>
      </w:pPr>
      <w:r>
        <w:rPr>
          <w:szCs w:val="22"/>
        </w:rPr>
        <w:t>T</w:t>
      </w:r>
      <w:r w:rsidRPr="00E37ACD">
        <w:rPr>
          <w:szCs w:val="22"/>
        </w:rPr>
        <w:t xml:space="preserve">he submission </w:t>
      </w:r>
      <w:r>
        <w:rPr>
          <w:szCs w:val="22"/>
        </w:rPr>
        <w:t xml:space="preserve">requested </w:t>
      </w:r>
      <w:r w:rsidRPr="00E37ACD">
        <w:rPr>
          <w:szCs w:val="22"/>
        </w:rPr>
        <w:t>that the PBAC consider listing on the basis of ‘rule of rescue’</w:t>
      </w:r>
      <w:r>
        <w:rPr>
          <w:szCs w:val="22"/>
        </w:rPr>
        <w:t xml:space="preserve">. The following table details the rule of rescue criteria and a </w:t>
      </w:r>
      <w:r w:rsidRPr="00E37ACD">
        <w:rPr>
          <w:szCs w:val="22"/>
        </w:rPr>
        <w:t xml:space="preserve">summary of </w:t>
      </w:r>
      <w:r>
        <w:rPr>
          <w:szCs w:val="22"/>
        </w:rPr>
        <w:t xml:space="preserve">the </w:t>
      </w:r>
      <w:r w:rsidRPr="00E37ACD">
        <w:rPr>
          <w:szCs w:val="22"/>
        </w:rPr>
        <w:t xml:space="preserve">response. </w:t>
      </w:r>
    </w:p>
    <w:p w:rsidR="006A48AE" w:rsidRDefault="006A48AE">
      <w:pPr>
        <w:widowControl/>
        <w:jc w:val="left"/>
        <w:rPr>
          <w:rFonts w:ascii="Arial Narrow" w:hAnsi="Arial Narrow"/>
          <w:b/>
          <w:sz w:val="20"/>
        </w:rPr>
      </w:pPr>
    </w:p>
    <w:p w:rsidR="000A3C7D" w:rsidRPr="00B30B37" w:rsidRDefault="000A3C7D" w:rsidP="0008317F">
      <w:pPr>
        <w:ind w:firstLine="709"/>
        <w:jc w:val="left"/>
        <w:rPr>
          <w:rFonts w:ascii="Arial Narrow" w:hAnsi="Arial Narrow"/>
          <w:b/>
          <w:sz w:val="20"/>
        </w:rPr>
      </w:pPr>
      <w:r>
        <w:rPr>
          <w:rFonts w:ascii="Arial Narrow" w:hAnsi="Arial Narrow"/>
          <w:b/>
          <w:sz w:val="20"/>
        </w:rPr>
        <w:t>Rule of Rescue Criteria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4881"/>
      </w:tblGrid>
      <w:tr w:rsidR="000A3C7D" w:rsidRPr="00B30B37" w:rsidTr="00690D7C">
        <w:trPr>
          <w:cantSplit/>
          <w:tblHeader/>
        </w:trPr>
        <w:tc>
          <w:tcPr>
            <w:tcW w:w="3544" w:type="dxa"/>
          </w:tcPr>
          <w:p w:rsidR="000A3C7D" w:rsidRPr="00690D7C" w:rsidRDefault="000A3C7D" w:rsidP="00690D7C">
            <w:pPr>
              <w:jc w:val="left"/>
              <w:rPr>
                <w:rFonts w:ascii="Arial Narrow" w:hAnsi="Arial Narrow"/>
                <w:b/>
                <w:sz w:val="20"/>
              </w:rPr>
            </w:pPr>
            <w:r w:rsidRPr="00690D7C">
              <w:rPr>
                <w:rFonts w:ascii="Arial Narrow" w:hAnsi="Arial Narrow"/>
                <w:b/>
                <w:sz w:val="20"/>
              </w:rPr>
              <w:t>Criterion</w:t>
            </w:r>
          </w:p>
        </w:tc>
        <w:tc>
          <w:tcPr>
            <w:tcW w:w="4881" w:type="dxa"/>
          </w:tcPr>
          <w:p w:rsidR="000A3C7D" w:rsidRPr="00690D7C" w:rsidRDefault="000A3C7D" w:rsidP="00690D7C">
            <w:pPr>
              <w:jc w:val="left"/>
              <w:rPr>
                <w:rFonts w:ascii="Arial Narrow" w:hAnsi="Arial Narrow"/>
                <w:b/>
                <w:sz w:val="20"/>
              </w:rPr>
            </w:pPr>
            <w:r w:rsidRPr="00690D7C">
              <w:rPr>
                <w:rFonts w:ascii="Arial Narrow" w:hAnsi="Arial Narrow"/>
                <w:b/>
                <w:sz w:val="20"/>
              </w:rPr>
              <w:t>Summary of Response</w:t>
            </w:r>
          </w:p>
        </w:tc>
      </w:tr>
      <w:tr w:rsidR="000A3C7D" w:rsidTr="00690D7C">
        <w:trPr>
          <w:cantSplit/>
        </w:trPr>
        <w:tc>
          <w:tcPr>
            <w:tcW w:w="3544" w:type="dxa"/>
          </w:tcPr>
          <w:p w:rsidR="000A3C7D" w:rsidRPr="00690D7C" w:rsidRDefault="000A3C7D" w:rsidP="00690D7C">
            <w:pPr>
              <w:jc w:val="left"/>
              <w:rPr>
                <w:rFonts w:ascii="Arial Narrow" w:hAnsi="Arial Narrow"/>
                <w:sz w:val="20"/>
              </w:rPr>
            </w:pPr>
            <w:r w:rsidRPr="00690D7C">
              <w:rPr>
                <w:rFonts w:ascii="Arial Narrow" w:hAnsi="Arial Narrow"/>
                <w:sz w:val="20"/>
              </w:rPr>
              <w:t xml:space="preserve">No alternative exists in Australia to treat patients with the specific circumstances of the medical condition meeting the criteria of the restriction. This means that there are no non-pharmacological or pharmacological interventions for these patients. </w:t>
            </w:r>
          </w:p>
        </w:tc>
        <w:tc>
          <w:tcPr>
            <w:tcW w:w="4881" w:type="dxa"/>
          </w:tcPr>
          <w:p w:rsidR="000A3C7D" w:rsidRPr="00690D7C" w:rsidRDefault="000A3C7D" w:rsidP="00690D7C">
            <w:pPr>
              <w:widowControl/>
              <w:jc w:val="left"/>
              <w:rPr>
                <w:rFonts w:ascii="Arial Narrow" w:hAnsi="Arial Narrow"/>
                <w:sz w:val="20"/>
              </w:rPr>
            </w:pPr>
            <w:proofErr w:type="spellStart"/>
            <w:r w:rsidRPr="00690D7C">
              <w:rPr>
                <w:rFonts w:ascii="Arial Narrow" w:hAnsi="Arial Narrow"/>
                <w:sz w:val="20"/>
              </w:rPr>
              <w:t>Nitisinone</w:t>
            </w:r>
            <w:proofErr w:type="spellEnd"/>
            <w:r w:rsidRPr="00690D7C">
              <w:rPr>
                <w:rFonts w:ascii="Arial Narrow" w:hAnsi="Arial Narrow"/>
                <w:sz w:val="20"/>
              </w:rPr>
              <w:t xml:space="preserve"> is the only available pharmacological treatment for HT-1. A proportion of patients with HT-1 may undergo a liver transplant. However, current international treatment guidelines for HT-1 recommend that liver transplantation is only an alternative in patients who do not respond to </w:t>
            </w:r>
            <w:proofErr w:type="spellStart"/>
            <w:r w:rsidRPr="00690D7C">
              <w:rPr>
                <w:rFonts w:ascii="Arial Narrow" w:hAnsi="Arial Narrow"/>
                <w:sz w:val="20"/>
              </w:rPr>
              <w:t>nitisinone</w:t>
            </w:r>
            <w:proofErr w:type="spellEnd"/>
            <w:r w:rsidRPr="00690D7C">
              <w:rPr>
                <w:rFonts w:ascii="Arial Narrow" w:hAnsi="Arial Narrow"/>
                <w:sz w:val="20"/>
              </w:rPr>
              <w:t xml:space="preserve"> in combination with diet therapy or who present with very severe acute disease and liver failure.</w:t>
            </w:r>
          </w:p>
          <w:p w:rsidR="000A3C7D" w:rsidRPr="00690D7C" w:rsidRDefault="000A3C7D" w:rsidP="00690D7C">
            <w:pPr>
              <w:widowControl/>
              <w:jc w:val="left"/>
              <w:rPr>
                <w:rFonts w:ascii="Arial Narrow" w:hAnsi="Arial Narrow"/>
                <w:sz w:val="20"/>
              </w:rPr>
            </w:pPr>
          </w:p>
          <w:p w:rsidR="000A3C7D" w:rsidRPr="00690D7C" w:rsidRDefault="000A3C7D" w:rsidP="00690D7C">
            <w:pPr>
              <w:widowControl/>
              <w:jc w:val="left"/>
              <w:rPr>
                <w:b/>
              </w:rPr>
            </w:pPr>
            <w:proofErr w:type="spellStart"/>
            <w:r w:rsidRPr="00690D7C">
              <w:rPr>
                <w:rFonts w:ascii="Arial Narrow" w:hAnsi="Arial Narrow"/>
                <w:sz w:val="20"/>
              </w:rPr>
              <w:t>Nitisinone</w:t>
            </w:r>
            <w:proofErr w:type="spellEnd"/>
            <w:r w:rsidRPr="00690D7C">
              <w:rPr>
                <w:rFonts w:ascii="Arial Narrow" w:hAnsi="Arial Narrow"/>
                <w:sz w:val="20"/>
              </w:rPr>
              <w:t xml:space="preserve"> is the only available pharmacological treatment for HT-1. Liver transplantation is an alternative non-pharmacological treatment for some patients.</w:t>
            </w:r>
          </w:p>
        </w:tc>
      </w:tr>
      <w:tr w:rsidR="000A3C7D" w:rsidTr="00690D7C">
        <w:trPr>
          <w:cantSplit/>
          <w:trHeight w:val="1830"/>
        </w:trPr>
        <w:tc>
          <w:tcPr>
            <w:tcW w:w="3544" w:type="dxa"/>
          </w:tcPr>
          <w:p w:rsidR="000A3C7D" w:rsidRPr="00690D7C" w:rsidRDefault="000A3C7D" w:rsidP="00690D7C">
            <w:pPr>
              <w:jc w:val="left"/>
              <w:rPr>
                <w:rFonts w:ascii="Arial Narrow" w:hAnsi="Arial Narrow"/>
                <w:sz w:val="20"/>
              </w:rPr>
            </w:pPr>
            <w:r w:rsidRPr="00690D7C">
              <w:rPr>
                <w:rFonts w:ascii="Arial Narrow" w:hAnsi="Arial Narrow"/>
                <w:sz w:val="20"/>
              </w:rPr>
              <w:t xml:space="preserve">The medical condition defined by the requested restriction is severe, progressive and expected to lead to premature death. The more severe the condition, or the younger the age at which a person with the condition might die, or the closer a person with the condition is to death, the more influential the rule of rescue might be in the consideration by PBAC. </w:t>
            </w:r>
          </w:p>
        </w:tc>
        <w:tc>
          <w:tcPr>
            <w:tcW w:w="4881" w:type="dxa"/>
          </w:tcPr>
          <w:p w:rsidR="000A3C7D" w:rsidRPr="00690D7C" w:rsidRDefault="000A3C7D" w:rsidP="00690D7C">
            <w:pPr>
              <w:widowControl/>
              <w:jc w:val="left"/>
              <w:rPr>
                <w:rFonts w:ascii="Arial Narrow" w:hAnsi="Arial Narrow"/>
                <w:sz w:val="20"/>
              </w:rPr>
            </w:pPr>
            <w:r w:rsidRPr="00690D7C">
              <w:rPr>
                <w:rFonts w:ascii="Arial Narrow" w:hAnsi="Arial Narrow"/>
                <w:sz w:val="20"/>
              </w:rPr>
              <w:t xml:space="preserve">With diet alone the 2 year survival for HT-1 patients with clinical onset at &lt;2 months, 2-6 months and &gt;6 months is 29%, 74% and 96%, respectively (van </w:t>
            </w:r>
            <w:proofErr w:type="spellStart"/>
            <w:r w:rsidRPr="00690D7C">
              <w:rPr>
                <w:rFonts w:ascii="Arial Narrow" w:hAnsi="Arial Narrow"/>
                <w:sz w:val="20"/>
              </w:rPr>
              <w:t>Spronsen</w:t>
            </w:r>
            <w:proofErr w:type="spellEnd"/>
            <w:r w:rsidRPr="00690D7C">
              <w:rPr>
                <w:rFonts w:ascii="Arial Narrow" w:hAnsi="Arial Narrow"/>
                <w:sz w:val="20"/>
              </w:rPr>
              <w:t xml:space="preserve"> 1994).</w:t>
            </w:r>
          </w:p>
          <w:p w:rsidR="000A3C7D" w:rsidRPr="00690D7C" w:rsidRDefault="000A3C7D" w:rsidP="00690D7C">
            <w:pPr>
              <w:widowControl/>
              <w:jc w:val="left"/>
              <w:rPr>
                <w:rFonts w:ascii="Arial Narrow" w:hAnsi="Arial Narrow"/>
                <w:sz w:val="20"/>
              </w:rPr>
            </w:pPr>
          </w:p>
          <w:p w:rsidR="000A3C7D" w:rsidRPr="00690D7C" w:rsidRDefault="000A3C7D" w:rsidP="00690D7C">
            <w:pPr>
              <w:widowControl/>
              <w:jc w:val="left"/>
              <w:rPr>
                <w:rFonts w:ascii="Arial Narrow" w:hAnsi="Arial Narrow"/>
                <w:sz w:val="20"/>
              </w:rPr>
            </w:pPr>
            <w:r w:rsidRPr="00690D7C">
              <w:rPr>
                <w:rFonts w:ascii="Arial Narrow" w:hAnsi="Arial Narrow"/>
                <w:sz w:val="20"/>
              </w:rPr>
              <w:t xml:space="preserve">The life expectancy for HT-1 patients, especially those with an early clinical onset, is substantially reduced. A proportion of patients undergo liver transplantation which is essentially a cure as the new liver allograft provides the </w:t>
            </w:r>
            <w:proofErr w:type="spellStart"/>
            <w:r w:rsidRPr="00690D7C">
              <w:rPr>
                <w:rFonts w:ascii="Arial Narrow" w:hAnsi="Arial Narrow"/>
                <w:sz w:val="20"/>
              </w:rPr>
              <w:t>fumarylacetoacetate</w:t>
            </w:r>
            <w:proofErr w:type="spellEnd"/>
            <w:r w:rsidRPr="00690D7C">
              <w:rPr>
                <w:rFonts w:ascii="Arial Narrow" w:hAnsi="Arial Narrow"/>
                <w:sz w:val="20"/>
              </w:rPr>
              <w:t xml:space="preserve"> hydrolase enzyme to metabolise dietary tyrosine.  </w:t>
            </w:r>
          </w:p>
        </w:tc>
      </w:tr>
      <w:tr w:rsidR="000A3C7D" w:rsidTr="00690D7C">
        <w:trPr>
          <w:cantSplit/>
        </w:trPr>
        <w:tc>
          <w:tcPr>
            <w:tcW w:w="3544" w:type="dxa"/>
          </w:tcPr>
          <w:p w:rsidR="000A3C7D" w:rsidRPr="00690D7C" w:rsidRDefault="000A3C7D" w:rsidP="00690D7C">
            <w:pPr>
              <w:jc w:val="left"/>
              <w:rPr>
                <w:rFonts w:ascii="Arial Narrow" w:hAnsi="Arial Narrow"/>
                <w:sz w:val="20"/>
              </w:rPr>
            </w:pPr>
            <w:r w:rsidRPr="00690D7C">
              <w:rPr>
                <w:rFonts w:ascii="Arial Narrow" w:hAnsi="Arial Narrow"/>
                <w:sz w:val="20"/>
              </w:rPr>
              <w:t xml:space="preserve">The medical condition defined by the requested restriction applies to only a very small number of patients. Again, the fewer the patients, the more influential the rule of rescue might be in the consideration by PBAC. However, PBAC is also mindful that the PBS is a community-based scheme and cannot cater for individual circumstances. </w:t>
            </w:r>
          </w:p>
        </w:tc>
        <w:tc>
          <w:tcPr>
            <w:tcW w:w="4881" w:type="dxa"/>
          </w:tcPr>
          <w:p w:rsidR="000A3C7D" w:rsidRPr="00690D7C" w:rsidRDefault="000A3C7D" w:rsidP="00690D7C">
            <w:pPr>
              <w:widowControl/>
              <w:jc w:val="left"/>
              <w:rPr>
                <w:rFonts w:ascii="Arial Narrow" w:hAnsi="Arial Narrow"/>
                <w:sz w:val="20"/>
              </w:rPr>
            </w:pPr>
            <w:r w:rsidRPr="00690D7C">
              <w:rPr>
                <w:rFonts w:ascii="Arial Narrow" w:hAnsi="Arial Narrow"/>
                <w:sz w:val="20"/>
              </w:rPr>
              <w:t>In Australia a total of 17 patients have been diagnosed with HT-1 over the past 10 years. Based on this the incidence is estimated to be 0.54/100,000 live births. The current prevalence is 18.</w:t>
            </w:r>
          </w:p>
          <w:p w:rsidR="000A3C7D" w:rsidRPr="00690D7C" w:rsidRDefault="000A3C7D" w:rsidP="00690D7C">
            <w:pPr>
              <w:widowControl/>
              <w:jc w:val="left"/>
              <w:rPr>
                <w:rFonts w:ascii="Arial Narrow" w:hAnsi="Arial Narrow"/>
                <w:sz w:val="20"/>
              </w:rPr>
            </w:pPr>
          </w:p>
          <w:p w:rsidR="000A3C7D" w:rsidRPr="00690D7C" w:rsidRDefault="000A3C7D" w:rsidP="00690D7C">
            <w:pPr>
              <w:widowControl/>
              <w:jc w:val="left"/>
              <w:rPr>
                <w:rFonts w:ascii="Arial Narrow" w:hAnsi="Arial Narrow"/>
                <w:sz w:val="20"/>
              </w:rPr>
            </w:pPr>
            <w:r w:rsidRPr="00690D7C">
              <w:rPr>
                <w:rFonts w:ascii="Arial Narrow" w:hAnsi="Arial Narrow"/>
                <w:sz w:val="20"/>
              </w:rPr>
              <w:t xml:space="preserve">The patient numbers in the submission could not be verified but the incidence is consistent with that reported for other countries. It is stated in the submission that hospitals are currently funding </w:t>
            </w:r>
            <w:proofErr w:type="spellStart"/>
            <w:r w:rsidRPr="00690D7C">
              <w:rPr>
                <w:rFonts w:ascii="Arial Narrow" w:hAnsi="Arial Narrow"/>
                <w:sz w:val="20"/>
              </w:rPr>
              <w:t>nitisinone</w:t>
            </w:r>
            <w:proofErr w:type="spellEnd"/>
            <w:r w:rsidRPr="00690D7C">
              <w:rPr>
                <w:rFonts w:ascii="Arial Narrow" w:hAnsi="Arial Narrow"/>
                <w:sz w:val="20"/>
              </w:rPr>
              <w:t xml:space="preserve"> for all Australian HT-1 patients.</w:t>
            </w:r>
          </w:p>
        </w:tc>
      </w:tr>
      <w:tr w:rsidR="000A3C7D" w:rsidTr="00690D7C">
        <w:trPr>
          <w:cantSplit/>
        </w:trPr>
        <w:tc>
          <w:tcPr>
            <w:tcW w:w="3544" w:type="dxa"/>
          </w:tcPr>
          <w:p w:rsidR="000A3C7D" w:rsidRPr="00690D7C" w:rsidRDefault="000A3C7D" w:rsidP="00690D7C">
            <w:pPr>
              <w:jc w:val="left"/>
              <w:rPr>
                <w:rFonts w:ascii="Arial Narrow" w:hAnsi="Arial Narrow"/>
                <w:sz w:val="20"/>
              </w:rPr>
            </w:pPr>
            <w:r w:rsidRPr="00690D7C">
              <w:rPr>
                <w:rFonts w:ascii="Arial Narrow" w:hAnsi="Arial Narrow"/>
                <w:sz w:val="20"/>
              </w:rPr>
              <w:lastRenderedPageBreak/>
              <w:t>The proposed medicine provides a worthwhile clinical improvement sufficient to qualify as a rescue from the medical condition. The greater the rescue, the more influential the rule of rescue might be in the consideration by PBAC.</w:t>
            </w:r>
          </w:p>
        </w:tc>
        <w:tc>
          <w:tcPr>
            <w:tcW w:w="4881" w:type="dxa"/>
          </w:tcPr>
          <w:p w:rsidR="000A3C7D" w:rsidRPr="00690D7C" w:rsidRDefault="000A3C7D" w:rsidP="00690D7C">
            <w:pPr>
              <w:widowControl/>
              <w:jc w:val="left"/>
              <w:rPr>
                <w:rFonts w:ascii="Arial Narrow" w:hAnsi="Arial Narrow"/>
                <w:sz w:val="20"/>
              </w:rPr>
            </w:pPr>
            <w:r w:rsidRPr="00690D7C">
              <w:rPr>
                <w:rFonts w:ascii="Arial Narrow" w:hAnsi="Arial Narrow"/>
                <w:sz w:val="20"/>
              </w:rPr>
              <w:t xml:space="preserve">In the NTBC study, survival at 2, 4 and 6 years from the start of </w:t>
            </w:r>
            <w:proofErr w:type="spellStart"/>
            <w:r w:rsidRPr="00690D7C">
              <w:rPr>
                <w:rFonts w:ascii="Arial Narrow" w:hAnsi="Arial Narrow"/>
                <w:sz w:val="20"/>
              </w:rPr>
              <w:t>nitisinone</w:t>
            </w:r>
            <w:proofErr w:type="spellEnd"/>
            <w:r w:rsidRPr="00690D7C">
              <w:rPr>
                <w:rFonts w:ascii="Arial Narrow" w:hAnsi="Arial Narrow"/>
                <w:sz w:val="20"/>
              </w:rPr>
              <w:t xml:space="preserve"> treatment was 94%. The probability of no death or transplant due to liver failure was 94% at 2 and 4 years, and 92% at year 6. The probability of no occurrence of HCC was 98% at 2 years, 94% at 4 years and 91% at 6 years.</w:t>
            </w:r>
          </w:p>
          <w:p w:rsidR="000A3C7D" w:rsidRPr="00690D7C" w:rsidRDefault="000A3C7D" w:rsidP="00690D7C">
            <w:pPr>
              <w:widowControl/>
              <w:jc w:val="left"/>
              <w:rPr>
                <w:rFonts w:ascii="Arial Narrow" w:hAnsi="Arial Narrow"/>
                <w:sz w:val="20"/>
              </w:rPr>
            </w:pPr>
          </w:p>
          <w:p w:rsidR="000A3C7D" w:rsidRPr="00690D7C" w:rsidRDefault="000A3C7D" w:rsidP="00690D7C">
            <w:pPr>
              <w:widowControl/>
              <w:jc w:val="left"/>
              <w:rPr>
                <w:rFonts w:ascii="Arial Narrow" w:hAnsi="Arial Narrow"/>
                <w:sz w:val="20"/>
              </w:rPr>
            </w:pPr>
            <w:r w:rsidRPr="00690D7C">
              <w:rPr>
                <w:rFonts w:ascii="Arial Narrow" w:hAnsi="Arial Narrow"/>
                <w:sz w:val="20"/>
              </w:rPr>
              <w:t xml:space="preserve">The clinical improvement is substantial. For </w:t>
            </w:r>
            <w:proofErr w:type="spellStart"/>
            <w:r w:rsidRPr="00690D7C">
              <w:rPr>
                <w:rFonts w:ascii="Arial Narrow" w:hAnsi="Arial Narrow"/>
                <w:sz w:val="20"/>
              </w:rPr>
              <w:t>nitisinone</w:t>
            </w:r>
            <w:proofErr w:type="spellEnd"/>
            <w:r w:rsidRPr="00690D7C">
              <w:rPr>
                <w:rFonts w:ascii="Arial Narrow" w:hAnsi="Arial Narrow"/>
                <w:sz w:val="20"/>
              </w:rPr>
              <w:t xml:space="preserve"> treatment, survival was similar regardless of age of commencing treatment. For diet alone, survival was substantially reduced in patients with an early disease onset (overall 77% of patients in the diet study had an onset prior to 6 months of age compared with approximately two-thirds of patients in the </w:t>
            </w:r>
            <w:proofErr w:type="spellStart"/>
            <w:r w:rsidRPr="00690D7C">
              <w:rPr>
                <w:rFonts w:ascii="Arial Narrow" w:hAnsi="Arial Narrow"/>
                <w:sz w:val="20"/>
              </w:rPr>
              <w:t>nitisinone</w:t>
            </w:r>
            <w:proofErr w:type="spellEnd"/>
            <w:r w:rsidRPr="00690D7C">
              <w:rPr>
                <w:rFonts w:ascii="Arial Narrow" w:hAnsi="Arial Narrow"/>
                <w:sz w:val="20"/>
              </w:rPr>
              <w:t xml:space="preserve"> study). However, the estimated clinical improvement is based on a comparison of nonrandomised studies, and limited data prevents an assessment of the overall likelihood of confounding.</w:t>
            </w:r>
          </w:p>
        </w:tc>
      </w:tr>
    </w:tbl>
    <w:p w:rsidR="000A3C7D" w:rsidRPr="00E37ACD" w:rsidRDefault="000A3C7D" w:rsidP="00BF0357">
      <w:pPr>
        <w:pStyle w:val="ListParagraph"/>
        <w:widowControl/>
        <w:rPr>
          <w:szCs w:val="22"/>
        </w:rPr>
      </w:pPr>
    </w:p>
    <w:p w:rsidR="000A3C7D" w:rsidRPr="00AD1F61" w:rsidRDefault="000A3C7D" w:rsidP="00C56464">
      <w:pPr>
        <w:pStyle w:val="ListParagraph"/>
        <w:widowControl/>
        <w:numPr>
          <w:ilvl w:val="1"/>
          <w:numId w:val="3"/>
        </w:numPr>
        <w:rPr>
          <w:i/>
        </w:rPr>
      </w:pPr>
      <w:r w:rsidRPr="00E37ACD">
        <w:rPr>
          <w:szCs w:val="22"/>
        </w:rPr>
        <w:t>Suggestions and additions proposed by the Secretariat to the requested listing are added in italics and suggested deletions are crossed out with strikethrough.</w:t>
      </w:r>
    </w:p>
    <w:p w:rsidR="000A3C7D" w:rsidRPr="00E37ACD" w:rsidRDefault="000A3C7D" w:rsidP="002F42DF">
      <w:pPr>
        <w:rPr>
          <w:szCs w:val="22"/>
        </w:rPr>
      </w:pPr>
    </w:p>
    <w:tbl>
      <w:tblPr>
        <w:tblW w:w="8882" w:type="dxa"/>
        <w:tblInd w:w="817" w:type="dxa"/>
        <w:tblLayout w:type="fixed"/>
        <w:tblLook w:val="0000" w:firstRow="0" w:lastRow="0" w:firstColumn="0" w:lastColumn="0" w:noHBand="0" w:noVBand="0"/>
      </w:tblPr>
      <w:tblGrid>
        <w:gridCol w:w="2126"/>
        <w:gridCol w:w="1276"/>
        <w:gridCol w:w="851"/>
        <w:gridCol w:w="850"/>
        <w:gridCol w:w="567"/>
        <w:gridCol w:w="851"/>
        <w:gridCol w:w="567"/>
        <w:gridCol w:w="1417"/>
        <w:gridCol w:w="377"/>
      </w:tblGrid>
      <w:tr w:rsidR="00283DC5" w:rsidRPr="00E37ACD" w:rsidTr="00283DC5">
        <w:trPr>
          <w:gridAfter w:val="1"/>
          <w:wAfter w:w="377" w:type="dxa"/>
          <w:cantSplit/>
          <w:trHeight w:val="471"/>
        </w:trPr>
        <w:tc>
          <w:tcPr>
            <w:tcW w:w="3402" w:type="dxa"/>
            <w:gridSpan w:val="2"/>
            <w:tcBorders>
              <w:bottom w:val="single" w:sz="4" w:space="0" w:color="auto"/>
            </w:tcBorders>
          </w:tcPr>
          <w:p w:rsidR="00283DC5" w:rsidRPr="00E37ACD" w:rsidRDefault="00283DC5" w:rsidP="002F42DF">
            <w:pPr>
              <w:keepNext/>
              <w:ind w:left="-108"/>
              <w:rPr>
                <w:rFonts w:ascii="Arial Narrow" w:hAnsi="Arial Narrow"/>
                <w:sz w:val="20"/>
              </w:rPr>
            </w:pPr>
            <w:r w:rsidRPr="00E37ACD">
              <w:rPr>
                <w:rFonts w:ascii="Arial Narrow" w:hAnsi="Arial Narrow"/>
                <w:sz w:val="20"/>
              </w:rPr>
              <w:t>Name, Restriction,</w:t>
            </w:r>
          </w:p>
          <w:p w:rsidR="00283DC5" w:rsidRPr="00E37ACD" w:rsidRDefault="00283DC5" w:rsidP="002F42DF">
            <w:pPr>
              <w:keepNext/>
              <w:ind w:left="-108"/>
              <w:rPr>
                <w:rFonts w:ascii="Arial Narrow" w:hAnsi="Arial Narrow"/>
                <w:sz w:val="20"/>
              </w:rPr>
            </w:pPr>
            <w:r w:rsidRPr="00E37ACD">
              <w:rPr>
                <w:rFonts w:ascii="Arial Narrow" w:hAnsi="Arial Narrow"/>
                <w:sz w:val="20"/>
              </w:rPr>
              <w:t>Manner of administration and form</w:t>
            </w:r>
          </w:p>
        </w:tc>
        <w:tc>
          <w:tcPr>
            <w:tcW w:w="851" w:type="dxa"/>
            <w:tcBorders>
              <w:bottom w:val="single" w:sz="4" w:space="0" w:color="auto"/>
            </w:tcBorders>
          </w:tcPr>
          <w:p w:rsidR="00283DC5" w:rsidRPr="00E37ACD" w:rsidRDefault="00283DC5" w:rsidP="002F42DF">
            <w:pPr>
              <w:keepNext/>
              <w:ind w:left="-108"/>
              <w:rPr>
                <w:rFonts w:ascii="Arial Narrow" w:hAnsi="Arial Narrow"/>
                <w:sz w:val="20"/>
              </w:rPr>
            </w:pPr>
            <w:r w:rsidRPr="00E37ACD">
              <w:rPr>
                <w:rFonts w:ascii="Arial Narrow" w:hAnsi="Arial Narrow"/>
                <w:sz w:val="20"/>
              </w:rPr>
              <w:t>Max.</w:t>
            </w:r>
          </w:p>
          <w:p w:rsidR="00283DC5" w:rsidRPr="00E37ACD" w:rsidRDefault="00283DC5" w:rsidP="002F42DF">
            <w:pPr>
              <w:keepNext/>
              <w:ind w:left="-108"/>
              <w:rPr>
                <w:rFonts w:ascii="Arial Narrow" w:hAnsi="Arial Narrow"/>
                <w:sz w:val="20"/>
              </w:rPr>
            </w:pPr>
            <w:r w:rsidRPr="00E37ACD">
              <w:rPr>
                <w:rFonts w:ascii="Arial Narrow" w:hAnsi="Arial Narrow"/>
                <w:sz w:val="20"/>
              </w:rPr>
              <w:t>Qty</w:t>
            </w:r>
          </w:p>
        </w:tc>
        <w:tc>
          <w:tcPr>
            <w:tcW w:w="850" w:type="dxa"/>
            <w:tcBorders>
              <w:bottom w:val="single" w:sz="4" w:space="0" w:color="auto"/>
            </w:tcBorders>
          </w:tcPr>
          <w:p w:rsidR="00283DC5" w:rsidRPr="00E37ACD" w:rsidRDefault="00283DC5" w:rsidP="002F42DF">
            <w:pPr>
              <w:keepNext/>
              <w:ind w:left="-108"/>
              <w:rPr>
                <w:rFonts w:ascii="Arial Narrow" w:hAnsi="Arial Narrow"/>
                <w:sz w:val="20"/>
              </w:rPr>
            </w:pPr>
            <w:r w:rsidRPr="00E37ACD">
              <w:rPr>
                <w:rFonts w:ascii="Arial Narrow" w:hAnsi="Arial Narrow"/>
                <w:sz w:val="20"/>
              </w:rPr>
              <w:t>№. of</w:t>
            </w:r>
          </w:p>
          <w:p w:rsidR="00283DC5" w:rsidRPr="00E37ACD" w:rsidRDefault="00283DC5" w:rsidP="002F42DF">
            <w:pPr>
              <w:keepNext/>
              <w:ind w:left="-108"/>
              <w:rPr>
                <w:rFonts w:ascii="Arial Narrow" w:hAnsi="Arial Narrow"/>
                <w:sz w:val="20"/>
              </w:rPr>
            </w:pPr>
            <w:r w:rsidRPr="00E37ACD">
              <w:rPr>
                <w:rFonts w:ascii="Arial Narrow" w:hAnsi="Arial Narrow"/>
                <w:sz w:val="20"/>
              </w:rPr>
              <w:t>Rpts</w:t>
            </w:r>
          </w:p>
        </w:tc>
        <w:tc>
          <w:tcPr>
            <w:tcW w:w="3402" w:type="dxa"/>
            <w:gridSpan w:val="4"/>
            <w:tcBorders>
              <w:bottom w:val="single" w:sz="4" w:space="0" w:color="auto"/>
            </w:tcBorders>
          </w:tcPr>
          <w:p w:rsidR="00283DC5" w:rsidRPr="00E37ACD" w:rsidRDefault="00283DC5" w:rsidP="002F42DF">
            <w:pPr>
              <w:keepNext/>
              <w:rPr>
                <w:rFonts w:ascii="Arial Narrow" w:hAnsi="Arial Narrow"/>
                <w:sz w:val="20"/>
                <w:lang w:val="fr-FR"/>
              </w:rPr>
            </w:pPr>
            <w:r w:rsidRPr="00E37ACD">
              <w:rPr>
                <w:rFonts w:ascii="Arial Narrow" w:hAnsi="Arial Narrow"/>
                <w:sz w:val="20"/>
              </w:rPr>
              <w:t>Proprietary Name and Manufacturer</w:t>
            </w:r>
          </w:p>
        </w:tc>
      </w:tr>
      <w:tr w:rsidR="00283DC5" w:rsidRPr="00E37ACD" w:rsidTr="00283DC5">
        <w:trPr>
          <w:cantSplit/>
          <w:trHeight w:val="239"/>
        </w:trPr>
        <w:tc>
          <w:tcPr>
            <w:tcW w:w="3402" w:type="dxa"/>
            <w:gridSpan w:val="2"/>
            <w:tcBorders>
              <w:top w:val="single" w:sz="4" w:space="0" w:color="auto"/>
            </w:tcBorders>
          </w:tcPr>
          <w:p w:rsidR="00283DC5" w:rsidRPr="00E37ACD" w:rsidRDefault="00283DC5" w:rsidP="002F42DF">
            <w:pPr>
              <w:keepNext/>
              <w:ind w:left="-108"/>
              <w:rPr>
                <w:rFonts w:ascii="Arial Narrow" w:hAnsi="Arial Narrow"/>
                <w:smallCaps/>
                <w:sz w:val="20"/>
              </w:rPr>
            </w:pPr>
            <w:r w:rsidRPr="00E37ACD">
              <w:rPr>
                <w:rFonts w:ascii="Arial Narrow" w:hAnsi="Arial Narrow"/>
                <w:smallCaps/>
                <w:sz w:val="20"/>
              </w:rPr>
              <w:t>NITISINONE</w:t>
            </w:r>
          </w:p>
          <w:p w:rsidR="00283DC5" w:rsidRPr="00E37ACD" w:rsidRDefault="00283DC5" w:rsidP="002F42DF">
            <w:pPr>
              <w:keepNext/>
              <w:ind w:left="-108"/>
              <w:rPr>
                <w:rFonts w:ascii="Arial Narrow" w:hAnsi="Arial Narrow"/>
                <w:sz w:val="20"/>
              </w:rPr>
            </w:pPr>
          </w:p>
        </w:tc>
        <w:tc>
          <w:tcPr>
            <w:tcW w:w="851" w:type="dxa"/>
            <w:tcBorders>
              <w:top w:val="single" w:sz="4" w:space="0" w:color="auto"/>
            </w:tcBorders>
          </w:tcPr>
          <w:p w:rsidR="00283DC5" w:rsidRPr="00E37ACD" w:rsidRDefault="00283DC5" w:rsidP="002F42DF">
            <w:pPr>
              <w:keepNext/>
              <w:ind w:left="-108"/>
              <w:rPr>
                <w:rFonts w:ascii="Arial Narrow" w:hAnsi="Arial Narrow"/>
                <w:sz w:val="20"/>
              </w:rPr>
            </w:pPr>
          </w:p>
        </w:tc>
        <w:tc>
          <w:tcPr>
            <w:tcW w:w="850" w:type="dxa"/>
            <w:tcBorders>
              <w:top w:val="single" w:sz="4" w:space="0" w:color="auto"/>
            </w:tcBorders>
          </w:tcPr>
          <w:p w:rsidR="00283DC5" w:rsidRPr="00E37ACD" w:rsidRDefault="00283DC5" w:rsidP="002F42DF">
            <w:pPr>
              <w:keepNext/>
              <w:ind w:left="-108"/>
              <w:rPr>
                <w:rFonts w:ascii="Arial Narrow" w:hAnsi="Arial Narrow"/>
                <w:sz w:val="20"/>
              </w:rPr>
            </w:pPr>
          </w:p>
        </w:tc>
        <w:tc>
          <w:tcPr>
            <w:tcW w:w="1418" w:type="dxa"/>
            <w:gridSpan w:val="2"/>
            <w:tcBorders>
              <w:top w:val="single" w:sz="4" w:space="0" w:color="auto"/>
            </w:tcBorders>
          </w:tcPr>
          <w:p w:rsidR="00283DC5" w:rsidRPr="00E37ACD" w:rsidRDefault="00283DC5" w:rsidP="002F42DF">
            <w:pPr>
              <w:keepNext/>
              <w:rPr>
                <w:rFonts w:ascii="Arial Narrow" w:hAnsi="Arial Narrow"/>
                <w:sz w:val="20"/>
              </w:rPr>
            </w:pPr>
          </w:p>
        </w:tc>
        <w:tc>
          <w:tcPr>
            <w:tcW w:w="2361" w:type="dxa"/>
            <w:gridSpan w:val="3"/>
            <w:tcBorders>
              <w:top w:val="single" w:sz="4" w:space="0" w:color="auto"/>
            </w:tcBorders>
          </w:tcPr>
          <w:p w:rsidR="00283DC5" w:rsidRPr="00E37ACD" w:rsidRDefault="00283DC5" w:rsidP="002F42DF">
            <w:pPr>
              <w:keepNext/>
              <w:rPr>
                <w:rFonts w:ascii="Arial Narrow" w:hAnsi="Arial Narrow"/>
                <w:sz w:val="20"/>
              </w:rPr>
            </w:pPr>
          </w:p>
        </w:tc>
      </w:tr>
      <w:tr w:rsidR="00283DC5" w:rsidRPr="00E37ACD" w:rsidTr="00283DC5">
        <w:trPr>
          <w:cantSplit/>
          <w:trHeight w:val="258"/>
        </w:trPr>
        <w:tc>
          <w:tcPr>
            <w:tcW w:w="3402" w:type="dxa"/>
            <w:gridSpan w:val="2"/>
          </w:tcPr>
          <w:p w:rsidR="00283DC5" w:rsidRPr="00E37ACD" w:rsidRDefault="00283DC5" w:rsidP="002F42DF">
            <w:pPr>
              <w:keepNext/>
              <w:ind w:left="-108"/>
              <w:rPr>
                <w:rFonts w:ascii="Arial Narrow" w:hAnsi="Arial Narrow"/>
                <w:sz w:val="20"/>
              </w:rPr>
            </w:pPr>
            <w:proofErr w:type="spellStart"/>
            <w:r w:rsidRPr="00E37ACD">
              <w:rPr>
                <w:rFonts w:ascii="Arial Narrow" w:hAnsi="Arial Narrow"/>
                <w:sz w:val="20"/>
              </w:rPr>
              <w:t>nitisinone</w:t>
            </w:r>
            <w:proofErr w:type="spellEnd"/>
            <w:r w:rsidRPr="00E37ACD">
              <w:rPr>
                <w:rFonts w:ascii="Arial Narrow" w:hAnsi="Arial Narrow"/>
                <w:sz w:val="20"/>
              </w:rPr>
              <w:t xml:space="preserve"> capsule 2mg, oral</w:t>
            </w:r>
          </w:p>
        </w:tc>
        <w:tc>
          <w:tcPr>
            <w:tcW w:w="851" w:type="dxa"/>
          </w:tcPr>
          <w:p w:rsidR="00283DC5" w:rsidRPr="00E37ACD" w:rsidRDefault="00283DC5" w:rsidP="002F42DF">
            <w:pPr>
              <w:keepNext/>
              <w:ind w:left="-108"/>
              <w:rPr>
                <w:rFonts w:ascii="Arial Narrow" w:hAnsi="Arial Narrow"/>
                <w:sz w:val="20"/>
              </w:rPr>
            </w:pPr>
            <w:r w:rsidRPr="00E37ACD">
              <w:rPr>
                <w:rFonts w:ascii="Arial Narrow" w:hAnsi="Arial Narrow"/>
                <w:sz w:val="20"/>
              </w:rPr>
              <w:t>60</w:t>
            </w:r>
          </w:p>
        </w:tc>
        <w:tc>
          <w:tcPr>
            <w:tcW w:w="850" w:type="dxa"/>
          </w:tcPr>
          <w:p w:rsidR="00283DC5" w:rsidRPr="00E37ACD" w:rsidRDefault="00283DC5" w:rsidP="002F42DF">
            <w:pPr>
              <w:keepNext/>
              <w:ind w:left="-108"/>
              <w:rPr>
                <w:rFonts w:ascii="Arial Narrow" w:hAnsi="Arial Narrow"/>
                <w:sz w:val="20"/>
              </w:rPr>
            </w:pPr>
            <w:r w:rsidRPr="00E37ACD">
              <w:rPr>
                <w:rFonts w:ascii="Arial Narrow" w:hAnsi="Arial Narrow"/>
                <w:sz w:val="20"/>
              </w:rPr>
              <w:t>5</w:t>
            </w:r>
          </w:p>
        </w:tc>
        <w:tc>
          <w:tcPr>
            <w:tcW w:w="1418" w:type="dxa"/>
            <w:gridSpan w:val="2"/>
          </w:tcPr>
          <w:p w:rsidR="00283DC5" w:rsidRPr="00E37ACD" w:rsidRDefault="00283DC5" w:rsidP="002F42DF">
            <w:pPr>
              <w:keepNext/>
              <w:rPr>
                <w:rFonts w:ascii="Arial Narrow" w:hAnsi="Arial Narrow"/>
                <w:smallCaps/>
                <w:sz w:val="20"/>
              </w:rPr>
            </w:pPr>
            <w:r w:rsidRPr="00E37ACD">
              <w:rPr>
                <w:rFonts w:ascii="Arial Narrow" w:hAnsi="Arial Narrow"/>
                <w:smallCaps/>
                <w:sz w:val="20"/>
              </w:rPr>
              <w:t>ORFADIN®</w:t>
            </w:r>
          </w:p>
        </w:tc>
        <w:tc>
          <w:tcPr>
            <w:tcW w:w="2361" w:type="dxa"/>
            <w:gridSpan w:val="3"/>
          </w:tcPr>
          <w:p w:rsidR="00283DC5" w:rsidRPr="00E37ACD" w:rsidRDefault="00283DC5" w:rsidP="002F42DF">
            <w:pPr>
              <w:keepNext/>
              <w:rPr>
                <w:rFonts w:ascii="Arial Narrow" w:hAnsi="Arial Narrow"/>
                <w:sz w:val="20"/>
              </w:rPr>
            </w:pPr>
            <w:r w:rsidRPr="00E37ACD">
              <w:rPr>
                <w:rFonts w:ascii="Arial Narrow" w:hAnsi="Arial Narrow"/>
                <w:sz w:val="20"/>
              </w:rPr>
              <w:t xml:space="preserve">A. </w:t>
            </w:r>
            <w:proofErr w:type="spellStart"/>
            <w:r w:rsidRPr="00E37ACD">
              <w:rPr>
                <w:rFonts w:ascii="Arial Narrow" w:hAnsi="Arial Narrow"/>
                <w:sz w:val="20"/>
              </w:rPr>
              <w:t>Menarini</w:t>
            </w:r>
            <w:proofErr w:type="spellEnd"/>
          </w:p>
        </w:tc>
      </w:tr>
      <w:tr w:rsidR="000A3C7D" w:rsidRPr="00E37ACD" w:rsidTr="00283DC5">
        <w:trPr>
          <w:gridAfter w:val="1"/>
          <w:wAfter w:w="377" w:type="dxa"/>
          <w:cantSplit/>
          <w:trHeight w:val="275"/>
        </w:trPr>
        <w:tc>
          <w:tcPr>
            <w:tcW w:w="3402" w:type="dxa"/>
            <w:gridSpan w:val="2"/>
          </w:tcPr>
          <w:p w:rsidR="000A3C7D" w:rsidRPr="00E37ACD" w:rsidRDefault="000A3C7D" w:rsidP="002F42DF">
            <w:pPr>
              <w:keepNext/>
              <w:ind w:left="-108"/>
              <w:rPr>
                <w:rFonts w:ascii="Arial Narrow" w:hAnsi="Arial Narrow"/>
                <w:sz w:val="20"/>
              </w:rPr>
            </w:pPr>
            <w:proofErr w:type="spellStart"/>
            <w:r w:rsidRPr="00E37ACD">
              <w:rPr>
                <w:rFonts w:ascii="Arial Narrow" w:hAnsi="Arial Narrow"/>
                <w:sz w:val="20"/>
              </w:rPr>
              <w:t>nitisinone</w:t>
            </w:r>
            <w:proofErr w:type="spellEnd"/>
            <w:r w:rsidRPr="00E37ACD">
              <w:rPr>
                <w:rFonts w:ascii="Arial Narrow" w:hAnsi="Arial Narrow"/>
                <w:sz w:val="20"/>
              </w:rPr>
              <w:t xml:space="preserve"> capsule 5mg, oral</w:t>
            </w:r>
          </w:p>
        </w:tc>
        <w:tc>
          <w:tcPr>
            <w:tcW w:w="851" w:type="dxa"/>
          </w:tcPr>
          <w:p w:rsidR="000A3C7D" w:rsidRPr="00E37ACD" w:rsidRDefault="000A3C7D" w:rsidP="002F42DF">
            <w:pPr>
              <w:keepNext/>
              <w:ind w:left="-108"/>
              <w:rPr>
                <w:rFonts w:ascii="Arial Narrow" w:hAnsi="Arial Narrow"/>
                <w:sz w:val="20"/>
              </w:rPr>
            </w:pPr>
            <w:r w:rsidRPr="00E37ACD">
              <w:rPr>
                <w:rFonts w:ascii="Arial Narrow" w:hAnsi="Arial Narrow"/>
                <w:sz w:val="20"/>
              </w:rPr>
              <w:t>60</w:t>
            </w:r>
          </w:p>
        </w:tc>
        <w:tc>
          <w:tcPr>
            <w:tcW w:w="850" w:type="dxa"/>
          </w:tcPr>
          <w:p w:rsidR="000A3C7D" w:rsidRPr="00E37ACD" w:rsidRDefault="000A3C7D" w:rsidP="002F42DF">
            <w:pPr>
              <w:keepNext/>
              <w:ind w:left="-108"/>
              <w:rPr>
                <w:rFonts w:ascii="Arial Narrow" w:hAnsi="Arial Narrow"/>
                <w:sz w:val="20"/>
              </w:rPr>
            </w:pPr>
            <w:r w:rsidRPr="00E37ACD">
              <w:rPr>
                <w:rFonts w:ascii="Arial Narrow" w:hAnsi="Arial Narrow"/>
                <w:sz w:val="20"/>
              </w:rPr>
              <w:t>5</w:t>
            </w:r>
          </w:p>
        </w:tc>
        <w:tc>
          <w:tcPr>
            <w:tcW w:w="567" w:type="dxa"/>
          </w:tcPr>
          <w:p w:rsidR="000A3C7D" w:rsidRPr="00E37ACD" w:rsidRDefault="000A3C7D" w:rsidP="002F42DF">
            <w:pPr>
              <w:keepNext/>
              <w:ind w:left="-108"/>
              <w:rPr>
                <w:rFonts w:ascii="Arial Narrow" w:hAnsi="Arial Narrow"/>
                <w:sz w:val="20"/>
              </w:rPr>
            </w:pPr>
          </w:p>
        </w:tc>
        <w:tc>
          <w:tcPr>
            <w:tcW w:w="1418" w:type="dxa"/>
            <w:gridSpan w:val="2"/>
          </w:tcPr>
          <w:p w:rsidR="000A3C7D" w:rsidRPr="00E37ACD" w:rsidRDefault="000A3C7D" w:rsidP="002F42DF">
            <w:pPr>
              <w:keepNext/>
              <w:rPr>
                <w:rFonts w:ascii="Arial Narrow" w:hAnsi="Arial Narrow"/>
                <w:sz w:val="20"/>
              </w:rPr>
            </w:pPr>
          </w:p>
        </w:tc>
        <w:tc>
          <w:tcPr>
            <w:tcW w:w="1417" w:type="dxa"/>
          </w:tcPr>
          <w:p w:rsidR="000A3C7D" w:rsidRPr="00E37ACD" w:rsidRDefault="000A3C7D" w:rsidP="002F42DF">
            <w:pPr>
              <w:keepNext/>
              <w:rPr>
                <w:rFonts w:ascii="Arial Narrow" w:hAnsi="Arial Narrow"/>
                <w:sz w:val="20"/>
              </w:rPr>
            </w:pPr>
          </w:p>
        </w:tc>
      </w:tr>
      <w:tr w:rsidR="000A3C7D" w:rsidRPr="00E37ACD" w:rsidTr="00283DC5">
        <w:trPr>
          <w:gridAfter w:val="1"/>
          <w:wAfter w:w="377" w:type="dxa"/>
          <w:cantSplit/>
          <w:trHeight w:val="318"/>
        </w:trPr>
        <w:tc>
          <w:tcPr>
            <w:tcW w:w="3402" w:type="dxa"/>
            <w:gridSpan w:val="2"/>
            <w:tcBorders>
              <w:bottom w:val="single" w:sz="4" w:space="0" w:color="auto"/>
            </w:tcBorders>
          </w:tcPr>
          <w:p w:rsidR="000A3C7D" w:rsidRPr="00E37ACD" w:rsidRDefault="000A3C7D" w:rsidP="002F42DF">
            <w:pPr>
              <w:keepNext/>
              <w:ind w:left="-108"/>
              <w:rPr>
                <w:rFonts w:ascii="Arial Narrow" w:hAnsi="Arial Narrow"/>
                <w:sz w:val="20"/>
              </w:rPr>
            </w:pPr>
            <w:proofErr w:type="spellStart"/>
            <w:r w:rsidRPr="00E37ACD">
              <w:rPr>
                <w:rFonts w:ascii="Arial Narrow" w:hAnsi="Arial Narrow"/>
                <w:sz w:val="20"/>
              </w:rPr>
              <w:t>nitisinone</w:t>
            </w:r>
            <w:proofErr w:type="spellEnd"/>
            <w:r w:rsidRPr="00E37ACD">
              <w:rPr>
                <w:rFonts w:ascii="Arial Narrow" w:hAnsi="Arial Narrow"/>
                <w:sz w:val="20"/>
              </w:rPr>
              <w:t xml:space="preserve"> capsule 10mg, oral</w:t>
            </w:r>
          </w:p>
        </w:tc>
        <w:tc>
          <w:tcPr>
            <w:tcW w:w="851" w:type="dxa"/>
            <w:tcBorders>
              <w:bottom w:val="single" w:sz="4" w:space="0" w:color="auto"/>
            </w:tcBorders>
          </w:tcPr>
          <w:p w:rsidR="000A3C7D" w:rsidRPr="00E37ACD" w:rsidRDefault="000A3C7D" w:rsidP="002F42DF">
            <w:pPr>
              <w:keepNext/>
              <w:ind w:left="-108"/>
              <w:rPr>
                <w:rFonts w:ascii="Arial Narrow" w:hAnsi="Arial Narrow"/>
                <w:sz w:val="20"/>
              </w:rPr>
            </w:pPr>
            <w:r w:rsidRPr="00E37ACD">
              <w:rPr>
                <w:rFonts w:ascii="Arial Narrow" w:hAnsi="Arial Narrow"/>
                <w:sz w:val="20"/>
              </w:rPr>
              <w:t>60</w:t>
            </w:r>
          </w:p>
        </w:tc>
        <w:tc>
          <w:tcPr>
            <w:tcW w:w="850" w:type="dxa"/>
            <w:tcBorders>
              <w:bottom w:val="single" w:sz="4" w:space="0" w:color="auto"/>
            </w:tcBorders>
          </w:tcPr>
          <w:p w:rsidR="000A3C7D" w:rsidRPr="00E37ACD" w:rsidRDefault="000A3C7D" w:rsidP="002F42DF">
            <w:pPr>
              <w:keepNext/>
              <w:ind w:left="-108"/>
              <w:rPr>
                <w:rFonts w:ascii="Arial Narrow" w:hAnsi="Arial Narrow"/>
                <w:sz w:val="20"/>
              </w:rPr>
            </w:pPr>
            <w:r w:rsidRPr="00E37ACD">
              <w:rPr>
                <w:rFonts w:ascii="Arial Narrow" w:hAnsi="Arial Narrow"/>
                <w:sz w:val="20"/>
              </w:rPr>
              <w:t>5</w:t>
            </w:r>
          </w:p>
        </w:tc>
        <w:tc>
          <w:tcPr>
            <w:tcW w:w="567" w:type="dxa"/>
            <w:tcBorders>
              <w:bottom w:val="single" w:sz="4" w:space="0" w:color="auto"/>
            </w:tcBorders>
          </w:tcPr>
          <w:p w:rsidR="000A3C7D" w:rsidRPr="00E37ACD" w:rsidRDefault="000A3C7D" w:rsidP="002F42DF">
            <w:pPr>
              <w:keepNext/>
              <w:ind w:left="-108"/>
              <w:rPr>
                <w:rFonts w:ascii="Arial Narrow" w:hAnsi="Arial Narrow"/>
                <w:sz w:val="20"/>
              </w:rPr>
            </w:pPr>
          </w:p>
        </w:tc>
        <w:tc>
          <w:tcPr>
            <w:tcW w:w="1418" w:type="dxa"/>
            <w:gridSpan w:val="2"/>
            <w:tcBorders>
              <w:bottom w:val="single" w:sz="4" w:space="0" w:color="auto"/>
            </w:tcBorders>
          </w:tcPr>
          <w:p w:rsidR="000A3C7D" w:rsidRPr="00E37ACD" w:rsidRDefault="000A3C7D" w:rsidP="002F42DF">
            <w:pPr>
              <w:keepNext/>
              <w:rPr>
                <w:rFonts w:ascii="Arial Narrow" w:hAnsi="Arial Narrow"/>
                <w:sz w:val="20"/>
              </w:rPr>
            </w:pPr>
          </w:p>
        </w:tc>
        <w:tc>
          <w:tcPr>
            <w:tcW w:w="1417" w:type="dxa"/>
            <w:tcBorders>
              <w:bottom w:val="single" w:sz="4" w:space="0" w:color="auto"/>
            </w:tcBorders>
          </w:tcPr>
          <w:p w:rsidR="000A3C7D" w:rsidRPr="00E37ACD" w:rsidRDefault="000A3C7D" w:rsidP="002F42DF">
            <w:pPr>
              <w:keepNext/>
              <w:rPr>
                <w:rFonts w:ascii="Arial Narrow" w:hAnsi="Arial Narrow"/>
                <w:sz w:val="20"/>
              </w:rPr>
            </w:pPr>
          </w:p>
        </w:tc>
      </w:tr>
      <w:tr w:rsidR="000A3C7D" w:rsidRPr="00E37ACD" w:rsidTr="00283DC5">
        <w:trPr>
          <w:gridAfter w:val="1"/>
          <w:wAfter w:w="377" w:type="dxa"/>
          <w:cantSplit/>
          <w:trHeight w:val="360"/>
        </w:trPr>
        <w:tc>
          <w:tcPr>
            <w:tcW w:w="8505" w:type="dxa"/>
            <w:gridSpan w:val="8"/>
            <w:tcBorders>
              <w:top w:val="single" w:sz="4" w:space="0" w:color="auto"/>
              <w:bottom w:val="single" w:sz="4" w:space="0" w:color="auto"/>
            </w:tcBorders>
          </w:tcPr>
          <w:p w:rsidR="000A3C7D" w:rsidRPr="00E37ACD" w:rsidRDefault="000A3C7D" w:rsidP="002F42DF">
            <w:pPr>
              <w:rPr>
                <w:rFonts w:ascii="Arial Narrow" w:hAnsi="Arial Narrow"/>
                <w:sz w:val="20"/>
              </w:rPr>
            </w:pPr>
          </w:p>
        </w:tc>
      </w:tr>
      <w:tr w:rsidR="000A3C7D" w:rsidRPr="00E37ACD" w:rsidTr="00283DC5">
        <w:trPr>
          <w:gridAfter w:val="1"/>
          <w:wAfter w:w="377" w:type="dxa"/>
          <w:cantSplit/>
          <w:trHeight w:val="349"/>
        </w:trPr>
        <w:tc>
          <w:tcPr>
            <w:tcW w:w="2126" w:type="dxa"/>
            <w:tcBorders>
              <w:top w:val="single" w:sz="4" w:space="0" w:color="auto"/>
              <w:left w:val="single" w:sz="4" w:space="0" w:color="auto"/>
              <w:bottom w:val="single" w:sz="4" w:space="0" w:color="auto"/>
              <w:right w:val="single" w:sz="4" w:space="0" w:color="auto"/>
            </w:tcBorders>
          </w:tcPr>
          <w:p w:rsidR="000A3C7D" w:rsidRPr="00E37ACD" w:rsidRDefault="000A3C7D" w:rsidP="002F42DF">
            <w:pPr>
              <w:rPr>
                <w:rFonts w:ascii="Arial Narrow" w:hAnsi="Arial Narrow"/>
                <w:b/>
                <w:sz w:val="20"/>
              </w:rPr>
            </w:pPr>
            <w:r w:rsidRPr="00E37ACD">
              <w:rPr>
                <w:rFonts w:ascii="Arial Narrow" w:hAnsi="Arial Narrow"/>
                <w:b/>
                <w:sz w:val="20"/>
              </w:rPr>
              <w:t xml:space="preserve">Category / </w:t>
            </w:r>
          </w:p>
          <w:p w:rsidR="000A3C7D" w:rsidRPr="00E37ACD" w:rsidRDefault="000A3C7D" w:rsidP="002F42DF">
            <w:pPr>
              <w:rPr>
                <w:rFonts w:ascii="Arial Narrow" w:hAnsi="Arial Narrow"/>
                <w:b/>
                <w:sz w:val="20"/>
              </w:rPr>
            </w:pPr>
            <w:r w:rsidRPr="00E37ACD">
              <w:rPr>
                <w:rFonts w:ascii="Arial Narrow" w:hAnsi="Arial Narrow"/>
                <w:b/>
                <w:sz w:val="20"/>
              </w:rPr>
              <w:t>Program</w:t>
            </w:r>
          </w:p>
        </w:tc>
        <w:tc>
          <w:tcPr>
            <w:tcW w:w="6379" w:type="dxa"/>
            <w:gridSpan w:val="7"/>
            <w:tcBorders>
              <w:top w:val="single" w:sz="4" w:space="0" w:color="auto"/>
              <w:left w:val="single" w:sz="4" w:space="0" w:color="auto"/>
              <w:bottom w:val="single" w:sz="4" w:space="0" w:color="auto"/>
              <w:right w:val="single" w:sz="4" w:space="0" w:color="auto"/>
            </w:tcBorders>
          </w:tcPr>
          <w:p w:rsidR="000A3C7D" w:rsidRPr="00E37ACD" w:rsidRDefault="000A3C7D" w:rsidP="002F42DF">
            <w:pPr>
              <w:rPr>
                <w:rFonts w:ascii="Arial Narrow" w:hAnsi="Arial Narrow"/>
                <w:sz w:val="20"/>
              </w:rPr>
            </w:pPr>
            <w:r w:rsidRPr="00E37ACD">
              <w:rPr>
                <w:rFonts w:ascii="Arial Narrow" w:hAnsi="Arial Narrow"/>
                <w:sz w:val="20"/>
              </w:rPr>
              <w:t>Section 100 – Highly Specialised Drugs Program (public and private)</w:t>
            </w:r>
          </w:p>
        </w:tc>
      </w:tr>
      <w:tr w:rsidR="000A3C7D" w:rsidRPr="00E37ACD" w:rsidTr="00283DC5">
        <w:trPr>
          <w:gridAfter w:val="1"/>
          <w:wAfter w:w="377" w:type="dxa"/>
          <w:cantSplit/>
          <w:trHeight w:val="349"/>
        </w:trPr>
        <w:tc>
          <w:tcPr>
            <w:tcW w:w="2126" w:type="dxa"/>
            <w:tcBorders>
              <w:top w:val="single" w:sz="4" w:space="0" w:color="auto"/>
              <w:left w:val="single" w:sz="4" w:space="0" w:color="auto"/>
              <w:bottom w:val="single" w:sz="4" w:space="0" w:color="auto"/>
              <w:right w:val="single" w:sz="4" w:space="0" w:color="auto"/>
            </w:tcBorders>
          </w:tcPr>
          <w:p w:rsidR="000A3C7D" w:rsidRPr="00E37ACD" w:rsidRDefault="000A3C7D" w:rsidP="002F42DF">
            <w:pPr>
              <w:rPr>
                <w:rFonts w:ascii="Arial Narrow" w:hAnsi="Arial Narrow"/>
                <w:b/>
                <w:sz w:val="20"/>
              </w:rPr>
            </w:pPr>
            <w:r w:rsidRPr="00E37ACD">
              <w:rPr>
                <w:rFonts w:ascii="Arial Narrow" w:hAnsi="Arial Narrow"/>
                <w:b/>
                <w:sz w:val="20"/>
              </w:rPr>
              <w:t>Prescriber type:</w:t>
            </w:r>
          </w:p>
        </w:tc>
        <w:tc>
          <w:tcPr>
            <w:tcW w:w="6379" w:type="dxa"/>
            <w:gridSpan w:val="7"/>
            <w:tcBorders>
              <w:top w:val="single" w:sz="4" w:space="0" w:color="auto"/>
              <w:left w:val="single" w:sz="4" w:space="0" w:color="auto"/>
              <w:bottom w:val="single" w:sz="4" w:space="0" w:color="auto"/>
              <w:right w:val="single" w:sz="4" w:space="0" w:color="auto"/>
            </w:tcBorders>
          </w:tcPr>
          <w:p w:rsidR="000A3C7D" w:rsidRPr="00E37ACD" w:rsidRDefault="000A3C7D" w:rsidP="002F42DF">
            <w:pPr>
              <w:rPr>
                <w:rFonts w:ascii="Arial Narrow" w:hAnsi="Arial Narrow"/>
                <w:sz w:val="20"/>
              </w:rPr>
            </w:pPr>
            <w:r w:rsidRPr="00E37ACD">
              <w:rPr>
                <w:rFonts w:ascii="Arial Narrow" w:hAnsi="Arial Narrow"/>
                <w:sz w:val="20"/>
              </w:rPr>
              <w:fldChar w:fldCharType="begin">
                <w:ffData>
                  <w:name w:val="Check1"/>
                  <w:enabled/>
                  <w:calcOnExit w:val="0"/>
                  <w:checkBox>
                    <w:sizeAuto/>
                    <w:default w:val="0"/>
                  </w:checkBox>
                </w:ffData>
              </w:fldChar>
            </w:r>
            <w:r w:rsidRPr="00E37ACD">
              <w:rPr>
                <w:rFonts w:ascii="Arial Narrow" w:hAnsi="Arial Narrow"/>
                <w:sz w:val="20"/>
              </w:rPr>
              <w:instrText xml:space="preserve"> FORMCHECKBOX </w:instrText>
            </w:r>
            <w:r w:rsidR="00454981">
              <w:rPr>
                <w:rFonts w:ascii="Arial Narrow" w:hAnsi="Arial Narrow"/>
                <w:sz w:val="20"/>
              </w:rPr>
            </w:r>
            <w:r w:rsidR="00454981">
              <w:rPr>
                <w:rFonts w:ascii="Arial Narrow" w:hAnsi="Arial Narrow"/>
                <w:sz w:val="20"/>
              </w:rPr>
              <w:fldChar w:fldCharType="separate"/>
            </w:r>
            <w:r w:rsidRPr="00E37ACD">
              <w:rPr>
                <w:rFonts w:ascii="Arial Narrow" w:hAnsi="Arial Narrow"/>
                <w:sz w:val="20"/>
              </w:rPr>
              <w:fldChar w:fldCharType="end"/>
            </w:r>
            <w:r w:rsidRPr="00E37ACD">
              <w:rPr>
                <w:rFonts w:ascii="Arial Narrow" w:hAnsi="Arial Narrow"/>
                <w:sz w:val="20"/>
              </w:rPr>
              <w:t xml:space="preserve">Dental  </w:t>
            </w:r>
            <w:r w:rsidRPr="00E37ACD">
              <w:rPr>
                <w:rFonts w:ascii="Arial Narrow" w:hAnsi="Arial Narrow"/>
                <w:sz w:val="20"/>
              </w:rPr>
              <w:fldChar w:fldCharType="begin">
                <w:ffData>
                  <w:name w:val=""/>
                  <w:enabled/>
                  <w:calcOnExit w:val="0"/>
                  <w:checkBox>
                    <w:sizeAuto/>
                    <w:default w:val="1"/>
                  </w:checkBox>
                </w:ffData>
              </w:fldChar>
            </w:r>
            <w:r w:rsidRPr="00E37ACD">
              <w:rPr>
                <w:rFonts w:ascii="Arial Narrow" w:hAnsi="Arial Narrow"/>
                <w:sz w:val="20"/>
              </w:rPr>
              <w:instrText xml:space="preserve"> FORMCHECKBOX </w:instrText>
            </w:r>
            <w:r w:rsidR="00454981">
              <w:rPr>
                <w:rFonts w:ascii="Arial Narrow" w:hAnsi="Arial Narrow"/>
                <w:sz w:val="20"/>
              </w:rPr>
            </w:r>
            <w:r w:rsidR="00454981">
              <w:rPr>
                <w:rFonts w:ascii="Arial Narrow" w:hAnsi="Arial Narrow"/>
                <w:sz w:val="20"/>
              </w:rPr>
              <w:fldChar w:fldCharType="separate"/>
            </w:r>
            <w:r w:rsidRPr="00E37ACD">
              <w:rPr>
                <w:rFonts w:ascii="Arial Narrow" w:hAnsi="Arial Narrow"/>
                <w:sz w:val="20"/>
              </w:rPr>
              <w:fldChar w:fldCharType="end"/>
            </w:r>
            <w:r w:rsidRPr="00E37ACD">
              <w:rPr>
                <w:rFonts w:ascii="Arial Narrow" w:hAnsi="Arial Narrow"/>
                <w:sz w:val="20"/>
              </w:rPr>
              <w:t xml:space="preserve">Medical Practitioners  </w:t>
            </w:r>
            <w:r w:rsidRPr="00E37ACD">
              <w:rPr>
                <w:rFonts w:ascii="Arial Narrow" w:hAnsi="Arial Narrow"/>
                <w:sz w:val="20"/>
              </w:rPr>
              <w:fldChar w:fldCharType="begin">
                <w:ffData>
                  <w:name w:val="Check3"/>
                  <w:enabled/>
                  <w:calcOnExit w:val="0"/>
                  <w:checkBox>
                    <w:sizeAuto/>
                    <w:default w:val="0"/>
                  </w:checkBox>
                </w:ffData>
              </w:fldChar>
            </w:r>
            <w:r w:rsidRPr="00E37ACD">
              <w:rPr>
                <w:rFonts w:ascii="Arial Narrow" w:hAnsi="Arial Narrow"/>
                <w:sz w:val="20"/>
              </w:rPr>
              <w:instrText xml:space="preserve"> FORMCHECKBOX </w:instrText>
            </w:r>
            <w:r w:rsidR="00454981">
              <w:rPr>
                <w:rFonts w:ascii="Arial Narrow" w:hAnsi="Arial Narrow"/>
                <w:sz w:val="20"/>
              </w:rPr>
            </w:r>
            <w:r w:rsidR="00454981">
              <w:rPr>
                <w:rFonts w:ascii="Arial Narrow" w:hAnsi="Arial Narrow"/>
                <w:sz w:val="20"/>
              </w:rPr>
              <w:fldChar w:fldCharType="separate"/>
            </w:r>
            <w:r w:rsidRPr="00E37ACD">
              <w:rPr>
                <w:rFonts w:ascii="Arial Narrow" w:hAnsi="Arial Narrow"/>
                <w:sz w:val="20"/>
              </w:rPr>
              <w:fldChar w:fldCharType="end"/>
            </w:r>
            <w:r w:rsidRPr="00E37ACD">
              <w:rPr>
                <w:rFonts w:ascii="Arial Narrow" w:hAnsi="Arial Narrow"/>
                <w:sz w:val="20"/>
              </w:rPr>
              <w:t xml:space="preserve">Nurse practitioners  </w:t>
            </w:r>
            <w:r w:rsidRPr="00E37ACD">
              <w:rPr>
                <w:rFonts w:ascii="Arial Narrow" w:hAnsi="Arial Narrow"/>
                <w:sz w:val="20"/>
              </w:rPr>
              <w:fldChar w:fldCharType="begin">
                <w:ffData>
                  <w:name w:val=""/>
                  <w:enabled/>
                  <w:calcOnExit w:val="0"/>
                  <w:checkBox>
                    <w:sizeAuto/>
                    <w:default w:val="0"/>
                  </w:checkBox>
                </w:ffData>
              </w:fldChar>
            </w:r>
            <w:r w:rsidRPr="00E37ACD">
              <w:rPr>
                <w:rFonts w:ascii="Arial Narrow" w:hAnsi="Arial Narrow"/>
                <w:sz w:val="20"/>
              </w:rPr>
              <w:instrText xml:space="preserve"> FORMCHECKBOX </w:instrText>
            </w:r>
            <w:r w:rsidR="00454981">
              <w:rPr>
                <w:rFonts w:ascii="Arial Narrow" w:hAnsi="Arial Narrow"/>
                <w:sz w:val="20"/>
              </w:rPr>
            </w:r>
            <w:r w:rsidR="00454981">
              <w:rPr>
                <w:rFonts w:ascii="Arial Narrow" w:hAnsi="Arial Narrow"/>
                <w:sz w:val="20"/>
              </w:rPr>
              <w:fldChar w:fldCharType="separate"/>
            </w:r>
            <w:r w:rsidRPr="00E37ACD">
              <w:rPr>
                <w:rFonts w:ascii="Arial Narrow" w:hAnsi="Arial Narrow"/>
                <w:sz w:val="20"/>
              </w:rPr>
              <w:fldChar w:fldCharType="end"/>
            </w:r>
            <w:r w:rsidRPr="00E37ACD">
              <w:rPr>
                <w:rFonts w:ascii="Arial Narrow" w:hAnsi="Arial Narrow"/>
                <w:sz w:val="20"/>
              </w:rPr>
              <w:t>Optometrists</w:t>
            </w:r>
          </w:p>
          <w:p w:rsidR="000A3C7D" w:rsidRPr="00E37ACD" w:rsidRDefault="000A3C7D" w:rsidP="002F42DF">
            <w:pPr>
              <w:rPr>
                <w:rFonts w:ascii="Arial Narrow" w:hAnsi="Arial Narrow"/>
                <w:sz w:val="20"/>
              </w:rPr>
            </w:pPr>
            <w:r w:rsidRPr="00E37ACD">
              <w:rPr>
                <w:rFonts w:ascii="Arial Narrow" w:hAnsi="Arial Narrow"/>
                <w:sz w:val="20"/>
              </w:rPr>
              <w:fldChar w:fldCharType="begin">
                <w:ffData>
                  <w:name w:val="Check5"/>
                  <w:enabled/>
                  <w:calcOnExit w:val="0"/>
                  <w:checkBox>
                    <w:sizeAuto/>
                    <w:default w:val="0"/>
                  </w:checkBox>
                </w:ffData>
              </w:fldChar>
            </w:r>
            <w:r w:rsidRPr="00E37ACD">
              <w:rPr>
                <w:rFonts w:ascii="Arial Narrow" w:hAnsi="Arial Narrow"/>
                <w:sz w:val="20"/>
              </w:rPr>
              <w:instrText xml:space="preserve"> FORMCHECKBOX </w:instrText>
            </w:r>
            <w:r w:rsidR="00454981">
              <w:rPr>
                <w:rFonts w:ascii="Arial Narrow" w:hAnsi="Arial Narrow"/>
                <w:sz w:val="20"/>
              </w:rPr>
            </w:r>
            <w:r w:rsidR="00454981">
              <w:rPr>
                <w:rFonts w:ascii="Arial Narrow" w:hAnsi="Arial Narrow"/>
                <w:sz w:val="20"/>
              </w:rPr>
              <w:fldChar w:fldCharType="separate"/>
            </w:r>
            <w:r w:rsidRPr="00E37ACD">
              <w:rPr>
                <w:rFonts w:ascii="Arial Narrow" w:hAnsi="Arial Narrow"/>
                <w:sz w:val="20"/>
              </w:rPr>
              <w:fldChar w:fldCharType="end"/>
            </w:r>
            <w:r w:rsidRPr="00E37ACD">
              <w:rPr>
                <w:rFonts w:ascii="Arial Narrow" w:hAnsi="Arial Narrow"/>
                <w:sz w:val="20"/>
              </w:rPr>
              <w:t>Midwives</w:t>
            </w:r>
          </w:p>
        </w:tc>
      </w:tr>
      <w:tr w:rsidR="000A3C7D" w:rsidRPr="00E37ACD" w:rsidTr="00283DC5">
        <w:trPr>
          <w:gridAfter w:val="1"/>
          <w:wAfter w:w="377" w:type="dxa"/>
          <w:cantSplit/>
          <w:trHeight w:val="349"/>
        </w:trPr>
        <w:tc>
          <w:tcPr>
            <w:tcW w:w="2126" w:type="dxa"/>
            <w:tcBorders>
              <w:top w:val="single" w:sz="4" w:space="0" w:color="auto"/>
              <w:left w:val="single" w:sz="4" w:space="0" w:color="auto"/>
              <w:bottom w:val="single" w:sz="4" w:space="0" w:color="auto"/>
              <w:right w:val="single" w:sz="4" w:space="0" w:color="auto"/>
            </w:tcBorders>
          </w:tcPr>
          <w:p w:rsidR="000A3C7D" w:rsidRPr="00E37ACD" w:rsidRDefault="000A3C7D" w:rsidP="002F42DF">
            <w:pPr>
              <w:rPr>
                <w:rFonts w:ascii="Arial Narrow" w:hAnsi="Arial Narrow"/>
                <w:b/>
                <w:sz w:val="20"/>
              </w:rPr>
            </w:pPr>
            <w:r w:rsidRPr="00E37ACD">
              <w:rPr>
                <w:rFonts w:ascii="Arial Narrow" w:hAnsi="Arial Narrow"/>
                <w:b/>
                <w:sz w:val="20"/>
              </w:rPr>
              <w:t>Condition:</w:t>
            </w:r>
          </w:p>
        </w:tc>
        <w:tc>
          <w:tcPr>
            <w:tcW w:w="6379" w:type="dxa"/>
            <w:gridSpan w:val="7"/>
            <w:tcBorders>
              <w:top w:val="single" w:sz="4" w:space="0" w:color="auto"/>
              <w:left w:val="single" w:sz="4" w:space="0" w:color="auto"/>
              <w:bottom w:val="single" w:sz="4" w:space="0" w:color="auto"/>
              <w:right w:val="single" w:sz="4" w:space="0" w:color="auto"/>
            </w:tcBorders>
          </w:tcPr>
          <w:p w:rsidR="000A3C7D" w:rsidRPr="00E37ACD" w:rsidRDefault="000A3C7D" w:rsidP="002F42DF">
            <w:pPr>
              <w:rPr>
                <w:rFonts w:ascii="Arial Narrow" w:hAnsi="Arial Narrow"/>
                <w:sz w:val="20"/>
              </w:rPr>
            </w:pPr>
            <w:r w:rsidRPr="00E37ACD">
              <w:rPr>
                <w:rFonts w:ascii="Arial Narrow" w:hAnsi="Arial Narrow"/>
                <w:strike/>
                <w:sz w:val="20"/>
              </w:rPr>
              <w:t>Hereditary</w:t>
            </w:r>
            <w:r w:rsidRPr="00E37ACD">
              <w:rPr>
                <w:rFonts w:ascii="Arial Narrow" w:hAnsi="Arial Narrow"/>
                <w:sz w:val="20"/>
              </w:rPr>
              <w:t xml:space="preserve"> </w:t>
            </w:r>
            <w:proofErr w:type="spellStart"/>
            <w:r w:rsidRPr="00E37ACD">
              <w:rPr>
                <w:rFonts w:ascii="Arial Narrow" w:hAnsi="Arial Narrow"/>
                <w:sz w:val="20"/>
              </w:rPr>
              <w:t>Tyrosinaemia</w:t>
            </w:r>
            <w:proofErr w:type="spellEnd"/>
            <w:r w:rsidRPr="00E37ACD">
              <w:rPr>
                <w:rFonts w:ascii="Arial Narrow" w:hAnsi="Arial Narrow"/>
                <w:sz w:val="20"/>
              </w:rPr>
              <w:t xml:space="preserve"> type I </w:t>
            </w:r>
            <w:r w:rsidRPr="00E37ACD">
              <w:rPr>
                <w:rFonts w:ascii="Arial Narrow" w:hAnsi="Arial Narrow"/>
                <w:strike/>
                <w:sz w:val="20"/>
              </w:rPr>
              <w:t>(HT-1)</w:t>
            </w:r>
          </w:p>
        </w:tc>
      </w:tr>
      <w:tr w:rsidR="000A3C7D" w:rsidRPr="00E37ACD" w:rsidTr="00283DC5">
        <w:trPr>
          <w:gridAfter w:val="1"/>
          <w:wAfter w:w="377" w:type="dxa"/>
          <w:cantSplit/>
          <w:trHeight w:val="349"/>
        </w:trPr>
        <w:tc>
          <w:tcPr>
            <w:tcW w:w="2126" w:type="dxa"/>
            <w:tcBorders>
              <w:top w:val="single" w:sz="4" w:space="0" w:color="auto"/>
              <w:left w:val="single" w:sz="4" w:space="0" w:color="auto"/>
              <w:bottom w:val="single" w:sz="4" w:space="0" w:color="auto"/>
              <w:right w:val="single" w:sz="4" w:space="0" w:color="auto"/>
            </w:tcBorders>
          </w:tcPr>
          <w:p w:rsidR="000A3C7D" w:rsidRPr="00E37ACD" w:rsidRDefault="000A3C7D" w:rsidP="002F42DF">
            <w:pPr>
              <w:rPr>
                <w:rFonts w:ascii="Arial Narrow" w:hAnsi="Arial Narrow"/>
                <w:b/>
                <w:sz w:val="20"/>
              </w:rPr>
            </w:pPr>
            <w:r w:rsidRPr="00E37ACD">
              <w:rPr>
                <w:rFonts w:ascii="Arial Narrow" w:hAnsi="Arial Narrow"/>
                <w:b/>
                <w:sz w:val="20"/>
              </w:rPr>
              <w:t>PBS Indication</w:t>
            </w:r>
          </w:p>
        </w:tc>
        <w:tc>
          <w:tcPr>
            <w:tcW w:w="6379" w:type="dxa"/>
            <w:gridSpan w:val="7"/>
            <w:tcBorders>
              <w:top w:val="single" w:sz="4" w:space="0" w:color="auto"/>
              <w:left w:val="single" w:sz="4" w:space="0" w:color="auto"/>
              <w:bottom w:val="single" w:sz="4" w:space="0" w:color="auto"/>
              <w:right w:val="single" w:sz="4" w:space="0" w:color="auto"/>
            </w:tcBorders>
          </w:tcPr>
          <w:p w:rsidR="000A3C7D" w:rsidRPr="00E37ACD" w:rsidRDefault="000A3C7D" w:rsidP="002F42DF">
            <w:pPr>
              <w:rPr>
                <w:rFonts w:ascii="Arial Narrow" w:hAnsi="Arial Narrow"/>
                <w:i/>
                <w:sz w:val="20"/>
              </w:rPr>
            </w:pPr>
            <w:proofErr w:type="spellStart"/>
            <w:r w:rsidRPr="00E37ACD">
              <w:rPr>
                <w:rFonts w:ascii="Arial Narrow" w:hAnsi="Arial Narrow"/>
                <w:i/>
                <w:sz w:val="20"/>
              </w:rPr>
              <w:t>Tyrosinaemia</w:t>
            </w:r>
            <w:proofErr w:type="spellEnd"/>
            <w:r w:rsidRPr="00E37ACD">
              <w:rPr>
                <w:rFonts w:ascii="Arial Narrow" w:hAnsi="Arial Narrow"/>
                <w:i/>
                <w:sz w:val="20"/>
              </w:rPr>
              <w:t xml:space="preserve"> type I</w:t>
            </w:r>
          </w:p>
        </w:tc>
      </w:tr>
      <w:tr w:rsidR="000A3C7D" w:rsidRPr="00E37ACD" w:rsidTr="00283DC5">
        <w:trPr>
          <w:gridAfter w:val="1"/>
          <w:wAfter w:w="377" w:type="dxa"/>
          <w:cantSplit/>
          <w:trHeight w:val="360"/>
        </w:trPr>
        <w:tc>
          <w:tcPr>
            <w:tcW w:w="2126" w:type="dxa"/>
            <w:tcBorders>
              <w:top w:val="single" w:sz="4" w:space="0" w:color="auto"/>
              <w:left w:val="single" w:sz="4" w:space="0" w:color="auto"/>
              <w:bottom w:val="single" w:sz="4" w:space="0" w:color="auto"/>
              <w:right w:val="single" w:sz="4" w:space="0" w:color="auto"/>
            </w:tcBorders>
          </w:tcPr>
          <w:p w:rsidR="000A3C7D" w:rsidRPr="00E37ACD" w:rsidRDefault="000A3C7D" w:rsidP="002F42DF">
            <w:pPr>
              <w:rPr>
                <w:rFonts w:ascii="Arial Narrow" w:hAnsi="Arial Narrow"/>
                <w:b/>
                <w:sz w:val="20"/>
              </w:rPr>
            </w:pPr>
            <w:r w:rsidRPr="00E37ACD">
              <w:rPr>
                <w:rFonts w:ascii="Arial Narrow" w:hAnsi="Arial Narrow"/>
                <w:b/>
                <w:sz w:val="20"/>
              </w:rPr>
              <w:t>Restriction:</w:t>
            </w:r>
          </w:p>
        </w:tc>
        <w:tc>
          <w:tcPr>
            <w:tcW w:w="6379" w:type="dxa"/>
            <w:gridSpan w:val="7"/>
            <w:tcBorders>
              <w:top w:val="single" w:sz="4" w:space="0" w:color="auto"/>
              <w:left w:val="single" w:sz="4" w:space="0" w:color="auto"/>
              <w:bottom w:val="single" w:sz="4" w:space="0" w:color="auto"/>
              <w:right w:val="single" w:sz="4" w:space="0" w:color="auto"/>
            </w:tcBorders>
          </w:tcPr>
          <w:p w:rsidR="000A3C7D" w:rsidRPr="00E37ACD" w:rsidRDefault="000A3C7D" w:rsidP="002F42DF">
            <w:pPr>
              <w:rPr>
                <w:rFonts w:ascii="Arial Narrow" w:hAnsi="Arial Narrow"/>
                <w:sz w:val="20"/>
              </w:rPr>
            </w:pPr>
            <w:r w:rsidRPr="00E37ACD">
              <w:rPr>
                <w:rFonts w:ascii="Arial Narrow" w:hAnsi="Arial Narrow"/>
                <w:sz w:val="20"/>
              </w:rPr>
              <w:t>Authority required</w:t>
            </w:r>
          </w:p>
        </w:tc>
      </w:tr>
      <w:tr w:rsidR="000A3C7D" w:rsidRPr="00E37ACD" w:rsidTr="00283DC5">
        <w:trPr>
          <w:gridAfter w:val="1"/>
          <w:wAfter w:w="377" w:type="dxa"/>
          <w:cantSplit/>
          <w:trHeight w:val="360"/>
        </w:trPr>
        <w:tc>
          <w:tcPr>
            <w:tcW w:w="2126" w:type="dxa"/>
            <w:tcBorders>
              <w:top w:val="single" w:sz="4" w:space="0" w:color="auto"/>
              <w:left w:val="single" w:sz="4" w:space="0" w:color="auto"/>
              <w:bottom w:val="single" w:sz="4" w:space="0" w:color="auto"/>
              <w:right w:val="single" w:sz="4" w:space="0" w:color="auto"/>
            </w:tcBorders>
          </w:tcPr>
          <w:p w:rsidR="000A3C7D" w:rsidRPr="00E37ACD" w:rsidRDefault="000A3C7D" w:rsidP="002F42DF">
            <w:pPr>
              <w:rPr>
                <w:rFonts w:ascii="Arial Narrow" w:hAnsi="Arial Narrow"/>
                <w:b/>
                <w:sz w:val="20"/>
              </w:rPr>
            </w:pPr>
            <w:r w:rsidRPr="00E37ACD">
              <w:rPr>
                <w:rFonts w:ascii="Arial Narrow" w:hAnsi="Arial Narrow"/>
                <w:b/>
                <w:sz w:val="20"/>
              </w:rPr>
              <w:t>Treatment criteria:</w:t>
            </w:r>
          </w:p>
          <w:p w:rsidR="000A3C7D" w:rsidRPr="00E37ACD" w:rsidRDefault="000A3C7D" w:rsidP="002F42DF">
            <w:pPr>
              <w:rPr>
                <w:rFonts w:ascii="Arial Narrow" w:hAnsi="Arial Narrow"/>
                <w:sz w:val="20"/>
              </w:rPr>
            </w:pPr>
          </w:p>
        </w:tc>
        <w:tc>
          <w:tcPr>
            <w:tcW w:w="6379" w:type="dxa"/>
            <w:gridSpan w:val="7"/>
            <w:tcBorders>
              <w:top w:val="single" w:sz="4" w:space="0" w:color="auto"/>
              <w:left w:val="single" w:sz="4" w:space="0" w:color="auto"/>
              <w:bottom w:val="single" w:sz="4" w:space="0" w:color="auto"/>
              <w:right w:val="single" w:sz="4" w:space="0" w:color="auto"/>
            </w:tcBorders>
          </w:tcPr>
          <w:p w:rsidR="000A3C7D" w:rsidRPr="00E37ACD" w:rsidRDefault="000A3C7D" w:rsidP="002F42DF">
            <w:pPr>
              <w:rPr>
                <w:rFonts w:ascii="Arial Narrow" w:hAnsi="Arial Narrow"/>
                <w:sz w:val="20"/>
              </w:rPr>
            </w:pPr>
            <w:r w:rsidRPr="00E37ACD">
              <w:rPr>
                <w:rFonts w:ascii="Arial Narrow" w:hAnsi="Arial Narrow"/>
                <w:strike/>
                <w:sz w:val="20"/>
              </w:rPr>
              <w:t xml:space="preserve">The patient </w:t>
            </w:r>
            <w:r w:rsidRPr="00E37ACD">
              <w:rPr>
                <w:rFonts w:ascii="Arial Narrow" w:hAnsi="Arial Narrow"/>
                <w:sz w:val="20"/>
              </w:rPr>
              <w:t>Must be treated in a centre with experience in metabolic disorders.</w:t>
            </w:r>
          </w:p>
          <w:p w:rsidR="000A3C7D" w:rsidRPr="00E37ACD" w:rsidRDefault="000A3C7D" w:rsidP="002F42DF">
            <w:pPr>
              <w:rPr>
                <w:rFonts w:ascii="Arial Narrow" w:hAnsi="Arial Narrow"/>
                <w:i/>
                <w:sz w:val="20"/>
              </w:rPr>
            </w:pPr>
            <w:r w:rsidRPr="00E37ACD">
              <w:rPr>
                <w:rFonts w:ascii="Arial Narrow" w:hAnsi="Arial Narrow"/>
                <w:i/>
                <w:sz w:val="20"/>
              </w:rPr>
              <w:t>AND</w:t>
            </w:r>
          </w:p>
          <w:p w:rsidR="000A3C7D" w:rsidRPr="00E37ACD" w:rsidRDefault="000A3C7D" w:rsidP="002F42DF">
            <w:pPr>
              <w:rPr>
                <w:rFonts w:ascii="Arial Narrow" w:hAnsi="Arial Narrow"/>
                <w:sz w:val="20"/>
              </w:rPr>
            </w:pPr>
            <w:r w:rsidRPr="00E37ACD">
              <w:rPr>
                <w:rFonts w:ascii="Arial Narrow" w:hAnsi="Arial Narrow"/>
                <w:strike/>
                <w:sz w:val="20"/>
              </w:rPr>
              <w:t xml:space="preserve">The prescriber </w:t>
            </w:r>
            <w:r w:rsidRPr="00E37ACD">
              <w:rPr>
                <w:rFonts w:ascii="Arial Narrow" w:hAnsi="Arial Narrow"/>
                <w:sz w:val="20"/>
              </w:rPr>
              <w:t xml:space="preserve">Must be </w:t>
            </w:r>
            <w:r w:rsidRPr="00E37ACD">
              <w:rPr>
                <w:rFonts w:ascii="Arial Narrow" w:hAnsi="Arial Narrow"/>
                <w:i/>
                <w:sz w:val="20"/>
              </w:rPr>
              <w:t>treated by</w:t>
            </w:r>
            <w:r w:rsidRPr="00E37ACD">
              <w:rPr>
                <w:rFonts w:ascii="Arial Narrow" w:hAnsi="Arial Narrow"/>
                <w:sz w:val="20"/>
              </w:rPr>
              <w:t xml:space="preserve"> a paediatrician, physician or health care provider with experience in the management of patients with </w:t>
            </w:r>
            <w:r w:rsidRPr="00E37ACD">
              <w:rPr>
                <w:rFonts w:ascii="Arial Narrow" w:hAnsi="Arial Narrow"/>
                <w:strike/>
                <w:sz w:val="20"/>
              </w:rPr>
              <w:t>HT-1</w:t>
            </w:r>
            <w:r w:rsidRPr="00E37ACD">
              <w:rPr>
                <w:rFonts w:ascii="Arial Narrow" w:hAnsi="Arial Narrow"/>
                <w:sz w:val="20"/>
              </w:rPr>
              <w:t xml:space="preserve"> </w:t>
            </w:r>
            <w:proofErr w:type="spellStart"/>
            <w:r w:rsidRPr="00E37ACD">
              <w:rPr>
                <w:rFonts w:ascii="Arial Narrow" w:hAnsi="Arial Narrow"/>
                <w:i/>
                <w:sz w:val="20"/>
              </w:rPr>
              <w:t>tyrosinaemia</w:t>
            </w:r>
            <w:proofErr w:type="spellEnd"/>
            <w:r w:rsidRPr="00E37ACD">
              <w:rPr>
                <w:rFonts w:ascii="Arial Narrow" w:hAnsi="Arial Narrow"/>
                <w:i/>
                <w:sz w:val="20"/>
              </w:rPr>
              <w:t xml:space="preserve"> type I</w:t>
            </w:r>
            <w:r w:rsidRPr="00E37ACD">
              <w:rPr>
                <w:rFonts w:ascii="Arial Narrow" w:hAnsi="Arial Narrow"/>
                <w:sz w:val="20"/>
              </w:rPr>
              <w:t xml:space="preserve"> or other inherited metabolic diseases.</w:t>
            </w:r>
          </w:p>
        </w:tc>
      </w:tr>
      <w:tr w:rsidR="000A3C7D" w:rsidRPr="00E37ACD" w:rsidTr="00283DC5">
        <w:trPr>
          <w:gridAfter w:val="1"/>
          <w:wAfter w:w="377" w:type="dxa"/>
          <w:cantSplit/>
          <w:trHeight w:val="360"/>
        </w:trPr>
        <w:tc>
          <w:tcPr>
            <w:tcW w:w="2126" w:type="dxa"/>
            <w:tcBorders>
              <w:top w:val="single" w:sz="4" w:space="0" w:color="auto"/>
              <w:left w:val="single" w:sz="4" w:space="0" w:color="auto"/>
              <w:bottom w:val="single" w:sz="4" w:space="0" w:color="auto"/>
              <w:right w:val="single" w:sz="4" w:space="0" w:color="auto"/>
            </w:tcBorders>
          </w:tcPr>
          <w:p w:rsidR="000A3C7D" w:rsidRPr="00E37ACD" w:rsidRDefault="000A3C7D" w:rsidP="002F42DF">
            <w:pPr>
              <w:rPr>
                <w:rFonts w:ascii="Arial Narrow" w:hAnsi="Arial Narrow"/>
                <w:b/>
                <w:sz w:val="20"/>
              </w:rPr>
            </w:pPr>
            <w:r w:rsidRPr="00E37ACD">
              <w:rPr>
                <w:rFonts w:ascii="Arial Narrow" w:hAnsi="Arial Narrow"/>
                <w:b/>
                <w:sz w:val="20"/>
              </w:rPr>
              <w:t>Clinical criteria:</w:t>
            </w:r>
          </w:p>
          <w:p w:rsidR="000A3C7D" w:rsidRPr="00E37ACD" w:rsidRDefault="000A3C7D" w:rsidP="002F42DF">
            <w:pPr>
              <w:rPr>
                <w:rFonts w:ascii="Arial Narrow" w:hAnsi="Arial Narrow"/>
                <w:sz w:val="20"/>
              </w:rPr>
            </w:pPr>
          </w:p>
        </w:tc>
        <w:tc>
          <w:tcPr>
            <w:tcW w:w="6379" w:type="dxa"/>
            <w:gridSpan w:val="7"/>
            <w:tcBorders>
              <w:top w:val="single" w:sz="4" w:space="0" w:color="auto"/>
              <w:left w:val="single" w:sz="4" w:space="0" w:color="auto"/>
              <w:bottom w:val="single" w:sz="4" w:space="0" w:color="auto"/>
              <w:right w:val="single" w:sz="4" w:space="0" w:color="auto"/>
            </w:tcBorders>
          </w:tcPr>
          <w:p w:rsidR="000A3C7D" w:rsidRPr="00E37ACD" w:rsidRDefault="000A3C7D" w:rsidP="002F42DF">
            <w:pPr>
              <w:rPr>
                <w:rFonts w:ascii="Arial Narrow" w:hAnsi="Arial Narrow"/>
                <w:sz w:val="20"/>
              </w:rPr>
            </w:pPr>
            <w:r w:rsidRPr="00E37ACD">
              <w:rPr>
                <w:rFonts w:ascii="Arial Narrow" w:hAnsi="Arial Narrow"/>
                <w:sz w:val="20"/>
              </w:rPr>
              <w:t xml:space="preserve">Patient must have a confirmed clinical diagnosis of </w:t>
            </w:r>
            <w:r w:rsidRPr="00E37ACD">
              <w:rPr>
                <w:rFonts w:ascii="Arial Narrow" w:hAnsi="Arial Narrow"/>
                <w:strike/>
                <w:sz w:val="20"/>
              </w:rPr>
              <w:t>HT-1</w:t>
            </w:r>
            <w:r w:rsidRPr="00E37ACD">
              <w:rPr>
                <w:rFonts w:ascii="Arial Narrow" w:hAnsi="Arial Narrow"/>
                <w:sz w:val="20"/>
              </w:rPr>
              <w:t xml:space="preserve"> </w:t>
            </w:r>
            <w:proofErr w:type="spellStart"/>
            <w:r w:rsidRPr="00E37ACD">
              <w:rPr>
                <w:rFonts w:ascii="Arial Narrow" w:hAnsi="Arial Narrow"/>
                <w:i/>
                <w:sz w:val="20"/>
              </w:rPr>
              <w:t>tyrosinaemia</w:t>
            </w:r>
            <w:proofErr w:type="spellEnd"/>
            <w:r w:rsidRPr="00E37ACD">
              <w:rPr>
                <w:rFonts w:ascii="Arial Narrow" w:hAnsi="Arial Narrow"/>
                <w:i/>
                <w:sz w:val="20"/>
              </w:rPr>
              <w:t xml:space="preserve"> type I</w:t>
            </w:r>
            <w:r w:rsidRPr="00E37ACD">
              <w:rPr>
                <w:rFonts w:ascii="Arial Narrow" w:hAnsi="Arial Narrow"/>
                <w:sz w:val="20"/>
              </w:rPr>
              <w:t xml:space="preserve"> based on clinical suspicion and detection of </w:t>
            </w:r>
            <w:proofErr w:type="spellStart"/>
            <w:r w:rsidRPr="00E37ACD">
              <w:rPr>
                <w:rFonts w:ascii="Arial Narrow" w:hAnsi="Arial Narrow"/>
                <w:sz w:val="20"/>
              </w:rPr>
              <w:t>succinylacetone</w:t>
            </w:r>
            <w:proofErr w:type="spellEnd"/>
            <w:r w:rsidRPr="00E37ACD">
              <w:rPr>
                <w:rFonts w:ascii="Arial Narrow" w:hAnsi="Arial Narrow"/>
                <w:sz w:val="20"/>
              </w:rPr>
              <w:t xml:space="preserve"> in the urine by a </w:t>
            </w:r>
            <w:r w:rsidRPr="00E37ACD">
              <w:rPr>
                <w:rFonts w:ascii="Arial Narrow" w:hAnsi="Arial Narrow"/>
                <w:strike/>
                <w:sz w:val="20"/>
              </w:rPr>
              <w:t>NATA</w:t>
            </w:r>
            <w:r w:rsidRPr="00E37ACD">
              <w:rPr>
                <w:rFonts w:ascii="Arial Narrow" w:hAnsi="Arial Narrow"/>
                <w:i/>
                <w:sz w:val="20"/>
              </w:rPr>
              <w:t xml:space="preserve"> National Association of Testing Authorities</w:t>
            </w:r>
            <w:r w:rsidRPr="00E37ACD">
              <w:rPr>
                <w:rFonts w:ascii="Arial Narrow" w:hAnsi="Arial Narrow"/>
                <w:sz w:val="20"/>
              </w:rPr>
              <w:t xml:space="preserve"> accredited laboratory. </w:t>
            </w:r>
          </w:p>
          <w:p w:rsidR="000A3C7D" w:rsidRPr="00E37ACD" w:rsidRDefault="000A3C7D" w:rsidP="002F42DF">
            <w:pPr>
              <w:rPr>
                <w:rFonts w:ascii="Arial Narrow" w:hAnsi="Arial Narrow"/>
                <w:i/>
                <w:sz w:val="20"/>
              </w:rPr>
            </w:pPr>
            <w:r w:rsidRPr="00E37ACD">
              <w:rPr>
                <w:rFonts w:ascii="Arial Narrow" w:hAnsi="Arial Narrow"/>
                <w:i/>
                <w:sz w:val="20"/>
              </w:rPr>
              <w:t>AND</w:t>
            </w:r>
          </w:p>
          <w:p w:rsidR="000A3C7D" w:rsidRPr="00E37ACD" w:rsidRDefault="000A3C7D" w:rsidP="002F42DF">
            <w:pPr>
              <w:rPr>
                <w:rFonts w:ascii="Arial Narrow" w:hAnsi="Arial Narrow"/>
                <w:sz w:val="20"/>
              </w:rPr>
            </w:pPr>
            <w:r w:rsidRPr="00E37ACD">
              <w:rPr>
                <w:rFonts w:ascii="Arial Narrow" w:hAnsi="Arial Narrow"/>
                <w:sz w:val="20"/>
              </w:rPr>
              <w:t xml:space="preserve">Patient must not have had a </w:t>
            </w:r>
            <w:r w:rsidRPr="00E37ACD">
              <w:rPr>
                <w:rFonts w:ascii="Arial Narrow" w:hAnsi="Arial Narrow"/>
                <w:strike/>
                <w:sz w:val="20"/>
              </w:rPr>
              <w:t>successful</w:t>
            </w:r>
            <w:r w:rsidRPr="00E37ACD">
              <w:rPr>
                <w:rFonts w:ascii="Arial Narrow" w:hAnsi="Arial Narrow"/>
                <w:sz w:val="20"/>
              </w:rPr>
              <w:t xml:space="preserve"> liver transplant.</w:t>
            </w:r>
          </w:p>
          <w:p w:rsidR="000A3C7D" w:rsidRPr="00E37ACD" w:rsidRDefault="000A3C7D" w:rsidP="002F42DF">
            <w:pPr>
              <w:rPr>
                <w:rFonts w:ascii="Arial Narrow" w:hAnsi="Arial Narrow"/>
                <w:i/>
                <w:sz w:val="20"/>
              </w:rPr>
            </w:pPr>
            <w:r w:rsidRPr="00E37ACD">
              <w:rPr>
                <w:rFonts w:ascii="Arial Narrow" w:hAnsi="Arial Narrow"/>
                <w:i/>
                <w:sz w:val="20"/>
              </w:rPr>
              <w:t>AND</w:t>
            </w:r>
          </w:p>
          <w:p w:rsidR="000A3C7D" w:rsidRPr="00E37ACD" w:rsidRDefault="000A3C7D" w:rsidP="002F42DF">
            <w:pPr>
              <w:rPr>
                <w:rFonts w:ascii="Arial Narrow" w:hAnsi="Arial Narrow"/>
                <w:sz w:val="20"/>
              </w:rPr>
            </w:pPr>
            <w:r w:rsidRPr="00E37ACD">
              <w:rPr>
                <w:rFonts w:ascii="Arial Narrow" w:hAnsi="Arial Narrow"/>
                <w:i/>
                <w:sz w:val="20"/>
              </w:rPr>
              <w:t>The</w:t>
            </w:r>
            <w:r w:rsidRPr="00E37ACD">
              <w:rPr>
                <w:rFonts w:ascii="Arial Narrow" w:hAnsi="Arial Narrow"/>
                <w:sz w:val="20"/>
              </w:rPr>
              <w:t xml:space="preserve"> treatment must be administered in combination with dietary restriction of tyrosine and phenylalanine.</w:t>
            </w:r>
          </w:p>
        </w:tc>
      </w:tr>
      <w:tr w:rsidR="000A3C7D" w:rsidRPr="00E37ACD" w:rsidTr="00283DC5">
        <w:trPr>
          <w:gridAfter w:val="1"/>
          <w:wAfter w:w="377" w:type="dxa"/>
          <w:cantSplit/>
          <w:trHeight w:val="360"/>
        </w:trPr>
        <w:tc>
          <w:tcPr>
            <w:tcW w:w="2126" w:type="dxa"/>
            <w:tcBorders>
              <w:top w:val="single" w:sz="4" w:space="0" w:color="auto"/>
              <w:left w:val="single" w:sz="4" w:space="0" w:color="auto"/>
              <w:bottom w:val="single" w:sz="4" w:space="0" w:color="auto"/>
              <w:right w:val="single" w:sz="4" w:space="0" w:color="auto"/>
            </w:tcBorders>
          </w:tcPr>
          <w:p w:rsidR="000A3C7D" w:rsidRPr="00E37ACD" w:rsidRDefault="000A3C7D" w:rsidP="002F42DF">
            <w:pPr>
              <w:rPr>
                <w:rFonts w:ascii="Arial Narrow" w:hAnsi="Arial Narrow"/>
                <w:b/>
                <w:sz w:val="20"/>
              </w:rPr>
            </w:pPr>
            <w:r w:rsidRPr="00E37ACD">
              <w:rPr>
                <w:rFonts w:ascii="Arial Narrow" w:hAnsi="Arial Narrow"/>
                <w:b/>
                <w:sz w:val="20"/>
              </w:rPr>
              <w:t>Administrative Advice</w:t>
            </w:r>
          </w:p>
        </w:tc>
        <w:tc>
          <w:tcPr>
            <w:tcW w:w="6379" w:type="dxa"/>
            <w:gridSpan w:val="7"/>
            <w:tcBorders>
              <w:top w:val="single" w:sz="4" w:space="0" w:color="auto"/>
              <w:left w:val="single" w:sz="4" w:space="0" w:color="auto"/>
              <w:bottom w:val="single" w:sz="4" w:space="0" w:color="auto"/>
              <w:right w:val="single" w:sz="4" w:space="0" w:color="auto"/>
            </w:tcBorders>
          </w:tcPr>
          <w:p w:rsidR="000A3C7D" w:rsidRPr="00E37ACD" w:rsidRDefault="000A3C7D" w:rsidP="002F42DF">
            <w:pPr>
              <w:rPr>
                <w:rFonts w:ascii="Arial Narrow" w:hAnsi="Arial Narrow"/>
                <w:sz w:val="20"/>
              </w:rPr>
            </w:pPr>
            <w:r w:rsidRPr="00E37ACD">
              <w:rPr>
                <w:rFonts w:ascii="Arial Narrow" w:hAnsi="Arial Narrow"/>
                <w:sz w:val="20"/>
              </w:rPr>
              <w:t xml:space="preserve">Increased maximum quantities may be requested from </w:t>
            </w:r>
            <w:r w:rsidRPr="00E37ACD">
              <w:rPr>
                <w:rFonts w:ascii="Arial Narrow" w:hAnsi="Arial Narrow"/>
                <w:strike/>
                <w:sz w:val="20"/>
              </w:rPr>
              <w:t>Medicare Australia</w:t>
            </w:r>
            <w:r w:rsidRPr="00E37ACD">
              <w:rPr>
                <w:rFonts w:ascii="Arial Narrow" w:hAnsi="Arial Narrow"/>
                <w:sz w:val="20"/>
              </w:rPr>
              <w:t xml:space="preserve"> </w:t>
            </w:r>
            <w:r w:rsidRPr="00E37ACD">
              <w:rPr>
                <w:rFonts w:ascii="Arial Narrow" w:hAnsi="Arial Narrow"/>
                <w:i/>
                <w:sz w:val="20"/>
              </w:rPr>
              <w:t>the Department of Human Services</w:t>
            </w:r>
            <w:r w:rsidRPr="00E37ACD">
              <w:rPr>
                <w:rFonts w:ascii="Arial Narrow" w:hAnsi="Arial Narrow"/>
                <w:sz w:val="20"/>
              </w:rPr>
              <w:t xml:space="preserve"> and should be based on a dosing regimen of 1 to 2 mg/kg/day.</w:t>
            </w:r>
          </w:p>
        </w:tc>
      </w:tr>
    </w:tbl>
    <w:p w:rsidR="000A3C7D" w:rsidRPr="00E37ACD" w:rsidRDefault="000A3C7D" w:rsidP="004B1CB4"/>
    <w:p w:rsidR="000A3C7D" w:rsidRPr="00E37ACD" w:rsidRDefault="000A3C7D" w:rsidP="00E02E77">
      <w:pPr>
        <w:pStyle w:val="ListParagraph"/>
        <w:widowControl/>
        <w:numPr>
          <w:ilvl w:val="1"/>
          <w:numId w:val="3"/>
        </w:numPr>
      </w:pPr>
      <w:r w:rsidRPr="00E37ACD">
        <w:t>The Pre-Sub-Committee Response (PSCR) not</w:t>
      </w:r>
      <w:r>
        <w:t>ed</w:t>
      </w:r>
      <w:r w:rsidRPr="00E37ACD">
        <w:t xml:space="preserve"> the issues raised regarding the proposed restriction in the Commentary and states that the sponsor will work with the Restrictions Working Group to refine the wording of the restriction.</w:t>
      </w:r>
    </w:p>
    <w:p w:rsidR="000A3C7D" w:rsidRPr="00E37ACD" w:rsidRDefault="000A3C7D" w:rsidP="005F464C">
      <w:pPr>
        <w:pStyle w:val="PBACHeading1"/>
        <w:numPr>
          <w:ilvl w:val="0"/>
          <w:numId w:val="0"/>
        </w:numPr>
        <w:ind w:left="720" w:hanging="720"/>
      </w:pPr>
    </w:p>
    <w:p w:rsidR="000A3C7D" w:rsidRPr="00E37ACD" w:rsidRDefault="000A3C7D" w:rsidP="00F31E6E">
      <w:pPr>
        <w:pStyle w:val="ListParagraph"/>
        <w:widowControl/>
        <w:numPr>
          <w:ilvl w:val="1"/>
          <w:numId w:val="3"/>
        </w:numPr>
      </w:pPr>
      <w:r w:rsidRPr="00E37ACD">
        <w:t xml:space="preserve">The PSCR clarified that </w:t>
      </w:r>
      <w:proofErr w:type="spellStart"/>
      <w:r w:rsidRPr="00E37ACD">
        <w:t>succinylacetone</w:t>
      </w:r>
      <w:proofErr w:type="spellEnd"/>
      <w:r w:rsidRPr="00E37ACD">
        <w:t xml:space="preserve"> is not detectable in patients who do not have HT-1 and therefore any level of detectable </w:t>
      </w:r>
      <w:proofErr w:type="spellStart"/>
      <w:r w:rsidRPr="00E37ACD">
        <w:t>succinylacetone</w:t>
      </w:r>
      <w:proofErr w:type="spellEnd"/>
      <w:r w:rsidRPr="00E37ACD">
        <w:t xml:space="preserve"> may be considered the result of </w:t>
      </w:r>
      <w:proofErr w:type="spellStart"/>
      <w:r w:rsidRPr="00E37ACD">
        <w:t>fumarylacetoacetate</w:t>
      </w:r>
      <w:proofErr w:type="spellEnd"/>
      <w:r w:rsidRPr="00E37ACD">
        <w:t xml:space="preserve"> deficiency and diagnostic of HT-1.</w:t>
      </w:r>
    </w:p>
    <w:p w:rsidR="000A3C7D" w:rsidRPr="00E37ACD" w:rsidRDefault="000A3C7D" w:rsidP="00467FB2">
      <w:pPr>
        <w:pStyle w:val="ListParagraph"/>
        <w:widowControl/>
      </w:pPr>
    </w:p>
    <w:p w:rsidR="000A3C7D" w:rsidRPr="00E37ACD" w:rsidRDefault="000A3C7D" w:rsidP="00F31E6E">
      <w:pPr>
        <w:pStyle w:val="ListParagraph"/>
        <w:widowControl/>
        <w:numPr>
          <w:ilvl w:val="1"/>
          <w:numId w:val="3"/>
        </w:numPr>
      </w:pPr>
      <w:r w:rsidRPr="00E37ACD">
        <w:t xml:space="preserve">The ESC considered that the meaning of a “successful” liver transplant is unclear in the wording of the clinical criteria of the restriction. Presumably it means that the new liver is functioning and produces </w:t>
      </w:r>
      <w:proofErr w:type="spellStart"/>
      <w:r w:rsidRPr="00E37ACD">
        <w:t>fumarylacetoacetate</w:t>
      </w:r>
      <w:proofErr w:type="spellEnd"/>
      <w:r w:rsidRPr="00E37ACD">
        <w:t xml:space="preserve"> hydrolase. Therefore, the patient may still benefit from treatment with </w:t>
      </w:r>
      <w:proofErr w:type="spellStart"/>
      <w:r w:rsidRPr="00E37ACD">
        <w:t>nitisinone</w:t>
      </w:r>
      <w:proofErr w:type="spellEnd"/>
      <w:r w:rsidRPr="00E37ACD">
        <w:t xml:space="preserve"> if a liver transplant is ‘unsuccessful’. </w:t>
      </w:r>
    </w:p>
    <w:p w:rsidR="000A3C7D" w:rsidRPr="00283DC5" w:rsidRDefault="000A3C7D" w:rsidP="00467FB2">
      <w:pPr>
        <w:widowControl/>
      </w:pPr>
    </w:p>
    <w:p w:rsidR="000A3C7D" w:rsidRPr="00E37ACD" w:rsidRDefault="000A3C7D" w:rsidP="00F31E6E">
      <w:pPr>
        <w:pStyle w:val="ListParagraph"/>
        <w:widowControl/>
        <w:numPr>
          <w:ilvl w:val="1"/>
          <w:numId w:val="3"/>
        </w:numPr>
      </w:pPr>
      <w:r w:rsidRPr="00E37ACD">
        <w:t xml:space="preserve">Listing is requested based on cost-effectiveness versus standard medical management without </w:t>
      </w:r>
      <w:proofErr w:type="spellStart"/>
      <w:r w:rsidRPr="00E37ACD">
        <w:t>nitisinone</w:t>
      </w:r>
      <w:proofErr w:type="spellEnd"/>
      <w:r w:rsidRPr="00E37ACD">
        <w:t xml:space="preserve">. </w:t>
      </w:r>
    </w:p>
    <w:p w:rsidR="000A3C7D" w:rsidRPr="00E37ACD" w:rsidRDefault="000A3C7D" w:rsidP="004B1CB4"/>
    <w:p w:rsidR="000A3C7D" w:rsidRPr="00E37ACD" w:rsidRDefault="000A3C7D" w:rsidP="005F6928">
      <w:pPr>
        <w:pStyle w:val="ListParagraph"/>
        <w:ind w:left="709"/>
        <w:rPr>
          <w:i/>
          <w:szCs w:val="22"/>
        </w:rPr>
      </w:pPr>
      <w:r w:rsidRPr="00E37ACD">
        <w:rPr>
          <w:i/>
          <w:szCs w:val="22"/>
        </w:rPr>
        <w:t>For more detail on PBAC’s view, see section 7 “PBAC outcome”</w:t>
      </w:r>
    </w:p>
    <w:p w:rsidR="000A3C7D" w:rsidRDefault="000A3C7D" w:rsidP="004B1CB4"/>
    <w:p w:rsidR="000A3C7D" w:rsidRPr="00E37ACD" w:rsidRDefault="000A3C7D" w:rsidP="004B1CB4"/>
    <w:p w:rsidR="000A3C7D" w:rsidRPr="00E37ACD" w:rsidRDefault="000A3C7D" w:rsidP="00BD6CF3">
      <w:pPr>
        <w:pStyle w:val="PBACHeading1"/>
      </w:pPr>
      <w:bookmarkStart w:id="4" w:name="_Toc398024512"/>
      <w:r w:rsidRPr="00E37ACD">
        <w:t>Background</w:t>
      </w:r>
      <w:bookmarkEnd w:id="4"/>
    </w:p>
    <w:p w:rsidR="000A3C7D" w:rsidRPr="00E37ACD" w:rsidRDefault="000A3C7D" w:rsidP="00B60939">
      <w:pPr>
        <w:rPr>
          <w:szCs w:val="22"/>
        </w:rPr>
      </w:pPr>
    </w:p>
    <w:p w:rsidR="000A3C7D" w:rsidRPr="00E37ACD" w:rsidRDefault="000A3C7D" w:rsidP="00F31E6E">
      <w:pPr>
        <w:pStyle w:val="ListParagraph"/>
        <w:widowControl/>
        <w:numPr>
          <w:ilvl w:val="1"/>
          <w:numId w:val="3"/>
        </w:numPr>
        <w:rPr>
          <w:szCs w:val="22"/>
        </w:rPr>
      </w:pPr>
      <w:proofErr w:type="spellStart"/>
      <w:r w:rsidRPr="00E37ACD">
        <w:rPr>
          <w:szCs w:val="22"/>
        </w:rPr>
        <w:t>Nitisinone</w:t>
      </w:r>
      <w:proofErr w:type="spellEnd"/>
      <w:r w:rsidRPr="00E37ACD">
        <w:rPr>
          <w:szCs w:val="22"/>
        </w:rPr>
        <w:t xml:space="preserve"> was TGA registered on 15 October 2010 for </w:t>
      </w:r>
      <w:r w:rsidRPr="00E37ACD">
        <w:t>the treatment of patients with HT-1 in combination with dietary restriction of tyrosine and phenylalanine</w:t>
      </w:r>
      <w:r w:rsidRPr="00E37ACD">
        <w:rPr>
          <w:szCs w:val="22"/>
        </w:rPr>
        <w:t>. It is currently supplied through h</w:t>
      </w:r>
      <w:r>
        <w:rPr>
          <w:szCs w:val="22"/>
        </w:rPr>
        <w:t>ospitals with specialised units</w:t>
      </w:r>
      <w:r w:rsidRPr="00E37ACD">
        <w:rPr>
          <w:szCs w:val="22"/>
        </w:rPr>
        <w:t xml:space="preserve">. </w:t>
      </w:r>
    </w:p>
    <w:p w:rsidR="000A3C7D" w:rsidRPr="00E37ACD" w:rsidRDefault="000A3C7D" w:rsidP="00B67A95">
      <w:pPr>
        <w:pStyle w:val="ListParagraph"/>
        <w:widowControl/>
        <w:rPr>
          <w:szCs w:val="22"/>
        </w:rPr>
      </w:pPr>
    </w:p>
    <w:p w:rsidR="000A3C7D" w:rsidRPr="00E37ACD" w:rsidRDefault="000A3C7D" w:rsidP="00F31E6E">
      <w:pPr>
        <w:pStyle w:val="ListParagraph"/>
        <w:widowControl/>
        <w:numPr>
          <w:ilvl w:val="1"/>
          <w:numId w:val="3"/>
        </w:numPr>
        <w:rPr>
          <w:szCs w:val="22"/>
        </w:rPr>
      </w:pPr>
      <w:proofErr w:type="spellStart"/>
      <w:r w:rsidRPr="00E37ACD">
        <w:rPr>
          <w:szCs w:val="22"/>
        </w:rPr>
        <w:t>Nitisinone</w:t>
      </w:r>
      <w:proofErr w:type="spellEnd"/>
      <w:r w:rsidRPr="00E37ACD">
        <w:rPr>
          <w:szCs w:val="22"/>
        </w:rPr>
        <w:t xml:space="preserve"> ha</w:t>
      </w:r>
      <w:r>
        <w:rPr>
          <w:szCs w:val="22"/>
        </w:rPr>
        <w:t>d</w:t>
      </w:r>
      <w:r w:rsidRPr="00E37ACD">
        <w:rPr>
          <w:szCs w:val="22"/>
        </w:rPr>
        <w:t xml:space="preserve"> not been considered by the PBAC previously.</w:t>
      </w:r>
    </w:p>
    <w:p w:rsidR="000A3C7D" w:rsidRDefault="000A3C7D" w:rsidP="004B1CB4"/>
    <w:p w:rsidR="000A3C7D" w:rsidRPr="00597194" w:rsidRDefault="000A3C7D" w:rsidP="004B1CB4"/>
    <w:p w:rsidR="000A3C7D" w:rsidRPr="00597194" w:rsidRDefault="000A3C7D" w:rsidP="00283DC5">
      <w:pPr>
        <w:pStyle w:val="PBACHeading1"/>
      </w:pPr>
      <w:bookmarkStart w:id="5" w:name="_Toc398024513"/>
      <w:r w:rsidRPr="00597194">
        <w:t>Clinical place for the proposed therapy</w:t>
      </w:r>
      <w:bookmarkEnd w:id="5"/>
    </w:p>
    <w:p w:rsidR="000A3C7D" w:rsidRPr="00597194" w:rsidRDefault="000A3C7D" w:rsidP="00283DC5"/>
    <w:p w:rsidR="000A3C7D" w:rsidRPr="00E37ACD" w:rsidRDefault="000A3C7D" w:rsidP="00E02E77">
      <w:pPr>
        <w:pStyle w:val="ListParagraph"/>
        <w:widowControl/>
        <w:numPr>
          <w:ilvl w:val="1"/>
          <w:numId w:val="3"/>
        </w:numPr>
      </w:pPr>
      <w:r w:rsidRPr="00E37ACD">
        <w:t xml:space="preserve">HT-1 is a rare autosomal recessive inherited disease. The enzymatic defect in HT-1 is reduced activity of </w:t>
      </w:r>
      <w:proofErr w:type="spellStart"/>
      <w:r w:rsidRPr="00E37ACD">
        <w:t>fumarylacetoacetate</w:t>
      </w:r>
      <w:proofErr w:type="spellEnd"/>
      <w:r w:rsidRPr="00E37ACD">
        <w:t xml:space="preserve"> hydrolase</w:t>
      </w:r>
      <w:r w:rsidRPr="00E37ACD" w:rsidDel="00CF1BCB">
        <w:t xml:space="preserve"> </w:t>
      </w:r>
      <w:r w:rsidRPr="00E37ACD">
        <w:t>in the liver, the last enzyme in the tyrosine degradation pathway. As a consequence, toxic metabolites upstream of the enzymatic block accumulate. The accumulation starts at birth and the severity of the phenotype is reflected in the age of onset of symptoms. The disease is characterised by severe liver dysfunction, impaired coagulation, painful neurological crises, renal tubular dysfunction and a high risk of hepatocellular carcinoma (HCC).</w:t>
      </w:r>
    </w:p>
    <w:p w:rsidR="000A3C7D" w:rsidRPr="00E37ACD" w:rsidRDefault="000A3C7D" w:rsidP="00BF0357">
      <w:pPr>
        <w:pStyle w:val="ListParagraph"/>
        <w:widowControl/>
        <w:rPr>
          <w:szCs w:val="22"/>
        </w:rPr>
      </w:pPr>
    </w:p>
    <w:p w:rsidR="000A3C7D" w:rsidRPr="00E37ACD" w:rsidRDefault="000A3C7D" w:rsidP="00F31E6E">
      <w:pPr>
        <w:pStyle w:val="ListParagraph"/>
        <w:widowControl/>
        <w:numPr>
          <w:ilvl w:val="1"/>
          <w:numId w:val="3"/>
        </w:numPr>
      </w:pPr>
      <w:r w:rsidRPr="00E37ACD">
        <w:t xml:space="preserve">HT-1 may be detected by neonatal screening using tyrosine or </w:t>
      </w:r>
      <w:proofErr w:type="spellStart"/>
      <w:r w:rsidRPr="00E37ACD">
        <w:t>succinylacetone</w:t>
      </w:r>
      <w:proofErr w:type="spellEnd"/>
      <w:r w:rsidRPr="00E37ACD">
        <w:t xml:space="preserve"> as the marker. </w:t>
      </w:r>
      <w:proofErr w:type="spellStart"/>
      <w:r w:rsidRPr="00E37ACD">
        <w:t>Succinylacetone</w:t>
      </w:r>
      <w:proofErr w:type="spellEnd"/>
      <w:r w:rsidRPr="00E37ACD">
        <w:t xml:space="preserve"> is a specific and sensitive marker for HT-1. An elevated tyrosine level is neither sensitive nor specific. Currently neonatal screening based on elevated tyrosine levels is funded by all Australian states and territories. </w:t>
      </w:r>
      <w:proofErr w:type="spellStart"/>
      <w:r w:rsidRPr="00E37ACD">
        <w:t>Succinylacetone</w:t>
      </w:r>
      <w:proofErr w:type="spellEnd"/>
      <w:r w:rsidRPr="00E37ACD">
        <w:t xml:space="preserve"> screening is reserved for second line confirmation following diagnosis based on presentation with clinical symptoms, elevated tyrosine and suspicion of HT</w:t>
      </w:r>
      <w:r w:rsidRPr="00E37ACD">
        <w:noBreakHyphen/>
        <w:t xml:space="preserve">1. Patients detected by screening start </w:t>
      </w:r>
      <w:proofErr w:type="spellStart"/>
      <w:r w:rsidRPr="00E37ACD">
        <w:t>nitisinone</w:t>
      </w:r>
      <w:proofErr w:type="spellEnd"/>
      <w:r w:rsidRPr="00E37ACD">
        <w:t xml:space="preserve"> treatment prior to the development of clinical symptoms, and potentially irreversible liver damage.</w:t>
      </w:r>
    </w:p>
    <w:p w:rsidR="000A3C7D" w:rsidRPr="00E37ACD" w:rsidRDefault="000A3C7D" w:rsidP="00894489">
      <w:pPr>
        <w:widowControl/>
        <w:rPr>
          <w:szCs w:val="22"/>
        </w:rPr>
      </w:pPr>
    </w:p>
    <w:p w:rsidR="000A3C7D" w:rsidRPr="00E37ACD" w:rsidRDefault="000A3C7D" w:rsidP="00F31E6E">
      <w:pPr>
        <w:pStyle w:val="ListParagraph"/>
        <w:widowControl/>
        <w:numPr>
          <w:ilvl w:val="1"/>
          <w:numId w:val="3"/>
        </w:numPr>
        <w:rPr>
          <w:szCs w:val="22"/>
        </w:rPr>
      </w:pPr>
      <w:r w:rsidRPr="00E37ACD">
        <w:t xml:space="preserve">The treatment of HT-1 includes dietary restriction of tyrosine and phenylalanine, and in the case of liver failure or malignancy, liver transplantation. </w:t>
      </w:r>
      <w:proofErr w:type="spellStart"/>
      <w:r w:rsidRPr="00E37ACD">
        <w:t>Nitisinone</w:t>
      </w:r>
      <w:proofErr w:type="spellEnd"/>
      <w:r w:rsidRPr="00E37ACD">
        <w:t xml:space="preserve"> is added to </w:t>
      </w:r>
      <w:r w:rsidRPr="00E37ACD">
        <w:lastRenderedPageBreak/>
        <w:t xml:space="preserve">the restricted diet. The Australasian Society for Inborn Errors of Metabolism advised that there are currently 19 HT-1 patients in Australia and all are receiving treatment with </w:t>
      </w:r>
      <w:proofErr w:type="spellStart"/>
      <w:r w:rsidRPr="00E37ACD">
        <w:t>nitisinone</w:t>
      </w:r>
      <w:proofErr w:type="spellEnd"/>
      <w:r w:rsidRPr="00E37ACD">
        <w:t xml:space="preserve"> through hospitals. Of these patients, 4 (21%) were detected by screening (2 because of siblings with HT-1).</w:t>
      </w:r>
    </w:p>
    <w:p w:rsidR="000A3C7D" w:rsidRPr="00E37ACD" w:rsidRDefault="000A3C7D" w:rsidP="00555A32">
      <w:pPr>
        <w:pStyle w:val="ListParagraph"/>
        <w:rPr>
          <w:szCs w:val="22"/>
        </w:rPr>
      </w:pPr>
    </w:p>
    <w:p w:rsidR="000A3C7D" w:rsidRPr="00E37ACD" w:rsidRDefault="000A3C7D" w:rsidP="00F31E6E">
      <w:pPr>
        <w:pStyle w:val="ListParagraph"/>
        <w:widowControl/>
        <w:numPr>
          <w:ilvl w:val="1"/>
          <w:numId w:val="3"/>
        </w:numPr>
      </w:pPr>
      <w:r>
        <w:rPr>
          <w:szCs w:val="22"/>
        </w:rPr>
        <w:t>The</w:t>
      </w:r>
      <w:r w:rsidRPr="00E37ACD">
        <w:rPr>
          <w:szCs w:val="22"/>
        </w:rPr>
        <w:t xml:space="preserve"> letter from the </w:t>
      </w:r>
      <w:r w:rsidRPr="00E37ACD">
        <w:t>Australasian Society for Inborn Errors of Metabolism stated ‘newborn screening misses most cases of HT-1 currently, but an improved method for detecting the disorder has been published….</w:t>
      </w:r>
      <w:r w:rsidRPr="00E37ACD">
        <w:rPr>
          <w:rFonts w:ascii="Times New Roman" w:hAnsi="Times New Roman" w:cs="Times New Roman"/>
          <w:sz w:val="24"/>
          <w:szCs w:val="24"/>
        </w:rPr>
        <w:t xml:space="preserve"> </w:t>
      </w:r>
      <w:r w:rsidRPr="00E37ACD">
        <w:t>Median age of diagnosis was 1.5</w:t>
      </w:r>
      <w:r>
        <w:t xml:space="preserve"> </w:t>
      </w:r>
      <w:r w:rsidRPr="00E37ACD">
        <w:t>m</w:t>
      </w:r>
      <w:r>
        <w:t>on</w:t>
      </w:r>
      <w:r w:rsidRPr="00E37ACD">
        <w:t>ths (range 0 to 18</w:t>
      </w:r>
      <w:r>
        <w:t xml:space="preserve"> </w:t>
      </w:r>
      <w:r w:rsidRPr="00E37ACD">
        <w:t>m</w:t>
      </w:r>
      <w:r>
        <w:t>on</w:t>
      </w:r>
      <w:r w:rsidRPr="00E37ACD">
        <w:t>ths). Excluding those diagnosed by newborn screening or a previous affecting sibling</w:t>
      </w:r>
      <w:r>
        <w:t>, median age at diagnosis was 3 </w:t>
      </w:r>
      <w:r w:rsidRPr="00E37ACD">
        <w:t>months….</w:t>
      </w:r>
      <w:r w:rsidRPr="00E37ACD">
        <w:rPr>
          <w:rFonts w:ascii="Times New Roman" w:hAnsi="Times New Roman" w:cs="Times New Roman"/>
          <w:sz w:val="24"/>
          <w:szCs w:val="24"/>
        </w:rPr>
        <w:t xml:space="preserve"> </w:t>
      </w:r>
      <w:r w:rsidRPr="00E37ACD">
        <w:t>There are no patients with HT-1 in adult metabolic services in Australia…</w:t>
      </w:r>
      <w:r w:rsidRPr="00E37ACD">
        <w:rPr>
          <w:rFonts w:ascii="Times New Roman" w:hAnsi="Times New Roman" w:cs="Times New Roman"/>
          <w:sz w:val="24"/>
          <w:szCs w:val="24"/>
        </w:rPr>
        <w:t xml:space="preserve"> </w:t>
      </w:r>
      <w:r w:rsidRPr="00E37ACD">
        <w:t xml:space="preserve">It is not possible to comment on lifelong therapy with </w:t>
      </w:r>
      <w:proofErr w:type="spellStart"/>
      <w:r w:rsidRPr="00E37ACD">
        <w:t>nitisinone</w:t>
      </w:r>
      <w:proofErr w:type="spellEnd"/>
      <w:r w:rsidRPr="00E37ACD">
        <w:t xml:space="preserve"> as the age of the Australian patients treated with </w:t>
      </w:r>
      <w:proofErr w:type="spellStart"/>
      <w:r w:rsidRPr="00E37ACD">
        <w:t>nitisinone</w:t>
      </w:r>
      <w:proofErr w:type="spellEnd"/>
      <w:r w:rsidRPr="00E37ACD">
        <w:t xml:space="preserve"> is relatively young. The medi</w:t>
      </w:r>
      <w:r>
        <w:t>an age of the patients is 7.2 years</w:t>
      </w:r>
      <w:r w:rsidRPr="00E37ACD">
        <w:t xml:space="preserve"> (range 1-16</w:t>
      </w:r>
      <w:r>
        <w:t xml:space="preserve"> </w:t>
      </w:r>
      <w:r w:rsidRPr="00E37ACD">
        <w:t>y</w:t>
      </w:r>
      <w:r>
        <w:t>ea</w:t>
      </w:r>
      <w:r w:rsidRPr="00E37ACD">
        <w:t>rs) and the duration of treatment is a median of 6.6 years (range 0.92 to 15.5</w:t>
      </w:r>
      <w:r>
        <w:t xml:space="preserve"> </w:t>
      </w:r>
      <w:r w:rsidRPr="00E37ACD">
        <w:t>y</w:t>
      </w:r>
      <w:r>
        <w:t>ea</w:t>
      </w:r>
      <w:r w:rsidRPr="00E37ACD">
        <w:t>rs).’</w:t>
      </w:r>
    </w:p>
    <w:p w:rsidR="000A3C7D" w:rsidRPr="00E37ACD" w:rsidRDefault="000A3C7D" w:rsidP="00B60939">
      <w:pPr>
        <w:pStyle w:val="Header"/>
        <w:rPr>
          <w:szCs w:val="22"/>
        </w:rPr>
      </w:pPr>
    </w:p>
    <w:p w:rsidR="000A3C7D" w:rsidRPr="00E37ACD" w:rsidRDefault="000A3C7D" w:rsidP="005F6928">
      <w:pPr>
        <w:pStyle w:val="ListParagraph"/>
        <w:ind w:left="709"/>
        <w:rPr>
          <w:i/>
          <w:szCs w:val="22"/>
        </w:rPr>
      </w:pPr>
      <w:r w:rsidRPr="00E37ACD">
        <w:rPr>
          <w:i/>
          <w:szCs w:val="22"/>
        </w:rPr>
        <w:t>For more detail on PBAC’s view, see section 7 “PBAC outcome”</w:t>
      </w:r>
    </w:p>
    <w:p w:rsidR="000A3C7D" w:rsidRDefault="000A3C7D" w:rsidP="00B60939">
      <w:pPr>
        <w:pStyle w:val="Header"/>
        <w:rPr>
          <w:szCs w:val="22"/>
        </w:rPr>
      </w:pPr>
    </w:p>
    <w:p w:rsidR="000A3C7D" w:rsidRPr="00E37ACD" w:rsidRDefault="000A3C7D" w:rsidP="00B60939">
      <w:pPr>
        <w:pStyle w:val="Header"/>
        <w:rPr>
          <w:szCs w:val="22"/>
        </w:rPr>
      </w:pPr>
    </w:p>
    <w:p w:rsidR="000A3C7D" w:rsidRPr="00283DC5" w:rsidRDefault="000A3C7D" w:rsidP="00283DC5">
      <w:pPr>
        <w:pStyle w:val="PBACHeading1"/>
      </w:pPr>
      <w:r w:rsidRPr="00E37ACD">
        <w:t>Comparator</w:t>
      </w:r>
    </w:p>
    <w:p w:rsidR="000A3C7D" w:rsidRPr="00E37ACD" w:rsidRDefault="000A3C7D" w:rsidP="004B1CB4"/>
    <w:p w:rsidR="000A3C7D" w:rsidRPr="00E37ACD" w:rsidRDefault="000A3C7D" w:rsidP="00F31E6E">
      <w:pPr>
        <w:pStyle w:val="ListParagraph"/>
        <w:widowControl/>
        <w:numPr>
          <w:ilvl w:val="1"/>
          <w:numId w:val="3"/>
        </w:numPr>
        <w:rPr>
          <w:szCs w:val="22"/>
        </w:rPr>
      </w:pPr>
      <w:r w:rsidRPr="00E37ACD">
        <w:t xml:space="preserve">Standard medical management without </w:t>
      </w:r>
      <w:proofErr w:type="spellStart"/>
      <w:r w:rsidRPr="00E37ACD">
        <w:t>nitisinone</w:t>
      </w:r>
      <w:proofErr w:type="spellEnd"/>
      <w:r w:rsidRPr="00E37ACD">
        <w:t xml:space="preserve"> (i.e. diet alone).</w:t>
      </w:r>
      <w:r w:rsidRPr="00E37ACD">
        <w:rPr>
          <w:color w:val="3366FF"/>
        </w:rPr>
        <w:t xml:space="preserve"> </w:t>
      </w:r>
      <w:r w:rsidRPr="00E37ACD">
        <w:t>The ESC considered that this is the appropriate comparator.</w:t>
      </w:r>
    </w:p>
    <w:p w:rsidR="000A3C7D" w:rsidRDefault="000A3C7D" w:rsidP="00DF5D2B">
      <w:pPr>
        <w:rPr>
          <w:szCs w:val="22"/>
        </w:rPr>
      </w:pPr>
    </w:p>
    <w:p w:rsidR="000A3C7D" w:rsidRPr="00BB7EC3" w:rsidRDefault="000A3C7D" w:rsidP="005F6928">
      <w:pPr>
        <w:pStyle w:val="ListParagraph"/>
        <w:ind w:left="709"/>
        <w:rPr>
          <w:i/>
          <w:szCs w:val="22"/>
        </w:rPr>
      </w:pPr>
      <w:r>
        <w:rPr>
          <w:i/>
          <w:szCs w:val="22"/>
        </w:rPr>
        <w:t>For more detail on PBAC’s view, see section 7 “PBAC outcome”</w:t>
      </w:r>
    </w:p>
    <w:p w:rsidR="000A3C7D" w:rsidRDefault="000A3C7D" w:rsidP="00DF5D2B">
      <w:pPr>
        <w:rPr>
          <w:szCs w:val="22"/>
        </w:rPr>
      </w:pPr>
    </w:p>
    <w:p w:rsidR="000A3C7D" w:rsidRPr="00597194" w:rsidRDefault="000A3C7D" w:rsidP="00DF5D2B">
      <w:pPr>
        <w:rPr>
          <w:szCs w:val="22"/>
        </w:rPr>
      </w:pPr>
    </w:p>
    <w:p w:rsidR="000A3C7D" w:rsidRPr="00597194" w:rsidRDefault="00283DC5" w:rsidP="00283DC5">
      <w:pPr>
        <w:pStyle w:val="PBACHeading1"/>
      </w:pPr>
      <w:bookmarkStart w:id="6" w:name="_Toc398024514"/>
      <w:r>
        <w:t>C</w:t>
      </w:r>
      <w:r w:rsidR="000A3C7D" w:rsidRPr="00597194">
        <w:t>onsideration of the evidence</w:t>
      </w:r>
      <w:bookmarkEnd w:id="6"/>
    </w:p>
    <w:p w:rsidR="000A3C7D" w:rsidRPr="00597194" w:rsidRDefault="000A3C7D" w:rsidP="00283DC5"/>
    <w:p w:rsidR="000A3C7D" w:rsidRPr="00DE1384" w:rsidRDefault="000A3C7D" w:rsidP="00DE1384">
      <w:pPr>
        <w:rPr>
          <w:b/>
          <w:szCs w:val="22"/>
        </w:rPr>
      </w:pPr>
      <w:bookmarkStart w:id="7" w:name="_Toc398024515"/>
      <w:r w:rsidRPr="00DE1384">
        <w:rPr>
          <w:b/>
          <w:szCs w:val="22"/>
        </w:rPr>
        <w:t>Sponsor hearing</w:t>
      </w:r>
    </w:p>
    <w:p w:rsidR="000A3C7D" w:rsidRPr="00DE1384" w:rsidRDefault="000A3C7D" w:rsidP="00DE1384">
      <w:pPr>
        <w:ind w:left="709"/>
        <w:rPr>
          <w:b/>
          <w:szCs w:val="22"/>
        </w:rPr>
      </w:pPr>
    </w:p>
    <w:p w:rsidR="000A3C7D" w:rsidRPr="00DE1384" w:rsidRDefault="000A3C7D" w:rsidP="00DE1384">
      <w:pPr>
        <w:pStyle w:val="ListParagraph"/>
        <w:widowControl/>
        <w:numPr>
          <w:ilvl w:val="1"/>
          <w:numId w:val="3"/>
        </w:numPr>
      </w:pPr>
      <w:r w:rsidRPr="00DE1384">
        <w:t>There was no hearing for this item.</w:t>
      </w:r>
    </w:p>
    <w:p w:rsidR="000A3C7D" w:rsidRPr="001B7ADA" w:rsidRDefault="000A3C7D" w:rsidP="00DE1384">
      <w:pPr>
        <w:pStyle w:val="ListParagraph"/>
        <w:ind w:left="709"/>
        <w:rPr>
          <w:szCs w:val="22"/>
        </w:rPr>
      </w:pPr>
    </w:p>
    <w:p w:rsidR="000A3C7D" w:rsidRPr="00DE1384" w:rsidRDefault="000A3C7D" w:rsidP="00283DC5">
      <w:pPr>
        <w:rPr>
          <w:b/>
          <w:szCs w:val="22"/>
        </w:rPr>
      </w:pPr>
      <w:r w:rsidRPr="00DE1384">
        <w:rPr>
          <w:b/>
          <w:szCs w:val="22"/>
        </w:rPr>
        <w:t>Consumer comments</w:t>
      </w:r>
    </w:p>
    <w:p w:rsidR="000A3C7D" w:rsidRPr="00DE1384" w:rsidRDefault="000A3C7D" w:rsidP="00DE1384">
      <w:pPr>
        <w:pStyle w:val="ListParagraph"/>
        <w:ind w:left="709"/>
        <w:rPr>
          <w:szCs w:val="22"/>
        </w:rPr>
      </w:pPr>
    </w:p>
    <w:p w:rsidR="000A3C7D" w:rsidRPr="00DE1384" w:rsidRDefault="000A3C7D" w:rsidP="00DE1384">
      <w:pPr>
        <w:pStyle w:val="ListParagraph"/>
        <w:widowControl/>
        <w:numPr>
          <w:ilvl w:val="1"/>
          <w:numId w:val="3"/>
        </w:numPr>
      </w:pPr>
      <w:r w:rsidRPr="00DE1384">
        <w:t xml:space="preserve">The PBAC noted and welcomed the input from individuals (24) and organisations (3) via the Consumer Comments facility on the PBS website. The comments described a range of benefits of treatment with </w:t>
      </w:r>
      <w:proofErr w:type="spellStart"/>
      <w:r w:rsidRPr="00DE1384">
        <w:t>nitisinone</w:t>
      </w:r>
      <w:proofErr w:type="spellEnd"/>
      <w:r w:rsidRPr="00DE1384">
        <w:t xml:space="preserve"> including the ability to extend life, allow patients to manage their condition and avoidance of costly and risky liver transplant.</w:t>
      </w:r>
      <w:r>
        <w:t xml:space="preserve"> The comments from organisations also noted current issues of equity and ease of access and security of supply due to this drug currently being funded and supplied through hospitals. </w:t>
      </w:r>
      <w:r w:rsidRPr="00DE1384">
        <w:t xml:space="preserve"> </w:t>
      </w:r>
    </w:p>
    <w:p w:rsidR="000A3C7D" w:rsidRPr="00DE1384" w:rsidRDefault="000A3C7D" w:rsidP="00DE1384">
      <w:pPr>
        <w:pStyle w:val="ListParagraph"/>
        <w:widowControl/>
      </w:pPr>
    </w:p>
    <w:p w:rsidR="000A3C7D" w:rsidRPr="00B447C4" w:rsidRDefault="000A3C7D" w:rsidP="00DE1384">
      <w:pPr>
        <w:pStyle w:val="ListParagraph"/>
        <w:ind w:left="709"/>
        <w:rPr>
          <w:i/>
          <w:szCs w:val="22"/>
        </w:rPr>
      </w:pPr>
      <w:r w:rsidRPr="00DE1384">
        <w:rPr>
          <w:i/>
          <w:szCs w:val="22"/>
        </w:rPr>
        <w:t>For more detail on PBAC’s view, see section 7 “PBAC outcome”</w:t>
      </w:r>
    </w:p>
    <w:p w:rsidR="000A3C7D" w:rsidRDefault="000A3C7D" w:rsidP="00283DC5"/>
    <w:p w:rsidR="000A3C7D" w:rsidRPr="00283DC5" w:rsidRDefault="000A3C7D" w:rsidP="00283DC5">
      <w:pPr>
        <w:rPr>
          <w:b/>
          <w:szCs w:val="22"/>
        </w:rPr>
      </w:pPr>
      <w:r w:rsidRPr="00283DC5">
        <w:rPr>
          <w:b/>
          <w:szCs w:val="22"/>
        </w:rPr>
        <w:t>Clinical trials</w:t>
      </w:r>
      <w:bookmarkEnd w:id="7"/>
    </w:p>
    <w:p w:rsidR="000A3C7D" w:rsidRPr="005F6928" w:rsidRDefault="000A3C7D" w:rsidP="00283DC5">
      <w:pPr>
        <w:rPr>
          <w:highlight w:val="lightGray"/>
        </w:rPr>
      </w:pPr>
    </w:p>
    <w:p w:rsidR="000A3C7D" w:rsidRPr="00E37ACD" w:rsidRDefault="000A3C7D" w:rsidP="00F31E6E">
      <w:pPr>
        <w:pStyle w:val="ListParagraph"/>
        <w:widowControl/>
        <w:numPr>
          <w:ilvl w:val="1"/>
          <w:numId w:val="3"/>
        </w:numPr>
        <w:rPr>
          <w:szCs w:val="22"/>
        </w:rPr>
      </w:pPr>
      <w:r w:rsidRPr="00E37ACD">
        <w:t xml:space="preserve">The submission </w:t>
      </w:r>
      <w:r>
        <w:t>wa</w:t>
      </w:r>
      <w:r w:rsidRPr="00E37ACD">
        <w:t xml:space="preserve">s based on a comparison of 2 single-arm studies (the NTBC </w:t>
      </w:r>
      <w:proofErr w:type="spellStart"/>
      <w:r w:rsidRPr="00E37ACD">
        <w:t>nitisinone</w:t>
      </w:r>
      <w:proofErr w:type="spellEnd"/>
      <w:r w:rsidRPr="00E37ACD">
        <w:t xml:space="preserve"> study and van </w:t>
      </w:r>
      <w:proofErr w:type="spellStart"/>
      <w:r w:rsidRPr="00E37ACD">
        <w:t>Spronsen</w:t>
      </w:r>
      <w:proofErr w:type="spellEnd"/>
      <w:r w:rsidRPr="00E37ACD">
        <w:t xml:space="preserve"> 1994 diet study), 3 supportive </w:t>
      </w:r>
      <w:proofErr w:type="spellStart"/>
      <w:r w:rsidRPr="00E37ACD">
        <w:t>nitisinone</w:t>
      </w:r>
      <w:proofErr w:type="spellEnd"/>
      <w:r w:rsidRPr="00E37ACD">
        <w:t xml:space="preserve"> single</w:t>
      </w:r>
      <w:r w:rsidRPr="00E37ACD">
        <w:noBreakHyphen/>
        <w:t>arm studies (</w:t>
      </w:r>
      <w:proofErr w:type="spellStart"/>
      <w:r w:rsidRPr="00E37ACD">
        <w:t>Masurel-Paulet</w:t>
      </w:r>
      <w:proofErr w:type="spellEnd"/>
      <w:r w:rsidRPr="00E37ACD">
        <w:t xml:space="preserve"> 2008, </w:t>
      </w:r>
      <w:proofErr w:type="spellStart"/>
      <w:r w:rsidRPr="00E37ACD">
        <w:t>Raimann</w:t>
      </w:r>
      <w:proofErr w:type="spellEnd"/>
      <w:r w:rsidRPr="00E37ACD">
        <w:t xml:space="preserve"> 2012, </w:t>
      </w:r>
      <w:proofErr w:type="spellStart"/>
      <w:r w:rsidRPr="00E37ACD">
        <w:t>Couce</w:t>
      </w:r>
      <w:proofErr w:type="spellEnd"/>
      <w:r w:rsidRPr="00E37ACD">
        <w:t xml:space="preserve"> 2011) and 1 supportive single-arm </w:t>
      </w:r>
      <w:proofErr w:type="spellStart"/>
      <w:r w:rsidRPr="00E37ACD">
        <w:t>nitisinone</w:t>
      </w:r>
      <w:proofErr w:type="spellEnd"/>
      <w:r w:rsidRPr="00E37ACD">
        <w:t xml:space="preserve"> study with historical controls (</w:t>
      </w:r>
      <w:proofErr w:type="spellStart"/>
      <w:r w:rsidRPr="00E37ACD">
        <w:t>Larochelle</w:t>
      </w:r>
      <w:proofErr w:type="spellEnd"/>
      <w:r w:rsidRPr="00E37ACD">
        <w:t xml:space="preserve"> 2012).</w:t>
      </w:r>
    </w:p>
    <w:p w:rsidR="000A3C7D" w:rsidRPr="00E37ACD" w:rsidRDefault="000A3C7D" w:rsidP="00862502">
      <w:pPr>
        <w:widowControl/>
        <w:rPr>
          <w:szCs w:val="22"/>
        </w:rPr>
      </w:pPr>
    </w:p>
    <w:p w:rsidR="000A3C7D" w:rsidRPr="00E37ACD" w:rsidRDefault="000A3C7D" w:rsidP="00F31E6E">
      <w:pPr>
        <w:pStyle w:val="ListParagraph"/>
        <w:widowControl/>
        <w:numPr>
          <w:ilvl w:val="1"/>
          <w:numId w:val="3"/>
        </w:numPr>
        <w:rPr>
          <w:szCs w:val="22"/>
        </w:rPr>
      </w:pPr>
      <w:r w:rsidRPr="00E37ACD">
        <w:rPr>
          <w:szCs w:val="22"/>
        </w:rPr>
        <w:t>Details of the studies presented in the submission are provided in the below table.</w:t>
      </w:r>
    </w:p>
    <w:p w:rsidR="000A3C7D" w:rsidRPr="00E37ACD" w:rsidRDefault="000A3C7D" w:rsidP="00862502">
      <w:pPr>
        <w:widowControl/>
        <w:rPr>
          <w:szCs w:val="22"/>
        </w:rPr>
      </w:pPr>
    </w:p>
    <w:p w:rsidR="000A3C7D" w:rsidRPr="00E37ACD" w:rsidRDefault="000A3C7D" w:rsidP="00135EC8">
      <w:pPr>
        <w:keepNext/>
        <w:ind w:firstLine="720"/>
        <w:rPr>
          <w:rStyle w:val="CommentReference"/>
          <w:rFonts w:cs="Arial"/>
          <w:sz w:val="20"/>
          <w:szCs w:val="16"/>
        </w:rPr>
      </w:pPr>
      <w:r w:rsidRPr="00E37ACD">
        <w:rPr>
          <w:rStyle w:val="CommentReference"/>
          <w:rFonts w:cs="Arial"/>
          <w:sz w:val="20"/>
          <w:szCs w:val="16"/>
        </w:rPr>
        <w:t>Trials and associated reports presented in the submission</w:t>
      </w:r>
    </w:p>
    <w:tbl>
      <w:tblPr>
        <w:tblW w:w="467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30"/>
        <w:gridCol w:w="4732"/>
        <w:gridCol w:w="2230"/>
      </w:tblGrid>
      <w:tr w:rsidR="000A3C7D" w:rsidRPr="00E37ACD" w:rsidTr="00060525">
        <w:tc>
          <w:tcPr>
            <w:tcW w:w="901" w:type="pct"/>
          </w:tcPr>
          <w:p w:rsidR="000A3C7D" w:rsidRPr="00E37ACD" w:rsidRDefault="000A3C7D" w:rsidP="00135EC8">
            <w:pPr>
              <w:keepNext/>
              <w:jc w:val="left"/>
              <w:rPr>
                <w:rFonts w:ascii="Arial Narrow" w:hAnsi="Arial Narrow"/>
                <w:b/>
                <w:sz w:val="20"/>
              </w:rPr>
            </w:pPr>
            <w:r w:rsidRPr="00E37ACD">
              <w:rPr>
                <w:rFonts w:ascii="Arial Narrow" w:hAnsi="Arial Narrow"/>
                <w:b/>
                <w:sz w:val="20"/>
              </w:rPr>
              <w:t>Trial ID</w:t>
            </w:r>
          </w:p>
        </w:tc>
        <w:tc>
          <w:tcPr>
            <w:tcW w:w="2786" w:type="pct"/>
          </w:tcPr>
          <w:p w:rsidR="000A3C7D" w:rsidRPr="00E37ACD" w:rsidRDefault="000A3C7D" w:rsidP="00135EC8">
            <w:pPr>
              <w:keepNext/>
              <w:jc w:val="center"/>
              <w:rPr>
                <w:rFonts w:ascii="Arial Narrow" w:hAnsi="Arial Narrow"/>
                <w:b/>
                <w:sz w:val="20"/>
              </w:rPr>
            </w:pPr>
            <w:r w:rsidRPr="00E37ACD">
              <w:rPr>
                <w:rFonts w:ascii="Arial Narrow" w:hAnsi="Arial Narrow"/>
                <w:b/>
                <w:sz w:val="20"/>
              </w:rPr>
              <w:t>Protocol title/ Publication title</w:t>
            </w:r>
          </w:p>
        </w:tc>
        <w:tc>
          <w:tcPr>
            <w:tcW w:w="1313" w:type="pct"/>
          </w:tcPr>
          <w:p w:rsidR="000A3C7D" w:rsidRPr="00E37ACD" w:rsidRDefault="000A3C7D" w:rsidP="00135EC8">
            <w:pPr>
              <w:keepNext/>
              <w:jc w:val="center"/>
              <w:rPr>
                <w:rFonts w:ascii="Arial Narrow" w:hAnsi="Arial Narrow"/>
                <w:b/>
                <w:sz w:val="20"/>
              </w:rPr>
            </w:pPr>
            <w:r w:rsidRPr="00E37ACD">
              <w:rPr>
                <w:rFonts w:ascii="Arial Narrow" w:hAnsi="Arial Narrow"/>
                <w:b/>
                <w:sz w:val="20"/>
              </w:rPr>
              <w:t>Publication citation</w:t>
            </w:r>
          </w:p>
        </w:tc>
      </w:tr>
      <w:tr w:rsidR="000A3C7D" w:rsidRPr="00E37ACD" w:rsidTr="00364F4B">
        <w:tc>
          <w:tcPr>
            <w:tcW w:w="5000" w:type="pct"/>
            <w:gridSpan w:val="3"/>
          </w:tcPr>
          <w:p w:rsidR="000A3C7D" w:rsidRPr="00E37ACD" w:rsidRDefault="000A3C7D" w:rsidP="00135EC8">
            <w:pPr>
              <w:keepNext/>
              <w:jc w:val="left"/>
              <w:rPr>
                <w:rFonts w:ascii="Arial Narrow" w:hAnsi="Arial Narrow"/>
                <w:b/>
                <w:sz w:val="20"/>
              </w:rPr>
            </w:pPr>
            <w:r w:rsidRPr="00E37ACD">
              <w:rPr>
                <w:rFonts w:ascii="Arial Narrow" w:hAnsi="Arial Narrow"/>
                <w:b/>
                <w:sz w:val="20"/>
              </w:rPr>
              <w:t xml:space="preserve">Proposed drug: </w:t>
            </w:r>
            <w:proofErr w:type="spellStart"/>
            <w:r w:rsidRPr="00E37ACD">
              <w:rPr>
                <w:rFonts w:ascii="Arial Narrow" w:hAnsi="Arial Narrow"/>
                <w:b/>
                <w:sz w:val="20"/>
              </w:rPr>
              <w:t>Nitisinone</w:t>
            </w:r>
            <w:proofErr w:type="spellEnd"/>
            <w:r w:rsidRPr="00E37ACD">
              <w:rPr>
                <w:rFonts w:ascii="Arial Narrow" w:hAnsi="Arial Narrow"/>
                <w:b/>
                <w:sz w:val="20"/>
              </w:rPr>
              <w:t>, key study</w:t>
            </w:r>
          </w:p>
        </w:tc>
      </w:tr>
      <w:tr w:rsidR="000A3C7D" w:rsidRPr="00E37ACD" w:rsidTr="00364F4B">
        <w:trPr>
          <w:trHeight w:val="649"/>
        </w:trPr>
        <w:tc>
          <w:tcPr>
            <w:tcW w:w="901" w:type="pct"/>
            <w:tcBorders>
              <w:bottom w:val="nil"/>
            </w:tcBorders>
          </w:tcPr>
          <w:p w:rsidR="000A3C7D" w:rsidRPr="00E37ACD" w:rsidRDefault="000A3C7D" w:rsidP="00135EC8">
            <w:pPr>
              <w:keepNext/>
              <w:jc w:val="left"/>
              <w:rPr>
                <w:rFonts w:ascii="Arial Narrow" w:hAnsi="Arial Narrow"/>
                <w:sz w:val="20"/>
              </w:rPr>
            </w:pPr>
            <w:r w:rsidRPr="00E37ACD">
              <w:rPr>
                <w:rFonts w:ascii="Arial Narrow" w:hAnsi="Arial Narrow"/>
                <w:sz w:val="20"/>
              </w:rPr>
              <w:t>NTBC study</w:t>
            </w:r>
          </w:p>
        </w:tc>
        <w:tc>
          <w:tcPr>
            <w:tcW w:w="2786" w:type="pct"/>
            <w:tcBorders>
              <w:bottom w:val="nil"/>
            </w:tcBorders>
          </w:tcPr>
          <w:p w:rsidR="000A3C7D" w:rsidRPr="00E37ACD" w:rsidRDefault="000A3C7D" w:rsidP="00135EC8">
            <w:pPr>
              <w:pStyle w:val="TableText0"/>
              <w:spacing w:before="0" w:after="0"/>
              <w:rPr>
                <w:rFonts w:cs="Arial"/>
                <w:lang w:eastAsia="en-AU"/>
              </w:rPr>
            </w:pPr>
            <w:r w:rsidRPr="00E37ACD">
              <w:rPr>
                <w:rFonts w:cs="Arial"/>
                <w:lang w:eastAsia="en-AU"/>
              </w:rPr>
              <w:t xml:space="preserve">The NTBC study: NTBC treatment of hereditary </w:t>
            </w:r>
            <w:proofErr w:type="spellStart"/>
            <w:r w:rsidRPr="00E37ACD">
              <w:rPr>
                <w:rFonts w:cs="Arial"/>
                <w:lang w:eastAsia="en-AU"/>
              </w:rPr>
              <w:t>tyrosinaemia</w:t>
            </w:r>
            <w:proofErr w:type="spellEnd"/>
            <w:r w:rsidRPr="00E37ACD">
              <w:rPr>
                <w:rFonts w:cs="Arial"/>
                <w:lang w:eastAsia="en-AU"/>
              </w:rPr>
              <w:t xml:space="preserve"> type 1. Clinical Study Report. (Main analysis)</w:t>
            </w:r>
          </w:p>
        </w:tc>
        <w:tc>
          <w:tcPr>
            <w:tcW w:w="1313" w:type="pct"/>
            <w:tcBorders>
              <w:bottom w:val="nil"/>
            </w:tcBorders>
          </w:tcPr>
          <w:p w:rsidR="000A3C7D" w:rsidRPr="00E37ACD" w:rsidRDefault="000A3C7D" w:rsidP="00135EC8">
            <w:pPr>
              <w:pStyle w:val="TableText0"/>
              <w:spacing w:before="0" w:after="0"/>
              <w:rPr>
                <w:rFonts w:cs="Arial"/>
                <w:lang w:eastAsia="en-AU"/>
              </w:rPr>
            </w:pPr>
            <w:r w:rsidRPr="00E37ACD">
              <w:rPr>
                <w:rFonts w:cs="Arial"/>
                <w:lang w:eastAsia="en-AU"/>
              </w:rPr>
              <w:t>5 November 1999</w:t>
            </w:r>
          </w:p>
          <w:p w:rsidR="000A3C7D" w:rsidRPr="00E37ACD" w:rsidRDefault="000A3C7D" w:rsidP="00135EC8">
            <w:pPr>
              <w:pStyle w:val="TableText0"/>
              <w:spacing w:before="0" w:after="0"/>
              <w:rPr>
                <w:rFonts w:cs="Arial"/>
                <w:lang w:eastAsia="en-AU"/>
              </w:rPr>
            </w:pPr>
          </w:p>
        </w:tc>
      </w:tr>
      <w:tr w:rsidR="000A3C7D" w:rsidRPr="00E37ACD" w:rsidTr="00364F4B">
        <w:tc>
          <w:tcPr>
            <w:tcW w:w="901" w:type="pct"/>
            <w:tcBorders>
              <w:top w:val="nil"/>
              <w:bottom w:val="nil"/>
            </w:tcBorders>
          </w:tcPr>
          <w:p w:rsidR="000A3C7D" w:rsidRPr="00E37ACD" w:rsidRDefault="000A3C7D" w:rsidP="00135EC8">
            <w:pPr>
              <w:keepNext/>
              <w:jc w:val="left"/>
              <w:rPr>
                <w:rFonts w:ascii="Arial Narrow" w:hAnsi="Arial Narrow"/>
                <w:sz w:val="20"/>
              </w:rPr>
            </w:pPr>
          </w:p>
        </w:tc>
        <w:tc>
          <w:tcPr>
            <w:tcW w:w="2786" w:type="pct"/>
            <w:tcBorders>
              <w:top w:val="nil"/>
              <w:bottom w:val="nil"/>
            </w:tcBorders>
          </w:tcPr>
          <w:p w:rsidR="000A3C7D" w:rsidRPr="00E37ACD" w:rsidRDefault="000A3C7D" w:rsidP="00135EC8">
            <w:pPr>
              <w:pStyle w:val="TableText0"/>
              <w:spacing w:before="0" w:after="0"/>
              <w:rPr>
                <w:rFonts w:cs="Arial"/>
                <w:lang w:eastAsia="en-AU"/>
              </w:rPr>
            </w:pPr>
            <w:r w:rsidRPr="00E37ACD">
              <w:rPr>
                <w:rFonts w:cs="Arial"/>
                <w:lang w:eastAsia="en-AU"/>
              </w:rPr>
              <w:t>Efficacy laboratory data, survival and safety analysis in patients enrolled in the NTBC Study between 1 July 1993 and 28 March 2000. Final Report. (Complementary analysis)</w:t>
            </w:r>
          </w:p>
          <w:p w:rsidR="000A3C7D" w:rsidRPr="00E37ACD" w:rsidRDefault="000A3C7D" w:rsidP="00135EC8">
            <w:pPr>
              <w:pStyle w:val="TableText0"/>
              <w:spacing w:before="0" w:after="0"/>
              <w:rPr>
                <w:rFonts w:cs="Arial"/>
                <w:lang w:eastAsia="en-AU"/>
              </w:rPr>
            </w:pPr>
          </w:p>
        </w:tc>
        <w:tc>
          <w:tcPr>
            <w:tcW w:w="1313" w:type="pct"/>
            <w:tcBorders>
              <w:top w:val="nil"/>
              <w:bottom w:val="nil"/>
            </w:tcBorders>
          </w:tcPr>
          <w:p w:rsidR="000A3C7D" w:rsidRPr="00E37ACD" w:rsidRDefault="000A3C7D" w:rsidP="00364F4B">
            <w:pPr>
              <w:pStyle w:val="TableText0"/>
              <w:spacing w:before="0" w:after="0"/>
              <w:rPr>
                <w:rFonts w:cs="Arial"/>
                <w:lang w:eastAsia="en-AU"/>
              </w:rPr>
            </w:pPr>
            <w:r w:rsidRPr="00E37ACD">
              <w:rPr>
                <w:rFonts w:cs="Arial"/>
                <w:lang w:eastAsia="en-AU"/>
              </w:rPr>
              <w:t>15 February 2002</w:t>
            </w:r>
          </w:p>
          <w:p w:rsidR="000A3C7D" w:rsidRPr="00E37ACD" w:rsidRDefault="000A3C7D" w:rsidP="00135EC8">
            <w:pPr>
              <w:pStyle w:val="TableText0"/>
              <w:spacing w:before="0" w:after="0"/>
              <w:rPr>
                <w:rFonts w:cs="Arial"/>
                <w:lang w:eastAsia="en-AU"/>
              </w:rPr>
            </w:pPr>
          </w:p>
        </w:tc>
      </w:tr>
      <w:tr w:rsidR="000A3C7D" w:rsidRPr="00E37ACD" w:rsidTr="00364F4B">
        <w:tc>
          <w:tcPr>
            <w:tcW w:w="901" w:type="pct"/>
            <w:tcBorders>
              <w:top w:val="nil"/>
              <w:bottom w:val="nil"/>
            </w:tcBorders>
          </w:tcPr>
          <w:p w:rsidR="000A3C7D" w:rsidRPr="00E37ACD" w:rsidRDefault="000A3C7D" w:rsidP="00135EC8">
            <w:pPr>
              <w:keepNext/>
              <w:jc w:val="left"/>
              <w:rPr>
                <w:rFonts w:ascii="Arial Narrow" w:hAnsi="Arial Narrow"/>
                <w:sz w:val="20"/>
              </w:rPr>
            </w:pPr>
          </w:p>
        </w:tc>
        <w:tc>
          <w:tcPr>
            <w:tcW w:w="2786" w:type="pct"/>
            <w:tcBorders>
              <w:top w:val="nil"/>
              <w:bottom w:val="nil"/>
            </w:tcBorders>
          </w:tcPr>
          <w:p w:rsidR="000A3C7D" w:rsidRPr="00E37ACD" w:rsidRDefault="000A3C7D" w:rsidP="00135EC8">
            <w:pPr>
              <w:pStyle w:val="TableText0"/>
              <w:spacing w:before="0" w:after="0"/>
              <w:rPr>
                <w:rFonts w:cs="Arial"/>
                <w:lang w:eastAsia="en-AU"/>
              </w:rPr>
            </w:pPr>
            <w:proofErr w:type="spellStart"/>
            <w:r w:rsidRPr="00E37ACD">
              <w:rPr>
                <w:rFonts w:cs="Arial"/>
                <w:lang w:eastAsia="en-AU"/>
              </w:rPr>
              <w:t>Holme</w:t>
            </w:r>
            <w:proofErr w:type="spellEnd"/>
            <w:r w:rsidRPr="00E37ACD">
              <w:rPr>
                <w:rFonts w:cs="Arial"/>
                <w:lang w:eastAsia="en-AU"/>
              </w:rPr>
              <w:t xml:space="preserve">, E., </w:t>
            </w:r>
            <w:proofErr w:type="spellStart"/>
            <w:r w:rsidRPr="00E37ACD">
              <w:rPr>
                <w:rFonts w:cs="Arial"/>
                <w:lang w:eastAsia="en-AU"/>
              </w:rPr>
              <w:t>Lindstedt</w:t>
            </w:r>
            <w:proofErr w:type="spellEnd"/>
            <w:r w:rsidRPr="00E37ACD">
              <w:rPr>
                <w:rFonts w:cs="Arial"/>
                <w:lang w:eastAsia="en-AU"/>
              </w:rPr>
              <w:t xml:space="preserve">, P. S., and Lock, E. A. Treatment of </w:t>
            </w:r>
            <w:proofErr w:type="spellStart"/>
            <w:r w:rsidRPr="00E37ACD">
              <w:rPr>
                <w:rFonts w:cs="Arial"/>
                <w:lang w:eastAsia="en-AU"/>
              </w:rPr>
              <w:t>tyrosinemia</w:t>
            </w:r>
            <w:proofErr w:type="spellEnd"/>
            <w:r w:rsidRPr="00E37ACD">
              <w:rPr>
                <w:rFonts w:cs="Arial"/>
                <w:lang w:eastAsia="en-AU"/>
              </w:rPr>
              <w:t xml:space="preserve"> type I with an enzyme inhibitor (NTBC) </w:t>
            </w:r>
          </w:p>
          <w:p w:rsidR="000A3C7D" w:rsidRPr="00E37ACD" w:rsidRDefault="000A3C7D" w:rsidP="00135EC8">
            <w:pPr>
              <w:pStyle w:val="TableText0"/>
              <w:spacing w:before="0" w:after="0"/>
              <w:rPr>
                <w:rFonts w:cs="Arial"/>
                <w:lang w:eastAsia="en-AU"/>
              </w:rPr>
            </w:pPr>
          </w:p>
        </w:tc>
        <w:tc>
          <w:tcPr>
            <w:tcW w:w="1313" w:type="pct"/>
            <w:tcBorders>
              <w:top w:val="nil"/>
              <w:bottom w:val="nil"/>
            </w:tcBorders>
          </w:tcPr>
          <w:p w:rsidR="000A3C7D" w:rsidRPr="00E37ACD" w:rsidRDefault="000A3C7D" w:rsidP="00364F4B">
            <w:pPr>
              <w:pStyle w:val="TableText0"/>
              <w:spacing w:before="0" w:after="0"/>
              <w:rPr>
                <w:rFonts w:cs="Arial"/>
                <w:lang w:eastAsia="en-AU"/>
              </w:rPr>
            </w:pPr>
            <w:r w:rsidRPr="00E37ACD">
              <w:rPr>
                <w:rFonts w:cs="Arial"/>
                <w:lang w:eastAsia="en-AU"/>
              </w:rPr>
              <w:t xml:space="preserve">International </w:t>
            </w:r>
            <w:proofErr w:type="spellStart"/>
            <w:r w:rsidRPr="00E37ACD">
              <w:rPr>
                <w:rFonts w:cs="Arial"/>
                <w:lang w:eastAsia="en-AU"/>
              </w:rPr>
              <w:t>Pediatrics</w:t>
            </w:r>
            <w:proofErr w:type="spellEnd"/>
            <w:r w:rsidRPr="00E37ACD">
              <w:rPr>
                <w:rFonts w:cs="Arial"/>
                <w:lang w:eastAsia="en-AU"/>
              </w:rPr>
              <w:t xml:space="preserve"> 1995; 10 (1): 41-43</w:t>
            </w:r>
          </w:p>
        </w:tc>
      </w:tr>
      <w:tr w:rsidR="000A3C7D" w:rsidRPr="00E37ACD" w:rsidTr="00364F4B">
        <w:tc>
          <w:tcPr>
            <w:tcW w:w="901" w:type="pct"/>
            <w:tcBorders>
              <w:top w:val="nil"/>
              <w:bottom w:val="nil"/>
            </w:tcBorders>
          </w:tcPr>
          <w:p w:rsidR="000A3C7D" w:rsidRPr="00E37ACD" w:rsidRDefault="000A3C7D" w:rsidP="00135EC8">
            <w:pPr>
              <w:keepNext/>
              <w:jc w:val="left"/>
              <w:rPr>
                <w:rFonts w:ascii="Arial Narrow" w:hAnsi="Arial Narrow"/>
                <w:sz w:val="20"/>
              </w:rPr>
            </w:pPr>
          </w:p>
        </w:tc>
        <w:tc>
          <w:tcPr>
            <w:tcW w:w="2786" w:type="pct"/>
            <w:tcBorders>
              <w:top w:val="nil"/>
              <w:bottom w:val="nil"/>
            </w:tcBorders>
          </w:tcPr>
          <w:p w:rsidR="000A3C7D" w:rsidRPr="00E37ACD" w:rsidRDefault="000A3C7D" w:rsidP="00364F4B">
            <w:pPr>
              <w:pStyle w:val="TableText0"/>
              <w:spacing w:before="0" w:after="0"/>
              <w:rPr>
                <w:rFonts w:cs="Arial"/>
                <w:lang w:eastAsia="en-AU"/>
              </w:rPr>
            </w:pPr>
            <w:proofErr w:type="spellStart"/>
            <w:r w:rsidRPr="00E37ACD">
              <w:rPr>
                <w:rFonts w:cs="Arial"/>
                <w:lang w:eastAsia="en-AU"/>
              </w:rPr>
              <w:t>Holme</w:t>
            </w:r>
            <w:proofErr w:type="spellEnd"/>
            <w:r w:rsidRPr="00E37ACD">
              <w:rPr>
                <w:rFonts w:cs="Arial"/>
                <w:lang w:eastAsia="en-AU"/>
              </w:rPr>
              <w:t xml:space="preserve">, E. and </w:t>
            </w:r>
            <w:proofErr w:type="spellStart"/>
            <w:r w:rsidRPr="00E37ACD">
              <w:rPr>
                <w:rFonts w:cs="Arial"/>
                <w:lang w:eastAsia="en-AU"/>
              </w:rPr>
              <w:t>Lindstedt</w:t>
            </w:r>
            <w:proofErr w:type="spellEnd"/>
            <w:r w:rsidRPr="00E37ACD">
              <w:rPr>
                <w:rFonts w:cs="Arial"/>
                <w:lang w:eastAsia="en-AU"/>
              </w:rPr>
              <w:t xml:space="preserve">, S. Diagnosis and management of </w:t>
            </w:r>
            <w:proofErr w:type="spellStart"/>
            <w:r w:rsidRPr="00E37ACD">
              <w:rPr>
                <w:rFonts w:cs="Arial"/>
                <w:lang w:eastAsia="en-AU"/>
              </w:rPr>
              <w:t>tyrosinemia</w:t>
            </w:r>
            <w:proofErr w:type="spellEnd"/>
            <w:r w:rsidRPr="00E37ACD">
              <w:rPr>
                <w:rFonts w:cs="Arial"/>
                <w:lang w:eastAsia="en-AU"/>
              </w:rPr>
              <w:t xml:space="preserve"> type I</w:t>
            </w:r>
          </w:p>
          <w:p w:rsidR="000A3C7D" w:rsidRPr="00E37ACD" w:rsidRDefault="000A3C7D" w:rsidP="00135EC8">
            <w:pPr>
              <w:pStyle w:val="TableText0"/>
              <w:spacing w:before="0" w:after="0"/>
              <w:rPr>
                <w:rFonts w:cs="Arial"/>
                <w:lang w:eastAsia="en-AU"/>
              </w:rPr>
            </w:pPr>
          </w:p>
        </w:tc>
        <w:tc>
          <w:tcPr>
            <w:tcW w:w="1313" w:type="pct"/>
            <w:tcBorders>
              <w:top w:val="nil"/>
              <w:bottom w:val="nil"/>
            </w:tcBorders>
          </w:tcPr>
          <w:p w:rsidR="000A3C7D" w:rsidRPr="00E37ACD" w:rsidRDefault="000A3C7D" w:rsidP="00364F4B">
            <w:pPr>
              <w:pStyle w:val="TableText0"/>
              <w:spacing w:before="0" w:after="0"/>
              <w:rPr>
                <w:rFonts w:cs="Arial"/>
                <w:lang w:eastAsia="en-AU"/>
              </w:rPr>
            </w:pPr>
            <w:r w:rsidRPr="00E37ACD">
              <w:rPr>
                <w:rFonts w:cs="Arial"/>
                <w:lang w:eastAsia="en-AU"/>
              </w:rPr>
              <w:t xml:space="preserve">Current Opinion in </w:t>
            </w:r>
            <w:proofErr w:type="spellStart"/>
            <w:r w:rsidRPr="00E37ACD">
              <w:rPr>
                <w:rFonts w:cs="Arial"/>
                <w:lang w:eastAsia="en-AU"/>
              </w:rPr>
              <w:t>Pediatrics</w:t>
            </w:r>
            <w:proofErr w:type="spellEnd"/>
            <w:r w:rsidRPr="00E37ACD">
              <w:rPr>
                <w:rFonts w:cs="Arial"/>
                <w:lang w:eastAsia="en-AU"/>
              </w:rPr>
              <w:t xml:space="preserve"> 1995; 7 (6): 726-732</w:t>
            </w:r>
          </w:p>
          <w:p w:rsidR="000A3C7D" w:rsidRPr="00E37ACD" w:rsidRDefault="000A3C7D" w:rsidP="00364F4B">
            <w:pPr>
              <w:pStyle w:val="TableText0"/>
              <w:spacing w:before="0" w:after="0"/>
              <w:rPr>
                <w:rFonts w:cs="Arial"/>
                <w:lang w:eastAsia="en-AU"/>
              </w:rPr>
            </w:pPr>
          </w:p>
        </w:tc>
      </w:tr>
      <w:tr w:rsidR="000A3C7D" w:rsidRPr="00E37ACD" w:rsidTr="00364F4B">
        <w:tc>
          <w:tcPr>
            <w:tcW w:w="901" w:type="pct"/>
            <w:tcBorders>
              <w:top w:val="nil"/>
              <w:bottom w:val="nil"/>
            </w:tcBorders>
          </w:tcPr>
          <w:p w:rsidR="000A3C7D" w:rsidRPr="00E37ACD" w:rsidRDefault="000A3C7D" w:rsidP="00135EC8">
            <w:pPr>
              <w:keepNext/>
              <w:jc w:val="left"/>
              <w:rPr>
                <w:rFonts w:ascii="Arial Narrow" w:hAnsi="Arial Narrow"/>
                <w:sz w:val="20"/>
              </w:rPr>
            </w:pPr>
          </w:p>
        </w:tc>
        <w:tc>
          <w:tcPr>
            <w:tcW w:w="2786" w:type="pct"/>
            <w:tcBorders>
              <w:top w:val="nil"/>
              <w:bottom w:val="nil"/>
            </w:tcBorders>
          </w:tcPr>
          <w:p w:rsidR="000A3C7D" w:rsidRPr="00E37ACD" w:rsidRDefault="000A3C7D" w:rsidP="00364F4B">
            <w:pPr>
              <w:pStyle w:val="TableText0"/>
              <w:spacing w:before="0" w:after="0"/>
              <w:rPr>
                <w:rFonts w:cs="Arial"/>
                <w:lang w:eastAsia="en-AU"/>
              </w:rPr>
            </w:pPr>
            <w:proofErr w:type="spellStart"/>
            <w:r w:rsidRPr="00E37ACD">
              <w:rPr>
                <w:rFonts w:cs="Arial"/>
                <w:lang w:eastAsia="en-AU"/>
              </w:rPr>
              <w:t>Holme</w:t>
            </w:r>
            <w:proofErr w:type="spellEnd"/>
            <w:r w:rsidRPr="00E37ACD">
              <w:rPr>
                <w:rFonts w:cs="Arial"/>
                <w:lang w:eastAsia="en-AU"/>
              </w:rPr>
              <w:t xml:space="preserve">, E. and </w:t>
            </w:r>
            <w:proofErr w:type="spellStart"/>
            <w:r w:rsidRPr="00E37ACD">
              <w:rPr>
                <w:rFonts w:cs="Arial"/>
                <w:lang w:eastAsia="en-AU"/>
              </w:rPr>
              <w:t>Lindstedt</w:t>
            </w:r>
            <w:proofErr w:type="spellEnd"/>
            <w:r w:rsidRPr="00E37ACD">
              <w:rPr>
                <w:rFonts w:cs="Arial"/>
                <w:lang w:eastAsia="en-AU"/>
              </w:rPr>
              <w:t xml:space="preserve">, S. </w:t>
            </w:r>
            <w:proofErr w:type="spellStart"/>
            <w:r w:rsidRPr="00E37ACD">
              <w:rPr>
                <w:rFonts w:cs="Arial"/>
                <w:lang w:eastAsia="en-AU"/>
              </w:rPr>
              <w:t>Nontransplant</w:t>
            </w:r>
            <w:proofErr w:type="spellEnd"/>
            <w:r w:rsidRPr="00E37ACD">
              <w:rPr>
                <w:rFonts w:cs="Arial"/>
                <w:lang w:eastAsia="en-AU"/>
              </w:rPr>
              <w:t xml:space="preserve"> treatment of </w:t>
            </w:r>
            <w:proofErr w:type="spellStart"/>
            <w:r w:rsidRPr="00E37ACD">
              <w:rPr>
                <w:rFonts w:cs="Arial"/>
                <w:lang w:eastAsia="en-AU"/>
              </w:rPr>
              <w:t>tyrosinaemia</w:t>
            </w:r>
            <w:proofErr w:type="spellEnd"/>
            <w:r w:rsidRPr="00E37ACD">
              <w:rPr>
                <w:rFonts w:cs="Arial"/>
                <w:lang w:eastAsia="en-AU"/>
              </w:rPr>
              <w:t xml:space="preserve"> </w:t>
            </w:r>
          </w:p>
          <w:p w:rsidR="000A3C7D" w:rsidRPr="00E37ACD" w:rsidRDefault="000A3C7D" w:rsidP="00135EC8">
            <w:pPr>
              <w:pStyle w:val="TableText0"/>
              <w:spacing w:before="0" w:after="0"/>
              <w:rPr>
                <w:rFonts w:cs="Arial"/>
                <w:lang w:eastAsia="en-AU"/>
              </w:rPr>
            </w:pPr>
          </w:p>
        </w:tc>
        <w:tc>
          <w:tcPr>
            <w:tcW w:w="1313" w:type="pct"/>
            <w:tcBorders>
              <w:top w:val="nil"/>
              <w:bottom w:val="nil"/>
            </w:tcBorders>
          </w:tcPr>
          <w:p w:rsidR="000A3C7D" w:rsidRPr="00E37ACD" w:rsidRDefault="000A3C7D" w:rsidP="00364F4B">
            <w:pPr>
              <w:pStyle w:val="TableText0"/>
              <w:spacing w:before="0" w:after="0"/>
              <w:rPr>
                <w:rFonts w:cs="Arial"/>
                <w:lang w:eastAsia="en-AU"/>
              </w:rPr>
            </w:pPr>
            <w:r w:rsidRPr="00E37ACD">
              <w:rPr>
                <w:rFonts w:cs="Arial"/>
                <w:lang w:eastAsia="en-AU"/>
              </w:rPr>
              <w:t>Clinics in Liver Disease 2000; 4 (4): 805-814</w:t>
            </w:r>
          </w:p>
          <w:p w:rsidR="000A3C7D" w:rsidRPr="00E37ACD" w:rsidRDefault="000A3C7D" w:rsidP="00364F4B">
            <w:pPr>
              <w:pStyle w:val="TableText0"/>
              <w:spacing w:before="0" w:after="0"/>
              <w:rPr>
                <w:rFonts w:cs="Arial"/>
                <w:lang w:eastAsia="en-AU"/>
              </w:rPr>
            </w:pPr>
          </w:p>
        </w:tc>
      </w:tr>
      <w:tr w:rsidR="000A3C7D" w:rsidRPr="00E37ACD" w:rsidTr="00364F4B">
        <w:tc>
          <w:tcPr>
            <w:tcW w:w="901" w:type="pct"/>
            <w:tcBorders>
              <w:top w:val="nil"/>
              <w:bottom w:val="nil"/>
            </w:tcBorders>
          </w:tcPr>
          <w:p w:rsidR="000A3C7D" w:rsidRPr="00E37ACD" w:rsidRDefault="000A3C7D" w:rsidP="00135EC8">
            <w:pPr>
              <w:keepNext/>
              <w:jc w:val="left"/>
              <w:rPr>
                <w:rFonts w:ascii="Arial Narrow" w:hAnsi="Arial Narrow"/>
                <w:sz w:val="20"/>
              </w:rPr>
            </w:pPr>
          </w:p>
        </w:tc>
        <w:tc>
          <w:tcPr>
            <w:tcW w:w="2786" w:type="pct"/>
            <w:tcBorders>
              <w:top w:val="nil"/>
              <w:bottom w:val="nil"/>
            </w:tcBorders>
          </w:tcPr>
          <w:p w:rsidR="000A3C7D" w:rsidRPr="00E37ACD" w:rsidRDefault="000A3C7D" w:rsidP="00364F4B">
            <w:pPr>
              <w:pStyle w:val="TableText0"/>
              <w:spacing w:before="0" w:after="0"/>
              <w:rPr>
                <w:rFonts w:cs="Arial"/>
                <w:lang w:eastAsia="en-AU"/>
              </w:rPr>
            </w:pPr>
            <w:proofErr w:type="spellStart"/>
            <w:r w:rsidRPr="00E37ACD">
              <w:rPr>
                <w:rFonts w:cs="Arial"/>
                <w:lang w:eastAsia="en-AU"/>
              </w:rPr>
              <w:t>Lindstedt</w:t>
            </w:r>
            <w:proofErr w:type="spellEnd"/>
            <w:r w:rsidRPr="00E37ACD">
              <w:rPr>
                <w:rFonts w:cs="Arial"/>
                <w:lang w:eastAsia="en-AU"/>
              </w:rPr>
              <w:t xml:space="preserve">, S., </w:t>
            </w:r>
            <w:proofErr w:type="spellStart"/>
            <w:r w:rsidRPr="00E37ACD">
              <w:rPr>
                <w:rFonts w:cs="Arial"/>
                <w:lang w:eastAsia="en-AU"/>
              </w:rPr>
              <w:t>Holme</w:t>
            </w:r>
            <w:proofErr w:type="spellEnd"/>
            <w:r w:rsidRPr="00E37ACD">
              <w:rPr>
                <w:rFonts w:cs="Arial"/>
                <w:lang w:eastAsia="en-AU"/>
              </w:rPr>
              <w:t xml:space="preserve">, E., Lock, E.A., </w:t>
            </w:r>
            <w:proofErr w:type="spellStart"/>
            <w:r w:rsidRPr="00E37ACD">
              <w:rPr>
                <w:rFonts w:cs="Arial"/>
                <w:lang w:eastAsia="en-AU"/>
              </w:rPr>
              <w:t>Hjalmarson</w:t>
            </w:r>
            <w:proofErr w:type="spellEnd"/>
            <w:r w:rsidRPr="00E37ACD">
              <w:rPr>
                <w:rFonts w:cs="Arial"/>
                <w:lang w:eastAsia="en-AU"/>
              </w:rPr>
              <w:t xml:space="preserve">, O. and </w:t>
            </w:r>
            <w:proofErr w:type="spellStart"/>
            <w:r w:rsidRPr="00E37ACD">
              <w:rPr>
                <w:rFonts w:cs="Arial"/>
                <w:lang w:eastAsia="en-AU"/>
              </w:rPr>
              <w:t>Strandvik</w:t>
            </w:r>
            <w:proofErr w:type="spellEnd"/>
            <w:r w:rsidRPr="00E37ACD">
              <w:rPr>
                <w:rFonts w:cs="Arial"/>
                <w:lang w:eastAsia="en-AU"/>
              </w:rPr>
              <w:t xml:space="preserve">, B. Treatment of hereditary </w:t>
            </w:r>
            <w:proofErr w:type="spellStart"/>
            <w:r w:rsidRPr="00E37ACD">
              <w:rPr>
                <w:rFonts w:cs="Arial"/>
                <w:lang w:eastAsia="en-AU"/>
              </w:rPr>
              <w:t>tyrosinaemia</w:t>
            </w:r>
            <w:proofErr w:type="spellEnd"/>
            <w:r w:rsidRPr="00E37ACD">
              <w:rPr>
                <w:rFonts w:cs="Arial"/>
                <w:lang w:eastAsia="en-AU"/>
              </w:rPr>
              <w:t xml:space="preserve"> type I by inhibition of 4-hydroxyphenylpyruvate </w:t>
            </w:r>
            <w:proofErr w:type="spellStart"/>
            <w:r w:rsidRPr="00E37ACD">
              <w:rPr>
                <w:rFonts w:cs="Arial"/>
                <w:lang w:eastAsia="en-AU"/>
              </w:rPr>
              <w:t>dioxygenase</w:t>
            </w:r>
            <w:proofErr w:type="spellEnd"/>
            <w:r w:rsidRPr="00E37ACD">
              <w:rPr>
                <w:rFonts w:cs="Arial"/>
                <w:lang w:eastAsia="en-AU"/>
              </w:rPr>
              <w:t xml:space="preserve"> </w:t>
            </w:r>
          </w:p>
          <w:p w:rsidR="000A3C7D" w:rsidRPr="00E37ACD" w:rsidRDefault="000A3C7D" w:rsidP="00135EC8">
            <w:pPr>
              <w:pStyle w:val="TableText0"/>
              <w:spacing w:before="0" w:after="0"/>
              <w:rPr>
                <w:rFonts w:cs="Arial"/>
                <w:lang w:eastAsia="en-AU"/>
              </w:rPr>
            </w:pPr>
          </w:p>
        </w:tc>
        <w:tc>
          <w:tcPr>
            <w:tcW w:w="1313" w:type="pct"/>
            <w:tcBorders>
              <w:top w:val="nil"/>
              <w:bottom w:val="nil"/>
            </w:tcBorders>
          </w:tcPr>
          <w:p w:rsidR="000A3C7D" w:rsidRPr="00E37ACD" w:rsidRDefault="000A3C7D" w:rsidP="00364F4B">
            <w:pPr>
              <w:pStyle w:val="TableText0"/>
              <w:spacing w:before="0" w:after="0"/>
              <w:rPr>
                <w:rFonts w:cs="Arial"/>
                <w:lang w:eastAsia="en-AU"/>
              </w:rPr>
            </w:pPr>
            <w:r w:rsidRPr="00E37ACD">
              <w:rPr>
                <w:rFonts w:cs="Arial"/>
                <w:lang w:eastAsia="en-AU"/>
              </w:rPr>
              <w:t>Lancet 1992: 340, 813-17</w:t>
            </w:r>
          </w:p>
          <w:p w:rsidR="000A3C7D" w:rsidRPr="00E37ACD" w:rsidRDefault="000A3C7D" w:rsidP="00364F4B">
            <w:pPr>
              <w:pStyle w:val="TableText0"/>
              <w:spacing w:before="0" w:after="0"/>
              <w:rPr>
                <w:rFonts w:cs="Arial"/>
                <w:lang w:eastAsia="en-AU"/>
              </w:rPr>
            </w:pPr>
          </w:p>
        </w:tc>
      </w:tr>
      <w:tr w:rsidR="000A3C7D" w:rsidRPr="00E37ACD" w:rsidTr="00364F4B">
        <w:tc>
          <w:tcPr>
            <w:tcW w:w="901" w:type="pct"/>
            <w:tcBorders>
              <w:top w:val="nil"/>
            </w:tcBorders>
          </w:tcPr>
          <w:p w:rsidR="000A3C7D" w:rsidRPr="00E37ACD" w:rsidRDefault="000A3C7D" w:rsidP="00135EC8">
            <w:pPr>
              <w:keepNext/>
              <w:jc w:val="left"/>
              <w:rPr>
                <w:rFonts w:ascii="Arial Narrow" w:hAnsi="Arial Narrow"/>
                <w:sz w:val="20"/>
              </w:rPr>
            </w:pPr>
          </w:p>
        </w:tc>
        <w:tc>
          <w:tcPr>
            <w:tcW w:w="2786" w:type="pct"/>
            <w:tcBorders>
              <w:top w:val="nil"/>
            </w:tcBorders>
          </w:tcPr>
          <w:p w:rsidR="000A3C7D" w:rsidRPr="00E37ACD" w:rsidRDefault="000A3C7D" w:rsidP="00135EC8">
            <w:pPr>
              <w:pStyle w:val="TableText0"/>
              <w:spacing w:before="0" w:after="0"/>
              <w:rPr>
                <w:rFonts w:cs="Arial"/>
                <w:lang w:eastAsia="en-AU"/>
              </w:rPr>
            </w:pPr>
            <w:proofErr w:type="spellStart"/>
            <w:r w:rsidRPr="00E37ACD">
              <w:rPr>
                <w:rFonts w:cs="Arial"/>
                <w:lang w:eastAsia="en-AU"/>
              </w:rPr>
              <w:t>Holme</w:t>
            </w:r>
            <w:proofErr w:type="spellEnd"/>
            <w:r w:rsidRPr="00E37ACD">
              <w:rPr>
                <w:rFonts w:cs="Arial"/>
                <w:lang w:eastAsia="en-AU"/>
              </w:rPr>
              <w:t xml:space="preserve">, E. and  </w:t>
            </w:r>
            <w:proofErr w:type="spellStart"/>
            <w:r w:rsidRPr="00E37ACD">
              <w:rPr>
                <w:rFonts w:cs="Arial"/>
                <w:lang w:eastAsia="en-AU"/>
              </w:rPr>
              <w:t>Lindstedt</w:t>
            </w:r>
            <w:proofErr w:type="spellEnd"/>
            <w:r w:rsidRPr="00E37ACD">
              <w:rPr>
                <w:rFonts w:cs="Arial"/>
                <w:lang w:eastAsia="en-AU"/>
              </w:rPr>
              <w:t xml:space="preserve">, S. </w:t>
            </w:r>
            <w:proofErr w:type="spellStart"/>
            <w:r w:rsidRPr="00E37ACD">
              <w:rPr>
                <w:rFonts w:cs="Arial"/>
                <w:lang w:eastAsia="en-AU"/>
              </w:rPr>
              <w:t>Tyrosinaemia</w:t>
            </w:r>
            <w:proofErr w:type="spellEnd"/>
            <w:r w:rsidRPr="00E37ACD">
              <w:rPr>
                <w:rFonts w:cs="Arial"/>
                <w:lang w:eastAsia="en-AU"/>
              </w:rPr>
              <w:t xml:space="preserve"> type I and NTBC (2-(2-nitro-4-trifluoromethylbenzoyl)-1,3-cyclohexanedione)</w:t>
            </w:r>
          </w:p>
        </w:tc>
        <w:tc>
          <w:tcPr>
            <w:tcW w:w="1313" w:type="pct"/>
            <w:tcBorders>
              <w:top w:val="nil"/>
            </w:tcBorders>
          </w:tcPr>
          <w:p w:rsidR="000A3C7D" w:rsidRPr="00E37ACD" w:rsidRDefault="000A3C7D" w:rsidP="00364F4B">
            <w:pPr>
              <w:pStyle w:val="TableText0"/>
              <w:spacing w:before="0" w:after="0"/>
              <w:rPr>
                <w:rFonts w:cs="Arial"/>
                <w:lang w:eastAsia="en-AU"/>
              </w:rPr>
            </w:pPr>
            <w:r w:rsidRPr="00E37ACD">
              <w:rPr>
                <w:rFonts w:cs="Arial"/>
                <w:lang w:eastAsia="en-AU"/>
              </w:rPr>
              <w:t>Journal of Inherited Metabolic Disease 1998; 21: 507-517</w:t>
            </w:r>
          </w:p>
        </w:tc>
      </w:tr>
      <w:tr w:rsidR="000A3C7D" w:rsidRPr="00E37ACD" w:rsidTr="00364F4B">
        <w:tc>
          <w:tcPr>
            <w:tcW w:w="5000" w:type="pct"/>
            <w:gridSpan w:val="3"/>
          </w:tcPr>
          <w:p w:rsidR="000A3C7D" w:rsidRPr="00E37ACD" w:rsidRDefault="000A3C7D" w:rsidP="00135EC8">
            <w:pPr>
              <w:keepNext/>
              <w:jc w:val="left"/>
              <w:rPr>
                <w:rFonts w:ascii="Arial Narrow" w:hAnsi="Arial Narrow"/>
                <w:b/>
                <w:sz w:val="20"/>
              </w:rPr>
            </w:pPr>
            <w:r w:rsidRPr="00E37ACD">
              <w:rPr>
                <w:rFonts w:ascii="Arial Narrow" w:hAnsi="Arial Narrow"/>
                <w:b/>
                <w:sz w:val="20"/>
              </w:rPr>
              <w:t>Comparator: Diet alone, key study</w:t>
            </w:r>
          </w:p>
        </w:tc>
      </w:tr>
      <w:tr w:rsidR="000A3C7D" w:rsidRPr="00E37ACD" w:rsidTr="00360B8E">
        <w:tc>
          <w:tcPr>
            <w:tcW w:w="901" w:type="pct"/>
          </w:tcPr>
          <w:p w:rsidR="000A3C7D" w:rsidRPr="00E37ACD" w:rsidRDefault="000A3C7D" w:rsidP="00135EC8">
            <w:pPr>
              <w:keepNext/>
              <w:jc w:val="left"/>
              <w:rPr>
                <w:rFonts w:ascii="Arial Narrow" w:hAnsi="Arial Narrow"/>
                <w:sz w:val="20"/>
              </w:rPr>
            </w:pPr>
            <w:r w:rsidRPr="00E37ACD">
              <w:rPr>
                <w:rFonts w:ascii="Arial Narrow" w:hAnsi="Arial Narrow"/>
                <w:sz w:val="20"/>
              </w:rPr>
              <w:t xml:space="preserve">van </w:t>
            </w:r>
            <w:proofErr w:type="spellStart"/>
            <w:r w:rsidRPr="00E37ACD">
              <w:rPr>
                <w:rFonts w:ascii="Arial Narrow" w:hAnsi="Arial Narrow"/>
                <w:sz w:val="20"/>
              </w:rPr>
              <w:t>Spronsen</w:t>
            </w:r>
            <w:proofErr w:type="spellEnd"/>
            <w:r w:rsidRPr="00E37ACD">
              <w:rPr>
                <w:rFonts w:ascii="Arial Narrow" w:hAnsi="Arial Narrow"/>
                <w:sz w:val="20"/>
              </w:rPr>
              <w:t xml:space="preserve"> 1994</w:t>
            </w:r>
          </w:p>
        </w:tc>
        <w:tc>
          <w:tcPr>
            <w:tcW w:w="2786" w:type="pct"/>
          </w:tcPr>
          <w:p w:rsidR="000A3C7D" w:rsidRPr="00E37ACD" w:rsidRDefault="000A3C7D" w:rsidP="00135EC8">
            <w:pPr>
              <w:pStyle w:val="TableText0"/>
              <w:spacing w:before="0" w:after="0"/>
              <w:rPr>
                <w:b/>
              </w:rPr>
            </w:pPr>
            <w:r w:rsidRPr="00E37ACD">
              <w:rPr>
                <w:rFonts w:cs="Arial"/>
              </w:rPr>
              <w:t xml:space="preserve">van </w:t>
            </w:r>
            <w:proofErr w:type="spellStart"/>
            <w:r w:rsidRPr="00E37ACD">
              <w:rPr>
                <w:rFonts w:cs="Arial"/>
              </w:rPr>
              <w:t>Spronsen</w:t>
            </w:r>
            <w:proofErr w:type="spellEnd"/>
            <w:r w:rsidRPr="00E37ACD">
              <w:rPr>
                <w:rFonts w:cs="Arial"/>
              </w:rPr>
              <w:t xml:space="preserve">, F. J., </w:t>
            </w:r>
            <w:proofErr w:type="spellStart"/>
            <w:r w:rsidRPr="00E37ACD">
              <w:rPr>
                <w:rFonts w:cs="Arial"/>
              </w:rPr>
              <w:t>Thomasse</w:t>
            </w:r>
            <w:proofErr w:type="spellEnd"/>
            <w:r w:rsidRPr="00E37ACD">
              <w:rPr>
                <w:rFonts w:cs="Arial"/>
              </w:rPr>
              <w:t xml:space="preserve">, Y., Smit, G. P. A., Leonard, J. V., Clayton, P. T., </w:t>
            </w:r>
            <w:proofErr w:type="spellStart"/>
            <w:r w:rsidRPr="00E37ACD">
              <w:rPr>
                <w:rFonts w:cs="Arial"/>
              </w:rPr>
              <w:t>Fidler</w:t>
            </w:r>
            <w:proofErr w:type="spellEnd"/>
            <w:r w:rsidRPr="00E37ACD">
              <w:rPr>
                <w:rFonts w:cs="Arial"/>
              </w:rPr>
              <w:t xml:space="preserve">, V., Berger, R., and Heymans, H. S. A. Hereditary </w:t>
            </w:r>
            <w:proofErr w:type="spellStart"/>
            <w:r w:rsidRPr="00E37ACD">
              <w:rPr>
                <w:rFonts w:cs="Arial"/>
              </w:rPr>
              <w:t>tyrosinemia</w:t>
            </w:r>
            <w:proofErr w:type="spellEnd"/>
            <w:r w:rsidRPr="00E37ACD">
              <w:rPr>
                <w:rFonts w:cs="Arial"/>
              </w:rPr>
              <w:t xml:space="preserve"> type I: A new clinical classification with difference in prognosis on dietary treatment </w:t>
            </w:r>
          </w:p>
        </w:tc>
        <w:tc>
          <w:tcPr>
            <w:tcW w:w="1313" w:type="pct"/>
          </w:tcPr>
          <w:p w:rsidR="000A3C7D" w:rsidRPr="00E37ACD" w:rsidRDefault="000A3C7D" w:rsidP="00135EC8">
            <w:pPr>
              <w:pStyle w:val="TableText0"/>
              <w:spacing w:before="0" w:after="0"/>
              <w:rPr>
                <w:b/>
              </w:rPr>
            </w:pPr>
            <w:proofErr w:type="spellStart"/>
            <w:r w:rsidRPr="00E37ACD">
              <w:rPr>
                <w:rFonts w:cs="Arial"/>
              </w:rPr>
              <w:t>Hepatology</w:t>
            </w:r>
            <w:proofErr w:type="spellEnd"/>
            <w:r w:rsidRPr="00E37ACD">
              <w:rPr>
                <w:rFonts w:cs="Arial"/>
              </w:rPr>
              <w:t xml:space="preserve"> 1994; 20 (5): 1187-1191</w:t>
            </w:r>
          </w:p>
        </w:tc>
      </w:tr>
      <w:tr w:rsidR="000A3C7D" w:rsidRPr="00E37ACD" w:rsidTr="00060525">
        <w:tc>
          <w:tcPr>
            <w:tcW w:w="5000" w:type="pct"/>
            <w:gridSpan w:val="3"/>
          </w:tcPr>
          <w:p w:rsidR="000A3C7D" w:rsidRPr="00E37ACD" w:rsidRDefault="000A3C7D" w:rsidP="00135EC8">
            <w:pPr>
              <w:keepNext/>
              <w:jc w:val="left"/>
              <w:rPr>
                <w:rFonts w:ascii="Arial Narrow" w:hAnsi="Arial Narrow"/>
                <w:b/>
                <w:sz w:val="20"/>
              </w:rPr>
            </w:pPr>
            <w:r w:rsidRPr="00E37ACD">
              <w:rPr>
                <w:rFonts w:ascii="Arial Narrow" w:hAnsi="Arial Narrow"/>
                <w:b/>
                <w:sz w:val="20"/>
              </w:rPr>
              <w:t xml:space="preserve">Proposed drug: </w:t>
            </w:r>
            <w:proofErr w:type="spellStart"/>
            <w:r w:rsidRPr="00E37ACD">
              <w:rPr>
                <w:rFonts w:ascii="Arial Narrow" w:hAnsi="Arial Narrow"/>
                <w:b/>
                <w:sz w:val="20"/>
              </w:rPr>
              <w:t>Nitisinone</w:t>
            </w:r>
            <w:proofErr w:type="spellEnd"/>
            <w:r w:rsidRPr="00E37ACD">
              <w:rPr>
                <w:rFonts w:ascii="Arial Narrow" w:hAnsi="Arial Narrow"/>
                <w:b/>
                <w:sz w:val="20"/>
              </w:rPr>
              <w:t>, supportive studies</w:t>
            </w:r>
          </w:p>
        </w:tc>
      </w:tr>
      <w:tr w:rsidR="000A3C7D" w:rsidRPr="00E37ACD" w:rsidTr="00060525">
        <w:tc>
          <w:tcPr>
            <w:tcW w:w="901" w:type="pct"/>
          </w:tcPr>
          <w:p w:rsidR="000A3C7D" w:rsidRPr="00E37ACD" w:rsidRDefault="000A3C7D" w:rsidP="00135EC8">
            <w:pPr>
              <w:keepNext/>
              <w:jc w:val="left"/>
              <w:rPr>
                <w:rFonts w:ascii="Arial Narrow" w:hAnsi="Arial Narrow"/>
                <w:sz w:val="20"/>
              </w:rPr>
            </w:pPr>
            <w:proofErr w:type="spellStart"/>
            <w:r w:rsidRPr="00E37ACD">
              <w:rPr>
                <w:rFonts w:ascii="Arial Narrow" w:hAnsi="Arial Narrow"/>
                <w:sz w:val="20"/>
              </w:rPr>
              <w:t>Masurel-Paulet</w:t>
            </w:r>
            <w:proofErr w:type="spellEnd"/>
            <w:r w:rsidRPr="00E37ACD">
              <w:rPr>
                <w:rFonts w:ascii="Arial Narrow" w:hAnsi="Arial Narrow"/>
                <w:sz w:val="20"/>
              </w:rPr>
              <w:t xml:space="preserve"> 2008</w:t>
            </w:r>
          </w:p>
        </w:tc>
        <w:tc>
          <w:tcPr>
            <w:tcW w:w="2786" w:type="pct"/>
          </w:tcPr>
          <w:p w:rsidR="000A3C7D" w:rsidRPr="00E37ACD" w:rsidRDefault="000A3C7D" w:rsidP="00135EC8">
            <w:pPr>
              <w:keepNext/>
              <w:jc w:val="left"/>
              <w:rPr>
                <w:rFonts w:ascii="Arial Narrow" w:hAnsi="Arial Narrow"/>
                <w:sz w:val="20"/>
              </w:rPr>
            </w:pPr>
            <w:proofErr w:type="spellStart"/>
            <w:r w:rsidRPr="00E37ACD">
              <w:rPr>
                <w:rFonts w:ascii="Arial Narrow" w:hAnsi="Arial Narrow"/>
                <w:sz w:val="20"/>
              </w:rPr>
              <w:t>Masurel-Paulet</w:t>
            </w:r>
            <w:proofErr w:type="spellEnd"/>
            <w:r w:rsidRPr="00E37ACD">
              <w:rPr>
                <w:rFonts w:ascii="Arial Narrow" w:hAnsi="Arial Narrow"/>
                <w:sz w:val="20"/>
              </w:rPr>
              <w:t xml:space="preserve">, A., </w:t>
            </w:r>
            <w:proofErr w:type="spellStart"/>
            <w:r w:rsidRPr="00E37ACD">
              <w:rPr>
                <w:rFonts w:ascii="Arial Narrow" w:hAnsi="Arial Narrow"/>
                <w:sz w:val="20"/>
              </w:rPr>
              <w:t>Poggi</w:t>
            </w:r>
            <w:proofErr w:type="spellEnd"/>
            <w:r w:rsidRPr="00E37ACD">
              <w:rPr>
                <w:rFonts w:ascii="Arial Narrow" w:hAnsi="Arial Narrow"/>
                <w:sz w:val="20"/>
              </w:rPr>
              <w:t xml:space="preserve">-Bach, J., Rolland, M. O., Bernard, O., </w:t>
            </w:r>
            <w:proofErr w:type="spellStart"/>
            <w:r w:rsidRPr="00E37ACD">
              <w:rPr>
                <w:rFonts w:ascii="Arial Narrow" w:hAnsi="Arial Narrow"/>
                <w:sz w:val="20"/>
              </w:rPr>
              <w:t>Guffon</w:t>
            </w:r>
            <w:proofErr w:type="spellEnd"/>
            <w:r w:rsidRPr="00E37ACD">
              <w:rPr>
                <w:rFonts w:ascii="Arial Narrow" w:hAnsi="Arial Narrow"/>
                <w:sz w:val="20"/>
              </w:rPr>
              <w:t xml:space="preserve">, N., </w:t>
            </w:r>
            <w:proofErr w:type="spellStart"/>
            <w:r w:rsidRPr="00E37ACD">
              <w:rPr>
                <w:rFonts w:ascii="Arial Narrow" w:hAnsi="Arial Narrow"/>
                <w:sz w:val="20"/>
              </w:rPr>
              <w:t>Dobbelaere</w:t>
            </w:r>
            <w:proofErr w:type="spellEnd"/>
            <w:r w:rsidRPr="00E37ACD">
              <w:rPr>
                <w:rFonts w:ascii="Arial Narrow" w:hAnsi="Arial Narrow"/>
                <w:sz w:val="20"/>
              </w:rPr>
              <w:t xml:space="preserve">, D., </w:t>
            </w:r>
            <w:proofErr w:type="spellStart"/>
            <w:r w:rsidRPr="00E37ACD">
              <w:rPr>
                <w:rFonts w:ascii="Arial Narrow" w:hAnsi="Arial Narrow"/>
                <w:sz w:val="20"/>
              </w:rPr>
              <w:t>Sarles</w:t>
            </w:r>
            <w:proofErr w:type="spellEnd"/>
            <w:r w:rsidRPr="00E37ACD">
              <w:rPr>
                <w:rFonts w:ascii="Arial Narrow" w:hAnsi="Arial Narrow"/>
                <w:sz w:val="20"/>
              </w:rPr>
              <w:t xml:space="preserve">, J., </w:t>
            </w:r>
            <w:proofErr w:type="spellStart"/>
            <w:r w:rsidRPr="00E37ACD">
              <w:rPr>
                <w:rFonts w:ascii="Arial Narrow" w:hAnsi="Arial Narrow"/>
                <w:sz w:val="20"/>
              </w:rPr>
              <w:t>Baulny</w:t>
            </w:r>
            <w:proofErr w:type="spellEnd"/>
            <w:r w:rsidRPr="00E37ACD">
              <w:rPr>
                <w:rFonts w:ascii="Arial Narrow" w:hAnsi="Arial Narrow"/>
                <w:sz w:val="20"/>
              </w:rPr>
              <w:t xml:space="preserve">, O. O. H., and </w:t>
            </w:r>
            <w:proofErr w:type="spellStart"/>
            <w:r w:rsidRPr="00E37ACD">
              <w:rPr>
                <w:rFonts w:ascii="Arial Narrow" w:hAnsi="Arial Narrow"/>
                <w:sz w:val="20"/>
              </w:rPr>
              <w:t>Touati</w:t>
            </w:r>
            <w:proofErr w:type="spellEnd"/>
            <w:r w:rsidRPr="00E37ACD">
              <w:rPr>
                <w:rFonts w:ascii="Arial Narrow" w:hAnsi="Arial Narrow"/>
                <w:sz w:val="20"/>
              </w:rPr>
              <w:t xml:space="preserve">, G. NTBC treatment in </w:t>
            </w:r>
            <w:proofErr w:type="spellStart"/>
            <w:r w:rsidRPr="00E37ACD">
              <w:rPr>
                <w:rFonts w:ascii="Arial Narrow" w:hAnsi="Arial Narrow"/>
                <w:sz w:val="20"/>
              </w:rPr>
              <w:t>tyrosinaemia</w:t>
            </w:r>
            <w:proofErr w:type="spellEnd"/>
            <w:r w:rsidRPr="00E37ACD">
              <w:rPr>
                <w:rFonts w:ascii="Arial Narrow" w:hAnsi="Arial Narrow"/>
                <w:sz w:val="20"/>
              </w:rPr>
              <w:t xml:space="preserve"> type I: Long-term outcome in French patients </w:t>
            </w:r>
          </w:p>
        </w:tc>
        <w:tc>
          <w:tcPr>
            <w:tcW w:w="1313" w:type="pct"/>
          </w:tcPr>
          <w:p w:rsidR="000A3C7D" w:rsidRPr="00E37ACD" w:rsidRDefault="000A3C7D" w:rsidP="00135EC8">
            <w:pPr>
              <w:keepNext/>
              <w:jc w:val="left"/>
              <w:rPr>
                <w:rFonts w:ascii="Arial Narrow" w:hAnsi="Arial Narrow"/>
                <w:b/>
                <w:sz w:val="20"/>
              </w:rPr>
            </w:pPr>
            <w:r w:rsidRPr="00E37ACD">
              <w:rPr>
                <w:rFonts w:ascii="Arial Narrow" w:hAnsi="Arial Narrow"/>
                <w:sz w:val="20"/>
              </w:rPr>
              <w:t>Journal of Inherited Metabolic Disease 2008; 31 (1): 81-87</w:t>
            </w:r>
          </w:p>
        </w:tc>
      </w:tr>
      <w:tr w:rsidR="000A3C7D" w:rsidRPr="00E37ACD" w:rsidTr="00364F4B">
        <w:tc>
          <w:tcPr>
            <w:tcW w:w="901" w:type="pct"/>
          </w:tcPr>
          <w:p w:rsidR="000A3C7D" w:rsidRPr="00E37ACD" w:rsidRDefault="000A3C7D" w:rsidP="00364F4B">
            <w:pPr>
              <w:pStyle w:val="TableText0"/>
              <w:spacing w:before="0" w:after="0"/>
              <w:rPr>
                <w:rFonts w:cs="Arial"/>
                <w:lang w:eastAsia="en-AU"/>
              </w:rPr>
            </w:pPr>
            <w:proofErr w:type="spellStart"/>
            <w:r w:rsidRPr="00E37ACD">
              <w:rPr>
                <w:rFonts w:cs="Arial"/>
                <w:lang w:eastAsia="en-AU"/>
              </w:rPr>
              <w:t>Raimann</w:t>
            </w:r>
            <w:proofErr w:type="spellEnd"/>
            <w:r w:rsidRPr="00E37ACD">
              <w:rPr>
                <w:rFonts w:cs="Arial"/>
                <w:lang w:eastAsia="en-AU"/>
              </w:rPr>
              <w:t xml:space="preserve"> 2012</w:t>
            </w:r>
          </w:p>
        </w:tc>
        <w:tc>
          <w:tcPr>
            <w:tcW w:w="2786" w:type="pct"/>
          </w:tcPr>
          <w:p w:rsidR="000A3C7D" w:rsidRPr="00E37ACD" w:rsidRDefault="000A3C7D" w:rsidP="00135EC8">
            <w:pPr>
              <w:pStyle w:val="TableText0"/>
              <w:spacing w:before="0" w:after="0"/>
              <w:rPr>
                <w:rFonts w:cs="Arial"/>
                <w:lang w:eastAsia="en-AU"/>
              </w:rPr>
            </w:pPr>
            <w:proofErr w:type="spellStart"/>
            <w:r w:rsidRPr="00E37ACD">
              <w:rPr>
                <w:rFonts w:cs="Arial"/>
              </w:rPr>
              <w:t>Raimann</w:t>
            </w:r>
            <w:proofErr w:type="spellEnd"/>
            <w:r w:rsidRPr="00E37ACD">
              <w:rPr>
                <w:rFonts w:cs="Arial"/>
              </w:rPr>
              <w:t xml:space="preserve">, E., Cornejo, V., Arias, C., Cabello, J. F., Castro, G., Fernandez, E., and de la Parra, A. Clinical follow up of Chilean patients with </w:t>
            </w:r>
            <w:proofErr w:type="spellStart"/>
            <w:r w:rsidRPr="00E37ACD">
              <w:rPr>
                <w:rFonts w:cs="Arial"/>
              </w:rPr>
              <w:t>tyrosinemia</w:t>
            </w:r>
            <w:proofErr w:type="spellEnd"/>
            <w:r w:rsidRPr="00E37ACD">
              <w:rPr>
                <w:rFonts w:cs="Arial"/>
              </w:rPr>
              <w:t xml:space="preserve"> type 1 treated with 2-(2-nitro-4-trifl </w:t>
            </w:r>
            <w:proofErr w:type="spellStart"/>
            <w:r w:rsidRPr="00E37ACD">
              <w:rPr>
                <w:rFonts w:cs="Arial"/>
              </w:rPr>
              <w:t>uoromethylbenzoyl</w:t>
            </w:r>
            <w:proofErr w:type="spellEnd"/>
            <w:r w:rsidRPr="00E37ACD">
              <w:rPr>
                <w:rFonts w:cs="Arial"/>
              </w:rPr>
              <w:t>)- 1,3-ciclohexanedione (NTBC)</w:t>
            </w:r>
          </w:p>
        </w:tc>
        <w:tc>
          <w:tcPr>
            <w:tcW w:w="1313" w:type="pct"/>
          </w:tcPr>
          <w:p w:rsidR="000A3C7D" w:rsidRPr="00E37ACD" w:rsidRDefault="000A3C7D" w:rsidP="00135EC8">
            <w:pPr>
              <w:pStyle w:val="TableText0"/>
              <w:spacing w:before="0" w:after="0"/>
              <w:rPr>
                <w:b/>
              </w:rPr>
            </w:pPr>
            <w:proofErr w:type="spellStart"/>
            <w:r w:rsidRPr="00E37ACD">
              <w:rPr>
                <w:rFonts w:cs="Arial"/>
              </w:rPr>
              <w:t>Revista</w:t>
            </w:r>
            <w:proofErr w:type="spellEnd"/>
            <w:r w:rsidRPr="00E37ACD">
              <w:rPr>
                <w:rFonts w:cs="Arial"/>
              </w:rPr>
              <w:t xml:space="preserve"> </w:t>
            </w:r>
            <w:proofErr w:type="spellStart"/>
            <w:r w:rsidRPr="00E37ACD">
              <w:rPr>
                <w:rFonts w:cs="Arial"/>
              </w:rPr>
              <w:t>Medica</w:t>
            </w:r>
            <w:proofErr w:type="spellEnd"/>
            <w:r w:rsidRPr="00E37ACD">
              <w:rPr>
                <w:rFonts w:cs="Arial"/>
              </w:rPr>
              <w:t xml:space="preserve"> de Chile 2012; 140 (2): 169-175</w:t>
            </w:r>
          </w:p>
        </w:tc>
      </w:tr>
      <w:tr w:rsidR="000A3C7D" w:rsidRPr="00E37ACD" w:rsidTr="00364F4B">
        <w:tc>
          <w:tcPr>
            <w:tcW w:w="901" w:type="pct"/>
          </w:tcPr>
          <w:p w:rsidR="000A3C7D" w:rsidRPr="00E37ACD" w:rsidRDefault="000A3C7D" w:rsidP="00364F4B">
            <w:pPr>
              <w:pStyle w:val="TableText0"/>
              <w:spacing w:before="0" w:after="0"/>
              <w:rPr>
                <w:rFonts w:cs="Arial"/>
                <w:lang w:eastAsia="en-AU"/>
              </w:rPr>
            </w:pPr>
            <w:proofErr w:type="spellStart"/>
            <w:r w:rsidRPr="00E37ACD">
              <w:rPr>
                <w:rFonts w:cs="Arial"/>
                <w:lang w:eastAsia="en-AU"/>
              </w:rPr>
              <w:t>Couce</w:t>
            </w:r>
            <w:proofErr w:type="spellEnd"/>
            <w:r w:rsidRPr="00E37ACD">
              <w:rPr>
                <w:rFonts w:cs="Arial"/>
                <w:lang w:eastAsia="en-AU"/>
              </w:rPr>
              <w:t xml:space="preserve"> 2011</w:t>
            </w:r>
          </w:p>
        </w:tc>
        <w:tc>
          <w:tcPr>
            <w:tcW w:w="2786" w:type="pct"/>
          </w:tcPr>
          <w:p w:rsidR="000A3C7D" w:rsidRPr="00E37ACD" w:rsidRDefault="000A3C7D" w:rsidP="00135EC8">
            <w:pPr>
              <w:pStyle w:val="TableText0"/>
              <w:spacing w:before="0" w:after="0"/>
              <w:rPr>
                <w:rFonts w:cs="Arial"/>
                <w:lang w:eastAsia="en-AU"/>
              </w:rPr>
            </w:pPr>
            <w:proofErr w:type="spellStart"/>
            <w:r w:rsidRPr="00E37ACD">
              <w:rPr>
                <w:rFonts w:cs="Arial"/>
              </w:rPr>
              <w:t>Couce</w:t>
            </w:r>
            <w:proofErr w:type="spellEnd"/>
            <w:r w:rsidRPr="00E37ACD">
              <w:rPr>
                <w:rFonts w:cs="Arial"/>
              </w:rPr>
              <w:t xml:space="preserve">, M. L., </w:t>
            </w:r>
            <w:proofErr w:type="spellStart"/>
            <w:r w:rsidRPr="00E37ACD">
              <w:rPr>
                <w:rFonts w:cs="Arial"/>
              </w:rPr>
              <w:t>Dalmau</w:t>
            </w:r>
            <w:proofErr w:type="spellEnd"/>
            <w:r w:rsidRPr="00E37ACD">
              <w:rPr>
                <w:rFonts w:cs="Arial"/>
              </w:rPr>
              <w:t>, J., Del Toro, M., Pintos-</w:t>
            </w:r>
            <w:proofErr w:type="spellStart"/>
            <w:r w:rsidRPr="00E37ACD">
              <w:rPr>
                <w:rFonts w:cs="Arial"/>
              </w:rPr>
              <w:t>Morell</w:t>
            </w:r>
            <w:proofErr w:type="spellEnd"/>
            <w:r w:rsidRPr="00E37ACD">
              <w:rPr>
                <w:rFonts w:cs="Arial"/>
              </w:rPr>
              <w:t xml:space="preserve">, G., and </w:t>
            </w:r>
            <w:proofErr w:type="spellStart"/>
            <w:r w:rsidRPr="00E37ACD">
              <w:rPr>
                <w:rFonts w:cs="Arial"/>
              </w:rPr>
              <w:t>Aldamiz-Echevarria</w:t>
            </w:r>
            <w:proofErr w:type="spellEnd"/>
            <w:r w:rsidRPr="00E37ACD">
              <w:rPr>
                <w:rFonts w:cs="Arial"/>
              </w:rPr>
              <w:t xml:space="preserve">, L. </w:t>
            </w:r>
            <w:proofErr w:type="spellStart"/>
            <w:r w:rsidRPr="00E37ACD">
              <w:rPr>
                <w:rFonts w:cs="Arial"/>
              </w:rPr>
              <w:t>Tyrosinemia</w:t>
            </w:r>
            <w:proofErr w:type="spellEnd"/>
            <w:r w:rsidRPr="00E37ACD">
              <w:rPr>
                <w:rFonts w:cs="Arial"/>
              </w:rPr>
              <w:t xml:space="preserve"> type 1 in Spain: Mutational analysis, treatment and long-term outcome </w:t>
            </w:r>
          </w:p>
        </w:tc>
        <w:tc>
          <w:tcPr>
            <w:tcW w:w="1313" w:type="pct"/>
          </w:tcPr>
          <w:p w:rsidR="000A3C7D" w:rsidRPr="00E37ACD" w:rsidRDefault="000A3C7D" w:rsidP="00135EC8">
            <w:pPr>
              <w:pStyle w:val="TableText0"/>
              <w:spacing w:before="0" w:after="0"/>
            </w:pPr>
            <w:proofErr w:type="spellStart"/>
            <w:r w:rsidRPr="00E37ACD">
              <w:rPr>
                <w:rFonts w:cs="Arial"/>
              </w:rPr>
              <w:t>Pediatrics</w:t>
            </w:r>
            <w:proofErr w:type="spellEnd"/>
            <w:r w:rsidRPr="00E37ACD">
              <w:rPr>
                <w:rFonts w:cs="Arial"/>
              </w:rPr>
              <w:t xml:space="preserve"> International 2011; 53 (6): 985-989</w:t>
            </w:r>
          </w:p>
        </w:tc>
      </w:tr>
      <w:tr w:rsidR="000A3C7D" w:rsidRPr="00E37ACD" w:rsidTr="00060525">
        <w:tc>
          <w:tcPr>
            <w:tcW w:w="901" w:type="pct"/>
          </w:tcPr>
          <w:p w:rsidR="000A3C7D" w:rsidRPr="00E37ACD" w:rsidRDefault="000A3C7D" w:rsidP="00135EC8">
            <w:pPr>
              <w:pStyle w:val="TableText0"/>
              <w:spacing w:before="0" w:after="0"/>
            </w:pPr>
            <w:proofErr w:type="spellStart"/>
            <w:r w:rsidRPr="00E37ACD">
              <w:rPr>
                <w:rFonts w:cs="Arial"/>
                <w:lang w:eastAsia="en-AU"/>
              </w:rPr>
              <w:t>Larochelle</w:t>
            </w:r>
            <w:proofErr w:type="spellEnd"/>
            <w:r w:rsidRPr="00E37ACD">
              <w:rPr>
                <w:rFonts w:cs="Arial"/>
                <w:lang w:eastAsia="en-AU"/>
              </w:rPr>
              <w:t xml:space="preserve"> 2012 (single-arm study with historical cohort) </w:t>
            </w:r>
          </w:p>
        </w:tc>
        <w:tc>
          <w:tcPr>
            <w:tcW w:w="2786" w:type="pct"/>
          </w:tcPr>
          <w:p w:rsidR="000A3C7D" w:rsidRPr="00E37ACD" w:rsidRDefault="000A3C7D" w:rsidP="00135EC8">
            <w:pPr>
              <w:pStyle w:val="TableText0"/>
              <w:spacing w:before="0" w:after="0"/>
            </w:pPr>
            <w:proofErr w:type="spellStart"/>
            <w:r w:rsidRPr="00E37ACD">
              <w:rPr>
                <w:rFonts w:cs="Arial"/>
              </w:rPr>
              <w:t>Larochelle</w:t>
            </w:r>
            <w:proofErr w:type="spellEnd"/>
            <w:r w:rsidRPr="00E37ACD">
              <w:rPr>
                <w:rFonts w:cs="Arial"/>
              </w:rPr>
              <w:t xml:space="preserve">, J., Alvarez, F., </w:t>
            </w:r>
            <w:proofErr w:type="spellStart"/>
            <w:r w:rsidRPr="00E37ACD">
              <w:rPr>
                <w:rFonts w:cs="Arial"/>
              </w:rPr>
              <w:t>Bussieres</w:t>
            </w:r>
            <w:proofErr w:type="spellEnd"/>
            <w:r w:rsidRPr="00E37ACD">
              <w:rPr>
                <w:rFonts w:cs="Arial"/>
              </w:rPr>
              <w:t xml:space="preserve">, J. F., Chevalier, I., </w:t>
            </w:r>
            <w:proofErr w:type="spellStart"/>
            <w:r w:rsidRPr="00E37ACD">
              <w:rPr>
                <w:rFonts w:cs="Arial"/>
              </w:rPr>
              <w:t>Dallaire</w:t>
            </w:r>
            <w:proofErr w:type="spellEnd"/>
            <w:r w:rsidRPr="00E37ACD">
              <w:rPr>
                <w:rFonts w:cs="Arial"/>
              </w:rPr>
              <w:t xml:space="preserve">, L., Dubois, J., </w:t>
            </w:r>
            <w:proofErr w:type="spellStart"/>
            <w:r w:rsidRPr="00E37ACD">
              <w:rPr>
                <w:rFonts w:cs="Arial"/>
              </w:rPr>
              <w:t>Faucher</w:t>
            </w:r>
            <w:proofErr w:type="spellEnd"/>
            <w:r w:rsidRPr="00E37ACD">
              <w:rPr>
                <w:rFonts w:cs="Arial"/>
              </w:rPr>
              <w:t xml:space="preserve">, F., </w:t>
            </w:r>
            <w:proofErr w:type="spellStart"/>
            <w:r w:rsidRPr="00E37ACD">
              <w:rPr>
                <w:rFonts w:cs="Arial"/>
              </w:rPr>
              <w:t>Fenyves</w:t>
            </w:r>
            <w:proofErr w:type="spellEnd"/>
            <w:r w:rsidRPr="00E37ACD">
              <w:rPr>
                <w:rFonts w:cs="Arial"/>
              </w:rPr>
              <w:t xml:space="preserve">, D., </w:t>
            </w:r>
            <w:proofErr w:type="spellStart"/>
            <w:r w:rsidRPr="00E37ACD">
              <w:rPr>
                <w:rFonts w:cs="Arial"/>
              </w:rPr>
              <w:t>Goodyer</w:t>
            </w:r>
            <w:proofErr w:type="spellEnd"/>
            <w:r w:rsidRPr="00E37ACD">
              <w:rPr>
                <w:rFonts w:cs="Arial"/>
              </w:rPr>
              <w:t xml:space="preserve">, P., </w:t>
            </w:r>
            <w:proofErr w:type="spellStart"/>
            <w:r w:rsidRPr="00E37ACD">
              <w:rPr>
                <w:rFonts w:cs="Arial"/>
              </w:rPr>
              <w:t>Grenier</w:t>
            </w:r>
            <w:proofErr w:type="spellEnd"/>
            <w:r w:rsidRPr="00E37ACD">
              <w:rPr>
                <w:rFonts w:cs="Arial"/>
              </w:rPr>
              <w:t xml:space="preserve">, A., </w:t>
            </w:r>
            <w:proofErr w:type="spellStart"/>
            <w:r w:rsidRPr="00E37ACD">
              <w:rPr>
                <w:rFonts w:cs="Arial"/>
              </w:rPr>
              <w:t>Holme</w:t>
            </w:r>
            <w:proofErr w:type="spellEnd"/>
            <w:r w:rsidRPr="00E37ACD">
              <w:rPr>
                <w:rFonts w:cs="Arial"/>
              </w:rPr>
              <w:t xml:space="preserve">, E., </w:t>
            </w:r>
            <w:proofErr w:type="spellStart"/>
            <w:r w:rsidRPr="00E37ACD">
              <w:rPr>
                <w:rFonts w:cs="Arial"/>
              </w:rPr>
              <w:t>Laframboise</w:t>
            </w:r>
            <w:proofErr w:type="spellEnd"/>
            <w:r w:rsidRPr="00E37ACD">
              <w:rPr>
                <w:rFonts w:cs="Arial"/>
              </w:rPr>
              <w:t xml:space="preserve">, R., Lambert, M., </w:t>
            </w:r>
            <w:proofErr w:type="spellStart"/>
            <w:r w:rsidRPr="00E37ACD">
              <w:rPr>
                <w:rFonts w:cs="Arial"/>
              </w:rPr>
              <w:t>Lindstedt</w:t>
            </w:r>
            <w:proofErr w:type="spellEnd"/>
            <w:r w:rsidRPr="00E37ACD">
              <w:rPr>
                <w:rFonts w:cs="Arial"/>
              </w:rPr>
              <w:t xml:space="preserve">, S., Maranda, B., </w:t>
            </w:r>
            <w:proofErr w:type="spellStart"/>
            <w:r w:rsidRPr="00E37ACD">
              <w:rPr>
                <w:rFonts w:cs="Arial"/>
              </w:rPr>
              <w:t>Melancon</w:t>
            </w:r>
            <w:proofErr w:type="spellEnd"/>
            <w:r w:rsidRPr="00E37ACD">
              <w:rPr>
                <w:rFonts w:cs="Arial"/>
              </w:rPr>
              <w:t xml:space="preserve">, S., </w:t>
            </w:r>
            <w:proofErr w:type="spellStart"/>
            <w:r w:rsidRPr="00E37ACD">
              <w:rPr>
                <w:rFonts w:cs="Arial"/>
              </w:rPr>
              <w:t>Merouani</w:t>
            </w:r>
            <w:proofErr w:type="spellEnd"/>
            <w:r w:rsidRPr="00E37ACD">
              <w:rPr>
                <w:rFonts w:cs="Arial"/>
              </w:rPr>
              <w:t xml:space="preserve">, A., Mitchell, J., </w:t>
            </w:r>
            <w:proofErr w:type="spellStart"/>
            <w:r w:rsidRPr="00E37ACD">
              <w:rPr>
                <w:rFonts w:cs="Arial"/>
              </w:rPr>
              <w:t>Parizeault</w:t>
            </w:r>
            <w:proofErr w:type="spellEnd"/>
            <w:r w:rsidRPr="00E37ACD">
              <w:rPr>
                <w:rFonts w:cs="Arial"/>
              </w:rPr>
              <w:t xml:space="preserve">, G., Pelletier, L., </w:t>
            </w:r>
            <w:proofErr w:type="spellStart"/>
            <w:r w:rsidRPr="00E37ACD">
              <w:rPr>
                <w:rFonts w:cs="Arial"/>
              </w:rPr>
              <w:t>Phan</w:t>
            </w:r>
            <w:proofErr w:type="spellEnd"/>
            <w:r w:rsidRPr="00E37ACD">
              <w:rPr>
                <w:rFonts w:cs="Arial"/>
              </w:rPr>
              <w:t xml:space="preserve">, V., </w:t>
            </w:r>
            <w:proofErr w:type="spellStart"/>
            <w:r w:rsidRPr="00E37ACD">
              <w:rPr>
                <w:rFonts w:cs="Arial"/>
              </w:rPr>
              <w:t>Rinaldo</w:t>
            </w:r>
            <w:proofErr w:type="spellEnd"/>
            <w:r w:rsidRPr="00E37ACD">
              <w:rPr>
                <w:rFonts w:cs="Arial"/>
              </w:rPr>
              <w:t xml:space="preserve">, P., Scott, C. R., </w:t>
            </w:r>
            <w:proofErr w:type="spellStart"/>
            <w:r w:rsidRPr="00E37ACD">
              <w:rPr>
                <w:rFonts w:cs="Arial"/>
              </w:rPr>
              <w:t>Scriver</w:t>
            </w:r>
            <w:proofErr w:type="spellEnd"/>
            <w:r w:rsidRPr="00E37ACD">
              <w:rPr>
                <w:rFonts w:cs="Arial"/>
              </w:rPr>
              <w:t xml:space="preserve">, C., and Mitchell, G. A. Effect of </w:t>
            </w:r>
            <w:proofErr w:type="spellStart"/>
            <w:r w:rsidRPr="00E37ACD">
              <w:rPr>
                <w:rFonts w:cs="Arial"/>
              </w:rPr>
              <w:t>nitisinone</w:t>
            </w:r>
            <w:proofErr w:type="spellEnd"/>
            <w:r w:rsidRPr="00E37ACD">
              <w:rPr>
                <w:rFonts w:cs="Arial"/>
              </w:rPr>
              <w:t xml:space="preserve"> (NTBC) treatment on the clinical course of </w:t>
            </w:r>
            <w:proofErr w:type="spellStart"/>
            <w:r w:rsidRPr="00E37ACD">
              <w:rPr>
                <w:rFonts w:cs="Arial"/>
              </w:rPr>
              <w:t>hepatorenal</w:t>
            </w:r>
            <w:proofErr w:type="spellEnd"/>
            <w:r w:rsidRPr="00E37ACD">
              <w:rPr>
                <w:rFonts w:cs="Arial"/>
              </w:rPr>
              <w:t xml:space="preserve"> </w:t>
            </w:r>
            <w:proofErr w:type="spellStart"/>
            <w:r w:rsidRPr="00E37ACD">
              <w:rPr>
                <w:rFonts w:cs="Arial"/>
              </w:rPr>
              <w:t>tyrosinemia</w:t>
            </w:r>
            <w:proofErr w:type="spellEnd"/>
            <w:r w:rsidRPr="00E37ACD">
              <w:rPr>
                <w:rFonts w:cs="Arial"/>
              </w:rPr>
              <w:t xml:space="preserve"> in Quebec </w:t>
            </w:r>
          </w:p>
        </w:tc>
        <w:tc>
          <w:tcPr>
            <w:tcW w:w="1313" w:type="pct"/>
          </w:tcPr>
          <w:p w:rsidR="000A3C7D" w:rsidRPr="00E37ACD" w:rsidRDefault="000A3C7D" w:rsidP="00135EC8">
            <w:pPr>
              <w:pStyle w:val="TableText0"/>
              <w:spacing w:before="0" w:after="0"/>
            </w:pPr>
            <w:r w:rsidRPr="00E37ACD">
              <w:rPr>
                <w:rFonts w:cs="Arial"/>
              </w:rPr>
              <w:t>Molecular Genetics and Metabolism 2012; 107 (1-2): 49-54</w:t>
            </w:r>
          </w:p>
        </w:tc>
      </w:tr>
    </w:tbl>
    <w:p w:rsidR="000A3C7D" w:rsidRPr="00E37ACD" w:rsidRDefault="000A3C7D" w:rsidP="001561F6">
      <w:pPr>
        <w:pStyle w:val="TableFooter"/>
        <w:ind w:firstLine="720"/>
      </w:pPr>
      <w:r w:rsidRPr="00E37ACD">
        <w:t>Source: Table B.2-3, p61 of the submission</w:t>
      </w:r>
    </w:p>
    <w:p w:rsidR="000A3C7D" w:rsidRPr="00E37ACD" w:rsidRDefault="000A3C7D" w:rsidP="00E22A0D">
      <w:pPr>
        <w:ind w:firstLine="720"/>
        <w:rPr>
          <w:rStyle w:val="CommentReference"/>
          <w:rFonts w:cs="Arial"/>
          <w:sz w:val="20"/>
          <w:szCs w:val="16"/>
        </w:rPr>
      </w:pPr>
    </w:p>
    <w:p w:rsidR="000A3C7D" w:rsidRPr="00E37ACD" w:rsidRDefault="000A3C7D" w:rsidP="00F31E6E">
      <w:pPr>
        <w:pStyle w:val="ListParagraph"/>
        <w:widowControl/>
        <w:numPr>
          <w:ilvl w:val="1"/>
          <w:numId w:val="3"/>
        </w:numPr>
        <w:jc w:val="left"/>
        <w:rPr>
          <w:szCs w:val="22"/>
        </w:rPr>
      </w:pPr>
      <w:r w:rsidRPr="00E37ACD">
        <w:rPr>
          <w:szCs w:val="22"/>
        </w:rPr>
        <w:lastRenderedPageBreak/>
        <w:t xml:space="preserve">The key features of the nonrandomised studies are summarised in the </w:t>
      </w:r>
      <w:r>
        <w:rPr>
          <w:szCs w:val="22"/>
        </w:rPr>
        <w:t>following</w:t>
      </w:r>
      <w:r w:rsidRPr="00E37ACD">
        <w:rPr>
          <w:szCs w:val="22"/>
        </w:rPr>
        <w:t xml:space="preserve"> table.</w:t>
      </w:r>
    </w:p>
    <w:p w:rsidR="000A3C7D" w:rsidRPr="00E37ACD" w:rsidRDefault="000A3C7D" w:rsidP="007F1017">
      <w:pPr>
        <w:widowControl/>
        <w:rPr>
          <w:szCs w:val="22"/>
        </w:rPr>
      </w:pPr>
    </w:p>
    <w:p w:rsidR="000A3C7D" w:rsidRPr="00E37ACD" w:rsidRDefault="000A3C7D" w:rsidP="00135EC8">
      <w:pPr>
        <w:keepNext/>
        <w:ind w:firstLine="720"/>
        <w:rPr>
          <w:rStyle w:val="CommentReference"/>
          <w:rFonts w:cs="Arial"/>
          <w:sz w:val="20"/>
          <w:szCs w:val="16"/>
        </w:rPr>
      </w:pPr>
      <w:r w:rsidRPr="00E37ACD">
        <w:rPr>
          <w:rStyle w:val="CommentReference"/>
          <w:rFonts w:cs="Arial"/>
          <w:sz w:val="20"/>
          <w:szCs w:val="16"/>
        </w:rPr>
        <w:t>Key features of the included evidence</w:t>
      </w:r>
    </w:p>
    <w:tbl>
      <w:tblPr>
        <w:tblW w:w="466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393"/>
        <w:gridCol w:w="20"/>
        <w:gridCol w:w="402"/>
        <w:gridCol w:w="529"/>
        <w:gridCol w:w="76"/>
        <w:gridCol w:w="273"/>
        <w:gridCol w:w="136"/>
        <w:gridCol w:w="802"/>
        <w:gridCol w:w="405"/>
        <w:gridCol w:w="205"/>
        <w:gridCol w:w="154"/>
        <w:gridCol w:w="142"/>
        <w:gridCol w:w="54"/>
        <w:gridCol w:w="249"/>
        <w:gridCol w:w="264"/>
        <w:gridCol w:w="551"/>
        <w:gridCol w:w="395"/>
        <w:gridCol w:w="71"/>
        <w:gridCol w:w="946"/>
        <w:gridCol w:w="193"/>
        <w:gridCol w:w="134"/>
        <w:gridCol w:w="1081"/>
      </w:tblGrid>
      <w:tr w:rsidR="000A3C7D" w:rsidRPr="00E37ACD" w:rsidTr="00364F4B">
        <w:tc>
          <w:tcPr>
            <w:tcW w:w="821" w:type="pct"/>
            <w:vAlign w:val="center"/>
          </w:tcPr>
          <w:p w:rsidR="000A3C7D" w:rsidRPr="00E37ACD" w:rsidRDefault="000A3C7D" w:rsidP="00135EC8">
            <w:pPr>
              <w:keepNext/>
              <w:jc w:val="left"/>
              <w:rPr>
                <w:rFonts w:ascii="Arial Narrow" w:hAnsi="Arial Narrow"/>
                <w:b/>
                <w:sz w:val="20"/>
                <w:lang w:val="en-US"/>
              </w:rPr>
            </w:pPr>
            <w:r w:rsidRPr="00E37ACD">
              <w:rPr>
                <w:rFonts w:ascii="Arial Narrow" w:hAnsi="Arial Narrow"/>
                <w:b/>
                <w:sz w:val="20"/>
                <w:lang w:val="en-US"/>
              </w:rPr>
              <w:t>Trial</w:t>
            </w:r>
          </w:p>
        </w:tc>
        <w:tc>
          <w:tcPr>
            <w:tcW w:w="249" w:type="pct"/>
            <w:gridSpan w:val="2"/>
            <w:vAlign w:val="center"/>
          </w:tcPr>
          <w:p w:rsidR="000A3C7D" w:rsidRPr="00E37ACD" w:rsidRDefault="000A3C7D" w:rsidP="00135EC8">
            <w:pPr>
              <w:keepNext/>
              <w:jc w:val="center"/>
              <w:rPr>
                <w:rFonts w:ascii="Arial Narrow" w:hAnsi="Arial Narrow"/>
                <w:b/>
                <w:sz w:val="20"/>
                <w:lang w:val="en-US"/>
              </w:rPr>
            </w:pPr>
            <w:r w:rsidRPr="00E37ACD">
              <w:rPr>
                <w:rFonts w:ascii="Arial Narrow" w:hAnsi="Arial Narrow"/>
                <w:b/>
                <w:sz w:val="20"/>
                <w:lang w:val="en-US"/>
              </w:rPr>
              <w:t>N</w:t>
            </w:r>
          </w:p>
        </w:tc>
        <w:tc>
          <w:tcPr>
            <w:tcW w:w="1310" w:type="pct"/>
            <w:gridSpan w:val="6"/>
            <w:vAlign w:val="center"/>
          </w:tcPr>
          <w:p w:rsidR="000A3C7D" w:rsidRPr="00E37ACD" w:rsidRDefault="000A3C7D" w:rsidP="00135EC8">
            <w:pPr>
              <w:keepNext/>
              <w:jc w:val="center"/>
              <w:rPr>
                <w:rFonts w:ascii="Arial Narrow" w:hAnsi="Arial Narrow"/>
                <w:b/>
                <w:sz w:val="20"/>
                <w:lang w:val="en-US"/>
              </w:rPr>
            </w:pPr>
            <w:r w:rsidRPr="00E37ACD">
              <w:rPr>
                <w:rFonts w:ascii="Arial Narrow" w:hAnsi="Arial Narrow"/>
                <w:b/>
                <w:sz w:val="20"/>
                <w:lang w:val="en-US"/>
              </w:rPr>
              <w:t>Design/ duration</w:t>
            </w:r>
          </w:p>
        </w:tc>
        <w:tc>
          <w:tcPr>
            <w:tcW w:w="328" w:type="pct"/>
            <w:gridSpan w:val="4"/>
            <w:vAlign w:val="center"/>
          </w:tcPr>
          <w:p w:rsidR="000A3C7D" w:rsidRPr="00E37ACD" w:rsidRDefault="000A3C7D" w:rsidP="00135EC8">
            <w:pPr>
              <w:keepNext/>
              <w:jc w:val="center"/>
              <w:rPr>
                <w:rFonts w:ascii="Arial Narrow" w:hAnsi="Arial Narrow"/>
                <w:b/>
                <w:sz w:val="20"/>
                <w:lang w:val="en-US"/>
              </w:rPr>
            </w:pPr>
            <w:r w:rsidRPr="00E37ACD">
              <w:rPr>
                <w:rFonts w:ascii="Arial Narrow" w:hAnsi="Arial Narrow"/>
                <w:b/>
                <w:sz w:val="20"/>
                <w:lang w:val="en-US"/>
              </w:rPr>
              <w:t>Risk of bias</w:t>
            </w:r>
          </w:p>
        </w:tc>
        <w:tc>
          <w:tcPr>
            <w:tcW w:w="903" w:type="pct"/>
            <w:gridSpan w:val="5"/>
            <w:vAlign w:val="center"/>
          </w:tcPr>
          <w:p w:rsidR="000A3C7D" w:rsidRPr="00E37ACD" w:rsidRDefault="000A3C7D" w:rsidP="00135EC8">
            <w:pPr>
              <w:keepNext/>
              <w:jc w:val="center"/>
              <w:rPr>
                <w:rFonts w:ascii="Arial Narrow" w:hAnsi="Arial Narrow"/>
                <w:b/>
                <w:sz w:val="20"/>
                <w:lang w:val="en-US"/>
              </w:rPr>
            </w:pPr>
            <w:r w:rsidRPr="00E37ACD">
              <w:rPr>
                <w:rFonts w:ascii="Arial Narrow" w:hAnsi="Arial Narrow"/>
                <w:b/>
                <w:sz w:val="20"/>
                <w:lang w:val="en-US"/>
              </w:rPr>
              <w:t>Patient population</w:t>
            </w:r>
          </w:p>
        </w:tc>
        <w:tc>
          <w:tcPr>
            <w:tcW w:w="751" w:type="pct"/>
            <w:gridSpan w:val="3"/>
            <w:vAlign w:val="center"/>
          </w:tcPr>
          <w:p w:rsidR="000A3C7D" w:rsidRPr="00E37ACD" w:rsidRDefault="000A3C7D" w:rsidP="00135EC8">
            <w:pPr>
              <w:keepNext/>
              <w:jc w:val="center"/>
              <w:rPr>
                <w:rFonts w:ascii="Arial Narrow" w:hAnsi="Arial Narrow"/>
                <w:b/>
                <w:sz w:val="20"/>
                <w:lang w:val="en-US"/>
              </w:rPr>
            </w:pPr>
            <w:r w:rsidRPr="00E37ACD">
              <w:rPr>
                <w:rFonts w:ascii="Arial Narrow" w:hAnsi="Arial Narrow"/>
                <w:b/>
                <w:sz w:val="20"/>
                <w:lang w:val="en-US"/>
              </w:rPr>
              <w:t>Outcome(s)</w:t>
            </w:r>
          </w:p>
        </w:tc>
        <w:tc>
          <w:tcPr>
            <w:tcW w:w="638" w:type="pct"/>
            <w:vAlign w:val="center"/>
          </w:tcPr>
          <w:p w:rsidR="000A3C7D" w:rsidRPr="00E37ACD" w:rsidRDefault="000A3C7D" w:rsidP="00135EC8">
            <w:pPr>
              <w:keepNext/>
              <w:jc w:val="center"/>
              <w:rPr>
                <w:rFonts w:ascii="Arial Narrow" w:hAnsi="Arial Narrow"/>
                <w:b/>
                <w:sz w:val="20"/>
                <w:lang w:val="en-US"/>
              </w:rPr>
            </w:pPr>
            <w:r w:rsidRPr="00E37ACD">
              <w:rPr>
                <w:rFonts w:ascii="Arial Narrow" w:hAnsi="Arial Narrow"/>
                <w:b/>
                <w:sz w:val="20"/>
                <w:lang w:val="en-US"/>
              </w:rPr>
              <w:t>Use in modelled evaluation</w:t>
            </w:r>
          </w:p>
        </w:tc>
      </w:tr>
      <w:tr w:rsidR="000A3C7D" w:rsidRPr="00E37ACD" w:rsidTr="00364F4B">
        <w:tc>
          <w:tcPr>
            <w:tcW w:w="1382" w:type="pct"/>
            <w:gridSpan w:val="4"/>
            <w:tcBorders>
              <w:right w:val="nil"/>
            </w:tcBorders>
            <w:vAlign w:val="center"/>
          </w:tcPr>
          <w:p w:rsidR="000A3C7D" w:rsidRPr="00E37ACD" w:rsidRDefault="000A3C7D" w:rsidP="00135EC8">
            <w:pPr>
              <w:keepNext/>
              <w:jc w:val="left"/>
              <w:rPr>
                <w:rFonts w:ascii="Arial Narrow" w:hAnsi="Arial Narrow"/>
                <w:b/>
                <w:sz w:val="20"/>
                <w:lang w:val="en-US"/>
              </w:rPr>
            </w:pPr>
            <w:proofErr w:type="spellStart"/>
            <w:r w:rsidRPr="00E37ACD">
              <w:rPr>
                <w:rFonts w:ascii="Arial Narrow" w:hAnsi="Arial Narrow"/>
                <w:b/>
                <w:sz w:val="20"/>
                <w:lang w:val="en-US"/>
              </w:rPr>
              <w:t>Nitisinone</w:t>
            </w:r>
            <w:proofErr w:type="spellEnd"/>
            <w:r w:rsidRPr="00E37ACD">
              <w:rPr>
                <w:rFonts w:ascii="Arial Narrow" w:hAnsi="Arial Narrow"/>
                <w:b/>
                <w:sz w:val="20"/>
                <w:lang w:val="en-US"/>
              </w:rPr>
              <w:t xml:space="preserve"> key study</w:t>
            </w:r>
          </w:p>
        </w:tc>
        <w:tc>
          <w:tcPr>
            <w:tcW w:w="45" w:type="pct"/>
            <w:tcBorders>
              <w:left w:val="nil"/>
              <w:right w:val="nil"/>
            </w:tcBorders>
            <w:vAlign w:val="center"/>
          </w:tcPr>
          <w:p w:rsidR="000A3C7D" w:rsidRPr="00E37ACD" w:rsidRDefault="000A3C7D" w:rsidP="00135EC8">
            <w:pPr>
              <w:keepNext/>
              <w:jc w:val="left"/>
              <w:rPr>
                <w:rFonts w:ascii="Arial Narrow" w:hAnsi="Arial Narrow"/>
                <w:b/>
                <w:sz w:val="20"/>
                <w:lang w:val="en-US"/>
              </w:rPr>
            </w:pPr>
          </w:p>
        </w:tc>
        <w:tc>
          <w:tcPr>
            <w:tcW w:w="714" w:type="pct"/>
            <w:gridSpan w:val="3"/>
            <w:tcBorders>
              <w:left w:val="nil"/>
              <w:right w:val="nil"/>
            </w:tcBorders>
            <w:vAlign w:val="center"/>
          </w:tcPr>
          <w:p w:rsidR="000A3C7D" w:rsidRPr="00E37ACD" w:rsidRDefault="000A3C7D" w:rsidP="00135EC8">
            <w:pPr>
              <w:keepNext/>
              <w:jc w:val="left"/>
              <w:rPr>
                <w:rFonts w:ascii="Arial Narrow" w:hAnsi="Arial Narrow"/>
                <w:b/>
                <w:sz w:val="20"/>
                <w:lang w:val="en-US"/>
              </w:rPr>
            </w:pPr>
          </w:p>
        </w:tc>
        <w:tc>
          <w:tcPr>
            <w:tcW w:w="714" w:type="pct"/>
            <w:gridSpan w:val="6"/>
            <w:tcBorders>
              <w:left w:val="nil"/>
              <w:right w:val="nil"/>
            </w:tcBorders>
            <w:vAlign w:val="center"/>
          </w:tcPr>
          <w:p w:rsidR="000A3C7D" w:rsidRPr="00E37ACD" w:rsidRDefault="000A3C7D" w:rsidP="00135EC8">
            <w:pPr>
              <w:keepNext/>
              <w:jc w:val="left"/>
              <w:rPr>
                <w:rFonts w:ascii="Arial Narrow" w:hAnsi="Arial Narrow"/>
                <w:b/>
                <w:sz w:val="20"/>
                <w:lang w:val="en-US"/>
              </w:rPr>
            </w:pPr>
          </w:p>
        </w:tc>
        <w:tc>
          <w:tcPr>
            <w:tcW w:w="714" w:type="pct"/>
            <w:gridSpan w:val="3"/>
            <w:tcBorders>
              <w:left w:val="nil"/>
              <w:right w:val="nil"/>
            </w:tcBorders>
            <w:vAlign w:val="center"/>
          </w:tcPr>
          <w:p w:rsidR="000A3C7D" w:rsidRPr="00E37ACD" w:rsidRDefault="000A3C7D" w:rsidP="00135EC8">
            <w:pPr>
              <w:keepNext/>
              <w:jc w:val="left"/>
              <w:rPr>
                <w:rFonts w:ascii="Arial Narrow" w:hAnsi="Arial Narrow"/>
                <w:b/>
                <w:sz w:val="20"/>
                <w:lang w:val="en-US"/>
              </w:rPr>
            </w:pPr>
          </w:p>
        </w:tc>
        <w:tc>
          <w:tcPr>
            <w:tcW w:w="714" w:type="pct"/>
            <w:gridSpan w:val="3"/>
            <w:tcBorders>
              <w:left w:val="nil"/>
              <w:right w:val="nil"/>
            </w:tcBorders>
            <w:vAlign w:val="center"/>
          </w:tcPr>
          <w:p w:rsidR="000A3C7D" w:rsidRPr="00E37ACD" w:rsidRDefault="000A3C7D" w:rsidP="00135EC8">
            <w:pPr>
              <w:keepNext/>
              <w:jc w:val="left"/>
              <w:rPr>
                <w:rFonts w:ascii="Arial Narrow" w:hAnsi="Arial Narrow"/>
                <w:b/>
                <w:sz w:val="20"/>
                <w:lang w:val="en-US"/>
              </w:rPr>
            </w:pPr>
          </w:p>
        </w:tc>
        <w:tc>
          <w:tcPr>
            <w:tcW w:w="717" w:type="pct"/>
            <w:gridSpan w:val="2"/>
            <w:tcBorders>
              <w:left w:val="nil"/>
            </w:tcBorders>
            <w:vAlign w:val="center"/>
          </w:tcPr>
          <w:p w:rsidR="000A3C7D" w:rsidRPr="00E37ACD" w:rsidRDefault="000A3C7D" w:rsidP="00135EC8">
            <w:pPr>
              <w:keepNext/>
              <w:jc w:val="left"/>
              <w:rPr>
                <w:rFonts w:ascii="Arial Narrow" w:hAnsi="Arial Narrow"/>
                <w:b/>
                <w:sz w:val="20"/>
                <w:lang w:val="en-US"/>
              </w:rPr>
            </w:pPr>
          </w:p>
        </w:tc>
      </w:tr>
      <w:tr w:rsidR="000A3C7D" w:rsidRPr="00E37ACD" w:rsidTr="00364F4B">
        <w:tc>
          <w:tcPr>
            <w:tcW w:w="821" w:type="pct"/>
            <w:vAlign w:val="center"/>
          </w:tcPr>
          <w:p w:rsidR="000A3C7D" w:rsidRPr="00E37ACD" w:rsidRDefault="000A3C7D" w:rsidP="00135EC8">
            <w:pPr>
              <w:keepNext/>
              <w:jc w:val="left"/>
              <w:rPr>
                <w:rFonts w:ascii="Arial Narrow" w:hAnsi="Arial Narrow"/>
                <w:sz w:val="20"/>
                <w:lang w:val="en-US"/>
              </w:rPr>
            </w:pPr>
            <w:r w:rsidRPr="00E37ACD">
              <w:rPr>
                <w:rFonts w:ascii="Arial Narrow" w:hAnsi="Arial Narrow"/>
                <w:sz w:val="20"/>
                <w:lang w:val="en-US"/>
              </w:rPr>
              <w:t>NTBC study</w:t>
            </w:r>
          </w:p>
          <w:p w:rsidR="000A3C7D" w:rsidRPr="00E37ACD" w:rsidRDefault="000A3C7D" w:rsidP="00135EC8">
            <w:pPr>
              <w:keepNext/>
              <w:jc w:val="left"/>
              <w:rPr>
                <w:rFonts w:ascii="Arial Narrow" w:hAnsi="Arial Narrow"/>
                <w:sz w:val="20"/>
                <w:lang w:val="en-US"/>
              </w:rPr>
            </w:pPr>
            <w:r w:rsidRPr="00E37ACD">
              <w:rPr>
                <w:rFonts w:ascii="Arial Narrow" w:hAnsi="Arial Narrow"/>
                <w:sz w:val="20"/>
                <w:lang w:val="en-US"/>
              </w:rPr>
              <w:t>(Complementary analysis)</w:t>
            </w:r>
          </w:p>
        </w:tc>
        <w:tc>
          <w:tcPr>
            <w:tcW w:w="249" w:type="pct"/>
            <w:gridSpan w:val="2"/>
            <w:vAlign w:val="center"/>
          </w:tcPr>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250</w:t>
            </w:r>
          </w:p>
        </w:tc>
        <w:tc>
          <w:tcPr>
            <w:tcW w:w="1310" w:type="pct"/>
            <w:gridSpan w:val="6"/>
            <w:vAlign w:val="center"/>
          </w:tcPr>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Single-arm, prospective, multinational</w:t>
            </w:r>
          </w:p>
          <w:p w:rsidR="000A3C7D" w:rsidRPr="00E37ACD" w:rsidRDefault="000A3C7D" w:rsidP="00135EC8">
            <w:pPr>
              <w:keepNext/>
              <w:jc w:val="center"/>
              <w:rPr>
                <w:rFonts w:ascii="Arial Narrow" w:hAnsi="Arial Narrow"/>
                <w:sz w:val="20"/>
                <w:lang w:val="en-US"/>
              </w:rPr>
            </w:pPr>
            <w:proofErr w:type="spellStart"/>
            <w:r w:rsidRPr="00E37ACD">
              <w:rPr>
                <w:rFonts w:ascii="Arial Narrow" w:hAnsi="Arial Narrow"/>
                <w:sz w:val="20"/>
                <w:lang w:val="en-US"/>
              </w:rPr>
              <w:t>Tmt</w:t>
            </w:r>
            <w:proofErr w:type="spellEnd"/>
            <w:r w:rsidRPr="00E37ACD">
              <w:rPr>
                <w:rFonts w:ascii="Arial Narrow" w:hAnsi="Arial Narrow"/>
                <w:sz w:val="20"/>
                <w:lang w:val="en-US"/>
              </w:rPr>
              <w:t xml:space="preserve"> duration: </w:t>
            </w:r>
            <w:r w:rsidR="00637BCD">
              <w:rPr>
                <w:rFonts w:ascii="Arial Narrow" w:hAnsi="Arial Narrow"/>
                <w:noProof/>
                <w:color w:val="000000"/>
                <w:sz w:val="20"/>
                <w:highlight w:val="black"/>
                <w:lang w:val="en-US"/>
              </w:rPr>
              <w:t>''''''''''''''''''''</w:t>
            </w:r>
            <w:r w:rsidRPr="00E37ACD">
              <w:rPr>
                <w:rFonts w:ascii="Arial Narrow" w:hAnsi="Arial Narrow"/>
                <w:sz w:val="20"/>
                <w:lang w:val="en-US"/>
              </w:rPr>
              <w:t xml:space="preserve"> years </w:t>
            </w:r>
          </w:p>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 xml:space="preserve">Median FU: between 2 and 4 </w:t>
            </w:r>
            <w:proofErr w:type="spellStart"/>
            <w:r w:rsidRPr="00E37ACD">
              <w:rPr>
                <w:rFonts w:ascii="Arial Narrow" w:hAnsi="Arial Narrow"/>
                <w:sz w:val="20"/>
                <w:lang w:val="en-US"/>
              </w:rPr>
              <w:t>yrs</w:t>
            </w:r>
            <w:proofErr w:type="spellEnd"/>
          </w:p>
        </w:tc>
        <w:tc>
          <w:tcPr>
            <w:tcW w:w="328" w:type="pct"/>
            <w:gridSpan w:val="4"/>
            <w:vAlign w:val="center"/>
          </w:tcPr>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High</w:t>
            </w:r>
          </w:p>
        </w:tc>
        <w:tc>
          <w:tcPr>
            <w:tcW w:w="903" w:type="pct"/>
            <w:gridSpan w:val="5"/>
            <w:vAlign w:val="center"/>
          </w:tcPr>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 xml:space="preserve">Receiving </w:t>
            </w:r>
            <w:proofErr w:type="spellStart"/>
            <w:r w:rsidRPr="00E37ACD">
              <w:rPr>
                <w:rFonts w:ascii="Arial Narrow" w:hAnsi="Arial Narrow"/>
                <w:sz w:val="20"/>
                <w:lang w:val="en-US"/>
              </w:rPr>
              <w:t>nitisinone</w:t>
            </w:r>
            <w:proofErr w:type="spellEnd"/>
            <w:r w:rsidRPr="00E37ACD">
              <w:rPr>
                <w:rFonts w:ascii="Arial Narrow" w:hAnsi="Arial Narrow"/>
                <w:sz w:val="20"/>
                <w:lang w:val="en-US"/>
              </w:rPr>
              <w:t xml:space="preserve"> on compassionate use</w:t>
            </w:r>
          </w:p>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 xml:space="preserve">Onset &lt;6 </w:t>
            </w:r>
            <w:proofErr w:type="spellStart"/>
            <w:r w:rsidRPr="00E37ACD">
              <w:rPr>
                <w:rFonts w:ascii="Arial Narrow" w:hAnsi="Arial Narrow"/>
                <w:sz w:val="20"/>
                <w:lang w:val="en-US"/>
              </w:rPr>
              <w:t>mo</w:t>
            </w:r>
            <w:proofErr w:type="spellEnd"/>
            <w:r w:rsidRPr="00E37ACD">
              <w:rPr>
                <w:rFonts w:ascii="Arial Narrow" w:hAnsi="Arial Narrow"/>
                <w:sz w:val="20"/>
                <w:lang w:val="en-US"/>
              </w:rPr>
              <w:t xml:space="preserve">: </w:t>
            </w:r>
            <w:r w:rsidR="00637BCD">
              <w:rPr>
                <w:rFonts w:ascii="Arial Narrow" w:hAnsi="Arial Narrow"/>
                <w:noProof/>
                <w:color w:val="000000"/>
                <w:sz w:val="20"/>
                <w:highlight w:val="black"/>
                <w:lang w:val="en-US"/>
              </w:rPr>
              <w:t>'''''''''''</w:t>
            </w:r>
            <w:r w:rsidRPr="00E37ACD">
              <w:rPr>
                <w:rFonts w:ascii="Arial Narrow" w:hAnsi="Arial Narrow"/>
                <w:sz w:val="20"/>
                <w:vertAlign w:val="superscript"/>
                <w:lang w:val="en-US"/>
              </w:rPr>
              <w:t>a</w:t>
            </w:r>
          </w:p>
        </w:tc>
        <w:tc>
          <w:tcPr>
            <w:tcW w:w="751" w:type="pct"/>
            <w:gridSpan w:val="3"/>
            <w:vAlign w:val="center"/>
          </w:tcPr>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OS, transplant, HCC, porphyria crises</w:t>
            </w:r>
          </w:p>
        </w:tc>
        <w:tc>
          <w:tcPr>
            <w:tcW w:w="638" w:type="pct"/>
            <w:vAlign w:val="center"/>
          </w:tcPr>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 xml:space="preserve">Estimate survival and transplants for </w:t>
            </w:r>
            <w:proofErr w:type="spellStart"/>
            <w:r w:rsidRPr="00E37ACD">
              <w:rPr>
                <w:rFonts w:ascii="Arial Narrow" w:hAnsi="Arial Narrow"/>
                <w:sz w:val="20"/>
                <w:lang w:val="en-US"/>
              </w:rPr>
              <w:t>nitisinone</w:t>
            </w:r>
            <w:proofErr w:type="spellEnd"/>
          </w:p>
        </w:tc>
      </w:tr>
      <w:tr w:rsidR="000A3C7D" w:rsidRPr="00E37ACD" w:rsidTr="00364F4B">
        <w:tc>
          <w:tcPr>
            <w:tcW w:w="833" w:type="pct"/>
            <w:gridSpan w:val="2"/>
            <w:tcBorders>
              <w:right w:val="nil"/>
            </w:tcBorders>
            <w:vAlign w:val="center"/>
          </w:tcPr>
          <w:p w:rsidR="000A3C7D" w:rsidRPr="00E37ACD" w:rsidRDefault="000A3C7D" w:rsidP="00135EC8">
            <w:pPr>
              <w:keepNext/>
              <w:jc w:val="left"/>
              <w:rPr>
                <w:rFonts w:ascii="Arial Narrow" w:hAnsi="Arial Narrow"/>
                <w:b/>
                <w:sz w:val="20"/>
                <w:lang w:val="en-US"/>
              </w:rPr>
            </w:pPr>
            <w:r w:rsidRPr="00E37ACD">
              <w:rPr>
                <w:rFonts w:ascii="Arial Narrow" w:hAnsi="Arial Narrow"/>
                <w:b/>
                <w:sz w:val="20"/>
                <w:lang w:val="en-US"/>
              </w:rPr>
              <w:t>Diet key study</w:t>
            </w:r>
          </w:p>
        </w:tc>
        <w:tc>
          <w:tcPr>
            <w:tcW w:w="835" w:type="pct"/>
            <w:gridSpan w:val="5"/>
            <w:tcBorders>
              <w:left w:val="nil"/>
              <w:right w:val="nil"/>
            </w:tcBorders>
            <w:vAlign w:val="center"/>
          </w:tcPr>
          <w:p w:rsidR="000A3C7D" w:rsidRPr="00E37ACD" w:rsidRDefault="000A3C7D" w:rsidP="00135EC8">
            <w:pPr>
              <w:keepNext/>
              <w:jc w:val="left"/>
              <w:rPr>
                <w:rFonts w:ascii="Arial Narrow" w:hAnsi="Arial Narrow"/>
                <w:b/>
                <w:sz w:val="20"/>
                <w:lang w:val="en-US"/>
              </w:rPr>
            </w:pPr>
          </w:p>
        </w:tc>
        <w:tc>
          <w:tcPr>
            <w:tcW w:w="833" w:type="pct"/>
            <w:gridSpan w:val="3"/>
            <w:tcBorders>
              <w:left w:val="nil"/>
              <w:right w:val="nil"/>
            </w:tcBorders>
            <w:vAlign w:val="center"/>
          </w:tcPr>
          <w:p w:rsidR="000A3C7D" w:rsidRPr="00E37ACD" w:rsidRDefault="000A3C7D" w:rsidP="00135EC8">
            <w:pPr>
              <w:keepNext/>
              <w:jc w:val="left"/>
              <w:rPr>
                <w:rFonts w:ascii="Arial Narrow" w:hAnsi="Arial Narrow"/>
                <w:b/>
                <w:sz w:val="20"/>
                <w:lang w:val="en-US"/>
              </w:rPr>
            </w:pPr>
          </w:p>
        </w:tc>
        <w:tc>
          <w:tcPr>
            <w:tcW w:w="835" w:type="pct"/>
            <w:gridSpan w:val="6"/>
            <w:tcBorders>
              <w:left w:val="nil"/>
              <w:right w:val="nil"/>
            </w:tcBorders>
            <w:vAlign w:val="center"/>
          </w:tcPr>
          <w:p w:rsidR="000A3C7D" w:rsidRPr="00E37ACD" w:rsidRDefault="000A3C7D" w:rsidP="00135EC8">
            <w:pPr>
              <w:keepNext/>
              <w:jc w:val="left"/>
              <w:rPr>
                <w:rFonts w:ascii="Arial Narrow" w:hAnsi="Arial Narrow"/>
                <w:b/>
                <w:sz w:val="20"/>
                <w:lang w:val="en-US"/>
              </w:rPr>
            </w:pPr>
          </w:p>
        </w:tc>
        <w:tc>
          <w:tcPr>
            <w:tcW w:w="833" w:type="pct"/>
            <w:gridSpan w:val="3"/>
            <w:tcBorders>
              <w:left w:val="nil"/>
              <w:right w:val="nil"/>
            </w:tcBorders>
            <w:vAlign w:val="center"/>
          </w:tcPr>
          <w:p w:rsidR="000A3C7D" w:rsidRPr="00E37ACD" w:rsidRDefault="000A3C7D" w:rsidP="00135EC8">
            <w:pPr>
              <w:keepNext/>
              <w:jc w:val="left"/>
              <w:rPr>
                <w:rFonts w:ascii="Arial Narrow" w:hAnsi="Arial Narrow"/>
                <w:b/>
                <w:sz w:val="20"/>
                <w:lang w:val="en-US"/>
              </w:rPr>
            </w:pPr>
          </w:p>
        </w:tc>
        <w:tc>
          <w:tcPr>
            <w:tcW w:w="831" w:type="pct"/>
            <w:gridSpan w:val="3"/>
            <w:tcBorders>
              <w:left w:val="nil"/>
            </w:tcBorders>
            <w:vAlign w:val="center"/>
          </w:tcPr>
          <w:p w:rsidR="000A3C7D" w:rsidRPr="00E37ACD" w:rsidRDefault="000A3C7D" w:rsidP="00135EC8">
            <w:pPr>
              <w:keepNext/>
              <w:jc w:val="left"/>
              <w:rPr>
                <w:rFonts w:ascii="Arial Narrow" w:hAnsi="Arial Narrow"/>
                <w:b/>
                <w:sz w:val="20"/>
                <w:lang w:val="en-US"/>
              </w:rPr>
            </w:pPr>
          </w:p>
        </w:tc>
      </w:tr>
      <w:tr w:rsidR="000A3C7D" w:rsidRPr="00E37ACD" w:rsidTr="00364F4B">
        <w:tc>
          <w:tcPr>
            <w:tcW w:w="821" w:type="pct"/>
            <w:vAlign w:val="center"/>
          </w:tcPr>
          <w:p w:rsidR="000A3C7D" w:rsidRPr="00E37ACD" w:rsidRDefault="000A3C7D" w:rsidP="00135EC8">
            <w:pPr>
              <w:keepNext/>
              <w:jc w:val="left"/>
              <w:rPr>
                <w:rFonts w:ascii="Arial Narrow" w:hAnsi="Arial Narrow"/>
                <w:sz w:val="20"/>
                <w:lang w:val="en-US"/>
              </w:rPr>
            </w:pPr>
            <w:r w:rsidRPr="00E37ACD">
              <w:rPr>
                <w:rFonts w:ascii="Arial Narrow" w:hAnsi="Arial Narrow"/>
                <w:sz w:val="20"/>
                <w:lang w:val="en-US"/>
              </w:rPr>
              <w:t xml:space="preserve">van </w:t>
            </w:r>
            <w:proofErr w:type="spellStart"/>
            <w:r w:rsidRPr="00E37ACD">
              <w:rPr>
                <w:rFonts w:ascii="Arial Narrow" w:hAnsi="Arial Narrow"/>
                <w:sz w:val="20"/>
                <w:lang w:val="en-US"/>
              </w:rPr>
              <w:t>Spronsen</w:t>
            </w:r>
            <w:proofErr w:type="spellEnd"/>
            <w:r w:rsidRPr="00E37ACD">
              <w:rPr>
                <w:rFonts w:ascii="Arial Narrow" w:hAnsi="Arial Narrow"/>
                <w:sz w:val="20"/>
                <w:lang w:val="en-US"/>
              </w:rPr>
              <w:t xml:space="preserve"> 1994</w:t>
            </w:r>
          </w:p>
        </w:tc>
        <w:tc>
          <w:tcPr>
            <w:tcW w:w="249" w:type="pct"/>
            <w:gridSpan w:val="2"/>
            <w:vAlign w:val="center"/>
          </w:tcPr>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108</w:t>
            </w:r>
          </w:p>
        </w:tc>
        <w:tc>
          <w:tcPr>
            <w:tcW w:w="1310" w:type="pct"/>
            <w:gridSpan w:val="6"/>
            <w:vAlign w:val="center"/>
          </w:tcPr>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Single-arm, retrospective, multinational</w:t>
            </w:r>
          </w:p>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 xml:space="preserve">Duration of </w:t>
            </w:r>
            <w:proofErr w:type="spellStart"/>
            <w:r w:rsidRPr="00E37ACD">
              <w:rPr>
                <w:rFonts w:ascii="Arial Narrow" w:hAnsi="Arial Narrow"/>
                <w:sz w:val="20"/>
                <w:lang w:val="en-US"/>
              </w:rPr>
              <w:t>tmt</w:t>
            </w:r>
            <w:proofErr w:type="spellEnd"/>
            <w:r w:rsidRPr="00E37ACD">
              <w:rPr>
                <w:rFonts w:ascii="Arial Narrow" w:hAnsi="Arial Narrow"/>
                <w:sz w:val="20"/>
                <w:lang w:val="en-US"/>
              </w:rPr>
              <w:t xml:space="preserve"> and FU: NR</w:t>
            </w:r>
          </w:p>
        </w:tc>
        <w:tc>
          <w:tcPr>
            <w:tcW w:w="328" w:type="pct"/>
            <w:gridSpan w:val="4"/>
            <w:vAlign w:val="center"/>
          </w:tcPr>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High</w:t>
            </w:r>
          </w:p>
        </w:tc>
        <w:tc>
          <w:tcPr>
            <w:tcW w:w="903" w:type="pct"/>
            <w:gridSpan w:val="5"/>
            <w:vAlign w:val="center"/>
          </w:tcPr>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Clinical diagnosis of HT-1</w:t>
            </w:r>
          </w:p>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 xml:space="preserve">Onset &lt;6 </w:t>
            </w:r>
            <w:proofErr w:type="spellStart"/>
            <w:r w:rsidRPr="00E37ACD">
              <w:rPr>
                <w:rFonts w:ascii="Arial Narrow" w:hAnsi="Arial Narrow"/>
                <w:sz w:val="20"/>
                <w:lang w:val="en-US"/>
              </w:rPr>
              <w:t>mo</w:t>
            </w:r>
            <w:proofErr w:type="spellEnd"/>
            <w:r w:rsidRPr="00E37ACD">
              <w:rPr>
                <w:rFonts w:ascii="Arial Narrow" w:hAnsi="Arial Narrow"/>
                <w:sz w:val="20"/>
                <w:lang w:val="en-US"/>
              </w:rPr>
              <w:t>: 77%</w:t>
            </w:r>
          </w:p>
        </w:tc>
        <w:tc>
          <w:tcPr>
            <w:tcW w:w="751" w:type="pct"/>
            <w:gridSpan w:val="3"/>
            <w:vAlign w:val="center"/>
          </w:tcPr>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OS, transplant, HCC</w:t>
            </w:r>
          </w:p>
        </w:tc>
        <w:tc>
          <w:tcPr>
            <w:tcW w:w="638" w:type="pct"/>
            <w:vAlign w:val="center"/>
          </w:tcPr>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Estimate survival for diet</w:t>
            </w:r>
          </w:p>
        </w:tc>
      </w:tr>
      <w:tr w:rsidR="000A3C7D" w:rsidRPr="00E37ACD" w:rsidTr="00364F4B">
        <w:tc>
          <w:tcPr>
            <w:tcW w:w="1588" w:type="pct"/>
            <w:gridSpan w:val="6"/>
            <w:tcBorders>
              <w:right w:val="nil"/>
            </w:tcBorders>
            <w:vAlign w:val="center"/>
          </w:tcPr>
          <w:p w:rsidR="000A3C7D" w:rsidRPr="00E37ACD" w:rsidRDefault="000A3C7D" w:rsidP="00135EC8">
            <w:pPr>
              <w:keepNext/>
              <w:jc w:val="left"/>
              <w:rPr>
                <w:rFonts w:ascii="Arial Narrow" w:hAnsi="Arial Narrow"/>
                <w:b/>
                <w:sz w:val="20"/>
                <w:lang w:val="en-US"/>
              </w:rPr>
            </w:pPr>
            <w:proofErr w:type="spellStart"/>
            <w:r w:rsidRPr="00E37ACD">
              <w:rPr>
                <w:rFonts w:ascii="Arial Narrow" w:hAnsi="Arial Narrow"/>
                <w:b/>
                <w:sz w:val="20"/>
                <w:lang w:val="en-US"/>
              </w:rPr>
              <w:t>Nitisinone</w:t>
            </w:r>
            <w:proofErr w:type="spellEnd"/>
            <w:r w:rsidRPr="00E37ACD">
              <w:rPr>
                <w:rFonts w:ascii="Arial Narrow" w:hAnsi="Arial Narrow"/>
                <w:b/>
                <w:sz w:val="20"/>
                <w:lang w:val="en-US"/>
              </w:rPr>
              <w:t xml:space="preserve"> supportive studies</w:t>
            </w:r>
          </w:p>
        </w:tc>
        <w:tc>
          <w:tcPr>
            <w:tcW w:w="80" w:type="pct"/>
            <w:tcBorders>
              <w:left w:val="nil"/>
              <w:right w:val="nil"/>
            </w:tcBorders>
            <w:vAlign w:val="center"/>
          </w:tcPr>
          <w:p w:rsidR="000A3C7D" w:rsidRPr="00E37ACD" w:rsidRDefault="000A3C7D" w:rsidP="00135EC8">
            <w:pPr>
              <w:keepNext/>
              <w:jc w:val="left"/>
              <w:rPr>
                <w:rFonts w:ascii="Arial Narrow" w:hAnsi="Arial Narrow"/>
                <w:b/>
                <w:sz w:val="20"/>
                <w:lang w:val="en-US"/>
              </w:rPr>
            </w:pPr>
          </w:p>
        </w:tc>
        <w:tc>
          <w:tcPr>
            <w:tcW w:w="833" w:type="pct"/>
            <w:gridSpan w:val="3"/>
            <w:tcBorders>
              <w:left w:val="nil"/>
              <w:right w:val="nil"/>
            </w:tcBorders>
            <w:vAlign w:val="center"/>
          </w:tcPr>
          <w:p w:rsidR="000A3C7D" w:rsidRPr="00E37ACD" w:rsidRDefault="000A3C7D" w:rsidP="00135EC8">
            <w:pPr>
              <w:keepNext/>
              <w:jc w:val="left"/>
              <w:rPr>
                <w:rFonts w:ascii="Arial Narrow" w:hAnsi="Arial Narrow"/>
                <w:b/>
                <w:sz w:val="20"/>
                <w:lang w:val="en-US"/>
              </w:rPr>
            </w:pPr>
          </w:p>
        </w:tc>
        <w:tc>
          <w:tcPr>
            <w:tcW w:w="835" w:type="pct"/>
            <w:gridSpan w:val="6"/>
            <w:tcBorders>
              <w:left w:val="nil"/>
              <w:right w:val="nil"/>
            </w:tcBorders>
            <w:vAlign w:val="center"/>
          </w:tcPr>
          <w:p w:rsidR="000A3C7D" w:rsidRPr="00E37ACD" w:rsidRDefault="000A3C7D" w:rsidP="00135EC8">
            <w:pPr>
              <w:keepNext/>
              <w:jc w:val="left"/>
              <w:rPr>
                <w:rFonts w:ascii="Arial Narrow" w:hAnsi="Arial Narrow"/>
                <w:b/>
                <w:sz w:val="20"/>
                <w:lang w:val="en-US"/>
              </w:rPr>
            </w:pPr>
          </w:p>
        </w:tc>
        <w:tc>
          <w:tcPr>
            <w:tcW w:w="833" w:type="pct"/>
            <w:gridSpan w:val="3"/>
            <w:tcBorders>
              <w:left w:val="nil"/>
              <w:right w:val="nil"/>
            </w:tcBorders>
            <w:vAlign w:val="center"/>
          </w:tcPr>
          <w:p w:rsidR="000A3C7D" w:rsidRPr="00E37ACD" w:rsidRDefault="000A3C7D" w:rsidP="00135EC8">
            <w:pPr>
              <w:keepNext/>
              <w:jc w:val="left"/>
              <w:rPr>
                <w:rFonts w:ascii="Arial Narrow" w:hAnsi="Arial Narrow"/>
                <w:b/>
                <w:sz w:val="20"/>
                <w:lang w:val="en-US"/>
              </w:rPr>
            </w:pPr>
          </w:p>
        </w:tc>
        <w:tc>
          <w:tcPr>
            <w:tcW w:w="831" w:type="pct"/>
            <w:gridSpan w:val="3"/>
            <w:tcBorders>
              <w:left w:val="nil"/>
            </w:tcBorders>
            <w:vAlign w:val="center"/>
          </w:tcPr>
          <w:p w:rsidR="000A3C7D" w:rsidRPr="00E37ACD" w:rsidRDefault="000A3C7D" w:rsidP="00135EC8">
            <w:pPr>
              <w:keepNext/>
              <w:jc w:val="left"/>
              <w:rPr>
                <w:rFonts w:ascii="Arial Narrow" w:hAnsi="Arial Narrow"/>
                <w:b/>
                <w:sz w:val="20"/>
                <w:lang w:val="en-US"/>
              </w:rPr>
            </w:pPr>
          </w:p>
        </w:tc>
      </w:tr>
      <w:tr w:rsidR="000A3C7D" w:rsidRPr="00E37ACD" w:rsidTr="00364F4B">
        <w:tc>
          <w:tcPr>
            <w:tcW w:w="821" w:type="pct"/>
            <w:vAlign w:val="center"/>
          </w:tcPr>
          <w:p w:rsidR="000A3C7D" w:rsidRPr="00E37ACD" w:rsidRDefault="000A3C7D" w:rsidP="00135EC8">
            <w:pPr>
              <w:keepNext/>
              <w:jc w:val="left"/>
              <w:rPr>
                <w:rFonts w:ascii="Arial Narrow" w:hAnsi="Arial Narrow"/>
                <w:sz w:val="20"/>
                <w:lang w:val="en-US"/>
              </w:rPr>
            </w:pPr>
            <w:proofErr w:type="spellStart"/>
            <w:r w:rsidRPr="00E37ACD">
              <w:rPr>
                <w:rFonts w:ascii="Arial Narrow" w:hAnsi="Arial Narrow"/>
                <w:sz w:val="20"/>
                <w:lang w:val="en-US"/>
              </w:rPr>
              <w:t>Masurel-Paulet</w:t>
            </w:r>
            <w:proofErr w:type="spellEnd"/>
            <w:r w:rsidRPr="00E37ACD">
              <w:rPr>
                <w:rFonts w:ascii="Arial Narrow" w:hAnsi="Arial Narrow"/>
                <w:sz w:val="20"/>
                <w:lang w:val="en-US"/>
              </w:rPr>
              <w:t xml:space="preserve"> 2008</w:t>
            </w:r>
          </w:p>
        </w:tc>
        <w:tc>
          <w:tcPr>
            <w:tcW w:w="249" w:type="pct"/>
            <w:gridSpan w:val="2"/>
            <w:vAlign w:val="center"/>
          </w:tcPr>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46</w:t>
            </w:r>
          </w:p>
        </w:tc>
        <w:tc>
          <w:tcPr>
            <w:tcW w:w="1310" w:type="pct"/>
            <w:gridSpan w:val="6"/>
            <w:vAlign w:val="center"/>
          </w:tcPr>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Single-arm, retrospective</w:t>
            </w:r>
          </w:p>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 xml:space="preserve">Mean </w:t>
            </w:r>
            <w:proofErr w:type="spellStart"/>
            <w:r w:rsidRPr="00E37ACD">
              <w:rPr>
                <w:rFonts w:ascii="Arial Narrow" w:hAnsi="Arial Narrow"/>
                <w:sz w:val="20"/>
                <w:lang w:val="en-US"/>
              </w:rPr>
              <w:t>tmt</w:t>
            </w:r>
            <w:proofErr w:type="spellEnd"/>
            <w:r w:rsidRPr="00E37ACD">
              <w:rPr>
                <w:rFonts w:ascii="Arial Narrow" w:hAnsi="Arial Narrow"/>
                <w:sz w:val="20"/>
                <w:lang w:val="en-US"/>
              </w:rPr>
              <w:t xml:space="preserve"> duration: 4.75 years</w:t>
            </w:r>
          </w:p>
        </w:tc>
        <w:tc>
          <w:tcPr>
            <w:tcW w:w="328" w:type="pct"/>
            <w:gridSpan w:val="4"/>
            <w:vAlign w:val="center"/>
          </w:tcPr>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High</w:t>
            </w:r>
          </w:p>
        </w:tc>
        <w:tc>
          <w:tcPr>
            <w:tcW w:w="903" w:type="pct"/>
            <w:gridSpan w:val="5"/>
            <w:vAlign w:val="center"/>
          </w:tcPr>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 xml:space="preserve">HT-1 patients treated with </w:t>
            </w:r>
            <w:proofErr w:type="spellStart"/>
            <w:r w:rsidRPr="00E37ACD">
              <w:rPr>
                <w:rFonts w:ascii="Arial Narrow" w:hAnsi="Arial Narrow"/>
                <w:sz w:val="20"/>
                <w:lang w:val="en-US"/>
              </w:rPr>
              <w:t>nitisinone</w:t>
            </w:r>
            <w:proofErr w:type="spellEnd"/>
            <w:r w:rsidRPr="00E37ACD">
              <w:rPr>
                <w:rFonts w:ascii="Arial Narrow" w:hAnsi="Arial Narrow"/>
                <w:sz w:val="20"/>
                <w:lang w:val="en-US"/>
              </w:rPr>
              <w:t xml:space="preserve"> in France </w:t>
            </w:r>
          </w:p>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 xml:space="preserve">Onset &lt;6 </w:t>
            </w:r>
            <w:proofErr w:type="spellStart"/>
            <w:r w:rsidRPr="00E37ACD">
              <w:rPr>
                <w:rFonts w:ascii="Arial Narrow" w:hAnsi="Arial Narrow"/>
                <w:sz w:val="20"/>
                <w:lang w:val="en-US"/>
              </w:rPr>
              <w:t>mo</w:t>
            </w:r>
            <w:proofErr w:type="spellEnd"/>
            <w:r w:rsidRPr="00E37ACD">
              <w:rPr>
                <w:rFonts w:ascii="Arial Narrow" w:hAnsi="Arial Narrow"/>
                <w:sz w:val="20"/>
                <w:lang w:val="en-US"/>
              </w:rPr>
              <w:t>: 74%</w:t>
            </w:r>
          </w:p>
        </w:tc>
        <w:tc>
          <w:tcPr>
            <w:tcW w:w="751" w:type="pct"/>
            <w:gridSpan w:val="3"/>
            <w:vAlign w:val="center"/>
          </w:tcPr>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OS, transplant, HCC, porphyria crises</w:t>
            </w:r>
          </w:p>
        </w:tc>
        <w:tc>
          <w:tcPr>
            <w:tcW w:w="638" w:type="pct"/>
            <w:vAlign w:val="center"/>
          </w:tcPr>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Not used</w:t>
            </w:r>
          </w:p>
        </w:tc>
      </w:tr>
      <w:tr w:rsidR="000A3C7D" w:rsidRPr="00E37ACD" w:rsidTr="00364F4B">
        <w:tc>
          <w:tcPr>
            <w:tcW w:w="821" w:type="pct"/>
            <w:vAlign w:val="center"/>
          </w:tcPr>
          <w:p w:rsidR="000A3C7D" w:rsidRPr="00E37ACD" w:rsidRDefault="000A3C7D" w:rsidP="00135EC8">
            <w:pPr>
              <w:keepNext/>
              <w:jc w:val="left"/>
              <w:rPr>
                <w:rFonts w:ascii="Arial Narrow" w:hAnsi="Arial Narrow"/>
                <w:sz w:val="20"/>
                <w:lang w:val="en-US"/>
              </w:rPr>
            </w:pPr>
            <w:proofErr w:type="spellStart"/>
            <w:r w:rsidRPr="00E37ACD">
              <w:rPr>
                <w:rFonts w:ascii="Arial Narrow" w:hAnsi="Arial Narrow"/>
                <w:sz w:val="20"/>
                <w:lang w:val="en-US"/>
              </w:rPr>
              <w:t>Raimann</w:t>
            </w:r>
            <w:proofErr w:type="spellEnd"/>
            <w:r w:rsidRPr="00E37ACD">
              <w:rPr>
                <w:rFonts w:ascii="Arial Narrow" w:hAnsi="Arial Narrow"/>
                <w:sz w:val="20"/>
                <w:lang w:val="en-US"/>
              </w:rPr>
              <w:t xml:space="preserve"> 2012</w:t>
            </w:r>
          </w:p>
        </w:tc>
        <w:tc>
          <w:tcPr>
            <w:tcW w:w="249" w:type="pct"/>
            <w:gridSpan w:val="2"/>
            <w:vAlign w:val="center"/>
          </w:tcPr>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12</w:t>
            </w:r>
          </w:p>
        </w:tc>
        <w:tc>
          <w:tcPr>
            <w:tcW w:w="1310" w:type="pct"/>
            <w:gridSpan w:val="6"/>
            <w:vAlign w:val="center"/>
          </w:tcPr>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Single-arm, retrospective</w:t>
            </w:r>
          </w:p>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Median FU: 6.6 years</w:t>
            </w:r>
          </w:p>
        </w:tc>
        <w:tc>
          <w:tcPr>
            <w:tcW w:w="328" w:type="pct"/>
            <w:gridSpan w:val="4"/>
            <w:vAlign w:val="center"/>
          </w:tcPr>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High</w:t>
            </w:r>
          </w:p>
        </w:tc>
        <w:tc>
          <w:tcPr>
            <w:tcW w:w="903" w:type="pct"/>
            <w:gridSpan w:val="5"/>
            <w:vAlign w:val="center"/>
          </w:tcPr>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Diagnosis of HT-1, treated in Chile</w:t>
            </w:r>
          </w:p>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 xml:space="preserve">Onset &lt;6 </w:t>
            </w:r>
            <w:proofErr w:type="spellStart"/>
            <w:r w:rsidRPr="00E37ACD">
              <w:rPr>
                <w:rFonts w:ascii="Arial Narrow" w:hAnsi="Arial Narrow"/>
                <w:sz w:val="20"/>
                <w:lang w:val="en-US"/>
              </w:rPr>
              <w:t>mo</w:t>
            </w:r>
            <w:proofErr w:type="spellEnd"/>
            <w:r w:rsidRPr="00E37ACD">
              <w:rPr>
                <w:rFonts w:ascii="Arial Narrow" w:hAnsi="Arial Narrow"/>
                <w:sz w:val="20"/>
                <w:lang w:val="en-US"/>
              </w:rPr>
              <w:t>: 58%</w:t>
            </w:r>
          </w:p>
        </w:tc>
        <w:tc>
          <w:tcPr>
            <w:tcW w:w="751" w:type="pct"/>
            <w:gridSpan w:val="3"/>
            <w:vAlign w:val="center"/>
          </w:tcPr>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OS, transplant, HCC</w:t>
            </w:r>
          </w:p>
        </w:tc>
        <w:tc>
          <w:tcPr>
            <w:tcW w:w="638" w:type="pct"/>
            <w:vAlign w:val="center"/>
          </w:tcPr>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Not used</w:t>
            </w:r>
          </w:p>
        </w:tc>
      </w:tr>
      <w:tr w:rsidR="000A3C7D" w:rsidRPr="00E37ACD" w:rsidTr="00364F4B">
        <w:tc>
          <w:tcPr>
            <w:tcW w:w="821" w:type="pct"/>
            <w:vAlign w:val="center"/>
          </w:tcPr>
          <w:p w:rsidR="000A3C7D" w:rsidRPr="00E37ACD" w:rsidRDefault="000A3C7D" w:rsidP="00135EC8">
            <w:pPr>
              <w:keepNext/>
              <w:jc w:val="left"/>
              <w:rPr>
                <w:rFonts w:ascii="Arial Narrow" w:hAnsi="Arial Narrow"/>
                <w:sz w:val="20"/>
                <w:lang w:val="en-US"/>
              </w:rPr>
            </w:pPr>
            <w:proofErr w:type="spellStart"/>
            <w:r w:rsidRPr="00E37ACD">
              <w:rPr>
                <w:rFonts w:ascii="Arial Narrow" w:hAnsi="Arial Narrow"/>
                <w:sz w:val="20"/>
                <w:lang w:val="en-US"/>
              </w:rPr>
              <w:t>Couce</w:t>
            </w:r>
            <w:proofErr w:type="spellEnd"/>
            <w:r w:rsidRPr="00E37ACD">
              <w:rPr>
                <w:rFonts w:ascii="Arial Narrow" w:hAnsi="Arial Narrow"/>
                <w:sz w:val="20"/>
                <w:lang w:val="en-US"/>
              </w:rPr>
              <w:t xml:space="preserve"> 2011</w:t>
            </w:r>
          </w:p>
        </w:tc>
        <w:tc>
          <w:tcPr>
            <w:tcW w:w="249" w:type="pct"/>
            <w:gridSpan w:val="2"/>
            <w:vAlign w:val="center"/>
          </w:tcPr>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34</w:t>
            </w:r>
          </w:p>
        </w:tc>
        <w:tc>
          <w:tcPr>
            <w:tcW w:w="1310" w:type="pct"/>
            <w:gridSpan w:val="6"/>
            <w:vAlign w:val="center"/>
          </w:tcPr>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Single-arm, retrospective</w:t>
            </w:r>
          </w:p>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 xml:space="preserve">Mean </w:t>
            </w:r>
            <w:proofErr w:type="spellStart"/>
            <w:r w:rsidRPr="00E37ACD">
              <w:rPr>
                <w:rFonts w:ascii="Arial Narrow" w:hAnsi="Arial Narrow"/>
                <w:sz w:val="20"/>
                <w:lang w:val="en-US"/>
              </w:rPr>
              <w:t>tmt</w:t>
            </w:r>
            <w:proofErr w:type="spellEnd"/>
            <w:r w:rsidRPr="00E37ACD">
              <w:rPr>
                <w:rFonts w:ascii="Arial Narrow" w:hAnsi="Arial Narrow"/>
                <w:sz w:val="20"/>
                <w:lang w:val="en-US"/>
              </w:rPr>
              <w:t xml:space="preserve"> duration: 6.73 years</w:t>
            </w:r>
          </w:p>
        </w:tc>
        <w:tc>
          <w:tcPr>
            <w:tcW w:w="328" w:type="pct"/>
            <w:gridSpan w:val="4"/>
            <w:vAlign w:val="center"/>
          </w:tcPr>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High</w:t>
            </w:r>
          </w:p>
        </w:tc>
        <w:tc>
          <w:tcPr>
            <w:tcW w:w="903" w:type="pct"/>
            <w:gridSpan w:val="5"/>
            <w:vAlign w:val="center"/>
          </w:tcPr>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 xml:space="preserve">HT-1 patients treated with </w:t>
            </w:r>
            <w:proofErr w:type="spellStart"/>
            <w:r w:rsidRPr="00E37ACD">
              <w:rPr>
                <w:rFonts w:ascii="Arial Narrow" w:hAnsi="Arial Narrow"/>
                <w:sz w:val="20"/>
                <w:lang w:val="en-US"/>
              </w:rPr>
              <w:t>nitisinone</w:t>
            </w:r>
            <w:proofErr w:type="spellEnd"/>
            <w:r w:rsidRPr="00E37ACD">
              <w:rPr>
                <w:rFonts w:ascii="Arial Narrow" w:hAnsi="Arial Narrow"/>
                <w:sz w:val="20"/>
                <w:lang w:val="en-US"/>
              </w:rPr>
              <w:t xml:space="preserve"> in Spain</w:t>
            </w:r>
          </w:p>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 xml:space="preserve">Mean age of onset: 4.3 </w:t>
            </w:r>
            <w:proofErr w:type="spellStart"/>
            <w:r w:rsidRPr="00E37ACD">
              <w:rPr>
                <w:rFonts w:ascii="Arial Narrow" w:hAnsi="Arial Narrow"/>
                <w:sz w:val="20"/>
                <w:lang w:val="en-US"/>
              </w:rPr>
              <w:t>mo</w:t>
            </w:r>
            <w:proofErr w:type="spellEnd"/>
          </w:p>
        </w:tc>
        <w:tc>
          <w:tcPr>
            <w:tcW w:w="751" w:type="pct"/>
            <w:gridSpan w:val="3"/>
            <w:vAlign w:val="center"/>
          </w:tcPr>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OS, transplant, HCC, porphyria crises</w:t>
            </w:r>
          </w:p>
        </w:tc>
        <w:tc>
          <w:tcPr>
            <w:tcW w:w="638" w:type="pct"/>
            <w:vAlign w:val="center"/>
          </w:tcPr>
          <w:p w:rsidR="000A3C7D" w:rsidRPr="00E37ACD" w:rsidRDefault="000A3C7D" w:rsidP="00135EC8">
            <w:pPr>
              <w:keepNext/>
              <w:jc w:val="center"/>
              <w:rPr>
                <w:rFonts w:ascii="Arial Narrow" w:hAnsi="Arial Narrow"/>
                <w:sz w:val="20"/>
                <w:lang w:val="en-US"/>
              </w:rPr>
            </w:pPr>
            <w:r w:rsidRPr="00E37ACD">
              <w:rPr>
                <w:rFonts w:ascii="Arial Narrow" w:hAnsi="Arial Narrow"/>
                <w:sz w:val="20"/>
                <w:lang w:val="en-US"/>
              </w:rPr>
              <w:t>Not used</w:t>
            </w:r>
          </w:p>
        </w:tc>
      </w:tr>
      <w:tr w:rsidR="000A3C7D" w:rsidRPr="00E37ACD" w:rsidTr="00364F4B">
        <w:tc>
          <w:tcPr>
            <w:tcW w:w="2592" w:type="pct"/>
            <w:gridSpan w:val="11"/>
            <w:tcBorders>
              <w:right w:val="nil"/>
            </w:tcBorders>
            <w:vAlign w:val="center"/>
          </w:tcPr>
          <w:p w:rsidR="000A3C7D" w:rsidRPr="00E37ACD" w:rsidRDefault="000A3C7D" w:rsidP="00135EC8">
            <w:pPr>
              <w:keepNext/>
              <w:jc w:val="left"/>
              <w:rPr>
                <w:rFonts w:ascii="Arial Narrow" w:hAnsi="Arial Narrow"/>
                <w:b/>
                <w:sz w:val="20"/>
                <w:lang w:val="en-US"/>
              </w:rPr>
            </w:pPr>
            <w:proofErr w:type="spellStart"/>
            <w:r w:rsidRPr="00E37ACD">
              <w:rPr>
                <w:rFonts w:ascii="Arial Narrow" w:hAnsi="Arial Narrow"/>
                <w:b/>
                <w:sz w:val="20"/>
                <w:lang w:val="en-US"/>
              </w:rPr>
              <w:t>Nitisinone</w:t>
            </w:r>
            <w:proofErr w:type="spellEnd"/>
            <w:r w:rsidRPr="00E37ACD">
              <w:rPr>
                <w:rFonts w:ascii="Arial Narrow" w:hAnsi="Arial Narrow"/>
                <w:b/>
                <w:sz w:val="20"/>
                <w:lang w:val="en-US"/>
              </w:rPr>
              <w:t xml:space="preserve"> single-arm study with historical controls</w:t>
            </w:r>
          </w:p>
        </w:tc>
        <w:tc>
          <w:tcPr>
            <w:tcW w:w="84" w:type="pct"/>
            <w:tcBorders>
              <w:left w:val="nil"/>
              <w:right w:val="nil"/>
            </w:tcBorders>
            <w:vAlign w:val="center"/>
          </w:tcPr>
          <w:p w:rsidR="000A3C7D" w:rsidRPr="00E37ACD" w:rsidRDefault="000A3C7D" w:rsidP="00135EC8">
            <w:pPr>
              <w:keepNext/>
              <w:jc w:val="left"/>
              <w:rPr>
                <w:rFonts w:ascii="Arial Narrow" w:hAnsi="Arial Narrow"/>
                <w:b/>
                <w:sz w:val="20"/>
                <w:lang w:val="en-US"/>
              </w:rPr>
            </w:pPr>
          </w:p>
        </w:tc>
        <w:tc>
          <w:tcPr>
            <w:tcW w:w="335" w:type="pct"/>
            <w:gridSpan w:val="3"/>
            <w:tcBorders>
              <w:left w:val="nil"/>
              <w:right w:val="nil"/>
            </w:tcBorders>
            <w:vAlign w:val="center"/>
          </w:tcPr>
          <w:p w:rsidR="000A3C7D" w:rsidRPr="00E37ACD" w:rsidRDefault="000A3C7D" w:rsidP="00135EC8">
            <w:pPr>
              <w:keepNext/>
              <w:jc w:val="left"/>
              <w:rPr>
                <w:rFonts w:ascii="Arial Narrow" w:hAnsi="Arial Narrow"/>
                <w:b/>
                <w:sz w:val="20"/>
                <w:lang w:val="en-US"/>
              </w:rPr>
            </w:pPr>
          </w:p>
        </w:tc>
        <w:tc>
          <w:tcPr>
            <w:tcW w:w="325" w:type="pct"/>
            <w:tcBorders>
              <w:left w:val="nil"/>
              <w:right w:val="nil"/>
            </w:tcBorders>
            <w:vAlign w:val="center"/>
          </w:tcPr>
          <w:p w:rsidR="000A3C7D" w:rsidRPr="00E37ACD" w:rsidRDefault="000A3C7D" w:rsidP="00135EC8">
            <w:pPr>
              <w:keepNext/>
              <w:jc w:val="left"/>
              <w:rPr>
                <w:rFonts w:ascii="Arial Narrow" w:hAnsi="Arial Narrow"/>
                <w:b/>
                <w:sz w:val="20"/>
                <w:lang w:val="en-US"/>
              </w:rPr>
            </w:pPr>
          </w:p>
        </w:tc>
        <w:tc>
          <w:tcPr>
            <w:tcW w:w="833" w:type="pct"/>
            <w:gridSpan w:val="3"/>
            <w:tcBorders>
              <w:left w:val="nil"/>
              <w:right w:val="nil"/>
            </w:tcBorders>
            <w:vAlign w:val="center"/>
          </w:tcPr>
          <w:p w:rsidR="000A3C7D" w:rsidRPr="00E37ACD" w:rsidRDefault="000A3C7D" w:rsidP="00135EC8">
            <w:pPr>
              <w:keepNext/>
              <w:jc w:val="left"/>
              <w:rPr>
                <w:rFonts w:ascii="Arial Narrow" w:hAnsi="Arial Narrow"/>
                <w:b/>
                <w:sz w:val="20"/>
                <w:lang w:val="en-US"/>
              </w:rPr>
            </w:pPr>
          </w:p>
        </w:tc>
        <w:tc>
          <w:tcPr>
            <w:tcW w:w="831" w:type="pct"/>
            <w:gridSpan w:val="3"/>
            <w:tcBorders>
              <w:left w:val="nil"/>
            </w:tcBorders>
            <w:vAlign w:val="center"/>
          </w:tcPr>
          <w:p w:rsidR="000A3C7D" w:rsidRPr="00E37ACD" w:rsidRDefault="000A3C7D" w:rsidP="00135EC8">
            <w:pPr>
              <w:keepNext/>
              <w:jc w:val="left"/>
              <w:rPr>
                <w:rFonts w:ascii="Arial Narrow" w:hAnsi="Arial Narrow"/>
                <w:b/>
                <w:sz w:val="20"/>
                <w:lang w:val="en-US"/>
              </w:rPr>
            </w:pPr>
          </w:p>
        </w:tc>
      </w:tr>
      <w:tr w:rsidR="000A3C7D" w:rsidRPr="00E37ACD" w:rsidTr="00B6731C">
        <w:tc>
          <w:tcPr>
            <w:tcW w:w="821" w:type="pct"/>
            <w:vAlign w:val="center"/>
          </w:tcPr>
          <w:p w:rsidR="000A3C7D" w:rsidRPr="00E37ACD" w:rsidRDefault="000A3C7D" w:rsidP="008F52B2">
            <w:pPr>
              <w:keepNext/>
              <w:jc w:val="left"/>
              <w:rPr>
                <w:rFonts w:ascii="Arial Narrow" w:hAnsi="Arial Narrow"/>
                <w:sz w:val="20"/>
                <w:lang w:val="en-US"/>
              </w:rPr>
            </w:pPr>
            <w:proofErr w:type="spellStart"/>
            <w:r w:rsidRPr="00E37ACD">
              <w:rPr>
                <w:rFonts w:ascii="Arial Narrow" w:hAnsi="Arial Narrow"/>
                <w:sz w:val="20"/>
                <w:lang w:val="en-US"/>
              </w:rPr>
              <w:t>Larochelle</w:t>
            </w:r>
            <w:proofErr w:type="spellEnd"/>
            <w:r w:rsidRPr="00E37ACD">
              <w:rPr>
                <w:rFonts w:ascii="Arial Narrow" w:hAnsi="Arial Narrow"/>
                <w:sz w:val="20"/>
                <w:lang w:val="en-US"/>
              </w:rPr>
              <w:t xml:space="preserve"> 2012, </w:t>
            </w:r>
            <w:proofErr w:type="spellStart"/>
            <w:r w:rsidRPr="00E37ACD">
              <w:rPr>
                <w:rFonts w:ascii="Arial Narrow" w:hAnsi="Arial Narrow"/>
                <w:sz w:val="20"/>
                <w:lang w:val="en-US"/>
              </w:rPr>
              <w:t>nitisinone</w:t>
            </w:r>
            <w:proofErr w:type="spellEnd"/>
          </w:p>
        </w:tc>
        <w:tc>
          <w:tcPr>
            <w:tcW w:w="249" w:type="pct"/>
            <w:gridSpan w:val="2"/>
            <w:vAlign w:val="center"/>
          </w:tcPr>
          <w:p w:rsidR="000A3C7D" w:rsidRPr="00E37ACD" w:rsidRDefault="000A3C7D" w:rsidP="008F52B2">
            <w:pPr>
              <w:keepNext/>
              <w:jc w:val="center"/>
              <w:rPr>
                <w:rFonts w:ascii="Arial Narrow" w:hAnsi="Arial Narrow"/>
                <w:sz w:val="20"/>
                <w:lang w:val="en-US"/>
              </w:rPr>
            </w:pPr>
            <w:r w:rsidRPr="00E37ACD">
              <w:rPr>
                <w:rFonts w:ascii="Arial Narrow" w:hAnsi="Arial Narrow"/>
                <w:sz w:val="20"/>
                <w:lang w:val="en-US"/>
              </w:rPr>
              <w:t>50</w:t>
            </w:r>
          </w:p>
        </w:tc>
        <w:tc>
          <w:tcPr>
            <w:tcW w:w="1310" w:type="pct"/>
            <w:gridSpan w:val="6"/>
            <w:tcBorders>
              <w:bottom w:val="nil"/>
            </w:tcBorders>
            <w:vAlign w:val="bottom"/>
          </w:tcPr>
          <w:p w:rsidR="000A3C7D" w:rsidRPr="00E37ACD" w:rsidRDefault="000A3C7D" w:rsidP="00B6731C">
            <w:pPr>
              <w:keepNext/>
              <w:jc w:val="center"/>
              <w:rPr>
                <w:rFonts w:ascii="Arial Narrow" w:hAnsi="Arial Narrow"/>
                <w:sz w:val="20"/>
                <w:lang w:val="en-US"/>
              </w:rPr>
            </w:pPr>
            <w:proofErr w:type="spellStart"/>
            <w:r w:rsidRPr="00E37ACD">
              <w:rPr>
                <w:rFonts w:ascii="Arial Narrow" w:hAnsi="Arial Narrow"/>
                <w:sz w:val="20"/>
                <w:lang w:val="en-US"/>
              </w:rPr>
              <w:t>Tmt</w:t>
            </w:r>
            <w:proofErr w:type="spellEnd"/>
            <w:r w:rsidRPr="00E37ACD">
              <w:rPr>
                <w:rFonts w:ascii="Arial Narrow" w:hAnsi="Arial Narrow"/>
                <w:sz w:val="20"/>
                <w:lang w:val="en-US"/>
              </w:rPr>
              <w:t xml:space="preserve"> duration: mean 9.6 years</w:t>
            </w:r>
          </w:p>
        </w:tc>
        <w:tc>
          <w:tcPr>
            <w:tcW w:w="328" w:type="pct"/>
            <w:gridSpan w:val="4"/>
            <w:tcBorders>
              <w:bottom w:val="nil"/>
            </w:tcBorders>
            <w:vAlign w:val="center"/>
          </w:tcPr>
          <w:p w:rsidR="000A3C7D" w:rsidRPr="00E37ACD" w:rsidRDefault="000A3C7D" w:rsidP="008F52B2">
            <w:pPr>
              <w:keepNext/>
              <w:jc w:val="center"/>
              <w:rPr>
                <w:rFonts w:ascii="Arial Narrow" w:hAnsi="Arial Narrow"/>
                <w:sz w:val="20"/>
                <w:lang w:val="en-US"/>
              </w:rPr>
            </w:pPr>
          </w:p>
          <w:p w:rsidR="000A3C7D" w:rsidRPr="00E37ACD" w:rsidRDefault="000A3C7D" w:rsidP="008F52B2">
            <w:pPr>
              <w:keepNext/>
              <w:jc w:val="center"/>
              <w:rPr>
                <w:rFonts w:ascii="Arial Narrow" w:hAnsi="Arial Narrow"/>
                <w:sz w:val="20"/>
                <w:lang w:val="en-US"/>
              </w:rPr>
            </w:pPr>
            <w:r w:rsidRPr="00E37ACD">
              <w:rPr>
                <w:rFonts w:ascii="Arial Narrow" w:hAnsi="Arial Narrow"/>
                <w:sz w:val="20"/>
                <w:lang w:val="en-US"/>
              </w:rPr>
              <w:t>High</w:t>
            </w:r>
          </w:p>
        </w:tc>
        <w:tc>
          <w:tcPr>
            <w:tcW w:w="903" w:type="pct"/>
            <w:gridSpan w:val="5"/>
            <w:tcBorders>
              <w:bottom w:val="nil"/>
            </w:tcBorders>
            <w:vAlign w:val="bottom"/>
          </w:tcPr>
          <w:p w:rsidR="000A3C7D" w:rsidRPr="00E37ACD" w:rsidRDefault="000A3C7D" w:rsidP="008F52B2">
            <w:pPr>
              <w:keepNext/>
              <w:jc w:val="center"/>
              <w:rPr>
                <w:rFonts w:ascii="Arial Narrow" w:hAnsi="Arial Narrow"/>
                <w:sz w:val="20"/>
                <w:lang w:val="en-US"/>
              </w:rPr>
            </w:pPr>
            <w:r w:rsidRPr="00E37ACD">
              <w:rPr>
                <w:rFonts w:ascii="Arial Narrow" w:hAnsi="Arial Narrow"/>
                <w:sz w:val="20"/>
                <w:lang w:val="en-US"/>
              </w:rPr>
              <w:t>Diagnosis of HT-1 by neonatal</w:t>
            </w:r>
          </w:p>
        </w:tc>
        <w:tc>
          <w:tcPr>
            <w:tcW w:w="751" w:type="pct"/>
            <w:gridSpan w:val="3"/>
            <w:tcBorders>
              <w:bottom w:val="nil"/>
            </w:tcBorders>
            <w:vAlign w:val="bottom"/>
          </w:tcPr>
          <w:p w:rsidR="000A3C7D" w:rsidRPr="00E37ACD" w:rsidRDefault="000A3C7D" w:rsidP="008F52B2">
            <w:pPr>
              <w:keepNext/>
              <w:jc w:val="center"/>
              <w:rPr>
                <w:rFonts w:ascii="Arial Narrow" w:hAnsi="Arial Narrow"/>
                <w:sz w:val="20"/>
                <w:lang w:val="en-US"/>
              </w:rPr>
            </w:pPr>
            <w:r w:rsidRPr="00E37ACD">
              <w:rPr>
                <w:rFonts w:ascii="Arial Narrow" w:hAnsi="Arial Narrow"/>
                <w:sz w:val="20"/>
                <w:lang w:val="en-US"/>
              </w:rPr>
              <w:t>OS, transplant,</w:t>
            </w:r>
          </w:p>
        </w:tc>
        <w:tc>
          <w:tcPr>
            <w:tcW w:w="638" w:type="pct"/>
            <w:vAlign w:val="center"/>
          </w:tcPr>
          <w:p w:rsidR="000A3C7D" w:rsidRPr="00E37ACD" w:rsidRDefault="000A3C7D" w:rsidP="008F52B2">
            <w:pPr>
              <w:keepNext/>
              <w:jc w:val="center"/>
              <w:rPr>
                <w:rFonts w:ascii="Arial Narrow" w:hAnsi="Arial Narrow"/>
                <w:sz w:val="20"/>
                <w:lang w:val="en-US"/>
              </w:rPr>
            </w:pPr>
            <w:r w:rsidRPr="00E37ACD">
              <w:rPr>
                <w:rFonts w:ascii="Arial Narrow" w:hAnsi="Arial Narrow"/>
                <w:sz w:val="20"/>
                <w:lang w:val="en-US"/>
              </w:rPr>
              <w:t>Not used</w:t>
            </w:r>
          </w:p>
        </w:tc>
      </w:tr>
      <w:tr w:rsidR="000A3C7D" w:rsidRPr="00E37ACD" w:rsidTr="00B6731C">
        <w:tc>
          <w:tcPr>
            <w:tcW w:w="821" w:type="pct"/>
            <w:vAlign w:val="center"/>
          </w:tcPr>
          <w:p w:rsidR="000A3C7D" w:rsidRPr="00E37ACD" w:rsidRDefault="000A3C7D" w:rsidP="008F52B2">
            <w:pPr>
              <w:keepNext/>
              <w:jc w:val="left"/>
              <w:rPr>
                <w:rFonts w:ascii="Arial Narrow" w:hAnsi="Arial Narrow"/>
                <w:sz w:val="20"/>
                <w:lang w:val="en-US"/>
              </w:rPr>
            </w:pPr>
            <w:proofErr w:type="spellStart"/>
            <w:r w:rsidRPr="00E37ACD">
              <w:rPr>
                <w:rFonts w:ascii="Arial Narrow" w:hAnsi="Arial Narrow"/>
                <w:sz w:val="20"/>
                <w:lang w:val="en-US"/>
              </w:rPr>
              <w:t>Larochelle</w:t>
            </w:r>
            <w:proofErr w:type="spellEnd"/>
            <w:r w:rsidRPr="00E37ACD">
              <w:rPr>
                <w:rFonts w:ascii="Arial Narrow" w:hAnsi="Arial Narrow"/>
                <w:sz w:val="20"/>
                <w:lang w:val="en-US"/>
              </w:rPr>
              <w:t xml:space="preserve"> 2012, control cohort</w:t>
            </w:r>
          </w:p>
        </w:tc>
        <w:tc>
          <w:tcPr>
            <w:tcW w:w="249" w:type="pct"/>
            <w:gridSpan w:val="2"/>
            <w:vAlign w:val="center"/>
          </w:tcPr>
          <w:p w:rsidR="000A3C7D" w:rsidRPr="00E37ACD" w:rsidRDefault="000A3C7D" w:rsidP="008F52B2">
            <w:pPr>
              <w:keepNext/>
              <w:jc w:val="center"/>
              <w:rPr>
                <w:rFonts w:ascii="Arial Narrow" w:hAnsi="Arial Narrow"/>
                <w:sz w:val="20"/>
                <w:lang w:val="en-US"/>
              </w:rPr>
            </w:pPr>
            <w:r w:rsidRPr="00E37ACD">
              <w:rPr>
                <w:rFonts w:ascii="Arial Narrow" w:hAnsi="Arial Narrow"/>
                <w:sz w:val="20"/>
                <w:lang w:val="en-US"/>
              </w:rPr>
              <w:t>28</w:t>
            </w:r>
          </w:p>
        </w:tc>
        <w:tc>
          <w:tcPr>
            <w:tcW w:w="1310" w:type="pct"/>
            <w:gridSpan w:val="6"/>
            <w:tcBorders>
              <w:top w:val="nil"/>
            </w:tcBorders>
          </w:tcPr>
          <w:p w:rsidR="000A3C7D" w:rsidRPr="00E37ACD" w:rsidRDefault="000A3C7D" w:rsidP="00B6731C">
            <w:pPr>
              <w:keepNext/>
              <w:jc w:val="center"/>
              <w:rPr>
                <w:rFonts w:ascii="Arial Narrow" w:hAnsi="Arial Narrow"/>
                <w:sz w:val="20"/>
                <w:lang w:val="en-US"/>
              </w:rPr>
            </w:pPr>
            <w:r w:rsidRPr="00E37ACD">
              <w:rPr>
                <w:rFonts w:ascii="Arial Narrow" w:hAnsi="Arial Narrow"/>
                <w:sz w:val="20"/>
                <w:lang w:val="en-US"/>
              </w:rPr>
              <w:t>Single-arm, prospective with historical control cohort</w:t>
            </w:r>
          </w:p>
          <w:p w:rsidR="000A3C7D" w:rsidRPr="00E37ACD" w:rsidRDefault="000A3C7D" w:rsidP="00B6731C">
            <w:pPr>
              <w:keepNext/>
              <w:jc w:val="center"/>
              <w:rPr>
                <w:rFonts w:ascii="Arial Narrow" w:hAnsi="Arial Narrow"/>
                <w:sz w:val="20"/>
                <w:lang w:val="en-US"/>
              </w:rPr>
            </w:pPr>
          </w:p>
        </w:tc>
        <w:tc>
          <w:tcPr>
            <w:tcW w:w="328" w:type="pct"/>
            <w:gridSpan w:val="4"/>
            <w:tcBorders>
              <w:top w:val="nil"/>
            </w:tcBorders>
            <w:vAlign w:val="center"/>
          </w:tcPr>
          <w:p w:rsidR="000A3C7D" w:rsidRPr="00E37ACD" w:rsidRDefault="000A3C7D" w:rsidP="008F52B2">
            <w:pPr>
              <w:keepNext/>
              <w:rPr>
                <w:rFonts w:ascii="Arial Narrow" w:hAnsi="Arial Narrow"/>
                <w:sz w:val="20"/>
                <w:lang w:val="en-US"/>
              </w:rPr>
            </w:pPr>
          </w:p>
        </w:tc>
        <w:tc>
          <w:tcPr>
            <w:tcW w:w="903" w:type="pct"/>
            <w:gridSpan w:val="5"/>
            <w:tcBorders>
              <w:top w:val="nil"/>
            </w:tcBorders>
          </w:tcPr>
          <w:p w:rsidR="000A3C7D" w:rsidRPr="00E37ACD" w:rsidRDefault="000A3C7D" w:rsidP="008F52B2">
            <w:pPr>
              <w:keepNext/>
              <w:jc w:val="center"/>
              <w:rPr>
                <w:rFonts w:ascii="Arial Narrow" w:hAnsi="Arial Narrow"/>
                <w:sz w:val="20"/>
                <w:lang w:val="en-US"/>
              </w:rPr>
            </w:pPr>
            <w:r w:rsidRPr="00E37ACD">
              <w:rPr>
                <w:rFonts w:ascii="Arial Narrow" w:hAnsi="Arial Narrow"/>
                <w:sz w:val="20"/>
                <w:lang w:val="en-US"/>
              </w:rPr>
              <w:t>screening in Quebec, Canada</w:t>
            </w:r>
          </w:p>
        </w:tc>
        <w:tc>
          <w:tcPr>
            <w:tcW w:w="751" w:type="pct"/>
            <w:gridSpan w:val="3"/>
            <w:tcBorders>
              <w:top w:val="nil"/>
            </w:tcBorders>
          </w:tcPr>
          <w:p w:rsidR="000A3C7D" w:rsidRPr="00E37ACD" w:rsidRDefault="000A3C7D" w:rsidP="008F52B2">
            <w:pPr>
              <w:keepNext/>
              <w:jc w:val="center"/>
              <w:rPr>
                <w:rFonts w:ascii="Arial Narrow" w:hAnsi="Arial Narrow"/>
                <w:sz w:val="20"/>
                <w:lang w:val="en-US"/>
              </w:rPr>
            </w:pPr>
            <w:r w:rsidRPr="00E37ACD">
              <w:rPr>
                <w:rFonts w:ascii="Arial Narrow" w:hAnsi="Arial Narrow"/>
                <w:sz w:val="20"/>
                <w:lang w:val="en-US"/>
              </w:rPr>
              <w:t>porphyria crises</w:t>
            </w:r>
          </w:p>
        </w:tc>
        <w:tc>
          <w:tcPr>
            <w:tcW w:w="638" w:type="pct"/>
            <w:vAlign w:val="center"/>
          </w:tcPr>
          <w:p w:rsidR="000A3C7D" w:rsidRPr="00E37ACD" w:rsidRDefault="000A3C7D" w:rsidP="008F52B2">
            <w:pPr>
              <w:keepNext/>
              <w:jc w:val="center"/>
              <w:rPr>
                <w:rFonts w:ascii="Arial Narrow" w:hAnsi="Arial Narrow"/>
                <w:sz w:val="20"/>
                <w:lang w:val="en-US"/>
              </w:rPr>
            </w:pPr>
            <w:r w:rsidRPr="00E37ACD">
              <w:rPr>
                <w:rFonts w:ascii="Arial Narrow" w:hAnsi="Arial Narrow"/>
                <w:sz w:val="20"/>
                <w:lang w:val="en-US"/>
              </w:rPr>
              <w:t>Estimate transplants for diet</w:t>
            </w:r>
          </w:p>
        </w:tc>
      </w:tr>
    </w:tbl>
    <w:p w:rsidR="000A3C7D" w:rsidRPr="00E37ACD" w:rsidRDefault="000A3C7D" w:rsidP="00135EC8">
      <w:pPr>
        <w:pStyle w:val="TableFooter"/>
        <w:keepNext/>
        <w:ind w:firstLine="720"/>
      </w:pPr>
      <w:r w:rsidRPr="00E37ACD">
        <w:t xml:space="preserve">FU = follow-up; HCC = hepatocellular carcinoma; </w:t>
      </w:r>
      <w:proofErr w:type="spellStart"/>
      <w:r w:rsidRPr="00E37ACD">
        <w:t>mo</w:t>
      </w:r>
      <w:proofErr w:type="spellEnd"/>
      <w:r w:rsidRPr="00E37ACD">
        <w:t xml:space="preserve"> = months; NR = not reported; OS = overall survival; </w:t>
      </w:r>
      <w:proofErr w:type="spellStart"/>
      <w:r w:rsidRPr="00E37ACD">
        <w:t>tmt</w:t>
      </w:r>
      <w:proofErr w:type="spellEnd"/>
      <w:r w:rsidRPr="00E37ACD">
        <w:t xml:space="preserve"> = treatment.</w:t>
      </w:r>
    </w:p>
    <w:p w:rsidR="000A3C7D" w:rsidRPr="00E37ACD" w:rsidRDefault="000A3C7D" w:rsidP="00135EC8">
      <w:pPr>
        <w:pStyle w:val="TableFooter"/>
        <w:keepNext/>
        <w:ind w:firstLine="720"/>
      </w:pPr>
      <w:r w:rsidRPr="00E37ACD">
        <w:t>Source: compiled during the evaluation</w:t>
      </w:r>
    </w:p>
    <w:p w:rsidR="000A3C7D" w:rsidRPr="00E37ACD" w:rsidRDefault="000A3C7D" w:rsidP="00AA2BCB">
      <w:pPr>
        <w:pStyle w:val="TableFooter"/>
        <w:ind w:firstLine="720"/>
      </w:pPr>
      <w:proofErr w:type="gramStart"/>
      <w:r w:rsidRPr="00E37ACD">
        <w:rPr>
          <w:vertAlign w:val="superscript"/>
        </w:rPr>
        <w:t>a</w:t>
      </w:r>
      <w:proofErr w:type="gramEnd"/>
      <w:r w:rsidRPr="00E37ACD">
        <w:t xml:space="preserve"> Data based on subset of </w:t>
      </w:r>
      <w:r w:rsidR="00637BCD">
        <w:rPr>
          <w:noProof/>
          <w:color w:val="000000"/>
          <w:highlight w:val="black"/>
        </w:rPr>
        <w:t>'''''''''</w:t>
      </w:r>
      <w:r w:rsidRPr="00E37ACD">
        <w:t xml:space="preserve"> patients included in Main analysis</w:t>
      </w:r>
    </w:p>
    <w:p w:rsidR="000A3C7D" w:rsidRPr="00E37ACD" w:rsidRDefault="000A3C7D" w:rsidP="007F1017"/>
    <w:p w:rsidR="000A3C7D" w:rsidRPr="00E37ACD" w:rsidRDefault="000A3C7D" w:rsidP="00F31E6E">
      <w:pPr>
        <w:pStyle w:val="ListParagraph"/>
        <w:widowControl/>
        <w:numPr>
          <w:ilvl w:val="1"/>
          <w:numId w:val="3"/>
        </w:numPr>
        <w:jc w:val="left"/>
        <w:rPr>
          <w:szCs w:val="22"/>
        </w:rPr>
      </w:pPr>
      <w:r w:rsidRPr="00E37ACD">
        <w:rPr>
          <w:szCs w:val="22"/>
        </w:rPr>
        <w:t xml:space="preserve">The risk of bias for the comparison based on the NTBC </w:t>
      </w:r>
      <w:proofErr w:type="spellStart"/>
      <w:r w:rsidRPr="00E37ACD">
        <w:rPr>
          <w:szCs w:val="22"/>
        </w:rPr>
        <w:t>nitisinone</w:t>
      </w:r>
      <w:proofErr w:type="spellEnd"/>
      <w:r w:rsidRPr="00E37ACD">
        <w:rPr>
          <w:szCs w:val="22"/>
        </w:rPr>
        <w:t xml:space="preserve"> study and the van </w:t>
      </w:r>
      <w:proofErr w:type="spellStart"/>
      <w:r w:rsidRPr="00E37ACD">
        <w:rPr>
          <w:szCs w:val="22"/>
        </w:rPr>
        <w:t>Spronsen</w:t>
      </w:r>
      <w:proofErr w:type="spellEnd"/>
      <w:r w:rsidRPr="00E37ACD">
        <w:rPr>
          <w:szCs w:val="22"/>
        </w:rPr>
        <w:t xml:space="preserve"> 1994 diet study is high. Lack of data on the comparability of people in the study prevents an assessment of the likely overall direction of the bias. For the van </w:t>
      </w:r>
      <w:proofErr w:type="spellStart"/>
      <w:r w:rsidRPr="00E37ACD">
        <w:rPr>
          <w:szCs w:val="22"/>
        </w:rPr>
        <w:t>Spronsen</w:t>
      </w:r>
      <w:proofErr w:type="spellEnd"/>
      <w:r w:rsidRPr="00E37ACD">
        <w:rPr>
          <w:szCs w:val="22"/>
        </w:rPr>
        <w:t xml:space="preserve"> 1994 diet study:</w:t>
      </w:r>
    </w:p>
    <w:p w:rsidR="000A3C7D" w:rsidRPr="00E37ACD" w:rsidRDefault="000A3C7D" w:rsidP="00F31E6E">
      <w:pPr>
        <w:pStyle w:val="ListParagraph"/>
        <w:numPr>
          <w:ilvl w:val="0"/>
          <w:numId w:val="2"/>
        </w:numPr>
        <w:autoSpaceDE w:val="0"/>
        <w:autoSpaceDN w:val="0"/>
        <w:adjustRightInd w:val="0"/>
        <w:ind w:left="993" w:hanging="284"/>
        <w:rPr>
          <w:lang w:val="en-US"/>
        </w:rPr>
      </w:pPr>
      <w:r w:rsidRPr="00E37ACD">
        <w:rPr>
          <w:lang w:val="en-US"/>
        </w:rPr>
        <w:t xml:space="preserve">Patients were selected retrospectively and the process for the selection of patients at each </w:t>
      </w:r>
      <w:r w:rsidRPr="0061196A">
        <w:t>centre</w:t>
      </w:r>
      <w:r w:rsidRPr="00E37ACD">
        <w:rPr>
          <w:lang w:val="en-US"/>
        </w:rPr>
        <w:t xml:space="preserve"> was not reported;</w:t>
      </w:r>
    </w:p>
    <w:p w:rsidR="000A3C7D" w:rsidRPr="00E37ACD" w:rsidRDefault="000A3C7D" w:rsidP="00F31E6E">
      <w:pPr>
        <w:pStyle w:val="ListParagraph"/>
        <w:numPr>
          <w:ilvl w:val="0"/>
          <w:numId w:val="2"/>
        </w:numPr>
        <w:autoSpaceDE w:val="0"/>
        <w:autoSpaceDN w:val="0"/>
        <w:adjustRightInd w:val="0"/>
        <w:ind w:left="993" w:hanging="284"/>
        <w:rPr>
          <w:lang w:val="en-US"/>
        </w:rPr>
      </w:pPr>
      <w:r w:rsidRPr="00E37ACD">
        <w:rPr>
          <w:lang w:val="en-US"/>
        </w:rPr>
        <w:t>Lack of reporting of patient demographic and disease characteristics prevents an assessment of the likelihood of confounding; and</w:t>
      </w:r>
    </w:p>
    <w:p w:rsidR="000A3C7D" w:rsidRDefault="000A3C7D" w:rsidP="00F31E6E">
      <w:pPr>
        <w:pStyle w:val="ListParagraph"/>
        <w:numPr>
          <w:ilvl w:val="0"/>
          <w:numId w:val="2"/>
        </w:numPr>
        <w:autoSpaceDE w:val="0"/>
        <w:autoSpaceDN w:val="0"/>
        <w:adjustRightInd w:val="0"/>
        <w:ind w:left="993" w:hanging="284"/>
        <w:rPr>
          <w:lang w:val="en-US"/>
        </w:rPr>
      </w:pPr>
      <w:r w:rsidRPr="00E37ACD">
        <w:rPr>
          <w:lang w:val="en-US"/>
        </w:rPr>
        <w:t>The extent and duration of follow-up is not reported.</w:t>
      </w:r>
    </w:p>
    <w:p w:rsidR="000A3C7D" w:rsidRPr="00E37ACD" w:rsidRDefault="000A3C7D" w:rsidP="008F6DEC">
      <w:pPr>
        <w:pStyle w:val="ListParagraph"/>
        <w:autoSpaceDE w:val="0"/>
        <w:autoSpaceDN w:val="0"/>
        <w:adjustRightInd w:val="0"/>
        <w:ind w:left="993"/>
        <w:rPr>
          <w:lang w:val="en-US"/>
        </w:rPr>
      </w:pPr>
    </w:p>
    <w:p w:rsidR="000A3C7D" w:rsidRPr="00E37ACD" w:rsidRDefault="000A3C7D" w:rsidP="008F6DEC">
      <w:pPr>
        <w:pStyle w:val="ListParagraph"/>
        <w:widowControl/>
        <w:numPr>
          <w:ilvl w:val="1"/>
          <w:numId w:val="3"/>
        </w:numPr>
        <w:jc w:val="left"/>
        <w:rPr>
          <w:lang w:val="en-US"/>
        </w:rPr>
      </w:pPr>
      <w:r w:rsidRPr="008F6DEC">
        <w:rPr>
          <w:szCs w:val="22"/>
        </w:rPr>
        <w:t>The PSCR acknowledged that “there is limited demographic data to assess whether the patient populations in the trials are similar. However neither study had specific inclusion or exclusion criteria other than patients having a clinical diagnosis of HT-1.”</w:t>
      </w:r>
    </w:p>
    <w:p w:rsidR="000A3C7D" w:rsidRPr="00E37ACD" w:rsidRDefault="000A3C7D" w:rsidP="00F0694D">
      <w:pPr>
        <w:pStyle w:val="ListParagraph"/>
        <w:widowControl/>
        <w:rPr>
          <w:szCs w:val="22"/>
        </w:rPr>
      </w:pPr>
    </w:p>
    <w:p w:rsidR="000A3C7D" w:rsidRPr="00E37ACD" w:rsidRDefault="000A3C7D" w:rsidP="00F31E6E">
      <w:pPr>
        <w:pStyle w:val="ListParagraph"/>
        <w:widowControl/>
        <w:numPr>
          <w:ilvl w:val="1"/>
          <w:numId w:val="3"/>
        </w:numPr>
        <w:rPr>
          <w:szCs w:val="22"/>
        </w:rPr>
      </w:pPr>
      <w:proofErr w:type="spellStart"/>
      <w:r w:rsidRPr="00E37ACD">
        <w:rPr>
          <w:szCs w:val="22"/>
        </w:rPr>
        <w:lastRenderedPageBreak/>
        <w:t>Larochelle</w:t>
      </w:r>
      <w:proofErr w:type="spellEnd"/>
      <w:r w:rsidRPr="00E37ACD">
        <w:rPr>
          <w:szCs w:val="22"/>
        </w:rPr>
        <w:t xml:space="preserve"> 2012 </w:t>
      </w:r>
      <w:r>
        <w:rPr>
          <w:szCs w:val="22"/>
        </w:rPr>
        <w:t>wa</w:t>
      </w:r>
      <w:r w:rsidRPr="00E37ACD">
        <w:rPr>
          <w:szCs w:val="22"/>
        </w:rPr>
        <w:t xml:space="preserve">s presented in the submission as supportive evidence. This study includes a cohort of historical controls and therefore enables a comparison of </w:t>
      </w:r>
      <w:proofErr w:type="spellStart"/>
      <w:r w:rsidRPr="00E37ACD">
        <w:rPr>
          <w:szCs w:val="22"/>
        </w:rPr>
        <w:t>nitisinone</w:t>
      </w:r>
      <w:proofErr w:type="spellEnd"/>
      <w:r w:rsidRPr="00E37ACD">
        <w:rPr>
          <w:szCs w:val="22"/>
        </w:rPr>
        <w:t xml:space="preserve"> and diet alone in patients treated in the same geographical region. This comparison is likely to be subject to less bias than the primary comparison presented in the submission as all participants came from the same geographical area (NTBC study vs van </w:t>
      </w:r>
      <w:proofErr w:type="spellStart"/>
      <w:r w:rsidRPr="00E37ACD">
        <w:rPr>
          <w:szCs w:val="22"/>
        </w:rPr>
        <w:t>Spronsen</w:t>
      </w:r>
      <w:proofErr w:type="spellEnd"/>
      <w:r w:rsidRPr="00E37ACD">
        <w:rPr>
          <w:szCs w:val="22"/>
        </w:rPr>
        <w:t xml:space="preserve"> 1994). </w:t>
      </w:r>
      <w:proofErr w:type="spellStart"/>
      <w:r w:rsidRPr="00E37ACD">
        <w:rPr>
          <w:szCs w:val="22"/>
        </w:rPr>
        <w:t>Larochelle</w:t>
      </w:r>
      <w:proofErr w:type="spellEnd"/>
      <w:r w:rsidRPr="00E37ACD">
        <w:rPr>
          <w:szCs w:val="22"/>
        </w:rPr>
        <w:t xml:space="preserve"> 2012 was conducted in Quebec, Canada, where there is a high prevalence of HT-1 due to the Founder effect and a universal neonatal HT-1 screening program. The applicability of the results of </w:t>
      </w:r>
      <w:proofErr w:type="spellStart"/>
      <w:r w:rsidRPr="00E37ACD">
        <w:rPr>
          <w:szCs w:val="22"/>
        </w:rPr>
        <w:t>Larochelle</w:t>
      </w:r>
      <w:proofErr w:type="spellEnd"/>
      <w:r w:rsidRPr="00E37ACD">
        <w:rPr>
          <w:szCs w:val="22"/>
        </w:rPr>
        <w:t xml:space="preserve"> 2012 is therefore dependent on the extent </w:t>
      </w:r>
      <w:r w:rsidRPr="008F6DEC">
        <w:rPr>
          <w:szCs w:val="22"/>
        </w:rPr>
        <w:t>and type</w:t>
      </w:r>
      <w:r w:rsidRPr="00E37ACD">
        <w:rPr>
          <w:szCs w:val="22"/>
        </w:rPr>
        <w:t xml:space="preserve"> of HT</w:t>
      </w:r>
      <w:r w:rsidRPr="00E37ACD">
        <w:rPr>
          <w:szCs w:val="22"/>
        </w:rPr>
        <w:noBreakHyphen/>
        <w:t xml:space="preserve">1 screening in Australia. In </w:t>
      </w:r>
      <w:proofErr w:type="spellStart"/>
      <w:r w:rsidRPr="00E37ACD">
        <w:rPr>
          <w:szCs w:val="22"/>
        </w:rPr>
        <w:t>Larochelle</w:t>
      </w:r>
      <w:proofErr w:type="spellEnd"/>
      <w:r w:rsidRPr="00E37ACD">
        <w:rPr>
          <w:szCs w:val="22"/>
        </w:rPr>
        <w:t>, those who commenced treatment at greater than 1 month of age had worse survival and more liver transplant than those who commenced less than or equal to 1 month of age. In the context of neonatal screening, it is not possible to determine whether patients would have had the acute, subacute or chronic subtypes as all patients would start treatment early.</w:t>
      </w:r>
    </w:p>
    <w:p w:rsidR="000A3C7D" w:rsidRDefault="000A3C7D" w:rsidP="007F1017"/>
    <w:p w:rsidR="000A3C7D" w:rsidRPr="00BB7EC3" w:rsidRDefault="000A3C7D" w:rsidP="005F6928">
      <w:pPr>
        <w:pStyle w:val="ListParagraph"/>
        <w:ind w:left="709"/>
        <w:rPr>
          <w:i/>
          <w:szCs w:val="22"/>
        </w:rPr>
      </w:pPr>
      <w:r>
        <w:rPr>
          <w:i/>
          <w:szCs w:val="22"/>
        </w:rPr>
        <w:t>For more detail on PBAC’s view, see section 7 “PBAC outcome”</w:t>
      </w:r>
    </w:p>
    <w:p w:rsidR="000A3C7D" w:rsidRPr="00597194" w:rsidRDefault="000A3C7D" w:rsidP="007F1017"/>
    <w:p w:rsidR="000A3C7D" w:rsidRPr="00283DC5" w:rsidRDefault="000A3C7D" w:rsidP="00283DC5">
      <w:pPr>
        <w:rPr>
          <w:b/>
          <w:szCs w:val="22"/>
        </w:rPr>
      </w:pPr>
      <w:bookmarkStart w:id="8" w:name="_Toc398024516"/>
      <w:r w:rsidRPr="00283DC5">
        <w:rPr>
          <w:b/>
          <w:szCs w:val="22"/>
        </w:rPr>
        <w:t>Comparative effectiveness</w:t>
      </w:r>
      <w:bookmarkEnd w:id="8"/>
    </w:p>
    <w:p w:rsidR="00C57813" w:rsidRPr="00597194" w:rsidRDefault="00C57813" w:rsidP="00C57813"/>
    <w:p w:rsidR="000A3C7D" w:rsidRPr="008F6DEC" w:rsidRDefault="000A3C7D" w:rsidP="008F6DEC">
      <w:pPr>
        <w:pStyle w:val="ListParagraph"/>
        <w:widowControl/>
        <w:numPr>
          <w:ilvl w:val="1"/>
          <w:numId w:val="3"/>
        </w:numPr>
        <w:rPr>
          <w:szCs w:val="22"/>
        </w:rPr>
      </w:pPr>
      <w:r w:rsidRPr="00E37ACD">
        <w:rPr>
          <w:szCs w:val="22"/>
        </w:rPr>
        <w:t xml:space="preserve">For the NTBC study the results are presented for subgroups based on age at commencement of </w:t>
      </w:r>
      <w:proofErr w:type="spellStart"/>
      <w:r w:rsidRPr="00E37ACD">
        <w:rPr>
          <w:szCs w:val="22"/>
        </w:rPr>
        <w:t>nitisinone</w:t>
      </w:r>
      <w:proofErr w:type="spellEnd"/>
      <w:r w:rsidRPr="00E37ACD">
        <w:rPr>
          <w:szCs w:val="22"/>
        </w:rPr>
        <w:t xml:space="preserve">. For van </w:t>
      </w:r>
      <w:proofErr w:type="spellStart"/>
      <w:r w:rsidRPr="00E37ACD">
        <w:rPr>
          <w:szCs w:val="22"/>
        </w:rPr>
        <w:t>Spronsen</w:t>
      </w:r>
      <w:proofErr w:type="spellEnd"/>
      <w:r w:rsidRPr="00E37ACD">
        <w:rPr>
          <w:szCs w:val="22"/>
        </w:rPr>
        <w:t xml:space="preserve"> 1994 the survival results are presented for subgroups based on age at onset of clinical symptoms. Increased survival with </w:t>
      </w:r>
      <w:proofErr w:type="spellStart"/>
      <w:r w:rsidRPr="00E37ACD">
        <w:rPr>
          <w:szCs w:val="22"/>
        </w:rPr>
        <w:t>nitisinone</w:t>
      </w:r>
      <w:proofErr w:type="spellEnd"/>
      <w:r w:rsidRPr="00E37ACD">
        <w:rPr>
          <w:szCs w:val="22"/>
        </w:rPr>
        <w:t xml:space="preserve"> compared with diet alone is not demonstrated for patients with a clinical onset after 6 months of age </w:t>
      </w:r>
      <w:r>
        <w:rPr>
          <w:szCs w:val="22"/>
        </w:rPr>
        <w:t xml:space="preserve">(defined as chronic) </w:t>
      </w:r>
      <w:r w:rsidRPr="00E37ACD">
        <w:rPr>
          <w:szCs w:val="22"/>
        </w:rPr>
        <w:t xml:space="preserve">as overall survival at 2 years with diet alone is estimated to be 96%. </w:t>
      </w:r>
      <w:r w:rsidRPr="00E37ACD">
        <w:t xml:space="preserve">However, the effect size on survival in people presenting clinically up to 6 months of age </w:t>
      </w:r>
      <w:r w:rsidRPr="008F6DEC">
        <w:t xml:space="preserve">(acute/sub-acute disease) </w:t>
      </w:r>
      <w:r w:rsidRPr="00E37ACD">
        <w:t xml:space="preserve">appears to be substantial. </w:t>
      </w:r>
      <w:r w:rsidRPr="008F6DEC">
        <w:t>The propor</w:t>
      </w:r>
      <w:r>
        <w:t xml:space="preserve">tion of patients with onset up to </w:t>
      </w:r>
      <w:r w:rsidRPr="008F6DEC">
        <w:t>6 months of age</w:t>
      </w:r>
      <w:r>
        <w:t xml:space="preserve"> </w:t>
      </w:r>
      <w:r w:rsidRPr="008F6DEC">
        <w:t>(a</w:t>
      </w:r>
      <w:r>
        <w:t>cute/sub</w:t>
      </w:r>
      <w:r>
        <w:noBreakHyphen/>
      </w:r>
      <w:r w:rsidRPr="008F6DEC">
        <w:t xml:space="preserve">acute disease) was similar for the NTBC study and van </w:t>
      </w:r>
      <w:proofErr w:type="spellStart"/>
      <w:r w:rsidRPr="008F6DEC">
        <w:t>Spronsen</w:t>
      </w:r>
      <w:proofErr w:type="spellEnd"/>
      <w:r w:rsidRPr="008F6DEC">
        <w:t xml:space="preserve"> 1994 (</w:t>
      </w:r>
      <w:r w:rsidR="00637BCD">
        <w:rPr>
          <w:noProof/>
          <w:color w:val="000000"/>
          <w:highlight w:val="black"/>
        </w:rPr>
        <w:t>'''''''''''</w:t>
      </w:r>
      <w:r w:rsidRPr="008F6DEC">
        <w:t xml:space="preserve"> vs 77%), although for the NTBC study this information is only available for a subset of patients (</w:t>
      </w:r>
      <w:r>
        <w:t>n =</w:t>
      </w:r>
      <w:r w:rsidRPr="008F6DEC">
        <w:t>143/250, 57%).</w:t>
      </w:r>
    </w:p>
    <w:p w:rsidR="000A3C7D" w:rsidRPr="008F6DEC" w:rsidRDefault="000A3C7D" w:rsidP="008F6DEC">
      <w:pPr>
        <w:pStyle w:val="ListParagraph"/>
        <w:widowControl/>
        <w:rPr>
          <w:szCs w:val="22"/>
        </w:rPr>
      </w:pPr>
    </w:p>
    <w:p w:rsidR="000A3C7D" w:rsidRPr="00E37ACD" w:rsidRDefault="000A3C7D" w:rsidP="00F31E6E">
      <w:pPr>
        <w:pStyle w:val="ListParagraph"/>
        <w:widowControl/>
        <w:numPr>
          <w:ilvl w:val="1"/>
          <w:numId w:val="3"/>
        </w:numPr>
        <w:rPr>
          <w:szCs w:val="22"/>
        </w:rPr>
      </w:pPr>
      <w:r w:rsidRPr="00E37ACD">
        <w:rPr>
          <w:szCs w:val="22"/>
        </w:rPr>
        <w:t xml:space="preserve">The PSCR argued that the clinical benefit of </w:t>
      </w:r>
      <w:proofErr w:type="spellStart"/>
      <w:r w:rsidRPr="00E37ACD">
        <w:rPr>
          <w:szCs w:val="22"/>
        </w:rPr>
        <w:t>nitisinone</w:t>
      </w:r>
      <w:proofErr w:type="spellEnd"/>
      <w:r w:rsidRPr="00E37ACD">
        <w:rPr>
          <w:szCs w:val="22"/>
        </w:rPr>
        <w:t xml:space="preserve"> for patients with a clinical onset after 6 months of age is a reduction in the risk of developing HCC. In the NTBC study, </w:t>
      </w:r>
      <w:r w:rsidR="00637BCD">
        <w:rPr>
          <w:noProof/>
          <w:color w:val="000000"/>
          <w:szCs w:val="22"/>
          <w:highlight w:val="black"/>
        </w:rPr>
        <w:t xml:space="preserve">'''' </w:t>
      </w:r>
      <w:r w:rsidRPr="00435A1B">
        <w:rPr>
          <w:szCs w:val="22"/>
        </w:rPr>
        <w:t xml:space="preserve">of the </w:t>
      </w:r>
      <w:r w:rsidR="00637BCD">
        <w:rPr>
          <w:noProof/>
          <w:color w:val="000000"/>
          <w:szCs w:val="22"/>
          <w:highlight w:val="black"/>
        </w:rPr>
        <w:t>'''''''</w:t>
      </w:r>
      <w:r w:rsidRPr="00435A1B">
        <w:rPr>
          <w:szCs w:val="22"/>
        </w:rPr>
        <w:t xml:space="preserve"> cases of HCC developed in patients who started </w:t>
      </w:r>
      <w:proofErr w:type="spellStart"/>
      <w:r w:rsidRPr="00435A1B">
        <w:rPr>
          <w:szCs w:val="22"/>
        </w:rPr>
        <w:t>nitisinone</w:t>
      </w:r>
      <w:proofErr w:type="spellEnd"/>
      <w:r w:rsidRPr="00435A1B">
        <w:rPr>
          <w:szCs w:val="22"/>
        </w:rPr>
        <w:t xml:space="preserve"> after 2 years of age</w:t>
      </w:r>
      <w:r w:rsidRPr="00E37ACD">
        <w:rPr>
          <w:szCs w:val="22"/>
        </w:rPr>
        <w:t xml:space="preserve">. However, this group was heterogeneous and included patients with the acute, subacute and chronic forms, who may have been treated with diet for some time before starting </w:t>
      </w:r>
      <w:proofErr w:type="spellStart"/>
      <w:r w:rsidRPr="00E37ACD">
        <w:rPr>
          <w:szCs w:val="22"/>
        </w:rPr>
        <w:t>nitisinone</w:t>
      </w:r>
      <w:proofErr w:type="spellEnd"/>
      <w:r w:rsidRPr="00E37ACD">
        <w:rPr>
          <w:szCs w:val="22"/>
        </w:rPr>
        <w:t xml:space="preserve">. Van </w:t>
      </w:r>
      <w:proofErr w:type="spellStart"/>
      <w:r w:rsidRPr="00E37ACD">
        <w:rPr>
          <w:szCs w:val="22"/>
        </w:rPr>
        <w:t>Spronson</w:t>
      </w:r>
      <w:proofErr w:type="spellEnd"/>
      <w:r w:rsidRPr="00E37ACD">
        <w:rPr>
          <w:szCs w:val="22"/>
        </w:rPr>
        <w:t xml:space="preserve"> demonstrated that patients with the chronic form remained at risk of HCC, and </w:t>
      </w:r>
      <w:proofErr w:type="spellStart"/>
      <w:r w:rsidRPr="00E37ACD">
        <w:rPr>
          <w:szCs w:val="22"/>
        </w:rPr>
        <w:t>Holme</w:t>
      </w:r>
      <w:proofErr w:type="spellEnd"/>
      <w:r w:rsidRPr="00E37ACD">
        <w:rPr>
          <w:szCs w:val="22"/>
        </w:rPr>
        <w:t xml:space="preserve"> and </w:t>
      </w:r>
      <w:proofErr w:type="spellStart"/>
      <w:r w:rsidRPr="00E37ACD">
        <w:rPr>
          <w:szCs w:val="22"/>
        </w:rPr>
        <w:t>Lindstedt</w:t>
      </w:r>
      <w:proofErr w:type="spellEnd"/>
      <w:r w:rsidRPr="00E37ACD">
        <w:rPr>
          <w:szCs w:val="22"/>
        </w:rPr>
        <w:t xml:space="preserve"> (1995) provide expert opinion that the chronic group rarely live beyond 20 years due to the risk of HCC and renal failure, but the effects of </w:t>
      </w:r>
      <w:proofErr w:type="spellStart"/>
      <w:r w:rsidRPr="00E37ACD">
        <w:rPr>
          <w:szCs w:val="22"/>
        </w:rPr>
        <w:t>nitisinone</w:t>
      </w:r>
      <w:proofErr w:type="spellEnd"/>
      <w:r w:rsidRPr="00E37ACD">
        <w:rPr>
          <w:szCs w:val="22"/>
        </w:rPr>
        <w:t xml:space="preserve"> on HCC in this subgroup are not known.  In </w:t>
      </w:r>
      <w:proofErr w:type="spellStart"/>
      <w:r w:rsidRPr="00E37ACD">
        <w:rPr>
          <w:szCs w:val="22"/>
        </w:rPr>
        <w:t>Larochelle</w:t>
      </w:r>
      <w:proofErr w:type="spellEnd"/>
      <w:r w:rsidRPr="00E37ACD">
        <w:rPr>
          <w:szCs w:val="22"/>
        </w:rPr>
        <w:t xml:space="preserve"> 2012, the 7 liver transplants and 2 deaths in </w:t>
      </w:r>
      <w:proofErr w:type="spellStart"/>
      <w:r w:rsidRPr="00E37ACD">
        <w:rPr>
          <w:szCs w:val="22"/>
        </w:rPr>
        <w:t>nitisinone</w:t>
      </w:r>
      <w:proofErr w:type="spellEnd"/>
      <w:r w:rsidRPr="00E37ACD">
        <w:rPr>
          <w:szCs w:val="22"/>
        </w:rPr>
        <w:t xml:space="preserve"> treated patients occurred in patients who started </w:t>
      </w:r>
      <w:proofErr w:type="spellStart"/>
      <w:r w:rsidRPr="00E37ACD">
        <w:rPr>
          <w:szCs w:val="22"/>
        </w:rPr>
        <w:t>nitisinone</w:t>
      </w:r>
      <w:proofErr w:type="spellEnd"/>
      <w:r w:rsidRPr="00E37ACD">
        <w:rPr>
          <w:szCs w:val="22"/>
        </w:rPr>
        <w:t xml:space="preserve"> after 1 month of age (see the table outlining the results from </w:t>
      </w:r>
      <w:proofErr w:type="spellStart"/>
      <w:r w:rsidRPr="00E37ACD">
        <w:rPr>
          <w:szCs w:val="22"/>
        </w:rPr>
        <w:t>Larochelle</w:t>
      </w:r>
      <w:proofErr w:type="spellEnd"/>
      <w:r w:rsidRPr="00E37ACD">
        <w:rPr>
          <w:szCs w:val="22"/>
        </w:rPr>
        <w:t xml:space="preserve"> 2012 below). </w:t>
      </w:r>
    </w:p>
    <w:p w:rsidR="000A3C7D" w:rsidRPr="00E37ACD" w:rsidRDefault="000A3C7D" w:rsidP="007F1017">
      <w:pPr>
        <w:widowControl/>
        <w:rPr>
          <w:szCs w:val="22"/>
        </w:rPr>
      </w:pPr>
    </w:p>
    <w:p w:rsidR="000A3C7D" w:rsidRPr="00E37ACD" w:rsidRDefault="000A3C7D" w:rsidP="00942872">
      <w:pPr>
        <w:keepNext/>
        <w:ind w:firstLine="720"/>
        <w:rPr>
          <w:rStyle w:val="CommentReference"/>
          <w:rFonts w:cs="Arial"/>
          <w:sz w:val="20"/>
          <w:szCs w:val="16"/>
        </w:rPr>
      </w:pPr>
      <w:r w:rsidRPr="00E37ACD">
        <w:rPr>
          <w:rStyle w:val="CommentReference"/>
          <w:rFonts w:cs="Arial"/>
          <w:sz w:val="20"/>
          <w:szCs w:val="16"/>
        </w:rPr>
        <w:lastRenderedPageBreak/>
        <w:t xml:space="preserve">Results of survival, liver transplantation, HCC and porphyria-crises in the nonrandomised studies </w:t>
      </w:r>
    </w:p>
    <w:tbl>
      <w:tblPr>
        <w:tblW w:w="467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118"/>
        <w:gridCol w:w="1112"/>
        <w:gridCol w:w="1596"/>
        <w:gridCol w:w="284"/>
        <w:gridCol w:w="139"/>
        <w:gridCol w:w="66"/>
        <w:gridCol w:w="978"/>
        <w:gridCol w:w="370"/>
        <w:gridCol w:w="289"/>
        <w:gridCol w:w="566"/>
        <w:gridCol w:w="141"/>
        <w:gridCol w:w="146"/>
        <w:gridCol w:w="19"/>
        <w:gridCol w:w="255"/>
        <w:gridCol w:w="148"/>
        <w:gridCol w:w="146"/>
        <w:gridCol w:w="284"/>
        <w:gridCol w:w="138"/>
        <w:gridCol w:w="430"/>
        <w:gridCol w:w="267"/>
      </w:tblGrid>
      <w:tr w:rsidR="000A3C7D" w:rsidRPr="00E37ACD" w:rsidTr="00871D72">
        <w:tc>
          <w:tcPr>
            <w:tcW w:w="659" w:type="pct"/>
            <w:vAlign w:val="center"/>
          </w:tcPr>
          <w:p w:rsidR="000A3C7D" w:rsidRPr="00E37ACD" w:rsidRDefault="000A3C7D" w:rsidP="00942872">
            <w:pPr>
              <w:keepNext/>
              <w:jc w:val="left"/>
              <w:rPr>
                <w:rFonts w:ascii="Arial Narrow" w:hAnsi="Arial Narrow"/>
                <w:b/>
                <w:sz w:val="20"/>
                <w:lang w:val="en-US"/>
              </w:rPr>
            </w:pPr>
            <w:r w:rsidRPr="00E37ACD">
              <w:rPr>
                <w:rFonts w:ascii="Arial Narrow" w:hAnsi="Arial Narrow"/>
                <w:b/>
                <w:sz w:val="20"/>
                <w:lang w:val="en-US"/>
              </w:rPr>
              <w:t>Study</w:t>
            </w:r>
          </w:p>
        </w:tc>
        <w:tc>
          <w:tcPr>
            <w:tcW w:w="655" w:type="pct"/>
            <w:vAlign w:val="center"/>
          </w:tcPr>
          <w:p w:rsidR="000A3C7D" w:rsidRPr="00E37ACD" w:rsidRDefault="000A3C7D" w:rsidP="00942872">
            <w:pPr>
              <w:keepNext/>
              <w:jc w:val="center"/>
              <w:rPr>
                <w:rFonts w:ascii="Arial Narrow" w:hAnsi="Arial Narrow"/>
                <w:b/>
                <w:sz w:val="20"/>
                <w:lang w:val="en-US"/>
              </w:rPr>
            </w:pPr>
            <w:r w:rsidRPr="00E37ACD">
              <w:rPr>
                <w:rFonts w:ascii="Arial Narrow" w:hAnsi="Arial Narrow"/>
                <w:b/>
                <w:sz w:val="20"/>
                <w:lang w:val="en-US"/>
              </w:rPr>
              <w:t>Mean follow-up</w:t>
            </w:r>
          </w:p>
        </w:tc>
        <w:tc>
          <w:tcPr>
            <w:tcW w:w="1228" w:type="pct"/>
            <w:gridSpan w:val="4"/>
            <w:vAlign w:val="center"/>
          </w:tcPr>
          <w:p w:rsidR="000A3C7D" w:rsidRPr="00E37ACD" w:rsidRDefault="000A3C7D" w:rsidP="00942872">
            <w:pPr>
              <w:keepNext/>
              <w:jc w:val="center"/>
              <w:rPr>
                <w:rFonts w:ascii="Arial Narrow" w:hAnsi="Arial Narrow"/>
                <w:b/>
                <w:sz w:val="20"/>
                <w:lang w:val="en-US"/>
              </w:rPr>
            </w:pPr>
            <w:r w:rsidRPr="00E37ACD">
              <w:rPr>
                <w:rFonts w:ascii="Arial Narrow" w:hAnsi="Arial Narrow"/>
                <w:b/>
                <w:sz w:val="20"/>
                <w:lang w:val="en-US"/>
              </w:rPr>
              <w:t>Survival</w:t>
            </w:r>
          </w:p>
        </w:tc>
        <w:tc>
          <w:tcPr>
            <w:tcW w:w="576" w:type="pct"/>
            <w:vAlign w:val="center"/>
          </w:tcPr>
          <w:p w:rsidR="000A3C7D" w:rsidRPr="00E37ACD" w:rsidRDefault="000A3C7D" w:rsidP="00942872">
            <w:pPr>
              <w:keepNext/>
              <w:jc w:val="center"/>
              <w:rPr>
                <w:rFonts w:ascii="Arial Narrow" w:hAnsi="Arial Narrow"/>
                <w:b/>
                <w:sz w:val="20"/>
                <w:lang w:val="en-US"/>
              </w:rPr>
            </w:pPr>
            <w:r w:rsidRPr="00E37ACD">
              <w:rPr>
                <w:rFonts w:ascii="Arial Narrow" w:hAnsi="Arial Narrow"/>
                <w:b/>
                <w:sz w:val="20"/>
                <w:lang w:val="en-US"/>
              </w:rPr>
              <w:t>Liver transplant</w:t>
            </w:r>
          </w:p>
        </w:tc>
        <w:tc>
          <w:tcPr>
            <w:tcW w:w="901" w:type="pct"/>
            <w:gridSpan w:val="6"/>
            <w:vAlign w:val="center"/>
          </w:tcPr>
          <w:p w:rsidR="000A3C7D" w:rsidRPr="00E37ACD" w:rsidRDefault="000A3C7D" w:rsidP="00942872">
            <w:pPr>
              <w:keepNext/>
              <w:jc w:val="center"/>
              <w:rPr>
                <w:rFonts w:ascii="Arial Narrow" w:hAnsi="Arial Narrow"/>
                <w:b/>
                <w:sz w:val="20"/>
                <w:lang w:val="en-US"/>
              </w:rPr>
            </w:pPr>
            <w:r w:rsidRPr="00E37ACD">
              <w:rPr>
                <w:rFonts w:ascii="Arial Narrow" w:hAnsi="Arial Narrow"/>
                <w:b/>
                <w:sz w:val="20"/>
                <w:lang w:val="en-US"/>
              </w:rPr>
              <w:t>HCC</w:t>
            </w:r>
          </w:p>
        </w:tc>
        <w:tc>
          <w:tcPr>
            <w:tcW w:w="982" w:type="pct"/>
            <w:gridSpan w:val="7"/>
            <w:vAlign w:val="center"/>
          </w:tcPr>
          <w:p w:rsidR="000A3C7D" w:rsidRPr="00E37ACD" w:rsidRDefault="000A3C7D" w:rsidP="00942872">
            <w:pPr>
              <w:keepNext/>
              <w:jc w:val="center"/>
              <w:rPr>
                <w:rFonts w:ascii="Arial Narrow" w:hAnsi="Arial Narrow"/>
                <w:b/>
                <w:sz w:val="20"/>
                <w:lang w:val="en-US"/>
              </w:rPr>
            </w:pPr>
            <w:r w:rsidRPr="00E37ACD">
              <w:rPr>
                <w:rFonts w:ascii="Arial Narrow" w:hAnsi="Arial Narrow"/>
                <w:b/>
                <w:sz w:val="20"/>
                <w:lang w:val="en-US"/>
              </w:rPr>
              <w:t>Porphyria-crises</w:t>
            </w:r>
          </w:p>
        </w:tc>
      </w:tr>
      <w:tr w:rsidR="000A3C7D" w:rsidRPr="00E37ACD" w:rsidTr="00871D72">
        <w:tc>
          <w:tcPr>
            <w:tcW w:w="3839" w:type="pct"/>
            <w:gridSpan w:val="10"/>
            <w:tcBorders>
              <w:right w:val="nil"/>
            </w:tcBorders>
          </w:tcPr>
          <w:p w:rsidR="000A3C7D" w:rsidRPr="00E37ACD" w:rsidRDefault="000A3C7D" w:rsidP="00942872">
            <w:pPr>
              <w:keepNext/>
              <w:jc w:val="left"/>
              <w:rPr>
                <w:rFonts w:ascii="Arial Narrow" w:hAnsi="Arial Narrow"/>
                <w:b/>
                <w:sz w:val="20"/>
                <w:lang w:val="en-US"/>
              </w:rPr>
            </w:pPr>
            <w:r w:rsidRPr="00E37ACD">
              <w:rPr>
                <w:rFonts w:ascii="Arial Narrow" w:hAnsi="Arial Narrow"/>
                <w:b/>
                <w:sz w:val="20"/>
                <w:lang w:val="en-US"/>
              </w:rPr>
              <w:t xml:space="preserve">Primary comparison presented in submission: NTBC study vs van </w:t>
            </w:r>
            <w:proofErr w:type="spellStart"/>
            <w:r w:rsidRPr="00E37ACD">
              <w:rPr>
                <w:rFonts w:ascii="Arial Narrow" w:hAnsi="Arial Narrow"/>
                <w:b/>
                <w:sz w:val="20"/>
                <w:lang w:val="en-US"/>
              </w:rPr>
              <w:t>Spronsen</w:t>
            </w:r>
            <w:proofErr w:type="spellEnd"/>
            <w:r w:rsidRPr="00E37ACD">
              <w:rPr>
                <w:rFonts w:ascii="Arial Narrow" w:hAnsi="Arial Narrow"/>
                <w:b/>
                <w:sz w:val="20"/>
                <w:lang w:val="en-US"/>
              </w:rPr>
              <w:t xml:space="preserve"> 1994</w:t>
            </w:r>
          </w:p>
        </w:tc>
        <w:tc>
          <w:tcPr>
            <w:tcW w:w="83" w:type="pct"/>
            <w:tcBorders>
              <w:left w:val="nil"/>
              <w:right w:val="nil"/>
            </w:tcBorders>
          </w:tcPr>
          <w:p w:rsidR="000A3C7D" w:rsidRPr="00E37ACD" w:rsidRDefault="000A3C7D" w:rsidP="00942872">
            <w:pPr>
              <w:keepNext/>
              <w:jc w:val="left"/>
              <w:rPr>
                <w:rFonts w:ascii="Arial Narrow" w:hAnsi="Arial Narrow"/>
                <w:b/>
                <w:sz w:val="20"/>
                <w:lang w:val="en-US"/>
              </w:rPr>
            </w:pPr>
          </w:p>
        </w:tc>
        <w:tc>
          <w:tcPr>
            <w:tcW w:w="334" w:type="pct"/>
            <w:gridSpan w:val="4"/>
            <w:tcBorders>
              <w:left w:val="nil"/>
              <w:right w:val="nil"/>
            </w:tcBorders>
          </w:tcPr>
          <w:p w:rsidR="000A3C7D" w:rsidRPr="00E37ACD" w:rsidRDefault="000A3C7D" w:rsidP="00942872">
            <w:pPr>
              <w:keepNext/>
              <w:jc w:val="left"/>
              <w:rPr>
                <w:rFonts w:ascii="Arial Narrow" w:hAnsi="Arial Narrow"/>
                <w:b/>
                <w:sz w:val="20"/>
                <w:lang w:val="en-US"/>
              </w:rPr>
            </w:pPr>
          </w:p>
        </w:tc>
        <w:tc>
          <w:tcPr>
            <w:tcW w:w="334" w:type="pct"/>
            <w:gridSpan w:val="3"/>
            <w:tcBorders>
              <w:left w:val="nil"/>
              <w:right w:val="nil"/>
            </w:tcBorders>
          </w:tcPr>
          <w:p w:rsidR="000A3C7D" w:rsidRPr="00E37ACD" w:rsidRDefault="000A3C7D" w:rsidP="00942872">
            <w:pPr>
              <w:keepNext/>
              <w:jc w:val="left"/>
              <w:rPr>
                <w:rFonts w:ascii="Arial Narrow" w:hAnsi="Arial Narrow"/>
                <w:b/>
                <w:sz w:val="20"/>
                <w:lang w:val="en-US"/>
              </w:rPr>
            </w:pPr>
          </w:p>
        </w:tc>
        <w:tc>
          <w:tcPr>
            <w:tcW w:w="252" w:type="pct"/>
            <w:tcBorders>
              <w:left w:val="nil"/>
              <w:right w:val="nil"/>
            </w:tcBorders>
          </w:tcPr>
          <w:p w:rsidR="000A3C7D" w:rsidRPr="00E37ACD" w:rsidRDefault="000A3C7D" w:rsidP="00942872">
            <w:pPr>
              <w:keepNext/>
              <w:jc w:val="left"/>
              <w:rPr>
                <w:rFonts w:ascii="Arial Narrow" w:hAnsi="Arial Narrow"/>
                <w:b/>
                <w:sz w:val="20"/>
                <w:lang w:val="en-US"/>
              </w:rPr>
            </w:pPr>
          </w:p>
        </w:tc>
        <w:tc>
          <w:tcPr>
            <w:tcW w:w="158" w:type="pct"/>
            <w:tcBorders>
              <w:left w:val="nil"/>
            </w:tcBorders>
          </w:tcPr>
          <w:p w:rsidR="000A3C7D" w:rsidRPr="00E37ACD" w:rsidRDefault="000A3C7D" w:rsidP="00942872">
            <w:pPr>
              <w:keepNext/>
              <w:jc w:val="left"/>
              <w:rPr>
                <w:rFonts w:ascii="Arial Narrow" w:hAnsi="Arial Narrow"/>
                <w:b/>
                <w:sz w:val="20"/>
                <w:lang w:val="en-US"/>
              </w:rPr>
            </w:pPr>
          </w:p>
        </w:tc>
      </w:tr>
      <w:tr w:rsidR="000A3C7D" w:rsidRPr="00E37ACD" w:rsidTr="00871D72">
        <w:tc>
          <w:tcPr>
            <w:tcW w:w="659" w:type="pct"/>
            <w:vAlign w:val="center"/>
          </w:tcPr>
          <w:p w:rsidR="000A3C7D" w:rsidRPr="00E37ACD" w:rsidRDefault="000A3C7D" w:rsidP="00942872">
            <w:pPr>
              <w:keepNext/>
              <w:jc w:val="left"/>
              <w:rPr>
                <w:rFonts w:ascii="Arial Narrow" w:hAnsi="Arial Narrow"/>
                <w:sz w:val="20"/>
                <w:lang w:val="en-US"/>
              </w:rPr>
            </w:pPr>
            <w:r w:rsidRPr="00E37ACD">
              <w:rPr>
                <w:rFonts w:ascii="Arial Narrow" w:hAnsi="Arial Narrow"/>
                <w:sz w:val="20"/>
                <w:lang w:val="en-US"/>
              </w:rPr>
              <w:t xml:space="preserve">NTBC study, </w:t>
            </w:r>
            <w:proofErr w:type="spellStart"/>
            <w:r w:rsidRPr="00E37ACD">
              <w:rPr>
                <w:rFonts w:ascii="Arial Narrow" w:hAnsi="Arial Narrow"/>
                <w:sz w:val="20"/>
                <w:lang w:val="en-US"/>
              </w:rPr>
              <w:t>nitisinone</w:t>
            </w:r>
            <w:proofErr w:type="spellEnd"/>
          </w:p>
        </w:tc>
        <w:tc>
          <w:tcPr>
            <w:tcW w:w="655" w:type="pct"/>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2 years: 158 (63%)</w:t>
            </w:r>
          </w:p>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4 years: 88 (35%)</w:t>
            </w:r>
          </w:p>
          <w:p w:rsidR="000A3C7D" w:rsidRPr="00E37ACD" w:rsidRDefault="000A3C7D" w:rsidP="00942872">
            <w:pPr>
              <w:keepNext/>
              <w:jc w:val="center"/>
              <w:rPr>
                <w:rFonts w:ascii="Arial Narrow" w:hAnsi="Arial Narrow"/>
                <w:sz w:val="20"/>
                <w:u w:val="single"/>
                <w:lang w:val="en-US"/>
              </w:rPr>
            </w:pPr>
            <w:r w:rsidRPr="00E37ACD">
              <w:rPr>
                <w:rFonts w:ascii="Arial Narrow" w:hAnsi="Arial Narrow"/>
                <w:sz w:val="20"/>
                <w:lang w:val="en-US"/>
              </w:rPr>
              <w:t>6 years: 16 (6%)</w:t>
            </w:r>
          </w:p>
        </w:tc>
        <w:tc>
          <w:tcPr>
            <w:tcW w:w="1228" w:type="pct"/>
            <w:gridSpan w:val="4"/>
            <w:vAlign w:val="center"/>
          </w:tcPr>
          <w:p w:rsidR="000A3C7D" w:rsidRPr="00E37ACD" w:rsidRDefault="000A3C7D" w:rsidP="00942872">
            <w:pPr>
              <w:keepNext/>
              <w:jc w:val="center"/>
              <w:rPr>
                <w:rFonts w:ascii="Arial Narrow" w:hAnsi="Arial Narrow"/>
                <w:sz w:val="20"/>
                <w:u w:val="single"/>
                <w:lang w:val="en-US"/>
              </w:rPr>
            </w:pPr>
            <w:r w:rsidRPr="00E37ACD">
              <w:rPr>
                <w:rFonts w:ascii="Arial Narrow" w:hAnsi="Arial Narrow"/>
                <w:sz w:val="20"/>
                <w:u w:val="single"/>
                <w:lang w:val="en-US"/>
              </w:rPr>
              <w:t>Survival at 2 years</w:t>
            </w:r>
          </w:p>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Nit started ≤2 months: 93% (n=32 at risk)</w:t>
            </w:r>
          </w:p>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Nit started ≤6 months: 93% (n=75 at risk)</w:t>
            </w:r>
          </w:p>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Nit started &gt;6 months: 96% (n=83 at risk)</w:t>
            </w:r>
          </w:p>
        </w:tc>
        <w:tc>
          <w:tcPr>
            <w:tcW w:w="576" w:type="pct"/>
            <w:vAlign w:val="center"/>
          </w:tcPr>
          <w:p w:rsidR="00637BCD" w:rsidRDefault="00637BCD" w:rsidP="00637BCD">
            <w:pPr>
              <w:keepNext/>
              <w:jc w:val="center"/>
              <w:rPr>
                <w:rFonts w:ascii="Arial Narrow" w:hAnsi="Arial Narrow"/>
                <w:noProof/>
                <w:color w:val="000000"/>
                <w:sz w:val="20"/>
                <w:lang w:val="en-US"/>
              </w:rPr>
            </w:pPr>
            <w:r>
              <w:rPr>
                <w:rFonts w:ascii="Arial Narrow" w:hAnsi="Arial Narrow"/>
                <w:noProof/>
                <w:color w:val="000000"/>
                <w:sz w:val="20"/>
                <w:highlight w:val="black"/>
                <w:lang w:val="en-US"/>
              </w:rPr>
              <w:t xml:space="preserve">'''''''''''''''' </w:t>
            </w:r>
          </w:p>
          <w:p w:rsidR="000A3C7D" w:rsidRPr="00E37ACD" w:rsidRDefault="00637BCD" w:rsidP="00637BCD">
            <w:pPr>
              <w:keepNext/>
              <w:jc w:val="center"/>
              <w:rPr>
                <w:rFonts w:ascii="Arial Narrow" w:hAnsi="Arial Narrow"/>
                <w:sz w:val="20"/>
                <w:lang w:val="en-US"/>
              </w:rPr>
            </w:pPr>
            <w:r w:rsidRPr="00637BCD">
              <w:rPr>
                <w:rFonts w:ascii="Arial Narrow" w:hAnsi="Arial Narrow"/>
                <w:sz w:val="20"/>
                <w:highlight w:val="black"/>
                <w:lang w:val="en-US"/>
              </w:rPr>
              <w:t>‘’’’’’’’’’</w:t>
            </w:r>
          </w:p>
        </w:tc>
        <w:tc>
          <w:tcPr>
            <w:tcW w:w="901" w:type="pct"/>
            <w:gridSpan w:val="6"/>
            <w:vAlign w:val="center"/>
          </w:tcPr>
          <w:p w:rsidR="000A3C7D" w:rsidRPr="00637BCD" w:rsidRDefault="00637BCD" w:rsidP="00942872">
            <w:pPr>
              <w:keepNext/>
              <w:jc w:val="center"/>
              <w:rPr>
                <w:rFonts w:ascii="Arial Narrow" w:hAnsi="Arial Narrow"/>
                <w:sz w:val="20"/>
                <w:highlight w:val="black"/>
                <w:lang w:val="en-US"/>
              </w:rPr>
            </w:pPr>
            <w:r>
              <w:rPr>
                <w:rFonts w:ascii="Arial Narrow" w:hAnsi="Arial Narrow"/>
                <w:noProof/>
                <w:color w:val="000000"/>
                <w:sz w:val="20"/>
                <w:highlight w:val="black"/>
                <w:lang w:val="en-US"/>
              </w:rPr>
              <w:t>'''''''''''''''''' '''''''''''</w:t>
            </w:r>
          </w:p>
          <w:p w:rsidR="000A3C7D" w:rsidRPr="00637BCD" w:rsidRDefault="000A3C7D" w:rsidP="00942872">
            <w:pPr>
              <w:keepNext/>
              <w:jc w:val="center"/>
              <w:rPr>
                <w:rFonts w:ascii="Arial Narrow" w:hAnsi="Arial Narrow"/>
                <w:sz w:val="20"/>
                <w:lang w:val="en-US"/>
              </w:rPr>
            </w:pPr>
            <w:r w:rsidRPr="0031184D">
              <w:rPr>
                <w:rFonts w:ascii="Arial Narrow" w:hAnsi="Arial Narrow"/>
                <w:sz w:val="20"/>
                <w:lang w:val="en-US"/>
              </w:rPr>
              <w:t>Nit started ≤2</w:t>
            </w:r>
            <w:r w:rsidR="00637BCD">
              <w:rPr>
                <w:rFonts w:ascii="Arial Narrow" w:hAnsi="Arial Narrow"/>
                <w:noProof/>
                <w:color w:val="000000"/>
                <w:sz w:val="20"/>
                <w:highlight w:val="black"/>
                <w:lang w:val="en-US"/>
              </w:rPr>
              <w:t xml:space="preserve"> </w:t>
            </w:r>
            <w:r w:rsidRPr="0031184D">
              <w:rPr>
                <w:rFonts w:ascii="Arial Narrow" w:hAnsi="Arial Narrow"/>
                <w:sz w:val="20"/>
                <w:lang w:val="en-US"/>
              </w:rPr>
              <w:t>years</w:t>
            </w:r>
            <w:r w:rsidR="00637BCD">
              <w:rPr>
                <w:rFonts w:ascii="Arial Narrow" w:hAnsi="Arial Narrow"/>
                <w:noProof/>
                <w:color w:val="000000"/>
                <w:sz w:val="20"/>
                <w:highlight w:val="black"/>
                <w:lang w:val="en-US"/>
              </w:rPr>
              <w:t>'' '''''''''''''' '''''''''''''''''</w:t>
            </w:r>
          </w:p>
          <w:p w:rsidR="000A3C7D" w:rsidRPr="00E37ACD" w:rsidRDefault="000A3C7D" w:rsidP="00942872">
            <w:pPr>
              <w:keepNext/>
              <w:jc w:val="center"/>
              <w:rPr>
                <w:rFonts w:ascii="Arial Narrow" w:hAnsi="Arial Narrow"/>
                <w:sz w:val="20"/>
                <w:lang w:val="en-US"/>
              </w:rPr>
            </w:pPr>
            <w:r w:rsidRPr="0031184D">
              <w:rPr>
                <w:rFonts w:ascii="Arial Narrow" w:hAnsi="Arial Narrow"/>
                <w:sz w:val="20"/>
                <w:lang w:val="en-US"/>
              </w:rPr>
              <w:t>Nit started &gt;2 years</w:t>
            </w:r>
            <w:r w:rsidR="00637BCD">
              <w:rPr>
                <w:rFonts w:ascii="Arial Narrow" w:hAnsi="Arial Narrow"/>
                <w:noProof/>
                <w:color w:val="000000"/>
                <w:sz w:val="20"/>
                <w:highlight w:val="black"/>
                <w:lang w:val="en-US"/>
              </w:rPr>
              <w:t>'' '''''''''' ''''''''''''''''</w:t>
            </w:r>
          </w:p>
        </w:tc>
        <w:tc>
          <w:tcPr>
            <w:tcW w:w="982" w:type="pct"/>
            <w:gridSpan w:val="7"/>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2/250 (0.8%)</w:t>
            </w:r>
          </w:p>
        </w:tc>
      </w:tr>
      <w:tr w:rsidR="000A3C7D" w:rsidRPr="00E37ACD" w:rsidTr="00871D72">
        <w:tc>
          <w:tcPr>
            <w:tcW w:w="659" w:type="pct"/>
            <w:vAlign w:val="center"/>
          </w:tcPr>
          <w:p w:rsidR="000A3C7D" w:rsidRPr="00E37ACD" w:rsidRDefault="000A3C7D" w:rsidP="00942872">
            <w:pPr>
              <w:keepNext/>
              <w:jc w:val="left"/>
              <w:rPr>
                <w:rFonts w:ascii="Arial Narrow" w:hAnsi="Arial Narrow"/>
                <w:sz w:val="20"/>
                <w:lang w:val="en-US"/>
              </w:rPr>
            </w:pPr>
            <w:r w:rsidRPr="00E37ACD">
              <w:rPr>
                <w:rFonts w:ascii="Arial Narrow" w:hAnsi="Arial Narrow"/>
                <w:sz w:val="20"/>
                <w:lang w:val="en-US"/>
              </w:rPr>
              <w:t xml:space="preserve">Van </w:t>
            </w:r>
            <w:proofErr w:type="spellStart"/>
            <w:r w:rsidRPr="00E37ACD">
              <w:rPr>
                <w:rFonts w:ascii="Arial Narrow" w:hAnsi="Arial Narrow"/>
                <w:sz w:val="20"/>
                <w:lang w:val="en-US"/>
              </w:rPr>
              <w:t>Spronsen</w:t>
            </w:r>
            <w:proofErr w:type="spellEnd"/>
            <w:r w:rsidRPr="00E37ACD">
              <w:rPr>
                <w:rFonts w:ascii="Arial Narrow" w:hAnsi="Arial Narrow"/>
                <w:sz w:val="20"/>
                <w:lang w:val="en-US"/>
              </w:rPr>
              <w:t xml:space="preserve"> 1994, diet</w:t>
            </w:r>
          </w:p>
        </w:tc>
        <w:tc>
          <w:tcPr>
            <w:tcW w:w="655" w:type="pct"/>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Not reported</w:t>
            </w:r>
          </w:p>
        </w:tc>
        <w:tc>
          <w:tcPr>
            <w:tcW w:w="1228" w:type="pct"/>
            <w:gridSpan w:val="4"/>
            <w:vAlign w:val="center"/>
          </w:tcPr>
          <w:p w:rsidR="000A3C7D" w:rsidRPr="00E37ACD" w:rsidRDefault="000A3C7D" w:rsidP="00942872">
            <w:pPr>
              <w:keepNext/>
              <w:jc w:val="center"/>
              <w:rPr>
                <w:rFonts w:ascii="Arial Narrow" w:hAnsi="Arial Narrow"/>
                <w:sz w:val="20"/>
                <w:u w:val="single"/>
                <w:lang w:val="en-US"/>
              </w:rPr>
            </w:pPr>
            <w:r w:rsidRPr="00E37ACD">
              <w:rPr>
                <w:rFonts w:ascii="Arial Narrow" w:hAnsi="Arial Narrow"/>
                <w:sz w:val="20"/>
                <w:u w:val="single"/>
                <w:lang w:val="en-US"/>
              </w:rPr>
              <w:t xml:space="preserve">Survival at 2 </w:t>
            </w:r>
            <w:proofErr w:type="spellStart"/>
            <w:r w:rsidRPr="00E37ACD">
              <w:rPr>
                <w:rFonts w:ascii="Arial Narrow" w:hAnsi="Arial Narrow"/>
                <w:sz w:val="20"/>
                <w:u w:val="single"/>
                <w:lang w:val="en-US"/>
              </w:rPr>
              <w:t>years</w:t>
            </w:r>
            <w:r w:rsidRPr="00E37ACD">
              <w:rPr>
                <w:rFonts w:ascii="Arial Narrow" w:hAnsi="Arial Narrow"/>
                <w:sz w:val="20"/>
                <w:u w:val="single"/>
                <w:vertAlign w:val="superscript"/>
                <w:lang w:val="en-US"/>
              </w:rPr>
              <w:t>a</w:t>
            </w:r>
            <w:proofErr w:type="spellEnd"/>
          </w:p>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Onset &lt;2 months: 29%</w:t>
            </w:r>
          </w:p>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Onset 2-6 months: 74%</w:t>
            </w:r>
          </w:p>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Onset &gt;6 months: 96%</w:t>
            </w:r>
          </w:p>
        </w:tc>
        <w:tc>
          <w:tcPr>
            <w:tcW w:w="576" w:type="pct"/>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26/108 (24%)</w:t>
            </w:r>
          </w:p>
        </w:tc>
        <w:tc>
          <w:tcPr>
            <w:tcW w:w="901" w:type="pct"/>
            <w:gridSpan w:val="6"/>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10/108 (9%)</w:t>
            </w:r>
          </w:p>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Patients with ≥2 years survival: 18%</w:t>
            </w:r>
          </w:p>
        </w:tc>
        <w:tc>
          <w:tcPr>
            <w:tcW w:w="982" w:type="pct"/>
            <w:gridSpan w:val="7"/>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Not reported</w:t>
            </w:r>
          </w:p>
        </w:tc>
      </w:tr>
      <w:tr w:rsidR="000A3C7D" w:rsidRPr="00E37ACD" w:rsidTr="00871D72">
        <w:tc>
          <w:tcPr>
            <w:tcW w:w="2254" w:type="pct"/>
            <w:gridSpan w:val="3"/>
            <w:tcBorders>
              <w:right w:val="nil"/>
            </w:tcBorders>
          </w:tcPr>
          <w:p w:rsidR="000A3C7D" w:rsidRPr="00E37ACD" w:rsidRDefault="000A3C7D" w:rsidP="00942872">
            <w:pPr>
              <w:keepNext/>
              <w:jc w:val="left"/>
              <w:rPr>
                <w:rFonts w:ascii="Arial Narrow" w:hAnsi="Arial Narrow"/>
                <w:b/>
                <w:sz w:val="20"/>
                <w:lang w:val="en-US"/>
              </w:rPr>
            </w:pPr>
            <w:r w:rsidRPr="00E37ACD">
              <w:rPr>
                <w:rFonts w:ascii="Arial Narrow" w:hAnsi="Arial Narrow"/>
                <w:b/>
                <w:sz w:val="20"/>
                <w:lang w:val="en-US"/>
              </w:rPr>
              <w:t xml:space="preserve">Supportive </w:t>
            </w:r>
            <w:proofErr w:type="spellStart"/>
            <w:r w:rsidRPr="00E37ACD">
              <w:rPr>
                <w:rFonts w:ascii="Arial Narrow" w:hAnsi="Arial Narrow"/>
                <w:b/>
                <w:sz w:val="20"/>
                <w:lang w:val="en-US"/>
              </w:rPr>
              <w:t>nitisinone</w:t>
            </w:r>
            <w:proofErr w:type="spellEnd"/>
            <w:r w:rsidRPr="00E37ACD">
              <w:rPr>
                <w:rFonts w:ascii="Arial Narrow" w:hAnsi="Arial Narrow"/>
                <w:b/>
                <w:sz w:val="20"/>
                <w:lang w:val="en-US"/>
              </w:rPr>
              <w:t xml:space="preserve"> single-arm studies</w:t>
            </w:r>
          </w:p>
        </w:tc>
        <w:tc>
          <w:tcPr>
            <w:tcW w:w="167" w:type="pct"/>
            <w:tcBorders>
              <w:left w:val="nil"/>
              <w:right w:val="nil"/>
            </w:tcBorders>
          </w:tcPr>
          <w:p w:rsidR="000A3C7D" w:rsidRPr="00E37ACD" w:rsidRDefault="000A3C7D" w:rsidP="00942872">
            <w:pPr>
              <w:keepNext/>
              <w:jc w:val="left"/>
              <w:rPr>
                <w:rFonts w:ascii="Arial Narrow" w:hAnsi="Arial Narrow"/>
                <w:b/>
                <w:sz w:val="20"/>
                <w:lang w:val="en-US"/>
              </w:rPr>
            </w:pPr>
          </w:p>
        </w:tc>
        <w:tc>
          <w:tcPr>
            <w:tcW w:w="82" w:type="pct"/>
            <w:tcBorders>
              <w:left w:val="nil"/>
              <w:right w:val="nil"/>
            </w:tcBorders>
          </w:tcPr>
          <w:p w:rsidR="000A3C7D" w:rsidRPr="00E37ACD" w:rsidRDefault="000A3C7D" w:rsidP="00942872">
            <w:pPr>
              <w:keepNext/>
              <w:jc w:val="left"/>
              <w:rPr>
                <w:rFonts w:ascii="Arial Narrow" w:hAnsi="Arial Narrow"/>
                <w:b/>
                <w:sz w:val="20"/>
                <w:lang w:val="en-US"/>
              </w:rPr>
            </w:pPr>
          </w:p>
        </w:tc>
        <w:tc>
          <w:tcPr>
            <w:tcW w:w="833" w:type="pct"/>
            <w:gridSpan w:val="3"/>
            <w:tcBorders>
              <w:left w:val="nil"/>
              <w:right w:val="nil"/>
            </w:tcBorders>
          </w:tcPr>
          <w:p w:rsidR="000A3C7D" w:rsidRPr="00E37ACD" w:rsidRDefault="000A3C7D" w:rsidP="00942872">
            <w:pPr>
              <w:keepNext/>
              <w:jc w:val="left"/>
              <w:rPr>
                <w:rFonts w:ascii="Arial Narrow" w:hAnsi="Arial Narrow"/>
                <w:b/>
                <w:sz w:val="20"/>
                <w:lang w:val="en-US"/>
              </w:rPr>
            </w:pPr>
          </w:p>
        </w:tc>
        <w:tc>
          <w:tcPr>
            <w:tcW w:w="833" w:type="pct"/>
            <w:gridSpan w:val="6"/>
            <w:tcBorders>
              <w:left w:val="nil"/>
              <w:right w:val="nil"/>
            </w:tcBorders>
          </w:tcPr>
          <w:p w:rsidR="000A3C7D" w:rsidRPr="00E37ACD" w:rsidRDefault="000A3C7D" w:rsidP="00942872">
            <w:pPr>
              <w:keepNext/>
              <w:jc w:val="left"/>
              <w:rPr>
                <w:rFonts w:ascii="Arial Narrow" w:hAnsi="Arial Narrow"/>
                <w:b/>
                <w:sz w:val="20"/>
                <w:lang w:val="en-US"/>
              </w:rPr>
            </w:pPr>
          </w:p>
        </w:tc>
        <w:tc>
          <w:tcPr>
            <w:tcW w:w="831" w:type="pct"/>
            <w:gridSpan w:val="6"/>
            <w:tcBorders>
              <w:left w:val="nil"/>
            </w:tcBorders>
          </w:tcPr>
          <w:p w:rsidR="000A3C7D" w:rsidRPr="00E37ACD" w:rsidRDefault="000A3C7D" w:rsidP="00942872">
            <w:pPr>
              <w:keepNext/>
              <w:jc w:val="left"/>
              <w:rPr>
                <w:rFonts w:ascii="Arial Narrow" w:hAnsi="Arial Narrow"/>
                <w:b/>
                <w:sz w:val="20"/>
                <w:lang w:val="en-US"/>
              </w:rPr>
            </w:pPr>
          </w:p>
        </w:tc>
      </w:tr>
      <w:tr w:rsidR="000A3C7D" w:rsidRPr="00E37ACD" w:rsidTr="00871D72">
        <w:tc>
          <w:tcPr>
            <w:tcW w:w="659" w:type="pct"/>
            <w:vAlign w:val="center"/>
          </w:tcPr>
          <w:p w:rsidR="000A3C7D" w:rsidRPr="00E37ACD" w:rsidRDefault="000A3C7D" w:rsidP="00942872">
            <w:pPr>
              <w:keepNext/>
              <w:jc w:val="left"/>
              <w:rPr>
                <w:rFonts w:ascii="Arial Narrow" w:hAnsi="Arial Narrow"/>
                <w:sz w:val="20"/>
                <w:lang w:val="en-US"/>
              </w:rPr>
            </w:pPr>
            <w:proofErr w:type="spellStart"/>
            <w:r w:rsidRPr="00E37ACD">
              <w:rPr>
                <w:rFonts w:ascii="Arial Narrow" w:hAnsi="Arial Narrow"/>
                <w:sz w:val="20"/>
                <w:lang w:val="en-US"/>
              </w:rPr>
              <w:t>Masurel-Paulet</w:t>
            </w:r>
            <w:proofErr w:type="spellEnd"/>
            <w:r w:rsidRPr="00E37ACD">
              <w:rPr>
                <w:rFonts w:ascii="Arial Narrow" w:hAnsi="Arial Narrow"/>
                <w:sz w:val="20"/>
                <w:lang w:val="en-US"/>
              </w:rPr>
              <w:t xml:space="preserve"> 2008 </w:t>
            </w:r>
          </w:p>
        </w:tc>
        <w:tc>
          <w:tcPr>
            <w:tcW w:w="655" w:type="pct"/>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4.75 years</w:t>
            </w:r>
          </w:p>
        </w:tc>
        <w:tc>
          <w:tcPr>
            <w:tcW w:w="1228" w:type="pct"/>
            <w:gridSpan w:val="4"/>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45/46 (98%)</w:t>
            </w:r>
          </w:p>
        </w:tc>
        <w:tc>
          <w:tcPr>
            <w:tcW w:w="576" w:type="pct"/>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4/46 (9%)</w:t>
            </w:r>
          </w:p>
        </w:tc>
        <w:tc>
          <w:tcPr>
            <w:tcW w:w="901" w:type="pct"/>
            <w:gridSpan w:val="6"/>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2/46 (4%)</w:t>
            </w:r>
          </w:p>
        </w:tc>
        <w:tc>
          <w:tcPr>
            <w:tcW w:w="982" w:type="pct"/>
            <w:gridSpan w:val="7"/>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0/46 (0%)</w:t>
            </w:r>
          </w:p>
        </w:tc>
      </w:tr>
      <w:tr w:rsidR="000A3C7D" w:rsidRPr="00E37ACD" w:rsidTr="00871D72">
        <w:tc>
          <w:tcPr>
            <w:tcW w:w="659" w:type="pct"/>
            <w:vAlign w:val="center"/>
          </w:tcPr>
          <w:p w:rsidR="000A3C7D" w:rsidRPr="00E37ACD" w:rsidRDefault="000A3C7D" w:rsidP="00942872">
            <w:pPr>
              <w:keepNext/>
              <w:jc w:val="left"/>
              <w:rPr>
                <w:rFonts w:ascii="Arial Narrow" w:hAnsi="Arial Narrow"/>
                <w:sz w:val="20"/>
                <w:lang w:val="en-US"/>
              </w:rPr>
            </w:pPr>
            <w:proofErr w:type="spellStart"/>
            <w:r w:rsidRPr="00E37ACD">
              <w:rPr>
                <w:rFonts w:ascii="Arial Narrow" w:hAnsi="Arial Narrow"/>
                <w:sz w:val="20"/>
                <w:lang w:val="en-US"/>
              </w:rPr>
              <w:t>Raimann</w:t>
            </w:r>
            <w:proofErr w:type="spellEnd"/>
            <w:r w:rsidRPr="00E37ACD">
              <w:rPr>
                <w:rFonts w:ascii="Arial Narrow" w:hAnsi="Arial Narrow"/>
                <w:sz w:val="20"/>
                <w:lang w:val="en-US"/>
              </w:rPr>
              <w:t xml:space="preserve"> 2012</w:t>
            </w:r>
          </w:p>
        </w:tc>
        <w:tc>
          <w:tcPr>
            <w:tcW w:w="655" w:type="pct"/>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6.75 years</w:t>
            </w:r>
          </w:p>
        </w:tc>
        <w:tc>
          <w:tcPr>
            <w:tcW w:w="1228" w:type="pct"/>
            <w:gridSpan w:val="4"/>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10/12 (83%)</w:t>
            </w:r>
          </w:p>
        </w:tc>
        <w:tc>
          <w:tcPr>
            <w:tcW w:w="576" w:type="pct"/>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2/12 (17%)</w:t>
            </w:r>
          </w:p>
        </w:tc>
        <w:tc>
          <w:tcPr>
            <w:tcW w:w="901" w:type="pct"/>
            <w:gridSpan w:val="6"/>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2/12 (17%)</w:t>
            </w:r>
          </w:p>
        </w:tc>
        <w:tc>
          <w:tcPr>
            <w:tcW w:w="982" w:type="pct"/>
            <w:gridSpan w:val="7"/>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Not reported</w:t>
            </w:r>
          </w:p>
        </w:tc>
      </w:tr>
      <w:tr w:rsidR="000A3C7D" w:rsidRPr="00E37ACD" w:rsidTr="00871D72">
        <w:tc>
          <w:tcPr>
            <w:tcW w:w="659" w:type="pct"/>
            <w:vAlign w:val="center"/>
          </w:tcPr>
          <w:p w:rsidR="000A3C7D" w:rsidRPr="00E37ACD" w:rsidRDefault="000A3C7D" w:rsidP="00942872">
            <w:pPr>
              <w:keepNext/>
              <w:jc w:val="left"/>
              <w:rPr>
                <w:rFonts w:ascii="Arial Narrow" w:hAnsi="Arial Narrow"/>
                <w:sz w:val="20"/>
                <w:lang w:val="en-US"/>
              </w:rPr>
            </w:pPr>
            <w:proofErr w:type="spellStart"/>
            <w:r w:rsidRPr="00E37ACD">
              <w:rPr>
                <w:rFonts w:ascii="Arial Narrow" w:hAnsi="Arial Narrow"/>
                <w:sz w:val="20"/>
                <w:lang w:val="en-US"/>
              </w:rPr>
              <w:t>Couce</w:t>
            </w:r>
            <w:proofErr w:type="spellEnd"/>
            <w:r w:rsidRPr="00E37ACD">
              <w:rPr>
                <w:rFonts w:ascii="Arial Narrow" w:hAnsi="Arial Narrow"/>
                <w:sz w:val="20"/>
                <w:lang w:val="en-US"/>
              </w:rPr>
              <w:t xml:space="preserve"> 2011</w:t>
            </w:r>
          </w:p>
        </w:tc>
        <w:tc>
          <w:tcPr>
            <w:tcW w:w="655" w:type="pct"/>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6.7 years</w:t>
            </w:r>
          </w:p>
        </w:tc>
        <w:tc>
          <w:tcPr>
            <w:tcW w:w="1228" w:type="pct"/>
            <w:gridSpan w:val="4"/>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34/34 (100%)</w:t>
            </w:r>
          </w:p>
        </w:tc>
        <w:tc>
          <w:tcPr>
            <w:tcW w:w="576" w:type="pct"/>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1/34 (3%)</w:t>
            </w:r>
          </w:p>
        </w:tc>
        <w:tc>
          <w:tcPr>
            <w:tcW w:w="901" w:type="pct"/>
            <w:gridSpan w:val="6"/>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0/34 (0%)</w:t>
            </w:r>
          </w:p>
        </w:tc>
        <w:tc>
          <w:tcPr>
            <w:tcW w:w="982" w:type="pct"/>
            <w:gridSpan w:val="7"/>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0/34 (0%)</w:t>
            </w:r>
          </w:p>
        </w:tc>
      </w:tr>
      <w:tr w:rsidR="000A3C7D" w:rsidRPr="00E37ACD" w:rsidTr="00871D72">
        <w:tc>
          <w:tcPr>
            <w:tcW w:w="3506" w:type="pct"/>
            <w:gridSpan w:val="9"/>
            <w:tcBorders>
              <w:right w:val="nil"/>
            </w:tcBorders>
          </w:tcPr>
          <w:p w:rsidR="000A3C7D" w:rsidRPr="00E37ACD" w:rsidRDefault="000A3C7D" w:rsidP="00942872">
            <w:pPr>
              <w:keepNext/>
              <w:jc w:val="left"/>
              <w:rPr>
                <w:rFonts w:ascii="Arial Narrow" w:hAnsi="Arial Narrow"/>
                <w:b/>
                <w:sz w:val="20"/>
                <w:lang w:val="en-US"/>
              </w:rPr>
            </w:pPr>
            <w:proofErr w:type="spellStart"/>
            <w:r w:rsidRPr="00E37ACD">
              <w:rPr>
                <w:rFonts w:ascii="Arial Narrow" w:hAnsi="Arial Narrow"/>
                <w:b/>
                <w:sz w:val="20"/>
                <w:lang w:val="en-US"/>
              </w:rPr>
              <w:t>Nitisinone</w:t>
            </w:r>
            <w:proofErr w:type="spellEnd"/>
            <w:r w:rsidRPr="00E37ACD">
              <w:rPr>
                <w:rFonts w:ascii="Arial Narrow" w:hAnsi="Arial Narrow"/>
                <w:b/>
                <w:sz w:val="20"/>
                <w:lang w:val="en-US"/>
              </w:rPr>
              <w:t xml:space="preserve"> single-arm study with historical controls</w:t>
            </w:r>
          </w:p>
        </w:tc>
        <w:tc>
          <w:tcPr>
            <w:tcW w:w="502" w:type="pct"/>
            <w:gridSpan w:val="3"/>
            <w:tcBorders>
              <w:left w:val="nil"/>
              <w:right w:val="nil"/>
            </w:tcBorders>
          </w:tcPr>
          <w:p w:rsidR="000A3C7D" w:rsidRPr="00E37ACD" w:rsidRDefault="000A3C7D" w:rsidP="00942872">
            <w:pPr>
              <w:keepNext/>
              <w:jc w:val="left"/>
              <w:rPr>
                <w:rFonts w:ascii="Arial Narrow" w:hAnsi="Arial Narrow"/>
                <w:b/>
                <w:sz w:val="20"/>
                <w:lang w:val="en-US"/>
              </w:rPr>
            </w:pPr>
          </w:p>
        </w:tc>
        <w:tc>
          <w:tcPr>
            <w:tcW w:w="334" w:type="pct"/>
            <w:gridSpan w:val="4"/>
            <w:tcBorders>
              <w:left w:val="nil"/>
              <w:right w:val="nil"/>
            </w:tcBorders>
          </w:tcPr>
          <w:p w:rsidR="000A3C7D" w:rsidRPr="00E37ACD" w:rsidRDefault="000A3C7D" w:rsidP="00942872">
            <w:pPr>
              <w:keepNext/>
              <w:jc w:val="left"/>
              <w:rPr>
                <w:rFonts w:ascii="Arial Narrow" w:hAnsi="Arial Narrow"/>
                <w:b/>
                <w:sz w:val="20"/>
                <w:lang w:val="en-US"/>
              </w:rPr>
            </w:pPr>
          </w:p>
        </w:tc>
        <w:tc>
          <w:tcPr>
            <w:tcW w:w="167" w:type="pct"/>
            <w:tcBorders>
              <w:left w:val="nil"/>
              <w:right w:val="nil"/>
            </w:tcBorders>
          </w:tcPr>
          <w:p w:rsidR="000A3C7D" w:rsidRPr="00E37ACD" w:rsidRDefault="000A3C7D" w:rsidP="00942872">
            <w:pPr>
              <w:keepNext/>
              <w:jc w:val="left"/>
              <w:rPr>
                <w:rFonts w:ascii="Arial Narrow" w:hAnsi="Arial Narrow"/>
                <w:b/>
                <w:sz w:val="20"/>
                <w:lang w:val="en-US"/>
              </w:rPr>
            </w:pPr>
          </w:p>
        </w:tc>
        <w:tc>
          <w:tcPr>
            <w:tcW w:w="334" w:type="pct"/>
            <w:gridSpan w:val="2"/>
            <w:tcBorders>
              <w:left w:val="nil"/>
              <w:right w:val="nil"/>
            </w:tcBorders>
          </w:tcPr>
          <w:p w:rsidR="000A3C7D" w:rsidRPr="00E37ACD" w:rsidRDefault="000A3C7D" w:rsidP="00942872">
            <w:pPr>
              <w:keepNext/>
              <w:jc w:val="left"/>
              <w:rPr>
                <w:rFonts w:ascii="Arial Narrow" w:hAnsi="Arial Narrow"/>
                <w:b/>
                <w:sz w:val="20"/>
                <w:lang w:val="en-US"/>
              </w:rPr>
            </w:pPr>
          </w:p>
        </w:tc>
        <w:tc>
          <w:tcPr>
            <w:tcW w:w="158" w:type="pct"/>
            <w:tcBorders>
              <w:left w:val="nil"/>
            </w:tcBorders>
          </w:tcPr>
          <w:p w:rsidR="000A3C7D" w:rsidRPr="00E37ACD" w:rsidRDefault="000A3C7D" w:rsidP="00942872">
            <w:pPr>
              <w:keepNext/>
              <w:jc w:val="left"/>
              <w:rPr>
                <w:rFonts w:ascii="Arial Narrow" w:hAnsi="Arial Narrow"/>
                <w:b/>
                <w:sz w:val="20"/>
                <w:lang w:val="en-US"/>
              </w:rPr>
            </w:pPr>
          </w:p>
        </w:tc>
      </w:tr>
      <w:tr w:rsidR="000A3C7D" w:rsidRPr="00E37ACD" w:rsidTr="00871D72">
        <w:tc>
          <w:tcPr>
            <w:tcW w:w="659" w:type="pct"/>
            <w:vAlign w:val="center"/>
          </w:tcPr>
          <w:p w:rsidR="000A3C7D" w:rsidRPr="00E37ACD" w:rsidRDefault="000A3C7D" w:rsidP="00942872">
            <w:pPr>
              <w:keepNext/>
              <w:jc w:val="left"/>
              <w:rPr>
                <w:rFonts w:ascii="Arial Narrow" w:hAnsi="Arial Narrow"/>
                <w:sz w:val="20"/>
                <w:lang w:val="en-US"/>
              </w:rPr>
            </w:pPr>
            <w:proofErr w:type="spellStart"/>
            <w:r w:rsidRPr="00E37ACD">
              <w:rPr>
                <w:rFonts w:ascii="Arial Narrow" w:hAnsi="Arial Narrow"/>
                <w:sz w:val="20"/>
                <w:lang w:val="en-US"/>
              </w:rPr>
              <w:t>Larochelle</w:t>
            </w:r>
            <w:proofErr w:type="spellEnd"/>
            <w:r w:rsidRPr="00E37ACD">
              <w:rPr>
                <w:rFonts w:ascii="Arial Narrow" w:hAnsi="Arial Narrow"/>
                <w:sz w:val="20"/>
                <w:lang w:val="en-US"/>
              </w:rPr>
              <w:t xml:space="preserve"> 2012, </w:t>
            </w:r>
            <w:proofErr w:type="spellStart"/>
            <w:r w:rsidRPr="00E37ACD">
              <w:rPr>
                <w:rFonts w:ascii="Arial Narrow" w:hAnsi="Arial Narrow"/>
                <w:sz w:val="20"/>
                <w:lang w:val="en-US"/>
              </w:rPr>
              <w:t>nitisinone</w:t>
            </w:r>
            <w:proofErr w:type="spellEnd"/>
          </w:p>
        </w:tc>
        <w:tc>
          <w:tcPr>
            <w:tcW w:w="655" w:type="pct"/>
            <w:vAlign w:val="center"/>
          </w:tcPr>
          <w:p w:rsidR="000A3C7D" w:rsidRPr="00E37ACD" w:rsidRDefault="000A3C7D" w:rsidP="00942872">
            <w:pPr>
              <w:keepNext/>
              <w:jc w:val="center"/>
              <w:rPr>
                <w:rFonts w:ascii="Arial Narrow" w:hAnsi="Arial Narrow"/>
                <w:sz w:val="20"/>
                <w:u w:val="single"/>
                <w:lang w:val="en-US"/>
              </w:rPr>
            </w:pPr>
            <w:r w:rsidRPr="00E37ACD">
              <w:rPr>
                <w:rFonts w:ascii="Arial Narrow" w:hAnsi="Arial Narrow"/>
                <w:sz w:val="20"/>
                <w:lang w:val="en-US"/>
              </w:rPr>
              <w:t>9.6 years</w:t>
            </w:r>
          </w:p>
        </w:tc>
        <w:tc>
          <w:tcPr>
            <w:tcW w:w="1228" w:type="pct"/>
            <w:gridSpan w:val="4"/>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48/50 (96%)</w:t>
            </w:r>
          </w:p>
        </w:tc>
        <w:tc>
          <w:tcPr>
            <w:tcW w:w="576" w:type="pct"/>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7/50 (14%)</w:t>
            </w:r>
          </w:p>
        </w:tc>
        <w:tc>
          <w:tcPr>
            <w:tcW w:w="901" w:type="pct"/>
            <w:gridSpan w:val="6"/>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Not reported</w:t>
            </w:r>
          </w:p>
        </w:tc>
        <w:tc>
          <w:tcPr>
            <w:tcW w:w="982" w:type="pct"/>
            <w:gridSpan w:val="7"/>
            <w:vAlign w:val="center"/>
          </w:tcPr>
          <w:p w:rsidR="000A3C7D" w:rsidRPr="00E37ACD" w:rsidRDefault="000A3C7D" w:rsidP="00871D72">
            <w:pPr>
              <w:keepNext/>
              <w:jc w:val="center"/>
              <w:rPr>
                <w:rFonts w:ascii="Arial Narrow" w:hAnsi="Arial Narrow"/>
                <w:sz w:val="20"/>
              </w:rPr>
            </w:pPr>
            <w:r w:rsidRPr="00E37ACD">
              <w:rPr>
                <w:rFonts w:ascii="Arial Narrow" w:hAnsi="Arial Narrow"/>
                <w:sz w:val="20"/>
              </w:rPr>
              <w:t>Hospitalisations for neurological crisis (months): 0/5731</w:t>
            </w:r>
          </w:p>
        </w:tc>
      </w:tr>
      <w:tr w:rsidR="000A3C7D" w:rsidRPr="00E37ACD" w:rsidTr="00871D72">
        <w:tc>
          <w:tcPr>
            <w:tcW w:w="659" w:type="pct"/>
            <w:vAlign w:val="center"/>
          </w:tcPr>
          <w:p w:rsidR="000A3C7D" w:rsidRPr="00E37ACD" w:rsidRDefault="000A3C7D" w:rsidP="00942872">
            <w:pPr>
              <w:keepNext/>
              <w:jc w:val="left"/>
              <w:rPr>
                <w:rFonts w:ascii="Arial Narrow" w:hAnsi="Arial Narrow"/>
                <w:sz w:val="20"/>
                <w:lang w:val="en-US"/>
              </w:rPr>
            </w:pPr>
            <w:proofErr w:type="spellStart"/>
            <w:r w:rsidRPr="00E37ACD">
              <w:rPr>
                <w:rFonts w:ascii="Arial Narrow" w:hAnsi="Arial Narrow"/>
                <w:sz w:val="20"/>
                <w:lang w:val="en-US"/>
              </w:rPr>
              <w:t>Larochelle</w:t>
            </w:r>
            <w:proofErr w:type="spellEnd"/>
            <w:r w:rsidRPr="00E37ACD">
              <w:rPr>
                <w:rFonts w:ascii="Arial Narrow" w:hAnsi="Arial Narrow"/>
                <w:sz w:val="20"/>
                <w:lang w:val="en-US"/>
              </w:rPr>
              <w:t xml:space="preserve"> 2012, controls</w:t>
            </w:r>
          </w:p>
        </w:tc>
        <w:tc>
          <w:tcPr>
            <w:tcW w:w="655" w:type="pct"/>
            <w:vAlign w:val="center"/>
          </w:tcPr>
          <w:p w:rsidR="000A3C7D" w:rsidRPr="00E37ACD" w:rsidRDefault="000A3C7D" w:rsidP="00942872">
            <w:pPr>
              <w:keepNext/>
              <w:jc w:val="center"/>
              <w:rPr>
                <w:rFonts w:ascii="Arial Narrow" w:hAnsi="Arial Narrow"/>
                <w:sz w:val="20"/>
                <w:u w:val="single"/>
                <w:lang w:val="en-US"/>
              </w:rPr>
            </w:pPr>
            <w:r w:rsidRPr="00E37ACD">
              <w:rPr>
                <w:rFonts w:ascii="Arial Narrow" w:hAnsi="Arial Narrow"/>
                <w:sz w:val="20"/>
                <w:lang w:val="en-US"/>
              </w:rPr>
              <w:t>2.3 years</w:t>
            </w:r>
          </w:p>
        </w:tc>
        <w:tc>
          <w:tcPr>
            <w:tcW w:w="1228" w:type="pct"/>
            <w:gridSpan w:val="4"/>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18/28 (64%)</w:t>
            </w:r>
          </w:p>
          <w:p w:rsidR="000A3C7D" w:rsidRPr="00E37ACD" w:rsidRDefault="000A3C7D" w:rsidP="00942872">
            <w:pPr>
              <w:keepNext/>
              <w:jc w:val="center"/>
              <w:rPr>
                <w:rFonts w:ascii="Arial Narrow" w:hAnsi="Arial Narrow"/>
                <w:sz w:val="20"/>
                <w:u w:val="single"/>
                <w:lang w:val="en-US"/>
              </w:rPr>
            </w:pPr>
            <w:r w:rsidRPr="00E37ACD">
              <w:rPr>
                <w:rFonts w:ascii="Arial Narrow" w:hAnsi="Arial Narrow"/>
                <w:sz w:val="20"/>
                <w:lang w:val="en-US"/>
              </w:rPr>
              <w:t xml:space="preserve">(P&lt;0.001 vs </w:t>
            </w:r>
            <w:proofErr w:type="spellStart"/>
            <w:r w:rsidRPr="00E37ACD">
              <w:rPr>
                <w:rFonts w:ascii="Arial Narrow" w:hAnsi="Arial Narrow"/>
                <w:sz w:val="20"/>
                <w:lang w:val="en-US"/>
              </w:rPr>
              <w:t>nitisinone</w:t>
            </w:r>
            <w:proofErr w:type="spellEnd"/>
            <w:r w:rsidRPr="00E37ACD">
              <w:rPr>
                <w:rFonts w:ascii="Arial Narrow" w:hAnsi="Arial Narrow"/>
                <w:sz w:val="20"/>
                <w:lang w:val="en-US"/>
              </w:rPr>
              <w:t>)</w:t>
            </w:r>
          </w:p>
        </w:tc>
        <w:tc>
          <w:tcPr>
            <w:tcW w:w="576" w:type="pct"/>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20/28 (71%)</w:t>
            </w:r>
          </w:p>
          <w:p w:rsidR="000A3C7D" w:rsidRPr="00E37ACD" w:rsidRDefault="000A3C7D" w:rsidP="00942872">
            <w:pPr>
              <w:keepNext/>
              <w:jc w:val="center"/>
              <w:rPr>
                <w:rFonts w:ascii="Arial Narrow" w:hAnsi="Arial Narrow"/>
                <w:sz w:val="20"/>
                <w:u w:val="single"/>
                <w:lang w:val="en-US"/>
              </w:rPr>
            </w:pPr>
            <w:r w:rsidRPr="00E37ACD">
              <w:rPr>
                <w:rFonts w:ascii="Arial Narrow" w:hAnsi="Arial Narrow"/>
                <w:sz w:val="20"/>
                <w:lang w:val="en-US"/>
              </w:rPr>
              <w:t xml:space="preserve">(P&lt;0.001 vs </w:t>
            </w:r>
            <w:proofErr w:type="spellStart"/>
            <w:r w:rsidRPr="00E37ACD">
              <w:rPr>
                <w:rFonts w:ascii="Arial Narrow" w:hAnsi="Arial Narrow"/>
                <w:sz w:val="20"/>
                <w:lang w:val="en-US"/>
              </w:rPr>
              <w:t>nitisinone</w:t>
            </w:r>
            <w:proofErr w:type="spellEnd"/>
            <w:r w:rsidRPr="00E37ACD">
              <w:rPr>
                <w:rFonts w:ascii="Arial Narrow" w:hAnsi="Arial Narrow"/>
                <w:sz w:val="20"/>
                <w:lang w:val="en-US"/>
              </w:rPr>
              <w:t>)</w:t>
            </w:r>
          </w:p>
        </w:tc>
        <w:tc>
          <w:tcPr>
            <w:tcW w:w="901" w:type="pct"/>
            <w:gridSpan w:val="6"/>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Not reported</w:t>
            </w:r>
          </w:p>
        </w:tc>
        <w:tc>
          <w:tcPr>
            <w:tcW w:w="982" w:type="pct"/>
            <w:gridSpan w:val="7"/>
            <w:vAlign w:val="center"/>
          </w:tcPr>
          <w:p w:rsidR="000A3C7D" w:rsidRPr="00E37ACD" w:rsidRDefault="000A3C7D" w:rsidP="00942872">
            <w:pPr>
              <w:keepNext/>
              <w:jc w:val="center"/>
              <w:rPr>
                <w:rFonts w:ascii="Arial Narrow" w:hAnsi="Arial Narrow"/>
                <w:sz w:val="20"/>
              </w:rPr>
            </w:pPr>
            <w:r w:rsidRPr="00E37ACD">
              <w:rPr>
                <w:rFonts w:ascii="Arial Narrow" w:hAnsi="Arial Narrow"/>
                <w:sz w:val="20"/>
              </w:rPr>
              <w:t>71/777</w:t>
            </w:r>
          </w:p>
          <w:p w:rsidR="000A3C7D" w:rsidRPr="00E37ACD" w:rsidRDefault="000A3C7D" w:rsidP="00942872">
            <w:pPr>
              <w:keepNext/>
              <w:jc w:val="center"/>
              <w:rPr>
                <w:rFonts w:ascii="Arial Narrow" w:hAnsi="Arial Narrow"/>
                <w:sz w:val="20"/>
              </w:rPr>
            </w:pPr>
            <w:r w:rsidRPr="00E37ACD">
              <w:rPr>
                <w:rFonts w:ascii="Arial Narrow" w:hAnsi="Arial Narrow"/>
                <w:sz w:val="20"/>
              </w:rPr>
              <w:t xml:space="preserve">(P&lt;0.001 vs </w:t>
            </w:r>
            <w:proofErr w:type="spellStart"/>
            <w:r w:rsidRPr="00E37ACD">
              <w:rPr>
                <w:rFonts w:ascii="Arial Narrow" w:hAnsi="Arial Narrow"/>
                <w:sz w:val="20"/>
              </w:rPr>
              <w:t>nitisinone</w:t>
            </w:r>
            <w:proofErr w:type="spellEnd"/>
            <w:r w:rsidRPr="00E37ACD">
              <w:rPr>
                <w:rFonts w:ascii="Arial Narrow" w:hAnsi="Arial Narrow"/>
                <w:sz w:val="20"/>
              </w:rPr>
              <w:t>)</w:t>
            </w:r>
          </w:p>
        </w:tc>
      </w:tr>
    </w:tbl>
    <w:p w:rsidR="000A3C7D" w:rsidRPr="00E37ACD" w:rsidRDefault="000A3C7D" w:rsidP="00942872">
      <w:pPr>
        <w:pStyle w:val="TableFooter"/>
        <w:keepNext/>
        <w:ind w:firstLine="720"/>
      </w:pPr>
      <w:r w:rsidRPr="00E37ACD">
        <w:t>Source: compiled during the evaluation</w:t>
      </w:r>
    </w:p>
    <w:p w:rsidR="000A3C7D" w:rsidRPr="00E37ACD" w:rsidRDefault="000A3C7D" w:rsidP="0025255F">
      <w:pPr>
        <w:pStyle w:val="TableFooter"/>
        <w:ind w:left="709" w:firstLine="11"/>
      </w:pPr>
      <w:proofErr w:type="gramStart"/>
      <w:r w:rsidRPr="00E37ACD">
        <w:rPr>
          <w:vertAlign w:val="superscript"/>
        </w:rPr>
        <w:t>a</w:t>
      </w:r>
      <w:proofErr w:type="gramEnd"/>
      <w:r w:rsidRPr="00E37ACD">
        <w:t xml:space="preserve"> n at risk at 2 years not reported, total n in each group: 39, 44 and 25 for patients with onset &lt;2, 2-6 and &gt;6 months, respectively</w:t>
      </w:r>
    </w:p>
    <w:p w:rsidR="000A3C7D" w:rsidRPr="00E37ACD" w:rsidRDefault="000A3C7D" w:rsidP="00E22A0D">
      <w:pPr>
        <w:ind w:firstLine="720"/>
        <w:rPr>
          <w:rStyle w:val="CommentReference"/>
          <w:rFonts w:cs="Arial"/>
          <w:sz w:val="20"/>
          <w:szCs w:val="16"/>
        </w:rPr>
      </w:pPr>
    </w:p>
    <w:p w:rsidR="000A3C7D" w:rsidRPr="00E37ACD" w:rsidRDefault="000A3C7D" w:rsidP="00942872">
      <w:pPr>
        <w:keepNext/>
        <w:ind w:left="709"/>
        <w:rPr>
          <w:rStyle w:val="CommentReference"/>
          <w:rFonts w:cs="Arial"/>
          <w:sz w:val="20"/>
          <w:szCs w:val="16"/>
        </w:rPr>
      </w:pPr>
      <w:r w:rsidRPr="00E37ACD">
        <w:rPr>
          <w:rStyle w:val="CommentReference"/>
          <w:rFonts w:cs="Arial"/>
          <w:sz w:val="20"/>
          <w:szCs w:val="16"/>
        </w:rPr>
        <w:t xml:space="preserve">Results of survival and liver transplantation for </w:t>
      </w:r>
      <w:proofErr w:type="spellStart"/>
      <w:r w:rsidRPr="00E37ACD">
        <w:rPr>
          <w:rStyle w:val="CommentReference"/>
          <w:rFonts w:cs="Arial"/>
          <w:sz w:val="20"/>
          <w:szCs w:val="16"/>
        </w:rPr>
        <w:t>Larochelle</w:t>
      </w:r>
      <w:proofErr w:type="spellEnd"/>
      <w:r w:rsidRPr="00E37ACD">
        <w:rPr>
          <w:rStyle w:val="CommentReference"/>
          <w:rFonts w:cs="Arial"/>
          <w:sz w:val="20"/>
          <w:szCs w:val="16"/>
        </w:rPr>
        <w:t xml:space="preserve"> 2012 by age at starting </w:t>
      </w:r>
      <w:proofErr w:type="spellStart"/>
      <w:r w:rsidRPr="00E37ACD">
        <w:rPr>
          <w:rStyle w:val="CommentReference"/>
          <w:rFonts w:cs="Arial"/>
          <w:sz w:val="20"/>
          <w:szCs w:val="16"/>
        </w:rPr>
        <w:t>nitisinone</w:t>
      </w:r>
      <w:proofErr w:type="spellEnd"/>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043"/>
        <w:gridCol w:w="2043"/>
        <w:gridCol w:w="2043"/>
      </w:tblGrid>
      <w:tr w:rsidR="000A3C7D" w:rsidRPr="00E37ACD" w:rsidTr="00690D7C">
        <w:trPr>
          <w:tblHeader/>
        </w:trPr>
        <w:tc>
          <w:tcPr>
            <w:tcW w:w="2376" w:type="dxa"/>
            <w:tcBorders>
              <w:bottom w:val="nil"/>
            </w:tcBorders>
          </w:tcPr>
          <w:p w:rsidR="000A3C7D" w:rsidRPr="00E37ACD" w:rsidRDefault="000A3C7D" w:rsidP="00690D7C">
            <w:pPr>
              <w:keepNext/>
              <w:rPr>
                <w:rStyle w:val="CommentReference"/>
                <w:rFonts w:cs="Arial"/>
                <w:sz w:val="20"/>
                <w:szCs w:val="16"/>
              </w:rPr>
            </w:pPr>
            <w:r w:rsidRPr="00E37ACD">
              <w:rPr>
                <w:rStyle w:val="CommentReference"/>
                <w:rFonts w:cs="Arial"/>
                <w:sz w:val="20"/>
                <w:szCs w:val="16"/>
              </w:rPr>
              <w:t>Outcome</w:t>
            </w:r>
          </w:p>
        </w:tc>
        <w:tc>
          <w:tcPr>
            <w:tcW w:w="2043" w:type="dxa"/>
            <w:tcBorders>
              <w:bottom w:val="nil"/>
            </w:tcBorders>
            <w:vAlign w:val="center"/>
          </w:tcPr>
          <w:p w:rsidR="000A3C7D" w:rsidRPr="00E37ACD" w:rsidRDefault="000A3C7D" w:rsidP="00690D7C">
            <w:pPr>
              <w:keepNext/>
              <w:jc w:val="center"/>
              <w:rPr>
                <w:rStyle w:val="CommentReference"/>
                <w:rFonts w:cs="Arial"/>
                <w:sz w:val="20"/>
                <w:szCs w:val="16"/>
              </w:rPr>
            </w:pPr>
            <w:r w:rsidRPr="00E37ACD">
              <w:rPr>
                <w:rStyle w:val="CommentReference"/>
                <w:rFonts w:cs="Arial"/>
                <w:sz w:val="20"/>
                <w:szCs w:val="16"/>
              </w:rPr>
              <w:t xml:space="preserve">Early </w:t>
            </w:r>
            <w:proofErr w:type="spellStart"/>
            <w:r w:rsidRPr="00E37ACD">
              <w:rPr>
                <w:rStyle w:val="CommentReference"/>
                <w:rFonts w:cs="Arial"/>
                <w:sz w:val="20"/>
                <w:szCs w:val="16"/>
              </w:rPr>
              <w:t>nitisinone</w:t>
            </w:r>
            <w:proofErr w:type="spellEnd"/>
            <w:r w:rsidRPr="00E37ACD">
              <w:rPr>
                <w:rStyle w:val="CommentReference"/>
                <w:rFonts w:cs="Arial"/>
                <w:sz w:val="20"/>
                <w:szCs w:val="16"/>
              </w:rPr>
              <w:t xml:space="preserve"> (start at ≤1 month of age)</w:t>
            </w:r>
          </w:p>
        </w:tc>
        <w:tc>
          <w:tcPr>
            <w:tcW w:w="2043" w:type="dxa"/>
            <w:tcBorders>
              <w:bottom w:val="nil"/>
            </w:tcBorders>
            <w:vAlign w:val="center"/>
          </w:tcPr>
          <w:p w:rsidR="000A3C7D" w:rsidRPr="00E37ACD" w:rsidRDefault="000A3C7D" w:rsidP="00690D7C">
            <w:pPr>
              <w:keepNext/>
              <w:jc w:val="center"/>
              <w:rPr>
                <w:rStyle w:val="CommentReference"/>
                <w:rFonts w:cs="Arial"/>
                <w:sz w:val="20"/>
                <w:szCs w:val="16"/>
              </w:rPr>
            </w:pPr>
            <w:r w:rsidRPr="00E37ACD">
              <w:rPr>
                <w:rStyle w:val="CommentReference"/>
                <w:rFonts w:cs="Arial"/>
                <w:sz w:val="20"/>
                <w:szCs w:val="16"/>
              </w:rPr>
              <w:t xml:space="preserve">Late </w:t>
            </w:r>
            <w:proofErr w:type="spellStart"/>
            <w:r w:rsidRPr="00E37ACD">
              <w:rPr>
                <w:rStyle w:val="CommentReference"/>
                <w:rFonts w:cs="Arial"/>
                <w:sz w:val="20"/>
                <w:szCs w:val="16"/>
              </w:rPr>
              <w:t>nitisinone</w:t>
            </w:r>
            <w:proofErr w:type="spellEnd"/>
            <w:r w:rsidRPr="00E37ACD">
              <w:rPr>
                <w:rStyle w:val="CommentReference"/>
                <w:rFonts w:cs="Arial"/>
                <w:sz w:val="20"/>
                <w:szCs w:val="16"/>
              </w:rPr>
              <w:t xml:space="preserve"> (start at &gt;1 month of age)</w:t>
            </w:r>
          </w:p>
        </w:tc>
        <w:tc>
          <w:tcPr>
            <w:tcW w:w="2043" w:type="dxa"/>
            <w:tcBorders>
              <w:bottom w:val="nil"/>
            </w:tcBorders>
            <w:vAlign w:val="center"/>
          </w:tcPr>
          <w:p w:rsidR="000A3C7D" w:rsidRPr="00E37ACD" w:rsidRDefault="000A3C7D" w:rsidP="00690D7C">
            <w:pPr>
              <w:keepNext/>
              <w:jc w:val="center"/>
              <w:rPr>
                <w:rStyle w:val="CommentReference"/>
                <w:rFonts w:cs="Arial"/>
                <w:sz w:val="20"/>
                <w:szCs w:val="16"/>
              </w:rPr>
            </w:pPr>
            <w:r w:rsidRPr="00E37ACD">
              <w:rPr>
                <w:rStyle w:val="CommentReference"/>
                <w:rFonts w:cs="Arial"/>
                <w:sz w:val="20"/>
                <w:szCs w:val="16"/>
              </w:rPr>
              <w:t xml:space="preserve">No </w:t>
            </w:r>
            <w:proofErr w:type="spellStart"/>
            <w:r w:rsidRPr="00E37ACD">
              <w:rPr>
                <w:rStyle w:val="CommentReference"/>
                <w:rFonts w:cs="Arial"/>
                <w:sz w:val="20"/>
                <w:szCs w:val="16"/>
              </w:rPr>
              <w:t>nitisinone</w:t>
            </w:r>
            <w:proofErr w:type="spellEnd"/>
          </w:p>
        </w:tc>
      </w:tr>
      <w:tr w:rsidR="000A3C7D" w:rsidRPr="00E37ACD" w:rsidTr="00690D7C">
        <w:tc>
          <w:tcPr>
            <w:tcW w:w="2376" w:type="dxa"/>
            <w:tcBorders>
              <w:top w:val="nil"/>
            </w:tcBorders>
          </w:tcPr>
          <w:p w:rsidR="000A3C7D" w:rsidRPr="00E37ACD" w:rsidRDefault="000A3C7D" w:rsidP="00690D7C">
            <w:pPr>
              <w:keepNext/>
              <w:rPr>
                <w:rStyle w:val="CommentReference"/>
                <w:rFonts w:cs="Arial"/>
                <w:sz w:val="20"/>
                <w:szCs w:val="16"/>
              </w:rPr>
            </w:pPr>
          </w:p>
        </w:tc>
        <w:tc>
          <w:tcPr>
            <w:tcW w:w="2043" w:type="dxa"/>
            <w:tcBorders>
              <w:top w:val="nil"/>
            </w:tcBorders>
            <w:vAlign w:val="center"/>
          </w:tcPr>
          <w:p w:rsidR="000A3C7D" w:rsidRPr="00E37ACD" w:rsidRDefault="000A3C7D" w:rsidP="00690D7C">
            <w:pPr>
              <w:keepNext/>
              <w:jc w:val="center"/>
              <w:rPr>
                <w:rStyle w:val="CommentReference"/>
                <w:rFonts w:cs="Arial"/>
                <w:sz w:val="20"/>
                <w:szCs w:val="16"/>
              </w:rPr>
            </w:pPr>
            <w:r w:rsidRPr="00E37ACD">
              <w:rPr>
                <w:rStyle w:val="CommentReference"/>
                <w:rFonts w:cs="Arial"/>
                <w:sz w:val="20"/>
                <w:szCs w:val="16"/>
              </w:rPr>
              <w:t>N=24</w:t>
            </w:r>
          </w:p>
        </w:tc>
        <w:tc>
          <w:tcPr>
            <w:tcW w:w="2043" w:type="dxa"/>
            <w:tcBorders>
              <w:top w:val="nil"/>
            </w:tcBorders>
            <w:vAlign w:val="center"/>
          </w:tcPr>
          <w:p w:rsidR="000A3C7D" w:rsidRPr="00E37ACD" w:rsidRDefault="000A3C7D" w:rsidP="00690D7C">
            <w:pPr>
              <w:keepNext/>
              <w:jc w:val="center"/>
              <w:rPr>
                <w:rStyle w:val="CommentReference"/>
                <w:rFonts w:cs="Arial"/>
                <w:sz w:val="20"/>
                <w:szCs w:val="16"/>
              </w:rPr>
            </w:pPr>
            <w:r w:rsidRPr="00E37ACD">
              <w:rPr>
                <w:rStyle w:val="CommentReference"/>
                <w:rFonts w:cs="Arial"/>
                <w:sz w:val="20"/>
                <w:szCs w:val="16"/>
              </w:rPr>
              <w:t>N=26</w:t>
            </w:r>
          </w:p>
        </w:tc>
        <w:tc>
          <w:tcPr>
            <w:tcW w:w="2043" w:type="dxa"/>
            <w:tcBorders>
              <w:top w:val="nil"/>
            </w:tcBorders>
            <w:vAlign w:val="center"/>
          </w:tcPr>
          <w:p w:rsidR="000A3C7D" w:rsidRPr="00E37ACD" w:rsidRDefault="000A3C7D" w:rsidP="00690D7C">
            <w:pPr>
              <w:keepNext/>
              <w:jc w:val="center"/>
              <w:rPr>
                <w:rStyle w:val="CommentReference"/>
                <w:rFonts w:cs="Arial"/>
                <w:sz w:val="20"/>
                <w:szCs w:val="16"/>
              </w:rPr>
            </w:pPr>
            <w:r w:rsidRPr="00E37ACD">
              <w:rPr>
                <w:rStyle w:val="CommentReference"/>
                <w:rFonts w:cs="Arial"/>
                <w:sz w:val="20"/>
                <w:szCs w:val="16"/>
              </w:rPr>
              <w:t>N=28</w:t>
            </w:r>
          </w:p>
        </w:tc>
      </w:tr>
      <w:tr w:rsidR="000A3C7D" w:rsidRPr="00E37ACD" w:rsidTr="00690D7C">
        <w:tc>
          <w:tcPr>
            <w:tcW w:w="2376" w:type="dxa"/>
          </w:tcPr>
          <w:p w:rsidR="000A3C7D" w:rsidRPr="00690D7C" w:rsidRDefault="000A3C7D" w:rsidP="00690D7C">
            <w:pPr>
              <w:keepNext/>
              <w:rPr>
                <w:rStyle w:val="CommentReference"/>
                <w:rFonts w:cs="Arial"/>
                <w:b w:val="0"/>
                <w:sz w:val="20"/>
                <w:szCs w:val="16"/>
              </w:rPr>
            </w:pPr>
            <w:r w:rsidRPr="00690D7C">
              <w:rPr>
                <w:rStyle w:val="CommentReference"/>
                <w:rFonts w:cs="Arial"/>
                <w:b w:val="0"/>
                <w:sz w:val="20"/>
                <w:szCs w:val="16"/>
              </w:rPr>
              <w:t>Liver transplant</w:t>
            </w:r>
          </w:p>
        </w:tc>
        <w:tc>
          <w:tcPr>
            <w:tcW w:w="2043" w:type="dxa"/>
            <w:vAlign w:val="center"/>
          </w:tcPr>
          <w:p w:rsidR="000A3C7D" w:rsidRPr="00690D7C" w:rsidRDefault="000A3C7D" w:rsidP="00690D7C">
            <w:pPr>
              <w:keepNext/>
              <w:jc w:val="center"/>
              <w:rPr>
                <w:rStyle w:val="CommentReference"/>
                <w:rFonts w:cs="Arial"/>
                <w:b w:val="0"/>
                <w:sz w:val="20"/>
                <w:szCs w:val="16"/>
              </w:rPr>
            </w:pPr>
            <w:r w:rsidRPr="00690D7C">
              <w:rPr>
                <w:rStyle w:val="CommentReference"/>
                <w:rFonts w:cs="Arial"/>
                <w:b w:val="0"/>
                <w:sz w:val="20"/>
                <w:szCs w:val="16"/>
              </w:rPr>
              <w:t>0***</w:t>
            </w:r>
          </w:p>
        </w:tc>
        <w:tc>
          <w:tcPr>
            <w:tcW w:w="2043" w:type="dxa"/>
            <w:vAlign w:val="center"/>
          </w:tcPr>
          <w:p w:rsidR="000A3C7D" w:rsidRPr="00690D7C" w:rsidRDefault="000A3C7D" w:rsidP="00690D7C">
            <w:pPr>
              <w:keepNext/>
              <w:jc w:val="center"/>
              <w:rPr>
                <w:rStyle w:val="CommentReference"/>
                <w:rFonts w:cs="Arial"/>
                <w:b w:val="0"/>
                <w:sz w:val="20"/>
                <w:szCs w:val="16"/>
              </w:rPr>
            </w:pPr>
            <w:r w:rsidRPr="00690D7C">
              <w:rPr>
                <w:rStyle w:val="CommentReference"/>
                <w:rFonts w:cs="Arial"/>
                <w:b w:val="0"/>
                <w:sz w:val="20"/>
                <w:szCs w:val="16"/>
              </w:rPr>
              <w:t>7 (27%</w:t>
            </w:r>
            <w:proofErr w:type="gramStart"/>
            <w:r w:rsidRPr="00690D7C">
              <w:rPr>
                <w:rStyle w:val="CommentReference"/>
                <w:rFonts w:cs="Arial"/>
                <w:b w:val="0"/>
                <w:sz w:val="20"/>
                <w:szCs w:val="16"/>
              </w:rPr>
              <w:t>)*</w:t>
            </w:r>
            <w:proofErr w:type="gramEnd"/>
            <w:r w:rsidRPr="00690D7C">
              <w:rPr>
                <w:rStyle w:val="CommentReference"/>
                <w:rFonts w:cs="Arial"/>
                <w:b w:val="0"/>
                <w:sz w:val="20"/>
                <w:szCs w:val="16"/>
              </w:rPr>
              <w:t>**</w:t>
            </w:r>
          </w:p>
        </w:tc>
        <w:tc>
          <w:tcPr>
            <w:tcW w:w="2043" w:type="dxa"/>
            <w:vAlign w:val="center"/>
          </w:tcPr>
          <w:p w:rsidR="000A3C7D" w:rsidRPr="00690D7C" w:rsidRDefault="000A3C7D" w:rsidP="00690D7C">
            <w:pPr>
              <w:keepNext/>
              <w:jc w:val="center"/>
              <w:rPr>
                <w:rStyle w:val="CommentReference"/>
                <w:rFonts w:cs="Arial"/>
                <w:b w:val="0"/>
                <w:sz w:val="20"/>
                <w:szCs w:val="16"/>
              </w:rPr>
            </w:pPr>
            <w:r w:rsidRPr="00690D7C">
              <w:rPr>
                <w:rStyle w:val="CommentReference"/>
                <w:rFonts w:cs="Arial"/>
                <w:b w:val="0"/>
                <w:sz w:val="20"/>
                <w:szCs w:val="16"/>
              </w:rPr>
              <w:t>20 (71%)</w:t>
            </w:r>
          </w:p>
        </w:tc>
      </w:tr>
      <w:tr w:rsidR="000A3C7D" w:rsidRPr="00E37ACD" w:rsidTr="00690D7C">
        <w:tc>
          <w:tcPr>
            <w:tcW w:w="2376" w:type="dxa"/>
          </w:tcPr>
          <w:p w:rsidR="000A3C7D" w:rsidRPr="00690D7C" w:rsidRDefault="000A3C7D" w:rsidP="00690D7C">
            <w:pPr>
              <w:keepNext/>
              <w:rPr>
                <w:rStyle w:val="CommentReference"/>
                <w:rFonts w:cs="Arial"/>
                <w:b w:val="0"/>
                <w:sz w:val="20"/>
                <w:szCs w:val="16"/>
              </w:rPr>
            </w:pPr>
            <w:r w:rsidRPr="00690D7C">
              <w:rPr>
                <w:rStyle w:val="CommentReference"/>
                <w:rFonts w:cs="Arial"/>
                <w:b w:val="0"/>
                <w:sz w:val="20"/>
                <w:szCs w:val="16"/>
              </w:rPr>
              <w:t>Death</w:t>
            </w:r>
          </w:p>
        </w:tc>
        <w:tc>
          <w:tcPr>
            <w:tcW w:w="2043" w:type="dxa"/>
            <w:vAlign w:val="center"/>
          </w:tcPr>
          <w:p w:rsidR="000A3C7D" w:rsidRPr="00690D7C" w:rsidRDefault="000A3C7D" w:rsidP="00690D7C">
            <w:pPr>
              <w:keepNext/>
              <w:jc w:val="center"/>
              <w:rPr>
                <w:rStyle w:val="CommentReference"/>
                <w:rFonts w:cs="Arial"/>
                <w:b w:val="0"/>
                <w:sz w:val="20"/>
                <w:szCs w:val="16"/>
              </w:rPr>
            </w:pPr>
            <w:r w:rsidRPr="00690D7C">
              <w:rPr>
                <w:rStyle w:val="CommentReference"/>
                <w:rFonts w:cs="Arial"/>
                <w:b w:val="0"/>
                <w:sz w:val="20"/>
                <w:szCs w:val="16"/>
              </w:rPr>
              <w:t>0***</w:t>
            </w:r>
          </w:p>
        </w:tc>
        <w:tc>
          <w:tcPr>
            <w:tcW w:w="2043" w:type="dxa"/>
            <w:vAlign w:val="center"/>
          </w:tcPr>
          <w:p w:rsidR="000A3C7D" w:rsidRPr="00690D7C" w:rsidRDefault="000A3C7D" w:rsidP="00690D7C">
            <w:pPr>
              <w:keepNext/>
              <w:jc w:val="center"/>
              <w:rPr>
                <w:rStyle w:val="CommentReference"/>
                <w:rFonts w:cs="Arial"/>
                <w:b w:val="0"/>
                <w:sz w:val="20"/>
                <w:szCs w:val="16"/>
              </w:rPr>
            </w:pPr>
            <w:r w:rsidRPr="00690D7C">
              <w:rPr>
                <w:rStyle w:val="CommentReference"/>
                <w:rFonts w:cs="Arial"/>
                <w:b w:val="0"/>
                <w:sz w:val="20"/>
                <w:szCs w:val="16"/>
              </w:rPr>
              <w:t>2 (8%</w:t>
            </w:r>
            <w:proofErr w:type="gramStart"/>
            <w:r w:rsidRPr="00690D7C">
              <w:rPr>
                <w:rStyle w:val="CommentReference"/>
                <w:rFonts w:cs="Arial"/>
                <w:b w:val="0"/>
                <w:sz w:val="20"/>
                <w:szCs w:val="16"/>
              </w:rPr>
              <w:t>)*</w:t>
            </w:r>
            <w:proofErr w:type="gramEnd"/>
            <w:r w:rsidRPr="00690D7C">
              <w:rPr>
                <w:rStyle w:val="CommentReference"/>
                <w:rFonts w:cs="Arial"/>
                <w:b w:val="0"/>
                <w:sz w:val="20"/>
                <w:szCs w:val="16"/>
              </w:rPr>
              <w:t>*</w:t>
            </w:r>
          </w:p>
        </w:tc>
        <w:tc>
          <w:tcPr>
            <w:tcW w:w="2043" w:type="dxa"/>
            <w:vAlign w:val="center"/>
          </w:tcPr>
          <w:p w:rsidR="000A3C7D" w:rsidRPr="00690D7C" w:rsidRDefault="000A3C7D" w:rsidP="00690D7C">
            <w:pPr>
              <w:keepNext/>
              <w:jc w:val="center"/>
              <w:rPr>
                <w:rStyle w:val="CommentReference"/>
                <w:rFonts w:cs="Arial"/>
                <w:b w:val="0"/>
                <w:sz w:val="20"/>
                <w:szCs w:val="16"/>
              </w:rPr>
            </w:pPr>
            <w:r w:rsidRPr="00690D7C">
              <w:rPr>
                <w:rStyle w:val="CommentReference"/>
                <w:rFonts w:cs="Arial"/>
                <w:b w:val="0"/>
                <w:sz w:val="20"/>
                <w:szCs w:val="16"/>
              </w:rPr>
              <w:t>10 (36%)</w:t>
            </w:r>
          </w:p>
        </w:tc>
      </w:tr>
      <w:tr w:rsidR="000A3C7D" w:rsidRPr="00E37ACD" w:rsidTr="00690D7C">
        <w:tc>
          <w:tcPr>
            <w:tcW w:w="2376" w:type="dxa"/>
          </w:tcPr>
          <w:p w:rsidR="000A3C7D" w:rsidRPr="00690D7C" w:rsidRDefault="000A3C7D" w:rsidP="00690D7C">
            <w:pPr>
              <w:keepNext/>
              <w:rPr>
                <w:rStyle w:val="CommentReference"/>
                <w:rFonts w:cs="Arial"/>
                <w:b w:val="0"/>
                <w:sz w:val="20"/>
                <w:szCs w:val="16"/>
              </w:rPr>
            </w:pPr>
            <w:r w:rsidRPr="00690D7C">
              <w:rPr>
                <w:rStyle w:val="CommentReference"/>
                <w:rFonts w:cs="Arial"/>
                <w:b w:val="0"/>
                <w:sz w:val="20"/>
                <w:szCs w:val="16"/>
              </w:rPr>
              <w:t>Death before liver transplant</w:t>
            </w:r>
          </w:p>
        </w:tc>
        <w:tc>
          <w:tcPr>
            <w:tcW w:w="2043" w:type="dxa"/>
            <w:vAlign w:val="center"/>
          </w:tcPr>
          <w:p w:rsidR="000A3C7D" w:rsidRPr="00690D7C" w:rsidRDefault="000A3C7D" w:rsidP="00690D7C">
            <w:pPr>
              <w:keepNext/>
              <w:jc w:val="center"/>
              <w:rPr>
                <w:rStyle w:val="CommentReference"/>
                <w:rFonts w:cs="Arial"/>
                <w:b w:val="0"/>
                <w:sz w:val="20"/>
                <w:szCs w:val="16"/>
              </w:rPr>
            </w:pPr>
            <w:r w:rsidRPr="00690D7C">
              <w:rPr>
                <w:rStyle w:val="CommentReference"/>
                <w:rFonts w:cs="Arial"/>
                <w:b w:val="0"/>
                <w:sz w:val="20"/>
                <w:szCs w:val="16"/>
              </w:rPr>
              <w:t>0</w:t>
            </w:r>
          </w:p>
        </w:tc>
        <w:tc>
          <w:tcPr>
            <w:tcW w:w="2043" w:type="dxa"/>
            <w:vAlign w:val="center"/>
          </w:tcPr>
          <w:p w:rsidR="000A3C7D" w:rsidRPr="00690D7C" w:rsidRDefault="000A3C7D" w:rsidP="00690D7C">
            <w:pPr>
              <w:keepNext/>
              <w:jc w:val="center"/>
              <w:rPr>
                <w:rStyle w:val="CommentReference"/>
                <w:rFonts w:cs="Arial"/>
                <w:b w:val="0"/>
                <w:sz w:val="20"/>
                <w:szCs w:val="16"/>
              </w:rPr>
            </w:pPr>
            <w:r w:rsidRPr="00690D7C">
              <w:rPr>
                <w:rStyle w:val="CommentReference"/>
                <w:rFonts w:cs="Arial"/>
                <w:b w:val="0"/>
                <w:sz w:val="20"/>
                <w:szCs w:val="16"/>
              </w:rPr>
              <w:t>0</w:t>
            </w:r>
          </w:p>
        </w:tc>
        <w:tc>
          <w:tcPr>
            <w:tcW w:w="2043" w:type="dxa"/>
            <w:vAlign w:val="center"/>
          </w:tcPr>
          <w:p w:rsidR="000A3C7D" w:rsidRPr="00690D7C" w:rsidRDefault="000A3C7D" w:rsidP="00690D7C">
            <w:pPr>
              <w:keepNext/>
              <w:jc w:val="center"/>
              <w:rPr>
                <w:rStyle w:val="CommentReference"/>
                <w:rFonts w:cs="Arial"/>
                <w:b w:val="0"/>
                <w:sz w:val="20"/>
                <w:szCs w:val="16"/>
              </w:rPr>
            </w:pPr>
            <w:r w:rsidRPr="00690D7C">
              <w:rPr>
                <w:rStyle w:val="CommentReference"/>
                <w:rFonts w:cs="Arial"/>
                <w:b w:val="0"/>
                <w:sz w:val="20"/>
                <w:szCs w:val="16"/>
              </w:rPr>
              <w:t>8 (29%)</w:t>
            </w:r>
          </w:p>
        </w:tc>
      </w:tr>
      <w:tr w:rsidR="000A3C7D" w:rsidRPr="00E37ACD" w:rsidTr="00690D7C">
        <w:tc>
          <w:tcPr>
            <w:tcW w:w="2376" w:type="dxa"/>
          </w:tcPr>
          <w:p w:rsidR="000A3C7D" w:rsidRPr="00690D7C" w:rsidRDefault="000A3C7D" w:rsidP="00690D7C">
            <w:pPr>
              <w:keepNext/>
              <w:rPr>
                <w:rStyle w:val="CommentReference"/>
                <w:rFonts w:cs="Arial"/>
                <w:b w:val="0"/>
                <w:sz w:val="20"/>
                <w:szCs w:val="16"/>
              </w:rPr>
            </w:pPr>
            <w:r w:rsidRPr="00690D7C">
              <w:rPr>
                <w:rStyle w:val="CommentReference"/>
                <w:rFonts w:cs="Arial"/>
                <w:b w:val="0"/>
                <w:sz w:val="20"/>
                <w:szCs w:val="16"/>
              </w:rPr>
              <w:t>Death after liver transplant</w:t>
            </w:r>
          </w:p>
        </w:tc>
        <w:tc>
          <w:tcPr>
            <w:tcW w:w="2043" w:type="dxa"/>
            <w:vAlign w:val="center"/>
          </w:tcPr>
          <w:p w:rsidR="000A3C7D" w:rsidRPr="00690D7C" w:rsidRDefault="000A3C7D" w:rsidP="00690D7C">
            <w:pPr>
              <w:keepNext/>
              <w:jc w:val="center"/>
              <w:rPr>
                <w:rStyle w:val="CommentReference"/>
                <w:rFonts w:cs="Arial"/>
                <w:b w:val="0"/>
                <w:sz w:val="20"/>
                <w:szCs w:val="16"/>
              </w:rPr>
            </w:pPr>
            <w:r w:rsidRPr="00690D7C">
              <w:rPr>
                <w:rStyle w:val="CommentReference"/>
                <w:rFonts w:cs="Arial"/>
                <w:b w:val="0"/>
                <w:sz w:val="20"/>
                <w:szCs w:val="16"/>
              </w:rPr>
              <w:t>0</w:t>
            </w:r>
          </w:p>
        </w:tc>
        <w:tc>
          <w:tcPr>
            <w:tcW w:w="2043" w:type="dxa"/>
            <w:vAlign w:val="center"/>
          </w:tcPr>
          <w:p w:rsidR="000A3C7D" w:rsidRPr="00690D7C" w:rsidRDefault="000A3C7D" w:rsidP="00690D7C">
            <w:pPr>
              <w:keepNext/>
              <w:jc w:val="center"/>
              <w:rPr>
                <w:rStyle w:val="CommentReference"/>
                <w:rFonts w:cs="Arial"/>
                <w:b w:val="0"/>
                <w:sz w:val="20"/>
                <w:szCs w:val="16"/>
              </w:rPr>
            </w:pPr>
            <w:r w:rsidRPr="00690D7C">
              <w:rPr>
                <w:rStyle w:val="CommentReference"/>
                <w:rFonts w:cs="Arial"/>
                <w:b w:val="0"/>
                <w:sz w:val="20"/>
                <w:szCs w:val="16"/>
              </w:rPr>
              <w:t>2 (8%)</w:t>
            </w:r>
          </w:p>
        </w:tc>
        <w:tc>
          <w:tcPr>
            <w:tcW w:w="2043" w:type="dxa"/>
            <w:vAlign w:val="center"/>
          </w:tcPr>
          <w:p w:rsidR="000A3C7D" w:rsidRPr="00690D7C" w:rsidRDefault="000A3C7D" w:rsidP="00690D7C">
            <w:pPr>
              <w:keepNext/>
              <w:jc w:val="center"/>
              <w:rPr>
                <w:rStyle w:val="CommentReference"/>
                <w:rFonts w:cs="Arial"/>
                <w:b w:val="0"/>
                <w:sz w:val="20"/>
                <w:szCs w:val="16"/>
              </w:rPr>
            </w:pPr>
            <w:r w:rsidRPr="00690D7C">
              <w:rPr>
                <w:rStyle w:val="CommentReference"/>
                <w:rFonts w:cs="Arial"/>
                <w:b w:val="0"/>
                <w:sz w:val="20"/>
                <w:szCs w:val="16"/>
              </w:rPr>
              <w:t>2 (7%)</w:t>
            </w:r>
          </w:p>
        </w:tc>
      </w:tr>
    </w:tbl>
    <w:p w:rsidR="000A3C7D" w:rsidRPr="00E37ACD" w:rsidRDefault="000A3C7D" w:rsidP="00942872">
      <w:pPr>
        <w:pStyle w:val="TableFooter"/>
        <w:keepNext/>
        <w:ind w:left="709"/>
      </w:pPr>
      <w:r w:rsidRPr="00E37ACD">
        <w:t>Source: Table B.6-19, p117 of the submission.</w:t>
      </w:r>
    </w:p>
    <w:p w:rsidR="000A3C7D" w:rsidRPr="00E37ACD" w:rsidRDefault="000A3C7D" w:rsidP="00E04935">
      <w:pPr>
        <w:pStyle w:val="TableFooter"/>
        <w:ind w:left="709"/>
      </w:pPr>
      <w:r w:rsidRPr="00E37ACD">
        <w:t xml:space="preserve">Note: ** P&lt;0.01, ***P&lt;0.001 versus no </w:t>
      </w:r>
      <w:proofErr w:type="spellStart"/>
      <w:r w:rsidRPr="00E37ACD">
        <w:t>nitisinone</w:t>
      </w:r>
      <w:proofErr w:type="spellEnd"/>
      <w:r w:rsidRPr="00E37ACD">
        <w:t xml:space="preserve"> group.</w:t>
      </w:r>
    </w:p>
    <w:p w:rsidR="000A3C7D" w:rsidRPr="00E37ACD" w:rsidRDefault="000A3C7D" w:rsidP="00E22A0D">
      <w:pPr>
        <w:ind w:firstLine="720"/>
        <w:rPr>
          <w:rStyle w:val="CommentReference"/>
          <w:rFonts w:cs="Arial"/>
          <w:sz w:val="20"/>
          <w:szCs w:val="16"/>
        </w:rPr>
      </w:pPr>
    </w:p>
    <w:p w:rsidR="000A3C7D" w:rsidRPr="00E37ACD" w:rsidRDefault="000A3C7D" w:rsidP="005F6928">
      <w:pPr>
        <w:pStyle w:val="ListParagraph"/>
        <w:ind w:left="709"/>
        <w:rPr>
          <w:i/>
          <w:szCs w:val="22"/>
        </w:rPr>
      </w:pPr>
      <w:r w:rsidRPr="00E37ACD">
        <w:rPr>
          <w:i/>
          <w:szCs w:val="22"/>
        </w:rPr>
        <w:t>For more detail on PBAC’s view, see section 7 “PBAC outcome”</w:t>
      </w:r>
    </w:p>
    <w:p w:rsidR="000A3C7D" w:rsidRPr="00E37ACD" w:rsidRDefault="000A3C7D" w:rsidP="00E22A0D">
      <w:pPr>
        <w:ind w:firstLine="720"/>
        <w:rPr>
          <w:rStyle w:val="CommentReference"/>
          <w:rFonts w:cs="Arial"/>
          <w:sz w:val="20"/>
          <w:szCs w:val="16"/>
        </w:rPr>
      </w:pPr>
    </w:p>
    <w:p w:rsidR="000A3C7D" w:rsidRPr="00283DC5" w:rsidRDefault="000A3C7D" w:rsidP="00283DC5">
      <w:pPr>
        <w:rPr>
          <w:b/>
          <w:szCs w:val="22"/>
        </w:rPr>
      </w:pPr>
      <w:bookmarkStart w:id="9" w:name="_Toc398024517"/>
      <w:r w:rsidRPr="00283DC5">
        <w:rPr>
          <w:b/>
          <w:szCs w:val="22"/>
        </w:rPr>
        <w:t>Comparative harms</w:t>
      </w:r>
      <w:bookmarkEnd w:id="9"/>
    </w:p>
    <w:p w:rsidR="000A3C7D" w:rsidRPr="00E37ACD" w:rsidRDefault="000A3C7D" w:rsidP="00B60939">
      <w:pPr>
        <w:ind w:left="720" w:hanging="720"/>
        <w:rPr>
          <w:szCs w:val="22"/>
        </w:rPr>
      </w:pPr>
    </w:p>
    <w:p w:rsidR="000A3C7D" w:rsidRPr="00E37ACD" w:rsidRDefault="000A3C7D" w:rsidP="00F31E6E">
      <w:pPr>
        <w:pStyle w:val="ListParagraph"/>
        <w:widowControl/>
        <w:numPr>
          <w:ilvl w:val="1"/>
          <w:numId w:val="3"/>
        </w:numPr>
        <w:rPr>
          <w:szCs w:val="22"/>
        </w:rPr>
      </w:pPr>
      <w:r w:rsidRPr="00E37ACD">
        <w:t xml:space="preserve">In the NTBC study, the most commonly reported adverse events were </w:t>
      </w:r>
      <w:r w:rsidRPr="00435A1B">
        <w:t xml:space="preserve">visual disorders </w:t>
      </w:r>
      <w:r w:rsidR="00637BCD">
        <w:rPr>
          <w:noProof/>
          <w:color w:val="000000"/>
          <w:highlight w:val="black"/>
        </w:rPr>
        <w:t xml:space="preserve">''''''''''''''''''' </w:t>
      </w:r>
      <w:r w:rsidRPr="0031184D">
        <w:t xml:space="preserve">of patients) </w:t>
      </w:r>
      <w:r w:rsidRPr="00435A1B">
        <w:t>including keratitis</w:t>
      </w:r>
      <w:r w:rsidR="00637BCD">
        <w:rPr>
          <w:noProof/>
          <w:color w:val="000000"/>
          <w:highlight w:val="black"/>
        </w:rPr>
        <w:t xml:space="preserve"> '''''''''''''''''' </w:t>
      </w:r>
      <w:r w:rsidRPr="00435A1B">
        <w:t xml:space="preserve">corneal opacity </w:t>
      </w:r>
      <w:r w:rsidR="00637BCD">
        <w:rPr>
          <w:noProof/>
          <w:color w:val="000000"/>
          <w:highlight w:val="black"/>
        </w:rPr>
        <w:t xml:space="preserve">''''''''''''''''' </w:t>
      </w:r>
      <w:r w:rsidRPr="00435A1B">
        <w:t xml:space="preserve">photophobia </w:t>
      </w:r>
      <w:r w:rsidR="00637BCD">
        <w:rPr>
          <w:noProof/>
          <w:color w:val="000000"/>
          <w:highlight w:val="black"/>
        </w:rPr>
        <w:t xml:space="preserve">''''''''''''''''' </w:t>
      </w:r>
      <w:r w:rsidRPr="00435A1B">
        <w:t>and conjunctivitis</w:t>
      </w:r>
      <w:r w:rsidR="00637BCD">
        <w:rPr>
          <w:noProof/>
          <w:color w:val="000000"/>
          <w:highlight w:val="black"/>
        </w:rPr>
        <w:t xml:space="preserve"> ''''''''''''''''''</w:t>
      </w:r>
      <w:r w:rsidRPr="00E37ACD">
        <w:t xml:space="preserve"> The probability of visual disorders increased with increasing plasma tyrosine levels. The second most commonly reported adverse events were disorders of the </w:t>
      </w:r>
      <w:r w:rsidRPr="00435A1B">
        <w:t xml:space="preserve">liver and biliary system </w:t>
      </w:r>
      <w:r w:rsidR="00637BCD">
        <w:rPr>
          <w:noProof/>
          <w:color w:val="000000"/>
          <w:highlight w:val="black"/>
        </w:rPr>
        <w:t xml:space="preserve">'''''''''''''' </w:t>
      </w:r>
      <w:r w:rsidRPr="00435A1B">
        <w:t>including liver failure</w:t>
      </w:r>
      <w:r w:rsidR="00637BCD">
        <w:rPr>
          <w:noProof/>
          <w:color w:val="000000"/>
          <w:highlight w:val="black"/>
        </w:rPr>
        <w:t xml:space="preserve"> '''''''''''''''''' </w:t>
      </w:r>
      <w:r w:rsidRPr="00435A1B">
        <w:t>Leukopenia/</w:t>
      </w:r>
      <w:proofErr w:type="spellStart"/>
      <w:r w:rsidRPr="00435A1B">
        <w:t>granulocytopenia</w:t>
      </w:r>
      <w:proofErr w:type="spellEnd"/>
      <w:r w:rsidRPr="00435A1B">
        <w:t xml:space="preserve"> were also reported in the NTBC study </w:t>
      </w:r>
      <w:r w:rsidR="00637BCD">
        <w:rPr>
          <w:noProof/>
          <w:color w:val="000000"/>
          <w:highlight w:val="black"/>
        </w:rPr>
        <w:t>'''''''''''''''''' '''''''''</w:t>
      </w:r>
      <w:r w:rsidRPr="00435A1B">
        <w:t xml:space="preserve"> and have been reported in the post-marketing setting. Developmental and cognitive disorders have been reported in the post-marketing </w:t>
      </w:r>
      <w:proofErr w:type="gramStart"/>
      <w:r w:rsidRPr="00435A1B">
        <w:lastRenderedPageBreak/>
        <w:t>setting</w:t>
      </w:r>
      <w:proofErr w:type="gramEnd"/>
      <w:r w:rsidRPr="00435A1B">
        <w:t xml:space="preserve"> in patients treated with </w:t>
      </w:r>
      <w:proofErr w:type="spellStart"/>
      <w:r w:rsidRPr="00435A1B">
        <w:t>nitisinone</w:t>
      </w:r>
      <w:proofErr w:type="spellEnd"/>
      <w:r w:rsidRPr="00435A1B">
        <w:t>.</w:t>
      </w:r>
      <w:r w:rsidRPr="00E37ACD">
        <w:t xml:space="preserve"> The relationship of these events to </w:t>
      </w:r>
      <w:proofErr w:type="spellStart"/>
      <w:r w:rsidRPr="00E37ACD">
        <w:t>nitisinone</w:t>
      </w:r>
      <w:proofErr w:type="spellEnd"/>
      <w:r w:rsidRPr="00E37ACD">
        <w:t xml:space="preserve"> treatment is unknown. The </w:t>
      </w:r>
      <w:proofErr w:type="spellStart"/>
      <w:r w:rsidRPr="00E37ACD">
        <w:t>nitisinone</w:t>
      </w:r>
      <w:proofErr w:type="spellEnd"/>
      <w:r w:rsidRPr="00E37ACD">
        <w:t xml:space="preserve"> Product Information recommends regular and systematic developmental assessment, including assessment of </w:t>
      </w:r>
      <w:proofErr w:type="spellStart"/>
      <w:r w:rsidRPr="00E37ACD">
        <w:t>neuro</w:t>
      </w:r>
      <w:proofErr w:type="spellEnd"/>
      <w:r w:rsidRPr="00E37ACD">
        <w:noBreakHyphen/>
        <w:t>cognitive development.</w:t>
      </w:r>
    </w:p>
    <w:p w:rsidR="000A3C7D" w:rsidRPr="00E37ACD" w:rsidRDefault="000A3C7D" w:rsidP="007F1017">
      <w:pPr>
        <w:pStyle w:val="ListParagraph"/>
        <w:ind w:left="0"/>
        <w:rPr>
          <w:szCs w:val="22"/>
        </w:rPr>
      </w:pPr>
    </w:p>
    <w:p w:rsidR="000A3C7D" w:rsidRPr="00283DC5" w:rsidRDefault="000A3C7D" w:rsidP="00283DC5">
      <w:pPr>
        <w:rPr>
          <w:b/>
          <w:szCs w:val="22"/>
        </w:rPr>
      </w:pPr>
      <w:bookmarkStart w:id="10" w:name="_Toc398024518"/>
      <w:r w:rsidRPr="00283DC5">
        <w:rPr>
          <w:b/>
          <w:szCs w:val="22"/>
        </w:rPr>
        <w:t>Benefits/harms</w:t>
      </w:r>
      <w:bookmarkEnd w:id="10"/>
    </w:p>
    <w:p w:rsidR="000A3C7D" w:rsidRPr="00E37ACD" w:rsidRDefault="000A3C7D" w:rsidP="007F1017">
      <w:pPr>
        <w:pStyle w:val="ListParagraph"/>
        <w:ind w:left="0"/>
        <w:rPr>
          <w:szCs w:val="22"/>
        </w:rPr>
      </w:pPr>
    </w:p>
    <w:p w:rsidR="000A3C7D" w:rsidRPr="00E37ACD" w:rsidRDefault="000A3C7D" w:rsidP="00F31E6E">
      <w:pPr>
        <w:pStyle w:val="ListParagraph"/>
        <w:widowControl/>
        <w:numPr>
          <w:ilvl w:val="1"/>
          <w:numId w:val="3"/>
        </w:numPr>
        <w:rPr>
          <w:szCs w:val="22"/>
        </w:rPr>
      </w:pPr>
      <w:r w:rsidRPr="00E37ACD">
        <w:rPr>
          <w:szCs w:val="22"/>
        </w:rPr>
        <w:t xml:space="preserve">A summary of the benefits and harms is presented in the table below. </w:t>
      </w:r>
    </w:p>
    <w:p w:rsidR="000A3C7D" w:rsidRPr="00E37ACD" w:rsidRDefault="000A3C7D" w:rsidP="00B62715"/>
    <w:p w:rsidR="000A3C7D" w:rsidRPr="00E37ACD" w:rsidRDefault="000A3C7D" w:rsidP="00942872">
      <w:pPr>
        <w:keepNext/>
        <w:ind w:left="720"/>
        <w:rPr>
          <w:rStyle w:val="CommentReference"/>
          <w:rFonts w:cs="Arial"/>
          <w:sz w:val="20"/>
          <w:szCs w:val="16"/>
        </w:rPr>
      </w:pPr>
      <w:r w:rsidRPr="00E37ACD">
        <w:rPr>
          <w:rStyle w:val="CommentReference"/>
          <w:rFonts w:cs="Arial"/>
          <w:sz w:val="20"/>
          <w:szCs w:val="16"/>
        </w:rPr>
        <w:t xml:space="preserve">Summary of comparative benefits and harms for </w:t>
      </w:r>
      <w:proofErr w:type="spellStart"/>
      <w:r w:rsidRPr="00E37ACD">
        <w:rPr>
          <w:rStyle w:val="CommentReference"/>
          <w:rFonts w:cs="Arial"/>
          <w:sz w:val="20"/>
          <w:szCs w:val="16"/>
        </w:rPr>
        <w:t>nitisinone</w:t>
      </w:r>
      <w:proofErr w:type="spellEnd"/>
      <w:r w:rsidRPr="00E37ACD">
        <w:rPr>
          <w:rStyle w:val="CommentReference"/>
          <w:rFonts w:cs="Arial"/>
          <w:sz w:val="20"/>
          <w:szCs w:val="16"/>
        </w:rPr>
        <w:t xml:space="preserve"> and diet alone (based on the non-randomised evidence) </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5"/>
        <w:gridCol w:w="625"/>
        <w:gridCol w:w="1019"/>
        <w:gridCol w:w="293"/>
        <w:gridCol w:w="779"/>
        <w:gridCol w:w="836"/>
        <w:gridCol w:w="102"/>
        <w:gridCol w:w="1153"/>
        <w:gridCol w:w="120"/>
        <w:gridCol w:w="298"/>
        <w:gridCol w:w="539"/>
        <w:gridCol w:w="284"/>
        <w:gridCol w:w="283"/>
        <w:gridCol w:w="284"/>
        <w:gridCol w:w="283"/>
      </w:tblGrid>
      <w:tr w:rsidR="000A3C7D" w:rsidRPr="00E37ACD" w:rsidTr="00690D7C">
        <w:trPr>
          <w:tblHeader/>
        </w:trPr>
        <w:tc>
          <w:tcPr>
            <w:tcW w:w="1465" w:type="dxa"/>
            <w:vAlign w:val="center"/>
          </w:tcPr>
          <w:p w:rsidR="000A3C7D" w:rsidRPr="00690D7C" w:rsidRDefault="000A3C7D" w:rsidP="00690D7C">
            <w:pPr>
              <w:keepNext/>
              <w:jc w:val="center"/>
              <w:rPr>
                <w:rFonts w:ascii="Arial Narrow" w:hAnsi="Arial Narrow"/>
                <w:b/>
                <w:color w:val="000000"/>
                <w:sz w:val="20"/>
                <w:szCs w:val="18"/>
              </w:rPr>
            </w:pPr>
            <w:r w:rsidRPr="00690D7C">
              <w:rPr>
                <w:rFonts w:ascii="Arial Narrow" w:hAnsi="Arial Narrow"/>
                <w:b/>
                <w:color w:val="000000"/>
                <w:sz w:val="20"/>
                <w:szCs w:val="18"/>
              </w:rPr>
              <w:t>Study</w:t>
            </w:r>
          </w:p>
        </w:tc>
        <w:tc>
          <w:tcPr>
            <w:tcW w:w="3654" w:type="dxa"/>
            <w:gridSpan w:val="6"/>
            <w:vAlign w:val="center"/>
          </w:tcPr>
          <w:p w:rsidR="000A3C7D" w:rsidRPr="00690D7C" w:rsidRDefault="000A3C7D" w:rsidP="00690D7C">
            <w:pPr>
              <w:keepNext/>
              <w:jc w:val="center"/>
              <w:rPr>
                <w:rFonts w:ascii="Arial Narrow" w:hAnsi="Arial Narrow"/>
                <w:b/>
                <w:color w:val="000000"/>
                <w:sz w:val="20"/>
                <w:szCs w:val="18"/>
              </w:rPr>
            </w:pPr>
            <w:proofErr w:type="spellStart"/>
            <w:r w:rsidRPr="00690D7C">
              <w:rPr>
                <w:rFonts w:ascii="Arial Narrow" w:hAnsi="Arial Narrow"/>
                <w:b/>
                <w:color w:val="000000"/>
                <w:sz w:val="20"/>
                <w:szCs w:val="18"/>
              </w:rPr>
              <w:t>Nitisinone</w:t>
            </w:r>
            <w:proofErr w:type="spellEnd"/>
          </w:p>
        </w:tc>
        <w:tc>
          <w:tcPr>
            <w:tcW w:w="2961" w:type="dxa"/>
            <w:gridSpan w:val="7"/>
            <w:tcBorders>
              <w:right w:val="nil"/>
            </w:tcBorders>
            <w:vAlign w:val="center"/>
          </w:tcPr>
          <w:p w:rsidR="000A3C7D" w:rsidRPr="00690D7C" w:rsidRDefault="000A3C7D" w:rsidP="00690D7C">
            <w:pPr>
              <w:keepNext/>
              <w:jc w:val="center"/>
              <w:rPr>
                <w:rFonts w:ascii="Arial Narrow" w:hAnsi="Arial Narrow"/>
                <w:b/>
                <w:color w:val="000000"/>
                <w:sz w:val="20"/>
                <w:szCs w:val="18"/>
              </w:rPr>
            </w:pPr>
            <w:r w:rsidRPr="00690D7C">
              <w:rPr>
                <w:rFonts w:ascii="Arial Narrow" w:hAnsi="Arial Narrow"/>
                <w:b/>
                <w:color w:val="000000"/>
                <w:sz w:val="20"/>
                <w:szCs w:val="18"/>
              </w:rPr>
              <w:t>Diet alone</w:t>
            </w:r>
          </w:p>
        </w:tc>
        <w:tc>
          <w:tcPr>
            <w:tcW w:w="283" w:type="dxa"/>
            <w:tcBorders>
              <w:left w:val="nil"/>
            </w:tcBorders>
            <w:vAlign w:val="center"/>
          </w:tcPr>
          <w:p w:rsidR="000A3C7D" w:rsidRPr="00690D7C" w:rsidRDefault="000A3C7D" w:rsidP="00690D7C">
            <w:pPr>
              <w:keepNext/>
              <w:jc w:val="center"/>
              <w:rPr>
                <w:rFonts w:ascii="Arial Narrow" w:hAnsi="Arial Narrow"/>
                <w:b/>
                <w:color w:val="000000"/>
                <w:sz w:val="20"/>
                <w:szCs w:val="18"/>
              </w:rPr>
            </w:pPr>
          </w:p>
        </w:tc>
      </w:tr>
      <w:tr w:rsidR="000A3C7D" w:rsidRPr="00E37ACD" w:rsidTr="00690D7C">
        <w:tc>
          <w:tcPr>
            <w:tcW w:w="3109" w:type="dxa"/>
            <w:gridSpan w:val="3"/>
            <w:tcBorders>
              <w:right w:val="nil"/>
            </w:tcBorders>
            <w:vAlign w:val="center"/>
          </w:tcPr>
          <w:p w:rsidR="000A3C7D" w:rsidRPr="00690D7C" w:rsidRDefault="000A3C7D" w:rsidP="00690D7C">
            <w:pPr>
              <w:keepNext/>
              <w:jc w:val="left"/>
              <w:rPr>
                <w:rFonts w:ascii="Arial Narrow" w:hAnsi="Arial Narrow"/>
                <w:b/>
                <w:color w:val="000000"/>
                <w:sz w:val="20"/>
                <w:szCs w:val="18"/>
              </w:rPr>
            </w:pPr>
            <w:r w:rsidRPr="00690D7C">
              <w:rPr>
                <w:rFonts w:ascii="Arial Narrow" w:hAnsi="Arial Narrow"/>
                <w:b/>
                <w:color w:val="000000"/>
                <w:sz w:val="20"/>
                <w:szCs w:val="18"/>
              </w:rPr>
              <w:t>Overall survival, at 2 years</w:t>
            </w:r>
          </w:p>
        </w:tc>
        <w:tc>
          <w:tcPr>
            <w:tcW w:w="1908" w:type="dxa"/>
            <w:gridSpan w:val="3"/>
            <w:tcBorders>
              <w:left w:val="nil"/>
              <w:right w:val="nil"/>
            </w:tcBorders>
            <w:vAlign w:val="center"/>
          </w:tcPr>
          <w:p w:rsidR="000A3C7D" w:rsidRPr="00690D7C" w:rsidRDefault="000A3C7D" w:rsidP="00690D7C">
            <w:pPr>
              <w:keepNext/>
              <w:jc w:val="left"/>
              <w:rPr>
                <w:rFonts w:ascii="Arial Narrow" w:hAnsi="Arial Narrow"/>
                <w:b/>
                <w:color w:val="000000"/>
                <w:sz w:val="20"/>
                <w:szCs w:val="18"/>
              </w:rPr>
            </w:pPr>
          </w:p>
        </w:tc>
        <w:tc>
          <w:tcPr>
            <w:tcW w:w="1673" w:type="dxa"/>
            <w:gridSpan w:val="4"/>
            <w:tcBorders>
              <w:left w:val="nil"/>
              <w:right w:val="nil"/>
            </w:tcBorders>
            <w:vAlign w:val="center"/>
          </w:tcPr>
          <w:p w:rsidR="000A3C7D" w:rsidRPr="00690D7C" w:rsidRDefault="000A3C7D" w:rsidP="00690D7C">
            <w:pPr>
              <w:keepNext/>
              <w:jc w:val="left"/>
              <w:rPr>
                <w:rFonts w:ascii="Arial Narrow" w:hAnsi="Arial Narrow"/>
                <w:b/>
                <w:color w:val="000000"/>
                <w:sz w:val="20"/>
                <w:szCs w:val="18"/>
              </w:rPr>
            </w:pPr>
          </w:p>
        </w:tc>
        <w:tc>
          <w:tcPr>
            <w:tcW w:w="1673" w:type="dxa"/>
            <w:gridSpan w:val="5"/>
            <w:tcBorders>
              <w:left w:val="nil"/>
            </w:tcBorders>
            <w:vAlign w:val="center"/>
          </w:tcPr>
          <w:p w:rsidR="000A3C7D" w:rsidRPr="00690D7C" w:rsidRDefault="000A3C7D" w:rsidP="00690D7C">
            <w:pPr>
              <w:keepNext/>
              <w:jc w:val="left"/>
              <w:rPr>
                <w:rFonts w:ascii="Arial Narrow" w:hAnsi="Arial Narrow"/>
                <w:b/>
                <w:color w:val="000000"/>
                <w:sz w:val="20"/>
                <w:szCs w:val="18"/>
              </w:rPr>
            </w:pPr>
          </w:p>
        </w:tc>
      </w:tr>
      <w:tr w:rsidR="000A3C7D" w:rsidRPr="00E37ACD" w:rsidTr="00690D7C">
        <w:tc>
          <w:tcPr>
            <w:tcW w:w="1465" w:type="dxa"/>
            <w:vAlign w:val="center"/>
          </w:tcPr>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NTBC study</w:t>
            </w:r>
          </w:p>
        </w:tc>
        <w:tc>
          <w:tcPr>
            <w:tcW w:w="3654" w:type="dxa"/>
            <w:gridSpan w:val="6"/>
            <w:vAlign w:val="center"/>
          </w:tcPr>
          <w:p w:rsidR="000A3C7D" w:rsidRPr="00690D7C" w:rsidRDefault="000A3C7D" w:rsidP="00690D7C">
            <w:pPr>
              <w:keepNext/>
              <w:jc w:val="center"/>
              <w:rPr>
                <w:rFonts w:ascii="Arial Narrow" w:hAnsi="Arial Narrow"/>
                <w:color w:val="000000"/>
                <w:sz w:val="20"/>
                <w:szCs w:val="18"/>
              </w:rPr>
            </w:pPr>
            <w:r w:rsidRPr="00690D7C">
              <w:rPr>
                <w:rFonts w:ascii="Arial Narrow" w:hAnsi="Arial Narrow"/>
                <w:color w:val="000000"/>
                <w:sz w:val="20"/>
                <w:szCs w:val="18"/>
              </w:rPr>
              <w:t xml:space="preserve">All patients: 94% (95% CI: </w:t>
            </w:r>
            <w:r w:rsidR="00637BCD">
              <w:rPr>
                <w:rFonts w:ascii="Arial Narrow" w:hAnsi="Arial Narrow"/>
                <w:noProof/>
                <w:color w:val="000000"/>
                <w:sz w:val="20"/>
                <w:szCs w:val="18"/>
                <w:highlight w:val="black"/>
              </w:rPr>
              <w:t>'''''''''''' ''''''''''''</w:t>
            </w:r>
            <w:r w:rsidRPr="00690D7C">
              <w:rPr>
                <w:rFonts w:ascii="Arial Narrow" w:hAnsi="Arial Narrow"/>
                <w:color w:val="000000"/>
                <w:sz w:val="20"/>
                <w:szCs w:val="18"/>
              </w:rPr>
              <w:t>) (n=158)</w:t>
            </w:r>
          </w:p>
          <w:p w:rsidR="000A3C7D" w:rsidRPr="00690D7C" w:rsidRDefault="000A3C7D" w:rsidP="00690D7C">
            <w:pPr>
              <w:keepNext/>
              <w:jc w:val="center"/>
              <w:rPr>
                <w:rFonts w:ascii="Arial Narrow" w:hAnsi="Arial Narrow"/>
                <w:sz w:val="20"/>
                <w:lang w:val="en-US"/>
              </w:rPr>
            </w:pPr>
            <w:r w:rsidRPr="00690D7C">
              <w:rPr>
                <w:rFonts w:ascii="Arial Narrow" w:hAnsi="Arial Narrow"/>
                <w:sz w:val="20"/>
                <w:lang w:val="en-US"/>
              </w:rPr>
              <w:t>Nit started ≤2 months: 93% (n=32 at risk)</w:t>
            </w:r>
          </w:p>
          <w:p w:rsidR="000A3C7D" w:rsidRPr="00690D7C" w:rsidRDefault="000A3C7D" w:rsidP="00690D7C">
            <w:pPr>
              <w:keepNext/>
              <w:jc w:val="center"/>
              <w:rPr>
                <w:rFonts w:ascii="Arial Narrow" w:hAnsi="Arial Narrow"/>
                <w:sz w:val="20"/>
                <w:lang w:val="en-US"/>
              </w:rPr>
            </w:pPr>
            <w:r w:rsidRPr="00690D7C">
              <w:rPr>
                <w:rFonts w:ascii="Arial Narrow" w:hAnsi="Arial Narrow"/>
                <w:sz w:val="20"/>
                <w:lang w:val="en-US"/>
              </w:rPr>
              <w:t>Nit started ≤6 months: 93% (n=75 at risk)</w:t>
            </w:r>
          </w:p>
          <w:p w:rsidR="000A3C7D" w:rsidRPr="00690D7C" w:rsidRDefault="000A3C7D" w:rsidP="00690D7C">
            <w:pPr>
              <w:keepNext/>
              <w:tabs>
                <w:tab w:val="left" w:pos="194"/>
              </w:tabs>
              <w:jc w:val="center"/>
              <w:rPr>
                <w:rFonts w:ascii="Arial Narrow" w:hAnsi="Arial Narrow"/>
                <w:color w:val="000000"/>
                <w:sz w:val="20"/>
                <w:szCs w:val="18"/>
              </w:rPr>
            </w:pPr>
            <w:r w:rsidRPr="00690D7C">
              <w:rPr>
                <w:rFonts w:ascii="Arial Narrow" w:hAnsi="Arial Narrow"/>
                <w:sz w:val="20"/>
                <w:lang w:val="en-US"/>
              </w:rPr>
              <w:t>Nit started &gt;6 months: 96% (n=83 at risk)</w:t>
            </w:r>
          </w:p>
        </w:tc>
        <w:tc>
          <w:tcPr>
            <w:tcW w:w="1273" w:type="dxa"/>
            <w:gridSpan w:val="2"/>
            <w:vAlign w:val="center"/>
          </w:tcPr>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 xml:space="preserve">van </w:t>
            </w:r>
            <w:proofErr w:type="spellStart"/>
            <w:r w:rsidRPr="00690D7C">
              <w:rPr>
                <w:rFonts w:ascii="Arial Narrow" w:hAnsi="Arial Narrow"/>
                <w:color w:val="000000"/>
                <w:sz w:val="20"/>
                <w:szCs w:val="18"/>
              </w:rPr>
              <w:t>Spronsen</w:t>
            </w:r>
            <w:proofErr w:type="spellEnd"/>
            <w:r w:rsidRPr="00690D7C">
              <w:rPr>
                <w:rFonts w:ascii="Arial Narrow" w:hAnsi="Arial Narrow"/>
                <w:color w:val="000000"/>
                <w:sz w:val="20"/>
                <w:szCs w:val="18"/>
              </w:rPr>
              <w:t xml:space="preserve"> 1994</w:t>
            </w:r>
          </w:p>
        </w:tc>
        <w:tc>
          <w:tcPr>
            <w:tcW w:w="1971" w:type="dxa"/>
            <w:gridSpan w:val="6"/>
            <w:vAlign w:val="center"/>
          </w:tcPr>
          <w:p w:rsidR="000A3C7D" w:rsidRPr="00690D7C" w:rsidRDefault="000A3C7D" w:rsidP="00690D7C">
            <w:pPr>
              <w:keepNext/>
              <w:jc w:val="left"/>
              <w:rPr>
                <w:rFonts w:ascii="Arial Narrow" w:hAnsi="Arial Narrow"/>
                <w:sz w:val="20"/>
                <w:lang w:val="en-US"/>
              </w:rPr>
            </w:pPr>
            <w:r w:rsidRPr="00690D7C">
              <w:rPr>
                <w:rFonts w:ascii="Arial Narrow" w:hAnsi="Arial Narrow"/>
                <w:sz w:val="20"/>
                <w:lang w:val="en-US"/>
              </w:rPr>
              <w:t>Onset &lt;2 months: 29%</w:t>
            </w:r>
          </w:p>
          <w:p w:rsidR="000A3C7D" w:rsidRPr="00690D7C" w:rsidRDefault="000A3C7D" w:rsidP="00690D7C">
            <w:pPr>
              <w:keepNext/>
              <w:jc w:val="left"/>
              <w:rPr>
                <w:rFonts w:ascii="Arial Narrow" w:hAnsi="Arial Narrow"/>
                <w:sz w:val="20"/>
                <w:lang w:val="en-US"/>
              </w:rPr>
            </w:pPr>
            <w:r w:rsidRPr="00690D7C">
              <w:rPr>
                <w:rFonts w:ascii="Arial Narrow" w:hAnsi="Arial Narrow"/>
                <w:sz w:val="20"/>
                <w:lang w:val="en-US"/>
              </w:rPr>
              <w:t>Onset 2-6 months: 74%</w:t>
            </w:r>
          </w:p>
          <w:p w:rsidR="000A3C7D" w:rsidRPr="00690D7C" w:rsidRDefault="000A3C7D" w:rsidP="00690D7C">
            <w:pPr>
              <w:keepNext/>
              <w:jc w:val="left"/>
              <w:rPr>
                <w:rFonts w:ascii="Arial Narrow" w:hAnsi="Arial Narrow"/>
                <w:color w:val="000000"/>
                <w:sz w:val="20"/>
                <w:szCs w:val="18"/>
              </w:rPr>
            </w:pPr>
            <w:r w:rsidRPr="00690D7C">
              <w:rPr>
                <w:rFonts w:ascii="Arial Narrow" w:hAnsi="Arial Narrow"/>
                <w:sz w:val="20"/>
                <w:lang w:val="en-US"/>
              </w:rPr>
              <w:t>Onset &gt;6 months: 96%</w:t>
            </w:r>
          </w:p>
        </w:tc>
      </w:tr>
      <w:tr w:rsidR="000A3C7D" w:rsidRPr="00E37ACD" w:rsidTr="00690D7C">
        <w:tc>
          <w:tcPr>
            <w:tcW w:w="1465" w:type="dxa"/>
            <w:tcBorders>
              <w:right w:val="nil"/>
            </w:tcBorders>
            <w:vAlign w:val="center"/>
          </w:tcPr>
          <w:p w:rsidR="000A3C7D" w:rsidRPr="00690D7C" w:rsidRDefault="000A3C7D" w:rsidP="00690D7C">
            <w:pPr>
              <w:keepNext/>
              <w:jc w:val="left"/>
              <w:rPr>
                <w:rFonts w:ascii="Arial Narrow" w:hAnsi="Arial Narrow"/>
                <w:b/>
                <w:color w:val="000000"/>
                <w:sz w:val="20"/>
                <w:szCs w:val="18"/>
              </w:rPr>
            </w:pPr>
            <w:r w:rsidRPr="00690D7C">
              <w:rPr>
                <w:rFonts w:ascii="Arial Narrow" w:hAnsi="Arial Narrow"/>
                <w:b/>
                <w:color w:val="000000"/>
                <w:sz w:val="20"/>
                <w:szCs w:val="18"/>
              </w:rPr>
              <w:t>Deaths</w:t>
            </w:r>
          </w:p>
        </w:tc>
        <w:tc>
          <w:tcPr>
            <w:tcW w:w="3654" w:type="dxa"/>
            <w:gridSpan w:val="6"/>
            <w:tcBorders>
              <w:left w:val="nil"/>
              <w:right w:val="nil"/>
            </w:tcBorders>
            <w:vAlign w:val="center"/>
          </w:tcPr>
          <w:p w:rsidR="000A3C7D" w:rsidRPr="00690D7C" w:rsidRDefault="000A3C7D" w:rsidP="00690D7C">
            <w:pPr>
              <w:keepNext/>
              <w:jc w:val="left"/>
              <w:rPr>
                <w:rFonts w:ascii="Arial Narrow" w:hAnsi="Arial Narrow"/>
                <w:b/>
                <w:color w:val="000000"/>
                <w:sz w:val="20"/>
                <w:szCs w:val="18"/>
              </w:rPr>
            </w:pPr>
          </w:p>
        </w:tc>
        <w:tc>
          <w:tcPr>
            <w:tcW w:w="1153" w:type="dxa"/>
            <w:tcBorders>
              <w:left w:val="nil"/>
              <w:right w:val="nil"/>
            </w:tcBorders>
            <w:vAlign w:val="center"/>
          </w:tcPr>
          <w:p w:rsidR="000A3C7D" w:rsidRPr="00690D7C" w:rsidRDefault="000A3C7D" w:rsidP="00690D7C">
            <w:pPr>
              <w:keepNext/>
              <w:jc w:val="left"/>
              <w:rPr>
                <w:rFonts w:ascii="Arial Narrow" w:hAnsi="Arial Narrow"/>
                <w:b/>
                <w:color w:val="000000"/>
                <w:sz w:val="20"/>
                <w:szCs w:val="18"/>
              </w:rPr>
            </w:pPr>
          </w:p>
        </w:tc>
        <w:tc>
          <w:tcPr>
            <w:tcW w:w="2091" w:type="dxa"/>
            <w:gridSpan w:val="7"/>
            <w:tcBorders>
              <w:left w:val="nil"/>
            </w:tcBorders>
            <w:vAlign w:val="center"/>
          </w:tcPr>
          <w:p w:rsidR="000A3C7D" w:rsidRPr="00690D7C" w:rsidRDefault="000A3C7D" w:rsidP="00690D7C">
            <w:pPr>
              <w:keepNext/>
              <w:jc w:val="left"/>
              <w:rPr>
                <w:rFonts w:ascii="Arial Narrow" w:hAnsi="Arial Narrow"/>
                <w:b/>
                <w:color w:val="000000"/>
                <w:sz w:val="20"/>
                <w:szCs w:val="18"/>
              </w:rPr>
            </w:pPr>
          </w:p>
        </w:tc>
      </w:tr>
      <w:tr w:rsidR="000A3C7D" w:rsidRPr="00E37ACD" w:rsidTr="00690D7C">
        <w:tc>
          <w:tcPr>
            <w:tcW w:w="1465" w:type="dxa"/>
            <w:vAlign w:val="center"/>
          </w:tcPr>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NTBC study</w:t>
            </w:r>
          </w:p>
        </w:tc>
        <w:tc>
          <w:tcPr>
            <w:tcW w:w="3654" w:type="dxa"/>
            <w:gridSpan w:val="6"/>
            <w:vAlign w:val="center"/>
          </w:tcPr>
          <w:p w:rsidR="000A3C7D" w:rsidRPr="00637BCD" w:rsidRDefault="00637BCD" w:rsidP="00690D7C">
            <w:pPr>
              <w:keepNext/>
              <w:jc w:val="left"/>
              <w:rPr>
                <w:rFonts w:ascii="Arial Narrow" w:hAnsi="Arial Narrow"/>
                <w:color w:val="000000"/>
                <w:sz w:val="20"/>
                <w:szCs w:val="18"/>
                <w:highlight w:val="black"/>
              </w:rPr>
            </w:pPr>
            <w:r>
              <w:rPr>
                <w:rFonts w:ascii="Arial Narrow" w:hAnsi="Arial Narrow"/>
                <w:noProof/>
                <w:color w:val="000000"/>
                <w:sz w:val="20"/>
                <w:szCs w:val="18"/>
                <w:highlight w:val="black"/>
              </w:rPr>
              <w:t>'''''''''''''''' '''''''''''</w:t>
            </w:r>
          </w:p>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Median follow-up: between 2 and 4 years</w:t>
            </w:r>
          </w:p>
        </w:tc>
        <w:tc>
          <w:tcPr>
            <w:tcW w:w="1273" w:type="dxa"/>
            <w:gridSpan w:val="2"/>
            <w:vAlign w:val="center"/>
          </w:tcPr>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 xml:space="preserve">van </w:t>
            </w:r>
            <w:proofErr w:type="spellStart"/>
            <w:r w:rsidRPr="00690D7C">
              <w:rPr>
                <w:rFonts w:ascii="Arial Narrow" w:hAnsi="Arial Narrow"/>
                <w:color w:val="000000"/>
                <w:sz w:val="20"/>
                <w:szCs w:val="18"/>
              </w:rPr>
              <w:t>Spronsen</w:t>
            </w:r>
            <w:proofErr w:type="spellEnd"/>
            <w:r w:rsidRPr="00690D7C">
              <w:rPr>
                <w:rFonts w:ascii="Arial Narrow" w:hAnsi="Arial Narrow"/>
                <w:color w:val="000000"/>
                <w:sz w:val="20"/>
                <w:szCs w:val="18"/>
              </w:rPr>
              <w:t xml:space="preserve"> 1994</w:t>
            </w:r>
          </w:p>
        </w:tc>
        <w:tc>
          <w:tcPr>
            <w:tcW w:w="1971" w:type="dxa"/>
            <w:gridSpan w:val="6"/>
            <w:vAlign w:val="center"/>
          </w:tcPr>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52/108 (48%)</w:t>
            </w:r>
          </w:p>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Follow-up not reported</w:t>
            </w:r>
          </w:p>
        </w:tc>
      </w:tr>
      <w:tr w:rsidR="000A3C7D" w:rsidRPr="00E37ACD" w:rsidTr="00690D7C">
        <w:tc>
          <w:tcPr>
            <w:tcW w:w="1465" w:type="dxa"/>
            <w:vAlign w:val="center"/>
          </w:tcPr>
          <w:p w:rsidR="000A3C7D" w:rsidRPr="00690D7C" w:rsidRDefault="000A3C7D" w:rsidP="00690D7C">
            <w:pPr>
              <w:keepNext/>
              <w:jc w:val="left"/>
              <w:rPr>
                <w:rFonts w:ascii="Arial Narrow" w:hAnsi="Arial Narrow"/>
                <w:color w:val="000000"/>
                <w:sz w:val="20"/>
                <w:szCs w:val="18"/>
              </w:rPr>
            </w:pPr>
            <w:proofErr w:type="spellStart"/>
            <w:r w:rsidRPr="00690D7C">
              <w:rPr>
                <w:rFonts w:ascii="Arial Narrow" w:hAnsi="Arial Narrow"/>
                <w:color w:val="000000"/>
                <w:sz w:val="20"/>
                <w:szCs w:val="18"/>
              </w:rPr>
              <w:t>Larochelle</w:t>
            </w:r>
            <w:proofErr w:type="spellEnd"/>
            <w:r w:rsidRPr="00690D7C">
              <w:rPr>
                <w:rFonts w:ascii="Arial Narrow" w:hAnsi="Arial Narrow"/>
                <w:color w:val="000000"/>
                <w:sz w:val="20"/>
                <w:szCs w:val="18"/>
              </w:rPr>
              <w:t xml:space="preserve"> 2012, </w:t>
            </w:r>
            <w:proofErr w:type="spellStart"/>
            <w:r w:rsidRPr="00690D7C">
              <w:rPr>
                <w:rFonts w:ascii="Arial Narrow" w:hAnsi="Arial Narrow"/>
                <w:color w:val="000000"/>
                <w:sz w:val="20"/>
                <w:szCs w:val="18"/>
              </w:rPr>
              <w:t>nitisinone</w:t>
            </w:r>
            <w:proofErr w:type="spellEnd"/>
          </w:p>
        </w:tc>
        <w:tc>
          <w:tcPr>
            <w:tcW w:w="3654" w:type="dxa"/>
            <w:gridSpan w:val="6"/>
            <w:vAlign w:val="center"/>
          </w:tcPr>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2/50 (4%)</w:t>
            </w:r>
          </w:p>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Mean of 9.6 years follow-up</w:t>
            </w:r>
          </w:p>
        </w:tc>
        <w:tc>
          <w:tcPr>
            <w:tcW w:w="1273" w:type="dxa"/>
            <w:gridSpan w:val="2"/>
            <w:vAlign w:val="center"/>
          </w:tcPr>
          <w:p w:rsidR="000A3C7D" w:rsidRPr="00690D7C" w:rsidRDefault="000A3C7D" w:rsidP="00690D7C">
            <w:pPr>
              <w:keepNext/>
              <w:jc w:val="left"/>
              <w:rPr>
                <w:rFonts w:ascii="Arial Narrow" w:hAnsi="Arial Narrow"/>
                <w:color w:val="000000"/>
                <w:sz w:val="20"/>
                <w:szCs w:val="18"/>
              </w:rPr>
            </w:pPr>
            <w:proofErr w:type="spellStart"/>
            <w:r w:rsidRPr="00690D7C">
              <w:rPr>
                <w:rFonts w:ascii="Arial Narrow" w:hAnsi="Arial Narrow"/>
                <w:color w:val="000000"/>
                <w:sz w:val="20"/>
                <w:szCs w:val="18"/>
              </w:rPr>
              <w:t>Larochelle</w:t>
            </w:r>
            <w:proofErr w:type="spellEnd"/>
            <w:r w:rsidRPr="00690D7C">
              <w:rPr>
                <w:rFonts w:ascii="Arial Narrow" w:hAnsi="Arial Narrow"/>
                <w:color w:val="000000"/>
                <w:sz w:val="20"/>
                <w:szCs w:val="18"/>
              </w:rPr>
              <w:t xml:space="preserve"> 2012, controls</w:t>
            </w:r>
          </w:p>
        </w:tc>
        <w:tc>
          <w:tcPr>
            <w:tcW w:w="1971" w:type="dxa"/>
            <w:gridSpan w:val="6"/>
            <w:vAlign w:val="center"/>
          </w:tcPr>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10/28 (36%)</w:t>
            </w:r>
          </w:p>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Mean of 2.3 years follow-up</w:t>
            </w:r>
          </w:p>
        </w:tc>
      </w:tr>
      <w:tr w:rsidR="000A3C7D" w:rsidRPr="00E37ACD" w:rsidTr="00690D7C">
        <w:tc>
          <w:tcPr>
            <w:tcW w:w="2090" w:type="dxa"/>
            <w:gridSpan w:val="2"/>
            <w:tcBorders>
              <w:right w:val="nil"/>
            </w:tcBorders>
            <w:vAlign w:val="center"/>
          </w:tcPr>
          <w:p w:rsidR="000A3C7D" w:rsidRPr="00690D7C" w:rsidRDefault="000A3C7D" w:rsidP="00690D7C">
            <w:pPr>
              <w:keepNext/>
              <w:jc w:val="left"/>
              <w:rPr>
                <w:rFonts w:ascii="Arial Narrow" w:hAnsi="Arial Narrow"/>
                <w:b/>
                <w:color w:val="000000"/>
                <w:sz w:val="20"/>
                <w:szCs w:val="18"/>
              </w:rPr>
            </w:pPr>
            <w:r w:rsidRPr="00690D7C">
              <w:rPr>
                <w:rFonts w:ascii="Arial Narrow" w:hAnsi="Arial Narrow"/>
                <w:b/>
                <w:color w:val="000000"/>
                <w:sz w:val="20"/>
                <w:szCs w:val="18"/>
              </w:rPr>
              <w:t>Liver transplantation</w:t>
            </w:r>
          </w:p>
        </w:tc>
        <w:tc>
          <w:tcPr>
            <w:tcW w:w="2091" w:type="dxa"/>
            <w:gridSpan w:val="3"/>
            <w:tcBorders>
              <w:left w:val="nil"/>
              <w:right w:val="nil"/>
            </w:tcBorders>
            <w:vAlign w:val="center"/>
          </w:tcPr>
          <w:p w:rsidR="000A3C7D" w:rsidRPr="00690D7C" w:rsidRDefault="000A3C7D" w:rsidP="00690D7C">
            <w:pPr>
              <w:keepNext/>
              <w:jc w:val="left"/>
              <w:rPr>
                <w:rFonts w:ascii="Arial Narrow" w:hAnsi="Arial Narrow"/>
                <w:b/>
                <w:color w:val="000000"/>
                <w:sz w:val="20"/>
                <w:szCs w:val="18"/>
              </w:rPr>
            </w:pPr>
          </w:p>
        </w:tc>
        <w:tc>
          <w:tcPr>
            <w:tcW w:w="2091" w:type="dxa"/>
            <w:gridSpan w:val="3"/>
            <w:tcBorders>
              <w:left w:val="nil"/>
              <w:right w:val="nil"/>
            </w:tcBorders>
            <w:vAlign w:val="center"/>
          </w:tcPr>
          <w:p w:rsidR="000A3C7D" w:rsidRPr="00690D7C" w:rsidRDefault="000A3C7D" w:rsidP="00690D7C">
            <w:pPr>
              <w:keepNext/>
              <w:jc w:val="left"/>
              <w:rPr>
                <w:rFonts w:ascii="Arial Narrow" w:hAnsi="Arial Narrow"/>
                <w:b/>
                <w:color w:val="000000"/>
                <w:sz w:val="20"/>
                <w:szCs w:val="18"/>
              </w:rPr>
            </w:pPr>
          </w:p>
        </w:tc>
        <w:tc>
          <w:tcPr>
            <w:tcW w:w="2091" w:type="dxa"/>
            <w:gridSpan w:val="7"/>
            <w:tcBorders>
              <w:left w:val="nil"/>
            </w:tcBorders>
            <w:vAlign w:val="center"/>
          </w:tcPr>
          <w:p w:rsidR="000A3C7D" w:rsidRPr="00690D7C" w:rsidRDefault="000A3C7D" w:rsidP="00690D7C">
            <w:pPr>
              <w:keepNext/>
              <w:jc w:val="left"/>
              <w:rPr>
                <w:rFonts w:ascii="Arial Narrow" w:hAnsi="Arial Narrow"/>
                <w:b/>
                <w:color w:val="000000"/>
                <w:sz w:val="20"/>
                <w:szCs w:val="18"/>
              </w:rPr>
            </w:pPr>
          </w:p>
        </w:tc>
      </w:tr>
      <w:tr w:rsidR="000A3C7D" w:rsidRPr="00E37ACD" w:rsidTr="00690D7C">
        <w:tc>
          <w:tcPr>
            <w:tcW w:w="1465" w:type="dxa"/>
            <w:vAlign w:val="center"/>
          </w:tcPr>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NTBC study</w:t>
            </w:r>
          </w:p>
        </w:tc>
        <w:tc>
          <w:tcPr>
            <w:tcW w:w="3654" w:type="dxa"/>
            <w:gridSpan w:val="6"/>
            <w:vAlign w:val="center"/>
          </w:tcPr>
          <w:p w:rsidR="000A3C7D" w:rsidRPr="00637BCD" w:rsidRDefault="00637BCD" w:rsidP="00690D7C">
            <w:pPr>
              <w:keepNext/>
              <w:jc w:val="left"/>
              <w:rPr>
                <w:rFonts w:ascii="Arial Narrow" w:hAnsi="Arial Narrow"/>
                <w:color w:val="000000"/>
                <w:sz w:val="20"/>
                <w:szCs w:val="18"/>
                <w:highlight w:val="black"/>
              </w:rPr>
            </w:pPr>
            <w:r>
              <w:rPr>
                <w:rFonts w:ascii="Arial Narrow" w:hAnsi="Arial Narrow"/>
                <w:noProof/>
                <w:color w:val="000000"/>
                <w:sz w:val="20"/>
                <w:szCs w:val="18"/>
                <w:highlight w:val="black"/>
              </w:rPr>
              <w:t>''''''''''''''' ''''''''''''''</w:t>
            </w:r>
          </w:p>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Median follow-up: between 2 and 4 years</w:t>
            </w:r>
          </w:p>
        </w:tc>
        <w:tc>
          <w:tcPr>
            <w:tcW w:w="1273" w:type="dxa"/>
            <w:gridSpan w:val="2"/>
            <w:vAlign w:val="center"/>
          </w:tcPr>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 xml:space="preserve">van </w:t>
            </w:r>
            <w:proofErr w:type="spellStart"/>
            <w:r w:rsidRPr="00690D7C">
              <w:rPr>
                <w:rFonts w:ascii="Arial Narrow" w:hAnsi="Arial Narrow"/>
                <w:color w:val="000000"/>
                <w:sz w:val="20"/>
                <w:szCs w:val="18"/>
              </w:rPr>
              <w:t>Spronsen</w:t>
            </w:r>
            <w:proofErr w:type="spellEnd"/>
            <w:r w:rsidRPr="00690D7C">
              <w:rPr>
                <w:rFonts w:ascii="Arial Narrow" w:hAnsi="Arial Narrow"/>
                <w:color w:val="000000"/>
                <w:sz w:val="20"/>
                <w:szCs w:val="18"/>
              </w:rPr>
              <w:t xml:space="preserve"> 1994</w:t>
            </w:r>
          </w:p>
        </w:tc>
        <w:tc>
          <w:tcPr>
            <w:tcW w:w="1971" w:type="dxa"/>
            <w:gridSpan w:val="6"/>
            <w:vAlign w:val="center"/>
          </w:tcPr>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26/108 (24%)</w:t>
            </w:r>
          </w:p>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Follow-up not reported</w:t>
            </w:r>
          </w:p>
        </w:tc>
      </w:tr>
      <w:tr w:rsidR="000A3C7D" w:rsidRPr="00E37ACD" w:rsidTr="00690D7C">
        <w:tc>
          <w:tcPr>
            <w:tcW w:w="1465" w:type="dxa"/>
            <w:vAlign w:val="center"/>
          </w:tcPr>
          <w:p w:rsidR="000A3C7D" w:rsidRPr="00690D7C" w:rsidRDefault="000A3C7D" w:rsidP="00690D7C">
            <w:pPr>
              <w:keepNext/>
              <w:jc w:val="left"/>
              <w:rPr>
                <w:rFonts w:ascii="Arial Narrow" w:hAnsi="Arial Narrow"/>
                <w:color w:val="000000"/>
                <w:sz w:val="20"/>
                <w:szCs w:val="18"/>
              </w:rPr>
            </w:pPr>
            <w:proofErr w:type="spellStart"/>
            <w:r w:rsidRPr="00690D7C">
              <w:rPr>
                <w:rFonts w:ascii="Arial Narrow" w:hAnsi="Arial Narrow"/>
                <w:color w:val="000000"/>
                <w:sz w:val="20"/>
                <w:szCs w:val="18"/>
              </w:rPr>
              <w:t>Larochelle</w:t>
            </w:r>
            <w:proofErr w:type="spellEnd"/>
            <w:r w:rsidRPr="00690D7C">
              <w:rPr>
                <w:rFonts w:ascii="Arial Narrow" w:hAnsi="Arial Narrow"/>
                <w:color w:val="000000"/>
                <w:sz w:val="20"/>
                <w:szCs w:val="18"/>
              </w:rPr>
              <w:t xml:space="preserve"> 2012, </w:t>
            </w:r>
            <w:proofErr w:type="spellStart"/>
            <w:r w:rsidRPr="00690D7C">
              <w:rPr>
                <w:rFonts w:ascii="Arial Narrow" w:hAnsi="Arial Narrow"/>
                <w:color w:val="000000"/>
                <w:sz w:val="20"/>
                <w:szCs w:val="18"/>
              </w:rPr>
              <w:t>nitisinone</w:t>
            </w:r>
            <w:proofErr w:type="spellEnd"/>
          </w:p>
        </w:tc>
        <w:tc>
          <w:tcPr>
            <w:tcW w:w="3654" w:type="dxa"/>
            <w:gridSpan w:val="6"/>
            <w:vAlign w:val="center"/>
          </w:tcPr>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7/50 (14%)</w:t>
            </w:r>
          </w:p>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Mean of 9.6 years follow-up</w:t>
            </w:r>
          </w:p>
        </w:tc>
        <w:tc>
          <w:tcPr>
            <w:tcW w:w="1273" w:type="dxa"/>
            <w:gridSpan w:val="2"/>
            <w:vAlign w:val="center"/>
          </w:tcPr>
          <w:p w:rsidR="000A3C7D" w:rsidRPr="00690D7C" w:rsidRDefault="000A3C7D" w:rsidP="00690D7C">
            <w:pPr>
              <w:keepNext/>
              <w:jc w:val="left"/>
              <w:rPr>
                <w:rFonts w:ascii="Arial Narrow" w:hAnsi="Arial Narrow"/>
                <w:color w:val="000000"/>
                <w:sz w:val="20"/>
                <w:szCs w:val="18"/>
              </w:rPr>
            </w:pPr>
            <w:proofErr w:type="spellStart"/>
            <w:r w:rsidRPr="00690D7C">
              <w:rPr>
                <w:rFonts w:ascii="Arial Narrow" w:hAnsi="Arial Narrow"/>
                <w:color w:val="000000"/>
                <w:sz w:val="20"/>
                <w:szCs w:val="18"/>
              </w:rPr>
              <w:t>Larochelle</w:t>
            </w:r>
            <w:proofErr w:type="spellEnd"/>
            <w:r w:rsidRPr="00690D7C">
              <w:rPr>
                <w:rFonts w:ascii="Arial Narrow" w:hAnsi="Arial Narrow"/>
                <w:color w:val="000000"/>
                <w:sz w:val="20"/>
                <w:szCs w:val="18"/>
              </w:rPr>
              <w:t xml:space="preserve"> 2012, controls</w:t>
            </w:r>
          </w:p>
        </w:tc>
        <w:tc>
          <w:tcPr>
            <w:tcW w:w="1971" w:type="dxa"/>
            <w:gridSpan w:val="6"/>
            <w:vAlign w:val="center"/>
          </w:tcPr>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20/28 (71%)</w:t>
            </w:r>
          </w:p>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Mean of 2.3 years follow-up</w:t>
            </w:r>
          </w:p>
        </w:tc>
      </w:tr>
      <w:tr w:rsidR="000A3C7D" w:rsidRPr="00E37ACD" w:rsidTr="00690D7C">
        <w:tc>
          <w:tcPr>
            <w:tcW w:w="3402" w:type="dxa"/>
            <w:gridSpan w:val="4"/>
            <w:tcBorders>
              <w:right w:val="nil"/>
            </w:tcBorders>
            <w:vAlign w:val="center"/>
          </w:tcPr>
          <w:p w:rsidR="000A3C7D" w:rsidRPr="00690D7C" w:rsidRDefault="000A3C7D" w:rsidP="00690D7C">
            <w:pPr>
              <w:keepNext/>
              <w:jc w:val="left"/>
              <w:rPr>
                <w:rFonts w:ascii="Arial Narrow" w:hAnsi="Arial Narrow"/>
                <w:b/>
                <w:color w:val="000000"/>
                <w:sz w:val="20"/>
                <w:szCs w:val="18"/>
              </w:rPr>
            </w:pPr>
            <w:r w:rsidRPr="00690D7C">
              <w:rPr>
                <w:rFonts w:ascii="Arial Narrow" w:hAnsi="Arial Narrow"/>
                <w:b/>
                <w:color w:val="000000"/>
                <w:sz w:val="20"/>
                <w:szCs w:val="18"/>
              </w:rPr>
              <w:t>Death or liver transplantation</w:t>
            </w:r>
          </w:p>
        </w:tc>
        <w:tc>
          <w:tcPr>
            <w:tcW w:w="779" w:type="dxa"/>
            <w:tcBorders>
              <w:left w:val="nil"/>
              <w:right w:val="nil"/>
            </w:tcBorders>
            <w:vAlign w:val="center"/>
          </w:tcPr>
          <w:p w:rsidR="000A3C7D" w:rsidRPr="00690D7C" w:rsidRDefault="000A3C7D" w:rsidP="00690D7C">
            <w:pPr>
              <w:keepNext/>
              <w:jc w:val="left"/>
              <w:rPr>
                <w:rFonts w:ascii="Arial Narrow" w:hAnsi="Arial Narrow"/>
                <w:b/>
                <w:color w:val="000000"/>
                <w:sz w:val="20"/>
                <w:szCs w:val="18"/>
              </w:rPr>
            </w:pPr>
          </w:p>
        </w:tc>
        <w:tc>
          <w:tcPr>
            <w:tcW w:w="2091" w:type="dxa"/>
            <w:gridSpan w:val="3"/>
            <w:tcBorders>
              <w:left w:val="nil"/>
              <w:right w:val="nil"/>
            </w:tcBorders>
            <w:vAlign w:val="center"/>
          </w:tcPr>
          <w:p w:rsidR="000A3C7D" w:rsidRPr="00690D7C" w:rsidRDefault="000A3C7D" w:rsidP="00690D7C">
            <w:pPr>
              <w:keepNext/>
              <w:jc w:val="left"/>
              <w:rPr>
                <w:rFonts w:ascii="Arial Narrow" w:hAnsi="Arial Narrow"/>
                <w:b/>
                <w:color w:val="000000"/>
                <w:sz w:val="20"/>
                <w:szCs w:val="18"/>
              </w:rPr>
            </w:pPr>
          </w:p>
        </w:tc>
        <w:tc>
          <w:tcPr>
            <w:tcW w:w="2091" w:type="dxa"/>
            <w:gridSpan w:val="7"/>
            <w:tcBorders>
              <w:left w:val="nil"/>
            </w:tcBorders>
            <w:vAlign w:val="center"/>
          </w:tcPr>
          <w:p w:rsidR="000A3C7D" w:rsidRPr="00690D7C" w:rsidRDefault="000A3C7D" w:rsidP="00690D7C">
            <w:pPr>
              <w:keepNext/>
              <w:jc w:val="left"/>
              <w:rPr>
                <w:rFonts w:ascii="Arial Narrow" w:hAnsi="Arial Narrow"/>
                <w:b/>
                <w:color w:val="000000"/>
                <w:sz w:val="20"/>
                <w:szCs w:val="18"/>
              </w:rPr>
            </w:pPr>
          </w:p>
        </w:tc>
      </w:tr>
      <w:tr w:rsidR="000A3C7D" w:rsidRPr="00E37ACD" w:rsidTr="00690D7C">
        <w:tc>
          <w:tcPr>
            <w:tcW w:w="1465" w:type="dxa"/>
            <w:vAlign w:val="center"/>
          </w:tcPr>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NTBC study</w:t>
            </w:r>
          </w:p>
        </w:tc>
        <w:tc>
          <w:tcPr>
            <w:tcW w:w="3654" w:type="dxa"/>
            <w:gridSpan w:val="6"/>
            <w:vAlign w:val="center"/>
          </w:tcPr>
          <w:p w:rsidR="000A3C7D" w:rsidRPr="00637BCD" w:rsidRDefault="00637BCD" w:rsidP="00690D7C">
            <w:pPr>
              <w:keepNext/>
              <w:jc w:val="left"/>
              <w:rPr>
                <w:rFonts w:ascii="Arial Narrow" w:hAnsi="Arial Narrow"/>
                <w:color w:val="000000"/>
                <w:sz w:val="20"/>
                <w:szCs w:val="18"/>
                <w:highlight w:val="black"/>
              </w:rPr>
            </w:pPr>
            <w:r>
              <w:rPr>
                <w:rFonts w:ascii="Arial Narrow" w:hAnsi="Arial Narrow"/>
                <w:noProof/>
                <w:color w:val="000000"/>
                <w:sz w:val="20"/>
                <w:szCs w:val="18"/>
                <w:highlight w:val="black"/>
              </w:rPr>
              <w:t>'''''''''''''''' ''''''''''''''</w:t>
            </w:r>
          </w:p>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Median follow-up: between 2 and 4 years</w:t>
            </w:r>
          </w:p>
        </w:tc>
        <w:tc>
          <w:tcPr>
            <w:tcW w:w="1273" w:type="dxa"/>
            <w:gridSpan w:val="2"/>
            <w:vAlign w:val="center"/>
          </w:tcPr>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 xml:space="preserve">van </w:t>
            </w:r>
            <w:proofErr w:type="spellStart"/>
            <w:r w:rsidRPr="00690D7C">
              <w:rPr>
                <w:rFonts w:ascii="Arial Narrow" w:hAnsi="Arial Narrow"/>
                <w:color w:val="000000"/>
                <w:sz w:val="20"/>
                <w:szCs w:val="18"/>
              </w:rPr>
              <w:t>Spronsen</w:t>
            </w:r>
            <w:proofErr w:type="spellEnd"/>
            <w:r w:rsidRPr="00690D7C">
              <w:rPr>
                <w:rFonts w:ascii="Arial Narrow" w:hAnsi="Arial Narrow"/>
                <w:color w:val="000000"/>
                <w:sz w:val="20"/>
                <w:szCs w:val="18"/>
              </w:rPr>
              <w:t xml:space="preserve"> 1994</w:t>
            </w:r>
          </w:p>
        </w:tc>
        <w:tc>
          <w:tcPr>
            <w:tcW w:w="1971" w:type="dxa"/>
            <w:gridSpan w:val="6"/>
            <w:vAlign w:val="center"/>
          </w:tcPr>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78/108 (72%)</w:t>
            </w:r>
          </w:p>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Follow-up not reported</w:t>
            </w:r>
          </w:p>
        </w:tc>
      </w:tr>
      <w:tr w:rsidR="000A3C7D" w:rsidRPr="00E37ACD" w:rsidTr="00690D7C">
        <w:tc>
          <w:tcPr>
            <w:tcW w:w="1465" w:type="dxa"/>
            <w:vAlign w:val="center"/>
          </w:tcPr>
          <w:p w:rsidR="000A3C7D" w:rsidRPr="00690D7C" w:rsidRDefault="000A3C7D" w:rsidP="00690D7C">
            <w:pPr>
              <w:keepNext/>
              <w:jc w:val="left"/>
              <w:rPr>
                <w:rFonts w:ascii="Arial Narrow" w:hAnsi="Arial Narrow"/>
                <w:color w:val="000000"/>
                <w:sz w:val="20"/>
                <w:szCs w:val="18"/>
              </w:rPr>
            </w:pPr>
            <w:proofErr w:type="spellStart"/>
            <w:r w:rsidRPr="00690D7C">
              <w:rPr>
                <w:rFonts w:ascii="Arial Narrow" w:hAnsi="Arial Narrow"/>
                <w:color w:val="000000"/>
                <w:sz w:val="20"/>
                <w:szCs w:val="18"/>
              </w:rPr>
              <w:t>Larochelle</w:t>
            </w:r>
            <w:proofErr w:type="spellEnd"/>
            <w:r w:rsidRPr="00690D7C">
              <w:rPr>
                <w:rFonts w:ascii="Arial Narrow" w:hAnsi="Arial Narrow"/>
                <w:color w:val="000000"/>
                <w:sz w:val="20"/>
                <w:szCs w:val="18"/>
              </w:rPr>
              <w:t xml:space="preserve"> 2012, </w:t>
            </w:r>
            <w:proofErr w:type="spellStart"/>
            <w:r w:rsidRPr="00690D7C">
              <w:rPr>
                <w:rFonts w:ascii="Arial Narrow" w:hAnsi="Arial Narrow"/>
                <w:color w:val="000000"/>
                <w:sz w:val="20"/>
                <w:szCs w:val="18"/>
              </w:rPr>
              <w:t>nitisinone</w:t>
            </w:r>
            <w:proofErr w:type="spellEnd"/>
          </w:p>
        </w:tc>
        <w:tc>
          <w:tcPr>
            <w:tcW w:w="3654" w:type="dxa"/>
            <w:gridSpan w:val="6"/>
            <w:vAlign w:val="center"/>
          </w:tcPr>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7/50 (14%)</w:t>
            </w:r>
          </w:p>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Mean of 9.6 years follow-up</w:t>
            </w:r>
          </w:p>
        </w:tc>
        <w:tc>
          <w:tcPr>
            <w:tcW w:w="1273" w:type="dxa"/>
            <w:gridSpan w:val="2"/>
            <w:vAlign w:val="center"/>
          </w:tcPr>
          <w:p w:rsidR="000A3C7D" w:rsidRPr="00690D7C" w:rsidRDefault="000A3C7D" w:rsidP="00690D7C">
            <w:pPr>
              <w:keepNext/>
              <w:jc w:val="left"/>
              <w:rPr>
                <w:rFonts w:ascii="Arial Narrow" w:hAnsi="Arial Narrow"/>
                <w:color w:val="000000"/>
                <w:sz w:val="20"/>
                <w:szCs w:val="18"/>
              </w:rPr>
            </w:pPr>
            <w:proofErr w:type="spellStart"/>
            <w:r w:rsidRPr="00690D7C">
              <w:rPr>
                <w:rFonts w:ascii="Arial Narrow" w:hAnsi="Arial Narrow"/>
                <w:color w:val="000000"/>
                <w:sz w:val="20"/>
                <w:szCs w:val="18"/>
              </w:rPr>
              <w:t>Larochelle</w:t>
            </w:r>
            <w:proofErr w:type="spellEnd"/>
            <w:r w:rsidRPr="00690D7C">
              <w:rPr>
                <w:rFonts w:ascii="Arial Narrow" w:hAnsi="Arial Narrow"/>
                <w:color w:val="000000"/>
                <w:sz w:val="20"/>
                <w:szCs w:val="18"/>
              </w:rPr>
              <w:t xml:space="preserve"> 2012, controls</w:t>
            </w:r>
          </w:p>
        </w:tc>
        <w:tc>
          <w:tcPr>
            <w:tcW w:w="1971" w:type="dxa"/>
            <w:gridSpan w:val="6"/>
            <w:vAlign w:val="center"/>
          </w:tcPr>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28/28 (100%)</w:t>
            </w:r>
          </w:p>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Mean of 2.3 years follow-up</w:t>
            </w:r>
          </w:p>
        </w:tc>
      </w:tr>
      <w:tr w:rsidR="000A3C7D" w:rsidRPr="00E37ACD" w:rsidTr="00690D7C">
        <w:tc>
          <w:tcPr>
            <w:tcW w:w="2090" w:type="dxa"/>
            <w:gridSpan w:val="2"/>
            <w:tcBorders>
              <w:right w:val="nil"/>
            </w:tcBorders>
            <w:vAlign w:val="center"/>
          </w:tcPr>
          <w:p w:rsidR="000A3C7D" w:rsidRPr="00690D7C" w:rsidRDefault="000A3C7D" w:rsidP="00690D7C">
            <w:pPr>
              <w:keepNext/>
              <w:jc w:val="left"/>
              <w:rPr>
                <w:rFonts w:ascii="Arial Narrow" w:hAnsi="Arial Narrow"/>
                <w:b/>
                <w:color w:val="000000"/>
                <w:sz w:val="20"/>
                <w:szCs w:val="18"/>
              </w:rPr>
            </w:pPr>
            <w:r w:rsidRPr="00690D7C">
              <w:rPr>
                <w:rFonts w:ascii="Arial Narrow" w:hAnsi="Arial Narrow"/>
                <w:b/>
                <w:color w:val="000000"/>
                <w:sz w:val="20"/>
                <w:szCs w:val="18"/>
              </w:rPr>
              <w:t>Visual disorders</w:t>
            </w:r>
          </w:p>
        </w:tc>
        <w:tc>
          <w:tcPr>
            <w:tcW w:w="2091" w:type="dxa"/>
            <w:gridSpan w:val="3"/>
            <w:tcBorders>
              <w:left w:val="nil"/>
              <w:right w:val="nil"/>
            </w:tcBorders>
            <w:vAlign w:val="center"/>
          </w:tcPr>
          <w:p w:rsidR="000A3C7D" w:rsidRPr="00690D7C" w:rsidRDefault="000A3C7D" w:rsidP="00690D7C">
            <w:pPr>
              <w:keepNext/>
              <w:jc w:val="left"/>
              <w:rPr>
                <w:rFonts w:ascii="Arial Narrow" w:hAnsi="Arial Narrow"/>
                <w:b/>
                <w:color w:val="000000"/>
                <w:sz w:val="20"/>
                <w:szCs w:val="18"/>
              </w:rPr>
            </w:pPr>
          </w:p>
        </w:tc>
        <w:tc>
          <w:tcPr>
            <w:tcW w:w="2091" w:type="dxa"/>
            <w:gridSpan w:val="3"/>
            <w:tcBorders>
              <w:left w:val="nil"/>
              <w:right w:val="nil"/>
            </w:tcBorders>
            <w:vAlign w:val="center"/>
          </w:tcPr>
          <w:p w:rsidR="000A3C7D" w:rsidRPr="00690D7C" w:rsidRDefault="000A3C7D" w:rsidP="00690D7C">
            <w:pPr>
              <w:keepNext/>
              <w:jc w:val="left"/>
              <w:rPr>
                <w:rFonts w:ascii="Arial Narrow" w:hAnsi="Arial Narrow"/>
                <w:b/>
                <w:color w:val="000000"/>
                <w:sz w:val="20"/>
                <w:szCs w:val="18"/>
              </w:rPr>
            </w:pPr>
          </w:p>
        </w:tc>
        <w:tc>
          <w:tcPr>
            <w:tcW w:w="2091" w:type="dxa"/>
            <w:gridSpan w:val="7"/>
            <w:tcBorders>
              <w:left w:val="nil"/>
            </w:tcBorders>
            <w:vAlign w:val="center"/>
          </w:tcPr>
          <w:p w:rsidR="000A3C7D" w:rsidRPr="00690D7C" w:rsidRDefault="000A3C7D" w:rsidP="00690D7C">
            <w:pPr>
              <w:keepNext/>
              <w:jc w:val="left"/>
              <w:rPr>
                <w:rFonts w:ascii="Arial Narrow" w:hAnsi="Arial Narrow"/>
                <w:b/>
                <w:color w:val="000000"/>
                <w:sz w:val="20"/>
                <w:szCs w:val="18"/>
              </w:rPr>
            </w:pPr>
          </w:p>
        </w:tc>
      </w:tr>
      <w:tr w:rsidR="000A3C7D" w:rsidRPr="00E37ACD" w:rsidTr="00690D7C">
        <w:tc>
          <w:tcPr>
            <w:tcW w:w="1465" w:type="dxa"/>
            <w:vAlign w:val="center"/>
          </w:tcPr>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NTBC study</w:t>
            </w:r>
          </w:p>
        </w:tc>
        <w:tc>
          <w:tcPr>
            <w:tcW w:w="3654" w:type="dxa"/>
            <w:gridSpan w:val="6"/>
            <w:vAlign w:val="center"/>
          </w:tcPr>
          <w:p w:rsidR="000A3C7D" w:rsidRPr="00637BCD" w:rsidRDefault="00637BCD" w:rsidP="00690D7C">
            <w:pPr>
              <w:keepNext/>
              <w:jc w:val="left"/>
              <w:rPr>
                <w:rFonts w:ascii="Arial Narrow" w:hAnsi="Arial Narrow"/>
                <w:color w:val="000000"/>
                <w:sz w:val="20"/>
                <w:szCs w:val="18"/>
                <w:highlight w:val="black"/>
              </w:rPr>
            </w:pPr>
            <w:r>
              <w:rPr>
                <w:rFonts w:ascii="Arial Narrow" w:hAnsi="Arial Narrow"/>
                <w:noProof/>
                <w:color w:val="000000"/>
                <w:sz w:val="20"/>
                <w:szCs w:val="18"/>
                <w:highlight w:val="black"/>
              </w:rPr>
              <w:t>'''''''''''''''' ''''''''''''''''</w:t>
            </w:r>
          </w:p>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Median follow-up: between 2 and 4 years</w:t>
            </w:r>
          </w:p>
        </w:tc>
        <w:tc>
          <w:tcPr>
            <w:tcW w:w="2961" w:type="dxa"/>
            <w:gridSpan w:val="7"/>
            <w:tcBorders>
              <w:right w:val="nil"/>
            </w:tcBorders>
            <w:vAlign w:val="center"/>
          </w:tcPr>
          <w:p w:rsidR="000A3C7D" w:rsidRPr="00690D7C" w:rsidRDefault="000A3C7D" w:rsidP="00690D7C">
            <w:pPr>
              <w:keepNext/>
              <w:jc w:val="center"/>
              <w:rPr>
                <w:rFonts w:ascii="Arial Narrow" w:hAnsi="Arial Narrow"/>
                <w:color w:val="000000"/>
                <w:sz w:val="20"/>
                <w:szCs w:val="18"/>
              </w:rPr>
            </w:pPr>
            <w:r w:rsidRPr="00690D7C">
              <w:rPr>
                <w:rFonts w:ascii="Arial Narrow" w:hAnsi="Arial Narrow"/>
                <w:color w:val="000000"/>
                <w:sz w:val="20"/>
                <w:szCs w:val="18"/>
              </w:rPr>
              <w:t>Not reported</w:t>
            </w:r>
          </w:p>
        </w:tc>
        <w:tc>
          <w:tcPr>
            <w:tcW w:w="283" w:type="dxa"/>
            <w:tcBorders>
              <w:left w:val="nil"/>
            </w:tcBorders>
            <w:vAlign w:val="center"/>
          </w:tcPr>
          <w:p w:rsidR="000A3C7D" w:rsidRPr="00690D7C" w:rsidRDefault="000A3C7D" w:rsidP="00690D7C">
            <w:pPr>
              <w:keepNext/>
              <w:jc w:val="center"/>
              <w:rPr>
                <w:rFonts w:ascii="Arial Narrow" w:hAnsi="Arial Narrow"/>
                <w:color w:val="000000"/>
                <w:sz w:val="20"/>
                <w:szCs w:val="18"/>
              </w:rPr>
            </w:pPr>
          </w:p>
        </w:tc>
      </w:tr>
      <w:tr w:rsidR="000A3C7D" w:rsidRPr="00E37ACD" w:rsidTr="00690D7C">
        <w:tc>
          <w:tcPr>
            <w:tcW w:w="7229" w:type="dxa"/>
            <w:gridSpan w:val="11"/>
            <w:tcBorders>
              <w:right w:val="nil"/>
            </w:tcBorders>
            <w:vAlign w:val="center"/>
          </w:tcPr>
          <w:p w:rsidR="000A3C7D" w:rsidRPr="00690D7C" w:rsidRDefault="000A3C7D" w:rsidP="00690D7C">
            <w:pPr>
              <w:keepNext/>
              <w:jc w:val="left"/>
              <w:rPr>
                <w:rFonts w:ascii="Arial Narrow" w:hAnsi="Arial Narrow"/>
                <w:b/>
                <w:color w:val="000000"/>
                <w:sz w:val="20"/>
                <w:szCs w:val="18"/>
              </w:rPr>
            </w:pPr>
            <w:r w:rsidRPr="00690D7C">
              <w:rPr>
                <w:rFonts w:ascii="Arial Narrow" w:hAnsi="Arial Narrow"/>
                <w:b/>
                <w:color w:val="000000"/>
                <w:sz w:val="20"/>
                <w:szCs w:val="18"/>
              </w:rPr>
              <w:t>Cognitive disorders (memory and concentration difficulties, and slowness)</w:t>
            </w:r>
          </w:p>
        </w:tc>
        <w:tc>
          <w:tcPr>
            <w:tcW w:w="284" w:type="dxa"/>
            <w:tcBorders>
              <w:left w:val="nil"/>
              <w:right w:val="nil"/>
            </w:tcBorders>
            <w:vAlign w:val="center"/>
          </w:tcPr>
          <w:p w:rsidR="000A3C7D" w:rsidRPr="00690D7C" w:rsidRDefault="000A3C7D" w:rsidP="00690D7C">
            <w:pPr>
              <w:keepNext/>
              <w:jc w:val="left"/>
              <w:rPr>
                <w:rFonts w:ascii="Arial Narrow" w:hAnsi="Arial Narrow"/>
                <w:b/>
                <w:color w:val="000000"/>
                <w:sz w:val="20"/>
                <w:szCs w:val="18"/>
              </w:rPr>
            </w:pPr>
          </w:p>
        </w:tc>
        <w:tc>
          <w:tcPr>
            <w:tcW w:w="283" w:type="dxa"/>
            <w:tcBorders>
              <w:left w:val="nil"/>
              <w:right w:val="nil"/>
            </w:tcBorders>
            <w:vAlign w:val="center"/>
          </w:tcPr>
          <w:p w:rsidR="000A3C7D" w:rsidRPr="00690D7C" w:rsidRDefault="000A3C7D" w:rsidP="00690D7C">
            <w:pPr>
              <w:keepNext/>
              <w:jc w:val="left"/>
              <w:rPr>
                <w:rFonts w:ascii="Arial Narrow" w:hAnsi="Arial Narrow"/>
                <w:b/>
                <w:color w:val="000000"/>
                <w:sz w:val="20"/>
                <w:szCs w:val="18"/>
              </w:rPr>
            </w:pPr>
          </w:p>
        </w:tc>
        <w:tc>
          <w:tcPr>
            <w:tcW w:w="567" w:type="dxa"/>
            <w:gridSpan w:val="2"/>
            <w:tcBorders>
              <w:left w:val="nil"/>
            </w:tcBorders>
            <w:vAlign w:val="center"/>
          </w:tcPr>
          <w:p w:rsidR="000A3C7D" w:rsidRPr="00690D7C" w:rsidRDefault="000A3C7D" w:rsidP="00690D7C">
            <w:pPr>
              <w:keepNext/>
              <w:jc w:val="left"/>
              <w:rPr>
                <w:rFonts w:ascii="Arial Narrow" w:hAnsi="Arial Narrow"/>
                <w:b/>
                <w:color w:val="000000"/>
                <w:sz w:val="20"/>
                <w:szCs w:val="18"/>
              </w:rPr>
            </w:pPr>
          </w:p>
        </w:tc>
      </w:tr>
      <w:tr w:rsidR="000A3C7D" w:rsidRPr="00E37ACD" w:rsidTr="00690D7C">
        <w:tc>
          <w:tcPr>
            <w:tcW w:w="1465" w:type="dxa"/>
            <w:vAlign w:val="center"/>
          </w:tcPr>
          <w:p w:rsidR="000A3C7D" w:rsidRPr="00690D7C" w:rsidRDefault="000A3C7D" w:rsidP="00690D7C">
            <w:pPr>
              <w:keepNext/>
              <w:jc w:val="left"/>
              <w:rPr>
                <w:rFonts w:ascii="Arial Narrow" w:hAnsi="Arial Narrow"/>
                <w:color w:val="000000"/>
                <w:sz w:val="20"/>
                <w:szCs w:val="18"/>
              </w:rPr>
            </w:pPr>
            <w:proofErr w:type="spellStart"/>
            <w:r w:rsidRPr="00690D7C">
              <w:rPr>
                <w:rFonts w:ascii="Arial Narrow" w:hAnsi="Arial Narrow"/>
                <w:color w:val="000000"/>
                <w:sz w:val="20"/>
                <w:szCs w:val="18"/>
              </w:rPr>
              <w:t>Masurel-Paulet</w:t>
            </w:r>
            <w:proofErr w:type="spellEnd"/>
            <w:r w:rsidRPr="00690D7C">
              <w:rPr>
                <w:rFonts w:ascii="Arial Narrow" w:hAnsi="Arial Narrow"/>
                <w:color w:val="000000"/>
                <w:sz w:val="20"/>
                <w:szCs w:val="18"/>
              </w:rPr>
              <w:t xml:space="preserve"> 2008</w:t>
            </w:r>
          </w:p>
        </w:tc>
        <w:tc>
          <w:tcPr>
            <w:tcW w:w="3654" w:type="dxa"/>
            <w:gridSpan w:val="6"/>
            <w:vAlign w:val="center"/>
          </w:tcPr>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6/23 (26%)</w:t>
            </w:r>
          </w:p>
          <w:p w:rsidR="000A3C7D" w:rsidRPr="00690D7C" w:rsidRDefault="000A3C7D" w:rsidP="00690D7C">
            <w:pPr>
              <w:keepNext/>
              <w:jc w:val="left"/>
              <w:rPr>
                <w:rFonts w:ascii="Arial Narrow" w:hAnsi="Arial Narrow"/>
                <w:color w:val="000000"/>
                <w:sz w:val="20"/>
                <w:szCs w:val="18"/>
              </w:rPr>
            </w:pPr>
            <w:r w:rsidRPr="00690D7C">
              <w:rPr>
                <w:rFonts w:ascii="Arial Narrow" w:hAnsi="Arial Narrow"/>
                <w:color w:val="000000"/>
                <w:sz w:val="20"/>
                <w:szCs w:val="18"/>
              </w:rPr>
              <w:t>Mean of 4.75 years follow-up</w:t>
            </w:r>
          </w:p>
        </w:tc>
        <w:tc>
          <w:tcPr>
            <w:tcW w:w="2961" w:type="dxa"/>
            <w:gridSpan w:val="7"/>
            <w:tcBorders>
              <w:right w:val="nil"/>
            </w:tcBorders>
            <w:vAlign w:val="center"/>
          </w:tcPr>
          <w:p w:rsidR="000A3C7D" w:rsidRPr="00690D7C" w:rsidRDefault="000A3C7D" w:rsidP="00690D7C">
            <w:pPr>
              <w:keepNext/>
              <w:jc w:val="center"/>
              <w:rPr>
                <w:rFonts w:ascii="Arial Narrow" w:hAnsi="Arial Narrow"/>
                <w:color w:val="000000"/>
                <w:sz w:val="20"/>
                <w:szCs w:val="18"/>
              </w:rPr>
            </w:pPr>
            <w:r w:rsidRPr="00690D7C">
              <w:rPr>
                <w:rFonts w:ascii="Arial Narrow" w:hAnsi="Arial Narrow"/>
                <w:color w:val="000000"/>
                <w:sz w:val="20"/>
                <w:szCs w:val="18"/>
              </w:rPr>
              <w:t>Not reported</w:t>
            </w:r>
          </w:p>
        </w:tc>
        <w:tc>
          <w:tcPr>
            <w:tcW w:w="283" w:type="dxa"/>
            <w:tcBorders>
              <w:left w:val="nil"/>
            </w:tcBorders>
            <w:vAlign w:val="center"/>
          </w:tcPr>
          <w:p w:rsidR="000A3C7D" w:rsidRPr="00690D7C" w:rsidRDefault="000A3C7D" w:rsidP="00690D7C">
            <w:pPr>
              <w:keepNext/>
              <w:jc w:val="center"/>
              <w:rPr>
                <w:rFonts w:ascii="Arial Narrow" w:hAnsi="Arial Narrow"/>
                <w:color w:val="000000"/>
                <w:sz w:val="20"/>
                <w:szCs w:val="18"/>
              </w:rPr>
            </w:pPr>
          </w:p>
        </w:tc>
      </w:tr>
    </w:tbl>
    <w:p w:rsidR="000A3C7D" w:rsidRPr="00E37ACD" w:rsidRDefault="000A3C7D" w:rsidP="00942872">
      <w:pPr>
        <w:pStyle w:val="TableFooter"/>
        <w:keepNext/>
        <w:ind w:firstLine="720"/>
      </w:pPr>
      <w:r w:rsidRPr="00E37ACD">
        <w:t>Abbreviations: CI = confidence interval</w:t>
      </w:r>
    </w:p>
    <w:p w:rsidR="000A3C7D" w:rsidRPr="00E37ACD" w:rsidRDefault="000A3C7D" w:rsidP="005D044D">
      <w:pPr>
        <w:pStyle w:val="TableFooter"/>
        <w:ind w:firstLine="720"/>
      </w:pPr>
      <w:r w:rsidRPr="00E37ACD">
        <w:t>Source: Compiled during the evaluation</w:t>
      </w:r>
    </w:p>
    <w:p w:rsidR="000A3C7D" w:rsidRPr="00E37ACD" w:rsidRDefault="000A3C7D" w:rsidP="00B62715"/>
    <w:p w:rsidR="000A3C7D" w:rsidRPr="00E37ACD" w:rsidRDefault="000A3C7D" w:rsidP="00F31E6E">
      <w:pPr>
        <w:pStyle w:val="ListParagraph"/>
        <w:widowControl/>
        <w:numPr>
          <w:ilvl w:val="1"/>
          <w:numId w:val="3"/>
        </w:numPr>
        <w:rPr>
          <w:szCs w:val="22"/>
        </w:rPr>
      </w:pPr>
      <w:r w:rsidRPr="00E37ACD">
        <w:t xml:space="preserve">An estimate of the incremental benefit based on the clinical studies was not presented in the submission. As it is unknown if the patient populations enrolled in the </w:t>
      </w:r>
      <w:proofErr w:type="spellStart"/>
      <w:r w:rsidRPr="00E37ACD">
        <w:t>nitisinone</w:t>
      </w:r>
      <w:proofErr w:type="spellEnd"/>
      <w:r w:rsidRPr="00E37ACD">
        <w:t xml:space="preserve"> and diet alone studies are similar, an estimate of the incremental benefit is also not presented</w:t>
      </w:r>
      <w:r>
        <w:t xml:space="preserve"> here.</w:t>
      </w:r>
    </w:p>
    <w:p w:rsidR="000A3C7D" w:rsidRPr="00E37ACD" w:rsidRDefault="000A3C7D" w:rsidP="005F6928">
      <w:pPr>
        <w:pStyle w:val="ListParagraph"/>
        <w:widowControl/>
        <w:rPr>
          <w:szCs w:val="22"/>
        </w:rPr>
      </w:pPr>
    </w:p>
    <w:p w:rsidR="000A3C7D" w:rsidRPr="00E37ACD" w:rsidRDefault="000A3C7D" w:rsidP="00F31E6E">
      <w:pPr>
        <w:pStyle w:val="ListParagraph"/>
        <w:widowControl/>
        <w:numPr>
          <w:ilvl w:val="1"/>
          <w:numId w:val="3"/>
        </w:numPr>
        <w:rPr>
          <w:szCs w:val="22"/>
        </w:rPr>
      </w:pPr>
      <w:r w:rsidRPr="00E37ACD">
        <w:t xml:space="preserve">On the basis of one single-arm study presented by the submission (NTBC study), for every 100 patients treated with </w:t>
      </w:r>
      <w:proofErr w:type="spellStart"/>
      <w:r w:rsidRPr="00E37ACD">
        <w:t>nitisinone</w:t>
      </w:r>
      <w:proofErr w:type="spellEnd"/>
      <w:r w:rsidRPr="00E37ACD">
        <w:t>:</w:t>
      </w:r>
    </w:p>
    <w:p w:rsidR="000A3C7D" w:rsidRPr="00E37ACD" w:rsidRDefault="000A3C7D" w:rsidP="00F31E6E">
      <w:pPr>
        <w:pStyle w:val="ListParagraph"/>
        <w:widowControl/>
        <w:numPr>
          <w:ilvl w:val="0"/>
          <w:numId w:val="2"/>
        </w:numPr>
        <w:ind w:left="993" w:hanging="284"/>
      </w:pPr>
      <w:r w:rsidRPr="00E37ACD">
        <w:lastRenderedPageBreak/>
        <w:t xml:space="preserve">Approximately 94 are alive after 2 years of treatment regardless of age of commencing </w:t>
      </w:r>
      <w:proofErr w:type="spellStart"/>
      <w:r w:rsidRPr="00E37ACD">
        <w:t>nitisinone</w:t>
      </w:r>
      <w:proofErr w:type="spellEnd"/>
      <w:r w:rsidRPr="00E37ACD">
        <w:t xml:space="preserve"> treatment, and with approximately two-thirds of patients having developed clinical symptoms of HT-1 before 6 months of age.</w:t>
      </w:r>
    </w:p>
    <w:p w:rsidR="000A3C7D" w:rsidRPr="00E37ACD" w:rsidRDefault="000A3C7D" w:rsidP="00B60939">
      <w:pPr>
        <w:pStyle w:val="ListParagraph"/>
        <w:rPr>
          <w:szCs w:val="22"/>
        </w:rPr>
      </w:pPr>
    </w:p>
    <w:p w:rsidR="000A3C7D" w:rsidRPr="00E37ACD" w:rsidRDefault="000A3C7D" w:rsidP="00F31E6E">
      <w:pPr>
        <w:pStyle w:val="ListParagraph"/>
        <w:widowControl/>
        <w:numPr>
          <w:ilvl w:val="1"/>
          <w:numId w:val="3"/>
        </w:numPr>
      </w:pPr>
      <w:r w:rsidRPr="00E37ACD">
        <w:t xml:space="preserve">On the basis of a second single-arm study presented by the submission (van </w:t>
      </w:r>
      <w:proofErr w:type="spellStart"/>
      <w:r w:rsidRPr="00E37ACD">
        <w:t>Spronsen</w:t>
      </w:r>
      <w:proofErr w:type="spellEnd"/>
      <w:r w:rsidRPr="00E37ACD">
        <w:t xml:space="preserve"> 1994), for every 100 patients </w:t>
      </w:r>
      <w:r w:rsidRPr="00E37ACD">
        <w:rPr>
          <w:u w:val="single"/>
        </w:rPr>
        <w:t>not</w:t>
      </w:r>
      <w:r w:rsidRPr="00E37ACD">
        <w:t xml:space="preserve"> treated with </w:t>
      </w:r>
      <w:proofErr w:type="spellStart"/>
      <w:r w:rsidRPr="00E37ACD">
        <w:t>nitisinone</w:t>
      </w:r>
      <w:proofErr w:type="spellEnd"/>
      <w:r w:rsidRPr="00E37ACD">
        <w:t>:</w:t>
      </w:r>
    </w:p>
    <w:p w:rsidR="000A3C7D" w:rsidRPr="00E37ACD" w:rsidRDefault="000A3C7D" w:rsidP="00F31E6E">
      <w:pPr>
        <w:pStyle w:val="ListParagraph"/>
        <w:widowControl/>
        <w:numPr>
          <w:ilvl w:val="0"/>
          <w:numId w:val="2"/>
        </w:numPr>
        <w:ind w:left="993" w:hanging="284"/>
      </w:pPr>
      <w:r w:rsidRPr="00E37ACD">
        <w:t>Approximately 29 are alive after 2 years if clinical symptoms of HT-1 developed before 2 months of age;</w:t>
      </w:r>
    </w:p>
    <w:p w:rsidR="000A3C7D" w:rsidRPr="00E37ACD" w:rsidRDefault="000A3C7D" w:rsidP="00F31E6E">
      <w:pPr>
        <w:pStyle w:val="ListParagraph"/>
        <w:widowControl/>
        <w:numPr>
          <w:ilvl w:val="0"/>
          <w:numId w:val="2"/>
        </w:numPr>
        <w:ind w:left="993" w:hanging="284"/>
      </w:pPr>
      <w:r w:rsidRPr="00E37ACD">
        <w:t>Approximately 74 are alive after 2 years if clinical symptoms of HT-1 developed between 2 and 6 months of age; and</w:t>
      </w:r>
    </w:p>
    <w:p w:rsidR="000A3C7D" w:rsidRPr="00E37ACD" w:rsidRDefault="000A3C7D" w:rsidP="00F31E6E">
      <w:pPr>
        <w:pStyle w:val="ListParagraph"/>
        <w:widowControl/>
        <w:numPr>
          <w:ilvl w:val="0"/>
          <w:numId w:val="2"/>
        </w:numPr>
        <w:ind w:left="993" w:hanging="284"/>
      </w:pPr>
      <w:r w:rsidRPr="00E37ACD">
        <w:t>Approximately 96 are alive after 2 years if clinical symptoms of HT-1 developed after 6 months of age.</w:t>
      </w:r>
    </w:p>
    <w:p w:rsidR="000A3C7D" w:rsidRPr="00E37ACD" w:rsidRDefault="000A3C7D" w:rsidP="00B60939">
      <w:pPr>
        <w:pStyle w:val="ListParagraph"/>
        <w:rPr>
          <w:szCs w:val="22"/>
        </w:rPr>
      </w:pPr>
    </w:p>
    <w:p w:rsidR="000A3C7D" w:rsidRPr="00E37ACD" w:rsidRDefault="006665F3" w:rsidP="00F31E6E">
      <w:pPr>
        <w:pStyle w:val="ListParagraph"/>
        <w:widowControl/>
        <w:numPr>
          <w:ilvl w:val="1"/>
          <w:numId w:val="3"/>
        </w:numPr>
      </w:pPr>
      <w:r>
        <w:t>On the basis of the</w:t>
      </w:r>
      <w:r w:rsidR="000A3C7D" w:rsidRPr="00E37ACD">
        <w:t xml:space="preserve"> third study</w:t>
      </w:r>
      <w:r>
        <w:t xml:space="preserve">, </w:t>
      </w:r>
      <w:r w:rsidR="000A3C7D" w:rsidRPr="00E37ACD">
        <w:t>conducted in Quebec, Canada (</w:t>
      </w:r>
      <w:proofErr w:type="spellStart"/>
      <w:r w:rsidR="000A3C7D" w:rsidRPr="00E37ACD">
        <w:t>Larochelle</w:t>
      </w:r>
      <w:proofErr w:type="spellEnd"/>
      <w:r w:rsidR="000A3C7D" w:rsidRPr="00E37ACD">
        <w:t xml:space="preserve"> 2012), and </w:t>
      </w:r>
      <w:r>
        <w:t xml:space="preserve">where </w:t>
      </w:r>
      <w:r w:rsidR="000A3C7D" w:rsidRPr="00E37ACD">
        <w:t>patients with HT-1 were identified through newborn screening:</w:t>
      </w:r>
    </w:p>
    <w:p w:rsidR="000A3C7D" w:rsidRPr="00E37ACD" w:rsidRDefault="000A3C7D" w:rsidP="00F31E6E">
      <w:pPr>
        <w:pStyle w:val="ListParagraph"/>
        <w:widowControl/>
        <w:numPr>
          <w:ilvl w:val="0"/>
          <w:numId w:val="1"/>
        </w:numPr>
        <w:ind w:left="993"/>
      </w:pPr>
      <w:r w:rsidRPr="00E37ACD">
        <w:t xml:space="preserve">For every 100 patients treated with </w:t>
      </w:r>
      <w:proofErr w:type="spellStart"/>
      <w:r w:rsidRPr="00E37ACD">
        <w:t>nitisinone</w:t>
      </w:r>
      <w:proofErr w:type="spellEnd"/>
      <w:r w:rsidRPr="00E37ACD">
        <w:t xml:space="preserve">, 96 are alive after an average of 9.6 years of treatment. Of the 96 </w:t>
      </w:r>
      <w:r w:rsidRPr="00E37ACD">
        <w:rPr>
          <w:i/>
        </w:rPr>
        <w:t>surviving</w:t>
      </w:r>
      <w:r w:rsidRPr="00E37ACD">
        <w:t xml:space="preserve"> patients, 14 would have had a liver transplant.</w:t>
      </w:r>
    </w:p>
    <w:p w:rsidR="000A3C7D" w:rsidRPr="00E37ACD" w:rsidRDefault="000A3C7D" w:rsidP="00F31E6E">
      <w:pPr>
        <w:pStyle w:val="ListParagraph"/>
        <w:widowControl/>
        <w:numPr>
          <w:ilvl w:val="0"/>
          <w:numId w:val="1"/>
        </w:numPr>
        <w:ind w:left="993"/>
      </w:pPr>
      <w:r w:rsidRPr="00E37ACD">
        <w:t xml:space="preserve">For every 100 patients treated in Quebec before </w:t>
      </w:r>
      <w:proofErr w:type="spellStart"/>
      <w:r w:rsidRPr="00E37ACD">
        <w:t>nitisinone</w:t>
      </w:r>
      <w:proofErr w:type="spellEnd"/>
      <w:r w:rsidRPr="00E37ACD">
        <w:t xml:space="preserve"> was available, 64 are alive </w:t>
      </w:r>
      <w:r>
        <w:t>an average of 2.3 years following liver transplant. A further 7 patients died following liver transplantation.</w:t>
      </w:r>
    </w:p>
    <w:p w:rsidR="000A3C7D" w:rsidRPr="00E37ACD" w:rsidRDefault="000A3C7D" w:rsidP="00FC1884"/>
    <w:p w:rsidR="000A3C7D" w:rsidRPr="00E37ACD" w:rsidRDefault="000A3C7D" w:rsidP="00F31E6E">
      <w:pPr>
        <w:pStyle w:val="ListParagraph"/>
        <w:widowControl/>
        <w:numPr>
          <w:ilvl w:val="1"/>
          <w:numId w:val="3"/>
        </w:numPr>
      </w:pPr>
      <w:r w:rsidRPr="00E37ACD">
        <w:t xml:space="preserve">On the basis of one single-arm study presented in the submission (NTBC study), for every 100 patients treated with </w:t>
      </w:r>
      <w:proofErr w:type="spellStart"/>
      <w:r w:rsidRPr="00E37ACD">
        <w:t>nitisinone</w:t>
      </w:r>
      <w:proofErr w:type="spellEnd"/>
      <w:r w:rsidRPr="00E37ACD">
        <w:t>:</w:t>
      </w:r>
    </w:p>
    <w:p w:rsidR="000A3C7D" w:rsidRPr="00E37ACD" w:rsidRDefault="000A3C7D" w:rsidP="00F31E6E">
      <w:pPr>
        <w:pStyle w:val="ListParagraph"/>
        <w:numPr>
          <w:ilvl w:val="0"/>
          <w:numId w:val="2"/>
        </w:numPr>
        <w:autoSpaceDE w:val="0"/>
        <w:autoSpaceDN w:val="0"/>
        <w:adjustRightInd w:val="0"/>
        <w:ind w:left="993" w:hanging="284"/>
        <w:rPr>
          <w:lang w:val="en-US"/>
        </w:rPr>
      </w:pPr>
      <w:r w:rsidRPr="00E37ACD">
        <w:rPr>
          <w:lang w:val="en-US"/>
        </w:rPr>
        <w:t xml:space="preserve">Approximately 10 will develop eye disorders such as </w:t>
      </w:r>
      <w:r w:rsidRPr="00E37ACD">
        <w:t>keratitis, corneal opacity, photophobia and conjunctivitis</w:t>
      </w:r>
      <w:r w:rsidRPr="00E37ACD">
        <w:rPr>
          <w:lang w:val="en-US"/>
        </w:rPr>
        <w:t>.</w:t>
      </w:r>
    </w:p>
    <w:p w:rsidR="000A3C7D" w:rsidRPr="00E37ACD" w:rsidRDefault="000A3C7D" w:rsidP="00F31E6E">
      <w:pPr>
        <w:pStyle w:val="ListParagraph"/>
        <w:numPr>
          <w:ilvl w:val="0"/>
          <w:numId w:val="2"/>
        </w:numPr>
        <w:autoSpaceDE w:val="0"/>
        <w:autoSpaceDN w:val="0"/>
        <w:adjustRightInd w:val="0"/>
        <w:ind w:left="993" w:hanging="284"/>
        <w:rPr>
          <w:lang w:val="en-US"/>
        </w:rPr>
      </w:pPr>
      <w:r w:rsidRPr="00E37ACD">
        <w:rPr>
          <w:lang w:val="en-US"/>
        </w:rPr>
        <w:t xml:space="preserve">The number of patients with HT-1 not treated with </w:t>
      </w:r>
      <w:proofErr w:type="spellStart"/>
      <w:r w:rsidRPr="00E37ACD">
        <w:rPr>
          <w:lang w:val="en-US"/>
        </w:rPr>
        <w:t>nitisinone</w:t>
      </w:r>
      <w:proofErr w:type="spellEnd"/>
      <w:r w:rsidRPr="00E37ACD">
        <w:rPr>
          <w:lang w:val="en-US"/>
        </w:rPr>
        <w:t xml:space="preserve"> that will develop ey</w:t>
      </w:r>
      <w:r>
        <w:rPr>
          <w:lang w:val="en-US"/>
        </w:rPr>
        <w:t>e disorders is unknown.</w:t>
      </w:r>
    </w:p>
    <w:p w:rsidR="000A3C7D" w:rsidRPr="00E37ACD" w:rsidRDefault="000A3C7D" w:rsidP="00FC1884"/>
    <w:p w:rsidR="000A3C7D" w:rsidRPr="00E37ACD" w:rsidRDefault="000A3C7D" w:rsidP="00F31E6E">
      <w:pPr>
        <w:pStyle w:val="ListParagraph"/>
        <w:widowControl/>
        <w:numPr>
          <w:ilvl w:val="1"/>
          <w:numId w:val="3"/>
        </w:numPr>
      </w:pPr>
      <w:r w:rsidRPr="00E37ACD">
        <w:t>Developmental and cognitive disorders have been reported in the post</w:t>
      </w:r>
      <w:r>
        <w:noBreakHyphen/>
      </w:r>
      <w:r w:rsidRPr="00E37ACD">
        <w:t xml:space="preserve">marketing setting in patients treated with </w:t>
      </w:r>
      <w:proofErr w:type="spellStart"/>
      <w:r w:rsidRPr="00E37ACD">
        <w:t>nitisinone</w:t>
      </w:r>
      <w:proofErr w:type="spellEnd"/>
      <w:r w:rsidRPr="00E37ACD">
        <w:t>.</w:t>
      </w:r>
    </w:p>
    <w:p w:rsidR="000A3C7D" w:rsidRPr="00E37ACD" w:rsidRDefault="000A3C7D" w:rsidP="002834C3"/>
    <w:p w:rsidR="000A3C7D" w:rsidRPr="00E37ACD" w:rsidRDefault="000A3C7D" w:rsidP="005F6928">
      <w:pPr>
        <w:pStyle w:val="ListParagraph"/>
        <w:ind w:left="709"/>
        <w:rPr>
          <w:i/>
          <w:szCs w:val="22"/>
        </w:rPr>
      </w:pPr>
      <w:r w:rsidRPr="00E37ACD">
        <w:rPr>
          <w:i/>
          <w:szCs w:val="22"/>
        </w:rPr>
        <w:t>For more detail on PBAC’s view, see section 7 “PBAC outcome”</w:t>
      </w:r>
    </w:p>
    <w:p w:rsidR="000A3C7D" w:rsidRPr="00E37ACD" w:rsidRDefault="000A3C7D" w:rsidP="002834C3"/>
    <w:p w:rsidR="000A3C7D" w:rsidRPr="00283DC5" w:rsidRDefault="000A3C7D" w:rsidP="00283DC5">
      <w:pPr>
        <w:rPr>
          <w:b/>
          <w:szCs w:val="22"/>
        </w:rPr>
      </w:pPr>
      <w:bookmarkStart w:id="11" w:name="_Toc398024519"/>
      <w:r w:rsidRPr="00283DC5">
        <w:rPr>
          <w:b/>
          <w:szCs w:val="22"/>
        </w:rPr>
        <w:t>Clinical claim</w:t>
      </w:r>
      <w:bookmarkEnd w:id="11"/>
    </w:p>
    <w:p w:rsidR="000A3C7D" w:rsidRPr="00E37ACD" w:rsidRDefault="000A3C7D" w:rsidP="00B60939">
      <w:pPr>
        <w:ind w:left="720" w:hanging="720"/>
        <w:rPr>
          <w:szCs w:val="22"/>
        </w:rPr>
      </w:pPr>
    </w:p>
    <w:p w:rsidR="000A3C7D" w:rsidRPr="00E37ACD" w:rsidRDefault="000A3C7D" w:rsidP="00F31E6E">
      <w:pPr>
        <w:pStyle w:val="ListParagraph"/>
        <w:widowControl/>
        <w:numPr>
          <w:ilvl w:val="1"/>
          <w:numId w:val="3"/>
        </w:numPr>
        <w:rPr>
          <w:szCs w:val="22"/>
        </w:rPr>
      </w:pPr>
      <w:r w:rsidRPr="00E37ACD">
        <w:rPr>
          <w:lang w:val="en-US"/>
        </w:rPr>
        <w:t xml:space="preserve">The submission described </w:t>
      </w:r>
      <w:proofErr w:type="spellStart"/>
      <w:r w:rsidRPr="00E37ACD">
        <w:rPr>
          <w:lang w:val="en-US"/>
        </w:rPr>
        <w:t>nitisinone</w:t>
      </w:r>
      <w:proofErr w:type="spellEnd"/>
      <w:r w:rsidRPr="00E37ACD">
        <w:rPr>
          <w:lang w:val="en-US"/>
        </w:rPr>
        <w:t xml:space="preserve"> plus diet therapy as superior in terms of comparative effectiveness and superior in terms of comparative safety over diet therapy alone. This claim is reasonable in terms of effectiveness, although is based on a comparison of non-</w:t>
      </w:r>
      <w:r w:rsidRPr="0061196A">
        <w:t>randomised</w:t>
      </w:r>
      <w:r w:rsidRPr="00E37ACD">
        <w:rPr>
          <w:lang w:val="en-US"/>
        </w:rPr>
        <w:t xml:space="preserve"> studies. This claim is not reasonable in terms of safety. </w:t>
      </w:r>
      <w:proofErr w:type="spellStart"/>
      <w:r w:rsidRPr="00E37ACD">
        <w:rPr>
          <w:lang w:val="en-US"/>
        </w:rPr>
        <w:t>Nitisinone</w:t>
      </w:r>
      <w:proofErr w:type="spellEnd"/>
      <w:r w:rsidRPr="00E37ACD">
        <w:rPr>
          <w:lang w:val="en-US"/>
        </w:rPr>
        <w:t xml:space="preserve"> treatment may result in eye disorders, </w:t>
      </w:r>
      <w:r w:rsidRPr="0061196A">
        <w:t>haematological</w:t>
      </w:r>
      <w:r w:rsidRPr="00E37ACD">
        <w:rPr>
          <w:lang w:val="en-US"/>
        </w:rPr>
        <w:t xml:space="preserve"> events and cognitive dysfunction. </w:t>
      </w:r>
    </w:p>
    <w:p w:rsidR="000A3C7D" w:rsidRPr="00E37ACD" w:rsidRDefault="000A3C7D" w:rsidP="000D3A0A">
      <w:pPr>
        <w:pStyle w:val="ListParagraph"/>
        <w:widowControl/>
        <w:rPr>
          <w:szCs w:val="22"/>
        </w:rPr>
      </w:pPr>
    </w:p>
    <w:p w:rsidR="000A3C7D" w:rsidRPr="008F6DEC" w:rsidRDefault="000A3C7D" w:rsidP="00F31E6E">
      <w:pPr>
        <w:pStyle w:val="ListParagraph"/>
        <w:widowControl/>
        <w:numPr>
          <w:ilvl w:val="1"/>
          <w:numId w:val="3"/>
        </w:numPr>
        <w:rPr>
          <w:szCs w:val="22"/>
        </w:rPr>
      </w:pPr>
      <w:r w:rsidRPr="00E37ACD">
        <w:rPr>
          <w:lang w:val="en-US"/>
        </w:rPr>
        <w:t>The PSCR argue</w:t>
      </w:r>
      <w:r>
        <w:rPr>
          <w:lang w:val="en-US"/>
        </w:rPr>
        <w:t>d</w:t>
      </w:r>
      <w:r w:rsidRPr="00E37ACD">
        <w:rPr>
          <w:lang w:val="en-US"/>
        </w:rPr>
        <w:t xml:space="preserve"> these adverse events are more likely due to non</w:t>
      </w:r>
      <w:r w:rsidRPr="00E37ACD">
        <w:rPr>
          <w:lang w:val="en-US"/>
        </w:rPr>
        <w:noBreakHyphen/>
        <w:t xml:space="preserve">adherence to diet therapy rather than treatment with </w:t>
      </w:r>
      <w:proofErr w:type="spellStart"/>
      <w:r w:rsidRPr="00E37ACD">
        <w:rPr>
          <w:lang w:val="en-US"/>
        </w:rPr>
        <w:t>nitisinone</w:t>
      </w:r>
      <w:proofErr w:type="spellEnd"/>
      <w:r w:rsidRPr="00E37ACD">
        <w:rPr>
          <w:lang w:val="en-US"/>
        </w:rPr>
        <w:t xml:space="preserve">. Accordingly, the PSCR claims that a non-inferior safety claim is an appropriate reflection of the clinical evidence. The ESC did not agree that these adverse events are not related to the safety of </w:t>
      </w:r>
      <w:proofErr w:type="spellStart"/>
      <w:r w:rsidRPr="00E37ACD">
        <w:rPr>
          <w:lang w:val="en-US"/>
        </w:rPr>
        <w:t>nitisinone</w:t>
      </w:r>
      <w:proofErr w:type="spellEnd"/>
      <w:r w:rsidRPr="00E37ACD">
        <w:rPr>
          <w:lang w:val="en-US"/>
        </w:rPr>
        <w:t xml:space="preserve">. Rather, the adverse events related to non-compliance with diet are effects of how the drug may be used in a real life setting in which compliance is not perfect. Indeed, the ESC noted that these adverse effects are likely to increase with </w:t>
      </w:r>
      <w:r w:rsidRPr="00E37ACD">
        <w:rPr>
          <w:lang w:val="en-US"/>
        </w:rPr>
        <w:lastRenderedPageBreak/>
        <w:t>extrapolation as compliance is likely to be worse in teenagers than the infants and young children included in the studies.</w:t>
      </w:r>
      <w:r>
        <w:rPr>
          <w:lang w:val="en-US"/>
        </w:rPr>
        <w:t xml:space="preserve"> </w:t>
      </w:r>
      <w:r w:rsidRPr="008F6DEC">
        <w:t>The extent to which diet non-compliance is an issue over the longer term is currently unknown</w:t>
      </w:r>
      <w:r>
        <w:t>.</w:t>
      </w:r>
    </w:p>
    <w:p w:rsidR="000A3C7D" w:rsidRDefault="000A3C7D" w:rsidP="00B60939">
      <w:pPr>
        <w:ind w:left="720" w:hanging="720"/>
        <w:rPr>
          <w:szCs w:val="22"/>
        </w:rPr>
      </w:pPr>
    </w:p>
    <w:p w:rsidR="000A3C7D" w:rsidRPr="00885ACF" w:rsidRDefault="000A3C7D" w:rsidP="00F31E6E">
      <w:pPr>
        <w:pStyle w:val="ListParagraph"/>
        <w:widowControl/>
        <w:numPr>
          <w:ilvl w:val="1"/>
          <w:numId w:val="3"/>
        </w:numPr>
      </w:pPr>
      <w:r w:rsidRPr="00885ACF">
        <w:t>The PBAC considered that the claim of superior comparative effectiveness was reasonable.</w:t>
      </w:r>
    </w:p>
    <w:p w:rsidR="000A3C7D" w:rsidRPr="00885ACF" w:rsidRDefault="000A3C7D" w:rsidP="005F6928">
      <w:pPr>
        <w:pStyle w:val="ListParagraph"/>
        <w:widowControl/>
      </w:pPr>
    </w:p>
    <w:p w:rsidR="000A3C7D" w:rsidRPr="00885ACF" w:rsidRDefault="000A3C7D" w:rsidP="00F31E6E">
      <w:pPr>
        <w:pStyle w:val="ListParagraph"/>
        <w:widowControl/>
        <w:numPr>
          <w:ilvl w:val="1"/>
          <w:numId w:val="3"/>
        </w:numPr>
      </w:pPr>
      <w:r w:rsidRPr="00885ACF">
        <w:t>The PBAC considered that the claim of superior comparative safety was not adequately supported by the data.</w:t>
      </w:r>
    </w:p>
    <w:p w:rsidR="000A3C7D" w:rsidRPr="00597194" w:rsidRDefault="000A3C7D" w:rsidP="00B60939">
      <w:pPr>
        <w:ind w:left="720" w:hanging="720"/>
        <w:rPr>
          <w:szCs w:val="22"/>
        </w:rPr>
      </w:pPr>
    </w:p>
    <w:p w:rsidR="000A3C7D" w:rsidRPr="00283DC5" w:rsidRDefault="000A3C7D" w:rsidP="00283DC5">
      <w:pPr>
        <w:rPr>
          <w:b/>
          <w:szCs w:val="22"/>
        </w:rPr>
      </w:pPr>
      <w:bookmarkStart w:id="12" w:name="_Toc398024520"/>
      <w:r w:rsidRPr="00283DC5">
        <w:rPr>
          <w:b/>
          <w:szCs w:val="22"/>
        </w:rPr>
        <w:t>Economic analysis</w:t>
      </w:r>
      <w:bookmarkEnd w:id="12"/>
      <w:r w:rsidRPr="00283DC5">
        <w:rPr>
          <w:b/>
          <w:szCs w:val="22"/>
        </w:rPr>
        <w:t xml:space="preserve"> </w:t>
      </w:r>
    </w:p>
    <w:p w:rsidR="000A3C7D" w:rsidRPr="00597194" w:rsidRDefault="000A3C7D" w:rsidP="00AE5CD1"/>
    <w:p w:rsidR="000A3C7D" w:rsidRPr="00E37ACD" w:rsidRDefault="000A3C7D" w:rsidP="00F31E6E">
      <w:pPr>
        <w:pStyle w:val="ListParagraph"/>
        <w:widowControl/>
        <w:numPr>
          <w:ilvl w:val="1"/>
          <w:numId w:val="3"/>
        </w:numPr>
        <w:rPr>
          <w:szCs w:val="22"/>
        </w:rPr>
      </w:pPr>
      <w:r w:rsidRPr="00E37ACD">
        <w:t xml:space="preserve">A cost-effectiveness analysis </w:t>
      </w:r>
      <w:r>
        <w:t>wa</w:t>
      </w:r>
      <w:r w:rsidRPr="00E37ACD">
        <w:t xml:space="preserve">s presented. The submission models increased survival and a reduction in the number of liver transplants with </w:t>
      </w:r>
      <w:proofErr w:type="spellStart"/>
      <w:r w:rsidRPr="00E37ACD">
        <w:t>nitisinone</w:t>
      </w:r>
      <w:proofErr w:type="spellEnd"/>
      <w:r w:rsidRPr="00E37ACD">
        <w:t xml:space="preserve"> </w:t>
      </w:r>
      <w:r w:rsidR="006665F3">
        <w:t xml:space="preserve">treatment </w:t>
      </w:r>
      <w:r w:rsidRPr="00E37ACD">
        <w:t xml:space="preserve">compared </w:t>
      </w:r>
      <w:r w:rsidR="006665F3">
        <w:t>to</w:t>
      </w:r>
      <w:r w:rsidRPr="00E37ACD">
        <w:t xml:space="preserve"> diet alone. The overall cost-effectiveness </w:t>
      </w:r>
      <w:r>
        <w:t>was</w:t>
      </w:r>
      <w:r w:rsidRPr="00E37ACD">
        <w:t xml:space="preserve"> calculated by weighting the costs and outcomes for patients with a clinical onset before 2 months, between 2 and 6 months and after 6 months of age by the proportion of patients in each subgroup.</w:t>
      </w:r>
    </w:p>
    <w:p w:rsidR="000A3C7D" w:rsidRPr="00E37ACD" w:rsidRDefault="000A3C7D" w:rsidP="00AE5CD1"/>
    <w:p w:rsidR="000A3C7D" w:rsidRPr="00E37ACD" w:rsidRDefault="000A3C7D" w:rsidP="00942872">
      <w:pPr>
        <w:keepNext/>
        <w:ind w:firstLine="720"/>
        <w:rPr>
          <w:rStyle w:val="CommentReference"/>
          <w:rFonts w:cs="Arial"/>
          <w:sz w:val="20"/>
          <w:szCs w:val="16"/>
        </w:rPr>
      </w:pPr>
      <w:r w:rsidRPr="00E37ACD">
        <w:rPr>
          <w:rStyle w:val="CommentReference"/>
          <w:rFonts w:cs="Arial"/>
          <w:sz w:val="20"/>
          <w:szCs w:val="16"/>
        </w:rPr>
        <w:t>Summary of model structure and rationale</w:t>
      </w:r>
    </w:p>
    <w:tbl>
      <w:tblPr>
        <w:tblW w:w="4598"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84"/>
        <w:gridCol w:w="6368"/>
      </w:tblGrid>
      <w:tr w:rsidR="000A3C7D" w:rsidRPr="00E37ACD" w:rsidTr="00020E10">
        <w:trPr>
          <w:tblHeader/>
        </w:trPr>
        <w:tc>
          <w:tcPr>
            <w:tcW w:w="1188" w:type="pct"/>
            <w:vAlign w:val="center"/>
          </w:tcPr>
          <w:p w:rsidR="000A3C7D" w:rsidRPr="00E37ACD" w:rsidRDefault="000A3C7D" w:rsidP="00942872">
            <w:pPr>
              <w:keepNext/>
              <w:jc w:val="left"/>
              <w:rPr>
                <w:rFonts w:ascii="Arial Narrow" w:hAnsi="Arial Narrow"/>
                <w:b/>
                <w:sz w:val="20"/>
              </w:rPr>
            </w:pPr>
            <w:r w:rsidRPr="00E37ACD">
              <w:rPr>
                <w:rFonts w:ascii="Arial Narrow" w:hAnsi="Arial Narrow"/>
                <w:b/>
                <w:sz w:val="20"/>
              </w:rPr>
              <w:t>Component</w:t>
            </w:r>
          </w:p>
        </w:tc>
        <w:tc>
          <w:tcPr>
            <w:tcW w:w="3812" w:type="pct"/>
            <w:vAlign w:val="center"/>
          </w:tcPr>
          <w:p w:rsidR="000A3C7D" w:rsidRPr="00E37ACD" w:rsidRDefault="000A3C7D" w:rsidP="00942872">
            <w:pPr>
              <w:keepNext/>
              <w:jc w:val="center"/>
              <w:rPr>
                <w:rFonts w:ascii="Arial Narrow" w:hAnsi="Arial Narrow"/>
                <w:b/>
                <w:sz w:val="20"/>
              </w:rPr>
            </w:pPr>
            <w:r w:rsidRPr="00E37ACD">
              <w:rPr>
                <w:rFonts w:ascii="Arial Narrow" w:hAnsi="Arial Narrow"/>
                <w:b/>
                <w:sz w:val="20"/>
              </w:rPr>
              <w:t>Summary</w:t>
            </w:r>
          </w:p>
        </w:tc>
      </w:tr>
      <w:tr w:rsidR="000A3C7D" w:rsidRPr="00E37ACD" w:rsidTr="00020E10">
        <w:tc>
          <w:tcPr>
            <w:tcW w:w="1188" w:type="pct"/>
            <w:vAlign w:val="center"/>
          </w:tcPr>
          <w:p w:rsidR="000A3C7D" w:rsidRPr="00E37ACD" w:rsidRDefault="000A3C7D" w:rsidP="00942872">
            <w:pPr>
              <w:keepNext/>
              <w:jc w:val="left"/>
              <w:rPr>
                <w:rFonts w:ascii="Arial Narrow" w:hAnsi="Arial Narrow"/>
                <w:sz w:val="20"/>
              </w:rPr>
            </w:pPr>
            <w:r w:rsidRPr="00E37ACD">
              <w:rPr>
                <w:rFonts w:ascii="Arial Narrow" w:hAnsi="Arial Narrow"/>
                <w:sz w:val="20"/>
              </w:rPr>
              <w:t>Time horizon</w:t>
            </w:r>
          </w:p>
        </w:tc>
        <w:tc>
          <w:tcPr>
            <w:tcW w:w="3812" w:type="pct"/>
          </w:tcPr>
          <w:p w:rsidR="000A3C7D" w:rsidRPr="00E37ACD" w:rsidRDefault="000A3C7D" w:rsidP="00942872">
            <w:pPr>
              <w:keepNext/>
              <w:rPr>
                <w:rFonts w:ascii="Arial Narrow" w:hAnsi="Arial Narrow"/>
                <w:sz w:val="20"/>
              </w:rPr>
            </w:pPr>
            <w:r w:rsidRPr="00E37ACD">
              <w:rPr>
                <w:rFonts w:ascii="Arial Narrow" w:hAnsi="Arial Narrow"/>
                <w:sz w:val="20"/>
              </w:rPr>
              <w:t xml:space="preserve">100 years in the model base case versus a median follow-up of &lt;4 years in the </w:t>
            </w:r>
            <w:proofErr w:type="spellStart"/>
            <w:r w:rsidRPr="00E37ACD">
              <w:rPr>
                <w:rFonts w:ascii="Arial Narrow" w:hAnsi="Arial Narrow"/>
                <w:sz w:val="20"/>
              </w:rPr>
              <w:t>nitisinone</w:t>
            </w:r>
            <w:proofErr w:type="spellEnd"/>
            <w:r w:rsidRPr="00E37ACD">
              <w:rPr>
                <w:rFonts w:ascii="Arial Narrow" w:hAnsi="Arial Narrow"/>
                <w:sz w:val="20"/>
              </w:rPr>
              <w:t xml:space="preserve"> NTBC study.</w:t>
            </w:r>
          </w:p>
        </w:tc>
      </w:tr>
      <w:tr w:rsidR="000A3C7D" w:rsidRPr="00E37ACD" w:rsidTr="00020E10">
        <w:tc>
          <w:tcPr>
            <w:tcW w:w="1188" w:type="pct"/>
            <w:vAlign w:val="center"/>
          </w:tcPr>
          <w:p w:rsidR="000A3C7D" w:rsidRPr="00E37ACD" w:rsidRDefault="000A3C7D" w:rsidP="00942872">
            <w:pPr>
              <w:keepNext/>
              <w:jc w:val="left"/>
              <w:rPr>
                <w:rFonts w:ascii="Arial Narrow" w:hAnsi="Arial Narrow"/>
                <w:sz w:val="20"/>
              </w:rPr>
            </w:pPr>
            <w:r w:rsidRPr="00E37ACD">
              <w:rPr>
                <w:rFonts w:ascii="Arial Narrow" w:hAnsi="Arial Narrow"/>
                <w:sz w:val="20"/>
              </w:rPr>
              <w:t>Outcomes</w:t>
            </w:r>
          </w:p>
        </w:tc>
        <w:tc>
          <w:tcPr>
            <w:tcW w:w="3812" w:type="pct"/>
          </w:tcPr>
          <w:p w:rsidR="000A3C7D" w:rsidRPr="00E37ACD" w:rsidRDefault="000A3C7D" w:rsidP="00942872">
            <w:pPr>
              <w:keepNext/>
              <w:rPr>
                <w:rFonts w:ascii="Arial Narrow" w:hAnsi="Arial Narrow"/>
                <w:sz w:val="20"/>
              </w:rPr>
            </w:pPr>
            <w:r w:rsidRPr="00E37ACD">
              <w:rPr>
                <w:rFonts w:ascii="Arial Narrow" w:hAnsi="Arial Narrow"/>
                <w:sz w:val="20"/>
              </w:rPr>
              <w:t>LYG and QALYs</w:t>
            </w:r>
          </w:p>
        </w:tc>
      </w:tr>
      <w:tr w:rsidR="000A3C7D" w:rsidRPr="00E37ACD" w:rsidTr="00020E10">
        <w:tc>
          <w:tcPr>
            <w:tcW w:w="1188" w:type="pct"/>
            <w:vAlign w:val="center"/>
          </w:tcPr>
          <w:p w:rsidR="000A3C7D" w:rsidRPr="00E37ACD" w:rsidRDefault="000A3C7D" w:rsidP="00942872">
            <w:pPr>
              <w:keepNext/>
              <w:jc w:val="left"/>
              <w:rPr>
                <w:rFonts w:ascii="Arial Narrow" w:hAnsi="Arial Narrow"/>
                <w:sz w:val="20"/>
              </w:rPr>
            </w:pPr>
            <w:r w:rsidRPr="00E37ACD">
              <w:rPr>
                <w:rFonts w:ascii="Arial Narrow" w:hAnsi="Arial Narrow"/>
                <w:sz w:val="20"/>
              </w:rPr>
              <w:t>Methods used to generate results</w:t>
            </w:r>
          </w:p>
        </w:tc>
        <w:tc>
          <w:tcPr>
            <w:tcW w:w="3812" w:type="pct"/>
          </w:tcPr>
          <w:p w:rsidR="000A3C7D" w:rsidRPr="00E37ACD" w:rsidRDefault="000A3C7D" w:rsidP="00942872">
            <w:pPr>
              <w:keepNext/>
              <w:rPr>
                <w:rFonts w:ascii="Arial Narrow" w:hAnsi="Arial Narrow"/>
                <w:sz w:val="20"/>
              </w:rPr>
            </w:pPr>
            <w:r w:rsidRPr="00E37ACD">
              <w:rPr>
                <w:rFonts w:ascii="Arial Narrow" w:hAnsi="Arial Narrow"/>
                <w:sz w:val="20"/>
              </w:rPr>
              <w:t>Cohort expected value analysis</w:t>
            </w:r>
          </w:p>
        </w:tc>
      </w:tr>
      <w:tr w:rsidR="000A3C7D" w:rsidRPr="00E37ACD" w:rsidTr="00020E10">
        <w:tc>
          <w:tcPr>
            <w:tcW w:w="1188" w:type="pct"/>
            <w:vAlign w:val="center"/>
          </w:tcPr>
          <w:p w:rsidR="000A3C7D" w:rsidRPr="00E37ACD" w:rsidRDefault="000A3C7D" w:rsidP="00942872">
            <w:pPr>
              <w:keepNext/>
              <w:jc w:val="left"/>
              <w:rPr>
                <w:rFonts w:ascii="Arial Narrow" w:hAnsi="Arial Narrow"/>
                <w:sz w:val="20"/>
              </w:rPr>
            </w:pPr>
            <w:r w:rsidRPr="00E37ACD">
              <w:rPr>
                <w:rFonts w:ascii="Arial Narrow" w:hAnsi="Arial Narrow"/>
                <w:sz w:val="20"/>
              </w:rPr>
              <w:t>Health states</w:t>
            </w:r>
          </w:p>
        </w:tc>
        <w:tc>
          <w:tcPr>
            <w:tcW w:w="3812" w:type="pct"/>
            <w:vAlign w:val="center"/>
          </w:tcPr>
          <w:p w:rsidR="000A3C7D" w:rsidRPr="00E37ACD" w:rsidRDefault="000A3C7D" w:rsidP="00942872">
            <w:pPr>
              <w:keepNext/>
              <w:jc w:val="left"/>
              <w:rPr>
                <w:rFonts w:ascii="Arial Narrow" w:hAnsi="Arial Narrow"/>
                <w:sz w:val="20"/>
              </w:rPr>
            </w:pPr>
            <w:r w:rsidRPr="00E37ACD">
              <w:rPr>
                <w:rFonts w:ascii="Arial Narrow" w:hAnsi="Arial Narrow"/>
                <w:sz w:val="20"/>
                <w:u w:val="single"/>
              </w:rPr>
              <w:t>Treatment</w:t>
            </w:r>
            <w:r w:rsidRPr="00E37ACD">
              <w:rPr>
                <w:rFonts w:ascii="Arial Narrow" w:hAnsi="Arial Narrow"/>
                <w:sz w:val="20"/>
              </w:rPr>
              <w:t>: patients remain in this state until transplantation or death.</w:t>
            </w:r>
          </w:p>
          <w:p w:rsidR="000A3C7D" w:rsidRPr="00E37ACD" w:rsidRDefault="000A3C7D" w:rsidP="00942872">
            <w:pPr>
              <w:keepNext/>
              <w:jc w:val="left"/>
              <w:rPr>
                <w:rFonts w:ascii="Arial Narrow" w:hAnsi="Arial Narrow"/>
                <w:sz w:val="20"/>
              </w:rPr>
            </w:pPr>
            <w:r w:rsidRPr="00E37ACD">
              <w:rPr>
                <w:rFonts w:ascii="Arial Narrow" w:hAnsi="Arial Narrow"/>
                <w:sz w:val="20"/>
                <w:u w:val="single"/>
              </w:rPr>
              <w:t>Transplantation</w:t>
            </w:r>
            <w:r w:rsidRPr="00E37ACD">
              <w:rPr>
                <w:rFonts w:ascii="Arial Narrow" w:hAnsi="Arial Narrow"/>
                <w:sz w:val="20"/>
              </w:rPr>
              <w:t xml:space="preserve">: patients enter this state when undergoing a transplant. Treatment with </w:t>
            </w:r>
            <w:proofErr w:type="spellStart"/>
            <w:r w:rsidRPr="00E37ACD">
              <w:rPr>
                <w:rFonts w:ascii="Arial Narrow" w:hAnsi="Arial Narrow"/>
                <w:sz w:val="20"/>
              </w:rPr>
              <w:t>nitisinone</w:t>
            </w:r>
            <w:proofErr w:type="spellEnd"/>
            <w:r w:rsidRPr="00E37ACD">
              <w:rPr>
                <w:rFonts w:ascii="Arial Narrow" w:hAnsi="Arial Narrow"/>
                <w:sz w:val="20"/>
              </w:rPr>
              <w:t xml:space="preserve">/diet is stopped. Patients remain in this state until death. </w:t>
            </w:r>
          </w:p>
          <w:p w:rsidR="000A3C7D" w:rsidRPr="00E37ACD" w:rsidRDefault="000A3C7D" w:rsidP="00942872">
            <w:pPr>
              <w:keepNext/>
              <w:jc w:val="left"/>
              <w:rPr>
                <w:rFonts w:ascii="Arial Narrow" w:hAnsi="Arial Narrow"/>
                <w:sz w:val="20"/>
                <w:u w:val="single"/>
              </w:rPr>
            </w:pPr>
            <w:r w:rsidRPr="00E37ACD">
              <w:rPr>
                <w:rFonts w:ascii="Arial Narrow" w:hAnsi="Arial Narrow"/>
                <w:sz w:val="20"/>
                <w:u w:val="single"/>
              </w:rPr>
              <w:t>Death</w:t>
            </w:r>
          </w:p>
        </w:tc>
      </w:tr>
      <w:tr w:rsidR="000A3C7D" w:rsidRPr="00E37ACD" w:rsidTr="00020E10">
        <w:tc>
          <w:tcPr>
            <w:tcW w:w="1188" w:type="pct"/>
            <w:vAlign w:val="center"/>
          </w:tcPr>
          <w:p w:rsidR="000A3C7D" w:rsidRPr="00E37ACD" w:rsidRDefault="000A3C7D" w:rsidP="00942872">
            <w:pPr>
              <w:keepNext/>
              <w:jc w:val="left"/>
              <w:rPr>
                <w:rFonts w:ascii="Arial Narrow" w:hAnsi="Arial Narrow"/>
                <w:sz w:val="20"/>
              </w:rPr>
            </w:pPr>
            <w:r w:rsidRPr="00E37ACD">
              <w:rPr>
                <w:rFonts w:ascii="Arial Narrow" w:hAnsi="Arial Narrow"/>
                <w:sz w:val="20"/>
              </w:rPr>
              <w:t>Cycle length</w:t>
            </w:r>
          </w:p>
        </w:tc>
        <w:tc>
          <w:tcPr>
            <w:tcW w:w="3812" w:type="pct"/>
            <w:vAlign w:val="center"/>
          </w:tcPr>
          <w:p w:rsidR="000A3C7D" w:rsidRPr="00E37ACD" w:rsidRDefault="000A3C7D" w:rsidP="00942872">
            <w:pPr>
              <w:keepNext/>
              <w:jc w:val="left"/>
              <w:rPr>
                <w:rFonts w:ascii="Arial Narrow" w:hAnsi="Arial Narrow"/>
                <w:sz w:val="20"/>
              </w:rPr>
            </w:pPr>
            <w:r w:rsidRPr="00E37ACD">
              <w:rPr>
                <w:rFonts w:ascii="Arial Narrow" w:hAnsi="Arial Narrow"/>
                <w:sz w:val="20"/>
              </w:rPr>
              <w:t>3 months</w:t>
            </w:r>
          </w:p>
        </w:tc>
      </w:tr>
      <w:tr w:rsidR="000A3C7D" w:rsidRPr="00E37ACD" w:rsidTr="00020E10">
        <w:tc>
          <w:tcPr>
            <w:tcW w:w="1188" w:type="pct"/>
            <w:vAlign w:val="center"/>
          </w:tcPr>
          <w:p w:rsidR="000A3C7D" w:rsidRPr="00E37ACD" w:rsidRDefault="000A3C7D" w:rsidP="00942872">
            <w:pPr>
              <w:keepNext/>
              <w:jc w:val="left"/>
              <w:rPr>
                <w:rFonts w:ascii="Arial Narrow" w:hAnsi="Arial Narrow"/>
                <w:sz w:val="20"/>
              </w:rPr>
            </w:pPr>
            <w:r w:rsidRPr="00E37ACD">
              <w:rPr>
                <w:rFonts w:ascii="Arial Narrow" w:hAnsi="Arial Narrow"/>
                <w:sz w:val="20"/>
              </w:rPr>
              <w:t>Transition probabilities</w:t>
            </w:r>
          </w:p>
        </w:tc>
        <w:tc>
          <w:tcPr>
            <w:tcW w:w="3812" w:type="pct"/>
            <w:vAlign w:val="center"/>
          </w:tcPr>
          <w:p w:rsidR="000A3C7D" w:rsidRPr="00E37ACD" w:rsidRDefault="000A3C7D" w:rsidP="00942872">
            <w:pPr>
              <w:keepNext/>
              <w:rPr>
                <w:rFonts w:ascii="Arial Narrow" w:hAnsi="Arial Narrow"/>
                <w:sz w:val="20"/>
              </w:rPr>
            </w:pPr>
            <w:r w:rsidRPr="00E37ACD">
              <w:rPr>
                <w:rFonts w:ascii="Arial Narrow" w:hAnsi="Arial Narrow"/>
                <w:sz w:val="20"/>
              </w:rPr>
              <w:t xml:space="preserve">Overall survival: NTBC study and van </w:t>
            </w:r>
            <w:proofErr w:type="spellStart"/>
            <w:r w:rsidRPr="00E37ACD">
              <w:rPr>
                <w:rFonts w:ascii="Arial Narrow" w:hAnsi="Arial Narrow"/>
                <w:sz w:val="20"/>
              </w:rPr>
              <w:t>Spronsen</w:t>
            </w:r>
            <w:proofErr w:type="spellEnd"/>
            <w:r w:rsidRPr="00E37ACD">
              <w:rPr>
                <w:rFonts w:ascii="Arial Narrow" w:hAnsi="Arial Narrow"/>
                <w:sz w:val="20"/>
              </w:rPr>
              <w:t xml:space="preserve"> 1994. Australian population rates for extrapolated period.</w:t>
            </w:r>
          </w:p>
          <w:p w:rsidR="000A3C7D" w:rsidRPr="00E37ACD" w:rsidRDefault="000A3C7D" w:rsidP="00942872">
            <w:pPr>
              <w:keepNext/>
              <w:rPr>
                <w:rFonts w:ascii="Arial Narrow" w:hAnsi="Arial Narrow"/>
                <w:sz w:val="20"/>
              </w:rPr>
            </w:pPr>
            <w:r w:rsidRPr="00E37ACD">
              <w:rPr>
                <w:rFonts w:ascii="Arial Narrow" w:hAnsi="Arial Narrow"/>
                <w:sz w:val="20"/>
              </w:rPr>
              <w:t xml:space="preserve">Liver transplantation: NTBC study for </w:t>
            </w:r>
            <w:proofErr w:type="spellStart"/>
            <w:r w:rsidRPr="00E37ACD">
              <w:rPr>
                <w:rFonts w:ascii="Arial Narrow" w:hAnsi="Arial Narrow"/>
                <w:sz w:val="20"/>
              </w:rPr>
              <w:t>nitisinone</w:t>
            </w:r>
            <w:proofErr w:type="spellEnd"/>
            <w:r w:rsidRPr="00E37ACD">
              <w:rPr>
                <w:rFonts w:ascii="Arial Narrow" w:hAnsi="Arial Narrow"/>
                <w:sz w:val="20"/>
              </w:rPr>
              <w:t xml:space="preserve">, with no transplants during extrapolated period. </w:t>
            </w:r>
            <w:proofErr w:type="spellStart"/>
            <w:r w:rsidRPr="00E37ACD">
              <w:rPr>
                <w:rFonts w:ascii="Arial Narrow" w:hAnsi="Arial Narrow"/>
                <w:sz w:val="20"/>
              </w:rPr>
              <w:t>Larochelle</w:t>
            </w:r>
            <w:proofErr w:type="spellEnd"/>
            <w:r w:rsidRPr="00E37ACD">
              <w:rPr>
                <w:rFonts w:ascii="Arial Narrow" w:hAnsi="Arial Narrow"/>
                <w:sz w:val="20"/>
              </w:rPr>
              <w:t xml:space="preserve"> 2012 for diet for study follow-up and extrapolated periods.</w:t>
            </w:r>
          </w:p>
          <w:p w:rsidR="000A3C7D" w:rsidRPr="00E37ACD" w:rsidRDefault="000A3C7D" w:rsidP="00942872">
            <w:pPr>
              <w:keepNext/>
              <w:jc w:val="left"/>
              <w:rPr>
                <w:rFonts w:ascii="Arial Narrow" w:hAnsi="Arial Narrow"/>
                <w:sz w:val="20"/>
              </w:rPr>
            </w:pPr>
            <w:r w:rsidRPr="00E37ACD">
              <w:rPr>
                <w:rFonts w:ascii="Arial Narrow" w:hAnsi="Arial Narrow"/>
                <w:sz w:val="20"/>
              </w:rPr>
              <w:t>Death following liver transplantation: Literature</w:t>
            </w:r>
          </w:p>
        </w:tc>
      </w:tr>
      <w:tr w:rsidR="000A3C7D" w:rsidRPr="00E37ACD" w:rsidTr="00020E10">
        <w:tc>
          <w:tcPr>
            <w:tcW w:w="1188" w:type="pct"/>
            <w:vAlign w:val="center"/>
          </w:tcPr>
          <w:p w:rsidR="000A3C7D" w:rsidRPr="00E37ACD" w:rsidRDefault="000A3C7D" w:rsidP="00942872">
            <w:pPr>
              <w:keepNext/>
              <w:jc w:val="left"/>
              <w:rPr>
                <w:rFonts w:ascii="Arial Narrow" w:hAnsi="Arial Narrow"/>
                <w:sz w:val="20"/>
              </w:rPr>
            </w:pPr>
            <w:r w:rsidRPr="00E37ACD">
              <w:rPr>
                <w:rFonts w:ascii="Arial Narrow" w:hAnsi="Arial Narrow"/>
                <w:sz w:val="20"/>
              </w:rPr>
              <w:t>Utility values</w:t>
            </w:r>
          </w:p>
        </w:tc>
        <w:tc>
          <w:tcPr>
            <w:tcW w:w="3812" w:type="pct"/>
            <w:vAlign w:val="center"/>
          </w:tcPr>
          <w:p w:rsidR="000A3C7D" w:rsidRPr="00E37ACD" w:rsidRDefault="000A3C7D" w:rsidP="00942872">
            <w:pPr>
              <w:keepNext/>
              <w:rPr>
                <w:rFonts w:ascii="Arial Narrow" w:hAnsi="Arial Narrow"/>
                <w:sz w:val="20"/>
              </w:rPr>
            </w:pPr>
            <w:r w:rsidRPr="00E37ACD">
              <w:rPr>
                <w:rFonts w:ascii="Arial Narrow" w:hAnsi="Arial Narrow"/>
                <w:sz w:val="20"/>
              </w:rPr>
              <w:t xml:space="preserve">Treatment with </w:t>
            </w:r>
            <w:proofErr w:type="spellStart"/>
            <w:r w:rsidRPr="00E37ACD">
              <w:rPr>
                <w:rFonts w:ascii="Arial Narrow" w:hAnsi="Arial Narrow"/>
                <w:sz w:val="20"/>
              </w:rPr>
              <w:t>nitisinone</w:t>
            </w:r>
            <w:proofErr w:type="spellEnd"/>
            <w:r w:rsidRPr="00E37ACD">
              <w:rPr>
                <w:rFonts w:ascii="Arial Narrow" w:hAnsi="Arial Narrow"/>
                <w:sz w:val="20"/>
              </w:rPr>
              <w:t>: 0.87 (based on chronic hepatitis B)</w:t>
            </w:r>
          </w:p>
          <w:p w:rsidR="000A3C7D" w:rsidRPr="00E37ACD" w:rsidRDefault="000A3C7D" w:rsidP="00942872">
            <w:pPr>
              <w:keepNext/>
              <w:rPr>
                <w:rFonts w:ascii="Arial Narrow" w:hAnsi="Arial Narrow"/>
                <w:sz w:val="20"/>
              </w:rPr>
            </w:pPr>
            <w:r w:rsidRPr="00E37ACD">
              <w:rPr>
                <w:rFonts w:ascii="Arial Narrow" w:hAnsi="Arial Narrow"/>
                <w:sz w:val="20"/>
              </w:rPr>
              <w:t>Treatment with diet: 0.49-0.87 (depending on age of HT-1 onset; based on cirrhosis and hepatitis B)</w:t>
            </w:r>
          </w:p>
          <w:p w:rsidR="000A3C7D" w:rsidRPr="00E37ACD" w:rsidRDefault="000A3C7D" w:rsidP="00942872">
            <w:pPr>
              <w:keepNext/>
              <w:rPr>
                <w:rFonts w:ascii="Arial Narrow" w:hAnsi="Arial Narrow"/>
                <w:sz w:val="20"/>
              </w:rPr>
            </w:pPr>
            <w:r w:rsidRPr="00E37ACD">
              <w:rPr>
                <w:rFonts w:ascii="Arial Narrow" w:hAnsi="Arial Narrow"/>
                <w:sz w:val="20"/>
              </w:rPr>
              <w:t>Post liver transplant: 0.72 (based on post liver transplant for hepatitis B patients)</w:t>
            </w:r>
          </w:p>
        </w:tc>
      </w:tr>
    </w:tbl>
    <w:p w:rsidR="000A3C7D" w:rsidRPr="00E37ACD" w:rsidRDefault="000A3C7D" w:rsidP="005D044D">
      <w:pPr>
        <w:pStyle w:val="TableFooter"/>
        <w:ind w:firstLine="720"/>
      </w:pPr>
      <w:r w:rsidRPr="00E37ACD">
        <w:t>Source: compiled during the evaluation</w:t>
      </w:r>
    </w:p>
    <w:p w:rsidR="000A3C7D" w:rsidRPr="00E37ACD" w:rsidRDefault="000A3C7D" w:rsidP="009E2C97">
      <w:pPr>
        <w:widowControl/>
        <w:rPr>
          <w:i/>
          <w:szCs w:val="22"/>
        </w:rPr>
      </w:pPr>
    </w:p>
    <w:p w:rsidR="000A3C7D" w:rsidRPr="00E37ACD" w:rsidRDefault="000A3C7D" w:rsidP="00F31E6E">
      <w:pPr>
        <w:pStyle w:val="ListParagraph"/>
        <w:widowControl/>
        <w:numPr>
          <w:ilvl w:val="1"/>
          <w:numId w:val="3"/>
        </w:numPr>
        <w:rPr>
          <w:szCs w:val="22"/>
        </w:rPr>
      </w:pPr>
      <w:r w:rsidRPr="00E37ACD">
        <w:t xml:space="preserve">The key </w:t>
      </w:r>
      <w:r w:rsidR="006665F3">
        <w:t xml:space="preserve">drivers of the </w:t>
      </w:r>
      <w:r w:rsidRPr="00E37ACD">
        <w:t>model are summarised in the table below.</w:t>
      </w:r>
    </w:p>
    <w:p w:rsidR="000A3C7D" w:rsidRPr="00E37ACD" w:rsidRDefault="000A3C7D" w:rsidP="00275C5A">
      <w:pPr>
        <w:widowControl/>
        <w:rPr>
          <w:szCs w:val="22"/>
        </w:rPr>
      </w:pPr>
    </w:p>
    <w:p w:rsidR="000A3C7D" w:rsidRPr="00E37ACD" w:rsidRDefault="000A3C7D" w:rsidP="00942872">
      <w:pPr>
        <w:keepNext/>
        <w:ind w:firstLine="720"/>
        <w:rPr>
          <w:rStyle w:val="CommentReference"/>
          <w:rFonts w:cs="Arial"/>
          <w:sz w:val="20"/>
          <w:szCs w:val="16"/>
        </w:rPr>
      </w:pPr>
      <w:r w:rsidRPr="00E37ACD">
        <w:rPr>
          <w:rStyle w:val="CommentReference"/>
          <w:rFonts w:cs="Arial"/>
          <w:sz w:val="20"/>
          <w:szCs w:val="16"/>
        </w:rPr>
        <w:lastRenderedPageBreak/>
        <w:t>Key drivers of the model</w:t>
      </w:r>
    </w:p>
    <w:tbl>
      <w:tblPr>
        <w:tblW w:w="4598"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30"/>
        <w:gridCol w:w="3900"/>
        <w:gridCol w:w="2922"/>
      </w:tblGrid>
      <w:tr w:rsidR="000A3C7D" w:rsidRPr="00E37ACD" w:rsidTr="00014051">
        <w:trPr>
          <w:tblHeader/>
        </w:trPr>
        <w:tc>
          <w:tcPr>
            <w:tcW w:w="916" w:type="pct"/>
            <w:vAlign w:val="center"/>
          </w:tcPr>
          <w:p w:rsidR="000A3C7D" w:rsidRPr="00E37ACD" w:rsidRDefault="000A3C7D" w:rsidP="00942872">
            <w:pPr>
              <w:keepNext/>
              <w:jc w:val="left"/>
              <w:rPr>
                <w:rFonts w:ascii="Arial Narrow" w:hAnsi="Arial Narrow"/>
                <w:b/>
                <w:sz w:val="20"/>
                <w:lang w:val="en-US"/>
              </w:rPr>
            </w:pPr>
            <w:r w:rsidRPr="00E37ACD">
              <w:rPr>
                <w:rFonts w:ascii="Arial Narrow" w:hAnsi="Arial Narrow"/>
                <w:b/>
                <w:sz w:val="20"/>
                <w:lang w:val="en-US"/>
              </w:rPr>
              <w:t>Description</w:t>
            </w:r>
          </w:p>
        </w:tc>
        <w:tc>
          <w:tcPr>
            <w:tcW w:w="2335" w:type="pct"/>
            <w:vAlign w:val="center"/>
          </w:tcPr>
          <w:p w:rsidR="000A3C7D" w:rsidRPr="00E37ACD" w:rsidRDefault="000A3C7D" w:rsidP="00942872">
            <w:pPr>
              <w:keepNext/>
              <w:jc w:val="center"/>
              <w:rPr>
                <w:rFonts w:ascii="Arial Narrow" w:hAnsi="Arial Narrow"/>
                <w:b/>
                <w:sz w:val="20"/>
                <w:lang w:val="en-US"/>
              </w:rPr>
            </w:pPr>
            <w:r w:rsidRPr="00E37ACD">
              <w:rPr>
                <w:rFonts w:ascii="Arial Narrow" w:hAnsi="Arial Narrow"/>
                <w:b/>
                <w:sz w:val="20"/>
                <w:lang w:val="en-US"/>
              </w:rPr>
              <w:t>Method/Value</w:t>
            </w:r>
          </w:p>
        </w:tc>
        <w:tc>
          <w:tcPr>
            <w:tcW w:w="1750" w:type="pct"/>
            <w:vAlign w:val="center"/>
          </w:tcPr>
          <w:p w:rsidR="000A3C7D" w:rsidRPr="00E37ACD" w:rsidRDefault="000A3C7D" w:rsidP="00942872">
            <w:pPr>
              <w:keepNext/>
              <w:jc w:val="center"/>
              <w:rPr>
                <w:rFonts w:ascii="Arial Narrow" w:hAnsi="Arial Narrow"/>
                <w:b/>
                <w:sz w:val="20"/>
                <w:lang w:val="en-US"/>
              </w:rPr>
            </w:pPr>
            <w:r w:rsidRPr="00E37ACD">
              <w:rPr>
                <w:rFonts w:ascii="Arial Narrow" w:hAnsi="Arial Narrow"/>
                <w:b/>
                <w:sz w:val="20"/>
                <w:lang w:val="en-US"/>
              </w:rPr>
              <w:t>Impact</w:t>
            </w:r>
          </w:p>
        </w:tc>
      </w:tr>
      <w:tr w:rsidR="000A3C7D" w:rsidRPr="00E37ACD" w:rsidTr="00014051">
        <w:tc>
          <w:tcPr>
            <w:tcW w:w="916" w:type="pct"/>
            <w:vAlign w:val="center"/>
          </w:tcPr>
          <w:p w:rsidR="000A3C7D" w:rsidRPr="00E37ACD" w:rsidRDefault="000A3C7D" w:rsidP="00942872">
            <w:pPr>
              <w:keepNext/>
              <w:jc w:val="left"/>
              <w:rPr>
                <w:rFonts w:ascii="Arial Narrow" w:hAnsi="Arial Narrow"/>
                <w:sz w:val="20"/>
                <w:lang w:val="en-US"/>
              </w:rPr>
            </w:pPr>
            <w:r w:rsidRPr="00E37ACD">
              <w:rPr>
                <w:rFonts w:ascii="Arial Narrow" w:hAnsi="Arial Narrow"/>
                <w:sz w:val="20"/>
                <w:lang w:val="en-US"/>
              </w:rPr>
              <w:t xml:space="preserve">Survival for </w:t>
            </w:r>
            <w:proofErr w:type="spellStart"/>
            <w:r w:rsidRPr="00E37ACD">
              <w:rPr>
                <w:rFonts w:ascii="Arial Narrow" w:hAnsi="Arial Narrow"/>
                <w:sz w:val="20"/>
                <w:lang w:val="en-US"/>
              </w:rPr>
              <w:t>nitisinone</w:t>
            </w:r>
            <w:proofErr w:type="spellEnd"/>
            <w:r w:rsidRPr="00E37ACD">
              <w:rPr>
                <w:rFonts w:ascii="Arial Narrow" w:hAnsi="Arial Narrow"/>
                <w:sz w:val="20"/>
                <w:lang w:val="en-US"/>
              </w:rPr>
              <w:t xml:space="preserve"> and diet</w:t>
            </w:r>
          </w:p>
        </w:tc>
        <w:tc>
          <w:tcPr>
            <w:tcW w:w="2335" w:type="pct"/>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Sourced from non-</w:t>
            </w:r>
            <w:r w:rsidRPr="00E37ACD">
              <w:rPr>
                <w:rFonts w:ascii="Arial Narrow" w:hAnsi="Arial Narrow"/>
                <w:sz w:val="20"/>
              </w:rPr>
              <w:t>randomised</w:t>
            </w:r>
            <w:r w:rsidRPr="00E37ACD">
              <w:rPr>
                <w:rFonts w:ascii="Arial Narrow" w:hAnsi="Arial Narrow"/>
                <w:sz w:val="20"/>
                <w:lang w:val="en-US"/>
              </w:rPr>
              <w:t xml:space="preserve"> studies</w:t>
            </w:r>
          </w:p>
        </w:tc>
        <w:tc>
          <w:tcPr>
            <w:tcW w:w="1750" w:type="pct"/>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 xml:space="preserve">High, direction unknown but likely to </w:t>
            </w:r>
            <w:r w:rsidRPr="00E37ACD">
              <w:rPr>
                <w:rFonts w:ascii="Arial Narrow" w:hAnsi="Arial Narrow"/>
                <w:sz w:val="20"/>
              </w:rPr>
              <w:t>favour</w:t>
            </w:r>
            <w:r w:rsidRPr="00E37ACD">
              <w:rPr>
                <w:rFonts w:ascii="Arial Narrow" w:hAnsi="Arial Narrow"/>
                <w:sz w:val="20"/>
                <w:lang w:val="en-US"/>
              </w:rPr>
              <w:t xml:space="preserve"> </w:t>
            </w:r>
            <w:proofErr w:type="spellStart"/>
            <w:r w:rsidRPr="00E37ACD">
              <w:rPr>
                <w:rFonts w:ascii="Arial Narrow" w:hAnsi="Arial Narrow"/>
                <w:sz w:val="20"/>
                <w:lang w:val="en-US"/>
              </w:rPr>
              <w:t>nitisinone</w:t>
            </w:r>
            <w:proofErr w:type="spellEnd"/>
          </w:p>
        </w:tc>
      </w:tr>
      <w:tr w:rsidR="000A3C7D" w:rsidRPr="00E37ACD" w:rsidTr="00014051">
        <w:tc>
          <w:tcPr>
            <w:tcW w:w="916" w:type="pct"/>
            <w:vAlign w:val="center"/>
          </w:tcPr>
          <w:p w:rsidR="000A3C7D" w:rsidRPr="00E37ACD" w:rsidRDefault="000A3C7D" w:rsidP="00942872">
            <w:pPr>
              <w:keepNext/>
              <w:jc w:val="left"/>
              <w:rPr>
                <w:rFonts w:ascii="Arial Narrow" w:hAnsi="Arial Narrow"/>
                <w:sz w:val="20"/>
                <w:lang w:val="en-US"/>
              </w:rPr>
            </w:pPr>
            <w:proofErr w:type="spellStart"/>
            <w:r w:rsidRPr="00E37ACD">
              <w:rPr>
                <w:rFonts w:ascii="Arial Narrow" w:hAnsi="Arial Narrow"/>
                <w:sz w:val="20"/>
                <w:lang w:val="en-US"/>
              </w:rPr>
              <w:t>Nitisinone</w:t>
            </w:r>
            <w:proofErr w:type="spellEnd"/>
            <w:r w:rsidRPr="00E37ACD">
              <w:rPr>
                <w:rFonts w:ascii="Arial Narrow" w:hAnsi="Arial Narrow"/>
                <w:sz w:val="20"/>
                <w:lang w:val="en-US"/>
              </w:rPr>
              <w:t xml:space="preserve"> cost (unit cost, compliance and dose)</w:t>
            </w:r>
          </w:p>
        </w:tc>
        <w:tc>
          <w:tcPr>
            <w:tcW w:w="2335" w:type="pct"/>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100% compliance and dose of 1 mg/kg/day.</w:t>
            </w:r>
          </w:p>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Cost calculated assuming once daily rather than twice daily dosing.</w:t>
            </w:r>
          </w:p>
        </w:tc>
        <w:tc>
          <w:tcPr>
            <w:tcW w:w="1750" w:type="pct"/>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High</w:t>
            </w:r>
          </w:p>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 xml:space="preserve">Compliance: </w:t>
            </w:r>
            <w:r w:rsidRPr="00E37ACD">
              <w:rPr>
                <w:rFonts w:ascii="Arial Narrow" w:hAnsi="Arial Narrow"/>
                <w:sz w:val="20"/>
              </w:rPr>
              <w:t>favours</w:t>
            </w:r>
            <w:r w:rsidRPr="00E37ACD">
              <w:rPr>
                <w:rFonts w:ascii="Arial Narrow" w:hAnsi="Arial Narrow"/>
                <w:sz w:val="20"/>
                <w:lang w:val="en-US"/>
              </w:rPr>
              <w:t xml:space="preserve"> diet</w:t>
            </w:r>
          </w:p>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 xml:space="preserve">Once daily dosing: </w:t>
            </w:r>
            <w:r w:rsidRPr="00E37ACD">
              <w:rPr>
                <w:rFonts w:ascii="Arial Narrow" w:hAnsi="Arial Narrow"/>
                <w:sz w:val="20"/>
              </w:rPr>
              <w:t>favours</w:t>
            </w:r>
            <w:r w:rsidRPr="00E37ACD">
              <w:rPr>
                <w:rFonts w:ascii="Arial Narrow" w:hAnsi="Arial Narrow"/>
                <w:sz w:val="20"/>
                <w:lang w:val="en-US"/>
              </w:rPr>
              <w:t xml:space="preserve"> </w:t>
            </w:r>
            <w:proofErr w:type="spellStart"/>
            <w:r w:rsidRPr="00E37ACD">
              <w:rPr>
                <w:rFonts w:ascii="Arial Narrow" w:hAnsi="Arial Narrow"/>
                <w:sz w:val="20"/>
                <w:lang w:val="en-US"/>
              </w:rPr>
              <w:t>nitisinone</w:t>
            </w:r>
            <w:proofErr w:type="spellEnd"/>
            <w:r w:rsidRPr="00E37ACD">
              <w:rPr>
                <w:rFonts w:ascii="Arial Narrow" w:hAnsi="Arial Narrow"/>
                <w:sz w:val="20"/>
                <w:lang w:val="en-US"/>
              </w:rPr>
              <w:t xml:space="preserve"> </w:t>
            </w:r>
          </w:p>
        </w:tc>
      </w:tr>
      <w:tr w:rsidR="000A3C7D" w:rsidRPr="00E37ACD" w:rsidTr="00014051">
        <w:tc>
          <w:tcPr>
            <w:tcW w:w="916" w:type="pct"/>
            <w:vAlign w:val="center"/>
          </w:tcPr>
          <w:p w:rsidR="000A3C7D" w:rsidRPr="00E37ACD" w:rsidRDefault="000A3C7D" w:rsidP="00942872">
            <w:pPr>
              <w:keepNext/>
              <w:jc w:val="left"/>
              <w:rPr>
                <w:rFonts w:ascii="Arial Narrow" w:hAnsi="Arial Narrow"/>
                <w:sz w:val="20"/>
                <w:lang w:val="en-US"/>
              </w:rPr>
            </w:pPr>
            <w:r w:rsidRPr="00E37ACD">
              <w:rPr>
                <w:rFonts w:ascii="Arial Narrow" w:hAnsi="Arial Narrow"/>
                <w:sz w:val="20"/>
                <w:lang w:val="en-US"/>
              </w:rPr>
              <w:t>Time horizon and use of population death rates</w:t>
            </w:r>
          </w:p>
        </w:tc>
        <w:tc>
          <w:tcPr>
            <w:tcW w:w="2335" w:type="pct"/>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 xml:space="preserve">100 years; assumed from maximum follow-up of </w:t>
            </w:r>
            <w:r w:rsidR="00637BCD">
              <w:rPr>
                <w:rFonts w:ascii="Arial Narrow" w:hAnsi="Arial Narrow"/>
                <w:noProof/>
                <w:color w:val="000000"/>
                <w:sz w:val="20"/>
                <w:highlight w:val="black"/>
                <w:lang w:val="en-US"/>
              </w:rPr>
              <w:t>''''''''''</w:t>
            </w:r>
            <w:r w:rsidRPr="00E37ACD">
              <w:rPr>
                <w:rFonts w:ascii="Arial Narrow" w:hAnsi="Arial Narrow"/>
                <w:sz w:val="20"/>
                <w:lang w:val="en-US"/>
              </w:rPr>
              <w:t xml:space="preserve"> years in NTBC study</w:t>
            </w:r>
          </w:p>
        </w:tc>
        <w:tc>
          <w:tcPr>
            <w:tcW w:w="1750" w:type="pct"/>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High</w:t>
            </w:r>
          </w:p>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For onset &lt;6 months:</w:t>
            </w:r>
            <w:r w:rsidRPr="00E37ACD">
              <w:rPr>
                <w:rFonts w:ascii="Arial Narrow" w:hAnsi="Arial Narrow"/>
                <w:sz w:val="20"/>
              </w:rPr>
              <w:t xml:space="preserve"> favours</w:t>
            </w:r>
            <w:r w:rsidRPr="00E37ACD">
              <w:rPr>
                <w:rFonts w:ascii="Arial Narrow" w:hAnsi="Arial Narrow"/>
                <w:sz w:val="20"/>
                <w:lang w:val="en-US"/>
              </w:rPr>
              <w:t xml:space="preserve"> diet</w:t>
            </w:r>
          </w:p>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For onset &gt;6 months:</w:t>
            </w:r>
            <w:r w:rsidRPr="00E37ACD">
              <w:rPr>
                <w:rFonts w:ascii="Arial Narrow" w:hAnsi="Arial Narrow"/>
                <w:sz w:val="20"/>
              </w:rPr>
              <w:t xml:space="preserve"> favours</w:t>
            </w:r>
            <w:r w:rsidRPr="00E37ACD">
              <w:rPr>
                <w:rFonts w:ascii="Arial Narrow" w:hAnsi="Arial Narrow"/>
                <w:sz w:val="20"/>
                <w:lang w:val="en-US"/>
              </w:rPr>
              <w:t xml:space="preserve"> </w:t>
            </w:r>
            <w:proofErr w:type="spellStart"/>
            <w:r w:rsidRPr="00E37ACD">
              <w:rPr>
                <w:rFonts w:ascii="Arial Narrow" w:hAnsi="Arial Narrow"/>
                <w:sz w:val="20"/>
                <w:lang w:val="en-US"/>
              </w:rPr>
              <w:t>nitisinone</w:t>
            </w:r>
            <w:proofErr w:type="spellEnd"/>
          </w:p>
        </w:tc>
      </w:tr>
      <w:tr w:rsidR="000A3C7D" w:rsidRPr="00E37ACD" w:rsidTr="00014051">
        <w:tc>
          <w:tcPr>
            <w:tcW w:w="916" w:type="pct"/>
            <w:vAlign w:val="center"/>
          </w:tcPr>
          <w:p w:rsidR="000A3C7D" w:rsidRPr="00E37ACD" w:rsidRDefault="000A3C7D" w:rsidP="00942872">
            <w:pPr>
              <w:keepNext/>
              <w:jc w:val="left"/>
              <w:rPr>
                <w:rFonts w:ascii="Arial Narrow" w:hAnsi="Arial Narrow"/>
                <w:sz w:val="20"/>
                <w:lang w:val="en-US"/>
              </w:rPr>
            </w:pPr>
            <w:r w:rsidRPr="00E37ACD">
              <w:rPr>
                <w:rFonts w:ascii="Arial Narrow" w:hAnsi="Arial Narrow"/>
                <w:sz w:val="20"/>
                <w:lang w:val="en-US"/>
              </w:rPr>
              <w:t>Liver transplantation</w:t>
            </w:r>
          </w:p>
        </w:tc>
        <w:tc>
          <w:tcPr>
            <w:tcW w:w="2335" w:type="pct"/>
            <w:vAlign w:val="center"/>
          </w:tcPr>
          <w:p w:rsidR="000A3C7D" w:rsidRPr="00E37ACD" w:rsidRDefault="000A3C7D" w:rsidP="00942872">
            <w:pPr>
              <w:keepNext/>
              <w:jc w:val="center"/>
              <w:rPr>
                <w:rFonts w:ascii="Arial Narrow" w:hAnsi="Arial Narrow"/>
                <w:sz w:val="20"/>
                <w:lang w:val="en-US"/>
              </w:rPr>
            </w:pPr>
            <w:proofErr w:type="spellStart"/>
            <w:r w:rsidRPr="00E37ACD">
              <w:rPr>
                <w:rFonts w:ascii="Arial Narrow" w:hAnsi="Arial Narrow"/>
                <w:sz w:val="20"/>
                <w:lang w:val="en-US"/>
              </w:rPr>
              <w:t>Nitisinone</w:t>
            </w:r>
            <w:proofErr w:type="spellEnd"/>
            <w:r w:rsidRPr="00E37ACD">
              <w:rPr>
                <w:rFonts w:ascii="Arial Narrow" w:hAnsi="Arial Narrow"/>
                <w:sz w:val="20"/>
                <w:lang w:val="en-US"/>
              </w:rPr>
              <w:t>: no transplants assumed after 6 years</w:t>
            </w:r>
          </w:p>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Diet: high rate assumed for model duration</w:t>
            </w:r>
          </w:p>
        </w:tc>
        <w:tc>
          <w:tcPr>
            <w:tcW w:w="1750" w:type="pct"/>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Moderate</w:t>
            </w:r>
          </w:p>
          <w:p w:rsidR="000A3C7D" w:rsidRPr="00E37ACD" w:rsidRDefault="000A3C7D" w:rsidP="00942872">
            <w:pPr>
              <w:keepNext/>
              <w:jc w:val="center"/>
              <w:rPr>
                <w:rFonts w:ascii="Arial Narrow" w:hAnsi="Arial Narrow"/>
                <w:sz w:val="20"/>
                <w:lang w:val="en-US"/>
              </w:rPr>
            </w:pPr>
            <w:r w:rsidRPr="00E37ACD">
              <w:rPr>
                <w:rFonts w:ascii="Arial Narrow" w:hAnsi="Arial Narrow"/>
                <w:sz w:val="20"/>
              </w:rPr>
              <w:t>Favours</w:t>
            </w:r>
            <w:r w:rsidRPr="00E37ACD">
              <w:rPr>
                <w:rFonts w:ascii="Arial Narrow" w:hAnsi="Arial Narrow"/>
                <w:sz w:val="20"/>
                <w:lang w:val="en-US"/>
              </w:rPr>
              <w:t xml:space="preserve"> diet</w:t>
            </w:r>
          </w:p>
        </w:tc>
      </w:tr>
      <w:tr w:rsidR="000A3C7D" w:rsidRPr="00E37ACD" w:rsidTr="00014051">
        <w:tc>
          <w:tcPr>
            <w:tcW w:w="916" w:type="pct"/>
            <w:vAlign w:val="center"/>
          </w:tcPr>
          <w:p w:rsidR="000A3C7D" w:rsidRPr="00E37ACD" w:rsidRDefault="000A3C7D" w:rsidP="00942872">
            <w:pPr>
              <w:keepNext/>
              <w:jc w:val="left"/>
              <w:rPr>
                <w:rFonts w:ascii="Arial Narrow" w:hAnsi="Arial Narrow"/>
                <w:sz w:val="20"/>
                <w:lang w:val="en-US"/>
              </w:rPr>
            </w:pPr>
            <w:r w:rsidRPr="00E37ACD">
              <w:rPr>
                <w:rFonts w:ascii="Arial Narrow" w:hAnsi="Arial Narrow"/>
                <w:sz w:val="20"/>
                <w:lang w:val="en-US"/>
              </w:rPr>
              <w:t>Utility values</w:t>
            </w:r>
          </w:p>
        </w:tc>
        <w:tc>
          <w:tcPr>
            <w:tcW w:w="2335" w:type="pct"/>
            <w:vAlign w:val="center"/>
          </w:tcPr>
          <w:p w:rsidR="000A3C7D" w:rsidRPr="00E37ACD" w:rsidRDefault="000A3C7D" w:rsidP="00942872">
            <w:pPr>
              <w:keepNext/>
              <w:jc w:val="center"/>
              <w:rPr>
                <w:rFonts w:ascii="Arial Narrow" w:hAnsi="Arial Narrow"/>
                <w:sz w:val="20"/>
                <w:lang w:val="en-US"/>
              </w:rPr>
            </w:pPr>
            <w:proofErr w:type="spellStart"/>
            <w:r w:rsidRPr="00E37ACD">
              <w:rPr>
                <w:rFonts w:ascii="Arial Narrow" w:hAnsi="Arial Narrow"/>
                <w:sz w:val="20"/>
                <w:lang w:val="en-US"/>
              </w:rPr>
              <w:t>Nitisinone</w:t>
            </w:r>
            <w:proofErr w:type="spellEnd"/>
            <w:r w:rsidRPr="00E37ACD">
              <w:rPr>
                <w:rFonts w:ascii="Arial Narrow" w:hAnsi="Arial Narrow"/>
                <w:sz w:val="20"/>
                <w:lang w:val="en-US"/>
              </w:rPr>
              <w:t>: 0.87; Diet 0.49-0.87;</w:t>
            </w:r>
          </w:p>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Sourced from hepatitis B adult patients</w:t>
            </w:r>
          </w:p>
        </w:tc>
        <w:tc>
          <w:tcPr>
            <w:tcW w:w="1750" w:type="pct"/>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High</w:t>
            </w:r>
          </w:p>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Direction of impact unknown</w:t>
            </w:r>
          </w:p>
        </w:tc>
      </w:tr>
      <w:tr w:rsidR="000A3C7D" w:rsidRPr="00E37ACD" w:rsidTr="00014051">
        <w:tc>
          <w:tcPr>
            <w:tcW w:w="916" w:type="pct"/>
            <w:vAlign w:val="center"/>
          </w:tcPr>
          <w:p w:rsidR="000A3C7D" w:rsidRPr="00E37ACD" w:rsidRDefault="000A3C7D" w:rsidP="00942872">
            <w:pPr>
              <w:keepNext/>
              <w:jc w:val="left"/>
              <w:rPr>
                <w:rFonts w:ascii="Arial Narrow" w:hAnsi="Arial Narrow"/>
                <w:sz w:val="20"/>
                <w:lang w:val="en-US"/>
              </w:rPr>
            </w:pPr>
            <w:r w:rsidRPr="00E37ACD">
              <w:rPr>
                <w:rFonts w:ascii="Arial Narrow" w:hAnsi="Arial Narrow"/>
                <w:sz w:val="20"/>
                <w:lang w:val="en-US"/>
              </w:rPr>
              <w:t>Age of clinical onset</w:t>
            </w:r>
          </w:p>
        </w:tc>
        <w:tc>
          <w:tcPr>
            <w:tcW w:w="2335" w:type="pct"/>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 xml:space="preserve">&lt;2 months: </w:t>
            </w:r>
            <w:r w:rsidR="00637BCD">
              <w:rPr>
                <w:rFonts w:ascii="Arial Narrow" w:hAnsi="Arial Narrow"/>
                <w:noProof/>
                <w:color w:val="000000"/>
                <w:sz w:val="20"/>
                <w:highlight w:val="black"/>
                <w:lang w:val="en-US"/>
              </w:rPr>
              <w:t>'''''''''''</w:t>
            </w:r>
            <w:r w:rsidRPr="00E37ACD">
              <w:rPr>
                <w:rFonts w:ascii="Arial Narrow" w:hAnsi="Arial Narrow"/>
                <w:sz w:val="20"/>
                <w:lang w:val="en-US"/>
              </w:rPr>
              <w:t xml:space="preserve">; 2-6 months: </w:t>
            </w:r>
            <w:r w:rsidR="00637BCD">
              <w:rPr>
                <w:rFonts w:ascii="Arial Narrow" w:hAnsi="Arial Narrow"/>
                <w:noProof/>
                <w:color w:val="000000"/>
                <w:sz w:val="20"/>
                <w:highlight w:val="black"/>
                <w:lang w:val="en-US"/>
              </w:rPr>
              <w:t>''''''''''</w:t>
            </w:r>
            <w:r w:rsidRPr="00E37ACD">
              <w:rPr>
                <w:rFonts w:ascii="Arial Narrow" w:hAnsi="Arial Narrow"/>
                <w:sz w:val="20"/>
                <w:lang w:val="en-US"/>
              </w:rPr>
              <w:t xml:space="preserve">; &gt;6 months: </w:t>
            </w:r>
            <w:r w:rsidR="00637BCD">
              <w:rPr>
                <w:rFonts w:ascii="Arial Narrow" w:hAnsi="Arial Narrow"/>
                <w:noProof/>
                <w:color w:val="000000"/>
                <w:sz w:val="20"/>
                <w:highlight w:val="black"/>
                <w:lang w:val="en-US"/>
              </w:rPr>
              <w:t>'''''''''''</w:t>
            </w:r>
          </w:p>
        </w:tc>
        <w:tc>
          <w:tcPr>
            <w:tcW w:w="1750" w:type="pct"/>
            <w:vAlign w:val="center"/>
          </w:tcPr>
          <w:p w:rsidR="000A3C7D" w:rsidRPr="00E37ACD" w:rsidRDefault="000A3C7D" w:rsidP="00942872">
            <w:pPr>
              <w:keepNext/>
              <w:jc w:val="center"/>
              <w:rPr>
                <w:rFonts w:ascii="Arial Narrow" w:hAnsi="Arial Narrow"/>
                <w:sz w:val="20"/>
                <w:lang w:val="en-US"/>
              </w:rPr>
            </w:pPr>
            <w:r w:rsidRPr="00E37ACD">
              <w:rPr>
                <w:rFonts w:ascii="Arial Narrow" w:hAnsi="Arial Narrow"/>
                <w:sz w:val="20"/>
                <w:lang w:val="en-US"/>
              </w:rPr>
              <w:t xml:space="preserve">High; </w:t>
            </w:r>
            <w:r w:rsidRPr="00E37ACD">
              <w:rPr>
                <w:rFonts w:ascii="Arial Narrow" w:hAnsi="Arial Narrow"/>
                <w:sz w:val="20"/>
              </w:rPr>
              <w:t>Favours</w:t>
            </w:r>
            <w:r w:rsidRPr="00E37ACD">
              <w:rPr>
                <w:rFonts w:ascii="Arial Narrow" w:hAnsi="Arial Narrow"/>
                <w:sz w:val="20"/>
                <w:lang w:val="en-US"/>
              </w:rPr>
              <w:t xml:space="preserve"> diet</w:t>
            </w:r>
          </w:p>
        </w:tc>
      </w:tr>
    </w:tbl>
    <w:p w:rsidR="000A3C7D" w:rsidRPr="00E37ACD" w:rsidRDefault="000A3C7D" w:rsidP="005D044D">
      <w:pPr>
        <w:pStyle w:val="TableFooter"/>
        <w:ind w:firstLine="720"/>
      </w:pPr>
      <w:r w:rsidRPr="00E37ACD">
        <w:t>Source: compiled during the evaluation</w:t>
      </w:r>
    </w:p>
    <w:p w:rsidR="000A3C7D" w:rsidRPr="00E37ACD" w:rsidRDefault="000A3C7D" w:rsidP="00AE5CD1"/>
    <w:p w:rsidR="000A3C7D" w:rsidRPr="00E37ACD" w:rsidRDefault="000A3C7D" w:rsidP="00F31E6E">
      <w:pPr>
        <w:pStyle w:val="ListParagraph"/>
        <w:widowControl/>
        <w:numPr>
          <w:ilvl w:val="1"/>
          <w:numId w:val="3"/>
        </w:numPr>
        <w:rPr>
          <w:szCs w:val="22"/>
        </w:rPr>
      </w:pPr>
      <w:r w:rsidRPr="00E37ACD">
        <w:t>The ESC noted the following concerns with components of the model:</w:t>
      </w:r>
    </w:p>
    <w:p w:rsidR="000A3C7D" w:rsidRPr="00E37ACD" w:rsidRDefault="000A3C7D" w:rsidP="00F31E6E">
      <w:pPr>
        <w:pStyle w:val="ListParagraph"/>
        <w:widowControl/>
        <w:numPr>
          <w:ilvl w:val="0"/>
          <w:numId w:val="1"/>
        </w:numPr>
        <w:ind w:left="993"/>
      </w:pPr>
      <w:r w:rsidRPr="00E37ACD">
        <w:t>The proportion of patients with age of onset greater than 6 months (chronic form) used in the model (</w:t>
      </w:r>
      <w:r w:rsidR="00637BCD">
        <w:rPr>
          <w:noProof/>
          <w:color w:val="000000"/>
          <w:highlight w:val="black"/>
        </w:rPr>
        <w:t>''''' '''''''''''</w:t>
      </w:r>
      <w:r w:rsidRPr="00E37ACD">
        <w:t>) is an overestimate compared with the data provided for Australian patients in the PSCR (</w:t>
      </w:r>
      <w:r w:rsidR="00637BCD">
        <w:rPr>
          <w:noProof/>
          <w:color w:val="000000"/>
          <w:highlight w:val="black"/>
        </w:rPr>
        <w:t>''''''''''''</w:t>
      </w:r>
      <w:r w:rsidRPr="00E37ACD">
        <w:t xml:space="preserve">). </w:t>
      </w:r>
    </w:p>
    <w:p w:rsidR="000A3C7D" w:rsidRPr="00E37ACD" w:rsidRDefault="000A3C7D" w:rsidP="00F31E6E">
      <w:pPr>
        <w:pStyle w:val="ListParagraph"/>
        <w:widowControl/>
        <w:numPr>
          <w:ilvl w:val="0"/>
          <w:numId w:val="1"/>
        </w:numPr>
        <w:ind w:left="993"/>
      </w:pPr>
      <w:r w:rsidRPr="00E37ACD">
        <w:t>A shorter time horizon than 100 years</w:t>
      </w:r>
      <w:r>
        <w:t xml:space="preserve"> – </w:t>
      </w:r>
      <w:r w:rsidRPr="00E37ACD">
        <w:t>for</w:t>
      </w:r>
      <w:r>
        <w:t xml:space="preserve"> </w:t>
      </w:r>
      <w:r w:rsidRPr="00E37ACD">
        <w:t>example, 22 years to coincide with the actual clinical experience of the drug</w:t>
      </w:r>
      <w:r>
        <w:t xml:space="preserve"> – </w:t>
      </w:r>
      <w:r w:rsidRPr="00E37ACD">
        <w:t>may be more appropriate to correspond to current clinical experience with the drug</w:t>
      </w:r>
      <w:r w:rsidR="006665F3">
        <w:t xml:space="preserve">, </w:t>
      </w:r>
      <w:r w:rsidRPr="00E37ACD">
        <w:t xml:space="preserve">given the lifetime </w:t>
      </w:r>
      <w:r w:rsidR="006665F3">
        <w:t>effects</w:t>
      </w:r>
      <w:r w:rsidRPr="00E37ACD">
        <w:t xml:space="preserve"> of the drug are unclear.</w:t>
      </w:r>
    </w:p>
    <w:p w:rsidR="000A3C7D" w:rsidRPr="00E37ACD" w:rsidRDefault="000A3C7D" w:rsidP="00F31E6E">
      <w:pPr>
        <w:pStyle w:val="ListParagraph"/>
        <w:widowControl/>
        <w:numPr>
          <w:ilvl w:val="0"/>
          <w:numId w:val="1"/>
        </w:numPr>
        <w:ind w:left="993"/>
      </w:pPr>
      <w:r w:rsidRPr="00E37ACD">
        <w:t>The applicability of utility values for adults with hepatitis B to children and adults with HT-1 is unknown. However, the ESC acknowledged the lack of available alternatives and considered that the utilities used in the model appeared to be a reasonable proxy.</w:t>
      </w:r>
    </w:p>
    <w:p w:rsidR="000A3C7D" w:rsidRPr="0093353F" w:rsidRDefault="000A3C7D" w:rsidP="0093353F">
      <w:pPr>
        <w:pStyle w:val="ListParagraph"/>
        <w:widowControl/>
        <w:numPr>
          <w:ilvl w:val="0"/>
          <w:numId w:val="1"/>
        </w:numPr>
        <w:ind w:left="993"/>
      </w:pPr>
      <w:r w:rsidRPr="00E37ACD">
        <w:t>T</w:t>
      </w:r>
      <w:r w:rsidRPr="00E37ACD">
        <w:rPr>
          <w:szCs w:val="22"/>
        </w:rPr>
        <w:t xml:space="preserve">he costs associated with ongoing outpatient follow-up after liver transplantation and adverse events </w:t>
      </w:r>
      <w:r>
        <w:rPr>
          <w:szCs w:val="22"/>
        </w:rPr>
        <w:t xml:space="preserve">were not included in the model. </w:t>
      </w:r>
      <w:r w:rsidRPr="00E37ACD">
        <w:rPr>
          <w:szCs w:val="22"/>
        </w:rPr>
        <w:t xml:space="preserve">However, it was acknowledged that the main cost driver in the model is the cost of </w:t>
      </w:r>
      <w:proofErr w:type="spellStart"/>
      <w:r w:rsidRPr="00E37ACD">
        <w:rPr>
          <w:szCs w:val="22"/>
        </w:rPr>
        <w:t>nitisinone</w:t>
      </w:r>
      <w:proofErr w:type="spellEnd"/>
      <w:r w:rsidRPr="00E37ACD">
        <w:rPr>
          <w:szCs w:val="22"/>
        </w:rPr>
        <w:t>.</w:t>
      </w:r>
    </w:p>
    <w:p w:rsidR="000A3C7D" w:rsidRDefault="000A3C7D" w:rsidP="0093353F">
      <w:pPr>
        <w:pStyle w:val="ListParagraph"/>
        <w:widowControl/>
        <w:numPr>
          <w:ilvl w:val="0"/>
          <w:numId w:val="1"/>
        </w:numPr>
        <w:ind w:left="993"/>
      </w:pPr>
      <w:r w:rsidRPr="0093353F">
        <w:rPr>
          <w:szCs w:val="22"/>
        </w:rPr>
        <w:t xml:space="preserve">The model does not consider the impact of neonatal screening on the costs and outcomes of treatment with </w:t>
      </w:r>
      <w:proofErr w:type="spellStart"/>
      <w:r w:rsidRPr="0093353F">
        <w:rPr>
          <w:szCs w:val="22"/>
        </w:rPr>
        <w:t>nitisinone</w:t>
      </w:r>
      <w:proofErr w:type="spellEnd"/>
      <w:r w:rsidRPr="0093353F">
        <w:rPr>
          <w:szCs w:val="22"/>
        </w:rPr>
        <w:t xml:space="preserve"> within an Australian setting. The PSCR argued that this was appropriate as it reflects current clinical practice. The ESC considered that changes in the extent and type of screening would increase the </w:t>
      </w:r>
      <w:proofErr w:type="spellStart"/>
      <w:r w:rsidRPr="0093353F">
        <w:rPr>
          <w:szCs w:val="22"/>
        </w:rPr>
        <w:t>nitisinone</w:t>
      </w:r>
      <w:proofErr w:type="spellEnd"/>
      <w:r w:rsidRPr="0093353F">
        <w:rPr>
          <w:szCs w:val="22"/>
        </w:rPr>
        <w:t xml:space="preserve"> treatment costs as patients commence treatment earlier, and would probably improve the outcome of treatment. </w:t>
      </w:r>
      <w:r w:rsidRPr="00E37ACD">
        <w:t>The ESC noted that if neonatal screening detected most patients with HT-1 then the proportions of patients with acute, subacute and chronic disease could not be determined and the extent of the survival benefit of treatment would be unknown. The ESC noted that two tests were available in Australia, and that fals</w:t>
      </w:r>
      <w:r w:rsidRPr="009C2C4C">
        <w:t xml:space="preserve">e positive and false negative tests would have important clinical and cost impacts. </w:t>
      </w:r>
    </w:p>
    <w:p w:rsidR="000A3C7D" w:rsidRDefault="000A3C7D" w:rsidP="00DF0D1C">
      <w:pPr>
        <w:pStyle w:val="ListParagraph"/>
        <w:widowControl/>
        <w:ind w:left="993"/>
      </w:pPr>
    </w:p>
    <w:p w:rsidR="000A3C7D" w:rsidRPr="00E37ACD" w:rsidRDefault="000A3C7D" w:rsidP="00F31E6E">
      <w:pPr>
        <w:pStyle w:val="ListParagraph"/>
        <w:widowControl/>
        <w:numPr>
          <w:ilvl w:val="1"/>
          <w:numId w:val="3"/>
        </w:numPr>
        <w:rPr>
          <w:szCs w:val="22"/>
        </w:rPr>
      </w:pPr>
      <w:r w:rsidRPr="00E37ACD">
        <w:t>The results of the stepped economic evaluation are presented in the table below. In the subsequent table the results are presented by age of clinical onset.</w:t>
      </w:r>
    </w:p>
    <w:p w:rsidR="000A3C7D" w:rsidRPr="00E37ACD" w:rsidRDefault="000A3C7D" w:rsidP="00D110BD">
      <w:pPr>
        <w:widowControl/>
        <w:rPr>
          <w:szCs w:val="22"/>
        </w:rPr>
      </w:pPr>
    </w:p>
    <w:p w:rsidR="000A3C7D" w:rsidRPr="00E37ACD" w:rsidRDefault="000A3C7D" w:rsidP="00942872">
      <w:pPr>
        <w:keepNext/>
        <w:ind w:firstLine="720"/>
        <w:rPr>
          <w:rStyle w:val="CommentReference"/>
          <w:rFonts w:cs="Arial"/>
          <w:sz w:val="20"/>
          <w:szCs w:val="16"/>
        </w:rPr>
      </w:pPr>
      <w:r w:rsidRPr="00E37ACD">
        <w:rPr>
          <w:rStyle w:val="CommentReference"/>
          <w:rFonts w:cs="Arial"/>
          <w:sz w:val="20"/>
          <w:szCs w:val="16"/>
        </w:rPr>
        <w:lastRenderedPageBreak/>
        <w:t>Results of the stepped economic evaluation</w:t>
      </w:r>
    </w:p>
    <w:tbl>
      <w:tblPr>
        <w:tblW w:w="4599"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05"/>
        <w:gridCol w:w="1039"/>
        <w:gridCol w:w="142"/>
        <w:gridCol w:w="139"/>
        <w:gridCol w:w="142"/>
        <w:gridCol w:w="144"/>
        <w:gridCol w:w="67"/>
        <w:gridCol w:w="217"/>
        <w:gridCol w:w="256"/>
        <w:gridCol w:w="234"/>
        <w:gridCol w:w="77"/>
        <w:gridCol w:w="707"/>
        <w:gridCol w:w="145"/>
        <w:gridCol w:w="140"/>
        <w:gridCol w:w="317"/>
        <w:gridCol w:w="707"/>
        <w:gridCol w:w="252"/>
        <w:gridCol w:w="282"/>
        <w:gridCol w:w="282"/>
        <w:gridCol w:w="550"/>
        <w:gridCol w:w="10"/>
      </w:tblGrid>
      <w:tr w:rsidR="000A3C7D" w:rsidRPr="00E37ACD" w:rsidTr="00812DB3">
        <w:tc>
          <w:tcPr>
            <w:tcW w:w="1499" w:type="pct"/>
            <w:vAlign w:val="center"/>
          </w:tcPr>
          <w:p w:rsidR="000A3C7D" w:rsidRPr="00E37ACD" w:rsidRDefault="000A3C7D" w:rsidP="00812DB3">
            <w:pPr>
              <w:keepNext/>
              <w:jc w:val="left"/>
              <w:rPr>
                <w:rFonts w:ascii="Arial Narrow" w:hAnsi="Arial Narrow" w:cs="Times New Roman"/>
                <w:b/>
                <w:sz w:val="20"/>
              </w:rPr>
            </w:pPr>
            <w:r w:rsidRPr="00E37ACD">
              <w:rPr>
                <w:rFonts w:ascii="Arial Narrow" w:hAnsi="Arial Narrow" w:cs="Times New Roman"/>
                <w:b/>
                <w:sz w:val="20"/>
              </w:rPr>
              <w:t>Step and component</w:t>
            </w:r>
          </w:p>
        </w:tc>
        <w:tc>
          <w:tcPr>
            <w:tcW w:w="1424" w:type="pct"/>
            <w:gridSpan w:val="9"/>
          </w:tcPr>
          <w:p w:rsidR="000A3C7D" w:rsidRPr="00E37ACD" w:rsidRDefault="000A3C7D" w:rsidP="00942872">
            <w:pPr>
              <w:keepNext/>
              <w:jc w:val="center"/>
              <w:rPr>
                <w:rFonts w:ascii="Arial Narrow" w:hAnsi="Arial Narrow" w:cs="Times New Roman"/>
                <w:b/>
                <w:sz w:val="20"/>
              </w:rPr>
            </w:pPr>
            <w:proofErr w:type="spellStart"/>
            <w:r w:rsidRPr="00E37ACD">
              <w:rPr>
                <w:rFonts w:ascii="Arial Narrow" w:hAnsi="Arial Narrow" w:cs="Times New Roman"/>
                <w:b/>
                <w:sz w:val="20"/>
              </w:rPr>
              <w:t>Nitisinone</w:t>
            </w:r>
            <w:proofErr w:type="spellEnd"/>
          </w:p>
        </w:tc>
        <w:tc>
          <w:tcPr>
            <w:tcW w:w="1253" w:type="pct"/>
            <w:gridSpan w:val="6"/>
            <w:vAlign w:val="center"/>
          </w:tcPr>
          <w:p w:rsidR="000A3C7D" w:rsidRPr="00E37ACD" w:rsidRDefault="000A3C7D" w:rsidP="00942872">
            <w:pPr>
              <w:keepNext/>
              <w:jc w:val="center"/>
              <w:rPr>
                <w:rFonts w:ascii="Arial Narrow" w:hAnsi="Arial Narrow" w:cs="Times New Roman"/>
                <w:b/>
                <w:sz w:val="20"/>
              </w:rPr>
            </w:pPr>
            <w:r w:rsidRPr="00E37ACD">
              <w:rPr>
                <w:rFonts w:ascii="Arial Narrow" w:hAnsi="Arial Narrow" w:cs="Times New Roman"/>
                <w:b/>
                <w:sz w:val="20"/>
              </w:rPr>
              <w:t>Diet alone</w:t>
            </w:r>
          </w:p>
        </w:tc>
        <w:tc>
          <w:tcPr>
            <w:tcW w:w="824" w:type="pct"/>
            <w:gridSpan w:val="5"/>
          </w:tcPr>
          <w:p w:rsidR="000A3C7D" w:rsidRPr="00E37ACD" w:rsidRDefault="000A3C7D" w:rsidP="00942872">
            <w:pPr>
              <w:keepNext/>
              <w:jc w:val="center"/>
              <w:rPr>
                <w:rFonts w:ascii="Arial Narrow" w:hAnsi="Arial Narrow" w:cs="Times New Roman"/>
                <w:b/>
                <w:sz w:val="20"/>
              </w:rPr>
            </w:pPr>
            <w:r w:rsidRPr="00E37ACD">
              <w:rPr>
                <w:rFonts w:ascii="Arial Narrow" w:hAnsi="Arial Narrow" w:cs="Times New Roman"/>
                <w:b/>
                <w:sz w:val="20"/>
              </w:rPr>
              <w:t>Increment</w:t>
            </w:r>
          </w:p>
        </w:tc>
      </w:tr>
      <w:tr w:rsidR="000A3C7D" w:rsidRPr="00E37ACD" w:rsidTr="00D97921">
        <w:tc>
          <w:tcPr>
            <w:tcW w:w="2206" w:type="pct"/>
            <w:gridSpan w:val="3"/>
            <w:tcBorders>
              <w:right w:val="nil"/>
            </w:tcBorders>
            <w:vAlign w:val="center"/>
          </w:tcPr>
          <w:p w:rsidR="000A3C7D" w:rsidRPr="00E37ACD" w:rsidRDefault="000A3C7D" w:rsidP="00942872">
            <w:pPr>
              <w:keepNext/>
              <w:jc w:val="left"/>
              <w:rPr>
                <w:rFonts w:ascii="Arial Narrow" w:hAnsi="Arial Narrow" w:cs="Arial Narrow"/>
                <w:b/>
                <w:bCs/>
                <w:sz w:val="20"/>
              </w:rPr>
            </w:pPr>
            <w:r w:rsidRPr="00E37ACD">
              <w:rPr>
                <w:rFonts w:ascii="Arial Narrow" w:hAnsi="Arial Narrow" w:cs="Arial Narrow"/>
                <w:b/>
                <w:bCs/>
                <w:sz w:val="20"/>
              </w:rPr>
              <w:t>Step 1: trial-based costs and outcomes</w:t>
            </w:r>
          </w:p>
        </w:tc>
        <w:tc>
          <w:tcPr>
            <w:tcW w:w="294" w:type="pct"/>
            <w:gridSpan w:val="4"/>
            <w:tcBorders>
              <w:left w:val="nil"/>
              <w:right w:val="nil"/>
            </w:tcBorders>
            <w:vAlign w:val="center"/>
          </w:tcPr>
          <w:p w:rsidR="000A3C7D" w:rsidRPr="00E37ACD" w:rsidRDefault="000A3C7D" w:rsidP="00942872">
            <w:pPr>
              <w:keepNext/>
              <w:jc w:val="left"/>
              <w:rPr>
                <w:rFonts w:ascii="Arial Narrow" w:hAnsi="Arial Narrow" w:cs="Arial Narrow"/>
                <w:b/>
                <w:bCs/>
                <w:sz w:val="20"/>
              </w:rPr>
            </w:pPr>
          </w:p>
        </w:tc>
        <w:tc>
          <w:tcPr>
            <w:tcW w:w="1253" w:type="pct"/>
            <w:gridSpan w:val="8"/>
            <w:tcBorders>
              <w:left w:val="nil"/>
              <w:right w:val="nil"/>
            </w:tcBorders>
            <w:vAlign w:val="center"/>
          </w:tcPr>
          <w:p w:rsidR="000A3C7D" w:rsidRPr="00E37ACD" w:rsidRDefault="000A3C7D" w:rsidP="00942872">
            <w:pPr>
              <w:keepNext/>
              <w:jc w:val="left"/>
              <w:rPr>
                <w:rFonts w:ascii="Arial Narrow" w:hAnsi="Arial Narrow" w:cs="Arial Narrow"/>
                <w:b/>
                <w:bCs/>
                <w:sz w:val="20"/>
              </w:rPr>
            </w:pPr>
          </w:p>
        </w:tc>
        <w:tc>
          <w:tcPr>
            <w:tcW w:w="1247" w:type="pct"/>
            <w:gridSpan w:val="6"/>
            <w:tcBorders>
              <w:left w:val="nil"/>
            </w:tcBorders>
            <w:vAlign w:val="center"/>
          </w:tcPr>
          <w:p w:rsidR="000A3C7D" w:rsidRPr="00E37ACD" w:rsidRDefault="000A3C7D" w:rsidP="00942872">
            <w:pPr>
              <w:keepNext/>
              <w:jc w:val="left"/>
              <w:rPr>
                <w:rFonts w:ascii="Arial Narrow" w:hAnsi="Arial Narrow" w:cs="Arial Narrow"/>
                <w:b/>
                <w:bCs/>
                <w:sz w:val="20"/>
              </w:rPr>
            </w:pPr>
          </w:p>
        </w:tc>
      </w:tr>
      <w:tr w:rsidR="000A3C7D" w:rsidRPr="00E37ACD" w:rsidTr="00D97921">
        <w:tc>
          <w:tcPr>
            <w:tcW w:w="1499" w:type="pct"/>
            <w:vAlign w:val="center"/>
          </w:tcPr>
          <w:p w:rsidR="000A3C7D" w:rsidRPr="00E37ACD" w:rsidRDefault="000A3C7D" w:rsidP="00942872">
            <w:pPr>
              <w:keepNext/>
              <w:jc w:val="left"/>
              <w:rPr>
                <w:rFonts w:ascii="Arial Narrow" w:hAnsi="Arial Narrow" w:cs="Times New Roman"/>
                <w:sz w:val="20"/>
              </w:rPr>
            </w:pPr>
            <w:r w:rsidRPr="00E37ACD">
              <w:rPr>
                <w:rFonts w:ascii="Arial Narrow" w:hAnsi="Arial Narrow" w:cs="Times New Roman"/>
                <w:sz w:val="20"/>
              </w:rPr>
              <w:t>Costs</w:t>
            </w:r>
          </w:p>
        </w:tc>
        <w:tc>
          <w:tcPr>
            <w:tcW w:w="1424" w:type="pct"/>
            <w:gridSpan w:val="9"/>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53" w:type="pct"/>
            <w:gridSpan w:val="6"/>
            <w:vAlign w:val="center"/>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24" w:type="pct"/>
            <w:gridSpan w:val="5"/>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0A3C7D" w:rsidRPr="00E37ACD" w:rsidTr="00D97921">
        <w:tc>
          <w:tcPr>
            <w:tcW w:w="1499" w:type="pct"/>
            <w:vAlign w:val="center"/>
          </w:tcPr>
          <w:p w:rsidR="000A3C7D" w:rsidRPr="00E37ACD" w:rsidRDefault="000A3C7D" w:rsidP="00942872">
            <w:pPr>
              <w:keepNext/>
              <w:jc w:val="left"/>
              <w:rPr>
                <w:rFonts w:ascii="Arial Narrow" w:hAnsi="Arial Narrow" w:cs="Times New Roman"/>
                <w:sz w:val="20"/>
              </w:rPr>
            </w:pPr>
            <w:r w:rsidRPr="00E37ACD">
              <w:rPr>
                <w:rFonts w:ascii="Arial Narrow" w:hAnsi="Arial Narrow" w:cs="Times New Roman"/>
                <w:sz w:val="20"/>
              </w:rPr>
              <w:t>LY</w:t>
            </w:r>
          </w:p>
        </w:tc>
        <w:tc>
          <w:tcPr>
            <w:tcW w:w="1424" w:type="pct"/>
            <w:gridSpan w:val="9"/>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53" w:type="pct"/>
            <w:gridSpan w:val="6"/>
            <w:vAlign w:val="center"/>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24" w:type="pct"/>
            <w:gridSpan w:val="5"/>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0A3C7D" w:rsidRPr="00E37ACD" w:rsidTr="00D97921">
        <w:tc>
          <w:tcPr>
            <w:tcW w:w="2289" w:type="pct"/>
            <w:gridSpan w:val="4"/>
            <w:tcBorders>
              <w:right w:val="nil"/>
            </w:tcBorders>
            <w:vAlign w:val="center"/>
          </w:tcPr>
          <w:p w:rsidR="000A3C7D" w:rsidRPr="00E37ACD" w:rsidRDefault="000A3C7D" w:rsidP="00942872">
            <w:pPr>
              <w:keepNext/>
              <w:jc w:val="left"/>
              <w:rPr>
                <w:rFonts w:ascii="Arial Narrow" w:hAnsi="Arial Narrow" w:cs="Times New Roman"/>
                <w:sz w:val="20"/>
              </w:rPr>
            </w:pPr>
            <w:r w:rsidRPr="00E37ACD">
              <w:rPr>
                <w:rFonts w:ascii="Arial Narrow" w:hAnsi="Arial Narrow" w:cs="Times New Roman"/>
                <w:b/>
                <w:sz w:val="20"/>
              </w:rPr>
              <w:t>Incremental cost/extra LY gained</w:t>
            </w:r>
          </w:p>
        </w:tc>
        <w:tc>
          <w:tcPr>
            <w:tcW w:w="494" w:type="pct"/>
            <w:gridSpan w:val="5"/>
            <w:tcBorders>
              <w:left w:val="nil"/>
              <w:right w:val="nil"/>
            </w:tcBorders>
            <w:vAlign w:val="center"/>
          </w:tcPr>
          <w:p w:rsidR="000A3C7D" w:rsidRPr="00637BCD" w:rsidRDefault="000A3C7D" w:rsidP="00942872">
            <w:pPr>
              <w:keepNext/>
              <w:jc w:val="left"/>
              <w:rPr>
                <w:rFonts w:ascii="Arial Narrow" w:hAnsi="Arial Narrow" w:cs="Times New Roman"/>
                <w:sz w:val="20"/>
              </w:rPr>
            </w:pPr>
          </w:p>
        </w:tc>
        <w:tc>
          <w:tcPr>
            <w:tcW w:w="1393" w:type="pct"/>
            <w:gridSpan w:val="7"/>
            <w:tcBorders>
              <w:left w:val="nil"/>
            </w:tcBorders>
            <w:vAlign w:val="center"/>
          </w:tcPr>
          <w:p w:rsidR="000A3C7D" w:rsidRPr="00637BCD" w:rsidRDefault="000A3C7D" w:rsidP="00942872">
            <w:pPr>
              <w:keepNext/>
              <w:jc w:val="left"/>
              <w:rPr>
                <w:rFonts w:ascii="Arial Narrow" w:hAnsi="Arial Narrow" w:cs="Times New Roman"/>
                <w:sz w:val="20"/>
              </w:rPr>
            </w:pPr>
          </w:p>
        </w:tc>
        <w:tc>
          <w:tcPr>
            <w:tcW w:w="824" w:type="pct"/>
            <w:gridSpan w:val="5"/>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b/>
                <w:noProof/>
                <w:color w:val="000000"/>
                <w:sz w:val="20"/>
                <w:highlight w:val="black"/>
              </w:rPr>
              <w:t>''''''''''''''''</w:t>
            </w:r>
          </w:p>
        </w:tc>
      </w:tr>
      <w:tr w:rsidR="000A3C7D" w:rsidRPr="00E37ACD" w:rsidTr="00D97921">
        <w:tc>
          <w:tcPr>
            <w:tcW w:w="3392" w:type="pct"/>
            <w:gridSpan w:val="12"/>
            <w:tcBorders>
              <w:right w:val="nil"/>
            </w:tcBorders>
            <w:vAlign w:val="center"/>
          </w:tcPr>
          <w:p w:rsidR="000A3C7D" w:rsidRPr="00E37ACD" w:rsidRDefault="000A3C7D" w:rsidP="00942872">
            <w:pPr>
              <w:keepNext/>
              <w:jc w:val="left"/>
              <w:rPr>
                <w:rFonts w:ascii="Arial Narrow" w:hAnsi="Arial Narrow" w:cs="Arial Narrow"/>
                <w:b/>
                <w:bCs/>
                <w:sz w:val="20"/>
              </w:rPr>
            </w:pPr>
            <w:r w:rsidRPr="00E37ACD">
              <w:rPr>
                <w:rFonts w:ascii="Arial Narrow" w:hAnsi="Arial Narrow" w:cs="Arial Narrow"/>
                <w:b/>
                <w:bCs/>
                <w:sz w:val="20"/>
              </w:rPr>
              <w:t>Step 2: trial results and pre-modelling (inclusion of liver transplants)</w:t>
            </w:r>
          </w:p>
        </w:tc>
        <w:tc>
          <w:tcPr>
            <w:tcW w:w="171" w:type="pct"/>
            <w:gridSpan w:val="2"/>
            <w:tcBorders>
              <w:left w:val="nil"/>
              <w:right w:val="nil"/>
            </w:tcBorders>
            <w:vAlign w:val="center"/>
          </w:tcPr>
          <w:p w:rsidR="000A3C7D" w:rsidRPr="00E37ACD" w:rsidRDefault="000A3C7D" w:rsidP="00942872">
            <w:pPr>
              <w:keepNext/>
              <w:jc w:val="left"/>
              <w:rPr>
                <w:rFonts w:ascii="Arial Narrow" w:hAnsi="Arial Narrow" w:cs="Arial Narrow"/>
                <w:b/>
                <w:bCs/>
                <w:sz w:val="20"/>
              </w:rPr>
            </w:pPr>
          </w:p>
        </w:tc>
        <w:tc>
          <w:tcPr>
            <w:tcW w:w="190" w:type="pct"/>
            <w:tcBorders>
              <w:left w:val="nil"/>
              <w:right w:val="nil"/>
            </w:tcBorders>
            <w:vAlign w:val="center"/>
          </w:tcPr>
          <w:p w:rsidR="000A3C7D" w:rsidRPr="00E37ACD" w:rsidRDefault="000A3C7D" w:rsidP="00942872">
            <w:pPr>
              <w:keepNext/>
              <w:jc w:val="left"/>
              <w:rPr>
                <w:rFonts w:ascii="Arial Narrow" w:hAnsi="Arial Narrow" w:cs="Arial Narrow"/>
                <w:b/>
                <w:bCs/>
                <w:sz w:val="20"/>
              </w:rPr>
            </w:pPr>
          </w:p>
        </w:tc>
        <w:tc>
          <w:tcPr>
            <w:tcW w:w="1247" w:type="pct"/>
            <w:gridSpan w:val="6"/>
            <w:tcBorders>
              <w:left w:val="nil"/>
            </w:tcBorders>
            <w:vAlign w:val="center"/>
          </w:tcPr>
          <w:p w:rsidR="000A3C7D" w:rsidRPr="00E37ACD" w:rsidRDefault="000A3C7D" w:rsidP="00942872">
            <w:pPr>
              <w:keepNext/>
              <w:jc w:val="left"/>
              <w:rPr>
                <w:rFonts w:ascii="Arial Narrow" w:hAnsi="Arial Narrow" w:cs="Arial Narrow"/>
                <w:b/>
                <w:bCs/>
                <w:sz w:val="20"/>
              </w:rPr>
            </w:pPr>
          </w:p>
        </w:tc>
      </w:tr>
      <w:tr w:rsidR="000A3C7D" w:rsidRPr="00E37ACD" w:rsidTr="00D97921">
        <w:tc>
          <w:tcPr>
            <w:tcW w:w="1499" w:type="pct"/>
            <w:vAlign w:val="center"/>
          </w:tcPr>
          <w:p w:rsidR="000A3C7D" w:rsidRPr="00E37ACD" w:rsidRDefault="000A3C7D" w:rsidP="00942872">
            <w:pPr>
              <w:keepNext/>
              <w:jc w:val="left"/>
              <w:rPr>
                <w:rFonts w:ascii="Arial Narrow" w:hAnsi="Arial Narrow" w:cs="Times New Roman"/>
                <w:sz w:val="20"/>
              </w:rPr>
            </w:pPr>
            <w:r w:rsidRPr="00E37ACD">
              <w:rPr>
                <w:rFonts w:ascii="Arial Narrow" w:hAnsi="Arial Narrow" w:cs="Times New Roman"/>
                <w:sz w:val="20"/>
              </w:rPr>
              <w:t>Costs</w:t>
            </w:r>
          </w:p>
        </w:tc>
        <w:tc>
          <w:tcPr>
            <w:tcW w:w="1424" w:type="pct"/>
            <w:gridSpan w:val="9"/>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53" w:type="pct"/>
            <w:gridSpan w:val="6"/>
            <w:vAlign w:val="center"/>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24" w:type="pct"/>
            <w:gridSpan w:val="5"/>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0A3C7D" w:rsidRPr="00E37ACD" w:rsidTr="00D97921">
        <w:tc>
          <w:tcPr>
            <w:tcW w:w="1499" w:type="pct"/>
            <w:vAlign w:val="center"/>
          </w:tcPr>
          <w:p w:rsidR="000A3C7D" w:rsidRPr="00E37ACD" w:rsidRDefault="000A3C7D" w:rsidP="00942872">
            <w:pPr>
              <w:keepNext/>
              <w:jc w:val="left"/>
              <w:rPr>
                <w:rFonts w:ascii="Arial Narrow" w:hAnsi="Arial Narrow" w:cs="Times New Roman"/>
                <w:sz w:val="20"/>
              </w:rPr>
            </w:pPr>
            <w:r w:rsidRPr="00E37ACD">
              <w:rPr>
                <w:rFonts w:ascii="Arial Narrow" w:hAnsi="Arial Narrow" w:cs="Times New Roman"/>
                <w:sz w:val="20"/>
              </w:rPr>
              <w:t>LY</w:t>
            </w:r>
          </w:p>
        </w:tc>
        <w:tc>
          <w:tcPr>
            <w:tcW w:w="1424" w:type="pct"/>
            <w:gridSpan w:val="9"/>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53" w:type="pct"/>
            <w:gridSpan w:val="6"/>
            <w:vAlign w:val="center"/>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24" w:type="pct"/>
            <w:gridSpan w:val="5"/>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0A3C7D" w:rsidRPr="00E37ACD" w:rsidTr="00D97921">
        <w:trPr>
          <w:trHeight w:val="70"/>
        </w:trPr>
        <w:tc>
          <w:tcPr>
            <w:tcW w:w="2630" w:type="pct"/>
            <w:gridSpan w:val="8"/>
            <w:tcBorders>
              <w:right w:val="nil"/>
            </w:tcBorders>
            <w:vAlign w:val="center"/>
          </w:tcPr>
          <w:p w:rsidR="000A3C7D" w:rsidRPr="00E37ACD" w:rsidRDefault="000A3C7D" w:rsidP="00942872">
            <w:pPr>
              <w:keepNext/>
              <w:jc w:val="left"/>
              <w:rPr>
                <w:rFonts w:ascii="Arial Narrow" w:hAnsi="Arial Narrow" w:cs="Times New Roman"/>
                <w:sz w:val="20"/>
              </w:rPr>
            </w:pPr>
            <w:r w:rsidRPr="00E37ACD">
              <w:rPr>
                <w:rFonts w:ascii="Arial Narrow" w:hAnsi="Arial Narrow" w:cs="Times New Roman"/>
                <w:b/>
                <w:sz w:val="20"/>
              </w:rPr>
              <w:t>Incremental cost/extra LY gained</w:t>
            </w:r>
          </w:p>
        </w:tc>
        <w:tc>
          <w:tcPr>
            <w:tcW w:w="153" w:type="pct"/>
            <w:tcBorders>
              <w:left w:val="nil"/>
              <w:right w:val="nil"/>
            </w:tcBorders>
            <w:vAlign w:val="center"/>
          </w:tcPr>
          <w:p w:rsidR="000A3C7D" w:rsidRPr="00E37ACD" w:rsidRDefault="000A3C7D" w:rsidP="00942872">
            <w:pPr>
              <w:keepNext/>
              <w:jc w:val="left"/>
              <w:rPr>
                <w:rFonts w:ascii="Arial Narrow" w:hAnsi="Arial Narrow" w:cs="Times New Roman"/>
                <w:sz w:val="20"/>
              </w:rPr>
            </w:pPr>
          </w:p>
        </w:tc>
        <w:tc>
          <w:tcPr>
            <w:tcW w:w="1393" w:type="pct"/>
            <w:gridSpan w:val="7"/>
            <w:tcBorders>
              <w:left w:val="nil"/>
            </w:tcBorders>
            <w:vAlign w:val="center"/>
          </w:tcPr>
          <w:p w:rsidR="000A3C7D" w:rsidRPr="00E37ACD" w:rsidRDefault="000A3C7D" w:rsidP="00942872">
            <w:pPr>
              <w:keepNext/>
              <w:jc w:val="left"/>
              <w:rPr>
                <w:rFonts w:ascii="Arial Narrow" w:hAnsi="Arial Narrow" w:cs="Times New Roman"/>
                <w:sz w:val="20"/>
              </w:rPr>
            </w:pPr>
          </w:p>
        </w:tc>
        <w:tc>
          <w:tcPr>
            <w:tcW w:w="824" w:type="pct"/>
            <w:gridSpan w:val="5"/>
          </w:tcPr>
          <w:p w:rsidR="000A3C7D" w:rsidRPr="00637BCD" w:rsidRDefault="00637BCD" w:rsidP="00942872">
            <w:pPr>
              <w:keepNext/>
              <w:jc w:val="center"/>
              <w:rPr>
                <w:rFonts w:ascii="Arial Narrow" w:hAnsi="Arial Narrow" w:cs="Times New Roman"/>
                <w:b/>
                <w:sz w:val="20"/>
                <w:highlight w:val="black"/>
              </w:rPr>
            </w:pPr>
            <w:r>
              <w:rPr>
                <w:rFonts w:ascii="Arial Narrow" w:hAnsi="Arial Narrow" w:cs="Times New Roman"/>
                <w:b/>
                <w:noProof/>
                <w:color w:val="000000"/>
                <w:sz w:val="20"/>
                <w:highlight w:val="black"/>
              </w:rPr>
              <w:t>''''''''''''''''</w:t>
            </w:r>
          </w:p>
        </w:tc>
      </w:tr>
      <w:tr w:rsidR="000A3C7D" w:rsidRPr="00E37ACD" w:rsidTr="00D97921">
        <w:tc>
          <w:tcPr>
            <w:tcW w:w="3392" w:type="pct"/>
            <w:gridSpan w:val="12"/>
            <w:tcBorders>
              <w:right w:val="nil"/>
            </w:tcBorders>
            <w:vAlign w:val="center"/>
          </w:tcPr>
          <w:p w:rsidR="000A3C7D" w:rsidRPr="00E37ACD" w:rsidRDefault="000A3C7D" w:rsidP="00942872">
            <w:pPr>
              <w:keepNext/>
              <w:jc w:val="left"/>
              <w:rPr>
                <w:rFonts w:ascii="Arial Narrow" w:hAnsi="Arial Narrow" w:cs="Arial Narrow"/>
                <w:b/>
                <w:bCs/>
                <w:sz w:val="20"/>
              </w:rPr>
            </w:pPr>
            <w:r w:rsidRPr="00E37ACD">
              <w:rPr>
                <w:rFonts w:ascii="Arial Narrow" w:hAnsi="Arial Narrow" w:cs="Arial Narrow"/>
                <w:b/>
                <w:bCs/>
                <w:sz w:val="20"/>
              </w:rPr>
              <w:t>Step 3: trial results and pre-modelling (inclusion of monitoring costs)</w:t>
            </w:r>
          </w:p>
        </w:tc>
        <w:tc>
          <w:tcPr>
            <w:tcW w:w="171" w:type="pct"/>
            <w:gridSpan w:val="2"/>
            <w:tcBorders>
              <w:left w:val="nil"/>
              <w:right w:val="nil"/>
            </w:tcBorders>
            <w:vAlign w:val="center"/>
          </w:tcPr>
          <w:p w:rsidR="000A3C7D" w:rsidRPr="00E37ACD" w:rsidRDefault="000A3C7D" w:rsidP="00942872">
            <w:pPr>
              <w:keepNext/>
              <w:jc w:val="left"/>
              <w:rPr>
                <w:rFonts w:ascii="Arial Narrow" w:hAnsi="Arial Narrow" w:cs="Arial Narrow"/>
                <w:b/>
                <w:bCs/>
                <w:sz w:val="20"/>
              </w:rPr>
            </w:pPr>
          </w:p>
        </w:tc>
        <w:tc>
          <w:tcPr>
            <w:tcW w:w="190" w:type="pct"/>
            <w:tcBorders>
              <w:left w:val="nil"/>
              <w:right w:val="nil"/>
            </w:tcBorders>
            <w:vAlign w:val="center"/>
          </w:tcPr>
          <w:p w:rsidR="000A3C7D" w:rsidRPr="00E37ACD" w:rsidRDefault="000A3C7D" w:rsidP="00942872">
            <w:pPr>
              <w:keepNext/>
              <w:jc w:val="left"/>
              <w:rPr>
                <w:rFonts w:ascii="Arial Narrow" w:hAnsi="Arial Narrow" w:cs="Arial Narrow"/>
                <w:b/>
                <w:bCs/>
                <w:sz w:val="20"/>
              </w:rPr>
            </w:pPr>
          </w:p>
        </w:tc>
        <w:tc>
          <w:tcPr>
            <w:tcW w:w="1247" w:type="pct"/>
            <w:gridSpan w:val="6"/>
            <w:tcBorders>
              <w:left w:val="nil"/>
            </w:tcBorders>
            <w:vAlign w:val="center"/>
          </w:tcPr>
          <w:p w:rsidR="000A3C7D" w:rsidRPr="00E37ACD" w:rsidRDefault="000A3C7D" w:rsidP="00942872">
            <w:pPr>
              <w:keepNext/>
              <w:jc w:val="left"/>
              <w:rPr>
                <w:rFonts w:ascii="Arial Narrow" w:hAnsi="Arial Narrow" w:cs="Arial Narrow"/>
                <w:b/>
                <w:bCs/>
                <w:sz w:val="20"/>
              </w:rPr>
            </w:pPr>
          </w:p>
        </w:tc>
      </w:tr>
      <w:tr w:rsidR="000A3C7D" w:rsidRPr="00E37ACD" w:rsidTr="00D97921">
        <w:tc>
          <w:tcPr>
            <w:tcW w:w="1499" w:type="pct"/>
            <w:vAlign w:val="center"/>
          </w:tcPr>
          <w:p w:rsidR="000A3C7D" w:rsidRPr="00E37ACD" w:rsidRDefault="000A3C7D" w:rsidP="00942872">
            <w:pPr>
              <w:keepNext/>
              <w:jc w:val="left"/>
              <w:rPr>
                <w:rFonts w:ascii="Arial Narrow" w:hAnsi="Arial Narrow" w:cs="Times New Roman"/>
                <w:sz w:val="20"/>
              </w:rPr>
            </w:pPr>
            <w:r w:rsidRPr="00E37ACD">
              <w:rPr>
                <w:rFonts w:ascii="Arial Narrow" w:hAnsi="Arial Narrow" w:cs="Times New Roman"/>
                <w:sz w:val="20"/>
              </w:rPr>
              <w:t>Costs</w:t>
            </w:r>
          </w:p>
        </w:tc>
        <w:tc>
          <w:tcPr>
            <w:tcW w:w="1424" w:type="pct"/>
            <w:gridSpan w:val="9"/>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53" w:type="pct"/>
            <w:gridSpan w:val="6"/>
            <w:vAlign w:val="center"/>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24" w:type="pct"/>
            <w:gridSpan w:val="5"/>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0A3C7D" w:rsidRPr="00E37ACD" w:rsidTr="00D97921">
        <w:tc>
          <w:tcPr>
            <w:tcW w:w="1499" w:type="pct"/>
            <w:vAlign w:val="center"/>
          </w:tcPr>
          <w:p w:rsidR="000A3C7D" w:rsidRPr="00E37ACD" w:rsidRDefault="000A3C7D" w:rsidP="00942872">
            <w:pPr>
              <w:keepNext/>
              <w:jc w:val="left"/>
              <w:rPr>
                <w:rFonts w:ascii="Arial Narrow" w:hAnsi="Arial Narrow" w:cs="Times New Roman"/>
                <w:sz w:val="20"/>
              </w:rPr>
            </w:pPr>
            <w:r w:rsidRPr="00E37ACD">
              <w:rPr>
                <w:rFonts w:ascii="Arial Narrow" w:hAnsi="Arial Narrow" w:cs="Times New Roman"/>
                <w:sz w:val="20"/>
              </w:rPr>
              <w:t>LY</w:t>
            </w:r>
          </w:p>
        </w:tc>
        <w:tc>
          <w:tcPr>
            <w:tcW w:w="1424" w:type="pct"/>
            <w:gridSpan w:val="9"/>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53" w:type="pct"/>
            <w:gridSpan w:val="6"/>
            <w:vAlign w:val="center"/>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24" w:type="pct"/>
            <w:gridSpan w:val="5"/>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0A3C7D" w:rsidRPr="00E37ACD" w:rsidTr="00D97921">
        <w:tc>
          <w:tcPr>
            <w:tcW w:w="2374" w:type="pct"/>
            <w:gridSpan w:val="5"/>
            <w:tcBorders>
              <w:right w:val="nil"/>
            </w:tcBorders>
            <w:vAlign w:val="center"/>
          </w:tcPr>
          <w:p w:rsidR="000A3C7D" w:rsidRPr="00E37ACD" w:rsidRDefault="000A3C7D" w:rsidP="00942872">
            <w:pPr>
              <w:keepNext/>
              <w:jc w:val="left"/>
              <w:rPr>
                <w:rFonts w:ascii="Arial Narrow" w:hAnsi="Arial Narrow" w:cs="Times New Roman"/>
                <w:b/>
                <w:sz w:val="20"/>
              </w:rPr>
            </w:pPr>
            <w:r w:rsidRPr="00E37ACD">
              <w:rPr>
                <w:rFonts w:ascii="Arial Narrow" w:hAnsi="Arial Narrow" w:cs="Times New Roman"/>
                <w:b/>
                <w:sz w:val="20"/>
              </w:rPr>
              <w:t>Incremental cost/extra LY gained</w:t>
            </w:r>
          </w:p>
        </w:tc>
        <w:tc>
          <w:tcPr>
            <w:tcW w:w="409" w:type="pct"/>
            <w:gridSpan w:val="4"/>
            <w:tcBorders>
              <w:left w:val="nil"/>
              <w:right w:val="nil"/>
            </w:tcBorders>
            <w:vAlign w:val="center"/>
          </w:tcPr>
          <w:p w:rsidR="000A3C7D" w:rsidRPr="00E37ACD" w:rsidRDefault="000A3C7D" w:rsidP="00942872">
            <w:pPr>
              <w:keepNext/>
              <w:jc w:val="left"/>
              <w:rPr>
                <w:rFonts w:ascii="Arial Narrow" w:hAnsi="Arial Narrow" w:cs="Times New Roman"/>
                <w:b/>
                <w:sz w:val="20"/>
              </w:rPr>
            </w:pPr>
          </w:p>
        </w:tc>
        <w:tc>
          <w:tcPr>
            <w:tcW w:w="1393" w:type="pct"/>
            <w:gridSpan w:val="7"/>
            <w:tcBorders>
              <w:left w:val="nil"/>
            </w:tcBorders>
            <w:vAlign w:val="center"/>
          </w:tcPr>
          <w:p w:rsidR="000A3C7D" w:rsidRPr="00E37ACD" w:rsidRDefault="000A3C7D" w:rsidP="00942872">
            <w:pPr>
              <w:keepNext/>
              <w:jc w:val="left"/>
              <w:rPr>
                <w:rFonts w:ascii="Arial Narrow" w:hAnsi="Arial Narrow" w:cs="Times New Roman"/>
                <w:b/>
                <w:sz w:val="20"/>
              </w:rPr>
            </w:pPr>
          </w:p>
        </w:tc>
        <w:tc>
          <w:tcPr>
            <w:tcW w:w="824" w:type="pct"/>
            <w:gridSpan w:val="5"/>
          </w:tcPr>
          <w:p w:rsidR="000A3C7D" w:rsidRPr="00637BCD" w:rsidRDefault="00637BCD" w:rsidP="00942872">
            <w:pPr>
              <w:keepNext/>
              <w:jc w:val="center"/>
              <w:rPr>
                <w:rFonts w:ascii="Arial Narrow" w:hAnsi="Arial Narrow" w:cs="Times New Roman"/>
                <w:b/>
                <w:sz w:val="20"/>
                <w:highlight w:val="black"/>
              </w:rPr>
            </w:pPr>
            <w:r>
              <w:rPr>
                <w:rFonts w:ascii="Arial Narrow" w:hAnsi="Arial Narrow" w:cs="Times New Roman"/>
                <w:b/>
                <w:noProof/>
                <w:color w:val="000000"/>
                <w:sz w:val="20"/>
                <w:highlight w:val="black"/>
              </w:rPr>
              <w:t>'''''''''''''''''</w:t>
            </w:r>
          </w:p>
        </w:tc>
      </w:tr>
      <w:tr w:rsidR="000A3C7D" w:rsidRPr="00E37ACD" w:rsidTr="00D97921">
        <w:trPr>
          <w:gridAfter w:val="1"/>
          <w:wAfter w:w="6" w:type="pct"/>
        </w:trPr>
        <w:tc>
          <w:tcPr>
            <w:tcW w:w="4327" w:type="pct"/>
            <w:gridSpan w:val="17"/>
            <w:tcBorders>
              <w:right w:val="nil"/>
            </w:tcBorders>
            <w:vAlign w:val="center"/>
          </w:tcPr>
          <w:p w:rsidR="000A3C7D" w:rsidRPr="00E37ACD" w:rsidRDefault="000A3C7D" w:rsidP="00942872">
            <w:pPr>
              <w:keepNext/>
              <w:jc w:val="left"/>
              <w:rPr>
                <w:rFonts w:ascii="Arial Narrow" w:hAnsi="Arial Narrow" w:cs="Arial Narrow"/>
                <w:b/>
                <w:bCs/>
                <w:sz w:val="20"/>
              </w:rPr>
            </w:pPr>
            <w:r w:rsidRPr="00E37ACD">
              <w:rPr>
                <w:rFonts w:ascii="Arial Narrow" w:hAnsi="Arial Narrow" w:cs="Arial Narrow"/>
                <w:b/>
                <w:bCs/>
                <w:sz w:val="20"/>
              </w:rPr>
              <w:t>Step 4: trial results and pre-modelling (extrapolated to 100 year time horizon)</w:t>
            </w:r>
          </w:p>
        </w:tc>
        <w:tc>
          <w:tcPr>
            <w:tcW w:w="169" w:type="pct"/>
            <w:tcBorders>
              <w:left w:val="nil"/>
              <w:right w:val="nil"/>
            </w:tcBorders>
            <w:vAlign w:val="center"/>
          </w:tcPr>
          <w:p w:rsidR="000A3C7D" w:rsidRPr="00E37ACD" w:rsidRDefault="000A3C7D" w:rsidP="00942872">
            <w:pPr>
              <w:keepNext/>
              <w:jc w:val="left"/>
              <w:rPr>
                <w:rFonts w:ascii="Arial Narrow" w:hAnsi="Arial Narrow" w:cs="Arial Narrow"/>
                <w:b/>
                <w:bCs/>
                <w:sz w:val="20"/>
              </w:rPr>
            </w:pPr>
          </w:p>
        </w:tc>
        <w:tc>
          <w:tcPr>
            <w:tcW w:w="169" w:type="pct"/>
            <w:tcBorders>
              <w:left w:val="nil"/>
              <w:right w:val="nil"/>
            </w:tcBorders>
            <w:vAlign w:val="center"/>
          </w:tcPr>
          <w:p w:rsidR="000A3C7D" w:rsidRPr="00E37ACD" w:rsidRDefault="000A3C7D" w:rsidP="00942872">
            <w:pPr>
              <w:keepNext/>
              <w:jc w:val="left"/>
              <w:rPr>
                <w:rFonts w:ascii="Arial Narrow" w:hAnsi="Arial Narrow" w:cs="Arial Narrow"/>
                <w:b/>
                <w:bCs/>
                <w:sz w:val="20"/>
              </w:rPr>
            </w:pPr>
          </w:p>
        </w:tc>
        <w:tc>
          <w:tcPr>
            <w:tcW w:w="329" w:type="pct"/>
            <w:tcBorders>
              <w:left w:val="nil"/>
            </w:tcBorders>
            <w:vAlign w:val="center"/>
          </w:tcPr>
          <w:p w:rsidR="000A3C7D" w:rsidRPr="00E37ACD" w:rsidRDefault="000A3C7D" w:rsidP="00942872">
            <w:pPr>
              <w:keepNext/>
              <w:jc w:val="left"/>
              <w:rPr>
                <w:rFonts w:ascii="Arial Narrow" w:hAnsi="Arial Narrow" w:cs="Arial Narrow"/>
                <w:b/>
                <w:bCs/>
                <w:sz w:val="20"/>
              </w:rPr>
            </w:pPr>
          </w:p>
        </w:tc>
      </w:tr>
      <w:tr w:rsidR="000A3C7D" w:rsidRPr="00E37ACD" w:rsidTr="00D97921">
        <w:tc>
          <w:tcPr>
            <w:tcW w:w="1499" w:type="pct"/>
            <w:vAlign w:val="center"/>
          </w:tcPr>
          <w:p w:rsidR="000A3C7D" w:rsidRPr="00E37ACD" w:rsidRDefault="000A3C7D" w:rsidP="00942872">
            <w:pPr>
              <w:keepNext/>
              <w:jc w:val="left"/>
              <w:rPr>
                <w:rFonts w:ascii="Arial Narrow" w:hAnsi="Arial Narrow" w:cs="Times New Roman"/>
                <w:sz w:val="20"/>
              </w:rPr>
            </w:pPr>
            <w:r w:rsidRPr="00E37ACD">
              <w:rPr>
                <w:rFonts w:ascii="Arial Narrow" w:hAnsi="Arial Narrow" w:cs="Times New Roman"/>
                <w:sz w:val="20"/>
              </w:rPr>
              <w:t>Costs</w:t>
            </w:r>
          </w:p>
        </w:tc>
        <w:tc>
          <w:tcPr>
            <w:tcW w:w="1424" w:type="pct"/>
            <w:gridSpan w:val="9"/>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53" w:type="pct"/>
            <w:gridSpan w:val="6"/>
            <w:vAlign w:val="center"/>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24" w:type="pct"/>
            <w:gridSpan w:val="5"/>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0A3C7D" w:rsidRPr="00E37ACD" w:rsidTr="00D97921">
        <w:tc>
          <w:tcPr>
            <w:tcW w:w="1499" w:type="pct"/>
            <w:vAlign w:val="center"/>
          </w:tcPr>
          <w:p w:rsidR="000A3C7D" w:rsidRPr="00E37ACD" w:rsidRDefault="000A3C7D" w:rsidP="00942872">
            <w:pPr>
              <w:keepNext/>
              <w:jc w:val="left"/>
              <w:rPr>
                <w:rFonts w:ascii="Arial Narrow" w:hAnsi="Arial Narrow" w:cs="Times New Roman"/>
                <w:sz w:val="20"/>
              </w:rPr>
            </w:pPr>
            <w:r w:rsidRPr="00E37ACD">
              <w:rPr>
                <w:rFonts w:ascii="Arial Narrow" w:hAnsi="Arial Narrow" w:cs="Times New Roman"/>
                <w:sz w:val="20"/>
              </w:rPr>
              <w:t>LY</w:t>
            </w:r>
          </w:p>
        </w:tc>
        <w:tc>
          <w:tcPr>
            <w:tcW w:w="1424" w:type="pct"/>
            <w:gridSpan w:val="9"/>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53" w:type="pct"/>
            <w:gridSpan w:val="6"/>
            <w:vAlign w:val="center"/>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24" w:type="pct"/>
            <w:gridSpan w:val="5"/>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0A3C7D" w:rsidRPr="00E37ACD" w:rsidTr="00D97921">
        <w:tc>
          <w:tcPr>
            <w:tcW w:w="2460" w:type="pct"/>
            <w:gridSpan w:val="6"/>
            <w:tcBorders>
              <w:right w:val="nil"/>
            </w:tcBorders>
            <w:vAlign w:val="center"/>
          </w:tcPr>
          <w:p w:rsidR="000A3C7D" w:rsidRPr="00E37ACD" w:rsidRDefault="000A3C7D" w:rsidP="00942872">
            <w:pPr>
              <w:keepNext/>
              <w:jc w:val="left"/>
              <w:rPr>
                <w:rFonts w:ascii="Arial Narrow" w:hAnsi="Arial Narrow" w:cs="Times New Roman"/>
                <w:b/>
                <w:sz w:val="20"/>
              </w:rPr>
            </w:pPr>
            <w:r w:rsidRPr="00E37ACD">
              <w:rPr>
                <w:rFonts w:ascii="Arial Narrow" w:hAnsi="Arial Narrow" w:cs="Times New Roman"/>
                <w:b/>
                <w:sz w:val="20"/>
              </w:rPr>
              <w:t>Incremental cost/extra LY gained</w:t>
            </w:r>
          </w:p>
        </w:tc>
        <w:tc>
          <w:tcPr>
            <w:tcW w:w="323" w:type="pct"/>
            <w:gridSpan w:val="3"/>
            <w:tcBorders>
              <w:left w:val="nil"/>
              <w:right w:val="nil"/>
            </w:tcBorders>
            <w:vAlign w:val="center"/>
          </w:tcPr>
          <w:p w:rsidR="000A3C7D" w:rsidRPr="00E37ACD" w:rsidRDefault="000A3C7D" w:rsidP="00942872">
            <w:pPr>
              <w:keepNext/>
              <w:jc w:val="left"/>
              <w:rPr>
                <w:rFonts w:ascii="Arial Narrow" w:hAnsi="Arial Narrow" w:cs="Times New Roman"/>
                <w:b/>
                <w:sz w:val="20"/>
              </w:rPr>
            </w:pPr>
          </w:p>
        </w:tc>
        <w:tc>
          <w:tcPr>
            <w:tcW w:w="1393" w:type="pct"/>
            <w:gridSpan w:val="7"/>
            <w:tcBorders>
              <w:left w:val="nil"/>
            </w:tcBorders>
            <w:vAlign w:val="center"/>
          </w:tcPr>
          <w:p w:rsidR="000A3C7D" w:rsidRPr="00E37ACD" w:rsidRDefault="000A3C7D" w:rsidP="00942872">
            <w:pPr>
              <w:keepNext/>
              <w:jc w:val="left"/>
              <w:rPr>
                <w:rFonts w:ascii="Arial Narrow" w:hAnsi="Arial Narrow" w:cs="Times New Roman"/>
                <w:b/>
                <w:sz w:val="20"/>
              </w:rPr>
            </w:pPr>
          </w:p>
        </w:tc>
        <w:tc>
          <w:tcPr>
            <w:tcW w:w="824" w:type="pct"/>
            <w:gridSpan w:val="5"/>
          </w:tcPr>
          <w:p w:rsidR="000A3C7D" w:rsidRPr="00637BCD" w:rsidRDefault="00637BCD" w:rsidP="00942872">
            <w:pPr>
              <w:keepNext/>
              <w:jc w:val="center"/>
              <w:rPr>
                <w:rFonts w:ascii="Arial Narrow" w:hAnsi="Arial Narrow" w:cs="Times New Roman"/>
                <w:b/>
                <w:sz w:val="20"/>
                <w:highlight w:val="black"/>
              </w:rPr>
            </w:pPr>
            <w:r>
              <w:rPr>
                <w:rFonts w:ascii="Arial Narrow" w:hAnsi="Arial Narrow" w:cs="Times New Roman"/>
                <w:b/>
                <w:noProof/>
                <w:color w:val="000000"/>
                <w:sz w:val="20"/>
                <w:highlight w:val="black"/>
              </w:rPr>
              <w:t>''''''''''''''''''</w:t>
            </w:r>
          </w:p>
        </w:tc>
      </w:tr>
      <w:tr w:rsidR="000A3C7D" w:rsidRPr="00E37ACD" w:rsidTr="00D97921">
        <w:tc>
          <w:tcPr>
            <w:tcW w:w="2969" w:type="pct"/>
            <w:gridSpan w:val="11"/>
            <w:tcBorders>
              <w:right w:val="nil"/>
            </w:tcBorders>
            <w:vAlign w:val="center"/>
          </w:tcPr>
          <w:p w:rsidR="000A3C7D" w:rsidRPr="00E37ACD" w:rsidRDefault="000A3C7D" w:rsidP="00942872">
            <w:pPr>
              <w:keepNext/>
              <w:jc w:val="left"/>
              <w:rPr>
                <w:rFonts w:ascii="Arial Narrow" w:hAnsi="Arial Narrow" w:cs="Arial Narrow"/>
                <w:b/>
                <w:bCs/>
                <w:sz w:val="20"/>
              </w:rPr>
            </w:pPr>
            <w:r w:rsidRPr="00E37ACD">
              <w:rPr>
                <w:rFonts w:ascii="Arial Narrow" w:hAnsi="Arial Narrow" w:cs="Arial Narrow"/>
                <w:b/>
                <w:bCs/>
                <w:sz w:val="20"/>
              </w:rPr>
              <w:t>Step 5: modelled evaluation (quality weighting of survival)</w:t>
            </w:r>
          </w:p>
        </w:tc>
        <w:tc>
          <w:tcPr>
            <w:tcW w:w="510" w:type="pct"/>
            <w:gridSpan w:val="2"/>
            <w:tcBorders>
              <w:left w:val="nil"/>
              <w:right w:val="nil"/>
            </w:tcBorders>
            <w:vAlign w:val="center"/>
          </w:tcPr>
          <w:p w:rsidR="000A3C7D" w:rsidRPr="00E37ACD" w:rsidRDefault="000A3C7D" w:rsidP="00942872">
            <w:pPr>
              <w:keepNext/>
              <w:jc w:val="left"/>
              <w:rPr>
                <w:rFonts w:ascii="Arial Narrow" w:hAnsi="Arial Narrow" w:cs="Arial Narrow"/>
                <w:b/>
                <w:bCs/>
                <w:sz w:val="20"/>
              </w:rPr>
            </w:pPr>
          </w:p>
        </w:tc>
        <w:tc>
          <w:tcPr>
            <w:tcW w:w="271" w:type="pct"/>
            <w:gridSpan w:val="2"/>
            <w:tcBorders>
              <w:left w:val="nil"/>
              <w:right w:val="nil"/>
            </w:tcBorders>
            <w:vAlign w:val="center"/>
          </w:tcPr>
          <w:p w:rsidR="000A3C7D" w:rsidRPr="00E37ACD" w:rsidRDefault="000A3C7D" w:rsidP="00942872">
            <w:pPr>
              <w:keepNext/>
              <w:jc w:val="left"/>
              <w:rPr>
                <w:rFonts w:ascii="Arial Narrow" w:hAnsi="Arial Narrow" w:cs="Arial Narrow"/>
                <w:b/>
                <w:bCs/>
                <w:sz w:val="20"/>
              </w:rPr>
            </w:pPr>
          </w:p>
        </w:tc>
        <w:tc>
          <w:tcPr>
            <w:tcW w:w="1250" w:type="pct"/>
            <w:gridSpan w:val="6"/>
            <w:tcBorders>
              <w:left w:val="nil"/>
            </w:tcBorders>
            <w:vAlign w:val="center"/>
          </w:tcPr>
          <w:p w:rsidR="000A3C7D" w:rsidRPr="00E37ACD" w:rsidRDefault="000A3C7D" w:rsidP="00942872">
            <w:pPr>
              <w:keepNext/>
              <w:jc w:val="left"/>
              <w:rPr>
                <w:rFonts w:ascii="Arial Narrow" w:hAnsi="Arial Narrow" w:cs="Arial Narrow"/>
                <w:b/>
                <w:bCs/>
                <w:sz w:val="20"/>
              </w:rPr>
            </w:pPr>
          </w:p>
        </w:tc>
      </w:tr>
      <w:tr w:rsidR="000A3C7D" w:rsidRPr="00E37ACD" w:rsidTr="00D97921">
        <w:tc>
          <w:tcPr>
            <w:tcW w:w="1499" w:type="pct"/>
            <w:vAlign w:val="center"/>
          </w:tcPr>
          <w:p w:rsidR="000A3C7D" w:rsidRPr="00E37ACD" w:rsidRDefault="000A3C7D" w:rsidP="00942872">
            <w:pPr>
              <w:keepNext/>
              <w:jc w:val="left"/>
              <w:rPr>
                <w:rFonts w:ascii="Arial Narrow" w:hAnsi="Arial Narrow" w:cs="Times New Roman"/>
                <w:sz w:val="20"/>
              </w:rPr>
            </w:pPr>
            <w:r w:rsidRPr="00E37ACD">
              <w:rPr>
                <w:rFonts w:ascii="Arial Narrow" w:hAnsi="Arial Narrow" w:cs="Times New Roman"/>
                <w:sz w:val="20"/>
              </w:rPr>
              <w:t>Costs</w:t>
            </w:r>
          </w:p>
        </w:tc>
        <w:tc>
          <w:tcPr>
            <w:tcW w:w="1424" w:type="pct"/>
            <w:gridSpan w:val="9"/>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53" w:type="pct"/>
            <w:gridSpan w:val="6"/>
            <w:vAlign w:val="center"/>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24" w:type="pct"/>
            <w:gridSpan w:val="5"/>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0A3C7D" w:rsidRPr="00E37ACD" w:rsidTr="00D97921">
        <w:tc>
          <w:tcPr>
            <w:tcW w:w="1499" w:type="pct"/>
            <w:vAlign w:val="center"/>
          </w:tcPr>
          <w:p w:rsidR="000A3C7D" w:rsidRPr="00E37ACD" w:rsidRDefault="000A3C7D" w:rsidP="00942872">
            <w:pPr>
              <w:keepNext/>
              <w:jc w:val="left"/>
              <w:rPr>
                <w:rFonts w:ascii="Arial Narrow" w:hAnsi="Arial Narrow" w:cs="Times New Roman"/>
                <w:sz w:val="20"/>
              </w:rPr>
            </w:pPr>
            <w:r w:rsidRPr="00E37ACD">
              <w:rPr>
                <w:rFonts w:ascii="Arial Narrow" w:hAnsi="Arial Narrow" w:cs="Times New Roman"/>
                <w:sz w:val="20"/>
              </w:rPr>
              <w:t>QALY</w:t>
            </w:r>
          </w:p>
        </w:tc>
        <w:tc>
          <w:tcPr>
            <w:tcW w:w="1424" w:type="pct"/>
            <w:gridSpan w:val="9"/>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53" w:type="pct"/>
            <w:gridSpan w:val="6"/>
            <w:vAlign w:val="center"/>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24" w:type="pct"/>
            <w:gridSpan w:val="5"/>
          </w:tcPr>
          <w:p w:rsidR="000A3C7D" w:rsidRPr="00637BCD" w:rsidRDefault="00637BCD" w:rsidP="00942872">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0A3C7D" w:rsidRPr="00E37ACD" w:rsidTr="00D97921">
        <w:tc>
          <w:tcPr>
            <w:tcW w:w="2121" w:type="pct"/>
            <w:gridSpan w:val="2"/>
            <w:tcBorders>
              <w:right w:val="nil"/>
            </w:tcBorders>
            <w:vAlign w:val="center"/>
          </w:tcPr>
          <w:p w:rsidR="000A3C7D" w:rsidRPr="00E37ACD" w:rsidRDefault="000A3C7D" w:rsidP="00942872">
            <w:pPr>
              <w:keepNext/>
              <w:jc w:val="left"/>
              <w:rPr>
                <w:rFonts w:ascii="Arial Narrow" w:hAnsi="Arial Narrow" w:cs="Times New Roman"/>
                <w:b/>
                <w:sz w:val="20"/>
              </w:rPr>
            </w:pPr>
            <w:r w:rsidRPr="00E37ACD">
              <w:rPr>
                <w:rFonts w:ascii="Arial Narrow" w:hAnsi="Arial Narrow" w:cs="Times New Roman"/>
                <w:b/>
                <w:sz w:val="20"/>
              </w:rPr>
              <w:t>Incremental cost/extra QALY gained</w:t>
            </w:r>
          </w:p>
        </w:tc>
        <w:tc>
          <w:tcPr>
            <w:tcW w:w="662" w:type="pct"/>
            <w:gridSpan w:val="7"/>
            <w:tcBorders>
              <w:left w:val="nil"/>
              <w:right w:val="nil"/>
            </w:tcBorders>
            <w:vAlign w:val="center"/>
          </w:tcPr>
          <w:p w:rsidR="000A3C7D" w:rsidRPr="00E37ACD" w:rsidRDefault="000A3C7D" w:rsidP="00942872">
            <w:pPr>
              <w:keepNext/>
              <w:jc w:val="left"/>
              <w:rPr>
                <w:rFonts w:ascii="Arial Narrow" w:hAnsi="Arial Narrow" w:cs="Times New Roman"/>
                <w:b/>
                <w:sz w:val="20"/>
              </w:rPr>
            </w:pPr>
          </w:p>
        </w:tc>
        <w:tc>
          <w:tcPr>
            <w:tcW w:w="1393" w:type="pct"/>
            <w:gridSpan w:val="7"/>
            <w:tcBorders>
              <w:left w:val="nil"/>
            </w:tcBorders>
            <w:vAlign w:val="center"/>
          </w:tcPr>
          <w:p w:rsidR="000A3C7D" w:rsidRPr="00E37ACD" w:rsidRDefault="000A3C7D" w:rsidP="00942872">
            <w:pPr>
              <w:keepNext/>
              <w:jc w:val="left"/>
              <w:rPr>
                <w:rFonts w:ascii="Arial Narrow" w:hAnsi="Arial Narrow" w:cs="Times New Roman"/>
                <w:b/>
                <w:sz w:val="20"/>
              </w:rPr>
            </w:pPr>
          </w:p>
        </w:tc>
        <w:tc>
          <w:tcPr>
            <w:tcW w:w="824" w:type="pct"/>
            <w:gridSpan w:val="5"/>
          </w:tcPr>
          <w:p w:rsidR="000A3C7D" w:rsidRPr="00637BCD" w:rsidRDefault="00637BCD" w:rsidP="00942872">
            <w:pPr>
              <w:keepNext/>
              <w:jc w:val="center"/>
              <w:rPr>
                <w:rFonts w:ascii="Arial Narrow" w:hAnsi="Arial Narrow" w:cs="Times New Roman"/>
                <w:b/>
                <w:sz w:val="20"/>
                <w:highlight w:val="black"/>
              </w:rPr>
            </w:pPr>
            <w:r>
              <w:rPr>
                <w:rFonts w:ascii="Arial Narrow" w:hAnsi="Arial Narrow" w:cs="Times New Roman"/>
                <w:b/>
                <w:noProof/>
                <w:color w:val="000000"/>
                <w:sz w:val="20"/>
                <w:highlight w:val="black"/>
              </w:rPr>
              <w:t>''''''''''''''''''</w:t>
            </w:r>
          </w:p>
        </w:tc>
      </w:tr>
    </w:tbl>
    <w:p w:rsidR="000A3C7D" w:rsidRPr="00E37ACD" w:rsidRDefault="000A3C7D" w:rsidP="001B260C">
      <w:pPr>
        <w:pStyle w:val="TableFooter"/>
        <w:ind w:firstLine="720"/>
      </w:pPr>
      <w:r w:rsidRPr="00E37ACD">
        <w:t>Source: Table D.5-1, p199; Table D.5-2, p200; Table D.5-3, p200; Table D.5-4, p201; Table D.5-5, p201 of the submission</w:t>
      </w:r>
    </w:p>
    <w:p w:rsidR="000A3C7D" w:rsidRPr="00E37ACD" w:rsidRDefault="000A3C7D" w:rsidP="001B260C">
      <w:pPr>
        <w:pStyle w:val="TableFooter"/>
        <w:ind w:firstLine="720"/>
      </w:pPr>
      <w:r w:rsidRPr="00E37ACD">
        <w:t>LY = life year, QALY = quality adjusted life year</w:t>
      </w:r>
    </w:p>
    <w:p w:rsidR="002A6182" w:rsidRDefault="002A6182" w:rsidP="002A6182">
      <w:pPr>
        <w:pStyle w:val="ListParagraph"/>
        <w:widowControl/>
        <w:ind w:left="993"/>
      </w:pPr>
    </w:p>
    <w:p w:rsidR="002A6182" w:rsidRDefault="002A6182" w:rsidP="002A6182">
      <w:pPr>
        <w:widowControl/>
      </w:pPr>
      <w:r>
        <w:tab/>
        <w:t>The redacted table above shows the ICER to be more than $200,000/QALY</w:t>
      </w:r>
    </w:p>
    <w:p w:rsidR="002A6182" w:rsidRDefault="002A6182" w:rsidP="002A6182">
      <w:pPr>
        <w:pStyle w:val="ListParagraph"/>
        <w:widowControl/>
        <w:ind w:left="993"/>
      </w:pPr>
    </w:p>
    <w:p w:rsidR="000A3C7D" w:rsidRPr="00E37ACD" w:rsidRDefault="000A3C7D" w:rsidP="00942872">
      <w:pPr>
        <w:keepNext/>
        <w:ind w:firstLine="720"/>
        <w:rPr>
          <w:rStyle w:val="CommentReference"/>
          <w:rFonts w:cs="Arial"/>
          <w:sz w:val="20"/>
          <w:szCs w:val="16"/>
        </w:rPr>
      </w:pPr>
      <w:r w:rsidRPr="00E37ACD">
        <w:rPr>
          <w:rStyle w:val="CommentReference"/>
          <w:rFonts w:cs="Arial"/>
          <w:sz w:val="20"/>
          <w:szCs w:val="16"/>
        </w:rPr>
        <w:t>Results for model Steps 3 and 4 by age of clinical onset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0"/>
        <w:gridCol w:w="603"/>
        <w:gridCol w:w="1488"/>
        <w:gridCol w:w="72"/>
        <w:gridCol w:w="1560"/>
        <w:gridCol w:w="459"/>
        <w:gridCol w:w="2091"/>
      </w:tblGrid>
      <w:tr w:rsidR="000A3C7D" w:rsidRPr="00E37ACD" w:rsidTr="00690D7C">
        <w:trPr>
          <w:tblHeader/>
        </w:trPr>
        <w:tc>
          <w:tcPr>
            <w:tcW w:w="2693" w:type="dxa"/>
            <w:gridSpan w:val="2"/>
          </w:tcPr>
          <w:p w:rsidR="000A3C7D" w:rsidRPr="00690D7C" w:rsidRDefault="000A3C7D" w:rsidP="00690D7C">
            <w:pPr>
              <w:keepNext/>
              <w:jc w:val="left"/>
              <w:rPr>
                <w:rFonts w:ascii="Arial Narrow" w:hAnsi="Arial Narrow" w:cs="Times New Roman"/>
                <w:b/>
                <w:sz w:val="20"/>
              </w:rPr>
            </w:pPr>
            <w:r w:rsidRPr="00690D7C">
              <w:rPr>
                <w:rFonts w:ascii="Arial Narrow" w:hAnsi="Arial Narrow" w:cs="Times New Roman"/>
                <w:b/>
                <w:sz w:val="20"/>
              </w:rPr>
              <w:t>Age at onset</w:t>
            </w:r>
          </w:p>
        </w:tc>
        <w:tc>
          <w:tcPr>
            <w:tcW w:w="1560" w:type="dxa"/>
            <w:gridSpan w:val="2"/>
          </w:tcPr>
          <w:p w:rsidR="000A3C7D" w:rsidRPr="00690D7C" w:rsidRDefault="000A3C7D" w:rsidP="00690D7C">
            <w:pPr>
              <w:keepNext/>
              <w:jc w:val="center"/>
              <w:rPr>
                <w:rFonts w:ascii="Arial Narrow" w:hAnsi="Arial Narrow" w:cs="Times New Roman"/>
                <w:b/>
                <w:sz w:val="20"/>
              </w:rPr>
            </w:pPr>
            <w:r w:rsidRPr="00690D7C">
              <w:rPr>
                <w:rFonts w:ascii="Arial Narrow" w:hAnsi="Arial Narrow" w:cs="Times New Roman"/>
                <w:b/>
                <w:sz w:val="20"/>
              </w:rPr>
              <w:t>Incremental cost</w:t>
            </w:r>
          </w:p>
        </w:tc>
        <w:tc>
          <w:tcPr>
            <w:tcW w:w="1560" w:type="dxa"/>
          </w:tcPr>
          <w:p w:rsidR="000A3C7D" w:rsidRPr="00690D7C" w:rsidRDefault="000A3C7D" w:rsidP="00690D7C">
            <w:pPr>
              <w:keepNext/>
              <w:jc w:val="center"/>
              <w:rPr>
                <w:rFonts w:ascii="Arial Narrow" w:hAnsi="Arial Narrow" w:cs="Times New Roman"/>
                <w:b/>
                <w:sz w:val="20"/>
              </w:rPr>
            </w:pPr>
            <w:r w:rsidRPr="00690D7C">
              <w:rPr>
                <w:rFonts w:ascii="Arial Narrow" w:hAnsi="Arial Narrow" w:cs="Times New Roman"/>
                <w:b/>
                <w:sz w:val="20"/>
              </w:rPr>
              <w:t>Incremental LYs</w:t>
            </w:r>
          </w:p>
        </w:tc>
        <w:tc>
          <w:tcPr>
            <w:tcW w:w="2550" w:type="dxa"/>
            <w:gridSpan w:val="2"/>
          </w:tcPr>
          <w:p w:rsidR="000A3C7D" w:rsidRPr="00690D7C" w:rsidRDefault="000A3C7D" w:rsidP="00690D7C">
            <w:pPr>
              <w:keepNext/>
              <w:jc w:val="center"/>
              <w:rPr>
                <w:rFonts w:ascii="Arial Narrow" w:hAnsi="Arial Narrow" w:cs="Times New Roman"/>
                <w:b/>
                <w:sz w:val="20"/>
              </w:rPr>
            </w:pPr>
            <w:r w:rsidRPr="00690D7C">
              <w:rPr>
                <w:rFonts w:ascii="Arial Narrow" w:hAnsi="Arial Narrow" w:cs="Times New Roman"/>
                <w:b/>
                <w:sz w:val="20"/>
              </w:rPr>
              <w:t>Incremental cost/LY gained</w:t>
            </w:r>
          </w:p>
        </w:tc>
      </w:tr>
      <w:tr w:rsidR="000A3C7D" w:rsidRPr="00E37ACD" w:rsidTr="00690D7C">
        <w:tc>
          <w:tcPr>
            <w:tcW w:w="2090" w:type="dxa"/>
            <w:tcBorders>
              <w:right w:val="nil"/>
            </w:tcBorders>
          </w:tcPr>
          <w:p w:rsidR="000A3C7D" w:rsidRPr="00690D7C" w:rsidRDefault="000A3C7D" w:rsidP="00690D7C">
            <w:pPr>
              <w:keepNext/>
              <w:jc w:val="left"/>
              <w:rPr>
                <w:rFonts w:ascii="Arial Narrow" w:hAnsi="Arial Narrow" w:cs="Times New Roman"/>
                <w:b/>
                <w:sz w:val="20"/>
              </w:rPr>
            </w:pPr>
            <w:r w:rsidRPr="00690D7C">
              <w:rPr>
                <w:rFonts w:ascii="Arial Narrow" w:hAnsi="Arial Narrow" w:cs="Times New Roman"/>
                <w:b/>
                <w:sz w:val="20"/>
              </w:rPr>
              <w:t>0-2 months</w:t>
            </w:r>
          </w:p>
        </w:tc>
        <w:tc>
          <w:tcPr>
            <w:tcW w:w="2091" w:type="dxa"/>
            <w:gridSpan w:val="2"/>
            <w:tcBorders>
              <w:left w:val="nil"/>
              <w:right w:val="nil"/>
            </w:tcBorders>
          </w:tcPr>
          <w:p w:rsidR="000A3C7D" w:rsidRPr="00690D7C" w:rsidRDefault="000A3C7D" w:rsidP="00690D7C">
            <w:pPr>
              <w:keepNext/>
              <w:jc w:val="left"/>
              <w:rPr>
                <w:rFonts w:ascii="Arial Narrow" w:hAnsi="Arial Narrow" w:cs="Times New Roman"/>
                <w:b/>
                <w:sz w:val="20"/>
              </w:rPr>
            </w:pPr>
          </w:p>
        </w:tc>
        <w:tc>
          <w:tcPr>
            <w:tcW w:w="2091" w:type="dxa"/>
            <w:gridSpan w:val="3"/>
            <w:tcBorders>
              <w:left w:val="nil"/>
              <w:right w:val="nil"/>
            </w:tcBorders>
          </w:tcPr>
          <w:p w:rsidR="000A3C7D" w:rsidRPr="00690D7C" w:rsidRDefault="000A3C7D" w:rsidP="00690D7C">
            <w:pPr>
              <w:keepNext/>
              <w:jc w:val="left"/>
              <w:rPr>
                <w:rFonts w:ascii="Arial Narrow" w:hAnsi="Arial Narrow" w:cs="Times New Roman"/>
                <w:b/>
                <w:sz w:val="20"/>
              </w:rPr>
            </w:pPr>
          </w:p>
        </w:tc>
        <w:tc>
          <w:tcPr>
            <w:tcW w:w="2091" w:type="dxa"/>
            <w:tcBorders>
              <w:left w:val="nil"/>
            </w:tcBorders>
          </w:tcPr>
          <w:p w:rsidR="000A3C7D" w:rsidRPr="00690D7C" w:rsidRDefault="000A3C7D" w:rsidP="00690D7C">
            <w:pPr>
              <w:keepNext/>
              <w:jc w:val="left"/>
              <w:rPr>
                <w:rFonts w:ascii="Arial Narrow" w:hAnsi="Arial Narrow" w:cs="Times New Roman"/>
                <w:b/>
                <w:sz w:val="20"/>
              </w:rPr>
            </w:pPr>
          </w:p>
        </w:tc>
      </w:tr>
      <w:tr w:rsidR="000A3C7D" w:rsidRPr="00E37ACD" w:rsidTr="00690D7C">
        <w:tc>
          <w:tcPr>
            <w:tcW w:w="2693" w:type="dxa"/>
            <w:gridSpan w:val="2"/>
          </w:tcPr>
          <w:p w:rsidR="000A3C7D" w:rsidRPr="00690D7C" w:rsidRDefault="000A3C7D" w:rsidP="00690D7C">
            <w:pPr>
              <w:keepNext/>
              <w:ind w:left="142"/>
              <w:jc w:val="left"/>
              <w:rPr>
                <w:rFonts w:ascii="Arial Narrow" w:hAnsi="Arial Narrow" w:cs="Times New Roman"/>
                <w:sz w:val="20"/>
              </w:rPr>
            </w:pPr>
            <w:r w:rsidRPr="00690D7C">
              <w:rPr>
                <w:rFonts w:ascii="Arial Narrow" w:hAnsi="Arial Narrow" w:cs="Times New Roman"/>
                <w:sz w:val="20"/>
              </w:rPr>
              <w:t>6.75 year time horizon (Step 3)</w:t>
            </w:r>
          </w:p>
        </w:tc>
        <w:tc>
          <w:tcPr>
            <w:tcW w:w="1560" w:type="dxa"/>
            <w:gridSpan w:val="2"/>
          </w:tcPr>
          <w:p w:rsidR="000A3C7D" w:rsidRPr="00637BCD" w:rsidRDefault="00637BCD" w:rsidP="00690D7C">
            <w:pPr>
              <w:keepNext/>
              <w:ind w:left="142"/>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560" w:type="dxa"/>
          </w:tcPr>
          <w:p w:rsidR="000A3C7D" w:rsidRPr="00637BCD" w:rsidRDefault="00637BCD" w:rsidP="00690D7C">
            <w:pPr>
              <w:keepNext/>
              <w:ind w:left="142"/>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2550" w:type="dxa"/>
            <w:gridSpan w:val="2"/>
          </w:tcPr>
          <w:p w:rsidR="000A3C7D" w:rsidRPr="00637BCD" w:rsidRDefault="00637BCD" w:rsidP="00690D7C">
            <w:pPr>
              <w:keepNext/>
              <w:ind w:left="142"/>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0A3C7D" w:rsidRPr="00E37ACD" w:rsidTr="00690D7C">
        <w:tc>
          <w:tcPr>
            <w:tcW w:w="2693" w:type="dxa"/>
            <w:gridSpan w:val="2"/>
          </w:tcPr>
          <w:p w:rsidR="000A3C7D" w:rsidRPr="00690D7C" w:rsidRDefault="000A3C7D" w:rsidP="00690D7C">
            <w:pPr>
              <w:keepNext/>
              <w:ind w:left="142"/>
              <w:jc w:val="left"/>
              <w:rPr>
                <w:rFonts w:ascii="Arial Narrow" w:hAnsi="Arial Narrow" w:cs="Times New Roman"/>
                <w:sz w:val="20"/>
              </w:rPr>
            </w:pPr>
            <w:r w:rsidRPr="00690D7C">
              <w:rPr>
                <w:rFonts w:ascii="Arial Narrow" w:hAnsi="Arial Narrow" w:cs="Times New Roman"/>
                <w:sz w:val="20"/>
              </w:rPr>
              <w:t>100 year time horizon (Step 4)</w:t>
            </w:r>
          </w:p>
        </w:tc>
        <w:tc>
          <w:tcPr>
            <w:tcW w:w="1560" w:type="dxa"/>
            <w:gridSpan w:val="2"/>
          </w:tcPr>
          <w:p w:rsidR="000A3C7D" w:rsidRPr="00637BCD" w:rsidRDefault="00637BCD" w:rsidP="00690D7C">
            <w:pPr>
              <w:keepNext/>
              <w:ind w:left="142"/>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560" w:type="dxa"/>
          </w:tcPr>
          <w:p w:rsidR="000A3C7D" w:rsidRPr="00637BCD" w:rsidRDefault="00637BCD" w:rsidP="00690D7C">
            <w:pPr>
              <w:keepNext/>
              <w:ind w:left="142"/>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2550" w:type="dxa"/>
            <w:gridSpan w:val="2"/>
          </w:tcPr>
          <w:p w:rsidR="000A3C7D" w:rsidRPr="00637BCD" w:rsidRDefault="00637BCD" w:rsidP="00690D7C">
            <w:pPr>
              <w:keepNext/>
              <w:ind w:left="142"/>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0A3C7D" w:rsidRPr="00E37ACD" w:rsidTr="00690D7C">
        <w:tc>
          <w:tcPr>
            <w:tcW w:w="2090" w:type="dxa"/>
            <w:tcBorders>
              <w:right w:val="nil"/>
            </w:tcBorders>
          </w:tcPr>
          <w:p w:rsidR="000A3C7D" w:rsidRPr="00690D7C" w:rsidRDefault="000A3C7D" w:rsidP="00690D7C">
            <w:pPr>
              <w:keepNext/>
              <w:jc w:val="left"/>
              <w:rPr>
                <w:rFonts w:ascii="Arial Narrow" w:hAnsi="Arial Narrow" w:cs="Times New Roman"/>
                <w:b/>
                <w:sz w:val="20"/>
              </w:rPr>
            </w:pPr>
            <w:r w:rsidRPr="00690D7C">
              <w:rPr>
                <w:rFonts w:ascii="Arial Narrow" w:hAnsi="Arial Narrow" w:cs="Times New Roman"/>
                <w:b/>
                <w:sz w:val="20"/>
              </w:rPr>
              <w:t>2-6 months</w:t>
            </w:r>
          </w:p>
        </w:tc>
        <w:tc>
          <w:tcPr>
            <w:tcW w:w="2091" w:type="dxa"/>
            <w:gridSpan w:val="2"/>
            <w:tcBorders>
              <w:left w:val="nil"/>
              <w:right w:val="nil"/>
            </w:tcBorders>
          </w:tcPr>
          <w:p w:rsidR="000A3C7D" w:rsidRPr="00690D7C" w:rsidRDefault="000A3C7D" w:rsidP="00690D7C">
            <w:pPr>
              <w:keepNext/>
              <w:jc w:val="left"/>
              <w:rPr>
                <w:rFonts w:ascii="Arial Narrow" w:hAnsi="Arial Narrow" w:cs="Times New Roman"/>
                <w:b/>
                <w:sz w:val="20"/>
              </w:rPr>
            </w:pPr>
          </w:p>
        </w:tc>
        <w:tc>
          <w:tcPr>
            <w:tcW w:w="2091" w:type="dxa"/>
            <w:gridSpan w:val="3"/>
            <w:tcBorders>
              <w:left w:val="nil"/>
              <w:right w:val="nil"/>
            </w:tcBorders>
          </w:tcPr>
          <w:p w:rsidR="000A3C7D" w:rsidRPr="00690D7C" w:rsidRDefault="000A3C7D" w:rsidP="00690D7C">
            <w:pPr>
              <w:keepNext/>
              <w:jc w:val="left"/>
              <w:rPr>
                <w:rFonts w:ascii="Arial Narrow" w:hAnsi="Arial Narrow" w:cs="Times New Roman"/>
                <w:b/>
                <w:sz w:val="20"/>
              </w:rPr>
            </w:pPr>
          </w:p>
        </w:tc>
        <w:tc>
          <w:tcPr>
            <w:tcW w:w="2091" w:type="dxa"/>
            <w:tcBorders>
              <w:left w:val="nil"/>
            </w:tcBorders>
          </w:tcPr>
          <w:p w:rsidR="000A3C7D" w:rsidRPr="00690D7C" w:rsidRDefault="000A3C7D" w:rsidP="00690D7C">
            <w:pPr>
              <w:keepNext/>
              <w:jc w:val="left"/>
              <w:rPr>
                <w:rFonts w:ascii="Arial Narrow" w:hAnsi="Arial Narrow" w:cs="Times New Roman"/>
                <w:b/>
                <w:sz w:val="20"/>
              </w:rPr>
            </w:pPr>
          </w:p>
        </w:tc>
      </w:tr>
      <w:tr w:rsidR="000A3C7D" w:rsidRPr="00E37ACD" w:rsidTr="00690D7C">
        <w:tc>
          <w:tcPr>
            <w:tcW w:w="2693" w:type="dxa"/>
            <w:gridSpan w:val="2"/>
          </w:tcPr>
          <w:p w:rsidR="000A3C7D" w:rsidRPr="00690D7C" w:rsidRDefault="000A3C7D" w:rsidP="00690D7C">
            <w:pPr>
              <w:keepNext/>
              <w:ind w:left="142"/>
              <w:jc w:val="left"/>
              <w:rPr>
                <w:rFonts w:ascii="Arial Narrow" w:hAnsi="Arial Narrow" w:cs="Times New Roman"/>
                <w:sz w:val="20"/>
              </w:rPr>
            </w:pPr>
            <w:r w:rsidRPr="00690D7C">
              <w:rPr>
                <w:rFonts w:ascii="Arial Narrow" w:hAnsi="Arial Narrow" w:cs="Times New Roman"/>
                <w:sz w:val="20"/>
              </w:rPr>
              <w:t>6.75 year time horizon (Step 3)</w:t>
            </w:r>
          </w:p>
        </w:tc>
        <w:tc>
          <w:tcPr>
            <w:tcW w:w="1560" w:type="dxa"/>
            <w:gridSpan w:val="2"/>
          </w:tcPr>
          <w:p w:rsidR="000A3C7D" w:rsidRPr="00637BCD" w:rsidRDefault="00637BCD" w:rsidP="00690D7C">
            <w:pPr>
              <w:keepNext/>
              <w:ind w:left="142"/>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560" w:type="dxa"/>
          </w:tcPr>
          <w:p w:rsidR="000A3C7D" w:rsidRPr="00637BCD" w:rsidRDefault="00637BCD" w:rsidP="00690D7C">
            <w:pPr>
              <w:keepNext/>
              <w:ind w:left="142"/>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2550" w:type="dxa"/>
            <w:gridSpan w:val="2"/>
          </w:tcPr>
          <w:p w:rsidR="000A3C7D" w:rsidRPr="00637BCD" w:rsidRDefault="00637BCD" w:rsidP="00690D7C">
            <w:pPr>
              <w:keepNext/>
              <w:ind w:left="142"/>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0A3C7D" w:rsidRPr="00E37ACD" w:rsidTr="00690D7C">
        <w:tc>
          <w:tcPr>
            <w:tcW w:w="2693" w:type="dxa"/>
            <w:gridSpan w:val="2"/>
          </w:tcPr>
          <w:p w:rsidR="000A3C7D" w:rsidRPr="00690D7C" w:rsidRDefault="000A3C7D" w:rsidP="00690D7C">
            <w:pPr>
              <w:keepNext/>
              <w:ind w:left="142"/>
              <w:jc w:val="left"/>
              <w:rPr>
                <w:rFonts w:ascii="Arial Narrow" w:hAnsi="Arial Narrow" w:cs="Times New Roman"/>
                <w:sz w:val="20"/>
              </w:rPr>
            </w:pPr>
            <w:r w:rsidRPr="00690D7C">
              <w:rPr>
                <w:rFonts w:ascii="Arial Narrow" w:hAnsi="Arial Narrow" w:cs="Times New Roman"/>
                <w:sz w:val="20"/>
              </w:rPr>
              <w:t>100 year time horizon (Step 4)</w:t>
            </w:r>
          </w:p>
        </w:tc>
        <w:tc>
          <w:tcPr>
            <w:tcW w:w="1560" w:type="dxa"/>
            <w:gridSpan w:val="2"/>
          </w:tcPr>
          <w:p w:rsidR="000A3C7D" w:rsidRPr="00637BCD" w:rsidRDefault="00637BCD" w:rsidP="00690D7C">
            <w:pPr>
              <w:keepNext/>
              <w:ind w:left="142"/>
              <w:jc w:val="center"/>
              <w:rPr>
                <w:rFonts w:ascii="Arial Narrow" w:hAnsi="Arial Narrow" w:cs="Times New Roman"/>
                <w:sz w:val="20"/>
                <w:highlight w:val="black"/>
              </w:rPr>
            </w:pPr>
            <w:r>
              <w:rPr>
                <w:rFonts w:ascii="Arial Narrow" w:hAnsi="Arial Narrow" w:cs="Times New Roman"/>
                <w:noProof/>
                <w:color w:val="000000"/>
                <w:sz w:val="20"/>
                <w:highlight w:val="black"/>
              </w:rPr>
              <w:t xml:space="preserve">''''''''''''''''''''''' </w:t>
            </w:r>
          </w:p>
        </w:tc>
        <w:tc>
          <w:tcPr>
            <w:tcW w:w="1560" w:type="dxa"/>
          </w:tcPr>
          <w:p w:rsidR="000A3C7D" w:rsidRPr="00637BCD" w:rsidRDefault="00637BCD" w:rsidP="00690D7C">
            <w:pPr>
              <w:keepNext/>
              <w:ind w:left="142"/>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2550" w:type="dxa"/>
            <w:gridSpan w:val="2"/>
          </w:tcPr>
          <w:p w:rsidR="000A3C7D" w:rsidRPr="00637BCD" w:rsidRDefault="00637BCD" w:rsidP="00690D7C">
            <w:pPr>
              <w:keepNext/>
              <w:ind w:left="142"/>
              <w:jc w:val="center"/>
              <w:rPr>
                <w:rFonts w:ascii="Arial Narrow" w:hAnsi="Arial Narrow" w:cs="Times New Roman"/>
                <w:sz w:val="20"/>
                <w:highlight w:val="black"/>
              </w:rPr>
            </w:pPr>
            <w:r>
              <w:rPr>
                <w:rFonts w:ascii="Arial Narrow" w:hAnsi="Arial Narrow" w:cs="Times New Roman"/>
                <w:noProof/>
                <w:color w:val="000000"/>
                <w:sz w:val="20"/>
                <w:highlight w:val="black"/>
              </w:rPr>
              <w:t xml:space="preserve">''''''''''''''''''''' </w:t>
            </w:r>
          </w:p>
        </w:tc>
      </w:tr>
      <w:tr w:rsidR="000A3C7D" w:rsidRPr="00E37ACD" w:rsidTr="00690D7C">
        <w:tc>
          <w:tcPr>
            <w:tcW w:w="2090" w:type="dxa"/>
            <w:tcBorders>
              <w:right w:val="nil"/>
            </w:tcBorders>
          </w:tcPr>
          <w:p w:rsidR="000A3C7D" w:rsidRPr="00690D7C" w:rsidRDefault="000A3C7D" w:rsidP="00690D7C">
            <w:pPr>
              <w:keepNext/>
              <w:jc w:val="left"/>
              <w:rPr>
                <w:rFonts w:ascii="Arial Narrow" w:hAnsi="Arial Narrow" w:cs="Times New Roman"/>
                <w:b/>
                <w:sz w:val="20"/>
              </w:rPr>
            </w:pPr>
            <w:r w:rsidRPr="00690D7C">
              <w:rPr>
                <w:rFonts w:ascii="Arial Narrow" w:hAnsi="Arial Narrow" w:cs="Times New Roman"/>
                <w:b/>
                <w:sz w:val="20"/>
              </w:rPr>
              <w:t>&gt;6 months</w:t>
            </w:r>
          </w:p>
        </w:tc>
        <w:tc>
          <w:tcPr>
            <w:tcW w:w="2091" w:type="dxa"/>
            <w:gridSpan w:val="2"/>
            <w:tcBorders>
              <w:left w:val="nil"/>
              <w:right w:val="nil"/>
            </w:tcBorders>
          </w:tcPr>
          <w:p w:rsidR="000A3C7D" w:rsidRPr="00690D7C" w:rsidRDefault="000A3C7D" w:rsidP="00690D7C">
            <w:pPr>
              <w:keepNext/>
              <w:jc w:val="left"/>
              <w:rPr>
                <w:rFonts w:ascii="Arial Narrow" w:hAnsi="Arial Narrow" w:cs="Times New Roman"/>
                <w:b/>
                <w:sz w:val="20"/>
              </w:rPr>
            </w:pPr>
          </w:p>
        </w:tc>
        <w:tc>
          <w:tcPr>
            <w:tcW w:w="2091" w:type="dxa"/>
            <w:gridSpan w:val="3"/>
            <w:tcBorders>
              <w:left w:val="nil"/>
              <w:right w:val="nil"/>
            </w:tcBorders>
          </w:tcPr>
          <w:p w:rsidR="000A3C7D" w:rsidRPr="00690D7C" w:rsidRDefault="000A3C7D" w:rsidP="00690D7C">
            <w:pPr>
              <w:keepNext/>
              <w:jc w:val="left"/>
              <w:rPr>
                <w:rFonts w:ascii="Arial Narrow" w:hAnsi="Arial Narrow" w:cs="Times New Roman"/>
                <w:b/>
                <w:sz w:val="20"/>
              </w:rPr>
            </w:pPr>
          </w:p>
        </w:tc>
        <w:tc>
          <w:tcPr>
            <w:tcW w:w="2091" w:type="dxa"/>
            <w:tcBorders>
              <w:left w:val="nil"/>
            </w:tcBorders>
          </w:tcPr>
          <w:p w:rsidR="000A3C7D" w:rsidRPr="00690D7C" w:rsidRDefault="000A3C7D" w:rsidP="00690D7C">
            <w:pPr>
              <w:keepNext/>
              <w:jc w:val="left"/>
              <w:rPr>
                <w:rFonts w:ascii="Arial Narrow" w:hAnsi="Arial Narrow" w:cs="Times New Roman"/>
                <w:b/>
                <w:sz w:val="20"/>
              </w:rPr>
            </w:pPr>
          </w:p>
        </w:tc>
      </w:tr>
      <w:tr w:rsidR="000A3C7D" w:rsidRPr="00E37ACD" w:rsidTr="00690D7C">
        <w:tc>
          <w:tcPr>
            <w:tcW w:w="2693" w:type="dxa"/>
            <w:gridSpan w:val="2"/>
          </w:tcPr>
          <w:p w:rsidR="000A3C7D" w:rsidRPr="00690D7C" w:rsidRDefault="000A3C7D" w:rsidP="00690D7C">
            <w:pPr>
              <w:keepNext/>
              <w:ind w:left="142"/>
              <w:jc w:val="left"/>
              <w:rPr>
                <w:rFonts w:ascii="Arial Narrow" w:hAnsi="Arial Narrow" w:cs="Times New Roman"/>
                <w:sz w:val="20"/>
              </w:rPr>
            </w:pPr>
            <w:r w:rsidRPr="00690D7C">
              <w:rPr>
                <w:rFonts w:ascii="Arial Narrow" w:hAnsi="Arial Narrow" w:cs="Times New Roman"/>
                <w:sz w:val="20"/>
              </w:rPr>
              <w:t>6.75 year time horizon (Step 3)</w:t>
            </w:r>
          </w:p>
        </w:tc>
        <w:tc>
          <w:tcPr>
            <w:tcW w:w="1560" w:type="dxa"/>
            <w:gridSpan w:val="2"/>
          </w:tcPr>
          <w:p w:rsidR="000A3C7D" w:rsidRPr="00637BCD" w:rsidRDefault="00637BCD" w:rsidP="00690D7C">
            <w:pPr>
              <w:keepNext/>
              <w:ind w:left="142"/>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560" w:type="dxa"/>
          </w:tcPr>
          <w:p w:rsidR="000A3C7D" w:rsidRPr="00637BCD" w:rsidRDefault="00637BCD" w:rsidP="00690D7C">
            <w:pPr>
              <w:keepNext/>
              <w:ind w:left="142"/>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2550" w:type="dxa"/>
            <w:gridSpan w:val="2"/>
          </w:tcPr>
          <w:p w:rsidR="000A3C7D" w:rsidRPr="00637BCD" w:rsidRDefault="00637BCD" w:rsidP="00690D7C">
            <w:pPr>
              <w:keepNext/>
              <w:ind w:left="142"/>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0A3C7D" w:rsidRPr="00E37ACD" w:rsidTr="00690D7C">
        <w:tc>
          <w:tcPr>
            <w:tcW w:w="2693" w:type="dxa"/>
            <w:gridSpan w:val="2"/>
          </w:tcPr>
          <w:p w:rsidR="000A3C7D" w:rsidRPr="00690D7C" w:rsidRDefault="000A3C7D" w:rsidP="00690D7C">
            <w:pPr>
              <w:keepNext/>
              <w:ind w:left="142"/>
              <w:jc w:val="left"/>
              <w:rPr>
                <w:rFonts w:ascii="Arial Narrow" w:hAnsi="Arial Narrow" w:cs="Times New Roman"/>
                <w:sz w:val="20"/>
              </w:rPr>
            </w:pPr>
            <w:r w:rsidRPr="00690D7C">
              <w:rPr>
                <w:rFonts w:ascii="Arial Narrow" w:hAnsi="Arial Narrow" w:cs="Times New Roman"/>
                <w:sz w:val="20"/>
              </w:rPr>
              <w:t>100 year time horizon (Step 4)</w:t>
            </w:r>
          </w:p>
        </w:tc>
        <w:tc>
          <w:tcPr>
            <w:tcW w:w="1560" w:type="dxa"/>
            <w:gridSpan w:val="2"/>
          </w:tcPr>
          <w:p w:rsidR="000A3C7D" w:rsidRPr="00637BCD" w:rsidRDefault="00637BCD" w:rsidP="00690D7C">
            <w:pPr>
              <w:keepNext/>
              <w:ind w:left="142"/>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560" w:type="dxa"/>
          </w:tcPr>
          <w:p w:rsidR="000A3C7D" w:rsidRPr="00637BCD" w:rsidRDefault="00637BCD" w:rsidP="00690D7C">
            <w:pPr>
              <w:keepNext/>
              <w:ind w:left="142"/>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2550" w:type="dxa"/>
            <w:gridSpan w:val="2"/>
          </w:tcPr>
          <w:p w:rsidR="000A3C7D" w:rsidRPr="00637BCD" w:rsidRDefault="00637BCD" w:rsidP="00690D7C">
            <w:pPr>
              <w:keepNext/>
              <w:ind w:left="142"/>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bl>
    <w:p w:rsidR="000A3C7D" w:rsidRPr="00E37ACD" w:rsidRDefault="000A3C7D" w:rsidP="0072793F">
      <w:pPr>
        <w:pStyle w:val="TableFooter"/>
        <w:ind w:firstLine="720"/>
      </w:pPr>
      <w:r w:rsidRPr="00E37ACD">
        <w:t>Source: compiled during evaluation</w:t>
      </w:r>
    </w:p>
    <w:p w:rsidR="000A3C7D" w:rsidRPr="00E37ACD" w:rsidRDefault="000A3C7D" w:rsidP="0072793F">
      <w:pPr>
        <w:pStyle w:val="TableFooter"/>
        <w:ind w:firstLine="720"/>
      </w:pPr>
      <w:r w:rsidRPr="00E37ACD">
        <w:t>LY = life year</w:t>
      </w:r>
    </w:p>
    <w:p w:rsidR="000A3C7D" w:rsidRPr="00E37ACD" w:rsidRDefault="000A3C7D" w:rsidP="00D110BD">
      <w:pPr>
        <w:widowControl/>
        <w:rPr>
          <w:szCs w:val="22"/>
        </w:rPr>
      </w:pPr>
    </w:p>
    <w:p w:rsidR="000A3C7D" w:rsidRPr="00E37ACD" w:rsidRDefault="000A3C7D" w:rsidP="00F31E6E">
      <w:pPr>
        <w:pStyle w:val="ListParagraph"/>
        <w:widowControl/>
        <w:numPr>
          <w:ilvl w:val="1"/>
          <w:numId w:val="3"/>
        </w:numPr>
        <w:rPr>
          <w:szCs w:val="22"/>
        </w:rPr>
      </w:pPr>
      <w:r w:rsidRPr="00E37ACD">
        <w:t xml:space="preserve">The cost-effectiveness ratios are uncertain because the model is populated with data from non-randomised studies, the </w:t>
      </w:r>
      <w:proofErr w:type="spellStart"/>
      <w:r w:rsidRPr="00E37ACD">
        <w:t>nitisinone</w:t>
      </w:r>
      <w:proofErr w:type="spellEnd"/>
      <w:r w:rsidRPr="00E37ACD">
        <w:t xml:space="preserve"> data have been extrapolated from a median follow-up period of less than 4 years to 100 years by applying population death rates, and the utility values are from adult patients with hepatitis B. Applying population average death rates may result in an overestimate of the survival benefits (and costs) associated with </w:t>
      </w:r>
      <w:proofErr w:type="spellStart"/>
      <w:r w:rsidRPr="00E37ACD">
        <w:t>nitisinone</w:t>
      </w:r>
      <w:proofErr w:type="spellEnd"/>
      <w:r w:rsidRPr="00E37ACD">
        <w:t xml:space="preserve"> treatment. For all scenarios tested in the sensitivity analyses, the cost per QALY </w:t>
      </w:r>
      <w:r>
        <w:t xml:space="preserve">gained was </w:t>
      </w:r>
      <w:r w:rsidR="002A6182">
        <w:t>more than $200,000</w:t>
      </w:r>
      <w:r w:rsidRPr="00E37ACD">
        <w:t>.</w:t>
      </w:r>
    </w:p>
    <w:p w:rsidR="000A3C7D" w:rsidRPr="00E37ACD" w:rsidRDefault="000A3C7D" w:rsidP="009E2C97">
      <w:pPr>
        <w:pStyle w:val="ListParagraph"/>
        <w:widowControl/>
        <w:rPr>
          <w:szCs w:val="22"/>
        </w:rPr>
      </w:pPr>
    </w:p>
    <w:p w:rsidR="000A3C7D" w:rsidRPr="00E37ACD" w:rsidRDefault="000A3C7D" w:rsidP="00F31E6E">
      <w:pPr>
        <w:pStyle w:val="ListParagraph"/>
        <w:widowControl/>
        <w:numPr>
          <w:ilvl w:val="1"/>
          <w:numId w:val="3"/>
        </w:numPr>
        <w:rPr>
          <w:szCs w:val="22"/>
        </w:rPr>
      </w:pPr>
      <w:r w:rsidRPr="00E37ACD">
        <w:t xml:space="preserve">Using the proportions for age of clinical onset of Australian patients provided in the PSCR improves the ICER, to </w:t>
      </w:r>
      <w:r w:rsidR="002A6182">
        <w:t>more than $200,000</w:t>
      </w:r>
      <w:r w:rsidRPr="00E37ACD">
        <w:t xml:space="preserve"> per life year and </w:t>
      </w:r>
      <w:r w:rsidR="002A6182">
        <w:t>more than $200,000</w:t>
      </w:r>
      <w:r w:rsidRPr="00E37ACD">
        <w:t xml:space="preserve"> per QALY. Reducing the time horizon to 22 years improved the ICER further to </w:t>
      </w:r>
      <w:r w:rsidR="002A6182">
        <w:t>more than $200,000</w:t>
      </w:r>
      <w:r w:rsidRPr="00E37ACD">
        <w:t xml:space="preserve"> per QALY. </w:t>
      </w:r>
    </w:p>
    <w:p w:rsidR="000A3C7D" w:rsidRDefault="000A3C7D" w:rsidP="00AC7AD7"/>
    <w:p w:rsidR="000A3C7D" w:rsidRPr="00885ACF" w:rsidRDefault="000A3C7D" w:rsidP="00DF0D1C">
      <w:pPr>
        <w:pStyle w:val="ListParagraph"/>
        <w:widowControl/>
        <w:numPr>
          <w:ilvl w:val="1"/>
          <w:numId w:val="3"/>
        </w:numPr>
      </w:pPr>
      <w:r>
        <w:t xml:space="preserve">The pre-PBAC response approximated a scenario that includes neonatal screening. In this scenario it was assumed that all patients treated with </w:t>
      </w:r>
      <w:proofErr w:type="spellStart"/>
      <w:r>
        <w:t>nitisinone</w:t>
      </w:r>
      <w:proofErr w:type="spellEnd"/>
      <w:r>
        <w:t xml:space="preserve"> are acute HT</w:t>
      </w:r>
      <w:r>
        <w:noBreakHyphen/>
        <w:t>1 patients while the distribution of patients in the diet only arm across the acute, sub-acute and chronic sub-groups remains as per the distribution observed in the NT</w:t>
      </w:r>
      <w:r w:rsidRPr="00885ACF">
        <w:t xml:space="preserve">BC study. Over a 22-year time horizon, the cost per QALY is </w:t>
      </w:r>
      <w:r w:rsidR="00D56DEC">
        <w:t>more than $200,000</w:t>
      </w:r>
      <w:r w:rsidRPr="00885ACF">
        <w:t>.</w:t>
      </w:r>
    </w:p>
    <w:p w:rsidR="000A3C7D" w:rsidRPr="00885ACF" w:rsidRDefault="000A3C7D" w:rsidP="00C25D9C">
      <w:pPr>
        <w:widowControl/>
        <w:rPr>
          <w:szCs w:val="22"/>
        </w:rPr>
      </w:pPr>
    </w:p>
    <w:p w:rsidR="000A3C7D" w:rsidRPr="00885ACF" w:rsidRDefault="000A3C7D" w:rsidP="00317483">
      <w:pPr>
        <w:pStyle w:val="ListParagraph"/>
        <w:widowControl/>
        <w:numPr>
          <w:ilvl w:val="1"/>
          <w:numId w:val="3"/>
        </w:numPr>
      </w:pPr>
      <w:r w:rsidRPr="00885ACF">
        <w:t xml:space="preserve">If patients are detected by neonatal screening and </w:t>
      </w:r>
      <w:proofErr w:type="spellStart"/>
      <w:r w:rsidRPr="00885ACF">
        <w:t>nitisinone</w:t>
      </w:r>
      <w:proofErr w:type="spellEnd"/>
      <w:r w:rsidRPr="00885ACF">
        <w:t xml:space="preserve"> treatment is commenced prior to the development of clinical symptoms the results of </w:t>
      </w:r>
      <w:proofErr w:type="spellStart"/>
      <w:r w:rsidRPr="00885ACF">
        <w:t>Larochelle</w:t>
      </w:r>
      <w:proofErr w:type="spellEnd"/>
      <w:r w:rsidRPr="00885ACF">
        <w:t xml:space="preserve"> 2012 are relevant. A trial based analysis conducted during the evaluation using </w:t>
      </w:r>
      <w:proofErr w:type="spellStart"/>
      <w:r w:rsidRPr="00885ACF">
        <w:t>Larochelle</w:t>
      </w:r>
      <w:proofErr w:type="spellEnd"/>
      <w:r w:rsidRPr="00885ACF">
        <w:t xml:space="preserve"> 2012 suggests the cost per life year gained for early </w:t>
      </w:r>
      <w:proofErr w:type="spellStart"/>
      <w:r w:rsidRPr="00885ACF">
        <w:t>nitisinone</w:t>
      </w:r>
      <w:proofErr w:type="spellEnd"/>
      <w:r w:rsidRPr="00885ACF">
        <w:t xml:space="preserve"> treatment (before 1 month of age) is </w:t>
      </w:r>
      <w:r w:rsidR="00D56DEC">
        <w:t>$105,000-$200,000</w:t>
      </w:r>
      <w:r w:rsidRPr="00885ACF">
        <w:t xml:space="preserve"> and for late </w:t>
      </w:r>
      <w:proofErr w:type="spellStart"/>
      <w:r w:rsidRPr="00885ACF">
        <w:t>nitisinone</w:t>
      </w:r>
      <w:proofErr w:type="spellEnd"/>
      <w:r w:rsidRPr="00885ACF">
        <w:t xml:space="preserve"> treatment (after 1 month of age) is </w:t>
      </w:r>
      <w:r w:rsidR="00D56DEC">
        <w:t>more than $200,000</w:t>
      </w:r>
      <w:r w:rsidRPr="00885ACF">
        <w:t xml:space="preserve">. This </w:t>
      </w:r>
      <w:r w:rsidR="006665F3" w:rsidRPr="00885ACF">
        <w:t xml:space="preserve">estimate of </w:t>
      </w:r>
      <w:r w:rsidRPr="00885ACF">
        <w:t xml:space="preserve">cost per life year gained for early </w:t>
      </w:r>
      <w:proofErr w:type="spellStart"/>
      <w:r w:rsidRPr="00885ACF">
        <w:t>nitisinone</w:t>
      </w:r>
      <w:proofErr w:type="spellEnd"/>
      <w:r w:rsidRPr="00885ACF">
        <w:t xml:space="preserve"> treatment could translate to a cost per QALY of </w:t>
      </w:r>
      <w:r w:rsidR="00D56DEC">
        <w:t>$105,000-$200,000</w:t>
      </w:r>
      <w:r w:rsidRPr="00885ACF">
        <w:t xml:space="preserve">. </w:t>
      </w:r>
    </w:p>
    <w:p w:rsidR="000A3C7D" w:rsidRPr="00BB7EC3" w:rsidRDefault="000A3C7D" w:rsidP="005F6928">
      <w:pPr>
        <w:pStyle w:val="ListParagraph"/>
        <w:rPr>
          <w:szCs w:val="22"/>
        </w:rPr>
      </w:pPr>
    </w:p>
    <w:p w:rsidR="000A3C7D" w:rsidRPr="00BB7EC3" w:rsidRDefault="000A3C7D" w:rsidP="005F6928">
      <w:pPr>
        <w:pStyle w:val="ListParagraph"/>
        <w:ind w:left="709"/>
        <w:rPr>
          <w:i/>
          <w:szCs w:val="22"/>
        </w:rPr>
      </w:pPr>
      <w:r>
        <w:rPr>
          <w:i/>
          <w:szCs w:val="22"/>
        </w:rPr>
        <w:t>For more detail on PBAC’s view, see section 7 “PBAC outcome”</w:t>
      </w:r>
    </w:p>
    <w:p w:rsidR="000A3C7D" w:rsidRPr="00597194" w:rsidRDefault="000A3C7D" w:rsidP="00C25D9C">
      <w:pPr>
        <w:widowControl/>
        <w:rPr>
          <w:szCs w:val="22"/>
        </w:rPr>
      </w:pPr>
    </w:p>
    <w:p w:rsidR="000A3C7D" w:rsidRPr="00597194" w:rsidRDefault="000A3C7D" w:rsidP="009F184E">
      <w:pPr>
        <w:pStyle w:val="BodyText"/>
        <w:rPr>
          <w:b/>
          <w:szCs w:val="22"/>
        </w:rPr>
      </w:pPr>
      <w:bookmarkStart w:id="13" w:name="_Toc398024521"/>
      <w:proofErr w:type="gramStart"/>
      <w:r w:rsidRPr="00597194">
        <w:rPr>
          <w:b/>
        </w:rPr>
        <w:t xml:space="preserve">Drug cost/patient/year: </w:t>
      </w:r>
      <w:bookmarkEnd w:id="13"/>
      <w:r w:rsidR="00637BCD">
        <w:rPr>
          <w:b/>
          <w:noProof/>
          <w:color w:val="000000"/>
          <w:highlight w:val="black"/>
        </w:rPr>
        <w:t>'''''''''''''''''''''</w:t>
      </w:r>
      <w:proofErr w:type="gramEnd"/>
    </w:p>
    <w:p w:rsidR="000A3C7D" w:rsidRPr="00597194" w:rsidRDefault="000A3C7D" w:rsidP="00C25D9C">
      <w:pPr>
        <w:widowControl/>
        <w:rPr>
          <w:szCs w:val="22"/>
        </w:rPr>
      </w:pPr>
    </w:p>
    <w:p w:rsidR="000A3C7D" w:rsidRPr="00E37ACD" w:rsidRDefault="000A3C7D" w:rsidP="00F31E6E">
      <w:pPr>
        <w:pStyle w:val="ListParagraph"/>
        <w:widowControl/>
        <w:numPr>
          <w:ilvl w:val="1"/>
          <w:numId w:val="3"/>
        </w:numPr>
        <w:rPr>
          <w:szCs w:val="22"/>
        </w:rPr>
      </w:pPr>
      <w:r w:rsidRPr="00E37ACD">
        <w:rPr>
          <w:szCs w:val="22"/>
        </w:rPr>
        <w:t xml:space="preserve">The initial recommended </w:t>
      </w:r>
      <w:proofErr w:type="spellStart"/>
      <w:r w:rsidRPr="00E37ACD">
        <w:rPr>
          <w:szCs w:val="22"/>
        </w:rPr>
        <w:t>nitisinone</w:t>
      </w:r>
      <w:proofErr w:type="spellEnd"/>
      <w:r w:rsidRPr="00E37ACD">
        <w:rPr>
          <w:szCs w:val="22"/>
        </w:rPr>
        <w:t xml:space="preserve"> dose is 1 mg/kg/day</w:t>
      </w:r>
      <w:r w:rsidRPr="00E37ACD">
        <w:rPr>
          <w:i/>
          <w:szCs w:val="22"/>
        </w:rPr>
        <w:t xml:space="preserve">, </w:t>
      </w:r>
      <w:r w:rsidRPr="00885ACF">
        <w:rPr>
          <w:szCs w:val="22"/>
        </w:rPr>
        <w:t>divided into two doses.</w:t>
      </w:r>
      <w:r w:rsidRPr="00E37ACD">
        <w:rPr>
          <w:szCs w:val="22"/>
        </w:rPr>
        <w:t xml:space="preserve"> The mean weight of Australian HT-1 patients is </w:t>
      </w:r>
      <w:r>
        <w:rPr>
          <w:szCs w:val="22"/>
        </w:rPr>
        <w:t xml:space="preserve">currently </w:t>
      </w:r>
      <w:r w:rsidR="00637BCD">
        <w:rPr>
          <w:noProof/>
          <w:color w:val="000000"/>
          <w:szCs w:val="22"/>
          <w:highlight w:val="black"/>
        </w:rPr>
        <w:t>''''''''''' ''''''</w:t>
      </w:r>
      <w:r w:rsidRPr="00E37ACD">
        <w:rPr>
          <w:szCs w:val="22"/>
        </w:rPr>
        <w:t xml:space="preserve">. The average per mg cost of </w:t>
      </w:r>
      <w:proofErr w:type="spellStart"/>
      <w:r w:rsidRPr="00E37ACD">
        <w:rPr>
          <w:szCs w:val="22"/>
        </w:rPr>
        <w:t>nitisinone</w:t>
      </w:r>
      <w:proofErr w:type="spellEnd"/>
      <w:r w:rsidRPr="00E37ACD">
        <w:rPr>
          <w:szCs w:val="22"/>
        </w:rPr>
        <w:t xml:space="preserve"> is </w:t>
      </w:r>
      <w:r w:rsidR="00637BCD">
        <w:rPr>
          <w:noProof/>
          <w:color w:val="000000"/>
          <w:szCs w:val="22"/>
          <w:highlight w:val="black"/>
        </w:rPr>
        <w:t>'''''''''''''</w:t>
      </w:r>
      <w:r w:rsidRPr="00E37ACD">
        <w:rPr>
          <w:szCs w:val="22"/>
        </w:rPr>
        <w:t xml:space="preserve"> (based on Australian 2013 sales of </w:t>
      </w:r>
      <w:r w:rsidR="00637BCD">
        <w:rPr>
          <w:noProof/>
          <w:color w:val="000000"/>
          <w:szCs w:val="22"/>
          <w:highlight w:val="black"/>
        </w:rPr>
        <w:t>'''''''''''</w:t>
      </w:r>
      <w:r w:rsidRPr="00E37ACD">
        <w:rPr>
          <w:szCs w:val="22"/>
        </w:rPr>
        <w:t xml:space="preserve"> for 2 mg, </w:t>
      </w:r>
      <w:r w:rsidR="00637BCD">
        <w:rPr>
          <w:noProof/>
          <w:color w:val="000000"/>
          <w:szCs w:val="22"/>
          <w:highlight w:val="black"/>
        </w:rPr>
        <w:t>''''''''''''''''''</w:t>
      </w:r>
      <w:r w:rsidRPr="00E37ACD">
        <w:rPr>
          <w:szCs w:val="22"/>
        </w:rPr>
        <w:t xml:space="preserve"> for 5 mg and </w:t>
      </w:r>
      <w:r w:rsidR="00637BCD">
        <w:rPr>
          <w:noProof/>
          <w:color w:val="000000"/>
          <w:szCs w:val="22"/>
          <w:highlight w:val="black"/>
        </w:rPr>
        <w:t>''''''''''''''''''''</w:t>
      </w:r>
      <w:r w:rsidRPr="00E37ACD">
        <w:rPr>
          <w:szCs w:val="22"/>
        </w:rPr>
        <w:t xml:space="preserve"> for 10 mg). The cost per month (30 days) is </w:t>
      </w:r>
      <w:r w:rsidR="00637BCD">
        <w:rPr>
          <w:noProof/>
          <w:color w:val="000000"/>
          <w:szCs w:val="22"/>
          <w:highlight w:val="black"/>
        </w:rPr>
        <w:t>''''''''''''''''''</w:t>
      </w:r>
      <w:r w:rsidRPr="00E37ACD">
        <w:rPr>
          <w:szCs w:val="22"/>
        </w:rPr>
        <w:t xml:space="preserve"> (30 x 31.1 x </w:t>
      </w:r>
      <w:r w:rsidR="00637BCD">
        <w:rPr>
          <w:noProof/>
          <w:color w:val="000000"/>
          <w:szCs w:val="22"/>
          <w:highlight w:val="black"/>
        </w:rPr>
        <w:t>''''''''''''</w:t>
      </w:r>
      <w:r w:rsidRPr="00E37ACD">
        <w:rPr>
          <w:szCs w:val="22"/>
        </w:rPr>
        <w:t xml:space="preserve">). The cost per year is </w:t>
      </w:r>
      <w:r w:rsidR="00637BCD">
        <w:rPr>
          <w:noProof/>
          <w:color w:val="000000"/>
          <w:szCs w:val="22"/>
          <w:highlight w:val="black"/>
        </w:rPr>
        <w:t>''''''''''''''''''''''''</w:t>
      </w:r>
      <w:r w:rsidRPr="00E37ACD">
        <w:rPr>
          <w:szCs w:val="22"/>
        </w:rPr>
        <w:t xml:space="preserve"> (365 x 31.1 x </w:t>
      </w:r>
      <w:r w:rsidR="00637BCD">
        <w:rPr>
          <w:noProof/>
          <w:color w:val="000000"/>
          <w:szCs w:val="22"/>
          <w:highlight w:val="black"/>
        </w:rPr>
        <w:t>'''''''''''''</w:t>
      </w:r>
      <w:r w:rsidRPr="00E37ACD">
        <w:rPr>
          <w:szCs w:val="22"/>
        </w:rPr>
        <w:t>). Treatment is ongoing.</w:t>
      </w:r>
    </w:p>
    <w:p w:rsidR="000A3C7D" w:rsidRPr="00597194" w:rsidRDefault="000A3C7D" w:rsidP="001456B0">
      <w:pPr>
        <w:rPr>
          <w:szCs w:val="22"/>
        </w:rPr>
      </w:pPr>
    </w:p>
    <w:p w:rsidR="000A3C7D" w:rsidRPr="00283DC5" w:rsidRDefault="000A3C7D" w:rsidP="00283DC5">
      <w:pPr>
        <w:rPr>
          <w:b/>
          <w:szCs w:val="22"/>
        </w:rPr>
      </w:pPr>
      <w:bookmarkStart w:id="14" w:name="_Toc398024522"/>
      <w:r w:rsidRPr="00283DC5">
        <w:rPr>
          <w:b/>
          <w:szCs w:val="22"/>
        </w:rPr>
        <w:t>Estimated PBS usage &amp; financial implications</w:t>
      </w:r>
      <w:bookmarkEnd w:id="14"/>
    </w:p>
    <w:p w:rsidR="000A3C7D" w:rsidRPr="00597194" w:rsidRDefault="000A3C7D" w:rsidP="00B60939">
      <w:pPr>
        <w:ind w:left="720" w:hanging="720"/>
        <w:rPr>
          <w:b/>
          <w:szCs w:val="22"/>
        </w:rPr>
      </w:pPr>
    </w:p>
    <w:p w:rsidR="000A3C7D" w:rsidRPr="00020E10" w:rsidRDefault="000A3C7D" w:rsidP="00F31E6E">
      <w:pPr>
        <w:pStyle w:val="ListParagraph"/>
        <w:widowControl/>
        <w:numPr>
          <w:ilvl w:val="1"/>
          <w:numId w:val="3"/>
        </w:numPr>
        <w:rPr>
          <w:szCs w:val="22"/>
        </w:rPr>
      </w:pPr>
      <w:r w:rsidRPr="00020E10">
        <w:rPr>
          <w:bCs/>
          <w:szCs w:val="22"/>
        </w:rPr>
        <w:t>This submission was not considered by DUSC</w:t>
      </w:r>
      <w:r w:rsidRPr="00020E10">
        <w:t>.</w:t>
      </w:r>
    </w:p>
    <w:p w:rsidR="000A3C7D" w:rsidRPr="00597194" w:rsidRDefault="000A3C7D" w:rsidP="00597194">
      <w:pPr>
        <w:pStyle w:val="ListParagraph"/>
        <w:widowControl/>
        <w:rPr>
          <w:szCs w:val="22"/>
        </w:rPr>
      </w:pPr>
    </w:p>
    <w:p w:rsidR="000A3C7D" w:rsidRPr="00E37ACD" w:rsidRDefault="000A3C7D" w:rsidP="00F31E6E">
      <w:pPr>
        <w:pStyle w:val="ListParagraph"/>
        <w:widowControl/>
        <w:numPr>
          <w:ilvl w:val="1"/>
          <w:numId w:val="3"/>
        </w:numPr>
        <w:rPr>
          <w:szCs w:val="22"/>
        </w:rPr>
      </w:pPr>
      <w:r w:rsidRPr="00E37ACD">
        <w:t xml:space="preserve">An epidemiological approach is taken in the submission to estimate the extent of use of </w:t>
      </w:r>
      <w:proofErr w:type="spellStart"/>
      <w:r w:rsidRPr="00E37ACD">
        <w:t>nitisinone</w:t>
      </w:r>
      <w:proofErr w:type="spellEnd"/>
      <w:r w:rsidRPr="00E37ACD">
        <w:t>. The estimates are based on the incidence (</w:t>
      </w:r>
      <w:r w:rsidRPr="00346A10">
        <w:t>0.54</w:t>
      </w:r>
      <w:r w:rsidRPr="00E37ACD">
        <w:t>/100,000 live births; approximately 1.7 births per year) and prevalence (n=18) of HT-1 in Australia.</w:t>
      </w:r>
      <w:r w:rsidRPr="00E37ACD">
        <w:rPr>
          <w:color w:val="0070C0"/>
        </w:rPr>
        <w:t xml:space="preserve"> </w:t>
      </w:r>
    </w:p>
    <w:p w:rsidR="000A3C7D" w:rsidRPr="00E37ACD" w:rsidRDefault="000A3C7D" w:rsidP="00E108D9">
      <w:pPr>
        <w:widowControl/>
        <w:rPr>
          <w:szCs w:val="22"/>
        </w:rPr>
      </w:pPr>
    </w:p>
    <w:p w:rsidR="000A3C7D" w:rsidRPr="00E37ACD" w:rsidRDefault="000A3C7D" w:rsidP="00942872">
      <w:pPr>
        <w:keepNext/>
        <w:ind w:firstLine="709"/>
        <w:rPr>
          <w:rStyle w:val="CommentReference"/>
          <w:rFonts w:cs="Arial"/>
          <w:sz w:val="20"/>
          <w:szCs w:val="16"/>
        </w:rPr>
      </w:pPr>
      <w:r w:rsidRPr="00E37ACD">
        <w:rPr>
          <w:rStyle w:val="CommentReference"/>
          <w:rFonts w:cs="Arial"/>
          <w:sz w:val="20"/>
          <w:szCs w:val="16"/>
        </w:rPr>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391"/>
        <w:gridCol w:w="876"/>
        <w:gridCol w:w="514"/>
        <w:gridCol w:w="619"/>
        <w:gridCol w:w="771"/>
        <w:gridCol w:w="362"/>
        <w:gridCol w:w="1028"/>
        <w:gridCol w:w="247"/>
        <w:gridCol w:w="1143"/>
        <w:gridCol w:w="127"/>
        <w:gridCol w:w="6"/>
        <w:gridCol w:w="1262"/>
      </w:tblGrid>
      <w:tr w:rsidR="000A3C7D" w:rsidRPr="00E37ACD" w:rsidTr="00D97921">
        <w:trPr>
          <w:tblHeader/>
        </w:trPr>
        <w:tc>
          <w:tcPr>
            <w:tcW w:w="1358" w:type="pct"/>
            <w:gridSpan w:val="2"/>
            <w:vAlign w:val="center"/>
          </w:tcPr>
          <w:p w:rsidR="000A3C7D" w:rsidRPr="00E37ACD" w:rsidRDefault="000A3C7D" w:rsidP="00942872">
            <w:pPr>
              <w:keepNext/>
              <w:tabs>
                <w:tab w:val="left" w:pos="142"/>
              </w:tabs>
              <w:jc w:val="left"/>
              <w:rPr>
                <w:rFonts w:ascii="Arial Narrow" w:hAnsi="Arial Narrow"/>
                <w:b/>
                <w:sz w:val="20"/>
              </w:rPr>
            </w:pPr>
          </w:p>
        </w:tc>
        <w:tc>
          <w:tcPr>
            <w:tcW w:w="679" w:type="pct"/>
            <w:gridSpan w:val="2"/>
            <w:vAlign w:val="center"/>
          </w:tcPr>
          <w:p w:rsidR="000A3C7D" w:rsidRPr="00E37ACD" w:rsidRDefault="000A3C7D" w:rsidP="00942872">
            <w:pPr>
              <w:keepNext/>
              <w:jc w:val="center"/>
              <w:rPr>
                <w:rFonts w:ascii="Arial Narrow" w:hAnsi="Arial Narrow"/>
                <w:b/>
                <w:sz w:val="20"/>
              </w:rPr>
            </w:pPr>
            <w:r w:rsidRPr="00E37ACD">
              <w:rPr>
                <w:rFonts w:ascii="Arial Narrow" w:hAnsi="Arial Narrow"/>
                <w:b/>
                <w:sz w:val="20"/>
              </w:rPr>
              <w:t>Year 1</w:t>
            </w:r>
          </w:p>
        </w:tc>
        <w:tc>
          <w:tcPr>
            <w:tcW w:w="679" w:type="pct"/>
            <w:gridSpan w:val="2"/>
            <w:vAlign w:val="center"/>
          </w:tcPr>
          <w:p w:rsidR="000A3C7D" w:rsidRPr="00E37ACD" w:rsidRDefault="000A3C7D" w:rsidP="00942872">
            <w:pPr>
              <w:keepNext/>
              <w:jc w:val="center"/>
              <w:rPr>
                <w:rFonts w:ascii="Arial Narrow" w:hAnsi="Arial Narrow"/>
                <w:b/>
                <w:sz w:val="20"/>
              </w:rPr>
            </w:pPr>
            <w:r w:rsidRPr="00E37ACD">
              <w:rPr>
                <w:rFonts w:ascii="Arial Narrow" w:hAnsi="Arial Narrow"/>
                <w:b/>
                <w:sz w:val="20"/>
              </w:rPr>
              <w:t>Year 2</w:t>
            </w:r>
          </w:p>
        </w:tc>
        <w:tc>
          <w:tcPr>
            <w:tcW w:w="764" w:type="pct"/>
            <w:gridSpan w:val="2"/>
            <w:vAlign w:val="center"/>
          </w:tcPr>
          <w:p w:rsidR="000A3C7D" w:rsidRPr="00E37ACD" w:rsidRDefault="000A3C7D" w:rsidP="00942872">
            <w:pPr>
              <w:keepNext/>
              <w:jc w:val="center"/>
              <w:rPr>
                <w:rFonts w:ascii="Arial Narrow" w:hAnsi="Arial Narrow"/>
                <w:b/>
                <w:sz w:val="20"/>
              </w:rPr>
            </w:pPr>
            <w:r w:rsidRPr="00E37ACD">
              <w:rPr>
                <w:rFonts w:ascii="Arial Narrow" w:hAnsi="Arial Narrow"/>
                <w:b/>
                <w:sz w:val="20"/>
              </w:rPr>
              <w:t>Year 3</w:t>
            </w:r>
          </w:p>
        </w:tc>
        <w:tc>
          <w:tcPr>
            <w:tcW w:w="764" w:type="pct"/>
            <w:gridSpan w:val="3"/>
            <w:vAlign w:val="center"/>
          </w:tcPr>
          <w:p w:rsidR="000A3C7D" w:rsidRPr="00E37ACD" w:rsidRDefault="000A3C7D" w:rsidP="00942872">
            <w:pPr>
              <w:keepNext/>
              <w:jc w:val="center"/>
              <w:rPr>
                <w:rFonts w:ascii="Arial Narrow" w:hAnsi="Arial Narrow"/>
                <w:b/>
                <w:sz w:val="20"/>
              </w:rPr>
            </w:pPr>
            <w:r w:rsidRPr="00E37ACD">
              <w:rPr>
                <w:rFonts w:ascii="Arial Narrow" w:hAnsi="Arial Narrow"/>
                <w:b/>
                <w:sz w:val="20"/>
              </w:rPr>
              <w:t>Year 4</w:t>
            </w:r>
          </w:p>
        </w:tc>
        <w:tc>
          <w:tcPr>
            <w:tcW w:w="756" w:type="pct"/>
            <w:vAlign w:val="center"/>
          </w:tcPr>
          <w:p w:rsidR="000A3C7D" w:rsidRPr="00E37ACD" w:rsidRDefault="000A3C7D" w:rsidP="00942872">
            <w:pPr>
              <w:keepNext/>
              <w:jc w:val="center"/>
              <w:rPr>
                <w:rFonts w:ascii="Arial Narrow" w:hAnsi="Arial Narrow"/>
                <w:b/>
                <w:sz w:val="20"/>
              </w:rPr>
            </w:pPr>
            <w:r w:rsidRPr="00E37ACD">
              <w:rPr>
                <w:rFonts w:ascii="Arial Narrow" w:hAnsi="Arial Narrow"/>
                <w:b/>
                <w:sz w:val="20"/>
              </w:rPr>
              <w:t>Year 5</w:t>
            </w:r>
          </w:p>
        </w:tc>
      </w:tr>
      <w:tr w:rsidR="000A3C7D" w:rsidRPr="00E37ACD" w:rsidTr="00D97921">
        <w:tc>
          <w:tcPr>
            <w:tcW w:w="1358" w:type="pct"/>
            <w:gridSpan w:val="2"/>
            <w:tcBorders>
              <w:right w:val="nil"/>
            </w:tcBorders>
            <w:vAlign w:val="center"/>
          </w:tcPr>
          <w:p w:rsidR="000A3C7D" w:rsidRPr="00E37ACD" w:rsidRDefault="000A3C7D" w:rsidP="00942872">
            <w:pPr>
              <w:keepNext/>
              <w:jc w:val="left"/>
              <w:rPr>
                <w:rFonts w:ascii="Arial Narrow" w:hAnsi="Arial Narrow"/>
                <w:b/>
                <w:bCs/>
                <w:color w:val="000000"/>
                <w:sz w:val="20"/>
              </w:rPr>
            </w:pPr>
            <w:r w:rsidRPr="00E37ACD">
              <w:rPr>
                <w:rFonts w:ascii="Arial Narrow" w:hAnsi="Arial Narrow"/>
                <w:b/>
                <w:bCs/>
                <w:color w:val="000000"/>
                <w:sz w:val="20"/>
              </w:rPr>
              <w:t>Estimated extent of use</w:t>
            </w:r>
          </w:p>
        </w:tc>
        <w:tc>
          <w:tcPr>
            <w:tcW w:w="679" w:type="pct"/>
            <w:gridSpan w:val="2"/>
            <w:tcBorders>
              <w:left w:val="nil"/>
              <w:right w:val="nil"/>
            </w:tcBorders>
            <w:vAlign w:val="center"/>
          </w:tcPr>
          <w:p w:rsidR="000A3C7D" w:rsidRPr="00E37ACD" w:rsidRDefault="000A3C7D" w:rsidP="00942872">
            <w:pPr>
              <w:keepNext/>
              <w:jc w:val="left"/>
              <w:rPr>
                <w:rFonts w:ascii="Arial Narrow" w:hAnsi="Arial Narrow"/>
                <w:b/>
                <w:bCs/>
                <w:color w:val="000000"/>
                <w:sz w:val="20"/>
              </w:rPr>
            </w:pPr>
          </w:p>
        </w:tc>
        <w:tc>
          <w:tcPr>
            <w:tcW w:w="679" w:type="pct"/>
            <w:gridSpan w:val="2"/>
            <w:tcBorders>
              <w:left w:val="nil"/>
              <w:right w:val="nil"/>
            </w:tcBorders>
            <w:vAlign w:val="center"/>
          </w:tcPr>
          <w:p w:rsidR="000A3C7D" w:rsidRPr="00E37ACD" w:rsidRDefault="000A3C7D" w:rsidP="00942872">
            <w:pPr>
              <w:keepNext/>
              <w:jc w:val="left"/>
              <w:rPr>
                <w:rFonts w:ascii="Arial Narrow" w:hAnsi="Arial Narrow"/>
                <w:b/>
                <w:bCs/>
                <w:color w:val="000000"/>
                <w:sz w:val="20"/>
              </w:rPr>
            </w:pPr>
          </w:p>
        </w:tc>
        <w:tc>
          <w:tcPr>
            <w:tcW w:w="761" w:type="pct"/>
            <w:gridSpan w:val="2"/>
            <w:tcBorders>
              <w:left w:val="nil"/>
              <w:right w:val="nil"/>
            </w:tcBorders>
            <w:vAlign w:val="center"/>
          </w:tcPr>
          <w:p w:rsidR="000A3C7D" w:rsidRPr="00E37ACD" w:rsidRDefault="000A3C7D" w:rsidP="00942872">
            <w:pPr>
              <w:keepNext/>
              <w:jc w:val="left"/>
              <w:rPr>
                <w:rFonts w:ascii="Arial Narrow" w:hAnsi="Arial Narrow"/>
                <w:b/>
                <w:bCs/>
                <w:color w:val="000000"/>
                <w:sz w:val="20"/>
              </w:rPr>
            </w:pPr>
          </w:p>
        </w:tc>
        <w:tc>
          <w:tcPr>
            <w:tcW w:w="761" w:type="pct"/>
            <w:gridSpan w:val="2"/>
            <w:tcBorders>
              <w:left w:val="nil"/>
              <w:right w:val="nil"/>
            </w:tcBorders>
            <w:vAlign w:val="center"/>
          </w:tcPr>
          <w:p w:rsidR="000A3C7D" w:rsidRPr="00E37ACD" w:rsidRDefault="000A3C7D" w:rsidP="00942872">
            <w:pPr>
              <w:keepNext/>
              <w:jc w:val="left"/>
              <w:rPr>
                <w:rFonts w:ascii="Arial Narrow" w:hAnsi="Arial Narrow"/>
                <w:b/>
                <w:bCs/>
                <w:color w:val="000000"/>
                <w:sz w:val="20"/>
              </w:rPr>
            </w:pPr>
          </w:p>
        </w:tc>
        <w:tc>
          <w:tcPr>
            <w:tcW w:w="762" w:type="pct"/>
            <w:gridSpan w:val="2"/>
            <w:tcBorders>
              <w:left w:val="nil"/>
            </w:tcBorders>
            <w:vAlign w:val="center"/>
          </w:tcPr>
          <w:p w:rsidR="000A3C7D" w:rsidRPr="00E37ACD" w:rsidRDefault="000A3C7D" w:rsidP="00942872">
            <w:pPr>
              <w:keepNext/>
              <w:jc w:val="left"/>
              <w:rPr>
                <w:rFonts w:ascii="Arial Narrow" w:hAnsi="Arial Narrow"/>
                <w:b/>
                <w:bCs/>
                <w:color w:val="000000"/>
                <w:sz w:val="20"/>
              </w:rPr>
            </w:pPr>
          </w:p>
        </w:tc>
      </w:tr>
      <w:tr w:rsidR="000A3C7D" w:rsidRPr="00E37ACD" w:rsidTr="00D97921">
        <w:tc>
          <w:tcPr>
            <w:tcW w:w="1358" w:type="pct"/>
            <w:gridSpan w:val="2"/>
            <w:vAlign w:val="center"/>
          </w:tcPr>
          <w:p w:rsidR="000A3C7D" w:rsidRPr="00E37ACD" w:rsidRDefault="000A3C7D" w:rsidP="00942872">
            <w:pPr>
              <w:keepNext/>
              <w:tabs>
                <w:tab w:val="left" w:pos="142"/>
              </w:tabs>
              <w:jc w:val="left"/>
              <w:rPr>
                <w:rFonts w:ascii="Arial Narrow" w:hAnsi="Arial Narrow"/>
                <w:sz w:val="20"/>
              </w:rPr>
            </w:pPr>
            <w:r w:rsidRPr="00E37ACD">
              <w:rPr>
                <w:rFonts w:ascii="Arial Narrow" w:hAnsi="Arial Narrow"/>
                <w:sz w:val="20"/>
              </w:rPr>
              <w:t>Number treated</w:t>
            </w:r>
          </w:p>
        </w:tc>
        <w:tc>
          <w:tcPr>
            <w:tcW w:w="679" w:type="pct"/>
            <w:gridSpan w:val="2"/>
            <w:vAlign w:val="center"/>
          </w:tcPr>
          <w:p w:rsidR="000A3C7D" w:rsidRPr="00637BCD" w:rsidRDefault="00637BCD" w:rsidP="00942872">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9" w:type="pct"/>
            <w:gridSpan w:val="2"/>
            <w:vAlign w:val="center"/>
          </w:tcPr>
          <w:p w:rsidR="000A3C7D" w:rsidRPr="00637BCD" w:rsidRDefault="00637BCD" w:rsidP="00942872">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gridSpan w:val="2"/>
            <w:vAlign w:val="center"/>
          </w:tcPr>
          <w:p w:rsidR="000A3C7D" w:rsidRPr="00637BCD" w:rsidRDefault="00637BCD" w:rsidP="00942872">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gridSpan w:val="3"/>
            <w:vAlign w:val="center"/>
          </w:tcPr>
          <w:p w:rsidR="000A3C7D" w:rsidRPr="00637BCD" w:rsidRDefault="00637BCD" w:rsidP="00942872">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56" w:type="pct"/>
            <w:vAlign w:val="center"/>
          </w:tcPr>
          <w:p w:rsidR="000A3C7D" w:rsidRPr="00637BCD" w:rsidRDefault="00637BCD" w:rsidP="00942872">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0A3C7D" w:rsidRPr="00E37ACD" w:rsidTr="00D97921">
        <w:tc>
          <w:tcPr>
            <w:tcW w:w="833" w:type="pct"/>
            <w:tcBorders>
              <w:right w:val="nil"/>
            </w:tcBorders>
            <w:vAlign w:val="center"/>
          </w:tcPr>
          <w:p w:rsidR="000A3C7D" w:rsidRPr="00E37ACD" w:rsidRDefault="000A3C7D" w:rsidP="00942872">
            <w:pPr>
              <w:keepNext/>
              <w:jc w:val="left"/>
              <w:rPr>
                <w:rFonts w:ascii="Arial Narrow" w:hAnsi="Arial Narrow"/>
                <w:b/>
                <w:bCs/>
                <w:color w:val="000000"/>
                <w:sz w:val="20"/>
              </w:rPr>
            </w:pPr>
            <w:proofErr w:type="spellStart"/>
            <w:r w:rsidRPr="00E37ACD">
              <w:rPr>
                <w:rFonts w:ascii="Arial Narrow" w:hAnsi="Arial Narrow"/>
                <w:b/>
                <w:bCs/>
                <w:color w:val="000000"/>
                <w:sz w:val="20"/>
              </w:rPr>
              <w:t>Packs</w:t>
            </w:r>
            <w:r w:rsidRPr="00E37ACD">
              <w:rPr>
                <w:rFonts w:ascii="Arial Narrow" w:hAnsi="Arial Narrow"/>
                <w:b/>
                <w:bCs/>
                <w:color w:val="000000"/>
                <w:sz w:val="20"/>
                <w:vertAlign w:val="superscript"/>
              </w:rPr>
              <w:t>a</w:t>
            </w:r>
            <w:proofErr w:type="spellEnd"/>
          </w:p>
        </w:tc>
        <w:tc>
          <w:tcPr>
            <w:tcW w:w="833" w:type="pct"/>
            <w:gridSpan w:val="2"/>
            <w:tcBorders>
              <w:left w:val="nil"/>
              <w:right w:val="nil"/>
            </w:tcBorders>
            <w:vAlign w:val="center"/>
          </w:tcPr>
          <w:p w:rsidR="000A3C7D" w:rsidRPr="00E37ACD" w:rsidRDefault="000A3C7D" w:rsidP="00942872">
            <w:pPr>
              <w:keepNext/>
              <w:jc w:val="left"/>
              <w:rPr>
                <w:rFonts w:ascii="Arial Narrow" w:hAnsi="Arial Narrow"/>
                <w:b/>
                <w:bCs/>
                <w:color w:val="000000"/>
                <w:sz w:val="20"/>
              </w:rPr>
            </w:pPr>
          </w:p>
        </w:tc>
        <w:tc>
          <w:tcPr>
            <w:tcW w:w="833" w:type="pct"/>
            <w:gridSpan w:val="2"/>
            <w:tcBorders>
              <w:left w:val="nil"/>
              <w:right w:val="nil"/>
            </w:tcBorders>
            <w:vAlign w:val="center"/>
          </w:tcPr>
          <w:p w:rsidR="000A3C7D" w:rsidRPr="00E37ACD" w:rsidRDefault="000A3C7D" w:rsidP="00942872">
            <w:pPr>
              <w:keepNext/>
              <w:jc w:val="left"/>
              <w:rPr>
                <w:rFonts w:ascii="Arial Narrow" w:hAnsi="Arial Narrow"/>
                <w:b/>
                <w:bCs/>
                <w:color w:val="000000"/>
                <w:sz w:val="20"/>
              </w:rPr>
            </w:pPr>
          </w:p>
        </w:tc>
        <w:tc>
          <w:tcPr>
            <w:tcW w:w="833" w:type="pct"/>
            <w:gridSpan w:val="2"/>
            <w:tcBorders>
              <w:left w:val="nil"/>
              <w:right w:val="nil"/>
            </w:tcBorders>
            <w:vAlign w:val="center"/>
          </w:tcPr>
          <w:p w:rsidR="000A3C7D" w:rsidRPr="00E37ACD" w:rsidRDefault="000A3C7D" w:rsidP="00942872">
            <w:pPr>
              <w:keepNext/>
              <w:jc w:val="left"/>
              <w:rPr>
                <w:rFonts w:ascii="Arial Narrow" w:hAnsi="Arial Narrow"/>
                <w:b/>
                <w:bCs/>
                <w:color w:val="000000"/>
                <w:sz w:val="20"/>
              </w:rPr>
            </w:pPr>
          </w:p>
        </w:tc>
        <w:tc>
          <w:tcPr>
            <w:tcW w:w="833" w:type="pct"/>
            <w:gridSpan w:val="2"/>
            <w:tcBorders>
              <w:left w:val="nil"/>
              <w:right w:val="nil"/>
            </w:tcBorders>
            <w:vAlign w:val="center"/>
          </w:tcPr>
          <w:p w:rsidR="000A3C7D" w:rsidRPr="00E37ACD" w:rsidRDefault="000A3C7D" w:rsidP="00942872">
            <w:pPr>
              <w:keepNext/>
              <w:jc w:val="left"/>
              <w:rPr>
                <w:rFonts w:ascii="Arial Narrow" w:hAnsi="Arial Narrow"/>
                <w:b/>
                <w:bCs/>
                <w:color w:val="000000"/>
                <w:sz w:val="20"/>
              </w:rPr>
            </w:pPr>
          </w:p>
        </w:tc>
        <w:tc>
          <w:tcPr>
            <w:tcW w:w="833" w:type="pct"/>
            <w:gridSpan w:val="3"/>
            <w:tcBorders>
              <w:left w:val="nil"/>
            </w:tcBorders>
            <w:vAlign w:val="center"/>
          </w:tcPr>
          <w:p w:rsidR="000A3C7D" w:rsidRPr="00E37ACD" w:rsidRDefault="000A3C7D" w:rsidP="00942872">
            <w:pPr>
              <w:keepNext/>
              <w:jc w:val="left"/>
              <w:rPr>
                <w:rFonts w:ascii="Arial Narrow" w:hAnsi="Arial Narrow"/>
                <w:b/>
                <w:bCs/>
                <w:color w:val="000000"/>
                <w:sz w:val="20"/>
              </w:rPr>
            </w:pPr>
          </w:p>
        </w:tc>
      </w:tr>
      <w:tr w:rsidR="000A3C7D" w:rsidRPr="00E37ACD" w:rsidTr="00D97921">
        <w:tc>
          <w:tcPr>
            <w:tcW w:w="1358" w:type="pct"/>
            <w:gridSpan w:val="2"/>
            <w:vAlign w:val="center"/>
          </w:tcPr>
          <w:p w:rsidR="000A3C7D" w:rsidRPr="00E37ACD" w:rsidRDefault="000A3C7D" w:rsidP="00942872">
            <w:pPr>
              <w:keepNext/>
              <w:spacing w:line="276" w:lineRule="auto"/>
              <w:jc w:val="left"/>
              <w:rPr>
                <w:rFonts w:ascii="Arial Narrow" w:hAnsi="Arial Narrow"/>
                <w:sz w:val="20"/>
                <w:szCs w:val="18"/>
              </w:rPr>
            </w:pPr>
            <w:r w:rsidRPr="00E37ACD">
              <w:rPr>
                <w:rFonts w:ascii="Arial Narrow" w:hAnsi="Arial Narrow"/>
                <w:sz w:val="20"/>
                <w:szCs w:val="18"/>
              </w:rPr>
              <w:t>60 x 2 mg capsules</w:t>
            </w:r>
          </w:p>
        </w:tc>
        <w:tc>
          <w:tcPr>
            <w:tcW w:w="679" w:type="pct"/>
            <w:gridSpan w:val="2"/>
            <w:vAlign w:val="bottom"/>
          </w:tcPr>
          <w:p w:rsidR="000A3C7D" w:rsidRPr="00637BCD" w:rsidRDefault="00637BCD" w:rsidP="00942872">
            <w:pPr>
              <w:keepNext/>
              <w:spacing w:line="276" w:lineRule="auto"/>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679" w:type="pct"/>
            <w:gridSpan w:val="2"/>
            <w:vAlign w:val="bottom"/>
          </w:tcPr>
          <w:p w:rsidR="000A3C7D" w:rsidRPr="00637BCD" w:rsidRDefault="00637BCD" w:rsidP="00942872">
            <w:pPr>
              <w:keepNext/>
              <w:spacing w:line="276" w:lineRule="auto"/>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764" w:type="pct"/>
            <w:gridSpan w:val="2"/>
            <w:vAlign w:val="bottom"/>
          </w:tcPr>
          <w:p w:rsidR="000A3C7D" w:rsidRPr="00637BCD" w:rsidRDefault="00637BCD" w:rsidP="00942872">
            <w:pPr>
              <w:keepNext/>
              <w:spacing w:line="276" w:lineRule="auto"/>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764" w:type="pct"/>
            <w:gridSpan w:val="3"/>
            <w:vAlign w:val="bottom"/>
          </w:tcPr>
          <w:p w:rsidR="000A3C7D" w:rsidRPr="00637BCD" w:rsidRDefault="00637BCD" w:rsidP="00942872">
            <w:pPr>
              <w:keepNext/>
              <w:spacing w:line="276" w:lineRule="auto"/>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756" w:type="pct"/>
            <w:vAlign w:val="bottom"/>
          </w:tcPr>
          <w:p w:rsidR="000A3C7D" w:rsidRPr="00637BCD" w:rsidRDefault="00637BCD" w:rsidP="00942872">
            <w:pPr>
              <w:keepNext/>
              <w:spacing w:line="276" w:lineRule="auto"/>
              <w:jc w:val="center"/>
              <w:rPr>
                <w:rFonts w:ascii="Arial Narrow" w:hAnsi="Arial Narrow"/>
                <w:sz w:val="20"/>
                <w:szCs w:val="18"/>
                <w:highlight w:val="black"/>
              </w:rPr>
            </w:pPr>
            <w:r>
              <w:rPr>
                <w:rFonts w:ascii="Arial Narrow" w:hAnsi="Arial Narrow"/>
                <w:noProof/>
                <w:color w:val="000000"/>
                <w:sz w:val="20"/>
                <w:szCs w:val="18"/>
                <w:highlight w:val="black"/>
              </w:rPr>
              <w:t>''''''''''</w:t>
            </w:r>
          </w:p>
        </w:tc>
      </w:tr>
      <w:tr w:rsidR="000A3C7D" w:rsidRPr="00E37ACD" w:rsidTr="00D97921">
        <w:tc>
          <w:tcPr>
            <w:tcW w:w="1358" w:type="pct"/>
            <w:gridSpan w:val="2"/>
            <w:vAlign w:val="center"/>
          </w:tcPr>
          <w:p w:rsidR="000A3C7D" w:rsidRPr="00E37ACD" w:rsidRDefault="000A3C7D" w:rsidP="00942872">
            <w:pPr>
              <w:keepNext/>
              <w:spacing w:line="276" w:lineRule="auto"/>
              <w:jc w:val="left"/>
              <w:rPr>
                <w:rFonts w:ascii="Arial Narrow" w:hAnsi="Arial Narrow"/>
                <w:sz w:val="20"/>
                <w:szCs w:val="18"/>
              </w:rPr>
            </w:pPr>
            <w:r w:rsidRPr="00E37ACD">
              <w:rPr>
                <w:rFonts w:ascii="Arial Narrow" w:hAnsi="Arial Narrow"/>
                <w:sz w:val="20"/>
                <w:szCs w:val="18"/>
              </w:rPr>
              <w:t>60 x 5 mg capsules</w:t>
            </w:r>
          </w:p>
        </w:tc>
        <w:tc>
          <w:tcPr>
            <w:tcW w:w="679" w:type="pct"/>
            <w:gridSpan w:val="2"/>
            <w:vAlign w:val="bottom"/>
          </w:tcPr>
          <w:p w:rsidR="000A3C7D" w:rsidRPr="00637BCD" w:rsidRDefault="00637BCD" w:rsidP="00942872">
            <w:pPr>
              <w:keepNext/>
              <w:spacing w:line="276" w:lineRule="auto"/>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679" w:type="pct"/>
            <w:gridSpan w:val="2"/>
            <w:vAlign w:val="bottom"/>
          </w:tcPr>
          <w:p w:rsidR="000A3C7D" w:rsidRPr="00637BCD" w:rsidRDefault="00637BCD" w:rsidP="00942872">
            <w:pPr>
              <w:keepNext/>
              <w:spacing w:line="276" w:lineRule="auto"/>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764" w:type="pct"/>
            <w:gridSpan w:val="2"/>
            <w:vAlign w:val="bottom"/>
          </w:tcPr>
          <w:p w:rsidR="000A3C7D" w:rsidRPr="00637BCD" w:rsidRDefault="00637BCD" w:rsidP="00942872">
            <w:pPr>
              <w:keepNext/>
              <w:spacing w:line="276" w:lineRule="auto"/>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764" w:type="pct"/>
            <w:gridSpan w:val="3"/>
            <w:vAlign w:val="bottom"/>
          </w:tcPr>
          <w:p w:rsidR="000A3C7D" w:rsidRPr="00637BCD" w:rsidRDefault="00637BCD" w:rsidP="00942872">
            <w:pPr>
              <w:keepNext/>
              <w:spacing w:line="276" w:lineRule="auto"/>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756" w:type="pct"/>
            <w:vAlign w:val="bottom"/>
          </w:tcPr>
          <w:p w:rsidR="000A3C7D" w:rsidRPr="00637BCD" w:rsidRDefault="00637BCD" w:rsidP="00942872">
            <w:pPr>
              <w:keepNext/>
              <w:spacing w:line="276" w:lineRule="auto"/>
              <w:jc w:val="center"/>
              <w:rPr>
                <w:rFonts w:ascii="Arial Narrow" w:hAnsi="Arial Narrow"/>
                <w:sz w:val="20"/>
                <w:szCs w:val="18"/>
                <w:highlight w:val="black"/>
              </w:rPr>
            </w:pPr>
            <w:r>
              <w:rPr>
                <w:rFonts w:ascii="Arial Narrow" w:hAnsi="Arial Narrow"/>
                <w:noProof/>
                <w:color w:val="000000"/>
                <w:sz w:val="20"/>
                <w:szCs w:val="18"/>
                <w:highlight w:val="black"/>
              </w:rPr>
              <w:t>'''''''''</w:t>
            </w:r>
          </w:p>
        </w:tc>
      </w:tr>
      <w:tr w:rsidR="000A3C7D" w:rsidRPr="00E37ACD" w:rsidTr="00D97921">
        <w:tc>
          <w:tcPr>
            <w:tcW w:w="1358" w:type="pct"/>
            <w:gridSpan w:val="2"/>
            <w:vAlign w:val="center"/>
          </w:tcPr>
          <w:p w:rsidR="000A3C7D" w:rsidRPr="00E37ACD" w:rsidRDefault="000A3C7D" w:rsidP="00942872">
            <w:pPr>
              <w:keepNext/>
              <w:spacing w:line="276" w:lineRule="auto"/>
              <w:jc w:val="left"/>
              <w:rPr>
                <w:rFonts w:ascii="Arial Narrow" w:hAnsi="Arial Narrow"/>
                <w:sz w:val="20"/>
                <w:szCs w:val="18"/>
              </w:rPr>
            </w:pPr>
            <w:r w:rsidRPr="00E37ACD">
              <w:rPr>
                <w:rFonts w:ascii="Arial Narrow" w:hAnsi="Arial Narrow"/>
                <w:sz w:val="20"/>
                <w:szCs w:val="18"/>
              </w:rPr>
              <w:t>60 x 10 mg capsules</w:t>
            </w:r>
          </w:p>
        </w:tc>
        <w:tc>
          <w:tcPr>
            <w:tcW w:w="679" w:type="pct"/>
            <w:gridSpan w:val="2"/>
            <w:vAlign w:val="bottom"/>
          </w:tcPr>
          <w:p w:rsidR="000A3C7D" w:rsidRPr="00637BCD" w:rsidRDefault="00637BCD" w:rsidP="00942872">
            <w:pPr>
              <w:keepNext/>
              <w:spacing w:line="276" w:lineRule="auto"/>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679" w:type="pct"/>
            <w:gridSpan w:val="2"/>
            <w:vAlign w:val="bottom"/>
          </w:tcPr>
          <w:p w:rsidR="000A3C7D" w:rsidRPr="00637BCD" w:rsidRDefault="00637BCD" w:rsidP="00942872">
            <w:pPr>
              <w:keepNext/>
              <w:spacing w:line="276" w:lineRule="auto"/>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764" w:type="pct"/>
            <w:gridSpan w:val="2"/>
            <w:vAlign w:val="bottom"/>
          </w:tcPr>
          <w:p w:rsidR="000A3C7D" w:rsidRPr="00637BCD" w:rsidRDefault="00637BCD" w:rsidP="00942872">
            <w:pPr>
              <w:keepNext/>
              <w:spacing w:line="276" w:lineRule="auto"/>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764" w:type="pct"/>
            <w:gridSpan w:val="3"/>
            <w:vAlign w:val="bottom"/>
          </w:tcPr>
          <w:p w:rsidR="000A3C7D" w:rsidRPr="00637BCD" w:rsidRDefault="00637BCD" w:rsidP="00942872">
            <w:pPr>
              <w:keepNext/>
              <w:spacing w:line="276" w:lineRule="auto"/>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756" w:type="pct"/>
            <w:vAlign w:val="bottom"/>
          </w:tcPr>
          <w:p w:rsidR="000A3C7D" w:rsidRPr="00637BCD" w:rsidRDefault="00637BCD" w:rsidP="00942872">
            <w:pPr>
              <w:keepNext/>
              <w:spacing w:line="276" w:lineRule="auto"/>
              <w:jc w:val="center"/>
              <w:rPr>
                <w:rFonts w:ascii="Arial Narrow" w:hAnsi="Arial Narrow"/>
                <w:sz w:val="20"/>
                <w:szCs w:val="18"/>
                <w:highlight w:val="black"/>
              </w:rPr>
            </w:pPr>
            <w:r>
              <w:rPr>
                <w:rFonts w:ascii="Arial Narrow" w:hAnsi="Arial Narrow"/>
                <w:noProof/>
                <w:color w:val="000000"/>
                <w:sz w:val="20"/>
                <w:szCs w:val="18"/>
                <w:highlight w:val="black"/>
              </w:rPr>
              <w:t>''''''''''</w:t>
            </w:r>
          </w:p>
        </w:tc>
      </w:tr>
      <w:tr w:rsidR="000A3C7D" w:rsidRPr="00E37ACD" w:rsidTr="00D97921">
        <w:tc>
          <w:tcPr>
            <w:tcW w:w="1358" w:type="pct"/>
            <w:gridSpan w:val="2"/>
            <w:vAlign w:val="center"/>
          </w:tcPr>
          <w:p w:rsidR="000A3C7D" w:rsidRPr="00E37ACD" w:rsidRDefault="000A3C7D" w:rsidP="00942872">
            <w:pPr>
              <w:keepNext/>
              <w:tabs>
                <w:tab w:val="left" w:pos="142"/>
              </w:tabs>
              <w:jc w:val="left"/>
              <w:rPr>
                <w:rFonts w:ascii="Arial Narrow" w:hAnsi="Arial Narrow"/>
                <w:b/>
                <w:sz w:val="20"/>
              </w:rPr>
            </w:pPr>
            <w:r w:rsidRPr="00E37ACD">
              <w:rPr>
                <w:rFonts w:ascii="Arial Narrow" w:hAnsi="Arial Narrow"/>
                <w:b/>
                <w:bCs/>
                <w:color w:val="000000"/>
                <w:sz w:val="20"/>
              </w:rPr>
              <w:t>Net cost to PBS/RPBS</w:t>
            </w:r>
          </w:p>
        </w:tc>
        <w:tc>
          <w:tcPr>
            <w:tcW w:w="679" w:type="pct"/>
            <w:gridSpan w:val="2"/>
            <w:vAlign w:val="bottom"/>
          </w:tcPr>
          <w:p w:rsidR="000A3C7D" w:rsidRPr="00637BCD" w:rsidRDefault="00637BCD" w:rsidP="00942872">
            <w:pPr>
              <w:keepNext/>
              <w:spacing w:line="276" w:lineRule="auto"/>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679" w:type="pct"/>
            <w:gridSpan w:val="2"/>
            <w:vAlign w:val="bottom"/>
          </w:tcPr>
          <w:p w:rsidR="000A3C7D" w:rsidRPr="00637BCD" w:rsidRDefault="00637BCD" w:rsidP="00942872">
            <w:pPr>
              <w:keepNext/>
              <w:spacing w:line="276" w:lineRule="auto"/>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764" w:type="pct"/>
            <w:gridSpan w:val="2"/>
            <w:vAlign w:val="bottom"/>
          </w:tcPr>
          <w:p w:rsidR="000A3C7D" w:rsidRPr="00637BCD" w:rsidRDefault="00637BCD" w:rsidP="00942872">
            <w:pPr>
              <w:keepNext/>
              <w:spacing w:line="276" w:lineRule="auto"/>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764" w:type="pct"/>
            <w:gridSpan w:val="3"/>
            <w:vAlign w:val="bottom"/>
          </w:tcPr>
          <w:p w:rsidR="000A3C7D" w:rsidRPr="00637BCD" w:rsidRDefault="00637BCD" w:rsidP="00942872">
            <w:pPr>
              <w:keepNext/>
              <w:spacing w:line="276" w:lineRule="auto"/>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756" w:type="pct"/>
            <w:vAlign w:val="bottom"/>
          </w:tcPr>
          <w:p w:rsidR="000A3C7D" w:rsidRPr="00637BCD" w:rsidRDefault="00637BCD" w:rsidP="00942872">
            <w:pPr>
              <w:keepNext/>
              <w:spacing w:line="276" w:lineRule="auto"/>
              <w:jc w:val="center"/>
              <w:rPr>
                <w:rFonts w:ascii="Arial Narrow" w:hAnsi="Arial Narrow"/>
                <w:sz w:val="20"/>
                <w:szCs w:val="18"/>
                <w:highlight w:val="black"/>
              </w:rPr>
            </w:pPr>
            <w:r>
              <w:rPr>
                <w:rFonts w:ascii="Arial Narrow" w:hAnsi="Arial Narrow"/>
                <w:noProof/>
                <w:color w:val="000000"/>
                <w:sz w:val="20"/>
                <w:szCs w:val="18"/>
                <w:highlight w:val="black"/>
              </w:rPr>
              <w:t>''''''''''''''''''''''''</w:t>
            </w:r>
          </w:p>
        </w:tc>
      </w:tr>
    </w:tbl>
    <w:p w:rsidR="000A3C7D" w:rsidRPr="005C1C31" w:rsidRDefault="000A3C7D" w:rsidP="00942872">
      <w:pPr>
        <w:pStyle w:val="TableFooter"/>
        <w:keepNext/>
        <w:ind w:left="709" w:firstLine="11"/>
        <w:rPr>
          <w:szCs w:val="18"/>
        </w:rPr>
      </w:pPr>
      <w:proofErr w:type="spellStart"/>
      <w:proofErr w:type="gramStart"/>
      <w:r w:rsidRPr="005C1C31">
        <w:rPr>
          <w:szCs w:val="18"/>
          <w:vertAlign w:val="superscript"/>
        </w:rPr>
        <w:t>a</w:t>
      </w:r>
      <w:proofErr w:type="spellEnd"/>
      <w:proofErr w:type="gramEnd"/>
      <w:r w:rsidRPr="005C1C31">
        <w:rPr>
          <w:szCs w:val="18"/>
        </w:rPr>
        <w:t xml:space="preserve"> Assuming a dose of 1 mg/kg/day and pack distribution of </w:t>
      </w:r>
      <w:r w:rsidR="00637BCD">
        <w:rPr>
          <w:noProof/>
          <w:color w:val="000000"/>
          <w:szCs w:val="18"/>
          <w:highlight w:val="black"/>
        </w:rPr>
        <w:t>''''''''''''</w:t>
      </w:r>
      <w:r w:rsidRPr="005C1C31">
        <w:rPr>
          <w:szCs w:val="18"/>
        </w:rPr>
        <w:t xml:space="preserve"> for 2 mg, </w:t>
      </w:r>
      <w:r w:rsidR="00637BCD">
        <w:rPr>
          <w:noProof/>
          <w:color w:val="000000"/>
          <w:szCs w:val="18"/>
          <w:highlight w:val="black"/>
        </w:rPr>
        <w:t>'''''''''''''''''''</w:t>
      </w:r>
      <w:r w:rsidRPr="005C1C31">
        <w:rPr>
          <w:szCs w:val="18"/>
        </w:rPr>
        <w:t xml:space="preserve"> for 5 mg and </w:t>
      </w:r>
      <w:r w:rsidR="00637BCD">
        <w:rPr>
          <w:noProof/>
          <w:color w:val="000000"/>
          <w:szCs w:val="18"/>
          <w:highlight w:val="black"/>
        </w:rPr>
        <w:t>''''''''''''''''''</w:t>
      </w:r>
      <w:r w:rsidRPr="005C1C31">
        <w:rPr>
          <w:szCs w:val="18"/>
        </w:rPr>
        <w:t xml:space="preserve"> for 10 mg capsules as estimated by the submission.</w:t>
      </w:r>
    </w:p>
    <w:p w:rsidR="000A3C7D" w:rsidRPr="005C1C31" w:rsidRDefault="000A3C7D" w:rsidP="005D044D">
      <w:pPr>
        <w:pStyle w:val="TableFooter"/>
        <w:ind w:firstLine="720"/>
        <w:rPr>
          <w:szCs w:val="18"/>
        </w:rPr>
      </w:pPr>
      <w:r w:rsidRPr="005C1C31">
        <w:rPr>
          <w:szCs w:val="18"/>
        </w:rPr>
        <w:t>Source: Table E.2-1, p215; Table E.2-3, p216; Table E.2-4, p217 of the submission</w:t>
      </w:r>
    </w:p>
    <w:p w:rsidR="000A3C7D" w:rsidRPr="00E37ACD" w:rsidRDefault="000A3C7D" w:rsidP="00C25D9C">
      <w:pPr>
        <w:widowControl/>
        <w:rPr>
          <w:szCs w:val="22"/>
        </w:rPr>
      </w:pPr>
    </w:p>
    <w:p w:rsidR="000A3C7D" w:rsidRDefault="000A3C7D" w:rsidP="00F31E6E">
      <w:pPr>
        <w:pStyle w:val="ListParagraph"/>
        <w:widowControl/>
        <w:numPr>
          <w:ilvl w:val="1"/>
          <w:numId w:val="3"/>
        </w:numPr>
      </w:pPr>
      <w:r w:rsidRPr="00E37ACD">
        <w:t xml:space="preserve">Neonatal screening may result in an increased incidence of HT-1. If the incidence is increased from 0.54 to 2.48 per 100,000 births, the PBS cost in year 5 is </w:t>
      </w:r>
      <w:r w:rsidR="00E45A95">
        <w:t>less than $10 million</w:t>
      </w:r>
      <w:r w:rsidRPr="00E37ACD">
        <w:t xml:space="preserve">. The ESC noted that the current prevalence in Australia is approximately 1:1,000,000 and given the low prevalence, that incidence may be lower than that </w:t>
      </w:r>
      <w:r w:rsidRPr="00E37ACD">
        <w:lastRenderedPageBreak/>
        <w:t>stated in the submission.</w:t>
      </w:r>
      <w:r>
        <w:t xml:space="preserve"> However, it was also noted that prevalence may increase with more sensitive screening.</w:t>
      </w:r>
    </w:p>
    <w:p w:rsidR="000A3C7D" w:rsidRDefault="000A3C7D" w:rsidP="009E2F27">
      <w:pPr>
        <w:pStyle w:val="ListParagraph"/>
        <w:widowControl/>
      </w:pPr>
    </w:p>
    <w:p w:rsidR="000A3C7D" w:rsidRPr="00885ACF" w:rsidRDefault="000A3C7D" w:rsidP="007663AA">
      <w:pPr>
        <w:pStyle w:val="ListParagraph"/>
        <w:widowControl/>
        <w:numPr>
          <w:ilvl w:val="1"/>
          <w:numId w:val="3"/>
        </w:numPr>
        <w:rPr>
          <w:szCs w:val="22"/>
        </w:rPr>
      </w:pPr>
      <w:r w:rsidRPr="00885ACF">
        <w:rPr>
          <w:szCs w:val="22"/>
        </w:rPr>
        <w:t xml:space="preserve">The PBAC was particularly concerned about the uncertain size of the patient population, particularly in the context of a sensitive neonatal screening program and the introduction of a new line of life-long therapy. Also the PBAC noted ongoing trials to investigating </w:t>
      </w:r>
      <w:proofErr w:type="spellStart"/>
      <w:r w:rsidRPr="00885ACF">
        <w:rPr>
          <w:szCs w:val="22"/>
        </w:rPr>
        <w:t>nitisinone</w:t>
      </w:r>
      <w:proofErr w:type="spellEnd"/>
      <w:r w:rsidRPr="00885ACF">
        <w:rPr>
          <w:szCs w:val="22"/>
        </w:rPr>
        <w:t xml:space="preserve"> treatment for </w:t>
      </w:r>
      <w:proofErr w:type="spellStart"/>
      <w:r w:rsidRPr="00885ACF">
        <w:rPr>
          <w:szCs w:val="22"/>
        </w:rPr>
        <w:t>alkaptonuria</w:t>
      </w:r>
      <w:proofErr w:type="spellEnd"/>
      <w:r w:rsidRPr="00885ACF">
        <w:rPr>
          <w:szCs w:val="22"/>
        </w:rPr>
        <w:t xml:space="preserve">. </w:t>
      </w:r>
      <w:r w:rsidRPr="00885ACF">
        <w:t xml:space="preserve">The PBAC considered, among other matters, that its assessment of the cost-effectiveness of </w:t>
      </w:r>
      <w:proofErr w:type="spellStart"/>
      <w:r w:rsidRPr="00885ACF">
        <w:t>nitisinone</w:t>
      </w:r>
      <w:proofErr w:type="spellEnd"/>
      <w:r w:rsidRPr="00885ACF">
        <w:t xml:space="preserve"> would be more acceptable if </w:t>
      </w:r>
      <w:r w:rsidRPr="00885ACF">
        <w:rPr>
          <w:szCs w:val="22"/>
        </w:rPr>
        <w:t>a Risk Share Agreement (RSA) between the sponsor and the Government</w:t>
      </w:r>
      <w:r w:rsidRPr="00885ACF" w:rsidDel="00900D19">
        <w:t xml:space="preserve"> </w:t>
      </w:r>
      <w:r w:rsidRPr="00885ACF">
        <w:t xml:space="preserve">were implemented to contain risks associated with the cost of the drug to the PBS. A </w:t>
      </w:r>
      <w:r w:rsidRPr="00885ACF">
        <w:rPr>
          <w:szCs w:val="22"/>
        </w:rPr>
        <w:t xml:space="preserve">RSA should include a cap on total expenditure derived using the number of patients eligible to receive </w:t>
      </w:r>
      <w:proofErr w:type="spellStart"/>
      <w:r w:rsidRPr="00885ACF">
        <w:rPr>
          <w:szCs w:val="22"/>
        </w:rPr>
        <w:t>nitisinone</w:t>
      </w:r>
      <w:proofErr w:type="spellEnd"/>
      <w:r w:rsidRPr="00885ACF">
        <w:rPr>
          <w:szCs w:val="22"/>
        </w:rPr>
        <w:t xml:space="preserve">. </w:t>
      </w:r>
    </w:p>
    <w:p w:rsidR="000A3C7D" w:rsidRPr="005F6928" w:rsidRDefault="000A3C7D" w:rsidP="005F6928">
      <w:pPr>
        <w:pStyle w:val="ListParagraph"/>
        <w:ind w:left="709"/>
        <w:rPr>
          <w:i/>
          <w:color w:val="FF0000"/>
          <w:szCs w:val="22"/>
        </w:rPr>
      </w:pPr>
    </w:p>
    <w:p w:rsidR="000A3C7D" w:rsidRPr="00812DB3" w:rsidRDefault="000A3C7D" w:rsidP="005F6928">
      <w:pPr>
        <w:pStyle w:val="ListParagraph"/>
        <w:ind w:left="709"/>
        <w:rPr>
          <w:i/>
          <w:szCs w:val="22"/>
        </w:rPr>
      </w:pPr>
      <w:r w:rsidRPr="00812DB3">
        <w:rPr>
          <w:i/>
          <w:szCs w:val="22"/>
        </w:rPr>
        <w:t>For more detail on PBAC’s view, see section 7 “PBAC outcome”</w:t>
      </w:r>
    </w:p>
    <w:p w:rsidR="000A3C7D" w:rsidRDefault="000A3C7D" w:rsidP="00576972">
      <w:pPr>
        <w:widowControl/>
        <w:rPr>
          <w:szCs w:val="22"/>
        </w:rPr>
      </w:pPr>
    </w:p>
    <w:p w:rsidR="000A3C7D" w:rsidRDefault="000A3C7D" w:rsidP="00576972">
      <w:pPr>
        <w:widowControl/>
        <w:rPr>
          <w:szCs w:val="22"/>
        </w:rPr>
      </w:pPr>
    </w:p>
    <w:p w:rsidR="000A3C7D" w:rsidRPr="00F31E6E" w:rsidRDefault="000A3C7D" w:rsidP="00F31E6E">
      <w:pPr>
        <w:pStyle w:val="PBACHeading1"/>
      </w:pPr>
      <w:r w:rsidRPr="00F31E6E">
        <w:t>PBAC Outcome</w:t>
      </w:r>
    </w:p>
    <w:p w:rsidR="000A3C7D" w:rsidRPr="00F31E6E" w:rsidRDefault="000A3C7D" w:rsidP="00F31E6E">
      <w:pPr>
        <w:rPr>
          <w:szCs w:val="22"/>
        </w:rPr>
      </w:pPr>
    </w:p>
    <w:p w:rsidR="000A3C7D" w:rsidRDefault="000A3C7D" w:rsidP="00F31E6E">
      <w:pPr>
        <w:pStyle w:val="PBACHeading1"/>
        <w:numPr>
          <w:ilvl w:val="1"/>
          <w:numId w:val="3"/>
        </w:numPr>
        <w:rPr>
          <w:b w:val="0"/>
        </w:rPr>
      </w:pPr>
      <w:r>
        <w:rPr>
          <w:b w:val="0"/>
        </w:rPr>
        <w:t xml:space="preserve">The PBAC deferred making a recommendation regarding the proposed Authority </w:t>
      </w:r>
      <w:proofErr w:type="gramStart"/>
      <w:r>
        <w:rPr>
          <w:b w:val="0"/>
        </w:rPr>
        <w:t>Required</w:t>
      </w:r>
      <w:proofErr w:type="gramEnd"/>
      <w:r>
        <w:rPr>
          <w:b w:val="0"/>
        </w:rPr>
        <w:t xml:space="preserve"> listing for </w:t>
      </w:r>
      <w:proofErr w:type="spellStart"/>
      <w:r>
        <w:rPr>
          <w:b w:val="0"/>
        </w:rPr>
        <w:t>nitisinone</w:t>
      </w:r>
      <w:proofErr w:type="spellEnd"/>
      <w:r>
        <w:rPr>
          <w:b w:val="0"/>
        </w:rPr>
        <w:t xml:space="preserve"> under Section 100 for treatment of HT-1 due to a lack of clarity regarding current and future screening practices for detecting HT-1 and the subsequent impact on the </w:t>
      </w:r>
      <w:r w:rsidRPr="003F1337">
        <w:rPr>
          <w:b w:val="0"/>
        </w:rPr>
        <w:t>significant survival advantage</w:t>
      </w:r>
      <w:r>
        <w:rPr>
          <w:b w:val="0"/>
        </w:rPr>
        <w:t xml:space="preserve"> and adverse effects observed during treatment with </w:t>
      </w:r>
      <w:proofErr w:type="spellStart"/>
      <w:r>
        <w:rPr>
          <w:b w:val="0"/>
        </w:rPr>
        <w:t>nitisinone</w:t>
      </w:r>
      <w:proofErr w:type="spellEnd"/>
      <w:r>
        <w:rPr>
          <w:b w:val="0"/>
        </w:rPr>
        <w:t>.</w:t>
      </w:r>
    </w:p>
    <w:p w:rsidR="000A3C7D" w:rsidRPr="00F31E6E" w:rsidRDefault="000A3C7D" w:rsidP="00F31E6E">
      <w:pPr>
        <w:pStyle w:val="ListParagraph"/>
        <w:rPr>
          <w:szCs w:val="22"/>
        </w:rPr>
      </w:pPr>
    </w:p>
    <w:p w:rsidR="000A3C7D" w:rsidRDefault="000A3C7D" w:rsidP="00900D19">
      <w:pPr>
        <w:pStyle w:val="ListParagraph"/>
        <w:numPr>
          <w:ilvl w:val="1"/>
          <w:numId w:val="3"/>
        </w:numPr>
        <w:rPr>
          <w:szCs w:val="22"/>
        </w:rPr>
      </w:pPr>
      <w:r w:rsidRPr="00690ABD">
        <w:rPr>
          <w:szCs w:val="22"/>
        </w:rPr>
        <w:t>The PBAC recommended a stakeholder meeting be held between the sponsor, the Department, clinicians from applicable professional bodies, consumer representatives and PBAC members</w:t>
      </w:r>
      <w:r>
        <w:rPr>
          <w:szCs w:val="22"/>
        </w:rPr>
        <w:t xml:space="preserve">. The aim of this meeting would be </w:t>
      </w:r>
      <w:r w:rsidRPr="00690ABD">
        <w:rPr>
          <w:szCs w:val="22"/>
        </w:rPr>
        <w:t xml:space="preserve">to provide clarity </w:t>
      </w:r>
      <w:r w:rsidR="006665F3">
        <w:rPr>
          <w:szCs w:val="22"/>
        </w:rPr>
        <w:t>about</w:t>
      </w:r>
      <w:r w:rsidRPr="00690ABD">
        <w:rPr>
          <w:szCs w:val="22"/>
        </w:rPr>
        <w:t xml:space="preserve"> the </w:t>
      </w:r>
      <w:r>
        <w:rPr>
          <w:szCs w:val="22"/>
        </w:rPr>
        <w:t xml:space="preserve">clinical effectiveness of </w:t>
      </w:r>
      <w:proofErr w:type="spellStart"/>
      <w:r>
        <w:rPr>
          <w:szCs w:val="22"/>
        </w:rPr>
        <w:t>nitisinone</w:t>
      </w:r>
      <w:proofErr w:type="spellEnd"/>
      <w:r w:rsidRPr="00690ABD">
        <w:rPr>
          <w:szCs w:val="22"/>
        </w:rPr>
        <w:t xml:space="preserve"> </w:t>
      </w:r>
      <w:r>
        <w:rPr>
          <w:szCs w:val="22"/>
        </w:rPr>
        <w:t xml:space="preserve">for HT-1 with respect to current and future screening programs. The meeting would also provide an opportunity to consider the need for a progressive neurocognitive monitoring and assessment program, as well as an </w:t>
      </w:r>
      <w:r w:rsidRPr="00690ABD">
        <w:rPr>
          <w:szCs w:val="22"/>
        </w:rPr>
        <w:t>appropriate restriction</w:t>
      </w:r>
      <w:r>
        <w:rPr>
          <w:szCs w:val="22"/>
        </w:rPr>
        <w:t xml:space="preserve"> arrangement</w:t>
      </w:r>
      <w:r w:rsidRPr="00690ABD">
        <w:rPr>
          <w:szCs w:val="22"/>
        </w:rPr>
        <w:t xml:space="preserve">. </w:t>
      </w:r>
    </w:p>
    <w:p w:rsidR="000A3C7D" w:rsidRDefault="000A3C7D" w:rsidP="00900D19">
      <w:pPr>
        <w:pStyle w:val="ListParagraph"/>
      </w:pPr>
    </w:p>
    <w:p w:rsidR="000A3C7D" w:rsidRPr="00900D19" w:rsidRDefault="000A3C7D" w:rsidP="00900D19">
      <w:pPr>
        <w:pStyle w:val="ListParagraph"/>
        <w:numPr>
          <w:ilvl w:val="1"/>
          <w:numId w:val="3"/>
        </w:numPr>
        <w:rPr>
          <w:szCs w:val="22"/>
        </w:rPr>
      </w:pPr>
      <w:r w:rsidRPr="00900D19">
        <w:t xml:space="preserve">While the PBAC deferred making a recommendation, it made the following comments regarding the proposed listing and restriction wording. </w:t>
      </w:r>
    </w:p>
    <w:p w:rsidR="000A3C7D" w:rsidRDefault="000A3C7D" w:rsidP="00410212">
      <w:pPr>
        <w:pStyle w:val="PBACHeading1"/>
        <w:numPr>
          <w:ilvl w:val="1"/>
          <w:numId w:val="16"/>
        </w:numPr>
        <w:ind w:left="1134" w:hanging="425"/>
        <w:rPr>
          <w:b w:val="0"/>
        </w:rPr>
      </w:pPr>
      <w:r>
        <w:rPr>
          <w:b w:val="0"/>
        </w:rPr>
        <w:t xml:space="preserve">The PBAC considered that the wording of the suggested clinical criterion, that a patient must have a confirmed clinical diagnosis of HT-1 based on clinical suspicion and detection of </w:t>
      </w:r>
      <w:proofErr w:type="spellStart"/>
      <w:r>
        <w:rPr>
          <w:b w:val="0"/>
        </w:rPr>
        <w:t>succinylacetone</w:t>
      </w:r>
      <w:proofErr w:type="spellEnd"/>
      <w:r>
        <w:rPr>
          <w:b w:val="0"/>
        </w:rPr>
        <w:t xml:space="preserve">, would be inappropriate if a neonatal screening program for </w:t>
      </w:r>
      <w:proofErr w:type="spellStart"/>
      <w:r>
        <w:rPr>
          <w:b w:val="0"/>
        </w:rPr>
        <w:t>succinylacetone</w:t>
      </w:r>
      <w:proofErr w:type="spellEnd"/>
      <w:r>
        <w:rPr>
          <w:b w:val="0"/>
        </w:rPr>
        <w:t xml:space="preserve"> was established. In this scenario, patients would be diagnosed through detection of </w:t>
      </w:r>
      <w:proofErr w:type="spellStart"/>
      <w:r>
        <w:rPr>
          <w:b w:val="0"/>
        </w:rPr>
        <w:t>succinylacetone</w:t>
      </w:r>
      <w:proofErr w:type="spellEnd"/>
      <w:r>
        <w:rPr>
          <w:b w:val="0"/>
        </w:rPr>
        <w:t xml:space="preserve"> prior to clinical suspicion of HT-1. </w:t>
      </w:r>
    </w:p>
    <w:p w:rsidR="000A3C7D" w:rsidRPr="00885ACF" w:rsidRDefault="000A3C7D" w:rsidP="00885ACF">
      <w:pPr>
        <w:pStyle w:val="PBACHeading1"/>
        <w:numPr>
          <w:ilvl w:val="1"/>
          <w:numId w:val="16"/>
        </w:numPr>
        <w:ind w:left="1134" w:hanging="425"/>
      </w:pPr>
      <w:r>
        <w:rPr>
          <w:b w:val="0"/>
        </w:rPr>
        <w:t xml:space="preserve">The PBAC also noted that the wording of the criterion </w:t>
      </w:r>
      <w:r w:rsidR="006665F3">
        <w:rPr>
          <w:b w:val="0"/>
        </w:rPr>
        <w:t>with respect to</w:t>
      </w:r>
      <w:r>
        <w:rPr>
          <w:b w:val="0"/>
        </w:rPr>
        <w:t xml:space="preserve"> whether the patient has had a liver transplant would require clarification with stakeholders. </w:t>
      </w:r>
    </w:p>
    <w:p w:rsidR="000A3C7D" w:rsidRDefault="000A3C7D" w:rsidP="00687706">
      <w:pPr>
        <w:pStyle w:val="PBACHeading1"/>
        <w:numPr>
          <w:ilvl w:val="1"/>
          <w:numId w:val="16"/>
        </w:numPr>
        <w:ind w:left="1134" w:hanging="425"/>
        <w:rPr>
          <w:b w:val="0"/>
        </w:rPr>
      </w:pPr>
      <w:r>
        <w:rPr>
          <w:b w:val="0"/>
        </w:rPr>
        <w:t xml:space="preserve">The submission did not specify a method by which prescribing authority was to be sought. The PBAC considered that, given the small patient population and significant cost of the life-long treatment, it would be desirable for prescribers to provide written evidence that their patient satisfies the treatment and clinical criteria to the Department of Human Services. </w:t>
      </w:r>
    </w:p>
    <w:p w:rsidR="000A3C7D" w:rsidRPr="00687706" w:rsidRDefault="000A3C7D" w:rsidP="00687706">
      <w:pPr>
        <w:pStyle w:val="PBACHeading1"/>
        <w:numPr>
          <w:ilvl w:val="1"/>
          <w:numId w:val="16"/>
        </w:numPr>
        <w:ind w:left="1134" w:hanging="425"/>
        <w:rPr>
          <w:b w:val="0"/>
        </w:rPr>
      </w:pPr>
      <w:r w:rsidRPr="00687706">
        <w:rPr>
          <w:b w:val="0"/>
        </w:rPr>
        <w:t xml:space="preserve">As the daily dose of </w:t>
      </w:r>
      <w:proofErr w:type="spellStart"/>
      <w:r w:rsidRPr="00687706">
        <w:rPr>
          <w:b w:val="0"/>
        </w:rPr>
        <w:t>nitisinone</w:t>
      </w:r>
      <w:proofErr w:type="spellEnd"/>
      <w:r w:rsidRPr="00687706">
        <w:rPr>
          <w:b w:val="0"/>
        </w:rPr>
        <w:t xml:space="preserve"> is 1 mg/kg/day, the PBAC noted that the proposed maximum quantity of 60 capsules, at the maximum strength of 10 mg, would not be sufficient for patients weighing over 20 kg and that the mean weight of patients currently treated with </w:t>
      </w:r>
      <w:proofErr w:type="spellStart"/>
      <w:r w:rsidRPr="00687706">
        <w:rPr>
          <w:b w:val="0"/>
        </w:rPr>
        <w:t>nitisinone</w:t>
      </w:r>
      <w:proofErr w:type="spellEnd"/>
      <w:r w:rsidRPr="00687706">
        <w:rPr>
          <w:b w:val="0"/>
        </w:rPr>
        <w:t xml:space="preserve"> in Australia is </w:t>
      </w:r>
      <w:r w:rsidR="00637BCD">
        <w:rPr>
          <w:b w:val="0"/>
          <w:noProof/>
          <w:color w:val="000000"/>
          <w:highlight w:val="black"/>
        </w:rPr>
        <w:t>''''''' ''''''</w:t>
      </w:r>
      <w:r w:rsidRPr="00687706">
        <w:rPr>
          <w:b w:val="0"/>
        </w:rPr>
        <w:t xml:space="preserve">. The PBAC </w:t>
      </w:r>
      <w:r w:rsidRPr="00687706">
        <w:rPr>
          <w:b w:val="0"/>
        </w:rPr>
        <w:lastRenderedPageBreak/>
        <w:t xml:space="preserve">considered that allowing the Department of Human Services to increase the maximum quantity on request would be appropriate. </w:t>
      </w:r>
    </w:p>
    <w:p w:rsidR="000A3C7D" w:rsidRPr="00F31E6E" w:rsidRDefault="000A3C7D" w:rsidP="00690ABD">
      <w:pPr>
        <w:pStyle w:val="PBACHeading1"/>
        <w:numPr>
          <w:ilvl w:val="0"/>
          <w:numId w:val="0"/>
        </w:numPr>
        <w:rPr>
          <w:b w:val="0"/>
        </w:rPr>
      </w:pPr>
    </w:p>
    <w:p w:rsidR="000A3C7D" w:rsidRDefault="000A3C7D" w:rsidP="00F31E6E">
      <w:pPr>
        <w:pStyle w:val="PBACHeading1"/>
        <w:numPr>
          <w:ilvl w:val="1"/>
          <w:numId w:val="3"/>
        </w:numPr>
        <w:rPr>
          <w:b w:val="0"/>
        </w:rPr>
      </w:pPr>
      <w:r>
        <w:rPr>
          <w:b w:val="0"/>
        </w:rPr>
        <w:t xml:space="preserve">The PBAC accepted that medical management without </w:t>
      </w:r>
      <w:proofErr w:type="spellStart"/>
      <w:r>
        <w:rPr>
          <w:b w:val="0"/>
        </w:rPr>
        <w:t>nitisinone</w:t>
      </w:r>
      <w:proofErr w:type="spellEnd"/>
      <w:r>
        <w:rPr>
          <w:b w:val="0"/>
        </w:rPr>
        <w:t xml:space="preserve"> (i.e., diet alone) is the appropriate comparator. </w:t>
      </w:r>
    </w:p>
    <w:p w:rsidR="000A3C7D" w:rsidRDefault="000A3C7D" w:rsidP="009E4A30">
      <w:pPr>
        <w:pStyle w:val="ListParagraph"/>
        <w:rPr>
          <w:b/>
        </w:rPr>
      </w:pPr>
    </w:p>
    <w:p w:rsidR="000A3C7D" w:rsidRPr="00C14DB9" w:rsidRDefault="000A3C7D" w:rsidP="00C14DB9">
      <w:pPr>
        <w:pStyle w:val="PBACHeading1"/>
        <w:numPr>
          <w:ilvl w:val="1"/>
          <w:numId w:val="3"/>
        </w:numPr>
        <w:rPr>
          <w:b w:val="0"/>
        </w:rPr>
      </w:pPr>
      <w:r>
        <w:rPr>
          <w:b w:val="0"/>
        </w:rPr>
        <w:t xml:space="preserve">The PBAC noted the clinical need for </w:t>
      </w:r>
      <w:proofErr w:type="spellStart"/>
      <w:r>
        <w:rPr>
          <w:b w:val="0"/>
        </w:rPr>
        <w:t>nitisinone</w:t>
      </w:r>
      <w:proofErr w:type="spellEnd"/>
      <w:r>
        <w:rPr>
          <w:b w:val="0"/>
        </w:rPr>
        <w:t xml:space="preserve"> for the treatment of HT-1 and that patients are currently being treated with the drug through hospitals. The PBAC welcomed input from individuals and organisations regarding the range of benefits of this treatment. In addition, t</w:t>
      </w:r>
      <w:r w:rsidRPr="00C14DB9">
        <w:rPr>
          <w:b w:val="0"/>
        </w:rPr>
        <w:t xml:space="preserve">he PBAC considered advice from the Australasian Society </w:t>
      </w:r>
      <w:r>
        <w:rPr>
          <w:b w:val="0"/>
        </w:rPr>
        <w:t>for Inborn Errors of Metabolism, as outlined in paragraphs 4.3 and 4.4.</w:t>
      </w:r>
      <w:r w:rsidRPr="00C14DB9">
        <w:rPr>
          <w:b w:val="0"/>
        </w:rPr>
        <w:t xml:space="preserve"> </w:t>
      </w:r>
    </w:p>
    <w:p w:rsidR="000A3C7D" w:rsidRDefault="000A3C7D" w:rsidP="00BF6E8F">
      <w:pPr>
        <w:pStyle w:val="ListParagraph"/>
        <w:rPr>
          <w:b/>
        </w:rPr>
      </w:pPr>
    </w:p>
    <w:p w:rsidR="000A3C7D" w:rsidRPr="003F1337" w:rsidRDefault="000A3C7D" w:rsidP="003F1337">
      <w:pPr>
        <w:pStyle w:val="PBACHeading1"/>
        <w:numPr>
          <w:ilvl w:val="1"/>
          <w:numId w:val="3"/>
        </w:numPr>
        <w:rPr>
          <w:b w:val="0"/>
        </w:rPr>
      </w:pPr>
      <w:r>
        <w:rPr>
          <w:b w:val="0"/>
        </w:rPr>
        <w:t xml:space="preserve">The PBAC noted the limitations of the available clinical evidence, including the lack of randomised trials and sources of bias. The PBAC acknowledged the difficulty of obtaining better quality clinical evidence given the small patient population for this rare condition. In this context, the </w:t>
      </w:r>
      <w:r w:rsidRPr="003F1337">
        <w:rPr>
          <w:b w:val="0"/>
        </w:rPr>
        <w:t xml:space="preserve">PBAC considered that </w:t>
      </w:r>
      <w:r>
        <w:rPr>
          <w:b w:val="0"/>
        </w:rPr>
        <w:t xml:space="preserve">the evidence presented in the submission demonstrated that </w:t>
      </w:r>
      <w:proofErr w:type="spellStart"/>
      <w:r>
        <w:rPr>
          <w:b w:val="0"/>
        </w:rPr>
        <w:t>nitisinone</w:t>
      </w:r>
      <w:proofErr w:type="spellEnd"/>
      <w:r>
        <w:rPr>
          <w:b w:val="0"/>
        </w:rPr>
        <w:t xml:space="preserve"> </w:t>
      </w:r>
      <w:r w:rsidRPr="003F1337">
        <w:rPr>
          <w:b w:val="0"/>
        </w:rPr>
        <w:t>provides a significant survival advantage for HT-1 patients over diet alone and</w:t>
      </w:r>
      <w:r>
        <w:rPr>
          <w:b w:val="0"/>
        </w:rPr>
        <w:t>,</w:t>
      </w:r>
      <w:r w:rsidRPr="003F1337">
        <w:rPr>
          <w:b w:val="0"/>
        </w:rPr>
        <w:t xml:space="preserve"> </w:t>
      </w:r>
      <w:r>
        <w:rPr>
          <w:b w:val="0"/>
        </w:rPr>
        <w:t xml:space="preserve">for some patients, may help avoid a </w:t>
      </w:r>
      <w:r w:rsidRPr="003F1337">
        <w:rPr>
          <w:b w:val="0"/>
        </w:rPr>
        <w:t xml:space="preserve">costly </w:t>
      </w:r>
      <w:r>
        <w:rPr>
          <w:b w:val="0"/>
        </w:rPr>
        <w:t>and clinically risky liver transplant</w:t>
      </w:r>
      <w:r w:rsidRPr="003F1337">
        <w:rPr>
          <w:b w:val="0"/>
        </w:rPr>
        <w:t xml:space="preserve">. </w:t>
      </w:r>
    </w:p>
    <w:p w:rsidR="000A3C7D" w:rsidRDefault="000A3C7D" w:rsidP="00272D0B">
      <w:pPr>
        <w:pStyle w:val="ListParagraph"/>
        <w:rPr>
          <w:b/>
          <w:highlight w:val="yellow"/>
        </w:rPr>
      </w:pPr>
    </w:p>
    <w:p w:rsidR="000A3C7D" w:rsidRDefault="000A3C7D" w:rsidP="00272D0B">
      <w:pPr>
        <w:pStyle w:val="PBACHeading1"/>
        <w:numPr>
          <w:ilvl w:val="1"/>
          <w:numId w:val="3"/>
        </w:numPr>
        <w:rPr>
          <w:b w:val="0"/>
        </w:rPr>
      </w:pPr>
      <w:r>
        <w:rPr>
          <w:b w:val="0"/>
        </w:rPr>
        <w:t xml:space="preserve">The PBAC considered that the evidence provided by the supportive </w:t>
      </w:r>
      <w:proofErr w:type="spellStart"/>
      <w:r>
        <w:rPr>
          <w:b w:val="0"/>
        </w:rPr>
        <w:t>Larochelle</w:t>
      </w:r>
      <w:proofErr w:type="spellEnd"/>
      <w:r>
        <w:rPr>
          <w:b w:val="0"/>
        </w:rPr>
        <w:t xml:space="preserve"> study was important in understanding the impact a sensitive neonatal screening program would have on HT-1 patient outcomes from early treatment with </w:t>
      </w:r>
      <w:proofErr w:type="spellStart"/>
      <w:r>
        <w:rPr>
          <w:b w:val="0"/>
        </w:rPr>
        <w:t>nitisinone</w:t>
      </w:r>
      <w:proofErr w:type="spellEnd"/>
      <w:r>
        <w:rPr>
          <w:b w:val="0"/>
        </w:rPr>
        <w:t>. It was noted that a neonatal screening program would most likely improve survival and result in a greater reduction in the need for liver transplants.</w:t>
      </w:r>
    </w:p>
    <w:p w:rsidR="000A3C7D" w:rsidRDefault="000A3C7D" w:rsidP="005F53D2">
      <w:pPr>
        <w:pStyle w:val="ListParagraph"/>
        <w:rPr>
          <w:b/>
        </w:rPr>
      </w:pPr>
    </w:p>
    <w:p w:rsidR="000A3C7D" w:rsidRPr="005808D4" w:rsidRDefault="000A3C7D" w:rsidP="005808D4">
      <w:pPr>
        <w:pStyle w:val="PBACHeading1"/>
        <w:numPr>
          <w:ilvl w:val="1"/>
          <w:numId w:val="3"/>
        </w:numPr>
        <w:rPr>
          <w:b w:val="0"/>
        </w:rPr>
      </w:pPr>
      <w:r w:rsidRPr="00635A48">
        <w:rPr>
          <w:b w:val="0"/>
        </w:rPr>
        <w:t xml:space="preserve">The PBAC agreed with the ESC that the claim of superior comparative safety over diet alone was not reasonable, noting adverse events such as eye disorders, haematological events and </w:t>
      </w:r>
      <w:r>
        <w:rPr>
          <w:b w:val="0"/>
        </w:rPr>
        <w:t xml:space="preserve">developmental and </w:t>
      </w:r>
      <w:r w:rsidRPr="00635A48">
        <w:rPr>
          <w:b w:val="0"/>
        </w:rPr>
        <w:t xml:space="preserve">cognitive </w:t>
      </w:r>
      <w:r>
        <w:rPr>
          <w:b w:val="0"/>
        </w:rPr>
        <w:t>disorders</w:t>
      </w:r>
      <w:r w:rsidRPr="00635A48">
        <w:rPr>
          <w:b w:val="0"/>
        </w:rPr>
        <w:t>. While the PBAC noted the sponsor’s argument that these adverse ev</w:t>
      </w:r>
      <w:r>
        <w:rPr>
          <w:b w:val="0"/>
        </w:rPr>
        <w:t>ents are more likely due to non</w:t>
      </w:r>
      <w:r>
        <w:rPr>
          <w:b w:val="0"/>
        </w:rPr>
        <w:noBreakHyphen/>
      </w:r>
      <w:r w:rsidRPr="00635A48">
        <w:rPr>
          <w:b w:val="0"/>
        </w:rPr>
        <w:t xml:space="preserve">adherence to diet therapy, rather than treatment with </w:t>
      </w:r>
      <w:proofErr w:type="spellStart"/>
      <w:r w:rsidRPr="00635A48">
        <w:rPr>
          <w:b w:val="0"/>
        </w:rPr>
        <w:t>nit</w:t>
      </w:r>
      <w:r>
        <w:rPr>
          <w:b w:val="0"/>
        </w:rPr>
        <w:t>isinone</w:t>
      </w:r>
      <w:proofErr w:type="spellEnd"/>
      <w:r>
        <w:rPr>
          <w:b w:val="0"/>
        </w:rPr>
        <w:t>, the PBAC</w:t>
      </w:r>
      <w:r w:rsidRPr="00635A48">
        <w:rPr>
          <w:b w:val="0"/>
        </w:rPr>
        <w:t xml:space="preserve"> considered it was difficult to separate the harms from HT-1 compared with treatment with </w:t>
      </w:r>
      <w:proofErr w:type="spellStart"/>
      <w:r w:rsidRPr="00635A48">
        <w:rPr>
          <w:b w:val="0"/>
        </w:rPr>
        <w:t>nitisinone</w:t>
      </w:r>
      <w:proofErr w:type="spellEnd"/>
      <w:r w:rsidRPr="00635A48">
        <w:rPr>
          <w:b w:val="0"/>
        </w:rPr>
        <w:t xml:space="preserve">. </w:t>
      </w:r>
      <w:r w:rsidRPr="005808D4">
        <w:rPr>
          <w:b w:val="0"/>
        </w:rPr>
        <w:t>The PBAC considered that it would be prudent</w:t>
      </w:r>
      <w:r>
        <w:rPr>
          <w:b w:val="0"/>
        </w:rPr>
        <w:t xml:space="preserve"> to implement</w:t>
      </w:r>
      <w:r w:rsidRPr="005808D4">
        <w:rPr>
          <w:b w:val="0"/>
        </w:rPr>
        <w:t xml:space="preserve"> a pr</w:t>
      </w:r>
      <w:r>
        <w:rPr>
          <w:b w:val="0"/>
        </w:rPr>
        <w:t>ogram to</w:t>
      </w:r>
      <w:r w:rsidRPr="005808D4">
        <w:rPr>
          <w:b w:val="0"/>
        </w:rPr>
        <w:t xml:space="preserve"> closely monitor and assess the progressive neurocognitive and development</w:t>
      </w:r>
      <w:r>
        <w:rPr>
          <w:b w:val="0"/>
        </w:rPr>
        <w:t xml:space="preserve">al impacts of </w:t>
      </w:r>
      <w:proofErr w:type="spellStart"/>
      <w:r>
        <w:rPr>
          <w:b w:val="0"/>
        </w:rPr>
        <w:t>nitisinone</w:t>
      </w:r>
      <w:proofErr w:type="spellEnd"/>
      <w:r>
        <w:rPr>
          <w:b w:val="0"/>
        </w:rPr>
        <w:t xml:space="preserve"> treatment. </w:t>
      </w:r>
    </w:p>
    <w:p w:rsidR="000A3C7D" w:rsidRDefault="000A3C7D" w:rsidP="00923B21">
      <w:pPr>
        <w:pStyle w:val="ListParagraph"/>
        <w:rPr>
          <w:b/>
        </w:rPr>
      </w:pPr>
    </w:p>
    <w:p w:rsidR="000A3C7D" w:rsidRPr="00E3098B" w:rsidRDefault="000A3C7D" w:rsidP="00074D74">
      <w:pPr>
        <w:pStyle w:val="PBACHeading1"/>
        <w:numPr>
          <w:ilvl w:val="1"/>
          <w:numId w:val="3"/>
        </w:numPr>
        <w:rPr>
          <w:b w:val="0"/>
        </w:rPr>
      </w:pPr>
      <w:r w:rsidRPr="00E3098B">
        <w:rPr>
          <w:b w:val="0"/>
        </w:rPr>
        <w:t xml:space="preserve">The PBAC considered that the cost effectiveness of </w:t>
      </w:r>
      <w:proofErr w:type="spellStart"/>
      <w:r w:rsidRPr="00E3098B">
        <w:rPr>
          <w:b w:val="0"/>
        </w:rPr>
        <w:t>nitisinone</w:t>
      </w:r>
      <w:proofErr w:type="spellEnd"/>
      <w:r w:rsidRPr="00E3098B">
        <w:rPr>
          <w:b w:val="0"/>
        </w:rPr>
        <w:t xml:space="preserve"> is highly uncertain due to the unreliable nature of the available clinical evidence and the uncertain impact screening would have on costs and outcomes. The PBAC considered that the presented base ICER of </w:t>
      </w:r>
      <w:r w:rsidR="00E45A95">
        <w:rPr>
          <w:b w:val="0"/>
        </w:rPr>
        <w:t>more than $200,000</w:t>
      </w:r>
      <w:r w:rsidRPr="00E3098B">
        <w:rPr>
          <w:b w:val="0"/>
        </w:rPr>
        <w:t xml:space="preserve"> per QALY is not </w:t>
      </w:r>
      <w:r w:rsidR="006665F3">
        <w:rPr>
          <w:b w:val="0"/>
        </w:rPr>
        <w:t>acceptably</w:t>
      </w:r>
      <w:r w:rsidRPr="00E3098B">
        <w:rPr>
          <w:b w:val="0"/>
        </w:rPr>
        <w:t xml:space="preserve"> cost effective, but noted that it did not take account of future changes in screening practices and </w:t>
      </w:r>
      <w:r>
        <w:rPr>
          <w:b w:val="0"/>
        </w:rPr>
        <w:t xml:space="preserve">the </w:t>
      </w:r>
      <w:r w:rsidRPr="00E3098B">
        <w:rPr>
          <w:b w:val="0"/>
        </w:rPr>
        <w:t xml:space="preserve">resulting </w:t>
      </w:r>
      <w:r>
        <w:rPr>
          <w:b w:val="0"/>
        </w:rPr>
        <w:t xml:space="preserve">increase in costs (as patients commence treatment earlier) and </w:t>
      </w:r>
      <w:r w:rsidRPr="00E3098B">
        <w:rPr>
          <w:b w:val="0"/>
        </w:rPr>
        <w:t>benefits of starting treatment within</w:t>
      </w:r>
      <w:r>
        <w:rPr>
          <w:b w:val="0"/>
        </w:rPr>
        <w:t xml:space="preserve"> </w:t>
      </w:r>
      <w:r w:rsidRPr="00E3098B">
        <w:rPr>
          <w:b w:val="0"/>
        </w:rPr>
        <w:t xml:space="preserve">the first month of life. In this </w:t>
      </w:r>
      <w:r>
        <w:rPr>
          <w:b w:val="0"/>
        </w:rPr>
        <w:t>regard</w:t>
      </w:r>
      <w:r w:rsidRPr="00E3098B">
        <w:rPr>
          <w:b w:val="0"/>
        </w:rPr>
        <w:t xml:space="preserve">, the PBAC considered </w:t>
      </w:r>
      <w:r>
        <w:rPr>
          <w:b w:val="0"/>
        </w:rPr>
        <w:t xml:space="preserve">that </w:t>
      </w:r>
      <w:r w:rsidRPr="00E3098B">
        <w:rPr>
          <w:b w:val="0"/>
        </w:rPr>
        <w:t>an analysis conducted during the evaluation using</w:t>
      </w:r>
      <w:r>
        <w:rPr>
          <w:b w:val="0"/>
        </w:rPr>
        <w:t xml:space="preserve"> results from </w:t>
      </w:r>
      <w:proofErr w:type="spellStart"/>
      <w:r w:rsidRPr="00E3098B">
        <w:rPr>
          <w:b w:val="0"/>
        </w:rPr>
        <w:t>Larochelle</w:t>
      </w:r>
      <w:proofErr w:type="spellEnd"/>
      <w:r w:rsidRPr="00E3098B">
        <w:rPr>
          <w:b w:val="0"/>
        </w:rPr>
        <w:t xml:space="preserve"> </w:t>
      </w:r>
      <w:r>
        <w:rPr>
          <w:b w:val="0"/>
        </w:rPr>
        <w:t xml:space="preserve">was more informative </w:t>
      </w:r>
      <w:r w:rsidRPr="00E3098B">
        <w:rPr>
          <w:b w:val="0"/>
        </w:rPr>
        <w:t>(see paragraph 6.30)</w:t>
      </w:r>
      <w:r>
        <w:rPr>
          <w:b w:val="0"/>
        </w:rPr>
        <w:t xml:space="preserve">. This analysis indicated that </w:t>
      </w:r>
      <w:r w:rsidRPr="00E3098B">
        <w:rPr>
          <w:b w:val="0"/>
        </w:rPr>
        <w:t xml:space="preserve">in the context of an established sensitive and specific </w:t>
      </w:r>
      <w:proofErr w:type="spellStart"/>
      <w:r w:rsidRPr="00E3098B">
        <w:rPr>
          <w:b w:val="0"/>
        </w:rPr>
        <w:t>succinylacetone</w:t>
      </w:r>
      <w:proofErr w:type="spellEnd"/>
      <w:r w:rsidRPr="00E3098B">
        <w:rPr>
          <w:b w:val="0"/>
        </w:rPr>
        <w:t xml:space="preserve"> neonatal screening program</w:t>
      </w:r>
      <w:r>
        <w:rPr>
          <w:b w:val="0"/>
        </w:rPr>
        <w:t xml:space="preserve">, the ICER could be the order of </w:t>
      </w:r>
      <w:r w:rsidR="00E45A95">
        <w:rPr>
          <w:b w:val="0"/>
        </w:rPr>
        <w:t>$105,000-$200,000</w:t>
      </w:r>
      <w:r>
        <w:rPr>
          <w:b w:val="0"/>
        </w:rPr>
        <w:t xml:space="preserve"> per QALY</w:t>
      </w:r>
      <w:r w:rsidRPr="00E3098B">
        <w:rPr>
          <w:b w:val="0"/>
        </w:rPr>
        <w:t xml:space="preserve">. </w:t>
      </w:r>
    </w:p>
    <w:p w:rsidR="000A3C7D" w:rsidRDefault="000A3C7D" w:rsidP="006F3B78">
      <w:pPr>
        <w:pStyle w:val="ListParagraph"/>
        <w:jc w:val="center"/>
        <w:rPr>
          <w:b/>
        </w:rPr>
      </w:pPr>
    </w:p>
    <w:p w:rsidR="000A3C7D" w:rsidRPr="004A23C7" w:rsidRDefault="000A3C7D" w:rsidP="00F31E6E">
      <w:pPr>
        <w:pStyle w:val="PBACHeading1"/>
        <w:numPr>
          <w:ilvl w:val="1"/>
          <w:numId w:val="3"/>
        </w:numPr>
        <w:rPr>
          <w:b w:val="0"/>
        </w:rPr>
      </w:pPr>
      <w:r>
        <w:rPr>
          <w:b w:val="0"/>
        </w:rPr>
        <w:t>The PBAC noted that the utilisation estimates are dependent on whether neonatal screening result</w:t>
      </w:r>
      <w:r w:rsidR="006665F3">
        <w:rPr>
          <w:b w:val="0"/>
        </w:rPr>
        <w:t>s</w:t>
      </w:r>
      <w:r>
        <w:rPr>
          <w:b w:val="0"/>
        </w:rPr>
        <w:t xml:space="preserve"> in </w:t>
      </w:r>
      <w:r w:rsidR="006665F3">
        <w:rPr>
          <w:b w:val="0"/>
        </w:rPr>
        <w:t xml:space="preserve">an </w:t>
      </w:r>
      <w:r>
        <w:rPr>
          <w:b w:val="0"/>
        </w:rPr>
        <w:t xml:space="preserve">increased incidence of HT-1. In addition, the estimated drug cost per patient per year was considered to be an underestimate as it is based on the </w:t>
      </w:r>
      <w:r w:rsidRPr="00D56E64">
        <w:rPr>
          <w:b w:val="0"/>
        </w:rPr>
        <w:lastRenderedPageBreak/>
        <w:t>current mean weight of Australian HT-1 patients (</w:t>
      </w:r>
      <w:r w:rsidR="00637BCD">
        <w:rPr>
          <w:b w:val="0"/>
          <w:noProof/>
          <w:color w:val="000000"/>
          <w:highlight w:val="black"/>
        </w:rPr>
        <w:t>'''''''''''' ''''''</w:t>
      </w:r>
      <w:r w:rsidR="00405B0C" w:rsidRPr="00D56E64">
        <w:rPr>
          <w:b w:val="0"/>
        </w:rPr>
        <w:t>)</w:t>
      </w:r>
      <w:r w:rsidR="00405B0C">
        <w:rPr>
          <w:b w:val="0"/>
        </w:rPr>
        <w:t xml:space="preserve"> that may increase as an increasing proportion of the HT-1 patient population</w:t>
      </w:r>
      <w:r>
        <w:rPr>
          <w:b w:val="0"/>
        </w:rPr>
        <w:t xml:space="preserve"> survive through to adulthood.</w:t>
      </w:r>
    </w:p>
    <w:p w:rsidR="000A3C7D" w:rsidRPr="007C7EC4" w:rsidRDefault="000A3C7D" w:rsidP="007C7EC4">
      <w:pPr>
        <w:rPr>
          <w:b/>
        </w:rPr>
      </w:pPr>
    </w:p>
    <w:p w:rsidR="000A3C7D" w:rsidRDefault="000A3C7D" w:rsidP="004A23C7">
      <w:pPr>
        <w:pStyle w:val="PBACHeading1"/>
        <w:numPr>
          <w:ilvl w:val="1"/>
          <w:numId w:val="3"/>
        </w:numPr>
        <w:rPr>
          <w:b w:val="0"/>
        </w:rPr>
      </w:pPr>
      <w:r w:rsidRPr="00673E77">
        <w:rPr>
          <w:b w:val="0"/>
        </w:rPr>
        <w:t xml:space="preserve">The PBAC considered the submission </w:t>
      </w:r>
      <w:r>
        <w:rPr>
          <w:b w:val="0"/>
        </w:rPr>
        <w:t xml:space="preserve">satisfactorily addressed </w:t>
      </w:r>
      <w:r w:rsidRPr="00673E77">
        <w:rPr>
          <w:b w:val="0"/>
        </w:rPr>
        <w:t>(see paragraph 2.1)</w:t>
      </w:r>
      <w:r>
        <w:rPr>
          <w:b w:val="0"/>
        </w:rPr>
        <w:t xml:space="preserve"> and met the four criteri</w:t>
      </w:r>
      <w:r w:rsidR="006665F3">
        <w:rPr>
          <w:b w:val="0"/>
        </w:rPr>
        <w:t>a</w:t>
      </w:r>
      <w:r>
        <w:rPr>
          <w:b w:val="0"/>
        </w:rPr>
        <w:t xml:space="preserve"> for listing under the “</w:t>
      </w:r>
      <w:r w:rsidRPr="00673E77">
        <w:rPr>
          <w:b w:val="0"/>
        </w:rPr>
        <w:t>rule of rescue</w:t>
      </w:r>
      <w:r>
        <w:rPr>
          <w:b w:val="0"/>
        </w:rPr>
        <w:t>”</w:t>
      </w:r>
      <w:r w:rsidRPr="00673E77">
        <w:rPr>
          <w:b w:val="0"/>
        </w:rPr>
        <w:t>.</w:t>
      </w:r>
    </w:p>
    <w:p w:rsidR="000A3C7D" w:rsidRDefault="000A3C7D" w:rsidP="003F2E63">
      <w:pPr>
        <w:pStyle w:val="PBACHeading1"/>
        <w:numPr>
          <w:ilvl w:val="0"/>
          <w:numId w:val="0"/>
        </w:numPr>
        <w:rPr>
          <w:b w:val="0"/>
        </w:rPr>
      </w:pPr>
    </w:p>
    <w:p w:rsidR="001B7ADA" w:rsidRPr="00F31E6E" w:rsidRDefault="001B7ADA" w:rsidP="003F2E63">
      <w:pPr>
        <w:pStyle w:val="PBACHeading1"/>
        <w:numPr>
          <w:ilvl w:val="0"/>
          <w:numId w:val="0"/>
        </w:numPr>
        <w:rPr>
          <w:b w:val="0"/>
        </w:rPr>
      </w:pPr>
    </w:p>
    <w:p w:rsidR="000A3C7D" w:rsidRPr="00F31E6E" w:rsidRDefault="000A3C7D" w:rsidP="000F1D35">
      <w:pPr>
        <w:keepNext/>
        <w:rPr>
          <w:b/>
          <w:szCs w:val="22"/>
        </w:rPr>
      </w:pPr>
      <w:r w:rsidRPr="00F31E6E">
        <w:rPr>
          <w:b/>
          <w:szCs w:val="22"/>
        </w:rPr>
        <w:t>Outcome:</w:t>
      </w:r>
    </w:p>
    <w:p w:rsidR="000A3C7D" w:rsidRDefault="000A3C7D" w:rsidP="00F31E6E">
      <w:pPr>
        <w:rPr>
          <w:szCs w:val="22"/>
        </w:rPr>
      </w:pPr>
      <w:r w:rsidRPr="00F31E6E">
        <w:rPr>
          <w:szCs w:val="22"/>
        </w:rPr>
        <w:t>Deferred</w:t>
      </w:r>
    </w:p>
    <w:p w:rsidR="004429A5" w:rsidRDefault="004429A5" w:rsidP="00F31E6E">
      <w:pPr>
        <w:rPr>
          <w:szCs w:val="22"/>
        </w:rPr>
      </w:pPr>
    </w:p>
    <w:p w:rsidR="001B7ADA" w:rsidRDefault="001B7ADA" w:rsidP="00F31E6E">
      <w:pPr>
        <w:rPr>
          <w:szCs w:val="22"/>
        </w:rPr>
      </w:pPr>
    </w:p>
    <w:p w:rsidR="004429A5" w:rsidRDefault="004429A5" w:rsidP="004429A5">
      <w:pPr>
        <w:pStyle w:val="ListParagraph"/>
        <w:widowControl/>
        <w:numPr>
          <w:ilvl w:val="0"/>
          <w:numId w:val="3"/>
        </w:numPr>
        <w:rPr>
          <w:b/>
        </w:rPr>
      </w:pPr>
      <w:r w:rsidRPr="00D4420F">
        <w:rPr>
          <w:b/>
        </w:rPr>
        <w:t>Context for Decision</w:t>
      </w:r>
    </w:p>
    <w:p w:rsidR="004429A5" w:rsidRPr="00D4420F" w:rsidRDefault="004429A5" w:rsidP="004429A5">
      <w:pPr>
        <w:pStyle w:val="ListParagraph"/>
        <w:rPr>
          <w:b/>
        </w:rPr>
      </w:pPr>
    </w:p>
    <w:p w:rsidR="004429A5" w:rsidRPr="00D4420F" w:rsidRDefault="004429A5" w:rsidP="004429A5">
      <w:pPr>
        <w:ind w:left="720"/>
      </w:pPr>
      <w:r w:rsidRPr="00D4420F">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429A5" w:rsidRDefault="004429A5" w:rsidP="004429A5"/>
    <w:p w:rsidR="001B7ADA" w:rsidRPr="00D4420F" w:rsidRDefault="001B7ADA" w:rsidP="004429A5"/>
    <w:p w:rsidR="004429A5" w:rsidRDefault="004429A5" w:rsidP="004429A5">
      <w:pPr>
        <w:pStyle w:val="ListParagraph"/>
        <w:widowControl/>
        <w:numPr>
          <w:ilvl w:val="0"/>
          <w:numId w:val="3"/>
        </w:numPr>
        <w:rPr>
          <w:b/>
        </w:rPr>
      </w:pPr>
      <w:r w:rsidRPr="00D4420F">
        <w:rPr>
          <w:b/>
        </w:rPr>
        <w:t>Sponsor’s Comment</w:t>
      </w:r>
    </w:p>
    <w:p w:rsidR="004429A5" w:rsidRDefault="004429A5" w:rsidP="001B7ADA">
      <w:pPr>
        <w:ind w:left="720"/>
        <w:rPr>
          <w:szCs w:val="22"/>
        </w:rPr>
      </w:pPr>
    </w:p>
    <w:p w:rsidR="001B7ADA" w:rsidRPr="001B7ADA" w:rsidRDefault="001B7ADA" w:rsidP="001B7ADA">
      <w:pPr>
        <w:ind w:left="720"/>
        <w:rPr>
          <w:rFonts w:ascii="Calibri" w:hAnsi="Calibri" w:cs="Times New Roman"/>
          <w:lang w:val="sv-SE"/>
        </w:rPr>
      </w:pPr>
      <w:proofErr w:type="spellStart"/>
      <w:r w:rsidRPr="001B7ADA">
        <w:rPr>
          <w:iCs/>
        </w:rPr>
        <w:t>Menarini</w:t>
      </w:r>
      <w:proofErr w:type="spellEnd"/>
      <w:r w:rsidRPr="001B7ADA">
        <w:rPr>
          <w:iCs/>
        </w:rPr>
        <w:t xml:space="preserve"> looks forward to working with the PBAC to make </w:t>
      </w:r>
      <w:proofErr w:type="spellStart"/>
      <w:r w:rsidRPr="001B7ADA">
        <w:rPr>
          <w:iCs/>
        </w:rPr>
        <w:t>nitisinone</w:t>
      </w:r>
      <w:proofErr w:type="spellEnd"/>
      <w:r w:rsidRPr="001B7ADA">
        <w:rPr>
          <w:iCs/>
        </w:rPr>
        <w:t xml:space="preserve"> available on the PBS f</w:t>
      </w:r>
      <w:r w:rsidR="00B07291">
        <w:rPr>
          <w:iCs/>
        </w:rPr>
        <w:t>or this high need patient group.</w:t>
      </w:r>
    </w:p>
    <w:p w:rsidR="001B7ADA" w:rsidRPr="00F31E6E" w:rsidRDefault="001B7ADA" w:rsidP="001B7ADA">
      <w:pPr>
        <w:ind w:left="720"/>
        <w:rPr>
          <w:szCs w:val="22"/>
        </w:rPr>
      </w:pPr>
    </w:p>
    <w:sectPr w:rsidR="001B7ADA" w:rsidRPr="00F31E6E" w:rsidSect="00597194">
      <w:headerReference w:type="default" r:id="rId8"/>
      <w:footerReference w:type="default" r:id="rId9"/>
      <w:pgSz w:w="11906" w:h="16838"/>
      <w:pgMar w:top="1440" w:right="1440" w:bottom="1440" w:left="1440" w:header="1440" w:footer="1440"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BCD" w:rsidRDefault="00637BCD" w:rsidP="00124A51">
      <w:r>
        <w:separator/>
      </w:r>
    </w:p>
  </w:endnote>
  <w:endnote w:type="continuationSeparator" w:id="0">
    <w:p w:rsidR="00637BCD" w:rsidRDefault="00637BCD"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A1B" w:rsidRPr="00D13A3E" w:rsidRDefault="00435A1B" w:rsidP="00015886">
    <w:pPr>
      <w:ind w:right="360"/>
      <w:jc w:val="center"/>
      <w:rPr>
        <w:b/>
        <w:sz w:val="20"/>
      </w:rPr>
    </w:pPr>
  </w:p>
  <w:p w:rsidR="00435A1B" w:rsidRPr="0017154D" w:rsidRDefault="00435A1B" w:rsidP="005F6928">
    <w:pPr>
      <w:pStyle w:val="Footer"/>
      <w:jc w:val="center"/>
      <w:rPr>
        <w:noProof/>
        <w:szCs w:val="22"/>
      </w:rPr>
    </w:pPr>
    <w:r w:rsidRPr="0017154D">
      <w:rPr>
        <w:szCs w:val="22"/>
      </w:rPr>
      <w:fldChar w:fldCharType="begin"/>
    </w:r>
    <w:r w:rsidRPr="0017154D">
      <w:rPr>
        <w:szCs w:val="22"/>
      </w:rPr>
      <w:instrText xml:space="preserve"> PAGE   \* MERGEFORMAT </w:instrText>
    </w:r>
    <w:r w:rsidRPr="0017154D">
      <w:rPr>
        <w:szCs w:val="22"/>
      </w:rPr>
      <w:fldChar w:fldCharType="separate"/>
    </w:r>
    <w:r w:rsidR="00454981">
      <w:rPr>
        <w:noProof/>
        <w:szCs w:val="22"/>
      </w:rPr>
      <w:t>2</w:t>
    </w:r>
    <w:r w:rsidRPr="0017154D">
      <w:rPr>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BCD" w:rsidRDefault="00637BCD" w:rsidP="00124A51">
      <w:r>
        <w:separator/>
      </w:r>
    </w:p>
  </w:footnote>
  <w:footnote w:type="continuationSeparator" w:id="0">
    <w:p w:rsidR="00637BCD" w:rsidRDefault="00637BCD"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A1B" w:rsidRPr="00DF217D" w:rsidRDefault="00435A1B" w:rsidP="00862362">
    <w:pPr>
      <w:pStyle w:val="Header"/>
      <w:jc w:val="center"/>
      <w:rPr>
        <w:i/>
        <w:color w:val="808080"/>
      </w:rPr>
    </w:pPr>
    <w:r>
      <w:rPr>
        <w:i/>
        <w:color w:val="808080"/>
      </w:rPr>
      <w:t xml:space="preserve">Public Summary Document </w:t>
    </w:r>
    <w:r w:rsidRPr="00DF217D">
      <w:rPr>
        <w:i/>
        <w:color w:val="808080"/>
      </w:rPr>
      <w:t xml:space="preserve">– </w:t>
    </w:r>
    <w:r>
      <w:rPr>
        <w:i/>
        <w:color w:val="808080"/>
      </w:rPr>
      <w:t xml:space="preserve">November 2014 </w:t>
    </w:r>
    <w:r w:rsidRPr="00DF217D">
      <w:rPr>
        <w:i/>
        <w:color w:val="808080"/>
      </w:rPr>
      <w:t>PBAC</w:t>
    </w:r>
    <w:r>
      <w:rPr>
        <w:i/>
        <w:color w:val="808080"/>
      </w:rPr>
      <w:t xml:space="preserve"> </w:t>
    </w:r>
    <w:r w:rsidRPr="00DF217D">
      <w:rPr>
        <w:i/>
        <w:color w:val="808080"/>
      </w:rPr>
      <w:t>Meeting</w:t>
    </w:r>
  </w:p>
  <w:p w:rsidR="00435A1B" w:rsidRPr="00EE07D3" w:rsidRDefault="00435A1B">
    <w:pPr>
      <w:pStyle w:val="Header"/>
      <w:rPr>
        <w:color w:val="D9D9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2">
    <w:nsid w:val="1F9126F9"/>
    <w:multiLevelType w:val="hybridMultilevel"/>
    <w:tmpl w:val="538C90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6D15B36"/>
    <w:multiLevelType w:val="hybridMultilevel"/>
    <w:tmpl w:val="B3C28C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2A05CEB"/>
    <w:multiLevelType w:val="singleLevel"/>
    <w:tmpl w:val="0C090011"/>
    <w:lvl w:ilvl="0">
      <w:start w:val="1"/>
      <w:numFmt w:val="decimal"/>
      <w:lvlText w:val="%1)"/>
      <w:lvlJc w:val="left"/>
      <w:pPr>
        <w:tabs>
          <w:tab w:val="num" w:pos="360"/>
        </w:tabs>
        <w:ind w:left="360" w:hanging="360"/>
      </w:pPr>
      <w:rPr>
        <w:rFonts w:cs="Times New Roman" w:hint="default"/>
      </w:rPr>
    </w:lvl>
  </w:abstractNum>
  <w:abstractNum w:abstractNumId="5">
    <w:nsid w:val="3B7C34E2"/>
    <w:multiLevelType w:val="hybridMultilevel"/>
    <w:tmpl w:val="9F786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9BC5196"/>
    <w:multiLevelType w:val="multilevel"/>
    <w:tmpl w:val="8C66A856"/>
    <w:lvl w:ilvl="0">
      <w:start w:val="6"/>
      <w:numFmt w:val="decimal"/>
      <w:lvlText w:val="%1"/>
      <w:lvlJc w:val="left"/>
      <w:pPr>
        <w:ind w:left="360" w:hanging="360"/>
      </w:pPr>
      <w:rPr>
        <w:rFonts w:cs="Times New Roman" w:hint="default"/>
        <w:i w:val="0"/>
      </w:rPr>
    </w:lvl>
    <w:lvl w:ilvl="1">
      <w:start w:val="1"/>
      <w:numFmt w:val="decimal"/>
      <w:lvlText w:val="%1.%2"/>
      <w:lvlJc w:val="left"/>
      <w:pPr>
        <w:ind w:left="107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73C92996"/>
    <w:multiLevelType w:val="hybridMultilevel"/>
    <w:tmpl w:val="15B052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6346CBF"/>
    <w:multiLevelType w:val="hybridMultilevel"/>
    <w:tmpl w:val="A87079A4"/>
    <w:lvl w:ilvl="0" w:tplc="0DBC61CE">
      <w:start w:val="1"/>
      <w:numFmt w:val="lowerLetter"/>
      <w:lvlText w:val="(%1)"/>
      <w:lvlJc w:val="left"/>
      <w:pPr>
        <w:ind w:left="1788" w:hanging="795"/>
      </w:pPr>
      <w:rPr>
        <w:rFonts w:cs="Times New Roman" w:hint="default"/>
      </w:rPr>
    </w:lvl>
    <w:lvl w:ilvl="1" w:tplc="0C090019" w:tentative="1">
      <w:start w:val="1"/>
      <w:numFmt w:val="lowerLetter"/>
      <w:lvlText w:val="%2."/>
      <w:lvlJc w:val="left"/>
      <w:pPr>
        <w:ind w:left="2073" w:hanging="360"/>
      </w:pPr>
      <w:rPr>
        <w:rFonts w:cs="Times New Roman"/>
      </w:rPr>
    </w:lvl>
    <w:lvl w:ilvl="2" w:tplc="0C09001B" w:tentative="1">
      <w:start w:val="1"/>
      <w:numFmt w:val="lowerRoman"/>
      <w:lvlText w:val="%3."/>
      <w:lvlJc w:val="right"/>
      <w:pPr>
        <w:ind w:left="2793" w:hanging="180"/>
      </w:pPr>
      <w:rPr>
        <w:rFonts w:cs="Times New Roman"/>
      </w:rPr>
    </w:lvl>
    <w:lvl w:ilvl="3" w:tplc="0C09000F" w:tentative="1">
      <w:start w:val="1"/>
      <w:numFmt w:val="decimal"/>
      <w:lvlText w:val="%4."/>
      <w:lvlJc w:val="left"/>
      <w:pPr>
        <w:ind w:left="3513" w:hanging="360"/>
      </w:pPr>
      <w:rPr>
        <w:rFonts w:cs="Times New Roman"/>
      </w:rPr>
    </w:lvl>
    <w:lvl w:ilvl="4" w:tplc="0C090019" w:tentative="1">
      <w:start w:val="1"/>
      <w:numFmt w:val="lowerLetter"/>
      <w:lvlText w:val="%5."/>
      <w:lvlJc w:val="left"/>
      <w:pPr>
        <w:ind w:left="4233" w:hanging="360"/>
      </w:pPr>
      <w:rPr>
        <w:rFonts w:cs="Times New Roman"/>
      </w:rPr>
    </w:lvl>
    <w:lvl w:ilvl="5" w:tplc="0C09001B" w:tentative="1">
      <w:start w:val="1"/>
      <w:numFmt w:val="lowerRoman"/>
      <w:lvlText w:val="%6."/>
      <w:lvlJc w:val="right"/>
      <w:pPr>
        <w:ind w:left="4953" w:hanging="180"/>
      </w:pPr>
      <w:rPr>
        <w:rFonts w:cs="Times New Roman"/>
      </w:rPr>
    </w:lvl>
    <w:lvl w:ilvl="6" w:tplc="0C09000F" w:tentative="1">
      <w:start w:val="1"/>
      <w:numFmt w:val="decimal"/>
      <w:lvlText w:val="%7."/>
      <w:lvlJc w:val="left"/>
      <w:pPr>
        <w:ind w:left="5673" w:hanging="360"/>
      </w:pPr>
      <w:rPr>
        <w:rFonts w:cs="Times New Roman"/>
      </w:rPr>
    </w:lvl>
    <w:lvl w:ilvl="7" w:tplc="0C090019" w:tentative="1">
      <w:start w:val="1"/>
      <w:numFmt w:val="lowerLetter"/>
      <w:lvlText w:val="%8."/>
      <w:lvlJc w:val="left"/>
      <w:pPr>
        <w:ind w:left="6393" w:hanging="360"/>
      </w:pPr>
      <w:rPr>
        <w:rFonts w:cs="Times New Roman"/>
      </w:rPr>
    </w:lvl>
    <w:lvl w:ilvl="8" w:tplc="0C09001B" w:tentative="1">
      <w:start w:val="1"/>
      <w:numFmt w:val="lowerRoman"/>
      <w:lvlText w:val="%9."/>
      <w:lvlJc w:val="right"/>
      <w:pPr>
        <w:ind w:left="7113" w:hanging="180"/>
      </w:pPr>
      <w:rPr>
        <w:rFonts w:cs="Times New Roman"/>
      </w:rPr>
    </w:lvl>
  </w:abstractNum>
  <w:abstractNum w:abstractNumId="11">
    <w:nsid w:val="784D033C"/>
    <w:multiLevelType w:val="multilevel"/>
    <w:tmpl w:val="4C46A85E"/>
    <w:lvl w:ilvl="0">
      <w:start w:val="1"/>
      <w:numFmt w:val="decimal"/>
      <w:pStyle w:val="PBACHeading1"/>
      <w:lvlText w:val="%1"/>
      <w:lvlJc w:val="left"/>
      <w:pPr>
        <w:ind w:left="720" w:hanging="720"/>
      </w:pPr>
      <w:rPr>
        <w:rFonts w:cs="Times New Roman" w:hint="default"/>
        <w:b/>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7D101EF5"/>
    <w:multiLevelType w:val="hybridMultilevel"/>
    <w:tmpl w:val="408E12BC"/>
    <w:lvl w:ilvl="0" w:tplc="FC4E0402">
      <w:start w:val="1"/>
      <w:numFmt w:val="lowerLetter"/>
      <w:lvlText w:val="(%1)"/>
      <w:lvlJc w:val="left"/>
      <w:pPr>
        <w:ind w:left="1444" w:hanging="735"/>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num w:numId="1">
    <w:abstractNumId w:val="5"/>
  </w:num>
  <w:num w:numId="2">
    <w:abstractNumId w:val="0"/>
  </w:num>
  <w:num w:numId="3">
    <w:abstractNumId w:val="11"/>
  </w:num>
  <w:num w:numId="4">
    <w:abstractNumId w:val="2"/>
  </w:num>
  <w:num w:numId="5">
    <w:abstractNumId w:val="8"/>
  </w:num>
  <w:num w:numId="6">
    <w:abstractNumId w:val="6"/>
  </w:num>
  <w:num w:numId="7">
    <w:abstractNumId w:val="7"/>
  </w:num>
  <w:num w:numId="8">
    <w:abstractNumId w:val="10"/>
  </w:num>
  <w:num w:numId="9">
    <w:abstractNumId w:val="12"/>
  </w:num>
  <w:num w:numId="10">
    <w:abstractNumId w:val="1"/>
  </w:num>
  <w:num w:numId="11">
    <w:abstractNumId w:val="4"/>
  </w:num>
  <w:num w:numId="12">
    <w:abstractNumId w:val="11"/>
  </w:num>
  <w:num w:numId="13">
    <w:abstractNumId w:val="11"/>
  </w:num>
  <w:num w:numId="14">
    <w:abstractNumId w:val="11"/>
  </w:num>
  <w:num w:numId="15">
    <w:abstractNumId w:val="11"/>
  </w:num>
  <w:num w:numId="16">
    <w:abstractNumId w:val="9"/>
  </w:num>
  <w:num w:numId="17">
    <w:abstractNumId w:val="3"/>
  </w:num>
  <w:num w:numId="18">
    <w:abstractNumId w:val="11"/>
  </w:num>
  <w:num w:numId="19">
    <w:abstractNumId w:val="11"/>
  </w:num>
  <w:num w:numId="20">
    <w:abstractNumId w:val="11"/>
  </w:num>
  <w:num w:numId="2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320"/>
    <w:rsid w:val="00000790"/>
    <w:rsid w:val="0000110B"/>
    <w:rsid w:val="00001228"/>
    <w:rsid w:val="00003499"/>
    <w:rsid w:val="0000403A"/>
    <w:rsid w:val="00004A29"/>
    <w:rsid w:val="00013247"/>
    <w:rsid w:val="00013E17"/>
    <w:rsid w:val="00014051"/>
    <w:rsid w:val="000141CC"/>
    <w:rsid w:val="000141EF"/>
    <w:rsid w:val="00015886"/>
    <w:rsid w:val="000162EF"/>
    <w:rsid w:val="000207A9"/>
    <w:rsid w:val="00020E10"/>
    <w:rsid w:val="00021669"/>
    <w:rsid w:val="0002225F"/>
    <w:rsid w:val="00023763"/>
    <w:rsid w:val="00023D04"/>
    <w:rsid w:val="000262E6"/>
    <w:rsid w:val="0002695F"/>
    <w:rsid w:val="00031875"/>
    <w:rsid w:val="00031974"/>
    <w:rsid w:val="00031A2F"/>
    <w:rsid w:val="00032E90"/>
    <w:rsid w:val="00036F37"/>
    <w:rsid w:val="00040108"/>
    <w:rsid w:val="000404F0"/>
    <w:rsid w:val="00040895"/>
    <w:rsid w:val="00040EB8"/>
    <w:rsid w:val="00041E9C"/>
    <w:rsid w:val="00042192"/>
    <w:rsid w:val="00043AB2"/>
    <w:rsid w:val="00043C37"/>
    <w:rsid w:val="00043FE1"/>
    <w:rsid w:val="00044164"/>
    <w:rsid w:val="00046220"/>
    <w:rsid w:val="000536C5"/>
    <w:rsid w:val="000546D7"/>
    <w:rsid w:val="00055AF2"/>
    <w:rsid w:val="00055DB1"/>
    <w:rsid w:val="00060525"/>
    <w:rsid w:val="0006219A"/>
    <w:rsid w:val="000648B9"/>
    <w:rsid w:val="00071248"/>
    <w:rsid w:val="000720B9"/>
    <w:rsid w:val="00072C9D"/>
    <w:rsid w:val="00074D74"/>
    <w:rsid w:val="00077B13"/>
    <w:rsid w:val="0008101A"/>
    <w:rsid w:val="000812CA"/>
    <w:rsid w:val="00081BD7"/>
    <w:rsid w:val="00081BE2"/>
    <w:rsid w:val="000820BF"/>
    <w:rsid w:val="00082451"/>
    <w:rsid w:val="0008317F"/>
    <w:rsid w:val="0008377C"/>
    <w:rsid w:val="000843F1"/>
    <w:rsid w:val="00084EA1"/>
    <w:rsid w:val="00085931"/>
    <w:rsid w:val="00085D33"/>
    <w:rsid w:val="00086D78"/>
    <w:rsid w:val="000902C8"/>
    <w:rsid w:val="00090C7E"/>
    <w:rsid w:val="00090D75"/>
    <w:rsid w:val="00097A44"/>
    <w:rsid w:val="000A20E5"/>
    <w:rsid w:val="000A2D22"/>
    <w:rsid w:val="000A3031"/>
    <w:rsid w:val="000A32E5"/>
    <w:rsid w:val="000A3C7D"/>
    <w:rsid w:val="000A54A6"/>
    <w:rsid w:val="000A6DDA"/>
    <w:rsid w:val="000A7B26"/>
    <w:rsid w:val="000B0FAE"/>
    <w:rsid w:val="000B1078"/>
    <w:rsid w:val="000C02D4"/>
    <w:rsid w:val="000C02E7"/>
    <w:rsid w:val="000C4B4D"/>
    <w:rsid w:val="000D1BFC"/>
    <w:rsid w:val="000D3A0A"/>
    <w:rsid w:val="000D48A9"/>
    <w:rsid w:val="000D73DA"/>
    <w:rsid w:val="000E0071"/>
    <w:rsid w:val="000E1328"/>
    <w:rsid w:val="000E2DE0"/>
    <w:rsid w:val="000F1D35"/>
    <w:rsid w:val="000F3DBF"/>
    <w:rsid w:val="000F4BB8"/>
    <w:rsid w:val="000F556D"/>
    <w:rsid w:val="000F6F56"/>
    <w:rsid w:val="000F7127"/>
    <w:rsid w:val="000F74D8"/>
    <w:rsid w:val="00100F8A"/>
    <w:rsid w:val="00107296"/>
    <w:rsid w:val="0011032E"/>
    <w:rsid w:val="00112A7F"/>
    <w:rsid w:val="0011348B"/>
    <w:rsid w:val="001144E3"/>
    <w:rsid w:val="0011585A"/>
    <w:rsid w:val="0012025A"/>
    <w:rsid w:val="00121262"/>
    <w:rsid w:val="00121799"/>
    <w:rsid w:val="001222FC"/>
    <w:rsid w:val="0012426F"/>
    <w:rsid w:val="00124A51"/>
    <w:rsid w:val="00125817"/>
    <w:rsid w:val="00126621"/>
    <w:rsid w:val="00126D51"/>
    <w:rsid w:val="00127C95"/>
    <w:rsid w:val="001301E9"/>
    <w:rsid w:val="00132F42"/>
    <w:rsid w:val="00135EC8"/>
    <w:rsid w:val="00136537"/>
    <w:rsid w:val="00136817"/>
    <w:rsid w:val="00136E95"/>
    <w:rsid w:val="00137645"/>
    <w:rsid w:val="0014015A"/>
    <w:rsid w:val="00140E99"/>
    <w:rsid w:val="00144DD5"/>
    <w:rsid w:val="0014526E"/>
    <w:rsid w:val="00145540"/>
    <w:rsid w:val="001456B0"/>
    <w:rsid w:val="001503C0"/>
    <w:rsid w:val="00151AD3"/>
    <w:rsid w:val="00151C33"/>
    <w:rsid w:val="00151DEF"/>
    <w:rsid w:val="001528E5"/>
    <w:rsid w:val="0015300C"/>
    <w:rsid w:val="0015352C"/>
    <w:rsid w:val="00155C73"/>
    <w:rsid w:val="001561F6"/>
    <w:rsid w:val="00157130"/>
    <w:rsid w:val="001577AE"/>
    <w:rsid w:val="001600EA"/>
    <w:rsid w:val="00160286"/>
    <w:rsid w:val="00161B33"/>
    <w:rsid w:val="00161E91"/>
    <w:rsid w:val="001624B4"/>
    <w:rsid w:val="00162913"/>
    <w:rsid w:val="0016343B"/>
    <w:rsid w:val="00163719"/>
    <w:rsid w:val="00163EFF"/>
    <w:rsid w:val="001661FB"/>
    <w:rsid w:val="0017154D"/>
    <w:rsid w:val="00171DF0"/>
    <w:rsid w:val="00176DB8"/>
    <w:rsid w:val="001802D2"/>
    <w:rsid w:val="00180986"/>
    <w:rsid w:val="00184BDA"/>
    <w:rsid w:val="00186A9E"/>
    <w:rsid w:val="001872A2"/>
    <w:rsid w:val="0018752F"/>
    <w:rsid w:val="00187A91"/>
    <w:rsid w:val="00190EAD"/>
    <w:rsid w:val="00191B3C"/>
    <w:rsid w:val="00195222"/>
    <w:rsid w:val="00196731"/>
    <w:rsid w:val="00196C2C"/>
    <w:rsid w:val="001975D8"/>
    <w:rsid w:val="001A0C11"/>
    <w:rsid w:val="001A1654"/>
    <w:rsid w:val="001A1E56"/>
    <w:rsid w:val="001A51C6"/>
    <w:rsid w:val="001A5530"/>
    <w:rsid w:val="001B0393"/>
    <w:rsid w:val="001B260C"/>
    <w:rsid w:val="001B3443"/>
    <w:rsid w:val="001B7ADA"/>
    <w:rsid w:val="001C127C"/>
    <w:rsid w:val="001C2D26"/>
    <w:rsid w:val="001C31A3"/>
    <w:rsid w:val="001C4065"/>
    <w:rsid w:val="001C4BE7"/>
    <w:rsid w:val="001C55EB"/>
    <w:rsid w:val="001C6E66"/>
    <w:rsid w:val="001D38F5"/>
    <w:rsid w:val="001E0855"/>
    <w:rsid w:val="001E2096"/>
    <w:rsid w:val="001E238E"/>
    <w:rsid w:val="001E2B1E"/>
    <w:rsid w:val="001E3697"/>
    <w:rsid w:val="001E52EB"/>
    <w:rsid w:val="001E740C"/>
    <w:rsid w:val="001E756F"/>
    <w:rsid w:val="001F1235"/>
    <w:rsid w:val="001F1CB3"/>
    <w:rsid w:val="001F3A76"/>
    <w:rsid w:val="001F4AAF"/>
    <w:rsid w:val="001F4E4C"/>
    <w:rsid w:val="001F4EE6"/>
    <w:rsid w:val="001F7361"/>
    <w:rsid w:val="001F7750"/>
    <w:rsid w:val="00200A08"/>
    <w:rsid w:val="0020199D"/>
    <w:rsid w:val="002033B1"/>
    <w:rsid w:val="0020385F"/>
    <w:rsid w:val="00204F5E"/>
    <w:rsid w:val="00205443"/>
    <w:rsid w:val="00207021"/>
    <w:rsid w:val="00207D00"/>
    <w:rsid w:val="002105C1"/>
    <w:rsid w:val="00212C57"/>
    <w:rsid w:val="00212CEC"/>
    <w:rsid w:val="002134AF"/>
    <w:rsid w:val="00216918"/>
    <w:rsid w:val="00223B49"/>
    <w:rsid w:val="00224DD4"/>
    <w:rsid w:val="002255B3"/>
    <w:rsid w:val="002258CF"/>
    <w:rsid w:val="00230518"/>
    <w:rsid w:val="002309CC"/>
    <w:rsid w:val="00232243"/>
    <w:rsid w:val="00232A74"/>
    <w:rsid w:val="00232F3E"/>
    <w:rsid w:val="002416C6"/>
    <w:rsid w:val="00242AA0"/>
    <w:rsid w:val="0024387D"/>
    <w:rsid w:val="00243B35"/>
    <w:rsid w:val="002444BB"/>
    <w:rsid w:val="0025255F"/>
    <w:rsid w:val="002533C4"/>
    <w:rsid w:val="00254DCF"/>
    <w:rsid w:val="0025534B"/>
    <w:rsid w:val="00255BB7"/>
    <w:rsid w:val="002571B5"/>
    <w:rsid w:val="002576F4"/>
    <w:rsid w:val="00260C85"/>
    <w:rsid w:val="00262A87"/>
    <w:rsid w:val="00262DD6"/>
    <w:rsid w:val="0026552C"/>
    <w:rsid w:val="00272580"/>
    <w:rsid w:val="00272D0B"/>
    <w:rsid w:val="00275C5A"/>
    <w:rsid w:val="00276E5C"/>
    <w:rsid w:val="00277BB8"/>
    <w:rsid w:val="00281014"/>
    <w:rsid w:val="00282860"/>
    <w:rsid w:val="002834C3"/>
    <w:rsid w:val="002839B6"/>
    <w:rsid w:val="00283DC5"/>
    <w:rsid w:val="00285757"/>
    <w:rsid w:val="00285B4C"/>
    <w:rsid w:val="0029244A"/>
    <w:rsid w:val="0029328F"/>
    <w:rsid w:val="00293F2F"/>
    <w:rsid w:val="00294BE7"/>
    <w:rsid w:val="002972A5"/>
    <w:rsid w:val="002A0BD8"/>
    <w:rsid w:val="002A0D5E"/>
    <w:rsid w:val="002A14AB"/>
    <w:rsid w:val="002A3640"/>
    <w:rsid w:val="002A3D17"/>
    <w:rsid w:val="002A40C7"/>
    <w:rsid w:val="002A4AD4"/>
    <w:rsid w:val="002A6182"/>
    <w:rsid w:val="002A6234"/>
    <w:rsid w:val="002A68E8"/>
    <w:rsid w:val="002B0556"/>
    <w:rsid w:val="002B1916"/>
    <w:rsid w:val="002B1C1F"/>
    <w:rsid w:val="002B38C1"/>
    <w:rsid w:val="002B391A"/>
    <w:rsid w:val="002B3F5D"/>
    <w:rsid w:val="002B432F"/>
    <w:rsid w:val="002B599F"/>
    <w:rsid w:val="002B6CCE"/>
    <w:rsid w:val="002C0162"/>
    <w:rsid w:val="002C019C"/>
    <w:rsid w:val="002C24ED"/>
    <w:rsid w:val="002C2775"/>
    <w:rsid w:val="002C27C1"/>
    <w:rsid w:val="002C2E92"/>
    <w:rsid w:val="002C3A68"/>
    <w:rsid w:val="002D0C28"/>
    <w:rsid w:val="002D0FAE"/>
    <w:rsid w:val="002D1EBD"/>
    <w:rsid w:val="002D38CA"/>
    <w:rsid w:val="002D3C44"/>
    <w:rsid w:val="002D7980"/>
    <w:rsid w:val="002E0252"/>
    <w:rsid w:val="002E0F4D"/>
    <w:rsid w:val="002E1751"/>
    <w:rsid w:val="002E1812"/>
    <w:rsid w:val="002E2E2B"/>
    <w:rsid w:val="002E570F"/>
    <w:rsid w:val="002E6DBF"/>
    <w:rsid w:val="002E7580"/>
    <w:rsid w:val="002F02ED"/>
    <w:rsid w:val="002F1879"/>
    <w:rsid w:val="002F2DF4"/>
    <w:rsid w:val="002F42DF"/>
    <w:rsid w:val="002F6D0A"/>
    <w:rsid w:val="002F6FF1"/>
    <w:rsid w:val="002F7687"/>
    <w:rsid w:val="002F7977"/>
    <w:rsid w:val="00301017"/>
    <w:rsid w:val="00303F29"/>
    <w:rsid w:val="00306930"/>
    <w:rsid w:val="0030786C"/>
    <w:rsid w:val="0031031A"/>
    <w:rsid w:val="00310981"/>
    <w:rsid w:val="00310C30"/>
    <w:rsid w:val="00310F79"/>
    <w:rsid w:val="0031181F"/>
    <w:rsid w:val="0031184D"/>
    <w:rsid w:val="003128CB"/>
    <w:rsid w:val="00312D04"/>
    <w:rsid w:val="003147EF"/>
    <w:rsid w:val="00315315"/>
    <w:rsid w:val="00315498"/>
    <w:rsid w:val="00316AC0"/>
    <w:rsid w:val="00317483"/>
    <w:rsid w:val="003204B3"/>
    <w:rsid w:val="003233F4"/>
    <w:rsid w:val="00323432"/>
    <w:rsid w:val="0032467F"/>
    <w:rsid w:val="0033383D"/>
    <w:rsid w:val="003346FD"/>
    <w:rsid w:val="003356A9"/>
    <w:rsid w:val="003366C9"/>
    <w:rsid w:val="003371B0"/>
    <w:rsid w:val="00337DA5"/>
    <w:rsid w:val="00337FEA"/>
    <w:rsid w:val="00343101"/>
    <w:rsid w:val="00344E79"/>
    <w:rsid w:val="003460B4"/>
    <w:rsid w:val="00346A10"/>
    <w:rsid w:val="0035211A"/>
    <w:rsid w:val="003526D1"/>
    <w:rsid w:val="0035362D"/>
    <w:rsid w:val="00353D86"/>
    <w:rsid w:val="0035620E"/>
    <w:rsid w:val="0036025B"/>
    <w:rsid w:val="00360B8E"/>
    <w:rsid w:val="00361A50"/>
    <w:rsid w:val="00363863"/>
    <w:rsid w:val="003643E6"/>
    <w:rsid w:val="00364F4B"/>
    <w:rsid w:val="0037037A"/>
    <w:rsid w:val="003762F8"/>
    <w:rsid w:val="00380D3C"/>
    <w:rsid w:val="003822F5"/>
    <w:rsid w:val="0038365C"/>
    <w:rsid w:val="00383F01"/>
    <w:rsid w:val="0038406F"/>
    <w:rsid w:val="00384A5F"/>
    <w:rsid w:val="003854A3"/>
    <w:rsid w:val="00386A84"/>
    <w:rsid w:val="00387AF7"/>
    <w:rsid w:val="00392BA1"/>
    <w:rsid w:val="00393034"/>
    <w:rsid w:val="00396E80"/>
    <w:rsid w:val="00396FD0"/>
    <w:rsid w:val="003973BB"/>
    <w:rsid w:val="00397EDA"/>
    <w:rsid w:val="003A0146"/>
    <w:rsid w:val="003A0C7A"/>
    <w:rsid w:val="003A1A7A"/>
    <w:rsid w:val="003A29DC"/>
    <w:rsid w:val="003A6368"/>
    <w:rsid w:val="003B157A"/>
    <w:rsid w:val="003B68FF"/>
    <w:rsid w:val="003C254B"/>
    <w:rsid w:val="003C2930"/>
    <w:rsid w:val="003C63F6"/>
    <w:rsid w:val="003C6C20"/>
    <w:rsid w:val="003D0A33"/>
    <w:rsid w:val="003D1828"/>
    <w:rsid w:val="003D2422"/>
    <w:rsid w:val="003D5583"/>
    <w:rsid w:val="003D6B33"/>
    <w:rsid w:val="003D775A"/>
    <w:rsid w:val="003E36FE"/>
    <w:rsid w:val="003E51ED"/>
    <w:rsid w:val="003F0F58"/>
    <w:rsid w:val="003F1337"/>
    <w:rsid w:val="003F13C7"/>
    <w:rsid w:val="003F188C"/>
    <w:rsid w:val="003F2E63"/>
    <w:rsid w:val="003F4156"/>
    <w:rsid w:val="003F424F"/>
    <w:rsid w:val="00402788"/>
    <w:rsid w:val="0040292D"/>
    <w:rsid w:val="0040508B"/>
    <w:rsid w:val="00405B0C"/>
    <w:rsid w:val="00405D2C"/>
    <w:rsid w:val="00407BAE"/>
    <w:rsid w:val="00410081"/>
    <w:rsid w:val="00410212"/>
    <w:rsid w:val="00410708"/>
    <w:rsid w:val="00410EC7"/>
    <w:rsid w:val="00412847"/>
    <w:rsid w:val="00414476"/>
    <w:rsid w:val="00416EFF"/>
    <w:rsid w:val="00420913"/>
    <w:rsid w:val="00420B8A"/>
    <w:rsid w:val="00420B9F"/>
    <w:rsid w:val="00422A8C"/>
    <w:rsid w:val="004245FA"/>
    <w:rsid w:val="00424C56"/>
    <w:rsid w:val="00424EEB"/>
    <w:rsid w:val="00426B99"/>
    <w:rsid w:val="00430637"/>
    <w:rsid w:val="004319F8"/>
    <w:rsid w:val="00433044"/>
    <w:rsid w:val="00433811"/>
    <w:rsid w:val="00435A1B"/>
    <w:rsid w:val="004361EA"/>
    <w:rsid w:val="00440095"/>
    <w:rsid w:val="004429A5"/>
    <w:rsid w:val="00443D40"/>
    <w:rsid w:val="004443A7"/>
    <w:rsid w:val="004450D6"/>
    <w:rsid w:val="004464EB"/>
    <w:rsid w:val="00450226"/>
    <w:rsid w:val="004512AB"/>
    <w:rsid w:val="00452051"/>
    <w:rsid w:val="00452101"/>
    <w:rsid w:val="00454981"/>
    <w:rsid w:val="00455D45"/>
    <w:rsid w:val="00464595"/>
    <w:rsid w:val="00465371"/>
    <w:rsid w:val="00467FB2"/>
    <w:rsid w:val="0047243C"/>
    <w:rsid w:val="00476AD4"/>
    <w:rsid w:val="00476C13"/>
    <w:rsid w:val="00477F4D"/>
    <w:rsid w:val="0048285C"/>
    <w:rsid w:val="00483839"/>
    <w:rsid w:val="0048483D"/>
    <w:rsid w:val="004855EB"/>
    <w:rsid w:val="004867E2"/>
    <w:rsid w:val="004870E3"/>
    <w:rsid w:val="00490B46"/>
    <w:rsid w:val="00491B3A"/>
    <w:rsid w:val="00492CFD"/>
    <w:rsid w:val="00494709"/>
    <w:rsid w:val="00494C89"/>
    <w:rsid w:val="0049532B"/>
    <w:rsid w:val="00495D31"/>
    <w:rsid w:val="004962D2"/>
    <w:rsid w:val="004965FD"/>
    <w:rsid w:val="00496FCE"/>
    <w:rsid w:val="00497021"/>
    <w:rsid w:val="004A00DD"/>
    <w:rsid w:val="004A0210"/>
    <w:rsid w:val="004A0DA1"/>
    <w:rsid w:val="004A23C7"/>
    <w:rsid w:val="004A6269"/>
    <w:rsid w:val="004A6597"/>
    <w:rsid w:val="004B00A5"/>
    <w:rsid w:val="004B1CB4"/>
    <w:rsid w:val="004B1EA3"/>
    <w:rsid w:val="004B2F18"/>
    <w:rsid w:val="004B32E2"/>
    <w:rsid w:val="004B3C25"/>
    <w:rsid w:val="004B3D03"/>
    <w:rsid w:val="004B3DDB"/>
    <w:rsid w:val="004B44FD"/>
    <w:rsid w:val="004B5CFC"/>
    <w:rsid w:val="004C008A"/>
    <w:rsid w:val="004C2633"/>
    <w:rsid w:val="004C4077"/>
    <w:rsid w:val="004C4AED"/>
    <w:rsid w:val="004C5D35"/>
    <w:rsid w:val="004C7548"/>
    <w:rsid w:val="004C7928"/>
    <w:rsid w:val="004D0A0A"/>
    <w:rsid w:val="004D46DA"/>
    <w:rsid w:val="004D5D52"/>
    <w:rsid w:val="004D667F"/>
    <w:rsid w:val="004E093F"/>
    <w:rsid w:val="004E0EB8"/>
    <w:rsid w:val="004E131D"/>
    <w:rsid w:val="004E2ADC"/>
    <w:rsid w:val="004E2BEA"/>
    <w:rsid w:val="004E2C8C"/>
    <w:rsid w:val="004E2E3F"/>
    <w:rsid w:val="004E3332"/>
    <w:rsid w:val="004E3917"/>
    <w:rsid w:val="004E43B2"/>
    <w:rsid w:val="004E6283"/>
    <w:rsid w:val="004E62AE"/>
    <w:rsid w:val="004E6696"/>
    <w:rsid w:val="004E68C9"/>
    <w:rsid w:val="004F1D02"/>
    <w:rsid w:val="004F2679"/>
    <w:rsid w:val="004F336A"/>
    <w:rsid w:val="004F4072"/>
    <w:rsid w:val="004F7865"/>
    <w:rsid w:val="005033F3"/>
    <w:rsid w:val="00504253"/>
    <w:rsid w:val="00505FF1"/>
    <w:rsid w:val="005065A5"/>
    <w:rsid w:val="00506928"/>
    <w:rsid w:val="00510E4B"/>
    <w:rsid w:val="00512E71"/>
    <w:rsid w:val="005152B5"/>
    <w:rsid w:val="00517EFC"/>
    <w:rsid w:val="005202D1"/>
    <w:rsid w:val="00521319"/>
    <w:rsid w:val="00522F75"/>
    <w:rsid w:val="00523313"/>
    <w:rsid w:val="00523C28"/>
    <w:rsid w:val="00524156"/>
    <w:rsid w:val="00525274"/>
    <w:rsid w:val="00531078"/>
    <w:rsid w:val="00537E6D"/>
    <w:rsid w:val="00541A0C"/>
    <w:rsid w:val="00543607"/>
    <w:rsid w:val="00546A56"/>
    <w:rsid w:val="005473B8"/>
    <w:rsid w:val="005507C8"/>
    <w:rsid w:val="00550AB1"/>
    <w:rsid w:val="00552AD3"/>
    <w:rsid w:val="00552BD3"/>
    <w:rsid w:val="0055382C"/>
    <w:rsid w:val="00554837"/>
    <w:rsid w:val="00554D18"/>
    <w:rsid w:val="00554FB3"/>
    <w:rsid w:val="00555109"/>
    <w:rsid w:val="00555267"/>
    <w:rsid w:val="00555A32"/>
    <w:rsid w:val="00555EFF"/>
    <w:rsid w:val="00561455"/>
    <w:rsid w:val="0056696F"/>
    <w:rsid w:val="005703BB"/>
    <w:rsid w:val="00571676"/>
    <w:rsid w:val="0057285B"/>
    <w:rsid w:val="0057296D"/>
    <w:rsid w:val="00575D8D"/>
    <w:rsid w:val="005765CE"/>
    <w:rsid w:val="00576900"/>
    <w:rsid w:val="00576972"/>
    <w:rsid w:val="00580340"/>
    <w:rsid w:val="005808D4"/>
    <w:rsid w:val="00581420"/>
    <w:rsid w:val="00583699"/>
    <w:rsid w:val="00584331"/>
    <w:rsid w:val="00584ADF"/>
    <w:rsid w:val="00591277"/>
    <w:rsid w:val="005916B3"/>
    <w:rsid w:val="00593006"/>
    <w:rsid w:val="00593B66"/>
    <w:rsid w:val="00593D17"/>
    <w:rsid w:val="0059561A"/>
    <w:rsid w:val="005966FA"/>
    <w:rsid w:val="00597194"/>
    <w:rsid w:val="005A49CB"/>
    <w:rsid w:val="005A5E6D"/>
    <w:rsid w:val="005A64A0"/>
    <w:rsid w:val="005A73D7"/>
    <w:rsid w:val="005A79F2"/>
    <w:rsid w:val="005B5857"/>
    <w:rsid w:val="005B687A"/>
    <w:rsid w:val="005B69BB"/>
    <w:rsid w:val="005B6A9E"/>
    <w:rsid w:val="005B7253"/>
    <w:rsid w:val="005B7969"/>
    <w:rsid w:val="005C0379"/>
    <w:rsid w:val="005C1B83"/>
    <w:rsid w:val="005C1C31"/>
    <w:rsid w:val="005C346B"/>
    <w:rsid w:val="005D044D"/>
    <w:rsid w:val="005D087F"/>
    <w:rsid w:val="005D0EF9"/>
    <w:rsid w:val="005D18AD"/>
    <w:rsid w:val="005D6126"/>
    <w:rsid w:val="005D762C"/>
    <w:rsid w:val="005D7C0C"/>
    <w:rsid w:val="005E04A3"/>
    <w:rsid w:val="005E29BA"/>
    <w:rsid w:val="005E73C0"/>
    <w:rsid w:val="005F1E3A"/>
    <w:rsid w:val="005F2706"/>
    <w:rsid w:val="005F3CF5"/>
    <w:rsid w:val="005F464C"/>
    <w:rsid w:val="005F51CB"/>
    <w:rsid w:val="005F53D2"/>
    <w:rsid w:val="005F5D5C"/>
    <w:rsid w:val="005F6928"/>
    <w:rsid w:val="005F6A8F"/>
    <w:rsid w:val="005F6D79"/>
    <w:rsid w:val="00601142"/>
    <w:rsid w:val="00601AA9"/>
    <w:rsid w:val="00601B97"/>
    <w:rsid w:val="0060349D"/>
    <w:rsid w:val="00605A17"/>
    <w:rsid w:val="00605F1E"/>
    <w:rsid w:val="006075AA"/>
    <w:rsid w:val="00607669"/>
    <w:rsid w:val="00610365"/>
    <w:rsid w:val="0061196A"/>
    <w:rsid w:val="00612F97"/>
    <w:rsid w:val="00615B31"/>
    <w:rsid w:val="00615CFC"/>
    <w:rsid w:val="00616802"/>
    <w:rsid w:val="00617E12"/>
    <w:rsid w:val="00621238"/>
    <w:rsid w:val="00621477"/>
    <w:rsid w:val="00622180"/>
    <w:rsid w:val="00622595"/>
    <w:rsid w:val="0062472C"/>
    <w:rsid w:val="00624EE2"/>
    <w:rsid w:val="00625EC5"/>
    <w:rsid w:val="006276B2"/>
    <w:rsid w:val="00631D6B"/>
    <w:rsid w:val="00631ED0"/>
    <w:rsid w:val="00632D69"/>
    <w:rsid w:val="00633CEB"/>
    <w:rsid w:val="0063479F"/>
    <w:rsid w:val="00635A48"/>
    <w:rsid w:val="00635B65"/>
    <w:rsid w:val="006364A1"/>
    <w:rsid w:val="00637BCD"/>
    <w:rsid w:val="00637BFD"/>
    <w:rsid w:val="00640607"/>
    <w:rsid w:val="00643BA1"/>
    <w:rsid w:val="00645DA9"/>
    <w:rsid w:val="006471CC"/>
    <w:rsid w:val="00650037"/>
    <w:rsid w:val="00650369"/>
    <w:rsid w:val="0065079F"/>
    <w:rsid w:val="00650F4D"/>
    <w:rsid w:val="00651169"/>
    <w:rsid w:val="006512CD"/>
    <w:rsid w:val="006574D2"/>
    <w:rsid w:val="00663E52"/>
    <w:rsid w:val="00664256"/>
    <w:rsid w:val="006643DE"/>
    <w:rsid w:val="00665C81"/>
    <w:rsid w:val="006665F3"/>
    <w:rsid w:val="006729C8"/>
    <w:rsid w:val="00673E77"/>
    <w:rsid w:val="00674E42"/>
    <w:rsid w:val="00677647"/>
    <w:rsid w:val="00680C95"/>
    <w:rsid w:val="00682112"/>
    <w:rsid w:val="006830EA"/>
    <w:rsid w:val="00683720"/>
    <w:rsid w:val="0068484B"/>
    <w:rsid w:val="006872BA"/>
    <w:rsid w:val="00687706"/>
    <w:rsid w:val="00690ABD"/>
    <w:rsid w:val="00690D7C"/>
    <w:rsid w:val="006917D7"/>
    <w:rsid w:val="00692603"/>
    <w:rsid w:val="00694F44"/>
    <w:rsid w:val="0069522C"/>
    <w:rsid w:val="00697044"/>
    <w:rsid w:val="006A48AE"/>
    <w:rsid w:val="006A7842"/>
    <w:rsid w:val="006B0B42"/>
    <w:rsid w:val="006B1285"/>
    <w:rsid w:val="006B3A68"/>
    <w:rsid w:val="006B6F52"/>
    <w:rsid w:val="006B7204"/>
    <w:rsid w:val="006B76F4"/>
    <w:rsid w:val="006B7C9E"/>
    <w:rsid w:val="006C0373"/>
    <w:rsid w:val="006C0E62"/>
    <w:rsid w:val="006C2061"/>
    <w:rsid w:val="006C2A8E"/>
    <w:rsid w:val="006C468C"/>
    <w:rsid w:val="006D3C7D"/>
    <w:rsid w:val="006D4281"/>
    <w:rsid w:val="006D44AD"/>
    <w:rsid w:val="006D4AD5"/>
    <w:rsid w:val="006D5A20"/>
    <w:rsid w:val="006D5D5F"/>
    <w:rsid w:val="006D6EC7"/>
    <w:rsid w:val="006E1CFE"/>
    <w:rsid w:val="006E330D"/>
    <w:rsid w:val="006E54C6"/>
    <w:rsid w:val="006E655A"/>
    <w:rsid w:val="006E6D0B"/>
    <w:rsid w:val="006E7A0A"/>
    <w:rsid w:val="006E7BE1"/>
    <w:rsid w:val="006F3B78"/>
    <w:rsid w:val="006F40BD"/>
    <w:rsid w:val="006F4179"/>
    <w:rsid w:val="006F505A"/>
    <w:rsid w:val="006F63A5"/>
    <w:rsid w:val="006F662A"/>
    <w:rsid w:val="006F7D58"/>
    <w:rsid w:val="0070276E"/>
    <w:rsid w:val="00702D6D"/>
    <w:rsid w:val="00702F8F"/>
    <w:rsid w:val="007044E3"/>
    <w:rsid w:val="0070521F"/>
    <w:rsid w:val="00706B67"/>
    <w:rsid w:val="0071111D"/>
    <w:rsid w:val="00711A36"/>
    <w:rsid w:val="00712DB5"/>
    <w:rsid w:val="00714544"/>
    <w:rsid w:val="007161C9"/>
    <w:rsid w:val="00716924"/>
    <w:rsid w:val="007172AD"/>
    <w:rsid w:val="0072339D"/>
    <w:rsid w:val="0072416F"/>
    <w:rsid w:val="007242F8"/>
    <w:rsid w:val="00724E2D"/>
    <w:rsid w:val="007264E0"/>
    <w:rsid w:val="0072793F"/>
    <w:rsid w:val="007308A5"/>
    <w:rsid w:val="00731D18"/>
    <w:rsid w:val="00733A3F"/>
    <w:rsid w:val="00733F1D"/>
    <w:rsid w:val="007340AF"/>
    <w:rsid w:val="00735328"/>
    <w:rsid w:val="0073564E"/>
    <w:rsid w:val="00735E71"/>
    <w:rsid w:val="0073685B"/>
    <w:rsid w:val="0074088A"/>
    <w:rsid w:val="00740D25"/>
    <w:rsid w:val="00741A77"/>
    <w:rsid w:val="00743BD8"/>
    <w:rsid w:val="00752469"/>
    <w:rsid w:val="00760454"/>
    <w:rsid w:val="007610DA"/>
    <w:rsid w:val="00761A33"/>
    <w:rsid w:val="00764E7B"/>
    <w:rsid w:val="007663AA"/>
    <w:rsid w:val="00767E0A"/>
    <w:rsid w:val="00770486"/>
    <w:rsid w:val="00770753"/>
    <w:rsid w:val="00770A4C"/>
    <w:rsid w:val="00773C42"/>
    <w:rsid w:val="00774829"/>
    <w:rsid w:val="00775997"/>
    <w:rsid w:val="00775E53"/>
    <w:rsid w:val="00777354"/>
    <w:rsid w:val="007801C3"/>
    <w:rsid w:val="0078194F"/>
    <w:rsid w:val="00781DA9"/>
    <w:rsid w:val="007826B0"/>
    <w:rsid w:val="00784299"/>
    <w:rsid w:val="007857A9"/>
    <w:rsid w:val="00785D9D"/>
    <w:rsid w:val="00787078"/>
    <w:rsid w:val="0079013D"/>
    <w:rsid w:val="007918BE"/>
    <w:rsid w:val="00791E36"/>
    <w:rsid w:val="00793231"/>
    <w:rsid w:val="00793E79"/>
    <w:rsid w:val="007947AF"/>
    <w:rsid w:val="007959E9"/>
    <w:rsid w:val="007A0A12"/>
    <w:rsid w:val="007A357D"/>
    <w:rsid w:val="007A4CA0"/>
    <w:rsid w:val="007A51EB"/>
    <w:rsid w:val="007B251D"/>
    <w:rsid w:val="007B489A"/>
    <w:rsid w:val="007B68B8"/>
    <w:rsid w:val="007B77D1"/>
    <w:rsid w:val="007B7CB9"/>
    <w:rsid w:val="007C0413"/>
    <w:rsid w:val="007C0671"/>
    <w:rsid w:val="007C361D"/>
    <w:rsid w:val="007C6006"/>
    <w:rsid w:val="007C7876"/>
    <w:rsid w:val="007C7EC4"/>
    <w:rsid w:val="007D0B38"/>
    <w:rsid w:val="007D1184"/>
    <w:rsid w:val="007D2F17"/>
    <w:rsid w:val="007D45C6"/>
    <w:rsid w:val="007D7E5A"/>
    <w:rsid w:val="007E06C1"/>
    <w:rsid w:val="007E0963"/>
    <w:rsid w:val="007F0D25"/>
    <w:rsid w:val="007F1017"/>
    <w:rsid w:val="007F21CF"/>
    <w:rsid w:val="007F4A3F"/>
    <w:rsid w:val="007F76C2"/>
    <w:rsid w:val="008019B9"/>
    <w:rsid w:val="008037B7"/>
    <w:rsid w:val="0080482D"/>
    <w:rsid w:val="00805142"/>
    <w:rsid w:val="00805EC6"/>
    <w:rsid w:val="00807A8B"/>
    <w:rsid w:val="00812149"/>
    <w:rsid w:val="00812DB3"/>
    <w:rsid w:val="008132AB"/>
    <w:rsid w:val="008152D7"/>
    <w:rsid w:val="008166EF"/>
    <w:rsid w:val="0082247B"/>
    <w:rsid w:val="00822601"/>
    <w:rsid w:val="008264EB"/>
    <w:rsid w:val="008267DA"/>
    <w:rsid w:val="008268D6"/>
    <w:rsid w:val="008269DD"/>
    <w:rsid w:val="00830406"/>
    <w:rsid w:val="008312AC"/>
    <w:rsid w:val="00833B05"/>
    <w:rsid w:val="00835731"/>
    <w:rsid w:val="008357F9"/>
    <w:rsid w:val="00840CA2"/>
    <w:rsid w:val="00841C44"/>
    <w:rsid w:val="00844A7C"/>
    <w:rsid w:val="00845B23"/>
    <w:rsid w:val="008504B6"/>
    <w:rsid w:val="008552F5"/>
    <w:rsid w:val="00856E9A"/>
    <w:rsid w:val="00857BC7"/>
    <w:rsid w:val="00861351"/>
    <w:rsid w:val="00862362"/>
    <w:rsid w:val="00862502"/>
    <w:rsid w:val="00863886"/>
    <w:rsid w:val="00865276"/>
    <w:rsid w:val="00865C03"/>
    <w:rsid w:val="008671DF"/>
    <w:rsid w:val="008706FD"/>
    <w:rsid w:val="00871D72"/>
    <w:rsid w:val="00872B7C"/>
    <w:rsid w:val="008762A9"/>
    <w:rsid w:val="00877852"/>
    <w:rsid w:val="00880D37"/>
    <w:rsid w:val="00881A6D"/>
    <w:rsid w:val="00882874"/>
    <w:rsid w:val="008834C3"/>
    <w:rsid w:val="00883787"/>
    <w:rsid w:val="00885ACF"/>
    <w:rsid w:val="008876F7"/>
    <w:rsid w:val="00893492"/>
    <w:rsid w:val="00894489"/>
    <w:rsid w:val="008963A5"/>
    <w:rsid w:val="008966B1"/>
    <w:rsid w:val="008975DC"/>
    <w:rsid w:val="008A3C3E"/>
    <w:rsid w:val="008A44B4"/>
    <w:rsid w:val="008A4BDD"/>
    <w:rsid w:val="008A79DE"/>
    <w:rsid w:val="008B0F71"/>
    <w:rsid w:val="008B226B"/>
    <w:rsid w:val="008B282B"/>
    <w:rsid w:val="008B2F65"/>
    <w:rsid w:val="008B3995"/>
    <w:rsid w:val="008B46C8"/>
    <w:rsid w:val="008B70C9"/>
    <w:rsid w:val="008B7D7E"/>
    <w:rsid w:val="008C04E2"/>
    <w:rsid w:val="008C0CF0"/>
    <w:rsid w:val="008C2688"/>
    <w:rsid w:val="008C2E89"/>
    <w:rsid w:val="008C3D5B"/>
    <w:rsid w:val="008C4025"/>
    <w:rsid w:val="008C4715"/>
    <w:rsid w:val="008C6520"/>
    <w:rsid w:val="008C705C"/>
    <w:rsid w:val="008C7ECB"/>
    <w:rsid w:val="008D1B18"/>
    <w:rsid w:val="008D1D2D"/>
    <w:rsid w:val="008D1D48"/>
    <w:rsid w:val="008D44BD"/>
    <w:rsid w:val="008D7341"/>
    <w:rsid w:val="008D7C56"/>
    <w:rsid w:val="008E0C9F"/>
    <w:rsid w:val="008E1B9E"/>
    <w:rsid w:val="008E567F"/>
    <w:rsid w:val="008E5723"/>
    <w:rsid w:val="008E716B"/>
    <w:rsid w:val="008E75A8"/>
    <w:rsid w:val="008E7827"/>
    <w:rsid w:val="008F0B0A"/>
    <w:rsid w:val="008F120A"/>
    <w:rsid w:val="008F1A97"/>
    <w:rsid w:val="008F2A3D"/>
    <w:rsid w:val="008F48EB"/>
    <w:rsid w:val="008F4F0B"/>
    <w:rsid w:val="008F509B"/>
    <w:rsid w:val="008F51B8"/>
    <w:rsid w:val="008F52B2"/>
    <w:rsid w:val="008F639F"/>
    <w:rsid w:val="008F6DEC"/>
    <w:rsid w:val="008F7A49"/>
    <w:rsid w:val="0090058D"/>
    <w:rsid w:val="00900D19"/>
    <w:rsid w:val="009034F5"/>
    <w:rsid w:val="00903F66"/>
    <w:rsid w:val="009062A5"/>
    <w:rsid w:val="00906F22"/>
    <w:rsid w:val="009110D9"/>
    <w:rsid w:val="00911272"/>
    <w:rsid w:val="009123A7"/>
    <w:rsid w:val="00912E97"/>
    <w:rsid w:val="0091319F"/>
    <w:rsid w:val="00913DE2"/>
    <w:rsid w:val="00915171"/>
    <w:rsid w:val="00916FAF"/>
    <w:rsid w:val="009219A1"/>
    <w:rsid w:val="00921C80"/>
    <w:rsid w:val="00922F72"/>
    <w:rsid w:val="00923B21"/>
    <w:rsid w:val="0092560A"/>
    <w:rsid w:val="0093353F"/>
    <w:rsid w:val="0093462D"/>
    <w:rsid w:val="0093558F"/>
    <w:rsid w:val="009359D7"/>
    <w:rsid w:val="00936ECF"/>
    <w:rsid w:val="00940075"/>
    <w:rsid w:val="00940FB3"/>
    <w:rsid w:val="00941584"/>
    <w:rsid w:val="00942872"/>
    <w:rsid w:val="00946607"/>
    <w:rsid w:val="009513E6"/>
    <w:rsid w:val="0095194C"/>
    <w:rsid w:val="00951C12"/>
    <w:rsid w:val="0095326B"/>
    <w:rsid w:val="00953F12"/>
    <w:rsid w:val="00954448"/>
    <w:rsid w:val="00955506"/>
    <w:rsid w:val="00956C50"/>
    <w:rsid w:val="0095751B"/>
    <w:rsid w:val="00960DC2"/>
    <w:rsid w:val="00962CB9"/>
    <w:rsid w:val="00964312"/>
    <w:rsid w:val="00965274"/>
    <w:rsid w:val="009654A9"/>
    <w:rsid w:val="009667E6"/>
    <w:rsid w:val="009715B3"/>
    <w:rsid w:val="009732DB"/>
    <w:rsid w:val="009754C1"/>
    <w:rsid w:val="00975C27"/>
    <w:rsid w:val="00977918"/>
    <w:rsid w:val="0097792F"/>
    <w:rsid w:val="00983974"/>
    <w:rsid w:val="00983E57"/>
    <w:rsid w:val="00986C8A"/>
    <w:rsid w:val="00987C52"/>
    <w:rsid w:val="00995F0E"/>
    <w:rsid w:val="00996B1A"/>
    <w:rsid w:val="009A13EC"/>
    <w:rsid w:val="009A13F1"/>
    <w:rsid w:val="009A357A"/>
    <w:rsid w:val="009A532D"/>
    <w:rsid w:val="009A7EB6"/>
    <w:rsid w:val="009B3E26"/>
    <w:rsid w:val="009B7804"/>
    <w:rsid w:val="009C2C4C"/>
    <w:rsid w:val="009C5451"/>
    <w:rsid w:val="009C5EFF"/>
    <w:rsid w:val="009C60E9"/>
    <w:rsid w:val="009C76A5"/>
    <w:rsid w:val="009C7C5E"/>
    <w:rsid w:val="009D5B91"/>
    <w:rsid w:val="009D5FA0"/>
    <w:rsid w:val="009E0A8C"/>
    <w:rsid w:val="009E11BD"/>
    <w:rsid w:val="009E2C97"/>
    <w:rsid w:val="009E2D08"/>
    <w:rsid w:val="009E2F27"/>
    <w:rsid w:val="009E3565"/>
    <w:rsid w:val="009E4A30"/>
    <w:rsid w:val="009E4C07"/>
    <w:rsid w:val="009E7C09"/>
    <w:rsid w:val="009E7E86"/>
    <w:rsid w:val="009F17BB"/>
    <w:rsid w:val="009F184E"/>
    <w:rsid w:val="009F1FCE"/>
    <w:rsid w:val="009F310A"/>
    <w:rsid w:val="009F3905"/>
    <w:rsid w:val="009F46D3"/>
    <w:rsid w:val="009F5270"/>
    <w:rsid w:val="009F634D"/>
    <w:rsid w:val="009F6398"/>
    <w:rsid w:val="00A0176E"/>
    <w:rsid w:val="00A03D43"/>
    <w:rsid w:val="00A04380"/>
    <w:rsid w:val="00A05B45"/>
    <w:rsid w:val="00A109DE"/>
    <w:rsid w:val="00A131F4"/>
    <w:rsid w:val="00A13948"/>
    <w:rsid w:val="00A13D3D"/>
    <w:rsid w:val="00A15AD8"/>
    <w:rsid w:val="00A15CF8"/>
    <w:rsid w:val="00A2077F"/>
    <w:rsid w:val="00A20A8F"/>
    <w:rsid w:val="00A21204"/>
    <w:rsid w:val="00A21878"/>
    <w:rsid w:val="00A2245F"/>
    <w:rsid w:val="00A22A2A"/>
    <w:rsid w:val="00A23DF4"/>
    <w:rsid w:val="00A24E9D"/>
    <w:rsid w:val="00A27AEC"/>
    <w:rsid w:val="00A27B99"/>
    <w:rsid w:val="00A30A13"/>
    <w:rsid w:val="00A317D9"/>
    <w:rsid w:val="00A33C96"/>
    <w:rsid w:val="00A34169"/>
    <w:rsid w:val="00A34FEC"/>
    <w:rsid w:val="00A35D16"/>
    <w:rsid w:val="00A42ED9"/>
    <w:rsid w:val="00A43C59"/>
    <w:rsid w:val="00A473AA"/>
    <w:rsid w:val="00A477BB"/>
    <w:rsid w:val="00A50ECD"/>
    <w:rsid w:val="00A52729"/>
    <w:rsid w:val="00A53675"/>
    <w:rsid w:val="00A5368C"/>
    <w:rsid w:val="00A541CD"/>
    <w:rsid w:val="00A54AAF"/>
    <w:rsid w:val="00A56188"/>
    <w:rsid w:val="00A56B6A"/>
    <w:rsid w:val="00A56D01"/>
    <w:rsid w:val="00A578DC"/>
    <w:rsid w:val="00A60840"/>
    <w:rsid w:val="00A608B0"/>
    <w:rsid w:val="00A640E1"/>
    <w:rsid w:val="00A66656"/>
    <w:rsid w:val="00A6725B"/>
    <w:rsid w:val="00A67764"/>
    <w:rsid w:val="00A678AC"/>
    <w:rsid w:val="00A71F4C"/>
    <w:rsid w:val="00A7205B"/>
    <w:rsid w:val="00A7355C"/>
    <w:rsid w:val="00A739F7"/>
    <w:rsid w:val="00A75647"/>
    <w:rsid w:val="00A8266C"/>
    <w:rsid w:val="00A82CB0"/>
    <w:rsid w:val="00A83FBB"/>
    <w:rsid w:val="00A86E8B"/>
    <w:rsid w:val="00A9058E"/>
    <w:rsid w:val="00A911AE"/>
    <w:rsid w:val="00A912B0"/>
    <w:rsid w:val="00A912C7"/>
    <w:rsid w:val="00A91C71"/>
    <w:rsid w:val="00A92240"/>
    <w:rsid w:val="00A93072"/>
    <w:rsid w:val="00A94C59"/>
    <w:rsid w:val="00A956B6"/>
    <w:rsid w:val="00A959D8"/>
    <w:rsid w:val="00AA161B"/>
    <w:rsid w:val="00AA2BCB"/>
    <w:rsid w:val="00AA316A"/>
    <w:rsid w:val="00AA3563"/>
    <w:rsid w:val="00AA3C82"/>
    <w:rsid w:val="00AB01A9"/>
    <w:rsid w:val="00AB042A"/>
    <w:rsid w:val="00AB17AB"/>
    <w:rsid w:val="00AB2D34"/>
    <w:rsid w:val="00AB3430"/>
    <w:rsid w:val="00AB614B"/>
    <w:rsid w:val="00AB6A20"/>
    <w:rsid w:val="00AB7CFA"/>
    <w:rsid w:val="00AC056A"/>
    <w:rsid w:val="00AC07D4"/>
    <w:rsid w:val="00AC5FB1"/>
    <w:rsid w:val="00AC7AD7"/>
    <w:rsid w:val="00AD1F61"/>
    <w:rsid w:val="00AD28D8"/>
    <w:rsid w:val="00AD341F"/>
    <w:rsid w:val="00AE1B08"/>
    <w:rsid w:val="00AE2A23"/>
    <w:rsid w:val="00AE3837"/>
    <w:rsid w:val="00AE5CD1"/>
    <w:rsid w:val="00AE76D5"/>
    <w:rsid w:val="00AF2190"/>
    <w:rsid w:val="00AF4F96"/>
    <w:rsid w:val="00AF62D0"/>
    <w:rsid w:val="00AF6A70"/>
    <w:rsid w:val="00AF7B90"/>
    <w:rsid w:val="00B00B9E"/>
    <w:rsid w:val="00B00BDF"/>
    <w:rsid w:val="00B01321"/>
    <w:rsid w:val="00B01574"/>
    <w:rsid w:val="00B01869"/>
    <w:rsid w:val="00B01E75"/>
    <w:rsid w:val="00B02D60"/>
    <w:rsid w:val="00B05A12"/>
    <w:rsid w:val="00B0621E"/>
    <w:rsid w:val="00B07291"/>
    <w:rsid w:val="00B10297"/>
    <w:rsid w:val="00B10BBB"/>
    <w:rsid w:val="00B1134B"/>
    <w:rsid w:val="00B11793"/>
    <w:rsid w:val="00B13E92"/>
    <w:rsid w:val="00B14F4C"/>
    <w:rsid w:val="00B155AB"/>
    <w:rsid w:val="00B15767"/>
    <w:rsid w:val="00B159D7"/>
    <w:rsid w:val="00B16B2F"/>
    <w:rsid w:val="00B207DF"/>
    <w:rsid w:val="00B23116"/>
    <w:rsid w:val="00B255F6"/>
    <w:rsid w:val="00B300F4"/>
    <w:rsid w:val="00B30B37"/>
    <w:rsid w:val="00B30F6B"/>
    <w:rsid w:val="00B32742"/>
    <w:rsid w:val="00B34A77"/>
    <w:rsid w:val="00B411CE"/>
    <w:rsid w:val="00B4121F"/>
    <w:rsid w:val="00B42851"/>
    <w:rsid w:val="00B447C4"/>
    <w:rsid w:val="00B44815"/>
    <w:rsid w:val="00B44E2A"/>
    <w:rsid w:val="00B50DB8"/>
    <w:rsid w:val="00B515C1"/>
    <w:rsid w:val="00B51F70"/>
    <w:rsid w:val="00B53292"/>
    <w:rsid w:val="00B53905"/>
    <w:rsid w:val="00B54B5B"/>
    <w:rsid w:val="00B5562E"/>
    <w:rsid w:val="00B55886"/>
    <w:rsid w:val="00B56E16"/>
    <w:rsid w:val="00B57000"/>
    <w:rsid w:val="00B570E3"/>
    <w:rsid w:val="00B60939"/>
    <w:rsid w:val="00B60AD0"/>
    <w:rsid w:val="00B60AFD"/>
    <w:rsid w:val="00B61896"/>
    <w:rsid w:val="00B62715"/>
    <w:rsid w:val="00B63180"/>
    <w:rsid w:val="00B64B0C"/>
    <w:rsid w:val="00B65F3B"/>
    <w:rsid w:val="00B6731C"/>
    <w:rsid w:val="00B67A95"/>
    <w:rsid w:val="00B715CF"/>
    <w:rsid w:val="00B71F6D"/>
    <w:rsid w:val="00B73F67"/>
    <w:rsid w:val="00B74B20"/>
    <w:rsid w:val="00B806F5"/>
    <w:rsid w:val="00B818A4"/>
    <w:rsid w:val="00B82EC6"/>
    <w:rsid w:val="00B833F1"/>
    <w:rsid w:val="00B83717"/>
    <w:rsid w:val="00B84A7A"/>
    <w:rsid w:val="00B84D3B"/>
    <w:rsid w:val="00B8649C"/>
    <w:rsid w:val="00B90E16"/>
    <w:rsid w:val="00B91303"/>
    <w:rsid w:val="00B92D0B"/>
    <w:rsid w:val="00B94945"/>
    <w:rsid w:val="00B96091"/>
    <w:rsid w:val="00B96DD0"/>
    <w:rsid w:val="00BA1612"/>
    <w:rsid w:val="00BA3EE1"/>
    <w:rsid w:val="00BA4CB9"/>
    <w:rsid w:val="00BB424C"/>
    <w:rsid w:val="00BB5DA5"/>
    <w:rsid w:val="00BB7405"/>
    <w:rsid w:val="00BB7C5E"/>
    <w:rsid w:val="00BB7EC3"/>
    <w:rsid w:val="00BC19EA"/>
    <w:rsid w:val="00BC2FF8"/>
    <w:rsid w:val="00BC4630"/>
    <w:rsid w:val="00BD04F9"/>
    <w:rsid w:val="00BD6CF3"/>
    <w:rsid w:val="00BE01A1"/>
    <w:rsid w:val="00BE0792"/>
    <w:rsid w:val="00BE2180"/>
    <w:rsid w:val="00BE4275"/>
    <w:rsid w:val="00BE5729"/>
    <w:rsid w:val="00BF0357"/>
    <w:rsid w:val="00BF2433"/>
    <w:rsid w:val="00BF29BF"/>
    <w:rsid w:val="00BF37D1"/>
    <w:rsid w:val="00BF4297"/>
    <w:rsid w:val="00BF4CEB"/>
    <w:rsid w:val="00BF61C9"/>
    <w:rsid w:val="00BF6E8F"/>
    <w:rsid w:val="00BF7172"/>
    <w:rsid w:val="00BF750A"/>
    <w:rsid w:val="00BF7E3C"/>
    <w:rsid w:val="00C01C86"/>
    <w:rsid w:val="00C01F44"/>
    <w:rsid w:val="00C0299A"/>
    <w:rsid w:val="00C03890"/>
    <w:rsid w:val="00C05D12"/>
    <w:rsid w:val="00C119A6"/>
    <w:rsid w:val="00C123D8"/>
    <w:rsid w:val="00C12C26"/>
    <w:rsid w:val="00C133B5"/>
    <w:rsid w:val="00C14503"/>
    <w:rsid w:val="00C14600"/>
    <w:rsid w:val="00C14BE2"/>
    <w:rsid w:val="00C14DB9"/>
    <w:rsid w:val="00C1523C"/>
    <w:rsid w:val="00C1738E"/>
    <w:rsid w:val="00C1765F"/>
    <w:rsid w:val="00C246E4"/>
    <w:rsid w:val="00C25418"/>
    <w:rsid w:val="00C25D9C"/>
    <w:rsid w:val="00C26C1F"/>
    <w:rsid w:val="00C306D2"/>
    <w:rsid w:val="00C308D9"/>
    <w:rsid w:val="00C30B9D"/>
    <w:rsid w:val="00C31649"/>
    <w:rsid w:val="00C31B96"/>
    <w:rsid w:val="00C33D25"/>
    <w:rsid w:val="00C33E07"/>
    <w:rsid w:val="00C346DC"/>
    <w:rsid w:val="00C34749"/>
    <w:rsid w:val="00C34A34"/>
    <w:rsid w:val="00C376AE"/>
    <w:rsid w:val="00C401B3"/>
    <w:rsid w:val="00C40385"/>
    <w:rsid w:val="00C4123E"/>
    <w:rsid w:val="00C42049"/>
    <w:rsid w:val="00C438CD"/>
    <w:rsid w:val="00C45E79"/>
    <w:rsid w:val="00C505B0"/>
    <w:rsid w:val="00C50A27"/>
    <w:rsid w:val="00C50EA4"/>
    <w:rsid w:val="00C51B4E"/>
    <w:rsid w:val="00C54393"/>
    <w:rsid w:val="00C56464"/>
    <w:rsid w:val="00C56A94"/>
    <w:rsid w:val="00C57523"/>
    <w:rsid w:val="00C576A8"/>
    <w:rsid w:val="00C57813"/>
    <w:rsid w:val="00C579AB"/>
    <w:rsid w:val="00C60724"/>
    <w:rsid w:val="00C61383"/>
    <w:rsid w:val="00C65576"/>
    <w:rsid w:val="00C66165"/>
    <w:rsid w:val="00C66B17"/>
    <w:rsid w:val="00C674C3"/>
    <w:rsid w:val="00C709FA"/>
    <w:rsid w:val="00C70E78"/>
    <w:rsid w:val="00C73A21"/>
    <w:rsid w:val="00C750C8"/>
    <w:rsid w:val="00C77E66"/>
    <w:rsid w:val="00C81DA6"/>
    <w:rsid w:val="00C8213F"/>
    <w:rsid w:val="00C82E8F"/>
    <w:rsid w:val="00C86005"/>
    <w:rsid w:val="00C860BA"/>
    <w:rsid w:val="00C87016"/>
    <w:rsid w:val="00C8797A"/>
    <w:rsid w:val="00C900ED"/>
    <w:rsid w:val="00C904B1"/>
    <w:rsid w:val="00C938CF"/>
    <w:rsid w:val="00C938DC"/>
    <w:rsid w:val="00C951C7"/>
    <w:rsid w:val="00C96746"/>
    <w:rsid w:val="00CA0D44"/>
    <w:rsid w:val="00CA1767"/>
    <w:rsid w:val="00CA36C4"/>
    <w:rsid w:val="00CA50A5"/>
    <w:rsid w:val="00CA5245"/>
    <w:rsid w:val="00CA7B09"/>
    <w:rsid w:val="00CB03CD"/>
    <w:rsid w:val="00CB051D"/>
    <w:rsid w:val="00CB396F"/>
    <w:rsid w:val="00CB4DD7"/>
    <w:rsid w:val="00CB5127"/>
    <w:rsid w:val="00CB5935"/>
    <w:rsid w:val="00CB5B1A"/>
    <w:rsid w:val="00CB6A3F"/>
    <w:rsid w:val="00CC05CE"/>
    <w:rsid w:val="00CC05FE"/>
    <w:rsid w:val="00CC16E6"/>
    <w:rsid w:val="00CC637E"/>
    <w:rsid w:val="00CC7042"/>
    <w:rsid w:val="00CC7571"/>
    <w:rsid w:val="00CD10F4"/>
    <w:rsid w:val="00CD6ADC"/>
    <w:rsid w:val="00CD7A22"/>
    <w:rsid w:val="00CE0873"/>
    <w:rsid w:val="00CE3EB9"/>
    <w:rsid w:val="00CE5A36"/>
    <w:rsid w:val="00CE6274"/>
    <w:rsid w:val="00CF0B52"/>
    <w:rsid w:val="00CF1BCB"/>
    <w:rsid w:val="00CF456B"/>
    <w:rsid w:val="00CF5522"/>
    <w:rsid w:val="00CF5A22"/>
    <w:rsid w:val="00CF72D4"/>
    <w:rsid w:val="00CF768A"/>
    <w:rsid w:val="00D00D6F"/>
    <w:rsid w:val="00D01006"/>
    <w:rsid w:val="00D01BF7"/>
    <w:rsid w:val="00D0239C"/>
    <w:rsid w:val="00D0262E"/>
    <w:rsid w:val="00D0406C"/>
    <w:rsid w:val="00D04F2F"/>
    <w:rsid w:val="00D058F0"/>
    <w:rsid w:val="00D110BD"/>
    <w:rsid w:val="00D112A8"/>
    <w:rsid w:val="00D1214B"/>
    <w:rsid w:val="00D13A3E"/>
    <w:rsid w:val="00D14B22"/>
    <w:rsid w:val="00D17D6C"/>
    <w:rsid w:val="00D244A7"/>
    <w:rsid w:val="00D25A74"/>
    <w:rsid w:val="00D25B13"/>
    <w:rsid w:val="00D31B38"/>
    <w:rsid w:val="00D354C4"/>
    <w:rsid w:val="00D357FF"/>
    <w:rsid w:val="00D40B12"/>
    <w:rsid w:val="00D425C3"/>
    <w:rsid w:val="00D4484B"/>
    <w:rsid w:val="00D45401"/>
    <w:rsid w:val="00D46733"/>
    <w:rsid w:val="00D46C4A"/>
    <w:rsid w:val="00D532F6"/>
    <w:rsid w:val="00D5611C"/>
    <w:rsid w:val="00D56DEC"/>
    <w:rsid w:val="00D56E64"/>
    <w:rsid w:val="00D601AD"/>
    <w:rsid w:val="00D60972"/>
    <w:rsid w:val="00D61EDB"/>
    <w:rsid w:val="00D642E7"/>
    <w:rsid w:val="00D66CE7"/>
    <w:rsid w:val="00D677F4"/>
    <w:rsid w:val="00D702AA"/>
    <w:rsid w:val="00D72F15"/>
    <w:rsid w:val="00D76A44"/>
    <w:rsid w:val="00D773D8"/>
    <w:rsid w:val="00D80F70"/>
    <w:rsid w:val="00D82E5A"/>
    <w:rsid w:val="00D83140"/>
    <w:rsid w:val="00D84AF0"/>
    <w:rsid w:val="00D87ED6"/>
    <w:rsid w:val="00D93753"/>
    <w:rsid w:val="00D97711"/>
    <w:rsid w:val="00D97921"/>
    <w:rsid w:val="00DA0F94"/>
    <w:rsid w:val="00DA3D82"/>
    <w:rsid w:val="00DA40AC"/>
    <w:rsid w:val="00DA461F"/>
    <w:rsid w:val="00DA58A0"/>
    <w:rsid w:val="00DA5CF8"/>
    <w:rsid w:val="00DA77A5"/>
    <w:rsid w:val="00DC04D2"/>
    <w:rsid w:val="00DC3EC8"/>
    <w:rsid w:val="00DC5501"/>
    <w:rsid w:val="00DC7C61"/>
    <w:rsid w:val="00DC7C7D"/>
    <w:rsid w:val="00DD3B17"/>
    <w:rsid w:val="00DD3F28"/>
    <w:rsid w:val="00DD4537"/>
    <w:rsid w:val="00DD4E15"/>
    <w:rsid w:val="00DD6244"/>
    <w:rsid w:val="00DD70DB"/>
    <w:rsid w:val="00DE1384"/>
    <w:rsid w:val="00DE172A"/>
    <w:rsid w:val="00DE3F24"/>
    <w:rsid w:val="00DE4FCB"/>
    <w:rsid w:val="00DE59E7"/>
    <w:rsid w:val="00DE730F"/>
    <w:rsid w:val="00DF0D1C"/>
    <w:rsid w:val="00DF217D"/>
    <w:rsid w:val="00DF2A83"/>
    <w:rsid w:val="00DF431D"/>
    <w:rsid w:val="00DF4E50"/>
    <w:rsid w:val="00DF5D2B"/>
    <w:rsid w:val="00E0084F"/>
    <w:rsid w:val="00E02E77"/>
    <w:rsid w:val="00E04884"/>
    <w:rsid w:val="00E04935"/>
    <w:rsid w:val="00E04EB9"/>
    <w:rsid w:val="00E07285"/>
    <w:rsid w:val="00E10149"/>
    <w:rsid w:val="00E108D1"/>
    <w:rsid w:val="00E108D9"/>
    <w:rsid w:val="00E117E5"/>
    <w:rsid w:val="00E13C04"/>
    <w:rsid w:val="00E15438"/>
    <w:rsid w:val="00E16372"/>
    <w:rsid w:val="00E17FA8"/>
    <w:rsid w:val="00E20ED6"/>
    <w:rsid w:val="00E20EF3"/>
    <w:rsid w:val="00E21358"/>
    <w:rsid w:val="00E221F6"/>
    <w:rsid w:val="00E2249B"/>
    <w:rsid w:val="00E22A0D"/>
    <w:rsid w:val="00E24431"/>
    <w:rsid w:val="00E26C64"/>
    <w:rsid w:val="00E26DBB"/>
    <w:rsid w:val="00E270B6"/>
    <w:rsid w:val="00E2771E"/>
    <w:rsid w:val="00E3098B"/>
    <w:rsid w:val="00E30A9D"/>
    <w:rsid w:val="00E326C3"/>
    <w:rsid w:val="00E32D34"/>
    <w:rsid w:val="00E33167"/>
    <w:rsid w:val="00E35B36"/>
    <w:rsid w:val="00E35C82"/>
    <w:rsid w:val="00E35EC1"/>
    <w:rsid w:val="00E370E8"/>
    <w:rsid w:val="00E37569"/>
    <w:rsid w:val="00E37ACD"/>
    <w:rsid w:val="00E41E30"/>
    <w:rsid w:val="00E42139"/>
    <w:rsid w:val="00E43D70"/>
    <w:rsid w:val="00E44D6D"/>
    <w:rsid w:val="00E45A95"/>
    <w:rsid w:val="00E47B2C"/>
    <w:rsid w:val="00E50E47"/>
    <w:rsid w:val="00E51560"/>
    <w:rsid w:val="00E52422"/>
    <w:rsid w:val="00E5511F"/>
    <w:rsid w:val="00E55424"/>
    <w:rsid w:val="00E55BB5"/>
    <w:rsid w:val="00E62811"/>
    <w:rsid w:val="00E65E79"/>
    <w:rsid w:val="00E66E3C"/>
    <w:rsid w:val="00E67416"/>
    <w:rsid w:val="00E70B5B"/>
    <w:rsid w:val="00E718B6"/>
    <w:rsid w:val="00E71D51"/>
    <w:rsid w:val="00E73581"/>
    <w:rsid w:val="00E74C88"/>
    <w:rsid w:val="00E80676"/>
    <w:rsid w:val="00E80AD2"/>
    <w:rsid w:val="00E82A0F"/>
    <w:rsid w:val="00E83BDF"/>
    <w:rsid w:val="00E84450"/>
    <w:rsid w:val="00E85562"/>
    <w:rsid w:val="00E868A3"/>
    <w:rsid w:val="00E918EC"/>
    <w:rsid w:val="00E933A8"/>
    <w:rsid w:val="00E95587"/>
    <w:rsid w:val="00E964C9"/>
    <w:rsid w:val="00EA238D"/>
    <w:rsid w:val="00EA25E9"/>
    <w:rsid w:val="00EA28FC"/>
    <w:rsid w:val="00EA3864"/>
    <w:rsid w:val="00EA67E9"/>
    <w:rsid w:val="00EA7140"/>
    <w:rsid w:val="00EA76AF"/>
    <w:rsid w:val="00EB0089"/>
    <w:rsid w:val="00EB15B6"/>
    <w:rsid w:val="00EB20B3"/>
    <w:rsid w:val="00EB4916"/>
    <w:rsid w:val="00EB6607"/>
    <w:rsid w:val="00EB78ED"/>
    <w:rsid w:val="00EC00C9"/>
    <w:rsid w:val="00EC244B"/>
    <w:rsid w:val="00EC31EC"/>
    <w:rsid w:val="00EC3DBD"/>
    <w:rsid w:val="00EC5F82"/>
    <w:rsid w:val="00EC7A33"/>
    <w:rsid w:val="00EC7BD2"/>
    <w:rsid w:val="00ED0A3A"/>
    <w:rsid w:val="00ED2A18"/>
    <w:rsid w:val="00ED3869"/>
    <w:rsid w:val="00EE07D3"/>
    <w:rsid w:val="00EE445D"/>
    <w:rsid w:val="00EE78E7"/>
    <w:rsid w:val="00EE7BD2"/>
    <w:rsid w:val="00EE7DE3"/>
    <w:rsid w:val="00EF2E4A"/>
    <w:rsid w:val="00EF3837"/>
    <w:rsid w:val="00EF38A4"/>
    <w:rsid w:val="00EF4721"/>
    <w:rsid w:val="00F00725"/>
    <w:rsid w:val="00F012B1"/>
    <w:rsid w:val="00F02BFE"/>
    <w:rsid w:val="00F04494"/>
    <w:rsid w:val="00F049FD"/>
    <w:rsid w:val="00F058D0"/>
    <w:rsid w:val="00F05DC4"/>
    <w:rsid w:val="00F06248"/>
    <w:rsid w:val="00F067A2"/>
    <w:rsid w:val="00F0694D"/>
    <w:rsid w:val="00F0741D"/>
    <w:rsid w:val="00F1360F"/>
    <w:rsid w:val="00F13BA4"/>
    <w:rsid w:val="00F153F8"/>
    <w:rsid w:val="00F24837"/>
    <w:rsid w:val="00F24C60"/>
    <w:rsid w:val="00F25443"/>
    <w:rsid w:val="00F2575F"/>
    <w:rsid w:val="00F2596E"/>
    <w:rsid w:val="00F27368"/>
    <w:rsid w:val="00F27F32"/>
    <w:rsid w:val="00F304DE"/>
    <w:rsid w:val="00F30EBD"/>
    <w:rsid w:val="00F31E6E"/>
    <w:rsid w:val="00F32846"/>
    <w:rsid w:val="00F3293C"/>
    <w:rsid w:val="00F32D9C"/>
    <w:rsid w:val="00F3356D"/>
    <w:rsid w:val="00F33DE9"/>
    <w:rsid w:val="00F34347"/>
    <w:rsid w:val="00F3619A"/>
    <w:rsid w:val="00F365BB"/>
    <w:rsid w:val="00F3743A"/>
    <w:rsid w:val="00F40A2E"/>
    <w:rsid w:val="00F42CB3"/>
    <w:rsid w:val="00F42E3D"/>
    <w:rsid w:val="00F4354B"/>
    <w:rsid w:val="00F44DC4"/>
    <w:rsid w:val="00F46CB6"/>
    <w:rsid w:val="00F528AA"/>
    <w:rsid w:val="00F55E73"/>
    <w:rsid w:val="00F576C1"/>
    <w:rsid w:val="00F60092"/>
    <w:rsid w:val="00F63317"/>
    <w:rsid w:val="00F63630"/>
    <w:rsid w:val="00F636EB"/>
    <w:rsid w:val="00F66372"/>
    <w:rsid w:val="00F663B0"/>
    <w:rsid w:val="00F7297D"/>
    <w:rsid w:val="00F7494C"/>
    <w:rsid w:val="00F80E5D"/>
    <w:rsid w:val="00F8154E"/>
    <w:rsid w:val="00F81CDC"/>
    <w:rsid w:val="00F83418"/>
    <w:rsid w:val="00F834FE"/>
    <w:rsid w:val="00F83C5D"/>
    <w:rsid w:val="00F83E68"/>
    <w:rsid w:val="00F850DD"/>
    <w:rsid w:val="00F851CE"/>
    <w:rsid w:val="00F85388"/>
    <w:rsid w:val="00F91FEB"/>
    <w:rsid w:val="00F93200"/>
    <w:rsid w:val="00F93A7B"/>
    <w:rsid w:val="00F94A09"/>
    <w:rsid w:val="00F94C7A"/>
    <w:rsid w:val="00F951F7"/>
    <w:rsid w:val="00F9622F"/>
    <w:rsid w:val="00F9793A"/>
    <w:rsid w:val="00F97A78"/>
    <w:rsid w:val="00FA231F"/>
    <w:rsid w:val="00FA24E7"/>
    <w:rsid w:val="00FA5DE9"/>
    <w:rsid w:val="00FA60BB"/>
    <w:rsid w:val="00FB016D"/>
    <w:rsid w:val="00FB05AD"/>
    <w:rsid w:val="00FB16D8"/>
    <w:rsid w:val="00FB1880"/>
    <w:rsid w:val="00FB2FCB"/>
    <w:rsid w:val="00FB39C2"/>
    <w:rsid w:val="00FB4ED3"/>
    <w:rsid w:val="00FB5512"/>
    <w:rsid w:val="00FC04BD"/>
    <w:rsid w:val="00FC1074"/>
    <w:rsid w:val="00FC14A6"/>
    <w:rsid w:val="00FC1884"/>
    <w:rsid w:val="00FC3819"/>
    <w:rsid w:val="00FC4CD9"/>
    <w:rsid w:val="00FC55BF"/>
    <w:rsid w:val="00FC5F49"/>
    <w:rsid w:val="00FC7F5A"/>
    <w:rsid w:val="00FD16D9"/>
    <w:rsid w:val="00FD2100"/>
    <w:rsid w:val="00FD247C"/>
    <w:rsid w:val="00FD3DC3"/>
    <w:rsid w:val="00FD446D"/>
    <w:rsid w:val="00FD6142"/>
    <w:rsid w:val="00FD6FFC"/>
    <w:rsid w:val="00FD74ED"/>
    <w:rsid w:val="00FE22A8"/>
    <w:rsid w:val="00FE3510"/>
    <w:rsid w:val="00FF3DCF"/>
    <w:rsid w:val="00FF5AA3"/>
    <w:rsid w:val="00FF76A0"/>
    <w:rsid w:val="00FF7FF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124A51"/>
    <w:pPr>
      <w:widowControl w:val="0"/>
      <w:jc w:val="both"/>
    </w:pPr>
    <w:rPr>
      <w:rFonts w:ascii="Arial" w:hAnsi="Arial" w:cs="Arial"/>
      <w:szCs w:val="20"/>
      <w:lang w:eastAsia="en-US"/>
    </w:rPr>
  </w:style>
  <w:style w:type="paragraph" w:styleId="Heading1">
    <w:name w:val="heading 1"/>
    <w:basedOn w:val="Normal"/>
    <w:next w:val="Normal"/>
    <w:link w:val="Heading1Char"/>
    <w:uiPriority w:val="99"/>
    <w:qFormat/>
    <w:rsid w:val="00D76A44"/>
    <w:pPr>
      <w:ind w:left="720" w:hanging="720"/>
      <w:outlineLvl w:val="0"/>
    </w:pPr>
    <w:rPr>
      <w:rFonts w:ascii="Arial Bold" w:hAnsi="Arial Bold"/>
      <w:b/>
      <w:caps/>
    </w:rPr>
  </w:style>
  <w:style w:type="paragraph" w:styleId="Heading2">
    <w:name w:val="heading 2"/>
    <w:basedOn w:val="Normal"/>
    <w:next w:val="Normal"/>
    <w:link w:val="Heading2Char"/>
    <w:uiPriority w:val="99"/>
    <w:qFormat/>
    <w:rsid w:val="004B3DDB"/>
    <w:pPr>
      <w:outlineLvl w:val="1"/>
    </w:pPr>
    <w:rPr>
      <w:rFonts w:cs="Times New Roman"/>
      <w:b/>
    </w:rPr>
  </w:style>
  <w:style w:type="paragraph" w:styleId="Heading3">
    <w:name w:val="heading 3"/>
    <w:basedOn w:val="Normal"/>
    <w:next w:val="Normal"/>
    <w:link w:val="Heading3Char"/>
    <w:uiPriority w:val="99"/>
    <w:qFormat/>
    <w:rsid w:val="001F7361"/>
    <w:pPr>
      <w:outlineLvl w:val="2"/>
    </w:pPr>
    <w:rPr>
      <w:u w:val="single"/>
    </w:rPr>
  </w:style>
  <w:style w:type="paragraph" w:styleId="Heading4">
    <w:name w:val="heading 4"/>
    <w:basedOn w:val="Normal"/>
    <w:next w:val="Normal"/>
    <w:link w:val="Heading4Char"/>
    <w:uiPriority w:val="9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9"/>
    <w:qFormat/>
    <w:rsid w:val="00124A51"/>
    <w:pPr>
      <w:spacing w:before="240" w:after="60"/>
      <w:outlineLvl w:val="4"/>
    </w:pPr>
    <w:rPr>
      <w:b/>
      <w:bCs/>
      <w:iCs/>
      <w:sz w:val="26"/>
      <w:szCs w:val="26"/>
    </w:rPr>
  </w:style>
  <w:style w:type="paragraph" w:styleId="Heading6">
    <w:name w:val="heading 6"/>
    <w:basedOn w:val="Normal"/>
    <w:next w:val="Normal"/>
    <w:link w:val="Heading6Char"/>
    <w:uiPriority w:val="99"/>
    <w:qFormat/>
    <w:rsid w:val="00124A51"/>
    <w:pPr>
      <w:spacing w:before="240" w:after="60"/>
      <w:outlineLvl w:val="5"/>
    </w:pPr>
    <w:rPr>
      <w:b/>
      <w:bCs/>
      <w:i/>
      <w:szCs w:val="22"/>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8E2"/>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locked/>
    <w:rsid w:val="004B3DDB"/>
    <w:rPr>
      <w:rFonts w:ascii="Arial" w:hAnsi="Arial"/>
      <w:b/>
      <w:snapToGrid w:val="0"/>
      <w:sz w:val="22"/>
      <w:lang w:eastAsia="en-US"/>
    </w:rPr>
  </w:style>
  <w:style w:type="character" w:customStyle="1" w:styleId="Heading3Char">
    <w:name w:val="Heading 3 Char"/>
    <w:basedOn w:val="DefaultParagraphFont"/>
    <w:link w:val="Heading3"/>
    <w:uiPriority w:val="9"/>
    <w:semiHidden/>
    <w:rsid w:val="004728E2"/>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4728E2"/>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4728E2"/>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4728E2"/>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9"/>
    <w:locked/>
    <w:rsid w:val="00124A51"/>
    <w:rPr>
      <w:rFonts w:ascii="Arial" w:hAnsi="Arial" w:cs="Times New Roman"/>
      <w:b/>
      <w:snapToGrid w:val="0"/>
      <w:lang w:eastAsia="en-US"/>
    </w:rPr>
  </w:style>
  <w:style w:type="character" w:customStyle="1" w:styleId="Heading8Char">
    <w:name w:val="Heading 8 Char"/>
    <w:basedOn w:val="DefaultParagraphFont"/>
    <w:link w:val="Heading8"/>
    <w:uiPriority w:val="99"/>
    <w:locked/>
    <w:rsid w:val="00124A51"/>
    <w:rPr>
      <w:rFonts w:cs="Times New Roman"/>
      <w:b/>
      <w:snapToGrid w:val="0"/>
      <w:sz w:val="24"/>
      <w:lang w:eastAsia="en-US"/>
    </w:rPr>
  </w:style>
  <w:style w:type="character" w:customStyle="1" w:styleId="Heading9Char">
    <w:name w:val="Heading 9 Char"/>
    <w:basedOn w:val="DefaultParagraphFont"/>
    <w:link w:val="Heading9"/>
    <w:uiPriority w:val="99"/>
    <w:locked/>
    <w:rsid w:val="00124A51"/>
    <w:rPr>
      <w:rFonts w:ascii="Arial" w:hAnsi="Arial" w:cs="Times New Roman"/>
      <w:b/>
      <w:snapToGrid w:val="0"/>
      <w:color w:val="000000"/>
      <w:lang w:eastAsia="en-US"/>
    </w:rPr>
  </w:style>
  <w:style w:type="paragraph" w:customStyle="1" w:styleId="TableFooter">
    <w:name w:val="Table Footer"/>
    <w:basedOn w:val="Normal"/>
    <w:uiPriority w:val="99"/>
    <w:rsid w:val="00E2771E"/>
    <w:rPr>
      <w:rFonts w:ascii="Arial Narrow" w:hAnsi="Arial Narrow"/>
      <w:sz w:val="18"/>
    </w:rPr>
  </w:style>
  <w:style w:type="paragraph" w:customStyle="1" w:styleId="TableHeader">
    <w:name w:val="Table Header"/>
    <w:basedOn w:val="Normal"/>
    <w:uiPriority w:val="99"/>
    <w:rsid w:val="000D1BFC"/>
    <w:rPr>
      <w:b/>
      <w:sz w:val="20"/>
    </w:rPr>
  </w:style>
  <w:style w:type="paragraph" w:styleId="Caption">
    <w:name w:val="caption"/>
    <w:basedOn w:val="Normal"/>
    <w:next w:val="Normal"/>
    <w:link w:val="CaptionChar"/>
    <w:uiPriority w:val="99"/>
    <w:qFormat/>
    <w:rsid w:val="00124A51"/>
    <w:pPr>
      <w:spacing w:after="200"/>
    </w:pPr>
    <w:rPr>
      <w:rFonts w:ascii="Times New Roman" w:hAnsi="Times New Roman" w:cs="Times New Roman"/>
      <w:b/>
      <w:bCs/>
      <w:color w:val="4F81BD"/>
      <w:sz w:val="18"/>
      <w:szCs w:val="18"/>
    </w:rPr>
  </w:style>
  <w:style w:type="character" w:customStyle="1" w:styleId="CaptionChar">
    <w:name w:val="Caption Char"/>
    <w:link w:val="Caption"/>
    <w:uiPriority w:val="99"/>
    <w:locked/>
    <w:rsid w:val="00124A51"/>
    <w:rPr>
      <w:b/>
      <w:snapToGrid w:val="0"/>
      <w:color w:val="4F81BD"/>
      <w:sz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124A51"/>
    <w:rPr>
      <w:rFonts w:ascii="Cambria" w:hAnsi="Cambria" w:cs="Times New Roman"/>
      <w:b/>
      <w:bCs/>
      <w:snapToGrid w:val="0"/>
      <w:kern w:val="28"/>
      <w:sz w:val="32"/>
      <w:szCs w:val="32"/>
      <w:lang w:eastAsia="en-US"/>
    </w:rPr>
  </w:style>
  <w:style w:type="paragraph" w:styleId="BodyText">
    <w:name w:val="Body Text"/>
    <w:basedOn w:val="Normal"/>
    <w:link w:val="BodyTextChar"/>
    <w:uiPriority w:val="99"/>
    <w:rsid w:val="004B3DDB"/>
    <w:pPr>
      <w:jc w:val="left"/>
    </w:pPr>
  </w:style>
  <w:style w:type="character" w:customStyle="1" w:styleId="BodyTextChar">
    <w:name w:val="Body Text Char"/>
    <w:basedOn w:val="DefaultParagraphFont"/>
    <w:link w:val="BodyText"/>
    <w:uiPriority w:val="99"/>
    <w:locked/>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uiPriority w:val="99"/>
    <w:rsid w:val="00124A51"/>
    <w:rPr>
      <w:b/>
    </w:rPr>
  </w:style>
  <w:style w:type="paragraph" w:styleId="NoSpacing">
    <w:name w:val="No Spacing"/>
    <w:uiPriority w:val="99"/>
    <w:qFormat/>
    <w:rsid w:val="00124A51"/>
    <w:pPr>
      <w:widowControl w:val="0"/>
      <w:jc w:val="both"/>
    </w:pPr>
    <w:rPr>
      <w:rFonts w:ascii="Arial" w:hAnsi="Arial" w:cs="Arial"/>
      <w:szCs w:val="20"/>
      <w:lang w:eastAsia="en-US"/>
    </w:rPr>
  </w:style>
  <w:style w:type="character" w:customStyle="1" w:styleId="RegularTextChar">
    <w:name w:val="Regular Text Char"/>
    <w:basedOn w:val="BodyTextChar"/>
    <w:link w:val="RegularText"/>
    <w:uiPriority w:val="99"/>
    <w:locked/>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locked/>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locked/>
    <w:rsid w:val="00124A51"/>
    <w:rPr>
      <w:rFonts w:ascii="Arial" w:hAnsi="Arial" w:cs="Arial"/>
      <w:snapToGrid w:val="0"/>
      <w:sz w:val="22"/>
      <w:lang w:eastAsia="en-US"/>
    </w:rPr>
  </w:style>
  <w:style w:type="table" w:styleId="TableGrid">
    <w:name w:val="Table Grid"/>
    <w:aliases w:val="Summary box"/>
    <w:basedOn w:val="TableNormal"/>
    <w:uiPriority w:val="99"/>
    <w:rsid w:val="004B3DD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basedOn w:val="DefaultParagraphFont"/>
    <w:uiPriority w:val="99"/>
    <w:rsid w:val="00E2771E"/>
    <w:rPr>
      <w:rFonts w:ascii="Arial Narrow" w:hAnsi="Arial Narrow" w:cs="Times New Roman"/>
      <w:b/>
      <w:sz w:val="16"/>
    </w:rPr>
  </w:style>
  <w:style w:type="paragraph" w:customStyle="1" w:styleId="Tabletext">
    <w:name w:val="Table text"/>
    <w:basedOn w:val="Normal"/>
    <w:link w:val="TabletextChar"/>
    <w:uiPriority w:val="99"/>
    <w:rsid w:val="00A56B6A"/>
    <w:pPr>
      <w:widowControl/>
      <w:spacing w:after="120"/>
      <w:jc w:val="left"/>
    </w:pPr>
    <w:rPr>
      <w:rFonts w:cs="Times New Roman"/>
      <w:sz w:val="20"/>
    </w:rPr>
  </w:style>
  <w:style w:type="paragraph" w:customStyle="1" w:styleId="TableHeading">
    <w:name w:val="TableHeading"/>
    <w:basedOn w:val="Normal"/>
    <w:uiPriority w:val="99"/>
    <w:rsid w:val="00A56B6A"/>
    <w:pPr>
      <w:keepNext/>
      <w:widowControl/>
      <w:spacing w:before="40" w:after="40"/>
      <w:jc w:val="left"/>
    </w:pPr>
    <w:rPr>
      <w:rFonts w:ascii="Arial Narrow" w:hAnsi="Arial Narrow" w:cs="Arial Narrow"/>
      <w:b/>
      <w:bCs/>
      <w:sz w:val="20"/>
    </w:rPr>
  </w:style>
  <w:style w:type="character" w:customStyle="1" w:styleId="TabletextChar">
    <w:name w:val="Table text Char"/>
    <w:link w:val="Tabletext"/>
    <w:uiPriority w:val="99"/>
    <w:locked/>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z w:val="24"/>
      <w:lang w:val="en-GB"/>
    </w:rPr>
  </w:style>
  <w:style w:type="paragraph" w:styleId="TOC2">
    <w:name w:val="toc 2"/>
    <w:basedOn w:val="Normal"/>
    <w:next w:val="Normal"/>
    <w:autoRedefine/>
    <w:uiPriority w:val="9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99"/>
    <w:rsid w:val="00D0262E"/>
    <w:pPr>
      <w:spacing w:before="240" w:after="120"/>
      <w:jc w:val="left"/>
    </w:pPr>
    <w:rPr>
      <w:bCs/>
      <w:sz w:val="20"/>
    </w:rPr>
  </w:style>
  <w:style w:type="character" w:styleId="Hyperlink">
    <w:name w:val="Hyperlink"/>
    <w:basedOn w:val="DefaultParagraphFont"/>
    <w:uiPriority w:val="99"/>
    <w:rsid w:val="00621477"/>
    <w:rPr>
      <w:rFonts w:cs="Times New Roman"/>
      <w:color w:val="0000FF"/>
      <w:u w:val="single"/>
    </w:rPr>
  </w:style>
  <w:style w:type="paragraph" w:styleId="TOCHeading">
    <w:name w:val="TOC Heading"/>
    <w:basedOn w:val="Heading1"/>
    <w:next w:val="Normal"/>
    <w:uiPriority w:val="99"/>
    <w:qFormat/>
    <w:rsid w:val="00CE6274"/>
    <w:pPr>
      <w:keepNext/>
      <w:keepLines/>
      <w:widowControl/>
      <w:spacing w:before="480" w:line="276" w:lineRule="auto"/>
      <w:ind w:left="0" w:firstLine="0"/>
      <w:jc w:val="left"/>
      <w:outlineLvl w:val="9"/>
    </w:pPr>
    <w:rPr>
      <w:rFonts w:ascii="Cambria" w:eastAsia="MS Gothic" w:hAnsi="Cambria" w:cs="Times New Roman"/>
      <w:bCs/>
      <w:color w:val="365F91"/>
      <w:sz w:val="28"/>
      <w:szCs w:val="28"/>
      <w:lang w:val="en-US" w:eastAsia="ja-JP"/>
    </w:rPr>
  </w:style>
  <w:style w:type="paragraph" w:styleId="TOC3">
    <w:name w:val="toc 3"/>
    <w:basedOn w:val="Normal"/>
    <w:next w:val="Normal"/>
    <w:autoRedefine/>
    <w:uiPriority w:val="99"/>
    <w:rsid w:val="00CE6274"/>
    <w:pPr>
      <w:ind w:left="440"/>
      <w:jc w:val="left"/>
    </w:pPr>
    <w:rPr>
      <w:rFonts w:ascii="Calibri" w:hAnsi="Calibr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locked/>
    <w:rsid w:val="00CE6274"/>
    <w:rPr>
      <w:rFonts w:ascii="Tahoma" w:hAnsi="Tahoma" w:cs="Tahoma"/>
      <w:snapToGrid w:val="0"/>
      <w:sz w:val="16"/>
      <w:szCs w:val="16"/>
      <w:lang w:eastAsia="en-US"/>
    </w:rPr>
  </w:style>
  <w:style w:type="paragraph" w:styleId="BodyText3">
    <w:name w:val="Body Text 3"/>
    <w:basedOn w:val="Normal"/>
    <w:link w:val="BodyText3Char"/>
    <w:uiPriority w:val="99"/>
    <w:rsid w:val="00CE6274"/>
    <w:pPr>
      <w:spacing w:after="120"/>
    </w:pPr>
    <w:rPr>
      <w:sz w:val="16"/>
      <w:szCs w:val="16"/>
    </w:rPr>
  </w:style>
  <w:style w:type="character" w:customStyle="1" w:styleId="BodyText3Char">
    <w:name w:val="Body Text 3 Char"/>
    <w:basedOn w:val="DefaultParagraphFont"/>
    <w:link w:val="BodyText3"/>
    <w:uiPriority w:val="99"/>
    <w:locked/>
    <w:rsid w:val="00CE6274"/>
    <w:rPr>
      <w:rFonts w:ascii="Arial" w:hAnsi="Arial" w:cs="Arial"/>
      <w:snapToGrid w:val="0"/>
      <w:sz w:val="16"/>
      <w:szCs w:val="16"/>
      <w:lang w:eastAsia="en-US"/>
    </w:rPr>
  </w:style>
  <w:style w:type="paragraph" w:styleId="TOC4">
    <w:name w:val="toc 4"/>
    <w:basedOn w:val="Normal"/>
    <w:next w:val="Normal"/>
    <w:autoRedefine/>
    <w:uiPriority w:val="99"/>
    <w:rsid w:val="00D0262E"/>
    <w:pPr>
      <w:ind w:left="660"/>
      <w:jc w:val="left"/>
    </w:pPr>
    <w:rPr>
      <w:rFonts w:ascii="Calibri" w:hAnsi="Calibri"/>
      <w:sz w:val="20"/>
    </w:rPr>
  </w:style>
  <w:style w:type="paragraph" w:styleId="TOC5">
    <w:name w:val="toc 5"/>
    <w:basedOn w:val="Normal"/>
    <w:next w:val="Normal"/>
    <w:autoRedefine/>
    <w:uiPriority w:val="99"/>
    <w:rsid w:val="00D0262E"/>
    <w:pPr>
      <w:ind w:left="880"/>
      <w:jc w:val="left"/>
    </w:pPr>
    <w:rPr>
      <w:rFonts w:ascii="Calibri" w:hAnsi="Calibri"/>
      <w:sz w:val="20"/>
    </w:rPr>
  </w:style>
  <w:style w:type="paragraph" w:styleId="TOC6">
    <w:name w:val="toc 6"/>
    <w:basedOn w:val="Normal"/>
    <w:next w:val="Normal"/>
    <w:autoRedefine/>
    <w:uiPriority w:val="99"/>
    <w:rsid w:val="00D0262E"/>
    <w:pPr>
      <w:ind w:left="1100"/>
      <w:jc w:val="left"/>
    </w:pPr>
    <w:rPr>
      <w:rFonts w:ascii="Calibri" w:hAnsi="Calibri"/>
      <w:sz w:val="20"/>
    </w:rPr>
  </w:style>
  <w:style w:type="paragraph" w:styleId="TOC7">
    <w:name w:val="toc 7"/>
    <w:basedOn w:val="Normal"/>
    <w:next w:val="Normal"/>
    <w:autoRedefine/>
    <w:uiPriority w:val="99"/>
    <w:rsid w:val="00D0262E"/>
    <w:pPr>
      <w:ind w:left="1320"/>
      <w:jc w:val="left"/>
    </w:pPr>
    <w:rPr>
      <w:rFonts w:ascii="Calibri" w:hAnsi="Calibri"/>
      <w:sz w:val="20"/>
    </w:rPr>
  </w:style>
  <w:style w:type="paragraph" w:styleId="TOC8">
    <w:name w:val="toc 8"/>
    <w:basedOn w:val="Normal"/>
    <w:next w:val="Normal"/>
    <w:autoRedefine/>
    <w:uiPriority w:val="99"/>
    <w:rsid w:val="00D0262E"/>
    <w:pPr>
      <w:ind w:left="1540"/>
      <w:jc w:val="left"/>
    </w:pPr>
    <w:rPr>
      <w:rFonts w:ascii="Calibri" w:hAnsi="Calibri"/>
      <w:sz w:val="20"/>
    </w:rPr>
  </w:style>
  <w:style w:type="paragraph" w:styleId="TOC9">
    <w:name w:val="toc 9"/>
    <w:basedOn w:val="Normal"/>
    <w:next w:val="Normal"/>
    <w:autoRedefine/>
    <w:uiPriority w:val="99"/>
    <w:rsid w:val="00D0262E"/>
    <w:pPr>
      <w:ind w:left="1760"/>
      <w:jc w:val="left"/>
    </w:pPr>
    <w:rPr>
      <w:rFonts w:ascii="Calibri" w:hAnsi="Calibri"/>
      <w:sz w:val="20"/>
    </w:rPr>
  </w:style>
  <w:style w:type="paragraph" w:styleId="BodyText2">
    <w:name w:val="Body Text 2"/>
    <w:basedOn w:val="Normal"/>
    <w:link w:val="BodyText2Char"/>
    <w:uiPriority w:val="99"/>
    <w:rsid w:val="00D17D6C"/>
    <w:pPr>
      <w:spacing w:after="120" w:line="480" w:lineRule="auto"/>
    </w:pPr>
  </w:style>
  <w:style w:type="character" w:customStyle="1" w:styleId="BodyText2Char">
    <w:name w:val="Body Text 2 Char"/>
    <w:basedOn w:val="DefaultParagraphFont"/>
    <w:link w:val="BodyText2"/>
    <w:uiPriority w:val="99"/>
    <w:locked/>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locked/>
    <w:rsid w:val="00FD2100"/>
    <w:rPr>
      <w:rFonts w:cs="Times New Roman"/>
      <w:snapToGrid w:val="0"/>
      <w:lang w:eastAsia="en-US"/>
    </w:rPr>
  </w:style>
  <w:style w:type="paragraph" w:customStyle="1" w:styleId="TableText0">
    <w:name w:val="TableText"/>
    <w:basedOn w:val="Normal"/>
    <w:uiPriority w:val="99"/>
    <w:rsid w:val="00CA7B09"/>
    <w:pPr>
      <w:keepNext/>
      <w:widowControl/>
      <w:spacing w:before="40" w:after="40"/>
      <w:jc w:val="left"/>
    </w:pPr>
    <w:rPr>
      <w:rFonts w:ascii="Arial Narrow" w:hAnsi="Arial Narrow" w:cs="Arial Narrow"/>
      <w:sz w:val="20"/>
    </w:rPr>
  </w:style>
  <w:style w:type="paragraph" w:customStyle="1" w:styleId="TableName">
    <w:name w:val="TableName"/>
    <w:basedOn w:val="Normal"/>
    <w:uiPriority w:val="99"/>
    <w:rsid w:val="00CA7B09"/>
    <w:pPr>
      <w:keepNext/>
      <w:widowControl/>
      <w:spacing w:before="120" w:after="120"/>
      <w:ind w:left="1800" w:hanging="1080"/>
      <w:jc w:val="left"/>
    </w:pPr>
    <w:rPr>
      <w:rFonts w:ascii="Arial Narrow" w:hAnsi="Arial Narrow" w:cs="Arial Narrow"/>
      <w:b/>
      <w:bCs/>
      <w:szCs w:val="22"/>
    </w:rPr>
  </w:style>
  <w:style w:type="paragraph" w:customStyle="1" w:styleId="TableNotes18">
    <w:name w:val="TableNotes+18"/>
    <w:basedOn w:val="TableText0"/>
    <w:uiPriority w:val="99"/>
    <w:rsid w:val="00CA7B09"/>
    <w:pPr>
      <w:keepNext w:val="0"/>
      <w:keepLines/>
      <w:spacing w:before="0" w:after="360"/>
      <w:ind w:left="720"/>
    </w:pPr>
    <w:rPr>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locked/>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zCs w:val="20"/>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locked/>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widowControl/>
      <w:spacing w:after="160" w:line="240" w:lineRule="exact"/>
      <w:jc w:val="left"/>
    </w:pPr>
    <w:rPr>
      <w:rFonts w:ascii="Verdana" w:eastAsia="MS Mincho" w:hAnsi="Verdana" w:cs="Verdana"/>
      <w:sz w:val="20"/>
      <w:lang w:val="en-US"/>
    </w:rPr>
  </w:style>
  <w:style w:type="character" w:customStyle="1" w:styleId="SubtitleChar">
    <w:name w:val="Subtitle Char"/>
    <w:link w:val="Subtitle"/>
    <w:uiPriority w:val="99"/>
    <w:locked/>
    <w:rsid w:val="00B50DB8"/>
    <w:rPr>
      <w:lang w:eastAsia="en-US"/>
    </w:rPr>
  </w:style>
  <w:style w:type="paragraph" w:styleId="Subtitle">
    <w:name w:val="Subtitle"/>
    <w:basedOn w:val="Normal"/>
    <w:link w:val="SubtitleChar"/>
    <w:uiPriority w:val="99"/>
    <w:qFormat/>
    <w:rsid w:val="00B50DB8"/>
    <w:pPr>
      <w:widowControl/>
    </w:pPr>
    <w:rPr>
      <w:rFonts w:ascii="Times New Roman" w:hAnsi="Times New Roman" w:cs="Times New Roman"/>
      <w:sz w:val="20"/>
    </w:rPr>
  </w:style>
  <w:style w:type="character" w:customStyle="1" w:styleId="SubtitleChar1">
    <w:name w:val="Subtitle Char1"/>
    <w:basedOn w:val="DefaultParagraphFont"/>
    <w:uiPriority w:val="99"/>
    <w:rsid w:val="00B50DB8"/>
    <w:rPr>
      <w:rFonts w:ascii="Cambria" w:eastAsia="MS Gothic" w:hAnsi="Cambria" w:cs="Times New Roman"/>
      <w:i/>
      <w:iCs/>
      <w:snapToGrid w:val="0"/>
      <w:color w:val="4F81BD"/>
      <w:spacing w:val="15"/>
      <w:sz w:val="24"/>
      <w:szCs w:val="24"/>
      <w:lang w:eastAsia="en-US"/>
    </w:rPr>
  </w:style>
  <w:style w:type="paragraph" w:customStyle="1" w:styleId="PBACHeading1">
    <w:name w:val="PBAC Heading 1"/>
    <w:uiPriority w:val="99"/>
    <w:rsid w:val="00BD6CF3"/>
    <w:pPr>
      <w:numPr>
        <w:numId w:val="3"/>
      </w:numPr>
    </w:pPr>
    <w:rPr>
      <w:rFonts w:ascii="Arial" w:hAnsi="Arial" w:cs="Arial"/>
      <w:b/>
      <w:lang w:eastAsia="en-US"/>
    </w:rPr>
  </w:style>
  <w:style w:type="paragraph" w:customStyle="1" w:styleId="Default">
    <w:name w:val="Default"/>
    <w:uiPriority w:val="99"/>
    <w:rsid w:val="00344E79"/>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rsid w:val="00591277"/>
    <w:rPr>
      <w:sz w:val="20"/>
    </w:rPr>
  </w:style>
  <w:style w:type="character" w:customStyle="1" w:styleId="FootnoteTextChar">
    <w:name w:val="Footnote Text Char"/>
    <w:basedOn w:val="DefaultParagraphFont"/>
    <w:link w:val="FootnoteText"/>
    <w:uiPriority w:val="99"/>
    <w:semiHidden/>
    <w:locked/>
    <w:rsid w:val="00591277"/>
    <w:rPr>
      <w:rFonts w:ascii="Arial" w:hAnsi="Arial" w:cs="Arial"/>
      <w:snapToGrid w:val="0"/>
      <w:lang w:eastAsia="en-US"/>
    </w:rPr>
  </w:style>
  <w:style w:type="character" w:styleId="FootnoteReference">
    <w:name w:val="footnote reference"/>
    <w:basedOn w:val="DefaultParagraphFont"/>
    <w:uiPriority w:val="99"/>
    <w:semiHidden/>
    <w:rsid w:val="00591277"/>
    <w:rPr>
      <w:rFonts w:cs="Times New Roman"/>
      <w:vertAlign w:val="superscript"/>
    </w:rPr>
  </w:style>
  <w:style w:type="table" w:customStyle="1" w:styleId="TableGrid5">
    <w:name w:val="Table Grid5"/>
    <w:uiPriority w:val="99"/>
    <w:rsid w:val="00032E90"/>
    <w:pPr>
      <w:tabs>
        <w:tab w:val="left" w:pos="416"/>
        <w:tab w:val="left" w:pos="582"/>
      </w:tabs>
      <w:spacing w:line="360" w:lineRule="auto"/>
      <w:jc w:val="both"/>
    </w:pPr>
    <w:rPr>
      <w:rFonts w:ascii="Times" w:hAnsi="Time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72"/>
    <w:locked/>
    <w:rsid w:val="00032E90"/>
    <w:rPr>
      <w:rFonts w:ascii="Arial" w:hAnsi="Arial" w:cs="Arial"/>
      <w:snapToGrid w:val="0"/>
      <w:sz w:val="22"/>
      <w:lang w:eastAsia="en-US"/>
    </w:rPr>
  </w:style>
  <w:style w:type="table" w:customStyle="1" w:styleId="TableGrid401">
    <w:name w:val="Table Grid401"/>
    <w:uiPriority w:val="99"/>
    <w:rsid w:val="00021669"/>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uiPriority w:val="99"/>
    <w:rsid w:val="00127C95"/>
    <w:pPr>
      <w:widowControl/>
      <w:spacing w:after="160" w:line="240" w:lineRule="exact"/>
      <w:jc w:val="left"/>
    </w:pPr>
    <w:rPr>
      <w:rFonts w:ascii="Verdana" w:eastAsia="MS Mincho" w:hAnsi="Verdana" w:cs="Verdana"/>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124A51"/>
    <w:pPr>
      <w:widowControl w:val="0"/>
      <w:jc w:val="both"/>
    </w:pPr>
    <w:rPr>
      <w:rFonts w:ascii="Arial" w:hAnsi="Arial" w:cs="Arial"/>
      <w:szCs w:val="20"/>
      <w:lang w:eastAsia="en-US"/>
    </w:rPr>
  </w:style>
  <w:style w:type="paragraph" w:styleId="Heading1">
    <w:name w:val="heading 1"/>
    <w:basedOn w:val="Normal"/>
    <w:next w:val="Normal"/>
    <w:link w:val="Heading1Char"/>
    <w:uiPriority w:val="99"/>
    <w:qFormat/>
    <w:rsid w:val="00D76A44"/>
    <w:pPr>
      <w:ind w:left="720" w:hanging="720"/>
      <w:outlineLvl w:val="0"/>
    </w:pPr>
    <w:rPr>
      <w:rFonts w:ascii="Arial Bold" w:hAnsi="Arial Bold"/>
      <w:b/>
      <w:caps/>
    </w:rPr>
  </w:style>
  <w:style w:type="paragraph" w:styleId="Heading2">
    <w:name w:val="heading 2"/>
    <w:basedOn w:val="Normal"/>
    <w:next w:val="Normal"/>
    <w:link w:val="Heading2Char"/>
    <w:uiPriority w:val="99"/>
    <w:qFormat/>
    <w:rsid w:val="004B3DDB"/>
    <w:pPr>
      <w:outlineLvl w:val="1"/>
    </w:pPr>
    <w:rPr>
      <w:rFonts w:cs="Times New Roman"/>
      <w:b/>
    </w:rPr>
  </w:style>
  <w:style w:type="paragraph" w:styleId="Heading3">
    <w:name w:val="heading 3"/>
    <w:basedOn w:val="Normal"/>
    <w:next w:val="Normal"/>
    <w:link w:val="Heading3Char"/>
    <w:uiPriority w:val="99"/>
    <w:qFormat/>
    <w:rsid w:val="001F7361"/>
    <w:pPr>
      <w:outlineLvl w:val="2"/>
    </w:pPr>
    <w:rPr>
      <w:u w:val="single"/>
    </w:rPr>
  </w:style>
  <w:style w:type="paragraph" w:styleId="Heading4">
    <w:name w:val="heading 4"/>
    <w:basedOn w:val="Normal"/>
    <w:next w:val="Normal"/>
    <w:link w:val="Heading4Char"/>
    <w:uiPriority w:val="9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9"/>
    <w:qFormat/>
    <w:rsid w:val="00124A51"/>
    <w:pPr>
      <w:spacing w:before="240" w:after="60"/>
      <w:outlineLvl w:val="4"/>
    </w:pPr>
    <w:rPr>
      <w:b/>
      <w:bCs/>
      <w:iCs/>
      <w:sz w:val="26"/>
      <w:szCs w:val="26"/>
    </w:rPr>
  </w:style>
  <w:style w:type="paragraph" w:styleId="Heading6">
    <w:name w:val="heading 6"/>
    <w:basedOn w:val="Normal"/>
    <w:next w:val="Normal"/>
    <w:link w:val="Heading6Char"/>
    <w:uiPriority w:val="99"/>
    <w:qFormat/>
    <w:rsid w:val="00124A51"/>
    <w:pPr>
      <w:spacing w:before="240" w:after="60"/>
      <w:outlineLvl w:val="5"/>
    </w:pPr>
    <w:rPr>
      <w:b/>
      <w:bCs/>
      <w:i/>
      <w:szCs w:val="22"/>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8E2"/>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locked/>
    <w:rsid w:val="004B3DDB"/>
    <w:rPr>
      <w:rFonts w:ascii="Arial" w:hAnsi="Arial"/>
      <w:b/>
      <w:snapToGrid w:val="0"/>
      <w:sz w:val="22"/>
      <w:lang w:eastAsia="en-US"/>
    </w:rPr>
  </w:style>
  <w:style w:type="character" w:customStyle="1" w:styleId="Heading3Char">
    <w:name w:val="Heading 3 Char"/>
    <w:basedOn w:val="DefaultParagraphFont"/>
    <w:link w:val="Heading3"/>
    <w:uiPriority w:val="9"/>
    <w:semiHidden/>
    <w:rsid w:val="004728E2"/>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4728E2"/>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4728E2"/>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4728E2"/>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9"/>
    <w:locked/>
    <w:rsid w:val="00124A51"/>
    <w:rPr>
      <w:rFonts w:ascii="Arial" w:hAnsi="Arial" w:cs="Times New Roman"/>
      <w:b/>
      <w:snapToGrid w:val="0"/>
      <w:lang w:eastAsia="en-US"/>
    </w:rPr>
  </w:style>
  <w:style w:type="character" w:customStyle="1" w:styleId="Heading8Char">
    <w:name w:val="Heading 8 Char"/>
    <w:basedOn w:val="DefaultParagraphFont"/>
    <w:link w:val="Heading8"/>
    <w:uiPriority w:val="99"/>
    <w:locked/>
    <w:rsid w:val="00124A51"/>
    <w:rPr>
      <w:rFonts w:cs="Times New Roman"/>
      <w:b/>
      <w:snapToGrid w:val="0"/>
      <w:sz w:val="24"/>
      <w:lang w:eastAsia="en-US"/>
    </w:rPr>
  </w:style>
  <w:style w:type="character" w:customStyle="1" w:styleId="Heading9Char">
    <w:name w:val="Heading 9 Char"/>
    <w:basedOn w:val="DefaultParagraphFont"/>
    <w:link w:val="Heading9"/>
    <w:uiPriority w:val="99"/>
    <w:locked/>
    <w:rsid w:val="00124A51"/>
    <w:rPr>
      <w:rFonts w:ascii="Arial" w:hAnsi="Arial" w:cs="Times New Roman"/>
      <w:b/>
      <w:snapToGrid w:val="0"/>
      <w:color w:val="000000"/>
      <w:lang w:eastAsia="en-US"/>
    </w:rPr>
  </w:style>
  <w:style w:type="paragraph" w:customStyle="1" w:styleId="TableFooter">
    <w:name w:val="Table Footer"/>
    <w:basedOn w:val="Normal"/>
    <w:uiPriority w:val="99"/>
    <w:rsid w:val="00E2771E"/>
    <w:rPr>
      <w:rFonts w:ascii="Arial Narrow" w:hAnsi="Arial Narrow"/>
      <w:sz w:val="18"/>
    </w:rPr>
  </w:style>
  <w:style w:type="paragraph" w:customStyle="1" w:styleId="TableHeader">
    <w:name w:val="Table Header"/>
    <w:basedOn w:val="Normal"/>
    <w:uiPriority w:val="99"/>
    <w:rsid w:val="000D1BFC"/>
    <w:rPr>
      <w:b/>
      <w:sz w:val="20"/>
    </w:rPr>
  </w:style>
  <w:style w:type="paragraph" w:styleId="Caption">
    <w:name w:val="caption"/>
    <w:basedOn w:val="Normal"/>
    <w:next w:val="Normal"/>
    <w:link w:val="CaptionChar"/>
    <w:uiPriority w:val="99"/>
    <w:qFormat/>
    <w:rsid w:val="00124A51"/>
    <w:pPr>
      <w:spacing w:after="200"/>
    </w:pPr>
    <w:rPr>
      <w:rFonts w:ascii="Times New Roman" w:hAnsi="Times New Roman" w:cs="Times New Roman"/>
      <w:b/>
      <w:bCs/>
      <w:color w:val="4F81BD"/>
      <w:sz w:val="18"/>
      <w:szCs w:val="18"/>
    </w:rPr>
  </w:style>
  <w:style w:type="character" w:customStyle="1" w:styleId="CaptionChar">
    <w:name w:val="Caption Char"/>
    <w:link w:val="Caption"/>
    <w:uiPriority w:val="99"/>
    <w:locked/>
    <w:rsid w:val="00124A51"/>
    <w:rPr>
      <w:b/>
      <w:snapToGrid w:val="0"/>
      <w:color w:val="4F81BD"/>
      <w:sz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124A51"/>
    <w:rPr>
      <w:rFonts w:ascii="Cambria" w:hAnsi="Cambria" w:cs="Times New Roman"/>
      <w:b/>
      <w:bCs/>
      <w:snapToGrid w:val="0"/>
      <w:kern w:val="28"/>
      <w:sz w:val="32"/>
      <w:szCs w:val="32"/>
      <w:lang w:eastAsia="en-US"/>
    </w:rPr>
  </w:style>
  <w:style w:type="paragraph" w:styleId="BodyText">
    <w:name w:val="Body Text"/>
    <w:basedOn w:val="Normal"/>
    <w:link w:val="BodyTextChar"/>
    <w:uiPriority w:val="99"/>
    <w:rsid w:val="004B3DDB"/>
    <w:pPr>
      <w:jc w:val="left"/>
    </w:pPr>
  </w:style>
  <w:style w:type="character" w:customStyle="1" w:styleId="BodyTextChar">
    <w:name w:val="Body Text Char"/>
    <w:basedOn w:val="DefaultParagraphFont"/>
    <w:link w:val="BodyText"/>
    <w:uiPriority w:val="99"/>
    <w:locked/>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uiPriority w:val="99"/>
    <w:rsid w:val="00124A51"/>
    <w:rPr>
      <w:b/>
    </w:rPr>
  </w:style>
  <w:style w:type="paragraph" w:styleId="NoSpacing">
    <w:name w:val="No Spacing"/>
    <w:uiPriority w:val="99"/>
    <w:qFormat/>
    <w:rsid w:val="00124A51"/>
    <w:pPr>
      <w:widowControl w:val="0"/>
      <w:jc w:val="both"/>
    </w:pPr>
    <w:rPr>
      <w:rFonts w:ascii="Arial" w:hAnsi="Arial" w:cs="Arial"/>
      <w:szCs w:val="20"/>
      <w:lang w:eastAsia="en-US"/>
    </w:rPr>
  </w:style>
  <w:style w:type="character" w:customStyle="1" w:styleId="RegularTextChar">
    <w:name w:val="Regular Text Char"/>
    <w:basedOn w:val="BodyTextChar"/>
    <w:link w:val="RegularText"/>
    <w:uiPriority w:val="99"/>
    <w:locked/>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locked/>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locked/>
    <w:rsid w:val="00124A51"/>
    <w:rPr>
      <w:rFonts w:ascii="Arial" w:hAnsi="Arial" w:cs="Arial"/>
      <w:snapToGrid w:val="0"/>
      <w:sz w:val="22"/>
      <w:lang w:eastAsia="en-US"/>
    </w:rPr>
  </w:style>
  <w:style w:type="table" w:styleId="TableGrid">
    <w:name w:val="Table Grid"/>
    <w:aliases w:val="Summary box"/>
    <w:basedOn w:val="TableNormal"/>
    <w:uiPriority w:val="99"/>
    <w:rsid w:val="004B3DD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basedOn w:val="DefaultParagraphFont"/>
    <w:uiPriority w:val="99"/>
    <w:rsid w:val="00E2771E"/>
    <w:rPr>
      <w:rFonts w:ascii="Arial Narrow" w:hAnsi="Arial Narrow" w:cs="Times New Roman"/>
      <w:b/>
      <w:sz w:val="16"/>
    </w:rPr>
  </w:style>
  <w:style w:type="paragraph" w:customStyle="1" w:styleId="Tabletext">
    <w:name w:val="Table text"/>
    <w:basedOn w:val="Normal"/>
    <w:link w:val="TabletextChar"/>
    <w:uiPriority w:val="99"/>
    <w:rsid w:val="00A56B6A"/>
    <w:pPr>
      <w:widowControl/>
      <w:spacing w:after="120"/>
      <w:jc w:val="left"/>
    </w:pPr>
    <w:rPr>
      <w:rFonts w:cs="Times New Roman"/>
      <w:sz w:val="20"/>
    </w:rPr>
  </w:style>
  <w:style w:type="paragraph" w:customStyle="1" w:styleId="TableHeading">
    <w:name w:val="TableHeading"/>
    <w:basedOn w:val="Normal"/>
    <w:uiPriority w:val="99"/>
    <w:rsid w:val="00A56B6A"/>
    <w:pPr>
      <w:keepNext/>
      <w:widowControl/>
      <w:spacing w:before="40" w:after="40"/>
      <w:jc w:val="left"/>
    </w:pPr>
    <w:rPr>
      <w:rFonts w:ascii="Arial Narrow" w:hAnsi="Arial Narrow" w:cs="Arial Narrow"/>
      <w:b/>
      <w:bCs/>
      <w:sz w:val="20"/>
    </w:rPr>
  </w:style>
  <w:style w:type="character" w:customStyle="1" w:styleId="TabletextChar">
    <w:name w:val="Table text Char"/>
    <w:link w:val="Tabletext"/>
    <w:uiPriority w:val="99"/>
    <w:locked/>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z w:val="24"/>
      <w:lang w:val="en-GB"/>
    </w:rPr>
  </w:style>
  <w:style w:type="paragraph" w:styleId="TOC2">
    <w:name w:val="toc 2"/>
    <w:basedOn w:val="Normal"/>
    <w:next w:val="Normal"/>
    <w:autoRedefine/>
    <w:uiPriority w:val="9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99"/>
    <w:rsid w:val="00D0262E"/>
    <w:pPr>
      <w:spacing w:before="240" w:after="120"/>
      <w:jc w:val="left"/>
    </w:pPr>
    <w:rPr>
      <w:bCs/>
      <w:sz w:val="20"/>
    </w:rPr>
  </w:style>
  <w:style w:type="character" w:styleId="Hyperlink">
    <w:name w:val="Hyperlink"/>
    <w:basedOn w:val="DefaultParagraphFont"/>
    <w:uiPriority w:val="99"/>
    <w:rsid w:val="00621477"/>
    <w:rPr>
      <w:rFonts w:cs="Times New Roman"/>
      <w:color w:val="0000FF"/>
      <w:u w:val="single"/>
    </w:rPr>
  </w:style>
  <w:style w:type="paragraph" w:styleId="TOCHeading">
    <w:name w:val="TOC Heading"/>
    <w:basedOn w:val="Heading1"/>
    <w:next w:val="Normal"/>
    <w:uiPriority w:val="99"/>
    <w:qFormat/>
    <w:rsid w:val="00CE6274"/>
    <w:pPr>
      <w:keepNext/>
      <w:keepLines/>
      <w:widowControl/>
      <w:spacing w:before="480" w:line="276" w:lineRule="auto"/>
      <w:ind w:left="0" w:firstLine="0"/>
      <w:jc w:val="left"/>
      <w:outlineLvl w:val="9"/>
    </w:pPr>
    <w:rPr>
      <w:rFonts w:ascii="Cambria" w:eastAsia="MS Gothic" w:hAnsi="Cambria" w:cs="Times New Roman"/>
      <w:bCs/>
      <w:color w:val="365F91"/>
      <w:sz w:val="28"/>
      <w:szCs w:val="28"/>
      <w:lang w:val="en-US" w:eastAsia="ja-JP"/>
    </w:rPr>
  </w:style>
  <w:style w:type="paragraph" w:styleId="TOC3">
    <w:name w:val="toc 3"/>
    <w:basedOn w:val="Normal"/>
    <w:next w:val="Normal"/>
    <w:autoRedefine/>
    <w:uiPriority w:val="99"/>
    <w:rsid w:val="00CE6274"/>
    <w:pPr>
      <w:ind w:left="440"/>
      <w:jc w:val="left"/>
    </w:pPr>
    <w:rPr>
      <w:rFonts w:ascii="Calibri" w:hAnsi="Calibr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locked/>
    <w:rsid w:val="00CE6274"/>
    <w:rPr>
      <w:rFonts w:ascii="Tahoma" w:hAnsi="Tahoma" w:cs="Tahoma"/>
      <w:snapToGrid w:val="0"/>
      <w:sz w:val="16"/>
      <w:szCs w:val="16"/>
      <w:lang w:eastAsia="en-US"/>
    </w:rPr>
  </w:style>
  <w:style w:type="paragraph" w:styleId="BodyText3">
    <w:name w:val="Body Text 3"/>
    <w:basedOn w:val="Normal"/>
    <w:link w:val="BodyText3Char"/>
    <w:uiPriority w:val="99"/>
    <w:rsid w:val="00CE6274"/>
    <w:pPr>
      <w:spacing w:after="120"/>
    </w:pPr>
    <w:rPr>
      <w:sz w:val="16"/>
      <w:szCs w:val="16"/>
    </w:rPr>
  </w:style>
  <w:style w:type="character" w:customStyle="1" w:styleId="BodyText3Char">
    <w:name w:val="Body Text 3 Char"/>
    <w:basedOn w:val="DefaultParagraphFont"/>
    <w:link w:val="BodyText3"/>
    <w:uiPriority w:val="99"/>
    <w:locked/>
    <w:rsid w:val="00CE6274"/>
    <w:rPr>
      <w:rFonts w:ascii="Arial" w:hAnsi="Arial" w:cs="Arial"/>
      <w:snapToGrid w:val="0"/>
      <w:sz w:val="16"/>
      <w:szCs w:val="16"/>
      <w:lang w:eastAsia="en-US"/>
    </w:rPr>
  </w:style>
  <w:style w:type="paragraph" w:styleId="TOC4">
    <w:name w:val="toc 4"/>
    <w:basedOn w:val="Normal"/>
    <w:next w:val="Normal"/>
    <w:autoRedefine/>
    <w:uiPriority w:val="99"/>
    <w:rsid w:val="00D0262E"/>
    <w:pPr>
      <w:ind w:left="660"/>
      <w:jc w:val="left"/>
    </w:pPr>
    <w:rPr>
      <w:rFonts w:ascii="Calibri" w:hAnsi="Calibri"/>
      <w:sz w:val="20"/>
    </w:rPr>
  </w:style>
  <w:style w:type="paragraph" w:styleId="TOC5">
    <w:name w:val="toc 5"/>
    <w:basedOn w:val="Normal"/>
    <w:next w:val="Normal"/>
    <w:autoRedefine/>
    <w:uiPriority w:val="99"/>
    <w:rsid w:val="00D0262E"/>
    <w:pPr>
      <w:ind w:left="880"/>
      <w:jc w:val="left"/>
    </w:pPr>
    <w:rPr>
      <w:rFonts w:ascii="Calibri" w:hAnsi="Calibri"/>
      <w:sz w:val="20"/>
    </w:rPr>
  </w:style>
  <w:style w:type="paragraph" w:styleId="TOC6">
    <w:name w:val="toc 6"/>
    <w:basedOn w:val="Normal"/>
    <w:next w:val="Normal"/>
    <w:autoRedefine/>
    <w:uiPriority w:val="99"/>
    <w:rsid w:val="00D0262E"/>
    <w:pPr>
      <w:ind w:left="1100"/>
      <w:jc w:val="left"/>
    </w:pPr>
    <w:rPr>
      <w:rFonts w:ascii="Calibri" w:hAnsi="Calibri"/>
      <w:sz w:val="20"/>
    </w:rPr>
  </w:style>
  <w:style w:type="paragraph" w:styleId="TOC7">
    <w:name w:val="toc 7"/>
    <w:basedOn w:val="Normal"/>
    <w:next w:val="Normal"/>
    <w:autoRedefine/>
    <w:uiPriority w:val="99"/>
    <w:rsid w:val="00D0262E"/>
    <w:pPr>
      <w:ind w:left="1320"/>
      <w:jc w:val="left"/>
    </w:pPr>
    <w:rPr>
      <w:rFonts w:ascii="Calibri" w:hAnsi="Calibri"/>
      <w:sz w:val="20"/>
    </w:rPr>
  </w:style>
  <w:style w:type="paragraph" w:styleId="TOC8">
    <w:name w:val="toc 8"/>
    <w:basedOn w:val="Normal"/>
    <w:next w:val="Normal"/>
    <w:autoRedefine/>
    <w:uiPriority w:val="99"/>
    <w:rsid w:val="00D0262E"/>
    <w:pPr>
      <w:ind w:left="1540"/>
      <w:jc w:val="left"/>
    </w:pPr>
    <w:rPr>
      <w:rFonts w:ascii="Calibri" w:hAnsi="Calibri"/>
      <w:sz w:val="20"/>
    </w:rPr>
  </w:style>
  <w:style w:type="paragraph" w:styleId="TOC9">
    <w:name w:val="toc 9"/>
    <w:basedOn w:val="Normal"/>
    <w:next w:val="Normal"/>
    <w:autoRedefine/>
    <w:uiPriority w:val="99"/>
    <w:rsid w:val="00D0262E"/>
    <w:pPr>
      <w:ind w:left="1760"/>
      <w:jc w:val="left"/>
    </w:pPr>
    <w:rPr>
      <w:rFonts w:ascii="Calibri" w:hAnsi="Calibri"/>
      <w:sz w:val="20"/>
    </w:rPr>
  </w:style>
  <w:style w:type="paragraph" w:styleId="BodyText2">
    <w:name w:val="Body Text 2"/>
    <w:basedOn w:val="Normal"/>
    <w:link w:val="BodyText2Char"/>
    <w:uiPriority w:val="99"/>
    <w:rsid w:val="00D17D6C"/>
    <w:pPr>
      <w:spacing w:after="120" w:line="480" w:lineRule="auto"/>
    </w:pPr>
  </w:style>
  <w:style w:type="character" w:customStyle="1" w:styleId="BodyText2Char">
    <w:name w:val="Body Text 2 Char"/>
    <w:basedOn w:val="DefaultParagraphFont"/>
    <w:link w:val="BodyText2"/>
    <w:uiPriority w:val="99"/>
    <w:locked/>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locked/>
    <w:rsid w:val="00FD2100"/>
    <w:rPr>
      <w:rFonts w:cs="Times New Roman"/>
      <w:snapToGrid w:val="0"/>
      <w:lang w:eastAsia="en-US"/>
    </w:rPr>
  </w:style>
  <w:style w:type="paragraph" w:customStyle="1" w:styleId="TableText0">
    <w:name w:val="TableText"/>
    <w:basedOn w:val="Normal"/>
    <w:uiPriority w:val="99"/>
    <w:rsid w:val="00CA7B09"/>
    <w:pPr>
      <w:keepNext/>
      <w:widowControl/>
      <w:spacing w:before="40" w:after="40"/>
      <w:jc w:val="left"/>
    </w:pPr>
    <w:rPr>
      <w:rFonts w:ascii="Arial Narrow" w:hAnsi="Arial Narrow" w:cs="Arial Narrow"/>
      <w:sz w:val="20"/>
    </w:rPr>
  </w:style>
  <w:style w:type="paragraph" w:customStyle="1" w:styleId="TableName">
    <w:name w:val="TableName"/>
    <w:basedOn w:val="Normal"/>
    <w:uiPriority w:val="99"/>
    <w:rsid w:val="00CA7B09"/>
    <w:pPr>
      <w:keepNext/>
      <w:widowControl/>
      <w:spacing w:before="120" w:after="120"/>
      <w:ind w:left="1800" w:hanging="1080"/>
      <w:jc w:val="left"/>
    </w:pPr>
    <w:rPr>
      <w:rFonts w:ascii="Arial Narrow" w:hAnsi="Arial Narrow" w:cs="Arial Narrow"/>
      <w:b/>
      <w:bCs/>
      <w:szCs w:val="22"/>
    </w:rPr>
  </w:style>
  <w:style w:type="paragraph" w:customStyle="1" w:styleId="TableNotes18">
    <w:name w:val="TableNotes+18"/>
    <w:basedOn w:val="TableText0"/>
    <w:uiPriority w:val="99"/>
    <w:rsid w:val="00CA7B09"/>
    <w:pPr>
      <w:keepNext w:val="0"/>
      <w:keepLines/>
      <w:spacing w:before="0" w:after="360"/>
      <w:ind w:left="720"/>
    </w:pPr>
    <w:rPr>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locked/>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zCs w:val="20"/>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locked/>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widowControl/>
      <w:spacing w:after="160" w:line="240" w:lineRule="exact"/>
      <w:jc w:val="left"/>
    </w:pPr>
    <w:rPr>
      <w:rFonts w:ascii="Verdana" w:eastAsia="MS Mincho" w:hAnsi="Verdana" w:cs="Verdana"/>
      <w:sz w:val="20"/>
      <w:lang w:val="en-US"/>
    </w:rPr>
  </w:style>
  <w:style w:type="character" w:customStyle="1" w:styleId="SubtitleChar">
    <w:name w:val="Subtitle Char"/>
    <w:link w:val="Subtitle"/>
    <w:uiPriority w:val="99"/>
    <w:locked/>
    <w:rsid w:val="00B50DB8"/>
    <w:rPr>
      <w:lang w:eastAsia="en-US"/>
    </w:rPr>
  </w:style>
  <w:style w:type="paragraph" w:styleId="Subtitle">
    <w:name w:val="Subtitle"/>
    <w:basedOn w:val="Normal"/>
    <w:link w:val="SubtitleChar"/>
    <w:uiPriority w:val="99"/>
    <w:qFormat/>
    <w:rsid w:val="00B50DB8"/>
    <w:pPr>
      <w:widowControl/>
    </w:pPr>
    <w:rPr>
      <w:rFonts w:ascii="Times New Roman" w:hAnsi="Times New Roman" w:cs="Times New Roman"/>
      <w:sz w:val="20"/>
    </w:rPr>
  </w:style>
  <w:style w:type="character" w:customStyle="1" w:styleId="SubtitleChar1">
    <w:name w:val="Subtitle Char1"/>
    <w:basedOn w:val="DefaultParagraphFont"/>
    <w:uiPriority w:val="99"/>
    <w:rsid w:val="00B50DB8"/>
    <w:rPr>
      <w:rFonts w:ascii="Cambria" w:eastAsia="MS Gothic" w:hAnsi="Cambria" w:cs="Times New Roman"/>
      <w:i/>
      <w:iCs/>
      <w:snapToGrid w:val="0"/>
      <w:color w:val="4F81BD"/>
      <w:spacing w:val="15"/>
      <w:sz w:val="24"/>
      <w:szCs w:val="24"/>
      <w:lang w:eastAsia="en-US"/>
    </w:rPr>
  </w:style>
  <w:style w:type="paragraph" w:customStyle="1" w:styleId="PBACHeading1">
    <w:name w:val="PBAC Heading 1"/>
    <w:uiPriority w:val="99"/>
    <w:rsid w:val="00BD6CF3"/>
    <w:pPr>
      <w:numPr>
        <w:numId w:val="3"/>
      </w:numPr>
    </w:pPr>
    <w:rPr>
      <w:rFonts w:ascii="Arial" w:hAnsi="Arial" w:cs="Arial"/>
      <w:b/>
      <w:lang w:eastAsia="en-US"/>
    </w:rPr>
  </w:style>
  <w:style w:type="paragraph" w:customStyle="1" w:styleId="Default">
    <w:name w:val="Default"/>
    <w:uiPriority w:val="99"/>
    <w:rsid w:val="00344E79"/>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rsid w:val="00591277"/>
    <w:rPr>
      <w:sz w:val="20"/>
    </w:rPr>
  </w:style>
  <w:style w:type="character" w:customStyle="1" w:styleId="FootnoteTextChar">
    <w:name w:val="Footnote Text Char"/>
    <w:basedOn w:val="DefaultParagraphFont"/>
    <w:link w:val="FootnoteText"/>
    <w:uiPriority w:val="99"/>
    <w:semiHidden/>
    <w:locked/>
    <w:rsid w:val="00591277"/>
    <w:rPr>
      <w:rFonts w:ascii="Arial" w:hAnsi="Arial" w:cs="Arial"/>
      <w:snapToGrid w:val="0"/>
      <w:lang w:eastAsia="en-US"/>
    </w:rPr>
  </w:style>
  <w:style w:type="character" w:styleId="FootnoteReference">
    <w:name w:val="footnote reference"/>
    <w:basedOn w:val="DefaultParagraphFont"/>
    <w:uiPriority w:val="99"/>
    <w:semiHidden/>
    <w:rsid w:val="00591277"/>
    <w:rPr>
      <w:rFonts w:cs="Times New Roman"/>
      <w:vertAlign w:val="superscript"/>
    </w:rPr>
  </w:style>
  <w:style w:type="table" w:customStyle="1" w:styleId="TableGrid5">
    <w:name w:val="Table Grid5"/>
    <w:uiPriority w:val="99"/>
    <w:rsid w:val="00032E90"/>
    <w:pPr>
      <w:tabs>
        <w:tab w:val="left" w:pos="416"/>
        <w:tab w:val="left" w:pos="582"/>
      </w:tabs>
      <w:spacing w:line="360" w:lineRule="auto"/>
      <w:jc w:val="both"/>
    </w:pPr>
    <w:rPr>
      <w:rFonts w:ascii="Times" w:hAnsi="Time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72"/>
    <w:locked/>
    <w:rsid w:val="00032E90"/>
    <w:rPr>
      <w:rFonts w:ascii="Arial" w:hAnsi="Arial" w:cs="Arial"/>
      <w:snapToGrid w:val="0"/>
      <w:sz w:val="22"/>
      <w:lang w:eastAsia="en-US"/>
    </w:rPr>
  </w:style>
  <w:style w:type="table" w:customStyle="1" w:styleId="TableGrid401">
    <w:name w:val="Table Grid401"/>
    <w:uiPriority w:val="99"/>
    <w:rsid w:val="00021669"/>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uiPriority w:val="99"/>
    <w:rsid w:val="00127C95"/>
    <w:pPr>
      <w:widowControl/>
      <w:spacing w:after="160" w:line="240" w:lineRule="exact"/>
      <w:jc w:val="left"/>
    </w:pPr>
    <w:rPr>
      <w:rFonts w:ascii="Verdana" w:eastAsia="MS Mincho" w:hAnsi="Verdana" w:cs="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57351">
      <w:marLeft w:val="0"/>
      <w:marRight w:val="0"/>
      <w:marTop w:val="0"/>
      <w:marBottom w:val="0"/>
      <w:divBdr>
        <w:top w:val="none" w:sz="0" w:space="0" w:color="auto"/>
        <w:left w:val="none" w:sz="0" w:space="0" w:color="auto"/>
        <w:bottom w:val="none" w:sz="0" w:space="0" w:color="auto"/>
        <w:right w:val="none" w:sz="0" w:space="0" w:color="auto"/>
      </w:divBdr>
    </w:div>
    <w:div w:id="546257352">
      <w:marLeft w:val="0"/>
      <w:marRight w:val="0"/>
      <w:marTop w:val="0"/>
      <w:marBottom w:val="0"/>
      <w:divBdr>
        <w:top w:val="none" w:sz="0" w:space="0" w:color="auto"/>
        <w:left w:val="none" w:sz="0" w:space="0" w:color="auto"/>
        <w:bottom w:val="none" w:sz="0" w:space="0" w:color="auto"/>
        <w:right w:val="none" w:sz="0" w:space="0" w:color="auto"/>
      </w:divBdr>
    </w:div>
    <w:div w:id="546257354">
      <w:marLeft w:val="0"/>
      <w:marRight w:val="0"/>
      <w:marTop w:val="0"/>
      <w:marBottom w:val="0"/>
      <w:divBdr>
        <w:top w:val="none" w:sz="0" w:space="0" w:color="auto"/>
        <w:left w:val="none" w:sz="0" w:space="0" w:color="auto"/>
        <w:bottom w:val="none" w:sz="0" w:space="0" w:color="auto"/>
        <w:right w:val="none" w:sz="0" w:space="0" w:color="auto"/>
      </w:divBdr>
    </w:div>
    <w:div w:id="546257356">
      <w:marLeft w:val="0"/>
      <w:marRight w:val="0"/>
      <w:marTop w:val="0"/>
      <w:marBottom w:val="0"/>
      <w:divBdr>
        <w:top w:val="none" w:sz="0" w:space="0" w:color="auto"/>
        <w:left w:val="none" w:sz="0" w:space="0" w:color="auto"/>
        <w:bottom w:val="none" w:sz="0" w:space="0" w:color="auto"/>
        <w:right w:val="none" w:sz="0" w:space="0" w:color="auto"/>
      </w:divBdr>
    </w:div>
    <w:div w:id="546257357">
      <w:marLeft w:val="0"/>
      <w:marRight w:val="0"/>
      <w:marTop w:val="0"/>
      <w:marBottom w:val="0"/>
      <w:divBdr>
        <w:top w:val="none" w:sz="0" w:space="0" w:color="auto"/>
        <w:left w:val="none" w:sz="0" w:space="0" w:color="auto"/>
        <w:bottom w:val="none" w:sz="0" w:space="0" w:color="auto"/>
        <w:right w:val="none" w:sz="0" w:space="0" w:color="auto"/>
      </w:divBdr>
    </w:div>
    <w:div w:id="546257358">
      <w:marLeft w:val="0"/>
      <w:marRight w:val="0"/>
      <w:marTop w:val="0"/>
      <w:marBottom w:val="0"/>
      <w:divBdr>
        <w:top w:val="none" w:sz="0" w:space="0" w:color="auto"/>
        <w:left w:val="none" w:sz="0" w:space="0" w:color="auto"/>
        <w:bottom w:val="none" w:sz="0" w:space="0" w:color="auto"/>
        <w:right w:val="none" w:sz="0" w:space="0" w:color="auto"/>
      </w:divBdr>
    </w:div>
    <w:div w:id="546257359">
      <w:marLeft w:val="0"/>
      <w:marRight w:val="0"/>
      <w:marTop w:val="0"/>
      <w:marBottom w:val="0"/>
      <w:divBdr>
        <w:top w:val="none" w:sz="0" w:space="0" w:color="auto"/>
        <w:left w:val="none" w:sz="0" w:space="0" w:color="auto"/>
        <w:bottom w:val="none" w:sz="0" w:space="0" w:color="auto"/>
        <w:right w:val="none" w:sz="0" w:space="0" w:color="auto"/>
      </w:divBdr>
    </w:div>
    <w:div w:id="546257360">
      <w:marLeft w:val="0"/>
      <w:marRight w:val="0"/>
      <w:marTop w:val="0"/>
      <w:marBottom w:val="0"/>
      <w:divBdr>
        <w:top w:val="none" w:sz="0" w:space="0" w:color="auto"/>
        <w:left w:val="none" w:sz="0" w:space="0" w:color="auto"/>
        <w:bottom w:val="none" w:sz="0" w:space="0" w:color="auto"/>
        <w:right w:val="none" w:sz="0" w:space="0" w:color="auto"/>
      </w:divBdr>
    </w:div>
    <w:div w:id="546257362">
      <w:marLeft w:val="0"/>
      <w:marRight w:val="0"/>
      <w:marTop w:val="0"/>
      <w:marBottom w:val="0"/>
      <w:divBdr>
        <w:top w:val="none" w:sz="0" w:space="0" w:color="auto"/>
        <w:left w:val="none" w:sz="0" w:space="0" w:color="auto"/>
        <w:bottom w:val="none" w:sz="0" w:space="0" w:color="auto"/>
        <w:right w:val="none" w:sz="0" w:space="0" w:color="auto"/>
      </w:divBdr>
    </w:div>
    <w:div w:id="546257363">
      <w:marLeft w:val="0"/>
      <w:marRight w:val="0"/>
      <w:marTop w:val="0"/>
      <w:marBottom w:val="0"/>
      <w:divBdr>
        <w:top w:val="none" w:sz="0" w:space="0" w:color="auto"/>
        <w:left w:val="none" w:sz="0" w:space="0" w:color="auto"/>
        <w:bottom w:val="none" w:sz="0" w:space="0" w:color="auto"/>
        <w:right w:val="none" w:sz="0" w:space="0" w:color="auto"/>
      </w:divBdr>
    </w:div>
    <w:div w:id="546257364">
      <w:marLeft w:val="0"/>
      <w:marRight w:val="0"/>
      <w:marTop w:val="0"/>
      <w:marBottom w:val="0"/>
      <w:divBdr>
        <w:top w:val="none" w:sz="0" w:space="0" w:color="auto"/>
        <w:left w:val="none" w:sz="0" w:space="0" w:color="auto"/>
        <w:bottom w:val="none" w:sz="0" w:space="0" w:color="auto"/>
        <w:right w:val="none" w:sz="0" w:space="0" w:color="auto"/>
      </w:divBdr>
    </w:div>
    <w:div w:id="546257366">
      <w:marLeft w:val="0"/>
      <w:marRight w:val="0"/>
      <w:marTop w:val="0"/>
      <w:marBottom w:val="0"/>
      <w:divBdr>
        <w:top w:val="none" w:sz="0" w:space="0" w:color="auto"/>
        <w:left w:val="none" w:sz="0" w:space="0" w:color="auto"/>
        <w:bottom w:val="none" w:sz="0" w:space="0" w:color="auto"/>
        <w:right w:val="none" w:sz="0" w:space="0" w:color="auto"/>
      </w:divBdr>
    </w:div>
    <w:div w:id="546257367">
      <w:marLeft w:val="0"/>
      <w:marRight w:val="0"/>
      <w:marTop w:val="0"/>
      <w:marBottom w:val="0"/>
      <w:divBdr>
        <w:top w:val="none" w:sz="0" w:space="0" w:color="auto"/>
        <w:left w:val="none" w:sz="0" w:space="0" w:color="auto"/>
        <w:bottom w:val="none" w:sz="0" w:space="0" w:color="auto"/>
        <w:right w:val="none" w:sz="0" w:space="0" w:color="auto"/>
      </w:divBdr>
    </w:div>
    <w:div w:id="546257368">
      <w:marLeft w:val="0"/>
      <w:marRight w:val="0"/>
      <w:marTop w:val="0"/>
      <w:marBottom w:val="0"/>
      <w:divBdr>
        <w:top w:val="none" w:sz="0" w:space="0" w:color="auto"/>
        <w:left w:val="none" w:sz="0" w:space="0" w:color="auto"/>
        <w:bottom w:val="none" w:sz="0" w:space="0" w:color="auto"/>
        <w:right w:val="none" w:sz="0" w:space="0" w:color="auto"/>
      </w:divBdr>
    </w:div>
    <w:div w:id="546257369">
      <w:marLeft w:val="0"/>
      <w:marRight w:val="0"/>
      <w:marTop w:val="0"/>
      <w:marBottom w:val="0"/>
      <w:divBdr>
        <w:top w:val="none" w:sz="0" w:space="0" w:color="auto"/>
        <w:left w:val="none" w:sz="0" w:space="0" w:color="auto"/>
        <w:bottom w:val="none" w:sz="0" w:space="0" w:color="auto"/>
        <w:right w:val="none" w:sz="0" w:space="0" w:color="auto"/>
      </w:divBdr>
    </w:div>
    <w:div w:id="546257370">
      <w:marLeft w:val="0"/>
      <w:marRight w:val="0"/>
      <w:marTop w:val="0"/>
      <w:marBottom w:val="0"/>
      <w:divBdr>
        <w:top w:val="none" w:sz="0" w:space="0" w:color="auto"/>
        <w:left w:val="none" w:sz="0" w:space="0" w:color="auto"/>
        <w:bottom w:val="none" w:sz="0" w:space="0" w:color="auto"/>
        <w:right w:val="none" w:sz="0" w:space="0" w:color="auto"/>
      </w:divBdr>
    </w:div>
    <w:div w:id="546257371">
      <w:marLeft w:val="0"/>
      <w:marRight w:val="0"/>
      <w:marTop w:val="0"/>
      <w:marBottom w:val="0"/>
      <w:divBdr>
        <w:top w:val="none" w:sz="0" w:space="0" w:color="auto"/>
        <w:left w:val="none" w:sz="0" w:space="0" w:color="auto"/>
        <w:bottom w:val="none" w:sz="0" w:space="0" w:color="auto"/>
        <w:right w:val="none" w:sz="0" w:space="0" w:color="auto"/>
      </w:divBdr>
    </w:div>
    <w:div w:id="546257373">
      <w:marLeft w:val="0"/>
      <w:marRight w:val="0"/>
      <w:marTop w:val="0"/>
      <w:marBottom w:val="0"/>
      <w:divBdr>
        <w:top w:val="none" w:sz="0" w:space="0" w:color="auto"/>
        <w:left w:val="none" w:sz="0" w:space="0" w:color="auto"/>
        <w:bottom w:val="none" w:sz="0" w:space="0" w:color="auto"/>
        <w:right w:val="none" w:sz="0" w:space="0" w:color="auto"/>
      </w:divBdr>
    </w:div>
    <w:div w:id="546257374">
      <w:marLeft w:val="0"/>
      <w:marRight w:val="0"/>
      <w:marTop w:val="0"/>
      <w:marBottom w:val="0"/>
      <w:divBdr>
        <w:top w:val="none" w:sz="0" w:space="0" w:color="auto"/>
        <w:left w:val="none" w:sz="0" w:space="0" w:color="auto"/>
        <w:bottom w:val="none" w:sz="0" w:space="0" w:color="auto"/>
        <w:right w:val="none" w:sz="0" w:space="0" w:color="auto"/>
      </w:divBdr>
    </w:div>
    <w:div w:id="546257375">
      <w:marLeft w:val="0"/>
      <w:marRight w:val="0"/>
      <w:marTop w:val="0"/>
      <w:marBottom w:val="0"/>
      <w:divBdr>
        <w:top w:val="none" w:sz="0" w:space="0" w:color="auto"/>
        <w:left w:val="none" w:sz="0" w:space="0" w:color="auto"/>
        <w:bottom w:val="none" w:sz="0" w:space="0" w:color="auto"/>
        <w:right w:val="none" w:sz="0" w:space="0" w:color="auto"/>
      </w:divBdr>
    </w:div>
    <w:div w:id="546257376">
      <w:marLeft w:val="0"/>
      <w:marRight w:val="0"/>
      <w:marTop w:val="0"/>
      <w:marBottom w:val="0"/>
      <w:divBdr>
        <w:top w:val="none" w:sz="0" w:space="0" w:color="auto"/>
        <w:left w:val="none" w:sz="0" w:space="0" w:color="auto"/>
        <w:bottom w:val="none" w:sz="0" w:space="0" w:color="auto"/>
        <w:right w:val="none" w:sz="0" w:space="0" w:color="auto"/>
      </w:divBdr>
    </w:div>
    <w:div w:id="546257377">
      <w:marLeft w:val="0"/>
      <w:marRight w:val="0"/>
      <w:marTop w:val="0"/>
      <w:marBottom w:val="0"/>
      <w:divBdr>
        <w:top w:val="none" w:sz="0" w:space="0" w:color="auto"/>
        <w:left w:val="none" w:sz="0" w:space="0" w:color="auto"/>
        <w:bottom w:val="none" w:sz="0" w:space="0" w:color="auto"/>
        <w:right w:val="none" w:sz="0" w:space="0" w:color="auto"/>
      </w:divBdr>
    </w:div>
    <w:div w:id="546257378">
      <w:marLeft w:val="0"/>
      <w:marRight w:val="0"/>
      <w:marTop w:val="0"/>
      <w:marBottom w:val="0"/>
      <w:divBdr>
        <w:top w:val="none" w:sz="0" w:space="0" w:color="auto"/>
        <w:left w:val="none" w:sz="0" w:space="0" w:color="auto"/>
        <w:bottom w:val="none" w:sz="0" w:space="0" w:color="auto"/>
        <w:right w:val="none" w:sz="0" w:space="0" w:color="auto"/>
      </w:divBdr>
    </w:div>
    <w:div w:id="546257380">
      <w:marLeft w:val="0"/>
      <w:marRight w:val="0"/>
      <w:marTop w:val="0"/>
      <w:marBottom w:val="0"/>
      <w:divBdr>
        <w:top w:val="none" w:sz="0" w:space="0" w:color="auto"/>
        <w:left w:val="none" w:sz="0" w:space="0" w:color="auto"/>
        <w:bottom w:val="none" w:sz="0" w:space="0" w:color="auto"/>
        <w:right w:val="none" w:sz="0" w:space="0" w:color="auto"/>
      </w:divBdr>
    </w:div>
    <w:div w:id="546257381">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 w:id="546257383">
      <w:marLeft w:val="0"/>
      <w:marRight w:val="0"/>
      <w:marTop w:val="0"/>
      <w:marBottom w:val="0"/>
      <w:divBdr>
        <w:top w:val="none" w:sz="0" w:space="0" w:color="auto"/>
        <w:left w:val="none" w:sz="0" w:space="0" w:color="auto"/>
        <w:bottom w:val="none" w:sz="0" w:space="0" w:color="auto"/>
        <w:right w:val="none" w:sz="0" w:space="0" w:color="auto"/>
      </w:divBdr>
    </w:div>
    <w:div w:id="546257384">
      <w:marLeft w:val="0"/>
      <w:marRight w:val="0"/>
      <w:marTop w:val="0"/>
      <w:marBottom w:val="0"/>
      <w:divBdr>
        <w:top w:val="none" w:sz="0" w:space="0" w:color="auto"/>
        <w:left w:val="none" w:sz="0" w:space="0" w:color="auto"/>
        <w:bottom w:val="none" w:sz="0" w:space="0" w:color="auto"/>
        <w:right w:val="none" w:sz="0" w:space="0" w:color="auto"/>
      </w:divBdr>
    </w:div>
    <w:div w:id="546257385">
      <w:marLeft w:val="0"/>
      <w:marRight w:val="0"/>
      <w:marTop w:val="0"/>
      <w:marBottom w:val="0"/>
      <w:divBdr>
        <w:top w:val="none" w:sz="0" w:space="0" w:color="auto"/>
        <w:left w:val="none" w:sz="0" w:space="0" w:color="auto"/>
        <w:bottom w:val="none" w:sz="0" w:space="0" w:color="auto"/>
        <w:right w:val="none" w:sz="0" w:space="0" w:color="auto"/>
      </w:divBdr>
    </w:div>
    <w:div w:id="546257386">
      <w:marLeft w:val="0"/>
      <w:marRight w:val="0"/>
      <w:marTop w:val="0"/>
      <w:marBottom w:val="0"/>
      <w:divBdr>
        <w:top w:val="none" w:sz="0" w:space="0" w:color="auto"/>
        <w:left w:val="none" w:sz="0" w:space="0" w:color="auto"/>
        <w:bottom w:val="none" w:sz="0" w:space="0" w:color="auto"/>
        <w:right w:val="none" w:sz="0" w:space="0" w:color="auto"/>
      </w:divBdr>
    </w:div>
    <w:div w:id="546257387">
      <w:marLeft w:val="0"/>
      <w:marRight w:val="0"/>
      <w:marTop w:val="0"/>
      <w:marBottom w:val="0"/>
      <w:divBdr>
        <w:top w:val="none" w:sz="0" w:space="0" w:color="auto"/>
        <w:left w:val="none" w:sz="0" w:space="0" w:color="auto"/>
        <w:bottom w:val="none" w:sz="0" w:space="0" w:color="auto"/>
        <w:right w:val="none" w:sz="0" w:space="0" w:color="auto"/>
      </w:divBdr>
    </w:div>
    <w:div w:id="546257388">
      <w:marLeft w:val="0"/>
      <w:marRight w:val="0"/>
      <w:marTop w:val="0"/>
      <w:marBottom w:val="0"/>
      <w:divBdr>
        <w:top w:val="none" w:sz="0" w:space="0" w:color="auto"/>
        <w:left w:val="none" w:sz="0" w:space="0" w:color="auto"/>
        <w:bottom w:val="none" w:sz="0" w:space="0" w:color="auto"/>
        <w:right w:val="none" w:sz="0" w:space="0" w:color="auto"/>
      </w:divBdr>
    </w:div>
    <w:div w:id="546257389">
      <w:marLeft w:val="0"/>
      <w:marRight w:val="0"/>
      <w:marTop w:val="0"/>
      <w:marBottom w:val="0"/>
      <w:divBdr>
        <w:top w:val="none" w:sz="0" w:space="0" w:color="auto"/>
        <w:left w:val="none" w:sz="0" w:space="0" w:color="auto"/>
        <w:bottom w:val="none" w:sz="0" w:space="0" w:color="auto"/>
        <w:right w:val="none" w:sz="0" w:space="0" w:color="auto"/>
      </w:divBdr>
    </w:div>
    <w:div w:id="546257390">
      <w:marLeft w:val="0"/>
      <w:marRight w:val="0"/>
      <w:marTop w:val="0"/>
      <w:marBottom w:val="0"/>
      <w:divBdr>
        <w:top w:val="none" w:sz="0" w:space="0" w:color="auto"/>
        <w:left w:val="none" w:sz="0" w:space="0" w:color="auto"/>
        <w:bottom w:val="none" w:sz="0" w:space="0" w:color="auto"/>
        <w:right w:val="none" w:sz="0" w:space="0" w:color="auto"/>
      </w:divBdr>
    </w:div>
    <w:div w:id="546257391">
      <w:marLeft w:val="0"/>
      <w:marRight w:val="0"/>
      <w:marTop w:val="0"/>
      <w:marBottom w:val="0"/>
      <w:divBdr>
        <w:top w:val="none" w:sz="0" w:space="0" w:color="auto"/>
        <w:left w:val="none" w:sz="0" w:space="0" w:color="auto"/>
        <w:bottom w:val="none" w:sz="0" w:space="0" w:color="auto"/>
        <w:right w:val="none" w:sz="0" w:space="0" w:color="auto"/>
      </w:divBdr>
      <w:divsChild>
        <w:div w:id="546257396">
          <w:marLeft w:val="0"/>
          <w:marRight w:val="0"/>
          <w:marTop w:val="0"/>
          <w:marBottom w:val="0"/>
          <w:divBdr>
            <w:top w:val="none" w:sz="0" w:space="0" w:color="auto"/>
            <w:left w:val="none" w:sz="0" w:space="0" w:color="auto"/>
            <w:bottom w:val="none" w:sz="0" w:space="0" w:color="auto"/>
            <w:right w:val="none" w:sz="0" w:space="0" w:color="auto"/>
          </w:divBdr>
          <w:divsChild>
            <w:div w:id="546257353">
              <w:marLeft w:val="0"/>
              <w:marRight w:val="0"/>
              <w:marTop w:val="0"/>
              <w:marBottom w:val="0"/>
              <w:divBdr>
                <w:top w:val="none" w:sz="0" w:space="0" w:color="auto"/>
                <w:left w:val="none" w:sz="0" w:space="0" w:color="auto"/>
                <w:bottom w:val="none" w:sz="0" w:space="0" w:color="auto"/>
                <w:right w:val="none" w:sz="0" w:space="0" w:color="auto"/>
              </w:divBdr>
              <w:divsChild>
                <w:div w:id="546257379">
                  <w:marLeft w:val="0"/>
                  <w:marRight w:val="0"/>
                  <w:marTop w:val="0"/>
                  <w:marBottom w:val="0"/>
                  <w:divBdr>
                    <w:top w:val="none" w:sz="0" w:space="0" w:color="auto"/>
                    <w:left w:val="none" w:sz="0" w:space="0" w:color="auto"/>
                    <w:bottom w:val="none" w:sz="0" w:space="0" w:color="auto"/>
                    <w:right w:val="none" w:sz="0" w:space="0" w:color="auto"/>
                  </w:divBdr>
                  <w:divsChild>
                    <w:div w:id="54625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257392">
      <w:marLeft w:val="0"/>
      <w:marRight w:val="0"/>
      <w:marTop w:val="0"/>
      <w:marBottom w:val="0"/>
      <w:divBdr>
        <w:top w:val="none" w:sz="0" w:space="0" w:color="auto"/>
        <w:left w:val="none" w:sz="0" w:space="0" w:color="auto"/>
        <w:bottom w:val="none" w:sz="0" w:space="0" w:color="auto"/>
        <w:right w:val="none" w:sz="0" w:space="0" w:color="auto"/>
      </w:divBdr>
      <w:divsChild>
        <w:div w:id="546257355">
          <w:marLeft w:val="547"/>
          <w:marRight w:val="0"/>
          <w:marTop w:val="115"/>
          <w:marBottom w:val="0"/>
          <w:divBdr>
            <w:top w:val="none" w:sz="0" w:space="0" w:color="auto"/>
            <w:left w:val="none" w:sz="0" w:space="0" w:color="auto"/>
            <w:bottom w:val="none" w:sz="0" w:space="0" w:color="auto"/>
            <w:right w:val="none" w:sz="0" w:space="0" w:color="auto"/>
          </w:divBdr>
        </w:div>
        <w:div w:id="546257361">
          <w:marLeft w:val="1166"/>
          <w:marRight w:val="0"/>
          <w:marTop w:val="96"/>
          <w:marBottom w:val="0"/>
          <w:divBdr>
            <w:top w:val="none" w:sz="0" w:space="0" w:color="auto"/>
            <w:left w:val="none" w:sz="0" w:space="0" w:color="auto"/>
            <w:bottom w:val="none" w:sz="0" w:space="0" w:color="auto"/>
            <w:right w:val="none" w:sz="0" w:space="0" w:color="auto"/>
          </w:divBdr>
        </w:div>
        <w:div w:id="546257372">
          <w:marLeft w:val="1166"/>
          <w:marRight w:val="0"/>
          <w:marTop w:val="96"/>
          <w:marBottom w:val="0"/>
          <w:divBdr>
            <w:top w:val="none" w:sz="0" w:space="0" w:color="auto"/>
            <w:left w:val="none" w:sz="0" w:space="0" w:color="auto"/>
            <w:bottom w:val="none" w:sz="0" w:space="0" w:color="auto"/>
            <w:right w:val="none" w:sz="0" w:space="0" w:color="auto"/>
          </w:divBdr>
        </w:div>
        <w:div w:id="546257411">
          <w:marLeft w:val="1166"/>
          <w:marRight w:val="0"/>
          <w:marTop w:val="96"/>
          <w:marBottom w:val="0"/>
          <w:divBdr>
            <w:top w:val="none" w:sz="0" w:space="0" w:color="auto"/>
            <w:left w:val="none" w:sz="0" w:space="0" w:color="auto"/>
            <w:bottom w:val="none" w:sz="0" w:space="0" w:color="auto"/>
            <w:right w:val="none" w:sz="0" w:space="0" w:color="auto"/>
          </w:divBdr>
        </w:div>
      </w:divsChild>
    </w:div>
    <w:div w:id="546257393">
      <w:marLeft w:val="0"/>
      <w:marRight w:val="0"/>
      <w:marTop w:val="0"/>
      <w:marBottom w:val="0"/>
      <w:divBdr>
        <w:top w:val="none" w:sz="0" w:space="0" w:color="auto"/>
        <w:left w:val="none" w:sz="0" w:space="0" w:color="auto"/>
        <w:bottom w:val="none" w:sz="0" w:space="0" w:color="auto"/>
        <w:right w:val="none" w:sz="0" w:space="0" w:color="auto"/>
      </w:divBdr>
    </w:div>
    <w:div w:id="546257394">
      <w:marLeft w:val="0"/>
      <w:marRight w:val="0"/>
      <w:marTop w:val="0"/>
      <w:marBottom w:val="0"/>
      <w:divBdr>
        <w:top w:val="none" w:sz="0" w:space="0" w:color="auto"/>
        <w:left w:val="none" w:sz="0" w:space="0" w:color="auto"/>
        <w:bottom w:val="none" w:sz="0" w:space="0" w:color="auto"/>
        <w:right w:val="none" w:sz="0" w:space="0" w:color="auto"/>
      </w:divBdr>
    </w:div>
    <w:div w:id="546257395">
      <w:marLeft w:val="0"/>
      <w:marRight w:val="0"/>
      <w:marTop w:val="0"/>
      <w:marBottom w:val="0"/>
      <w:divBdr>
        <w:top w:val="none" w:sz="0" w:space="0" w:color="auto"/>
        <w:left w:val="none" w:sz="0" w:space="0" w:color="auto"/>
        <w:bottom w:val="none" w:sz="0" w:space="0" w:color="auto"/>
        <w:right w:val="none" w:sz="0" w:space="0" w:color="auto"/>
      </w:divBdr>
    </w:div>
    <w:div w:id="546257397">
      <w:marLeft w:val="0"/>
      <w:marRight w:val="0"/>
      <w:marTop w:val="0"/>
      <w:marBottom w:val="0"/>
      <w:divBdr>
        <w:top w:val="none" w:sz="0" w:space="0" w:color="auto"/>
        <w:left w:val="none" w:sz="0" w:space="0" w:color="auto"/>
        <w:bottom w:val="none" w:sz="0" w:space="0" w:color="auto"/>
        <w:right w:val="none" w:sz="0" w:space="0" w:color="auto"/>
      </w:divBdr>
    </w:div>
    <w:div w:id="546257398">
      <w:marLeft w:val="0"/>
      <w:marRight w:val="0"/>
      <w:marTop w:val="0"/>
      <w:marBottom w:val="0"/>
      <w:divBdr>
        <w:top w:val="none" w:sz="0" w:space="0" w:color="auto"/>
        <w:left w:val="none" w:sz="0" w:space="0" w:color="auto"/>
        <w:bottom w:val="none" w:sz="0" w:space="0" w:color="auto"/>
        <w:right w:val="none" w:sz="0" w:space="0" w:color="auto"/>
      </w:divBdr>
    </w:div>
    <w:div w:id="546257399">
      <w:marLeft w:val="0"/>
      <w:marRight w:val="0"/>
      <w:marTop w:val="0"/>
      <w:marBottom w:val="0"/>
      <w:divBdr>
        <w:top w:val="none" w:sz="0" w:space="0" w:color="auto"/>
        <w:left w:val="none" w:sz="0" w:space="0" w:color="auto"/>
        <w:bottom w:val="none" w:sz="0" w:space="0" w:color="auto"/>
        <w:right w:val="none" w:sz="0" w:space="0" w:color="auto"/>
      </w:divBdr>
    </w:div>
    <w:div w:id="546257400">
      <w:marLeft w:val="0"/>
      <w:marRight w:val="0"/>
      <w:marTop w:val="0"/>
      <w:marBottom w:val="0"/>
      <w:divBdr>
        <w:top w:val="none" w:sz="0" w:space="0" w:color="auto"/>
        <w:left w:val="none" w:sz="0" w:space="0" w:color="auto"/>
        <w:bottom w:val="none" w:sz="0" w:space="0" w:color="auto"/>
        <w:right w:val="none" w:sz="0" w:space="0" w:color="auto"/>
      </w:divBdr>
      <w:divsChild>
        <w:div w:id="546257365">
          <w:marLeft w:val="547"/>
          <w:marRight w:val="0"/>
          <w:marTop w:val="154"/>
          <w:marBottom w:val="0"/>
          <w:divBdr>
            <w:top w:val="none" w:sz="0" w:space="0" w:color="auto"/>
            <w:left w:val="none" w:sz="0" w:space="0" w:color="auto"/>
            <w:bottom w:val="none" w:sz="0" w:space="0" w:color="auto"/>
            <w:right w:val="none" w:sz="0" w:space="0" w:color="auto"/>
          </w:divBdr>
        </w:div>
      </w:divsChild>
    </w:div>
    <w:div w:id="546257401">
      <w:marLeft w:val="0"/>
      <w:marRight w:val="0"/>
      <w:marTop w:val="0"/>
      <w:marBottom w:val="0"/>
      <w:divBdr>
        <w:top w:val="none" w:sz="0" w:space="0" w:color="auto"/>
        <w:left w:val="none" w:sz="0" w:space="0" w:color="auto"/>
        <w:bottom w:val="none" w:sz="0" w:space="0" w:color="auto"/>
        <w:right w:val="none" w:sz="0" w:space="0" w:color="auto"/>
      </w:divBdr>
    </w:div>
    <w:div w:id="546257402">
      <w:marLeft w:val="0"/>
      <w:marRight w:val="0"/>
      <w:marTop w:val="0"/>
      <w:marBottom w:val="0"/>
      <w:divBdr>
        <w:top w:val="none" w:sz="0" w:space="0" w:color="auto"/>
        <w:left w:val="none" w:sz="0" w:space="0" w:color="auto"/>
        <w:bottom w:val="none" w:sz="0" w:space="0" w:color="auto"/>
        <w:right w:val="none" w:sz="0" w:space="0" w:color="auto"/>
      </w:divBdr>
    </w:div>
    <w:div w:id="546257403">
      <w:marLeft w:val="0"/>
      <w:marRight w:val="0"/>
      <w:marTop w:val="0"/>
      <w:marBottom w:val="0"/>
      <w:divBdr>
        <w:top w:val="none" w:sz="0" w:space="0" w:color="auto"/>
        <w:left w:val="none" w:sz="0" w:space="0" w:color="auto"/>
        <w:bottom w:val="none" w:sz="0" w:space="0" w:color="auto"/>
        <w:right w:val="none" w:sz="0" w:space="0" w:color="auto"/>
      </w:divBdr>
    </w:div>
    <w:div w:id="546257404">
      <w:marLeft w:val="0"/>
      <w:marRight w:val="0"/>
      <w:marTop w:val="0"/>
      <w:marBottom w:val="0"/>
      <w:divBdr>
        <w:top w:val="none" w:sz="0" w:space="0" w:color="auto"/>
        <w:left w:val="none" w:sz="0" w:space="0" w:color="auto"/>
        <w:bottom w:val="none" w:sz="0" w:space="0" w:color="auto"/>
        <w:right w:val="none" w:sz="0" w:space="0" w:color="auto"/>
      </w:divBdr>
    </w:div>
    <w:div w:id="546257405">
      <w:marLeft w:val="0"/>
      <w:marRight w:val="0"/>
      <w:marTop w:val="0"/>
      <w:marBottom w:val="0"/>
      <w:divBdr>
        <w:top w:val="none" w:sz="0" w:space="0" w:color="auto"/>
        <w:left w:val="none" w:sz="0" w:space="0" w:color="auto"/>
        <w:bottom w:val="none" w:sz="0" w:space="0" w:color="auto"/>
        <w:right w:val="none" w:sz="0" w:space="0" w:color="auto"/>
      </w:divBdr>
    </w:div>
    <w:div w:id="546257406">
      <w:marLeft w:val="0"/>
      <w:marRight w:val="0"/>
      <w:marTop w:val="0"/>
      <w:marBottom w:val="0"/>
      <w:divBdr>
        <w:top w:val="none" w:sz="0" w:space="0" w:color="auto"/>
        <w:left w:val="none" w:sz="0" w:space="0" w:color="auto"/>
        <w:bottom w:val="none" w:sz="0" w:space="0" w:color="auto"/>
        <w:right w:val="none" w:sz="0" w:space="0" w:color="auto"/>
      </w:divBdr>
    </w:div>
    <w:div w:id="546257407">
      <w:marLeft w:val="0"/>
      <w:marRight w:val="0"/>
      <w:marTop w:val="0"/>
      <w:marBottom w:val="0"/>
      <w:divBdr>
        <w:top w:val="none" w:sz="0" w:space="0" w:color="auto"/>
        <w:left w:val="none" w:sz="0" w:space="0" w:color="auto"/>
        <w:bottom w:val="none" w:sz="0" w:space="0" w:color="auto"/>
        <w:right w:val="none" w:sz="0" w:space="0" w:color="auto"/>
      </w:divBdr>
    </w:div>
    <w:div w:id="546257408">
      <w:marLeft w:val="0"/>
      <w:marRight w:val="0"/>
      <w:marTop w:val="0"/>
      <w:marBottom w:val="0"/>
      <w:divBdr>
        <w:top w:val="none" w:sz="0" w:space="0" w:color="auto"/>
        <w:left w:val="none" w:sz="0" w:space="0" w:color="auto"/>
        <w:bottom w:val="none" w:sz="0" w:space="0" w:color="auto"/>
        <w:right w:val="none" w:sz="0" w:space="0" w:color="auto"/>
      </w:divBdr>
    </w:div>
    <w:div w:id="546257409">
      <w:marLeft w:val="0"/>
      <w:marRight w:val="0"/>
      <w:marTop w:val="0"/>
      <w:marBottom w:val="0"/>
      <w:divBdr>
        <w:top w:val="none" w:sz="0" w:space="0" w:color="auto"/>
        <w:left w:val="none" w:sz="0" w:space="0" w:color="auto"/>
        <w:bottom w:val="none" w:sz="0" w:space="0" w:color="auto"/>
        <w:right w:val="none" w:sz="0" w:space="0" w:color="auto"/>
      </w:divBdr>
    </w:div>
    <w:div w:id="546257410">
      <w:marLeft w:val="0"/>
      <w:marRight w:val="0"/>
      <w:marTop w:val="0"/>
      <w:marBottom w:val="0"/>
      <w:divBdr>
        <w:top w:val="none" w:sz="0" w:space="0" w:color="auto"/>
        <w:left w:val="none" w:sz="0" w:space="0" w:color="auto"/>
        <w:bottom w:val="none" w:sz="0" w:space="0" w:color="auto"/>
        <w:right w:val="none" w:sz="0" w:space="0" w:color="auto"/>
      </w:divBdr>
    </w:div>
    <w:div w:id="151534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7055</Words>
  <Characters>39909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2015-03-05T23:56:00Z</dcterms:created>
  <dcterms:modified xsi:type="dcterms:W3CDTF">2015-03-06T00:00:00Z</dcterms:modified>
</cp:coreProperties>
</file>