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92" w:rsidRDefault="006F7F92" w:rsidP="00D975E0">
      <w:pPr>
        <w:jc w:val="both"/>
        <w:rPr>
          <w:rFonts w:ascii="Arial" w:hAnsi="Arial"/>
          <w:b/>
          <w:sz w:val="28"/>
          <w:szCs w:val="28"/>
        </w:rPr>
      </w:pPr>
      <w:r>
        <w:rPr>
          <w:rFonts w:ascii="Arial" w:hAnsi="Arial"/>
          <w:b/>
          <w:sz w:val="28"/>
          <w:szCs w:val="28"/>
        </w:rPr>
        <w:t>CAPECITABIINE</w:t>
      </w:r>
    </w:p>
    <w:p w:rsidR="006F7F92" w:rsidRDefault="007D08DB" w:rsidP="00D975E0">
      <w:pPr>
        <w:jc w:val="both"/>
        <w:rPr>
          <w:rFonts w:ascii="Arial" w:hAnsi="Arial"/>
          <w:b/>
          <w:sz w:val="28"/>
          <w:szCs w:val="28"/>
        </w:rPr>
      </w:pPr>
      <w:r>
        <w:rPr>
          <w:rFonts w:ascii="Arial" w:hAnsi="Arial"/>
          <w:b/>
          <w:sz w:val="28"/>
          <w:szCs w:val="28"/>
        </w:rPr>
        <w:t>tablets, 15</w:t>
      </w:r>
      <w:bookmarkStart w:id="0" w:name="_GoBack"/>
      <w:bookmarkEnd w:id="0"/>
      <w:r>
        <w:rPr>
          <w:rFonts w:ascii="Arial" w:hAnsi="Arial"/>
          <w:b/>
          <w:sz w:val="28"/>
          <w:szCs w:val="28"/>
        </w:rPr>
        <w:t>0 mg and 500 mg</w:t>
      </w:r>
      <w:r w:rsidR="006F7F92">
        <w:rPr>
          <w:rFonts w:ascii="Arial" w:hAnsi="Arial"/>
          <w:b/>
          <w:sz w:val="28"/>
          <w:szCs w:val="28"/>
        </w:rPr>
        <w:t>;</w:t>
      </w:r>
    </w:p>
    <w:p w:rsidR="006F7F92" w:rsidRDefault="007D08DB" w:rsidP="00D975E0">
      <w:pPr>
        <w:jc w:val="both"/>
        <w:rPr>
          <w:rFonts w:ascii="Arial" w:hAnsi="Arial"/>
          <w:b/>
          <w:sz w:val="28"/>
          <w:szCs w:val="28"/>
        </w:rPr>
      </w:pPr>
      <w:proofErr w:type="spellStart"/>
      <w:r>
        <w:rPr>
          <w:rFonts w:ascii="Arial" w:hAnsi="Arial"/>
          <w:b/>
          <w:sz w:val="28"/>
          <w:szCs w:val="28"/>
        </w:rPr>
        <w:t>Xeloda</w:t>
      </w:r>
      <w:proofErr w:type="spellEnd"/>
      <w:r>
        <w:rPr>
          <w:rFonts w:ascii="Arial" w:hAnsi="Arial" w:cs="Arial"/>
          <w:b/>
          <w:sz w:val="28"/>
          <w:szCs w:val="28"/>
          <w:vertAlign w:val="superscript"/>
        </w:rPr>
        <w:t>®</w:t>
      </w:r>
      <w:r w:rsidRPr="00DB4C75">
        <w:rPr>
          <w:rFonts w:ascii="Arial" w:hAnsi="Arial"/>
          <w:b/>
          <w:sz w:val="28"/>
          <w:szCs w:val="28"/>
        </w:rPr>
        <w:t xml:space="preserve">, </w:t>
      </w:r>
      <w:r w:rsidR="000812C3">
        <w:rPr>
          <w:rFonts w:ascii="Arial" w:hAnsi="Arial"/>
          <w:b/>
          <w:sz w:val="28"/>
          <w:szCs w:val="28"/>
        </w:rPr>
        <w:t xml:space="preserve">Roche </w:t>
      </w:r>
      <w:r w:rsidR="006F7F92">
        <w:rPr>
          <w:rFonts w:ascii="Arial" w:hAnsi="Arial"/>
          <w:b/>
          <w:sz w:val="28"/>
          <w:szCs w:val="28"/>
        </w:rPr>
        <w:t>Products Pty Ltd;</w:t>
      </w:r>
    </w:p>
    <w:p w:rsidR="006F7F92" w:rsidRDefault="007D08DB" w:rsidP="00D975E0">
      <w:pPr>
        <w:jc w:val="both"/>
        <w:rPr>
          <w:rFonts w:ascii="Arial" w:hAnsi="Arial"/>
          <w:b/>
          <w:sz w:val="28"/>
          <w:szCs w:val="28"/>
        </w:rPr>
      </w:pPr>
      <w:r w:rsidRPr="00DB4C75">
        <w:rPr>
          <w:rFonts w:ascii="Arial" w:hAnsi="Arial"/>
          <w:b/>
          <w:sz w:val="28"/>
          <w:szCs w:val="28"/>
        </w:rPr>
        <w:t xml:space="preserve">Capecitabine </w:t>
      </w:r>
      <w:proofErr w:type="spellStart"/>
      <w:r w:rsidRPr="00DB4C75">
        <w:rPr>
          <w:rFonts w:ascii="Arial" w:hAnsi="Arial"/>
          <w:b/>
          <w:sz w:val="28"/>
          <w:szCs w:val="28"/>
        </w:rPr>
        <w:t>Actavis</w:t>
      </w:r>
      <w:proofErr w:type="spellEnd"/>
      <w:r w:rsidRPr="00DB4C75">
        <w:rPr>
          <w:rFonts w:ascii="Arial" w:hAnsi="Arial" w:cs="Arial"/>
          <w:b/>
          <w:sz w:val="28"/>
          <w:szCs w:val="28"/>
          <w:vertAlign w:val="superscript"/>
        </w:rPr>
        <w:t>®</w:t>
      </w:r>
      <w:r w:rsidRPr="00DB4C75">
        <w:rPr>
          <w:rFonts w:ascii="Arial" w:hAnsi="Arial"/>
          <w:b/>
          <w:sz w:val="28"/>
          <w:szCs w:val="28"/>
        </w:rPr>
        <w:t xml:space="preserve">, </w:t>
      </w:r>
      <w:proofErr w:type="spellStart"/>
      <w:r w:rsidR="006F7F92">
        <w:rPr>
          <w:rFonts w:ascii="Arial" w:hAnsi="Arial"/>
          <w:b/>
          <w:sz w:val="28"/>
          <w:szCs w:val="28"/>
        </w:rPr>
        <w:t>Activs</w:t>
      </w:r>
      <w:proofErr w:type="spellEnd"/>
      <w:r w:rsidR="006F7F92">
        <w:rPr>
          <w:rFonts w:ascii="Arial" w:hAnsi="Arial"/>
          <w:b/>
          <w:sz w:val="28"/>
          <w:szCs w:val="28"/>
        </w:rPr>
        <w:t xml:space="preserve"> Pty Ltd;</w:t>
      </w:r>
      <w:r w:rsidR="00DF30F0" w:rsidRPr="00DB4C75">
        <w:rPr>
          <w:rFonts w:ascii="Arial" w:hAnsi="Arial"/>
          <w:b/>
          <w:sz w:val="28"/>
          <w:szCs w:val="28"/>
        </w:rPr>
        <w:t xml:space="preserve"> </w:t>
      </w:r>
    </w:p>
    <w:p w:rsidR="006F7F92" w:rsidRDefault="00DF30F0" w:rsidP="00D975E0">
      <w:pPr>
        <w:jc w:val="both"/>
        <w:rPr>
          <w:rFonts w:ascii="Arial" w:hAnsi="Arial"/>
          <w:b/>
          <w:sz w:val="28"/>
          <w:szCs w:val="28"/>
        </w:rPr>
      </w:pPr>
      <w:r w:rsidRPr="00DB4C75">
        <w:rPr>
          <w:rFonts w:ascii="Arial" w:hAnsi="Arial"/>
          <w:b/>
          <w:sz w:val="28"/>
          <w:szCs w:val="28"/>
        </w:rPr>
        <w:t xml:space="preserve">Capecitabine </w:t>
      </w:r>
      <w:proofErr w:type="spellStart"/>
      <w:r w:rsidRPr="00DB4C75">
        <w:rPr>
          <w:rFonts w:ascii="Arial" w:hAnsi="Arial"/>
          <w:b/>
          <w:sz w:val="28"/>
          <w:szCs w:val="28"/>
        </w:rPr>
        <w:t>Alphapharm</w:t>
      </w:r>
      <w:proofErr w:type="spellEnd"/>
      <w:r w:rsidRPr="00DB4C75">
        <w:rPr>
          <w:rFonts w:ascii="Arial" w:hAnsi="Arial" w:cs="Arial"/>
          <w:b/>
          <w:sz w:val="28"/>
          <w:szCs w:val="28"/>
          <w:vertAlign w:val="superscript"/>
        </w:rPr>
        <w:t>®</w:t>
      </w:r>
      <w:r w:rsidRPr="00DB4C75">
        <w:rPr>
          <w:rFonts w:ascii="Arial" w:hAnsi="Arial"/>
          <w:b/>
          <w:sz w:val="28"/>
          <w:szCs w:val="28"/>
        </w:rPr>
        <w:t xml:space="preserve">, </w:t>
      </w:r>
      <w:proofErr w:type="spellStart"/>
      <w:r w:rsidR="006F7F92">
        <w:rPr>
          <w:rFonts w:ascii="Arial" w:hAnsi="Arial"/>
          <w:b/>
          <w:sz w:val="28"/>
          <w:szCs w:val="28"/>
        </w:rPr>
        <w:t>Alphapharm</w:t>
      </w:r>
      <w:proofErr w:type="spellEnd"/>
      <w:r w:rsidR="006F7F92">
        <w:rPr>
          <w:rFonts w:ascii="Arial" w:hAnsi="Arial"/>
          <w:b/>
          <w:sz w:val="28"/>
          <w:szCs w:val="28"/>
        </w:rPr>
        <w:t xml:space="preserve"> Pty Ltd;</w:t>
      </w:r>
    </w:p>
    <w:p w:rsidR="006F7F92" w:rsidRDefault="006F7F92" w:rsidP="00D975E0">
      <w:pPr>
        <w:jc w:val="both"/>
        <w:rPr>
          <w:rFonts w:ascii="Arial" w:hAnsi="Arial"/>
          <w:b/>
          <w:sz w:val="28"/>
          <w:szCs w:val="28"/>
        </w:rPr>
      </w:pPr>
      <w:r>
        <w:rPr>
          <w:rFonts w:ascii="Arial" w:hAnsi="Arial"/>
          <w:b/>
          <w:sz w:val="28"/>
          <w:szCs w:val="28"/>
        </w:rPr>
        <w:t xml:space="preserve">Capecitabine </w:t>
      </w:r>
      <w:proofErr w:type="spellStart"/>
      <w:r w:rsidR="00DF30F0" w:rsidRPr="00DB4C75">
        <w:rPr>
          <w:rFonts w:ascii="Arial" w:hAnsi="Arial"/>
          <w:b/>
          <w:sz w:val="28"/>
          <w:szCs w:val="28"/>
        </w:rPr>
        <w:t>Apotex</w:t>
      </w:r>
      <w:proofErr w:type="spellEnd"/>
      <w:r w:rsidR="00DF30F0" w:rsidRPr="00DB4C75">
        <w:rPr>
          <w:rFonts w:ascii="Arial" w:hAnsi="Arial" w:cs="Arial"/>
          <w:b/>
          <w:sz w:val="28"/>
          <w:szCs w:val="28"/>
          <w:vertAlign w:val="superscript"/>
        </w:rPr>
        <w:t>®</w:t>
      </w:r>
      <w:r>
        <w:rPr>
          <w:rFonts w:ascii="Arial" w:hAnsi="Arial"/>
          <w:b/>
          <w:sz w:val="28"/>
          <w:szCs w:val="28"/>
        </w:rPr>
        <w:t xml:space="preserve">, </w:t>
      </w:r>
      <w:proofErr w:type="spellStart"/>
      <w:r>
        <w:rPr>
          <w:rFonts w:ascii="Arial" w:hAnsi="Arial"/>
          <w:b/>
          <w:sz w:val="28"/>
          <w:szCs w:val="28"/>
        </w:rPr>
        <w:t>Apotex</w:t>
      </w:r>
      <w:proofErr w:type="spellEnd"/>
      <w:r>
        <w:rPr>
          <w:rFonts w:ascii="Arial" w:hAnsi="Arial"/>
          <w:b/>
          <w:sz w:val="28"/>
          <w:szCs w:val="28"/>
        </w:rPr>
        <w:t xml:space="preserve"> Pty Ltd;</w:t>
      </w:r>
    </w:p>
    <w:p w:rsidR="006F7F92" w:rsidRDefault="00DF30F0" w:rsidP="00D975E0">
      <w:pPr>
        <w:jc w:val="both"/>
        <w:rPr>
          <w:rFonts w:ascii="Arial" w:hAnsi="Arial"/>
          <w:b/>
          <w:sz w:val="28"/>
          <w:szCs w:val="28"/>
        </w:rPr>
      </w:pPr>
      <w:r w:rsidRPr="00DB4C75">
        <w:rPr>
          <w:rFonts w:ascii="Arial" w:hAnsi="Arial"/>
          <w:b/>
          <w:sz w:val="28"/>
          <w:szCs w:val="28"/>
        </w:rPr>
        <w:t>Capecitabine-DRLA</w:t>
      </w:r>
      <w:r w:rsidRPr="00DB4C75">
        <w:rPr>
          <w:rFonts w:ascii="Arial" w:hAnsi="Arial" w:cs="Arial"/>
          <w:b/>
          <w:sz w:val="28"/>
          <w:szCs w:val="28"/>
          <w:vertAlign w:val="superscript"/>
        </w:rPr>
        <w:t>®</w:t>
      </w:r>
      <w:r w:rsidRPr="00DB4C75">
        <w:rPr>
          <w:rFonts w:ascii="Arial" w:hAnsi="Arial"/>
          <w:b/>
          <w:sz w:val="28"/>
          <w:szCs w:val="28"/>
        </w:rPr>
        <w:t>, Dr Reddy’s La</w:t>
      </w:r>
      <w:r w:rsidR="006F7F92">
        <w:rPr>
          <w:rFonts w:ascii="Arial" w:hAnsi="Arial"/>
          <w:b/>
          <w:sz w:val="28"/>
          <w:szCs w:val="28"/>
        </w:rPr>
        <w:t xml:space="preserve">boratories (Australia) Pty Ltd; </w:t>
      </w:r>
      <w:r w:rsidRPr="00DB4C75">
        <w:rPr>
          <w:rFonts w:ascii="Arial" w:hAnsi="Arial"/>
          <w:b/>
          <w:sz w:val="28"/>
          <w:szCs w:val="28"/>
        </w:rPr>
        <w:t>Capecitabine GH</w:t>
      </w:r>
      <w:r w:rsidRPr="00DB4C75">
        <w:rPr>
          <w:rFonts w:ascii="Arial" w:hAnsi="Arial" w:cs="Arial"/>
          <w:b/>
          <w:sz w:val="28"/>
          <w:szCs w:val="28"/>
          <w:vertAlign w:val="superscript"/>
        </w:rPr>
        <w:t>®</w:t>
      </w:r>
      <w:r w:rsidR="006F7F92">
        <w:rPr>
          <w:rFonts w:ascii="Arial" w:hAnsi="Arial"/>
          <w:b/>
          <w:sz w:val="28"/>
          <w:szCs w:val="28"/>
        </w:rPr>
        <w:t>, Generic Health Pty Ltd;</w:t>
      </w:r>
    </w:p>
    <w:p w:rsidR="006F7F92" w:rsidRDefault="00DF30F0" w:rsidP="00D975E0">
      <w:pPr>
        <w:jc w:val="both"/>
        <w:rPr>
          <w:rFonts w:ascii="Arial" w:hAnsi="Arial"/>
          <w:b/>
          <w:sz w:val="28"/>
          <w:szCs w:val="28"/>
        </w:rPr>
      </w:pPr>
      <w:r w:rsidRPr="00DB4C75">
        <w:rPr>
          <w:rFonts w:ascii="Arial" w:hAnsi="Arial"/>
          <w:b/>
          <w:sz w:val="28"/>
          <w:szCs w:val="28"/>
        </w:rPr>
        <w:t>Capecitabine Sandoz</w:t>
      </w:r>
      <w:r w:rsidRPr="00DB4C75">
        <w:rPr>
          <w:rFonts w:ascii="Arial" w:hAnsi="Arial" w:cs="Arial"/>
          <w:b/>
          <w:sz w:val="28"/>
          <w:szCs w:val="28"/>
          <w:vertAlign w:val="superscript"/>
        </w:rPr>
        <w:t>®</w:t>
      </w:r>
      <w:r w:rsidR="006F7F92">
        <w:rPr>
          <w:rFonts w:ascii="Arial" w:hAnsi="Arial"/>
          <w:b/>
          <w:sz w:val="28"/>
          <w:szCs w:val="28"/>
        </w:rPr>
        <w:t>, Sandoz Pty Ltd;</w:t>
      </w:r>
    </w:p>
    <w:p w:rsidR="00206F67" w:rsidRPr="00DF30F0" w:rsidRDefault="00DF30F0" w:rsidP="00D975E0">
      <w:pPr>
        <w:jc w:val="both"/>
        <w:rPr>
          <w:rFonts w:ascii="Arial" w:hAnsi="Arial"/>
          <w:sz w:val="28"/>
          <w:szCs w:val="28"/>
        </w:rPr>
      </w:pPr>
      <w:proofErr w:type="spellStart"/>
      <w:proofErr w:type="gramStart"/>
      <w:r w:rsidRPr="00DB4C75">
        <w:rPr>
          <w:rFonts w:ascii="Arial" w:hAnsi="Arial"/>
          <w:b/>
          <w:sz w:val="28"/>
          <w:szCs w:val="28"/>
        </w:rPr>
        <w:t>Xelabine</w:t>
      </w:r>
      <w:proofErr w:type="spellEnd"/>
      <w:r w:rsidRPr="00DB4C75">
        <w:rPr>
          <w:rFonts w:ascii="Arial" w:hAnsi="Arial" w:cs="Arial"/>
          <w:b/>
          <w:sz w:val="28"/>
          <w:szCs w:val="28"/>
          <w:vertAlign w:val="superscript"/>
        </w:rPr>
        <w:t>®</w:t>
      </w:r>
      <w:r w:rsidRPr="00DB4C75">
        <w:rPr>
          <w:rFonts w:ascii="Arial" w:hAnsi="Arial"/>
          <w:b/>
          <w:sz w:val="28"/>
          <w:szCs w:val="28"/>
        </w:rPr>
        <w:t xml:space="preserve">, Aspen </w:t>
      </w:r>
      <w:proofErr w:type="spellStart"/>
      <w:r w:rsidRPr="00DB4C75">
        <w:rPr>
          <w:rFonts w:ascii="Arial" w:hAnsi="Arial"/>
          <w:b/>
          <w:sz w:val="28"/>
          <w:szCs w:val="28"/>
        </w:rPr>
        <w:t>Pharma</w:t>
      </w:r>
      <w:proofErr w:type="spellEnd"/>
      <w:r w:rsidRPr="00DB4C75">
        <w:rPr>
          <w:rFonts w:ascii="Arial" w:hAnsi="Arial"/>
          <w:b/>
          <w:sz w:val="28"/>
          <w:szCs w:val="28"/>
        </w:rPr>
        <w:t xml:space="preserve"> Pty Ltd</w:t>
      </w:r>
      <w:r w:rsidR="006F7F92">
        <w:rPr>
          <w:rFonts w:ascii="Arial" w:hAnsi="Arial"/>
          <w:b/>
          <w:sz w:val="28"/>
          <w:szCs w:val="28"/>
        </w:rPr>
        <w:t>.</w:t>
      </w:r>
      <w:proofErr w:type="gramEnd"/>
    </w:p>
    <w:p w:rsidR="00206F67" w:rsidRDefault="00206F67" w:rsidP="00D975E0">
      <w:pPr>
        <w:ind w:left="720" w:hanging="720"/>
        <w:jc w:val="both"/>
        <w:rPr>
          <w:rFonts w:ascii="Arial" w:hAnsi="Arial"/>
          <w:b/>
          <w:sz w:val="28"/>
          <w:szCs w:val="28"/>
        </w:rPr>
      </w:pPr>
    </w:p>
    <w:p w:rsidR="006F7F92" w:rsidRDefault="00310350" w:rsidP="00D975E0">
      <w:pPr>
        <w:ind w:left="720" w:hanging="720"/>
        <w:jc w:val="both"/>
        <w:rPr>
          <w:rFonts w:ascii="Arial" w:hAnsi="Arial"/>
          <w:b/>
          <w:sz w:val="28"/>
          <w:szCs w:val="28"/>
        </w:rPr>
      </w:pPr>
      <w:r>
        <w:rPr>
          <w:rFonts w:ascii="Arial" w:hAnsi="Arial"/>
          <w:b/>
          <w:sz w:val="28"/>
          <w:szCs w:val="28"/>
        </w:rPr>
        <w:t>MEG</w:t>
      </w:r>
      <w:r w:rsidR="00206F67" w:rsidRPr="00206F67">
        <w:rPr>
          <w:rFonts w:ascii="Arial" w:hAnsi="Arial"/>
          <w:b/>
          <w:sz w:val="28"/>
          <w:szCs w:val="28"/>
        </w:rPr>
        <w:t>ESTROL</w:t>
      </w:r>
    </w:p>
    <w:p w:rsidR="006F7F92" w:rsidRDefault="00DB4C75" w:rsidP="00D975E0">
      <w:pPr>
        <w:ind w:left="720" w:hanging="720"/>
        <w:jc w:val="both"/>
        <w:rPr>
          <w:rFonts w:ascii="Arial" w:hAnsi="Arial"/>
          <w:b/>
          <w:sz w:val="28"/>
          <w:szCs w:val="28"/>
        </w:rPr>
      </w:pPr>
      <w:proofErr w:type="gramStart"/>
      <w:r>
        <w:rPr>
          <w:rFonts w:ascii="Arial" w:hAnsi="Arial"/>
          <w:b/>
          <w:sz w:val="28"/>
          <w:szCs w:val="28"/>
        </w:rPr>
        <w:t>tablet</w:t>
      </w:r>
      <w:proofErr w:type="gramEnd"/>
      <w:r>
        <w:rPr>
          <w:rFonts w:ascii="Arial" w:hAnsi="Arial"/>
          <w:b/>
          <w:sz w:val="28"/>
          <w:szCs w:val="28"/>
        </w:rPr>
        <w:t>, 160 mg</w:t>
      </w:r>
      <w:r w:rsidR="006F7F92">
        <w:rPr>
          <w:rFonts w:ascii="Arial" w:hAnsi="Arial"/>
          <w:b/>
          <w:sz w:val="28"/>
          <w:szCs w:val="28"/>
        </w:rPr>
        <w:t>;</w:t>
      </w:r>
    </w:p>
    <w:p w:rsidR="00206F67" w:rsidRPr="00DB4C75" w:rsidRDefault="00DB4C75" w:rsidP="00D975E0">
      <w:pPr>
        <w:ind w:left="720" w:hanging="720"/>
        <w:jc w:val="both"/>
        <w:rPr>
          <w:rFonts w:ascii="Arial" w:hAnsi="Arial"/>
          <w:b/>
          <w:sz w:val="28"/>
          <w:szCs w:val="28"/>
        </w:rPr>
      </w:pPr>
      <w:proofErr w:type="spellStart"/>
      <w:proofErr w:type="gramStart"/>
      <w:r>
        <w:rPr>
          <w:rFonts w:ascii="Arial" w:hAnsi="Arial"/>
          <w:b/>
          <w:sz w:val="28"/>
          <w:szCs w:val="28"/>
        </w:rPr>
        <w:t>Megace</w:t>
      </w:r>
      <w:proofErr w:type="spellEnd"/>
      <w:r>
        <w:rPr>
          <w:rFonts w:ascii="Arial" w:hAnsi="Arial" w:cs="Arial"/>
          <w:b/>
          <w:sz w:val="28"/>
          <w:szCs w:val="28"/>
          <w:vertAlign w:val="superscript"/>
        </w:rPr>
        <w:t>®</w:t>
      </w:r>
      <w:r w:rsidR="00D975E0">
        <w:rPr>
          <w:rFonts w:ascii="Arial" w:hAnsi="Arial"/>
          <w:b/>
          <w:sz w:val="28"/>
          <w:szCs w:val="28"/>
        </w:rPr>
        <w:t xml:space="preserve">, Aspen </w:t>
      </w:r>
      <w:proofErr w:type="spellStart"/>
      <w:r w:rsidR="00D975E0">
        <w:rPr>
          <w:rFonts w:ascii="Arial" w:hAnsi="Arial"/>
          <w:b/>
          <w:sz w:val="28"/>
          <w:szCs w:val="28"/>
        </w:rPr>
        <w:t>Pharma</w:t>
      </w:r>
      <w:proofErr w:type="spellEnd"/>
      <w:r w:rsidR="00D975E0">
        <w:rPr>
          <w:rFonts w:ascii="Arial" w:hAnsi="Arial"/>
          <w:b/>
          <w:sz w:val="28"/>
          <w:szCs w:val="28"/>
        </w:rPr>
        <w:t xml:space="preserve"> </w:t>
      </w:r>
      <w:r>
        <w:rPr>
          <w:rFonts w:ascii="Arial" w:hAnsi="Arial"/>
          <w:b/>
          <w:sz w:val="28"/>
          <w:szCs w:val="28"/>
        </w:rPr>
        <w:t>Pty Ltd</w:t>
      </w:r>
      <w:r w:rsidR="006F7F92">
        <w:rPr>
          <w:rFonts w:ascii="Arial" w:hAnsi="Arial"/>
          <w:b/>
          <w:sz w:val="28"/>
          <w:szCs w:val="28"/>
        </w:rPr>
        <w:t>.</w:t>
      </w:r>
      <w:proofErr w:type="gramEnd"/>
    </w:p>
    <w:p w:rsidR="00206F67" w:rsidRDefault="00206F67" w:rsidP="00D975E0">
      <w:pPr>
        <w:ind w:left="720" w:hanging="720"/>
        <w:jc w:val="both"/>
        <w:rPr>
          <w:rFonts w:ascii="Arial" w:hAnsi="Arial"/>
          <w:b/>
          <w:sz w:val="28"/>
          <w:szCs w:val="28"/>
        </w:rPr>
      </w:pPr>
    </w:p>
    <w:p w:rsidR="006F7F92" w:rsidRDefault="00206F67" w:rsidP="00D975E0">
      <w:pPr>
        <w:jc w:val="both"/>
        <w:rPr>
          <w:rFonts w:ascii="Arial" w:hAnsi="Arial"/>
          <w:b/>
          <w:sz w:val="28"/>
          <w:szCs w:val="28"/>
        </w:rPr>
      </w:pPr>
      <w:r w:rsidRPr="00206F67">
        <w:rPr>
          <w:rFonts w:ascii="Arial" w:hAnsi="Arial"/>
          <w:b/>
          <w:sz w:val="28"/>
          <w:szCs w:val="28"/>
        </w:rPr>
        <w:t>TOREMIFENE</w:t>
      </w:r>
    </w:p>
    <w:p w:rsidR="006F7F92" w:rsidRDefault="006F7F92" w:rsidP="00D975E0">
      <w:pPr>
        <w:jc w:val="both"/>
        <w:rPr>
          <w:rFonts w:ascii="Arial" w:hAnsi="Arial"/>
          <w:b/>
          <w:sz w:val="28"/>
          <w:szCs w:val="28"/>
        </w:rPr>
      </w:pPr>
      <w:proofErr w:type="gramStart"/>
      <w:r>
        <w:rPr>
          <w:rFonts w:ascii="Arial" w:hAnsi="Arial"/>
          <w:b/>
          <w:sz w:val="28"/>
          <w:szCs w:val="28"/>
        </w:rPr>
        <w:t>tablet</w:t>
      </w:r>
      <w:proofErr w:type="gramEnd"/>
      <w:r>
        <w:rPr>
          <w:rFonts w:ascii="Arial" w:hAnsi="Arial"/>
          <w:b/>
          <w:sz w:val="28"/>
          <w:szCs w:val="28"/>
        </w:rPr>
        <w:t>, 60 mg;</w:t>
      </w:r>
      <w:r w:rsidR="00DB4C75">
        <w:rPr>
          <w:rFonts w:ascii="Arial" w:hAnsi="Arial"/>
          <w:b/>
          <w:sz w:val="28"/>
          <w:szCs w:val="28"/>
        </w:rPr>
        <w:t xml:space="preserve"> </w:t>
      </w:r>
    </w:p>
    <w:p w:rsidR="00206F67" w:rsidRPr="00DB4C75" w:rsidRDefault="00DB4C75" w:rsidP="00D975E0">
      <w:pPr>
        <w:jc w:val="both"/>
        <w:rPr>
          <w:rFonts w:ascii="Arial" w:hAnsi="Arial"/>
          <w:b/>
          <w:sz w:val="28"/>
          <w:szCs w:val="28"/>
        </w:rPr>
      </w:pPr>
      <w:proofErr w:type="spellStart"/>
      <w:proofErr w:type="gramStart"/>
      <w:r>
        <w:rPr>
          <w:rFonts w:ascii="Arial" w:hAnsi="Arial"/>
          <w:b/>
          <w:sz w:val="28"/>
          <w:szCs w:val="28"/>
        </w:rPr>
        <w:t>Fareston</w:t>
      </w:r>
      <w:proofErr w:type="spellEnd"/>
      <w:r>
        <w:rPr>
          <w:rFonts w:ascii="Arial" w:hAnsi="Arial" w:cs="Arial"/>
          <w:b/>
          <w:sz w:val="28"/>
          <w:szCs w:val="28"/>
          <w:vertAlign w:val="superscript"/>
        </w:rPr>
        <w:t>®</w:t>
      </w:r>
      <w:r w:rsidR="006F7F92">
        <w:rPr>
          <w:rFonts w:ascii="Arial" w:hAnsi="Arial"/>
          <w:b/>
          <w:sz w:val="28"/>
          <w:szCs w:val="28"/>
        </w:rPr>
        <w:t>,</w:t>
      </w:r>
      <w:r>
        <w:rPr>
          <w:rFonts w:ascii="Arial" w:hAnsi="Arial"/>
          <w:b/>
          <w:sz w:val="28"/>
          <w:szCs w:val="28"/>
        </w:rPr>
        <w:t xml:space="preserve"> Merck Sharp &amp; </w:t>
      </w:r>
      <w:proofErr w:type="spellStart"/>
      <w:r>
        <w:rPr>
          <w:rFonts w:ascii="Arial" w:hAnsi="Arial"/>
          <w:b/>
          <w:sz w:val="28"/>
          <w:szCs w:val="28"/>
        </w:rPr>
        <w:t>Dohme</w:t>
      </w:r>
      <w:proofErr w:type="spellEnd"/>
      <w:r>
        <w:rPr>
          <w:rFonts w:ascii="Arial" w:hAnsi="Arial"/>
          <w:b/>
          <w:sz w:val="28"/>
          <w:szCs w:val="28"/>
        </w:rPr>
        <w:t xml:space="preserve"> (Australia) Pty Ltd</w:t>
      </w:r>
      <w:r w:rsidR="006F7F92">
        <w:rPr>
          <w:rFonts w:ascii="Arial" w:hAnsi="Arial"/>
          <w:b/>
          <w:sz w:val="28"/>
          <w:szCs w:val="28"/>
        </w:rPr>
        <w:t>.</w:t>
      </w:r>
      <w:proofErr w:type="gramEnd"/>
    </w:p>
    <w:p w:rsidR="00206F67" w:rsidRDefault="00206F67" w:rsidP="00D975E0">
      <w:pPr>
        <w:ind w:left="720" w:hanging="720"/>
        <w:jc w:val="both"/>
        <w:rPr>
          <w:rFonts w:ascii="Arial" w:hAnsi="Arial"/>
          <w:b/>
          <w:sz w:val="28"/>
          <w:szCs w:val="28"/>
        </w:rPr>
      </w:pPr>
    </w:p>
    <w:p w:rsidR="006F7F92" w:rsidRDefault="00206F67" w:rsidP="00D975E0">
      <w:pPr>
        <w:jc w:val="both"/>
        <w:rPr>
          <w:rFonts w:ascii="Arial" w:hAnsi="Arial"/>
          <w:b/>
          <w:sz w:val="28"/>
          <w:szCs w:val="28"/>
        </w:rPr>
      </w:pPr>
      <w:r w:rsidRPr="00206F67">
        <w:rPr>
          <w:rFonts w:ascii="Arial" w:hAnsi="Arial"/>
          <w:b/>
          <w:sz w:val="28"/>
          <w:szCs w:val="28"/>
        </w:rPr>
        <w:t>VINORELBINE</w:t>
      </w:r>
    </w:p>
    <w:p w:rsidR="006F7F92" w:rsidRDefault="000812C3" w:rsidP="00D975E0">
      <w:pPr>
        <w:jc w:val="both"/>
        <w:rPr>
          <w:rFonts w:ascii="Arial" w:hAnsi="Arial"/>
          <w:b/>
          <w:sz w:val="28"/>
          <w:szCs w:val="28"/>
        </w:rPr>
      </w:pPr>
      <w:proofErr w:type="gramStart"/>
      <w:r>
        <w:rPr>
          <w:rFonts w:ascii="Arial" w:hAnsi="Arial"/>
          <w:b/>
          <w:sz w:val="28"/>
          <w:szCs w:val="28"/>
        </w:rPr>
        <w:t>vials</w:t>
      </w:r>
      <w:proofErr w:type="gramEnd"/>
      <w:r>
        <w:rPr>
          <w:rFonts w:ascii="Arial" w:hAnsi="Arial"/>
          <w:b/>
          <w:sz w:val="28"/>
          <w:szCs w:val="28"/>
        </w:rPr>
        <w:t xml:space="preserve"> for injection, </w:t>
      </w:r>
      <w:r w:rsidRPr="000812C3">
        <w:rPr>
          <w:rFonts w:ascii="Arial" w:hAnsi="Arial"/>
          <w:b/>
          <w:sz w:val="28"/>
          <w:szCs w:val="28"/>
        </w:rPr>
        <w:t xml:space="preserve">10 </w:t>
      </w:r>
      <w:r>
        <w:rPr>
          <w:rFonts w:ascii="Arial" w:hAnsi="Arial"/>
          <w:b/>
          <w:sz w:val="28"/>
          <w:szCs w:val="28"/>
        </w:rPr>
        <w:t>mg/mL injection, 1 x 1 mL vial and</w:t>
      </w:r>
      <w:r w:rsidRPr="000812C3">
        <w:rPr>
          <w:rFonts w:ascii="Arial" w:hAnsi="Arial"/>
          <w:b/>
          <w:sz w:val="28"/>
          <w:szCs w:val="28"/>
        </w:rPr>
        <w:t xml:space="preserve"> 50 mg/5 mL injection, 1 x 5 mL vial</w:t>
      </w:r>
      <w:r>
        <w:rPr>
          <w:rFonts w:ascii="Arial" w:hAnsi="Arial"/>
          <w:b/>
          <w:sz w:val="28"/>
          <w:szCs w:val="28"/>
        </w:rPr>
        <w:t xml:space="preserve">, </w:t>
      </w:r>
      <w:proofErr w:type="spellStart"/>
      <w:r>
        <w:rPr>
          <w:rFonts w:ascii="Arial" w:hAnsi="Arial"/>
          <w:b/>
          <w:sz w:val="28"/>
          <w:szCs w:val="28"/>
        </w:rPr>
        <w:t>Hospira</w:t>
      </w:r>
      <w:proofErr w:type="spellEnd"/>
      <w:r>
        <w:rPr>
          <w:rFonts w:ascii="Arial" w:hAnsi="Arial"/>
          <w:b/>
          <w:sz w:val="28"/>
          <w:szCs w:val="28"/>
        </w:rPr>
        <w:t xml:space="preserve"> Pty Ltd</w:t>
      </w:r>
      <w:r w:rsidR="006F7F92">
        <w:rPr>
          <w:rFonts w:ascii="Arial" w:hAnsi="Arial"/>
          <w:b/>
          <w:sz w:val="28"/>
          <w:szCs w:val="28"/>
        </w:rPr>
        <w:t>;</w:t>
      </w:r>
    </w:p>
    <w:p w:rsidR="006F7F92" w:rsidRDefault="000812C3" w:rsidP="00D975E0">
      <w:pPr>
        <w:jc w:val="both"/>
        <w:rPr>
          <w:rFonts w:ascii="Arial" w:hAnsi="Arial"/>
          <w:b/>
          <w:sz w:val="28"/>
          <w:szCs w:val="28"/>
        </w:rPr>
      </w:pPr>
      <w:proofErr w:type="spellStart"/>
      <w:r w:rsidRPr="000812C3">
        <w:rPr>
          <w:rFonts w:ascii="Arial" w:hAnsi="Arial"/>
          <w:b/>
          <w:sz w:val="28"/>
          <w:szCs w:val="28"/>
        </w:rPr>
        <w:t>Navelbine</w:t>
      </w:r>
      <w:proofErr w:type="spellEnd"/>
      <w:r>
        <w:rPr>
          <w:rFonts w:ascii="Arial" w:hAnsi="Arial" w:cs="Arial"/>
          <w:b/>
          <w:sz w:val="28"/>
          <w:szCs w:val="28"/>
          <w:vertAlign w:val="superscript"/>
        </w:rPr>
        <w:t>®</w:t>
      </w:r>
      <w:r>
        <w:rPr>
          <w:rFonts w:ascii="Arial" w:hAnsi="Arial"/>
          <w:b/>
          <w:sz w:val="28"/>
          <w:szCs w:val="28"/>
        </w:rPr>
        <w:t>, Pierre Fab</w:t>
      </w:r>
      <w:r w:rsidR="006F7F92">
        <w:rPr>
          <w:rFonts w:ascii="Arial" w:hAnsi="Arial"/>
          <w:b/>
          <w:sz w:val="28"/>
          <w:szCs w:val="28"/>
        </w:rPr>
        <w:t>re Medicament Australia Pty Ltd;</w:t>
      </w:r>
      <w:r>
        <w:rPr>
          <w:rFonts w:ascii="Arial" w:hAnsi="Arial"/>
          <w:b/>
          <w:sz w:val="28"/>
          <w:szCs w:val="28"/>
        </w:rPr>
        <w:t xml:space="preserve"> </w:t>
      </w:r>
    </w:p>
    <w:p w:rsidR="006F7F92" w:rsidRDefault="000812C3" w:rsidP="00D975E0">
      <w:pPr>
        <w:jc w:val="both"/>
        <w:rPr>
          <w:rFonts w:ascii="Arial" w:hAnsi="Arial"/>
          <w:b/>
          <w:sz w:val="28"/>
          <w:szCs w:val="28"/>
        </w:rPr>
      </w:pPr>
      <w:r w:rsidRPr="000812C3">
        <w:rPr>
          <w:rFonts w:ascii="Arial" w:hAnsi="Arial"/>
          <w:b/>
          <w:sz w:val="28"/>
          <w:szCs w:val="28"/>
        </w:rPr>
        <w:t xml:space="preserve">Vinorelbine </w:t>
      </w:r>
      <w:proofErr w:type="spellStart"/>
      <w:r w:rsidRPr="000812C3">
        <w:rPr>
          <w:rFonts w:ascii="Arial" w:hAnsi="Arial"/>
          <w:b/>
          <w:sz w:val="28"/>
          <w:szCs w:val="28"/>
        </w:rPr>
        <w:t>Ebewe</w:t>
      </w:r>
      <w:proofErr w:type="spellEnd"/>
      <w:r>
        <w:rPr>
          <w:rFonts w:ascii="Arial" w:hAnsi="Arial" w:cs="Arial"/>
          <w:b/>
          <w:sz w:val="28"/>
          <w:szCs w:val="28"/>
          <w:vertAlign w:val="superscript"/>
        </w:rPr>
        <w:t>®</w:t>
      </w:r>
      <w:r w:rsidR="006F7F92">
        <w:rPr>
          <w:rFonts w:ascii="Arial" w:hAnsi="Arial"/>
          <w:b/>
          <w:sz w:val="28"/>
          <w:szCs w:val="28"/>
        </w:rPr>
        <w:t>, Sandoz Pty Ltd;</w:t>
      </w:r>
    </w:p>
    <w:p w:rsidR="000812C3" w:rsidRPr="000812C3" w:rsidRDefault="000812C3" w:rsidP="00D975E0">
      <w:pPr>
        <w:jc w:val="both"/>
        <w:rPr>
          <w:rFonts w:ascii="Arial" w:hAnsi="Arial"/>
          <w:b/>
          <w:sz w:val="28"/>
          <w:szCs w:val="28"/>
        </w:rPr>
      </w:pPr>
      <w:proofErr w:type="gramStart"/>
      <w:r w:rsidRPr="000812C3">
        <w:rPr>
          <w:rFonts w:ascii="Arial" w:hAnsi="Arial"/>
          <w:b/>
          <w:sz w:val="28"/>
          <w:szCs w:val="28"/>
        </w:rPr>
        <w:t xml:space="preserve">Vinorelbine </w:t>
      </w:r>
      <w:proofErr w:type="spellStart"/>
      <w:r w:rsidRPr="000812C3">
        <w:rPr>
          <w:rFonts w:ascii="Arial" w:hAnsi="Arial"/>
          <w:b/>
          <w:sz w:val="28"/>
          <w:szCs w:val="28"/>
        </w:rPr>
        <w:t>Kabi</w:t>
      </w:r>
      <w:proofErr w:type="spellEnd"/>
      <w:r>
        <w:rPr>
          <w:rFonts w:ascii="Arial" w:hAnsi="Arial" w:cs="Arial"/>
          <w:b/>
          <w:sz w:val="28"/>
          <w:szCs w:val="28"/>
          <w:vertAlign w:val="superscript"/>
        </w:rPr>
        <w:t>®</w:t>
      </w:r>
      <w:r>
        <w:rPr>
          <w:rFonts w:ascii="Arial" w:hAnsi="Arial"/>
          <w:b/>
          <w:sz w:val="28"/>
          <w:szCs w:val="28"/>
        </w:rPr>
        <w:t xml:space="preserve">, Fresenius </w:t>
      </w:r>
      <w:proofErr w:type="spellStart"/>
      <w:r>
        <w:rPr>
          <w:rFonts w:ascii="Arial" w:hAnsi="Arial"/>
          <w:b/>
          <w:sz w:val="28"/>
          <w:szCs w:val="28"/>
        </w:rPr>
        <w:t>Kabi</w:t>
      </w:r>
      <w:proofErr w:type="spellEnd"/>
      <w:r>
        <w:rPr>
          <w:rFonts w:ascii="Arial" w:hAnsi="Arial"/>
          <w:b/>
          <w:sz w:val="28"/>
          <w:szCs w:val="28"/>
        </w:rPr>
        <w:t xml:space="preserve"> Australia Pty Ltd</w:t>
      </w:r>
      <w:r w:rsidR="006F7F92">
        <w:rPr>
          <w:rFonts w:ascii="Arial" w:hAnsi="Arial"/>
          <w:b/>
          <w:sz w:val="28"/>
          <w:szCs w:val="28"/>
        </w:rPr>
        <w:t>.</w:t>
      </w:r>
      <w:proofErr w:type="gramEnd"/>
    </w:p>
    <w:p w:rsidR="00206F67" w:rsidRDefault="00206F67" w:rsidP="00206F67">
      <w:pPr>
        <w:ind w:left="720" w:hanging="720"/>
        <w:rPr>
          <w:rFonts w:ascii="Arial" w:hAnsi="Arial"/>
          <w:b/>
          <w:sz w:val="28"/>
          <w:szCs w:val="28"/>
        </w:rPr>
      </w:pPr>
    </w:p>
    <w:p w:rsidR="006F7F92" w:rsidRPr="00206F67" w:rsidRDefault="006F7F92" w:rsidP="00206F67">
      <w:pPr>
        <w:ind w:left="720" w:hanging="720"/>
        <w:rPr>
          <w:rFonts w:ascii="Arial" w:hAnsi="Arial"/>
          <w:b/>
          <w:sz w:val="28"/>
          <w:szCs w:val="28"/>
        </w:rPr>
      </w:pPr>
    </w:p>
    <w:p w:rsidR="00206F67" w:rsidRPr="00206F67" w:rsidRDefault="00206F67" w:rsidP="00206F67">
      <w:pPr>
        <w:jc w:val="both"/>
        <w:rPr>
          <w:rFonts w:ascii="Arial" w:hAnsi="Arial"/>
          <w:b/>
          <w:sz w:val="22"/>
          <w:szCs w:val="22"/>
        </w:rPr>
      </w:pPr>
      <w:r w:rsidRPr="00206F67">
        <w:rPr>
          <w:rFonts w:ascii="Arial" w:hAnsi="Arial"/>
          <w:sz w:val="22"/>
          <w:szCs w:val="22"/>
        </w:rPr>
        <w:t>Correspondence from the Medical Oncology Group of Australia (MOGA) seeking to make the PBS restrictions less restrictive</w:t>
      </w:r>
      <w:r w:rsidRPr="00206F67">
        <w:rPr>
          <w:rFonts w:ascii="Arial" w:hAnsi="Arial"/>
          <w:b/>
          <w:sz w:val="22"/>
          <w:szCs w:val="22"/>
        </w:rPr>
        <w:t xml:space="preserve"> </w:t>
      </w:r>
      <w:r w:rsidRPr="00206F67">
        <w:rPr>
          <w:rFonts w:ascii="Arial" w:hAnsi="Arial"/>
          <w:sz w:val="22"/>
          <w:szCs w:val="22"/>
        </w:rPr>
        <w:t>dated 18 September 2014. (12.4)</w:t>
      </w:r>
    </w:p>
    <w:p w:rsidR="0085396B" w:rsidRPr="006D6EC7" w:rsidRDefault="0085396B" w:rsidP="00546166">
      <w:pPr>
        <w:ind w:left="720" w:hanging="720"/>
        <w:rPr>
          <w:rFonts w:ascii="Arial" w:hAnsi="Arial"/>
          <w:b/>
          <w:sz w:val="28"/>
          <w:szCs w:val="28"/>
        </w:rPr>
      </w:pPr>
    </w:p>
    <w:p w:rsidR="00CE10C4" w:rsidRDefault="00CE10C4"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327C9A">
        <w:rPr>
          <w:rFonts w:ascii="Arial" w:hAnsi="Arial"/>
          <w:b/>
          <w:sz w:val="22"/>
          <w:szCs w:val="22"/>
        </w:rPr>
        <w:t>Item</w:t>
      </w:r>
    </w:p>
    <w:p w:rsidR="006A12A5" w:rsidRPr="00882085" w:rsidRDefault="006A12A5" w:rsidP="00882085">
      <w:pPr>
        <w:jc w:val="both"/>
        <w:rPr>
          <w:rFonts w:ascii="Arial" w:hAnsi="Arial"/>
          <w:sz w:val="22"/>
          <w:szCs w:val="22"/>
        </w:rPr>
      </w:pPr>
    </w:p>
    <w:p w:rsidR="00EF44A0" w:rsidRDefault="00206F67" w:rsidP="00206F67">
      <w:pPr>
        <w:pStyle w:val="ListParagraph"/>
        <w:numPr>
          <w:ilvl w:val="1"/>
          <w:numId w:val="25"/>
        </w:numPr>
        <w:jc w:val="both"/>
        <w:rPr>
          <w:rFonts w:ascii="Arial" w:hAnsi="Arial"/>
          <w:sz w:val="22"/>
          <w:szCs w:val="22"/>
        </w:rPr>
      </w:pPr>
      <w:r>
        <w:rPr>
          <w:rFonts w:ascii="Arial" w:hAnsi="Arial"/>
          <w:sz w:val="22"/>
          <w:szCs w:val="22"/>
        </w:rPr>
        <w:t xml:space="preserve">The  Medical Oncology Group of Australia (MOGA) sought to </w:t>
      </w:r>
      <w:r w:rsidR="00310350">
        <w:rPr>
          <w:rFonts w:ascii="Arial" w:hAnsi="Arial"/>
          <w:sz w:val="22"/>
          <w:szCs w:val="22"/>
        </w:rPr>
        <w:t>have the drugs capecitabine, megestrol, toremifene and vinorelbine (in</w:t>
      </w:r>
      <w:r w:rsidR="009F454D">
        <w:rPr>
          <w:rFonts w:ascii="Arial" w:hAnsi="Arial"/>
          <w:sz w:val="22"/>
          <w:szCs w:val="22"/>
        </w:rPr>
        <w:t xml:space="preserve">jection </w:t>
      </w:r>
      <w:r w:rsidR="00310350">
        <w:rPr>
          <w:rFonts w:ascii="Arial" w:hAnsi="Arial"/>
          <w:sz w:val="22"/>
          <w:szCs w:val="22"/>
        </w:rPr>
        <w:t>presentation</w:t>
      </w:r>
      <w:r w:rsidR="009F454D">
        <w:rPr>
          <w:rFonts w:ascii="Arial" w:hAnsi="Arial"/>
          <w:sz w:val="22"/>
          <w:szCs w:val="22"/>
        </w:rPr>
        <w:t xml:space="preserve"> only</w:t>
      </w:r>
      <w:r w:rsidR="00310350">
        <w:rPr>
          <w:rFonts w:ascii="Arial" w:hAnsi="Arial"/>
          <w:sz w:val="22"/>
          <w:szCs w:val="22"/>
        </w:rPr>
        <w:t>) made available as unrestricted pharmaceutical benefits</w:t>
      </w:r>
      <w:r w:rsidR="007D08DB">
        <w:rPr>
          <w:rFonts w:ascii="Arial" w:hAnsi="Arial"/>
          <w:sz w:val="22"/>
          <w:szCs w:val="22"/>
        </w:rPr>
        <w:t xml:space="preserve"> </w:t>
      </w:r>
      <w:r w:rsidR="002A3C5B">
        <w:rPr>
          <w:rFonts w:ascii="Arial" w:hAnsi="Arial"/>
          <w:sz w:val="22"/>
          <w:szCs w:val="22"/>
        </w:rPr>
        <w:t>based on the view</w:t>
      </w:r>
      <w:r w:rsidR="007D08DB">
        <w:rPr>
          <w:rFonts w:ascii="Arial" w:hAnsi="Arial"/>
          <w:sz w:val="22"/>
          <w:szCs w:val="22"/>
        </w:rPr>
        <w:t xml:space="preserve"> that the long history of PBS listing</w:t>
      </w:r>
      <w:r w:rsidR="00310350">
        <w:rPr>
          <w:rFonts w:ascii="Arial" w:hAnsi="Arial"/>
          <w:sz w:val="22"/>
          <w:szCs w:val="22"/>
        </w:rPr>
        <w:t xml:space="preserve"> </w:t>
      </w:r>
      <w:r w:rsidR="007D08DB">
        <w:rPr>
          <w:rFonts w:ascii="Arial" w:hAnsi="Arial"/>
          <w:sz w:val="22"/>
          <w:szCs w:val="22"/>
        </w:rPr>
        <w:t>h</w:t>
      </w:r>
      <w:r w:rsidR="002A3C5B">
        <w:rPr>
          <w:rFonts w:ascii="Arial" w:hAnsi="Arial"/>
          <w:sz w:val="22"/>
          <w:szCs w:val="22"/>
        </w:rPr>
        <w:t>as</w:t>
      </w:r>
      <w:r w:rsidR="007D08DB">
        <w:rPr>
          <w:rFonts w:ascii="Arial" w:hAnsi="Arial"/>
          <w:sz w:val="22"/>
          <w:szCs w:val="22"/>
        </w:rPr>
        <w:t xml:space="preserve"> made these drugs significantly less costly compared to alternative PBS listed treatments for later lines of therapy</w:t>
      </w:r>
      <w:r w:rsidR="002A3C5B">
        <w:rPr>
          <w:rFonts w:ascii="Arial" w:hAnsi="Arial"/>
          <w:sz w:val="22"/>
          <w:szCs w:val="22"/>
        </w:rPr>
        <w:t xml:space="preserve"> and on the view</w:t>
      </w:r>
      <w:r w:rsidR="007D08DB">
        <w:rPr>
          <w:rFonts w:ascii="Arial" w:hAnsi="Arial"/>
          <w:sz w:val="22"/>
          <w:szCs w:val="22"/>
        </w:rPr>
        <w:t xml:space="preserve"> that they are unlikely to be prescribed for conditions outside of those for which they are currently PBS-listed</w:t>
      </w:r>
      <w:r w:rsidR="002A3C5B">
        <w:rPr>
          <w:rFonts w:ascii="Arial" w:hAnsi="Arial"/>
          <w:sz w:val="22"/>
          <w:szCs w:val="22"/>
        </w:rPr>
        <w:t xml:space="preserve"> irrespective of the PBS restriction level placed on them</w:t>
      </w:r>
      <w:r w:rsidR="007D08DB">
        <w:rPr>
          <w:rFonts w:ascii="Arial" w:hAnsi="Arial"/>
          <w:sz w:val="22"/>
          <w:szCs w:val="22"/>
        </w:rPr>
        <w:t xml:space="preserve">.   </w:t>
      </w:r>
    </w:p>
    <w:p w:rsidR="00923572" w:rsidRDefault="00923572" w:rsidP="00923572">
      <w:pPr>
        <w:jc w:val="both"/>
        <w:rPr>
          <w:rFonts w:ascii="Arial" w:hAnsi="Arial"/>
          <w:b/>
          <w:sz w:val="22"/>
          <w:szCs w:val="22"/>
        </w:rPr>
      </w:pPr>
    </w:p>
    <w:p w:rsidR="006F7F92" w:rsidRDefault="006F7F92">
      <w:pPr>
        <w:rPr>
          <w:rFonts w:ascii="Arial" w:hAnsi="Arial"/>
          <w:b/>
          <w:sz w:val="22"/>
          <w:szCs w:val="22"/>
        </w:rPr>
      </w:pPr>
      <w:r>
        <w:rPr>
          <w:rFonts w:ascii="Arial" w:hAnsi="Arial"/>
          <w:b/>
          <w:sz w:val="22"/>
          <w:szCs w:val="22"/>
        </w:rPr>
        <w:br w:type="page"/>
      </w:r>
    </w:p>
    <w:p w:rsidR="00D479F4" w:rsidRPr="00923572" w:rsidRDefault="00D479F4" w:rsidP="00923572">
      <w:pPr>
        <w:jc w:val="both"/>
        <w:rPr>
          <w:rFonts w:ascii="Arial" w:hAnsi="Arial"/>
          <w:b/>
          <w:sz w:val="22"/>
          <w:szCs w:val="22"/>
        </w:rPr>
      </w:pPr>
    </w:p>
    <w:p w:rsidR="00CE10C4" w:rsidRPr="003067AD" w:rsidRDefault="00CE10C4" w:rsidP="003067AD">
      <w:pPr>
        <w:pStyle w:val="ListParagraph"/>
        <w:numPr>
          <w:ilvl w:val="0"/>
          <w:numId w:val="25"/>
        </w:numPr>
        <w:jc w:val="both"/>
        <w:rPr>
          <w:rFonts w:ascii="Arial" w:hAnsi="Arial"/>
          <w:b/>
          <w:sz w:val="22"/>
          <w:szCs w:val="22"/>
        </w:rPr>
      </w:pPr>
      <w:r w:rsidRPr="003067AD">
        <w:rPr>
          <w:rFonts w:ascii="Arial" w:hAnsi="Arial"/>
          <w:b/>
          <w:sz w:val="22"/>
          <w:szCs w:val="22"/>
        </w:rPr>
        <w:t>Background</w:t>
      </w:r>
      <w:r w:rsidR="000B5A87" w:rsidRPr="003067AD">
        <w:rPr>
          <w:rFonts w:ascii="Arial" w:hAnsi="Arial"/>
          <w:b/>
          <w:sz w:val="22"/>
          <w:szCs w:val="22"/>
        </w:rPr>
        <w:t xml:space="preserve"> </w:t>
      </w:r>
    </w:p>
    <w:p w:rsidR="006A12A5" w:rsidRPr="00882085" w:rsidRDefault="006A12A5" w:rsidP="00882085">
      <w:pPr>
        <w:jc w:val="both"/>
        <w:rPr>
          <w:rFonts w:ascii="Arial" w:hAnsi="Arial"/>
          <w:sz w:val="22"/>
          <w:szCs w:val="22"/>
        </w:rPr>
      </w:pPr>
    </w:p>
    <w:p w:rsidR="007D08DB" w:rsidRPr="00930B3F" w:rsidRDefault="00310350" w:rsidP="00206F67">
      <w:pPr>
        <w:pStyle w:val="ListParagraph"/>
        <w:numPr>
          <w:ilvl w:val="1"/>
          <w:numId w:val="25"/>
        </w:numPr>
        <w:jc w:val="both"/>
        <w:rPr>
          <w:rFonts w:ascii="Arial" w:hAnsi="Arial"/>
          <w:b/>
          <w:sz w:val="22"/>
          <w:szCs w:val="22"/>
        </w:rPr>
      </w:pPr>
      <w:r>
        <w:rPr>
          <w:rFonts w:ascii="Arial" w:hAnsi="Arial"/>
          <w:sz w:val="22"/>
          <w:szCs w:val="22"/>
        </w:rPr>
        <w:t xml:space="preserve">At the time of MOGA’s request, the four drugs </w:t>
      </w:r>
      <w:r w:rsidR="007D08DB">
        <w:rPr>
          <w:rFonts w:ascii="Arial" w:hAnsi="Arial"/>
          <w:sz w:val="22"/>
          <w:szCs w:val="22"/>
        </w:rPr>
        <w:t xml:space="preserve">referred to by MOGA had the following </w:t>
      </w:r>
      <w:r w:rsidR="00DF30F0">
        <w:rPr>
          <w:rFonts w:ascii="Arial" w:hAnsi="Arial"/>
          <w:sz w:val="22"/>
          <w:szCs w:val="22"/>
        </w:rPr>
        <w:t>PBS restrictions in November 2014</w:t>
      </w:r>
      <w:r w:rsidR="007D08DB">
        <w:rPr>
          <w:rFonts w:ascii="Arial" w:hAnsi="Arial"/>
          <w:sz w:val="22"/>
          <w:szCs w:val="22"/>
        </w:rPr>
        <w:t>:</w:t>
      </w:r>
    </w:p>
    <w:p w:rsidR="00930B3F" w:rsidRDefault="00930B3F" w:rsidP="00930B3F">
      <w:pPr>
        <w:pStyle w:val="ListParagraph"/>
        <w:jc w:val="both"/>
        <w:rPr>
          <w:rFonts w:ascii="Arial" w:hAnsi="Arial"/>
          <w:sz w:val="22"/>
          <w:szCs w:val="22"/>
        </w:rPr>
      </w:pPr>
    </w:p>
    <w:p w:rsidR="00930B3F" w:rsidRPr="00DB4C75" w:rsidRDefault="00930B3F" w:rsidP="00930B3F">
      <w:pPr>
        <w:pStyle w:val="ListParagraph"/>
        <w:jc w:val="both"/>
        <w:rPr>
          <w:rFonts w:ascii="Arial" w:hAnsi="Arial" w:cs="Arial"/>
          <w:b/>
          <w:sz w:val="20"/>
          <w:szCs w:val="20"/>
        </w:rPr>
      </w:pPr>
      <w:r w:rsidRPr="00DB4C75">
        <w:rPr>
          <w:rFonts w:ascii="Arial" w:hAnsi="Arial" w:cs="Arial"/>
          <w:b/>
          <w:sz w:val="20"/>
          <w:szCs w:val="20"/>
        </w:rPr>
        <w:t>CAPECITABINE:</w:t>
      </w:r>
    </w:p>
    <w:p w:rsidR="00930B3F" w:rsidRPr="00DF30F0" w:rsidRDefault="00930B3F" w:rsidP="00930B3F">
      <w:pPr>
        <w:pStyle w:val="ListParagraph"/>
        <w:jc w:val="both"/>
        <w:rPr>
          <w:rFonts w:ascii="Arial Narrow" w:hAnsi="Arial Narrow"/>
          <w:b/>
          <w:sz w:val="20"/>
          <w:szCs w:val="20"/>
        </w:rPr>
      </w:pPr>
    </w:p>
    <w:p w:rsidR="00930B3F" w:rsidRPr="00DF30F0" w:rsidRDefault="00930B3F" w:rsidP="00930B3F">
      <w:pPr>
        <w:pStyle w:val="ListParagraph"/>
        <w:jc w:val="both"/>
        <w:rPr>
          <w:rFonts w:ascii="Arial Narrow" w:hAnsi="Arial Narrow"/>
          <w:sz w:val="20"/>
          <w:szCs w:val="20"/>
          <w:u w:val="single"/>
        </w:rPr>
      </w:pPr>
      <w:r w:rsidRPr="00DF30F0">
        <w:rPr>
          <w:rFonts w:ascii="Arial Narrow" w:hAnsi="Arial Narrow"/>
          <w:sz w:val="20"/>
          <w:szCs w:val="20"/>
          <w:u w:val="single"/>
        </w:rPr>
        <w:t>Authority Required</w:t>
      </w: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Advanced breast cancer after failure of prior therapy which includes a taxane and an anthracycline</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u w:val="single"/>
        </w:rPr>
      </w:pPr>
      <w:r w:rsidRPr="00DF30F0">
        <w:rPr>
          <w:rFonts w:ascii="Arial Narrow" w:hAnsi="Arial Narrow"/>
          <w:sz w:val="20"/>
          <w:szCs w:val="20"/>
          <w:u w:val="single"/>
        </w:rPr>
        <w:t>Authority Required</w:t>
      </w: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Advanced breast cancer where therapy with a taxane and/or an anthracycline is contraindicated</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u w:val="single"/>
        </w:rPr>
      </w:pPr>
      <w:r w:rsidRPr="00DF30F0">
        <w:rPr>
          <w:rFonts w:ascii="Arial Narrow" w:hAnsi="Arial Narrow"/>
          <w:sz w:val="20"/>
          <w:szCs w:val="20"/>
          <w:u w:val="single"/>
        </w:rPr>
        <w:t>Authority Required</w:t>
      </w: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Advanced breast cancer in combination with docetaxel after failure of prior anthracycline-containing chemotherapy</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u w:val="single"/>
        </w:rPr>
      </w:pPr>
      <w:r w:rsidRPr="00DF30F0">
        <w:rPr>
          <w:rFonts w:ascii="Arial Narrow" w:hAnsi="Arial Narrow"/>
          <w:sz w:val="20"/>
          <w:szCs w:val="20"/>
          <w:u w:val="single"/>
        </w:rPr>
        <w:t>Authority Required</w:t>
      </w: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Treatment of advanced or metastatic colorectal cancer</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u w:val="single"/>
        </w:rPr>
      </w:pPr>
      <w:r w:rsidRPr="00DF30F0">
        <w:rPr>
          <w:rFonts w:ascii="Arial Narrow" w:hAnsi="Arial Narrow"/>
          <w:sz w:val="20"/>
          <w:szCs w:val="20"/>
          <w:u w:val="single"/>
        </w:rPr>
        <w:t>Authority Required</w:t>
      </w: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Adjuvant treatment of stage III (Dukes C) colon cancer, following complete resection of the primary tumour either as:</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(a) monotherapy; or</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(b) in combination with oxaliplatin</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u w:val="single"/>
        </w:rPr>
      </w:pPr>
      <w:r w:rsidRPr="00DF30F0">
        <w:rPr>
          <w:rFonts w:ascii="Arial Narrow" w:hAnsi="Arial Narrow"/>
          <w:sz w:val="20"/>
          <w:szCs w:val="20"/>
          <w:u w:val="single"/>
        </w:rPr>
        <w:t>Authority Required</w:t>
      </w: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 xml:space="preserve">Advanced (Stage III or IV) oesophago-gastric cancer, previously untreated, in combination with a cisplatin-based regimen, in a patient with a WHO performance status of 2 or less </w:t>
      </w:r>
    </w:p>
    <w:p w:rsidR="00930B3F" w:rsidRDefault="00930B3F" w:rsidP="00930B3F">
      <w:pPr>
        <w:pStyle w:val="ListParagraph"/>
        <w:jc w:val="both"/>
        <w:rPr>
          <w:rFonts w:ascii="Arial" w:hAnsi="Arial"/>
          <w:b/>
          <w:sz w:val="22"/>
          <w:szCs w:val="22"/>
        </w:rPr>
      </w:pPr>
    </w:p>
    <w:p w:rsidR="00930B3F" w:rsidRPr="00DF30F0" w:rsidRDefault="00930B3F" w:rsidP="00930B3F">
      <w:pPr>
        <w:pStyle w:val="ListParagraph"/>
        <w:jc w:val="both"/>
        <w:rPr>
          <w:rFonts w:ascii="Arial Narrow" w:hAnsi="Arial Narrow"/>
          <w:sz w:val="20"/>
          <w:szCs w:val="20"/>
          <w:u w:val="single"/>
        </w:rPr>
      </w:pPr>
      <w:r w:rsidRPr="00DF30F0">
        <w:rPr>
          <w:rFonts w:ascii="Arial Narrow" w:hAnsi="Arial Narrow"/>
          <w:sz w:val="20"/>
          <w:szCs w:val="20"/>
          <w:u w:val="single"/>
        </w:rPr>
        <w:t>NOTE:</w:t>
      </w: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In the adjuvant setting, the recommended treatment duration is 24 weeks.</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Capecitabine is not PBS-subsidised for the treatment of patients with stage II (Dukes B) colon cancer.</w:t>
      </w:r>
    </w:p>
    <w:p w:rsidR="00930B3F" w:rsidRPr="00DF30F0" w:rsidRDefault="00930B3F" w:rsidP="00930B3F">
      <w:pPr>
        <w:pStyle w:val="ListParagraph"/>
        <w:jc w:val="both"/>
        <w:rPr>
          <w:rFonts w:ascii="Arial Narrow" w:hAnsi="Arial Narrow"/>
          <w:sz w:val="20"/>
          <w:szCs w:val="20"/>
        </w:rPr>
      </w:pPr>
    </w:p>
    <w:p w:rsidR="00930B3F" w:rsidRPr="00DF30F0" w:rsidRDefault="00930B3F" w:rsidP="00930B3F">
      <w:pPr>
        <w:pStyle w:val="ListParagraph"/>
        <w:jc w:val="both"/>
        <w:rPr>
          <w:rFonts w:ascii="Arial Narrow" w:hAnsi="Arial Narrow"/>
          <w:sz w:val="20"/>
          <w:szCs w:val="20"/>
        </w:rPr>
      </w:pPr>
      <w:r w:rsidRPr="00DF30F0">
        <w:rPr>
          <w:rFonts w:ascii="Arial Narrow" w:hAnsi="Arial Narrow"/>
          <w:sz w:val="20"/>
          <w:szCs w:val="20"/>
        </w:rPr>
        <w:t>Capecitabine is not PBS-subsidised for the adjuvant treatment of patients with rectal cancer.</w:t>
      </w:r>
    </w:p>
    <w:p w:rsidR="00930B3F" w:rsidRDefault="00930B3F" w:rsidP="00930B3F">
      <w:pPr>
        <w:pStyle w:val="ListParagraph"/>
        <w:jc w:val="both"/>
        <w:rPr>
          <w:rFonts w:ascii="Arial" w:hAnsi="Arial"/>
          <w:b/>
          <w:sz w:val="22"/>
          <w:szCs w:val="22"/>
        </w:rPr>
      </w:pPr>
    </w:p>
    <w:p w:rsidR="00930B3F" w:rsidRDefault="00930B3F" w:rsidP="00930B3F">
      <w:pPr>
        <w:pStyle w:val="ListParagraph"/>
        <w:jc w:val="both"/>
        <w:rPr>
          <w:rFonts w:ascii="Arial" w:hAnsi="Arial"/>
          <w:b/>
          <w:sz w:val="22"/>
          <w:szCs w:val="22"/>
        </w:rPr>
      </w:pPr>
    </w:p>
    <w:p w:rsidR="00930B3F" w:rsidRPr="00DB4C75" w:rsidRDefault="00930B3F" w:rsidP="00930B3F">
      <w:pPr>
        <w:pStyle w:val="ListParagraph"/>
        <w:jc w:val="both"/>
        <w:rPr>
          <w:rFonts w:ascii="Arial" w:hAnsi="Arial"/>
          <w:b/>
          <w:sz w:val="20"/>
          <w:szCs w:val="20"/>
        </w:rPr>
      </w:pPr>
      <w:r w:rsidRPr="00DB4C75">
        <w:rPr>
          <w:rFonts w:ascii="Arial" w:hAnsi="Arial"/>
          <w:b/>
          <w:sz w:val="20"/>
          <w:szCs w:val="20"/>
        </w:rPr>
        <w:t>MEGESTROL:</w:t>
      </w:r>
    </w:p>
    <w:p w:rsidR="00930B3F" w:rsidRDefault="00930B3F" w:rsidP="00930B3F">
      <w:pPr>
        <w:pStyle w:val="ListParagraph"/>
        <w:jc w:val="both"/>
        <w:rPr>
          <w:rFonts w:ascii="Arial" w:hAnsi="Arial"/>
          <w:b/>
          <w:sz w:val="22"/>
          <w:szCs w:val="22"/>
        </w:rPr>
      </w:pPr>
    </w:p>
    <w:p w:rsidR="00930B3F" w:rsidRPr="00DB4C75" w:rsidRDefault="00930B3F" w:rsidP="00930B3F">
      <w:pPr>
        <w:pStyle w:val="ListParagraph"/>
        <w:jc w:val="both"/>
        <w:rPr>
          <w:rFonts w:ascii="Arial Narrow" w:hAnsi="Arial Narrow"/>
          <w:sz w:val="20"/>
          <w:szCs w:val="20"/>
          <w:u w:val="single"/>
        </w:rPr>
      </w:pPr>
      <w:r w:rsidRPr="00DB4C75">
        <w:rPr>
          <w:rFonts w:ascii="Arial Narrow" w:hAnsi="Arial Narrow"/>
          <w:sz w:val="20"/>
          <w:szCs w:val="20"/>
          <w:u w:val="single"/>
        </w:rPr>
        <w:t>Restricted Benefit</w:t>
      </w:r>
    </w:p>
    <w:p w:rsidR="00930B3F" w:rsidRPr="00DB4C75" w:rsidRDefault="00930B3F" w:rsidP="00930B3F">
      <w:pPr>
        <w:pStyle w:val="ListParagraph"/>
        <w:jc w:val="both"/>
        <w:rPr>
          <w:rFonts w:ascii="Arial Narrow" w:hAnsi="Arial Narrow"/>
          <w:sz w:val="20"/>
          <w:szCs w:val="20"/>
        </w:rPr>
      </w:pPr>
      <w:r w:rsidRPr="00DB4C75">
        <w:rPr>
          <w:rFonts w:ascii="Arial Narrow" w:hAnsi="Arial Narrow"/>
          <w:sz w:val="20"/>
          <w:szCs w:val="20"/>
        </w:rPr>
        <w:t>Hormone-dependent advanced breast cancer</w:t>
      </w:r>
    </w:p>
    <w:p w:rsidR="00930B3F" w:rsidRDefault="00930B3F" w:rsidP="00930B3F">
      <w:pPr>
        <w:pStyle w:val="ListParagraph"/>
        <w:jc w:val="both"/>
        <w:rPr>
          <w:rFonts w:ascii="Arial" w:hAnsi="Arial"/>
          <w:b/>
          <w:sz w:val="22"/>
          <w:szCs w:val="22"/>
        </w:rPr>
      </w:pPr>
    </w:p>
    <w:p w:rsidR="00930B3F" w:rsidRDefault="00930B3F" w:rsidP="00930B3F">
      <w:pPr>
        <w:pStyle w:val="ListParagraph"/>
        <w:jc w:val="both"/>
        <w:rPr>
          <w:rFonts w:ascii="Arial" w:hAnsi="Arial"/>
          <w:b/>
          <w:sz w:val="22"/>
          <w:szCs w:val="22"/>
        </w:rPr>
      </w:pPr>
    </w:p>
    <w:p w:rsidR="00930B3F" w:rsidRPr="00D479F4" w:rsidRDefault="00930B3F" w:rsidP="00930B3F">
      <w:pPr>
        <w:pStyle w:val="ListParagraph"/>
        <w:jc w:val="both"/>
        <w:rPr>
          <w:rFonts w:ascii="Arial" w:hAnsi="Arial"/>
          <w:b/>
          <w:sz w:val="20"/>
          <w:szCs w:val="20"/>
        </w:rPr>
      </w:pPr>
      <w:r w:rsidRPr="00D479F4">
        <w:rPr>
          <w:rFonts w:ascii="Arial" w:hAnsi="Arial"/>
          <w:b/>
          <w:sz w:val="20"/>
          <w:szCs w:val="20"/>
        </w:rPr>
        <w:t>TOREMIFENE:</w:t>
      </w:r>
    </w:p>
    <w:p w:rsidR="00930B3F" w:rsidRDefault="00930B3F" w:rsidP="00930B3F">
      <w:pPr>
        <w:pStyle w:val="ListParagraph"/>
        <w:jc w:val="both"/>
        <w:rPr>
          <w:rFonts w:ascii="Arial" w:hAnsi="Arial"/>
          <w:b/>
          <w:sz w:val="22"/>
          <w:szCs w:val="22"/>
        </w:rPr>
      </w:pPr>
    </w:p>
    <w:p w:rsidR="00930B3F" w:rsidRPr="00DB4C75" w:rsidRDefault="00930B3F" w:rsidP="00930B3F">
      <w:pPr>
        <w:pStyle w:val="ListParagraph"/>
        <w:jc w:val="both"/>
        <w:rPr>
          <w:rFonts w:ascii="Arial Narrow" w:hAnsi="Arial Narrow"/>
          <w:sz w:val="20"/>
          <w:szCs w:val="20"/>
          <w:u w:val="single"/>
        </w:rPr>
      </w:pPr>
      <w:r w:rsidRPr="00DB4C75">
        <w:rPr>
          <w:rFonts w:ascii="Arial Narrow" w:hAnsi="Arial Narrow"/>
          <w:sz w:val="20"/>
          <w:szCs w:val="20"/>
          <w:u w:val="single"/>
        </w:rPr>
        <w:t>Restricted Benefit</w:t>
      </w:r>
    </w:p>
    <w:p w:rsidR="00930B3F" w:rsidRPr="00DB4C75" w:rsidRDefault="00930B3F" w:rsidP="00930B3F">
      <w:pPr>
        <w:pStyle w:val="ListParagraph"/>
        <w:jc w:val="both"/>
        <w:rPr>
          <w:rFonts w:ascii="Arial Narrow" w:hAnsi="Arial Narrow"/>
          <w:sz w:val="20"/>
          <w:szCs w:val="20"/>
        </w:rPr>
      </w:pPr>
      <w:r w:rsidRPr="00DB4C75">
        <w:rPr>
          <w:rFonts w:ascii="Arial Narrow" w:hAnsi="Arial Narrow"/>
          <w:sz w:val="20"/>
          <w:szCs w:val="20"/>
        </w:rPr>
        <w:t>Treatment of hormone-dependent metastatic breast cancer in post-menopausal patients</w:t>
      </w:r>
    </w:p>
    <w:p w:rsidR="00930B3F" w:rsidRPr="00DB4C75" w:rsidRDefault="00930B3F" w:rsidP="00930B3F">
      <w:pPr>
        <w:pStyle w:val="ListParagraph"/>
        <w:jc w:val="both"/>
        <w:rPr>
          <w:rFonts w:ascii="Arial Narrow" w:hAnsi="Arial Narrow"/>
          <w:sz w:val="20"/>
          <w:szCs w:val="20"/>
        </w:rPr>
      </w:pPr>
    </w:p>
    <w:p w:rsidR="00930B3F" w:rsidRPr="00DB4C75" w:rsidRDefault="00930B3F" w:rsidP="00930B3F">
      <w:pPr>
        <w:pStyle w:val="ListParagraph"/>
        <w:jc w:val="both"/>
        <w:rPr>
          <w:rFonts w:ascii="Arial Narrow" w:hAnsi="Arial Narrow"/>
          <w:sz w:val="20"/>
          <w:szCs w:val="20"/>
          <w:u w:val="single"/>
        </w:rPr>
      </w:pPr>
      <w:r w:rsidRPr="00DB4C75">
        <w:rPr>
          <w:rFonts w:ascii="Arial Narrow" w:hAnsi="Arial Narrow"/>
          <w:sz w:val="20"/>
          <w:szCs w:val="20"/>
          <w:u w:val="single"/>
        </w:rPr>
        <w:t>NOTE:</w:t>
      </w:r>
    </w:p>
    <w:p w:rsidR="00930B3F" w:rsidRPr="00DB4C75" w:rsidRDefault="00930B3F" w:rsidP="00930B3F">
      <w:pPr>
        <w:pStyle w:val="ListParagraph"/>
        <w:jc w:val="both"/>
        <w:rPr>
          <w:rFonts w:ascii="Arial Narrow" w:hAnsi="Arial Narrow"/>
          <w:sz w:val="20"/>
          <w:szCs w:val="20"/>
        </w:rPr>
      </w:pPr>
      <w:r>
        <w:rPr>
          <w:rFonts w:ascii="Arial Narrow" w:hAnsi="Arial Narrow"/>
          <w:sz w:val="20"/>
          <w:szCs w:val="20"/>
        </w:rPr>
        <w:t xml:space="preserve">This drug is not PBS-subsidised </w:t>
      </w:r>
      <w:r w:rsidRPr="00DB4C75">
        <w:rPr>
          <w:rFonts w:ascii="Arial Narrow" w:hAnsi="Arial Narrow"/>
          <w:sz w:val="20"/>
          <w:szCs w:val="20"/>
        </w:rPr>
        <w:t>for primary prevention of breast cancer.</w:t>
      </w:r>
    </w:p>
    <w:p w:rsidR="00930B3F" w:rsidRDefault="00930B3F" w:rsidP="00930B3F">
      <w:pPr>
        <w:pStyle w:val="ListParagraph"/>
        <w:jc w:val="both"/>
        <w:rPr>
          <w:rFonts w:ascii="Arial" w:hAnsi="Arial"/>
          <w:b/>
          <w:sz w:val="22"/>
          <w:szCs w:val="22"/>
        </w:rPr>
      </w:pPr>
    </w:p>
    <w:p w:rsidR="00930B3F" w:rsidRPr="00D479F4" w:rsidRDefault="00930B3F" w:rsidP="00930B3F">
      <w:pPr>
        <w:pStyle w:val="ListParagraph"/>
        <w:jc w:val="both"/>
        <w:rPr>
          <w:rFonts w:ascii="Arial" w:hAnsi="Arial"/>
          <w:b/>
          <w:sz w:val="20"/>
          <w:szCs w:val="20"/>
        </w:rPr>
      </w:pPr>
    </w:p>
    <w:p w:rsidR="00930B3F" w:rsidRPr="00D479F4" w:rsidRDefault="00930B3F" w:rsidP="00930B3F">
      <w:pPr>
        <w:pStyle w:val="ListParagraph"/>
        <w:jc w:val="both"/>
        <w:rPr>
          <w:rFonts w:ascii="Arial" w:hAnsi="Arial"/>
          <w:b/>
          <w:sz w:val="20"/>
          <w:szCs w:val="20"/>
        </w:rPr>
      </w:pPr>
      <w:r w:rsidRPr="00D479F4">
        <w:rPr>
          <w:rFonts w:ascii="Arial" w:hAnsi="Arial"/>
          <w:b/>
          <w:sz w:val="20"/>
          <w:szCs w:val="20"/>
        </w:rPr>
        <w:t>VINORELBINE</w:t>
      </w:r>
      <w:r>
        <w:rPr>
          <w:rFonts w:ascii="Arial" w:hAnsi="Arial"/>
          <w:b/>
          <w:sz w:val="20"/>
          <w:szCs w:val="20"/>
        </w:rPr>
        <w:t xml:space="preserve"> (injection form)</w:t>
      </w:r>
      <w:r w:rsidRPr="00D479F4">
        <w:rPr>
          <w:rFonts w:ascii="Arial" w:hAnsi="Arial"/>
          <w:b/>
          <w:sz w:val="20"/>
          <w:szCs w:val="20"/>
        </w:rPr>
        <w:t>:</w:t>
      </w:r>
    </w:p>
    <w:p w:rsidR="00930B3F" w:rsidRDefault="00930B3F" w:rsidP="00930B3F">
      <w:pPr>
        <w:pStyle w:val="ListParagraph"/>
        <w:jc w:val="both"/>
        <w:rPr>
          <w:rFonts w:ascii="Arial" w:hAnsi="Arial"/>
          <w:b/>
          <w:sz w:val="22"/>
          <w:szCs w:val="22"/>
        </w:rPr>
      </w:pPr>
    </w:p>
    <w:p w:rsidR="00930B3F" w:rsidRPr="000812C3" w:rsidRDefault="00930B3F" w:rsidP="00930B3F">
      <w:pPr>
        <w:pStyle w:val="ListParagraph"/>
        <w:jc w:val="both"/>
        <w:rPr>
          <w:rFonts w:ascii="Arial Narrow" w:hAnsi="Arial Narrow"/>
          <w:sz w:val="20"/>
          <w:szCs w:val="20"/>
          <w:u w:val="single"/>
        </w:rPr>
      </w:pPr>
      <w:r w:rsidRPr="000812C3">
        <w:rPr>
          <w:rFonts w:ascii="Arial Narrow" w:hAnsi="Arial Narrow"/>
          <w:sz w:val="20"/>
          <w:szCs w:val="20"/>
          <w:u w:val="single"/>
        </w:rPr>
        <w:t>Authority Required (STREAMLINED)</w:t>
      </w:r>
    </w:p>
    <w:p w:rsidR="00930B3F" w:rsidRPr="000812C3" w:rsidRDefault="00930B3F" w:rsidP="00930B3F">
      <w:pPr>
        <w:pStyle w:val="ListParagraph"/>
        <w:jc w:val="both"/>
        <w:rPr>
          <w:rFonts w:ascii="Arial Narrow" w:hAnsi="Arial Narrow"/>
          <w:sz w:val="20"/>
          <w:szCs w:val="20"/>
        </w:rPr>
      </w:pPr>
      <w:r w:rsidRPr="000812C3">
        <w:rPr>
          <w:rFonts w:ascii="Arial Narrow" w:hAnsi="Arial Narrow"/>
          <w:sz w:val="20"/>
          <w:szCs w:val="20"/>
        </w:rPr>
        <w:t>3890</w:t>
      </w:r>
    </w:p>
    <w:p w:rsidR="00930B3F" w:rsidRPr="000812C3" w:rsidRDefault="00930B3F" w:rsidP="00930B3F">
      <w:pPr>
        <w:pStyle w:val="ListParagraph"/>
        <w:jc w:val="both"/>
        <w:rPr>
          <w:rFonts w:ascii="Arial Narrow" w:hAnsi="Arial Narrow"/>
          <w:sz w:val="20"/>
          <w:szCs w:val="20"/>
        </w:rPr>
      </w:pPr>
      <w:r w:rsidRPr="000812C3">
        <w:rPr>
          <w:rFonts w:ascii="Arial Narrow" w:hAnsi="Arial Narrow"/>
          <w:sz w:val="20"/>
          <w:szCs w:val="20"/>
        </w:rPr>
        <w:t>Locally advanced or metastatic non-small cell lung cancer</w:t>
      </w:r>
    </w:p>
    <w:p w:rsidR="00930B3F" w:rsidRPr="000812C3" w:rsidRDefault="00930B3F" w:rsidP="00930B3F">
      <w:pPr>
        <w:pStyle w:val="ListParagraph"/>
        <w:jc w:val="both"/>
        <w:rPr>
          <w:rFonts w:ascii="Arial Narrow" w:hAnsi="Arial Narrow"/>
          <w:sz w:val="20"/>
          <w:szCs w:val="20"/>
        </w:rPr>
      </w:pPr>
    </w:p>
    <w:p w:rsidR="00930B3F" w:rsidRPr="000812C3" w:rsidRDefault="00930B3F" w:rsidP="00930B3F">
      <w:pPr>
        <w:pStyle w:val="ListParagraph"/>
        <w:jc w:val="both"/>
        <w:rPr>
          <w:rFonts w:ascii="Arial Narrow" w:hAnsi="Arial Narrow"/>
          <w:sz w:val="20"/>
          <w:szCs w:val="20"/>
          <w:u w:val="single"/>
        </w:rPr>
      </w:pPr>
      <w:r w:rsidRPr="000812C3">
        <w:rPr>
          <w:rFonts w:ascii="Arial Narrow" w:hAnsi="Arial Narrow"/>
          <w:sz w:val="20"/>
          <w:szCs w:val="20"/>
          <w:u w:val="single"/>
        </w:rPr>
        <w:t>Authority Required (STREAMLINED)</w:t>
      </w:r>
    </w:p>
    <w:p w:rsidR="00930B3F" w:rsidRPr="000812C3" w:rsidRDefault="00930B3F" w:rsidP="00930B3F">
      <w:pPr>
        <w:pStyle w:val="ListParagraph"/>
        <w:jc w:val="both"/>
        <w:rPr>
          <w:rFonts w:ascii="Arial Narrow" w:hAnsi="Arial Narrow"/>
          <w:sz w:val="20"/>
          <w:szCs w:val="20"/>
        </w:rPr>
      </w:pPr>
      <w:r w:rsidRPr="000812C3">
        <w:rPr>
          <w:rFonts w:ascii="Arial Narrow" w:hAnsi="Arial Narrow"/>
          <w:sz w:val="20"/>
          <w:szCs w:val="20"/>
        </w:rPr>
        <w:t>3907</w:t>
      </w:r>
    </w:p>
    <w:p w:rsidR="00930B3F" w:rsidRPr="000812C3" w:rsidRDefault="00930B3F" w:rsidP="00930B3F">
      <w:pPr>
        <w:pStyle w:val="ListParagraph"/>
        <w:jc w:val="both"/>
        <w:rPr>
          <w:rFonts w:ascii="Arial Narrow" w:hAnsi="Arial Narrow"/>
          <w:sz w:val="20"/>
          <w:szCs w:val="20"/>
        </w:rPr>
      </w:pPr>
      <w:r w:rsidRPr="000812C3">
        <w:rPr>
          <w:rFonts w:ascii="Arial Narrow" w:hAnsi="Arial Narrow"/>
          <w:sz w:val="20"/>
          <w:szCs w:val="20"/>
        </w:rPr>
        <w:t>Advanced breast cancer after failure of prior therapy which includes an anthracycline</w:t>
      </w:r>
    </w:p>
    <w:p w:rsidR="00930B3F" w:rsidRPr="00930B3F" w:rsidRDefault="00930B3F" w:rsidP="00930B3F">
      <w:pPr>
        <w:pStyle w:val="ListParagraph"/>
        <w:jc w:val="both"/>
        <w:rPr>
          <w:rFonts w:ascii="Arial" w:hAnsi="Arial"/>
          <w:b/>
          <w:sz w:val="22"/>
          <w:szCs w:val="22"/>
        </w:rPr>
      </w:pPr>
    </w:p>
    <w:p w:rsidR="00930B3F" w:rsidRPr="002A3C5B" w:rsidRDefault="00930B3F" w:rsidP="00930B3F">
      <w:pPr>
        <w:pStyle w:val="ListParagraph"/>
        <w:jc w:val="both"/>
        <w:rPr>
          <w:rFonts w:ascii="Arial" w:hAnsi="Arial"/>
          <w:b/>
          <w:sz w:val="22"/>
          <w:szCs w:val="22"/>
        </w:rPr>
      </w:pPr>
    </w:p>
    <w:p w:rsidR="007D08DB" w:rsidRPr="00930B3F" w:rsidRDefault="002A3C5B" w:rsidP="00DF30F0">
      <w:pPr>
        <w:pStyle w:val="ListParagraph"/>
        <w:numPr>
          <w:ilvl w:val="1"/>
          <w:numId w:val="25"/>
        </w:numPr>
        <w:jc w:val="both"/>
        <w:rPr>
          <w:rFonts w:ascii="Arial" w:hAnsi="Arial"/>
          <w:b/>
          <w:sz w:val="22"/>
          <w:szCs w:val="22"/>
        </w:rPr>
      </w:pPr>
      <w:r>
        <w:rPr>
          <w:rFonts w:ascii="Arial" w:hAnsi="Arial"/>
          <w:sz w:val="22"/>
          <w:szCs w:val="22"/>
        </w:rPr>
        <w:t xml:space="preserve">The PBAC recalled that it had considered a </w:t>
      </w:r>
      <w:r w:rsidR="00930B3F">
        <w:rPr>
          <w:rFonts w:ascii="Arial" w:hAnsi="Arial"/>
          <w:sz w:val="22"/>
          <w:szCs w:val="22"/>
        </w:rPr>
        <w:t xml:space="preserve">request of the same nature </w:t>
      </w:r>
      <w:r>
        <w:rPr>
          <w:rFonts w:ascii="Arial" w:hAnsi="Arial"/>
          <w:sz w:val="22"/>
          <w:szCs w:val="22"/>
        </w:rPr>
        <w:t>with respect to docetaxel</w:t>
      </w:r>
      <w:r w:rsidR="00930B3F">
        <w:rPr>
          <w:rFonts w:ascii="Arial" w:hAnsi="Arial"/>
          <w:sz w:val="22"/>
          <w:szCs w:val="22"/>
        </w:rPr>
        <w:t xml:space="preserve"> and paclitaxel</w:t>
      </w:r>
      <w:r>
        <w:rPr>
          <w:rFonts w:ascii="Arial" w:hAnsi="Arial"/>
          <w:sz w:val="22"/>
          <w:szCs w:val="22"/>
        </w:rPr>
        <w:t xml:space="preserve"> at its July 2014 meeting. </w:t>
      </w:r>
    </w:p>
    <w:p w:rsidR="000B5A87" w:rsidRPr="00D479F4" w:rsidRDefault="000B5A87" w:rsidP="00D479F4">
      <w:pPr>
        <w:jc w:val="both"/>
        <w:rPr>
          <w:rFonts w:ascii="Arial" w:hAnsi="Arial"/>
          <w:b/>
          <w:sz w:val="22"/>
          <w:szCs w:val="22"/>
        </w:rPr>
      </w:pPr>
    </w:p>
    <w:p w:rsidR="00206F67" w:rsidRPr="006F7F92" w:rsidRDefault="00206F67" w:rsidP="006F7F92">
      <w:pPr>
        <w:jc w:val="both"/>
        <w:rPr>
          <w:rFonts w:ascii="Arial" w:hAnsi="Arial"/>
          <w:b/>
          <w:sz w:val="22"/>
          <w:szCs w:val="22"/>
        </w:rPr>
      </w:pPr>
    </w:p>
    <w:p w:rsidR="000B5A87" w:rsidRPr="000B5A87" w:rsidRDefault="00206F67" w:rsidP="005E4DED">
      <w:pPr>
        <w:pStyle w:val="ListParagraph"/>
        <w:numPr>
          <w:ilvl w:val="0"/>
          <w:numId w:val="25"/>
        </w:numPr>
        <w:jc w:val="both"/>
        <w:rPr>
          <w:rFonts w:ascii="Arial" w:hAnsi="Arial"/>
          <w:b/>
          <w:sz w:val="22"/>
          <w:szCs w:val="22"/>
        </w:rPr>
      </w:pPr>
      <w:r>
        <w:rPr>
          <w:rFonts w:ascii="Arial" w:hAnsi="Arial"/>
          <w:b/>
          <w:sz w:val="22"/>
          <w:szCs w:val="22"/>
        </w:rPr>
        <w:t>PBAC Outcome</w:t>
      </w:r>
    </w:p>
    <w:p w:rsidR="005E4DED" w:rsidRDefault="005E4DED" w:rsidP="00C00DA7">
      <w:pPr>
        <w:jc w:val="both"/>
        <w:rPr>
          <w:rFonts w:ascii="Arial" w:hAnsi="Arial"/>
          <w:sz w:val="22"/>
          <w:szCs w:val="22"/>
        </w:rPr>
      </w:pPr>
    </w:p>
    <w:p w:rsidR="00B57C5F" w:rsidRPr="000A5392" w:rsidRDefault="003C1525" w:rsidP="003C1525">
      <w:pPr>
        <w:pStyle w:val="ListParagraph"/>
        <w:numPr>
          <w:ilvl w:val="1"/>
          <w:numId w:val="25"/>
        </w:numPr>
        <w:jc w:val="both"/>
        <w:rPr>
          <w:rFonts w:ascii="Arial" w:hAnsi="Arial"/>
          <w:sz w:val="22"/>
          <w:szCs w:val="22"/>
        </w:rPr>
      </w:pPr>
      <w:r>
        <w:rPr>
          <w:rFonts w:ascii="Arial" w:hAnsi="Arial"/>
          <w:sz w:val="22"/>
          <w:szCs w:val="22"/>
        </w:rPr>
        <w:t xml:space="preserve">The PBAC </w:t>
      </w:r>
      <w:r w:rsidR="00206F67">
        <w:rPr>
          <w:rFonts w:ascii="Arial" w:hAnsi="Arial"/>
          <w:sz w:val="22"/>
          <w:szCs w:val="22"/>
        </w:rPr>
        <w:t xml:space="preserve">agreed </w:t>
      </w:r>
      <w:r>
        <w:rPr>
          <w:rFonts w:ascii="Arial" w:hAnsi="Arial"/>
          <w:sz w:val="22"/>
          <w:szCs w:val="22"/>
        </w:rPr>
        <w:t xml:space="preserve">with the MOGA view that the patterns of use of these drugs is unlikely to be influenced by the PBS restriction level given the long history of PBS-listing and emergence of more targeted therapies in recent times. </w:t>
      </w:r>
      <w:r w:rsidRPr="003C1525">
        <w:rPr>
          <w:rFonts w:ascii="Arial" w:hAnsi="Arial"/>
          <w:sz w:val="22"/>
          <w:szCs w:val="22"/>
        </w:rPr>
        <w:t>The PBAC noted that the MOGA request had been made with reference to the breast cancer indications of the four drugs but that capecitabine’s listing also includes a metastatic colorectal cancer indication and vinore</w:t>
      </w:r>
      <w:r w:rsidR="00753F9E">
        <w:rPr>
          <w:rFonts w:ascii="Arial" w:hAnsi="Arial"/>
          <w:sz w:val="22"/>
          <w:szCs w:val="22"/>
        </w:rPr>
        <w:t>l</w:t>
      </w:r>
      <w:r w:rsidRPr="003C1525">
        <w:rPr>
          <w:rFonts w:ascii="Arial" w:hAnsi="Arial"/>
          <w:sz w:val="22"/>
          <w:szCs w:val="22"/>
        </w:rPr>
        <w:t xml:space="preserve">bine’s listing also includes a non-small cell lung cancer indication.  </w:t>
      </w:r>
      <w:r>
        <w:rPr>
          <w:rFonts w:ascii="Arial" w:hAnsi="Arial"/>
          <w:sz w:val="22"/>
          <w:szCs w:val="22"/>
        </w:rPr>
        <w:t>However, the PBAC had no objections to these four drugs becoming unrestricted benefits on the PBS</w:t>
      </w:r>
      <w:r w:rsidR="00AF4D3D">
        <w:rPr>
          <w:rFonts w:ascii="Arial" w:hAnsi="Arial"/>
          <w:sz w:val="22"/>
          <w:szCs w:val="22"/>
        </w:rPr>
        <w:t>.</w:t>
      </w:r>
    </w:p>
    <w:p w:rsidR="009366EF" w:rsidRDefault="009366EF" w:rsidP="009366EF">
      <w:pPr>
        <w:pStyle w:val="ListParagraph"/>
        <w:rPr>
          <w:rFonts w:ascii="Arial" w:hAnsi="Arial"/>
          <w:sz w:val="22"/>
          <w:szCs w:val="22"/>
        </w:rPr>
      </w:pPr>
    </w:p>
    <w:p w:rsidR="006F7F92" w:rsidRPr="009366EF" w:rsidRDefault="006F7F92" w:rsidP="009366EF">
      <w:pPr>
        <w:pStyle w:val="ListParagraph"/>
        <w:rPr>
          <w:rFonts w:ascii="Arial" w:hAnsi="Arial"/>
          <w:sz w:val="22"/>
          <w:szCs w:val="22"/>
        </w:rPr>
      </w:pPr>
    </w:p>
    <w:p w:rsidR="003B7EE4" w:rsidRPr="00AF4D3D" w:rsidRDefault="00AF4D3D" w:rsidP="00AF4D3D">
      <w:pPr>
        <w:jc w:val="both"/>
        <w:rPr>
          <w:rFonts w:ascii="Arial" w:hAnsi="Arial"/>
          <w:b/>
          <w:sz w:val="22"/>
          <w:szCs w:val="22"/>
        </w:rPr>
      </w:pPr>
      <w:r w:rsidRPr="00AF4D3D">
        <w:rPr>
          <w:rFonts w:ascii="Arial" w:hAnsi="Arial"/>
          <w:b/>
          <w:sz w:val="22"/>
          <w:szCs w:val="22"/>
        </w:rPr>
        <w:t>Outcome:</w:t>
      </w:r>
    </w:p>
    <w:p w:rsidR="00AF4D3D" w:rsidRPr="00AF4D3D" w:rsidRDefault="00AF4D3D" w:rsidP="00AF4D3D">
      <w:pPr>
        <w:jc w:val="both"/>
        <w:rPr>
          <w:rFonts w:ascii="Arial" w:hAnsi="Arial"/>
          <w:sz w:val="22"/>
          <w:szCs w:val="22"/>
        </w:rPr>
      </w:pPr>
      <w:r>
        <w:rPr>
          <w:rFonts w:ascii="Arial" w:hAnsi="Arial"/>
          <w:sz w:val="22"/>
          <w:szCs w:val="22"/>
        </w:rPr>
        <w:t>Recommended</w:t>
      </w:r>
    </w:p>
    <w:p w:rsidR="00BB7EC3" w:rsidRPr="00C00DA7" w:rsidRDefault="00BB7EC3" w:rsidP="00C00DA7">
      <w:pPr>
        <w:jc w:val="both"/>
        <w:rPr>
          <w:rFonts w:ascii="Arial" w:hAnsi="Arial"/>
          <w:sz w:val="22"/>
          <w:szCs w:val="22"/>
        </w:rPr>
      </w:pPr>
    </w:p>
    <w:p w:rsidR="00BB7EC3" w:rsidRPr="00AF4D3D" w:rsidRDefault="00BB7EC3" w:rsidP="00AF4D3D">
      <w:pPr>
        <w:jc w:val="both"/>
        <w:rPr>
          <w:rFonts w:ascii="Arial" w:hAnsi="Arial"/>
          <w:sz w:val="22"/>
          <w:szCs w:val="22"/>
        </w:rPr>
      </w:pPr>
    </w:p>
    <w:p w:rsidR="00D975E0" w:rsidRPr="00D975E0" w:rsidRDefault="00D975E0" w:rsidP="00D975E0">
      <w:pPr>
        <w:pStyle w:val="ListParagraph"/>
        <w:numPr>
          <w:ilvl w:val="0"/>
          <w:numId w:val="25"/>
        </w:numPr>
        <w:jc w:val="both"/>
        <w:rPr>
          <w:rFonts w:ascii="Arial" w:hAnsi="Arial"/>
          <w:b/>
          <w:sz w:val="22"/>
          <w:szCs w:val="22"/>
        </w:rPr>
      </w:pPr>
      <w:r w:rsidRPr="00D975E0">
        <w:rPr>
          <w:rFonts w:ascii="Arial" w:hAnsi="Arial"/>
          <w:b/>
          <w:sz w:val="22"/>
          <w:szCs w:val="22"/>
        </w:rPr>
        <w:t>Recommended listing</w:t>
      </w:r>
    </w:p>
    <w:p w:rsidR="00FF00BD" w:rsidRPr="006F7F92" w:rsidRDefault="00FF00BD" w:rsidP="00FF00BD">
      <w:pPr>
        <w:jc w:val="both"/>
        <w:rPr>
          <w:rFonts w:ascii="Arial" w:hAnsi="Arial"/>
          <w:sz w:val="22"/>
          <w:szCs w:val="22"/>
        </w:rPr>
      </w:pPr>
    </w:p>
    <w:p w:rsidR="009F454D" w:rsidRDefault="009F454D" w:rsidP="009F454D">
      <w:pPr>
        <w:pStyle w:val="ListParagraph"/>
        <w:numPr>
          <w:ilvl w:val="1"/>
          <w:numId w:val="25"/>
        </w:numPr>
        <w:jc w:val="both"/>
        <w:rPr>
          <w:rFonts w:ascii="Arial" w:hAnsi="Arial"/>
          <w:sz w:val="22"/>
          <w:szCs w:val="22"/>
        </w:rPr>
      </w:pPr>
      <w:r w:rsidRPr="009F454D">
        <w:rPr>
          <w:rFonts w:ascii="Arial" w:hAnsi="Arial"/>
          <w:sz w:val="22"/>
          <w:szCs w:val="22"/>
        </w:rPr>
        <w:t>A</w:t>
      </w:r>
      <w:r>
        <w:rPr>
          <w:rFonts w:ascii="Arial" w:hAnsi="Arial"/>
          <w:sz w:val="22"/>
          <w:szCs w:val="22"/>
        </w:rPr>
        <w:t>mend existing Restriction level</w:t>
      </w:r>
      <w:r w:rsidRPr="009F454D">
        <w:rPr>
          <w:rFonts w:ascii="Arial" w:hAnsi="Arial"/>
          <w:sz w:val="22"/>
          <w:szCs w:val="22"/>
        </w:rPr>
        <w:t xml:space="preserve"> to ‘unrestricted’</w:t>
      </w:r>
      <w:r>
        <w:rPr>
          <w:rFonts w:ascii="Arial" w:hAnsi="Arial"/>
          <w:sz w:val="22"/>
          <w:szCs w:val="22"/>
        </w:rPr>
        <w:t xml:space="preserve"> for the following PBS item codes:</w:t>
      </w:r>
    </w:p>
    <w:p w:rsidR="009F454D" w:rsidRDefault="009F454D" w:rsidP="009F454D">
      <w:pPr>
        <w:pStyle w:val="ListParagraph"/>
        <w:jc w:val="both"/>
        <w:rPr>
          <w:rFonts w:ascii="Arial" w:hAnsi="Arial"/>
          <w:sz w:val="22"/>
          <w:szCs w:val="22"/>
        </w:rPr>
      </w:pPr>
    </w:p>
    <w:p w:rsidR="009F454D" w:rsidRDefault="009F454D" w:rsidP="009F454D">
      <w:pPr>
        <w:pStyle w:val="ListParagraph"/>
        <w:jc w:val="both"/>
        <w:rPr>
          <w:rFonts w:ascii="Arial" w:hAnsi="Arial"/>
          <w:sz w:val="22"/>
          <w:szCs w:val="22"/>
        </w:rPr>
      </w:pPr>
      <w:r>
        <w:rPr>
          <w:rFonts w:ascii="Arial" w:hAnsi="Arial"/>
          <w:sz w:val="22"/>
          <w:szCs w:val="22"/>
        </w:rPr>
        <w:t>Capecitabine:  8361C (150 mg tablet), 8362D (500 mg tablet)</w:t>
      </w:r>
    </w:p>
    <w:p w:rsidR="009F454D" w:rsidRDefault="009F454D" w:rsidP="009F454D">
      <w:pPr>
        <w:pStyle w:val="ListParagraph"/>
        <w:jc w:val="both"/>
        <w:rPr>
          <w:rFonts w:ascii="Arial" w:hAnsi="Arial"/>
          <w:sz w:val="22"/>
          <w:szCs w:val="22"/>
        </w:rPr>
      </w:pPr>
    </w:p>
    <w:p w:rsidR="009F454D" w:rsidRDefault="009F454D" w:rsidP="009F454D">
      <w:pPr>
        <w:pStyle w:val="ListParagraph"/>
        <w:jc w:val="both"/>
        <w:rPr>
          <w:rFonts w:ascii="Arial" w:hAnsi="Arial"/>
          <w:sz w:val="22"/>
          <w:szCs w:val="22"/>
        </w:rPr>
      </w:pPr>
      <w:r>
        <w:rPr>
          <w:rFonts w:ascii="Arial" w:hAnsi="Arial"/>
          <w:sz w:val="22"/>
          <w:szCs w:val="22"/>
        </w:rPr>
        <w:t>Megestrol: 2734X</w:t>
      </w:r>
    </w:p>
    <w:p w:rsidR="009F454D" w:rsidRDefault="009F454D" w:rsidP="009F454D">
      <w:pPr>
        <w:pStyle w:val="ListParagraph"/>
        <w:jc w:val="both"/>
        <w:rPr>
          <w:rFonts w:ascii="Arial" w:hAnsi="Arial"/>
          <w:sz w:val="22"/>
          <w:szCs w:val="22"/>
        </w:rPr>
      </w:pPr>
    </w:p>
    <w:p w:rsidR="009F454D" w:rsidRDefault="009F454D" w:rsidP="009F454D">
      <w:pPr>
        <w:pStyle w:val="ListParagraph"/>
        <w:jc w:val="both"/>
        <w:rPr>
          <w:rFonts w:ascii="Arial" w:hAnsi="Arial"/>
          <w:sz w:val="22"/>
          <w:szCs w:val="22"/>
        </w:rPr>
      </w:pPr>
      <w:r>
        <w:rPr>
          <w:rFonts w:ascii="Arial" w:hAnsi="Arial"/>
          <w:sz w:val="22"/>
          <w:szCs w:val="22"/>
        </w:rPr>
        <w:t>Vinorelbine: 4620E (</w:t>
      </w:r>
      <w:r w:rsidR="00753F9E">
        <w:rPr>
          <w:rFonts w:ascii="Arial" w:hAnsi="Arial"/>
          <w:sz w:val="22"/>
          <w:szCs w:val="22"/>
        </w:rPr>
        <w:t>Chemotherapy item for Public H</w:t>
      </w:r>
      <w:r>
        <w:rPr>
          <w:rFonts w:ascii="Arial" w:hAnsi="Arial"/>
          <w:sz w:val="22"/>
          <w:szCs w:val="22"/>
        </w:rPr>
        <w:t>ospital use)</w:t>
      </w:r>
      <w:r w:rsidR="00753F9E">
        <w:rPr>
          <w:rFonts w:ascii="Arial" w:hAnsi="Arial"/>
          <w:sz w:val="22"/>
          <w:szCs w:val="22"/>
        </w:rPr>
        <w:t>, 7263G (Chemotherapy item for Private Hospital/Private Clinic use)</w:t>
      </w:r>
    </w:p>
    <w:p w:rsidR="009F454D" w:rsidRDefault="009F454D" w:rsidP="009F454D">
      <w:pPr>
        <w:pStyle w:val="ListParagraph"/>
        <w:jc w:val="both"/>
        <w:rPr>
          <w:rFonts w:ascii="Arial" w:hAnsi="Arial"/>
          <w:sz w:val="22"/>
          <w:szCs w:val="22"/>
        </w:rPr>
      </w:pPr>
    </w:p>
    <w:p w:rsidR="009F454D" w:rsidRDefault="009F454D" w:rsidP="009F454D">
      <w:pPr>
        <w:pStyle w:val="ListParagraph"/>
        <w:jc w:val="both"/>
        <w:rPr>
          <w:rFonts w:ascii="Arial" w:hAnsi="Arial"/>
          <w:sz w:val="22"/>
          <w:szCs w:val="22"/>
        </w:rPr>
      </w:pPr>
      <w:r>
        <w:rPr>
          <w:rFonts w:ascii="Arial" w:hAnsi="Arial"/>
          <w:sz w:val="22"/>
          <w:szCs w:val="22"/>
        </w:rPr>
        <w:t>Toremifene: 8216K</w:t>
      </w:r>
    </w:p>
    <w:p w:rsidR="009F454D" w:rsidRDefault="009F454D" w:rsidP="009F454D">
      <w:pPr>
        <w:pStyle w:val="ListParagraph"/>
        <w:jc w:val="both"/>
        <w:rPr>
          <w:rFonts w:ascii="Arial" w:hAnsi="Arial"/>
          <w:sz w:val="22"/>
          <w:szCs w:val="22"/>
        </w:rPr>
      </w:pPr>
    </w:p>
    <w:p w:rsidR="009F454D" w:rsidRDefault="009F454D" w:rsidP="009F454D">
      <w:pPr>
        <w:pStyle w:val="ListParagraph"/>
        <w:numPr>
          <w:ilvl w:val="1"/>
          <w:numId w:val="25"/>
        </w:numPr>
        <w:jc w:val="both"/>
        <w:rPr>
          <w:rFonts w:ascii="Arial" w:hAnsi="Arial"/>
          <w:sz w:val="22"/>
          <w:szCs w:val="22"/>
        </w:rPr>
      </w:pPr>
      <w:r>
        <w:rPr>
          <w:rFonts w:ascii="Arial" w:hAnsi="Arial"/>
          <w:sz w:val="22"/>
          <w:szCs w:val="22"/>
        </w:rPr>
        <w:t xml:space="preserve">There are no other changes to the listings. </w:t>
      </w:r>
    </w:p>
    <w:p w:rsidR="005D10F3" w:rsidRDefault="005D10F3" w:rsidP="005D10F3">
      <w:pPr>
        <w:jc w:val="both"/>
        <w:rPr>
          <w:rFonts w:ascii="Arial" w:hAnsi="Arial"/>
          <w:sz w:val="22"/>
          <w:szCs w:val="22"/>
        </w:rPr>
      </w:pPr>
    </w:p>
    <w:p w:rsidR="005D10F3" w:rsidRDefault="005D10F3" w:rsidP="005D10F3">
      <w:pPr>
        <w:jc w:val="both"/>
        <w:rPr>
          <w:rFonts w:ascii="Arial" w:hAnsi="Arial"/>
          <w:sz w:val="22"/>
          <w:szCs w:val="22"/>
        </w:rPr>
      </w:pPr>
    </w:p>
    <w:p w:rsidR="005D10F3" w:rsidRPr="005D10F3" w:rsidRDefault="005D10F3" w:rsidP="005D10F3">
      <w:pPr>
        <w:pStyle w:val="ListParagraph"/>
        <w:numPr>
          <w:ilvl w:val="0"/>
          <w:numId w:val="25"/>
        </w:numPr>
        <w:jc w:val="both"/>
        <w:rPr>
          <w:rFonts w:ascii="Arial" w:hAnsi="Arial"/>
          <w:b/>
          <w:sz w:val="22"/>
          <w:szCs w:val="22"/>
        </w:rPr>
      </w:pPr>
      <w:r w:rsidRPr="005D10F3">
        <w:rPr>
          <w:rFonts w:ascii="Arial" w:hAnsi="Arial"/>
          <w:b/>
          <w:sz w:val="22"/>
          <w:szCs w:val="22"/>
        </w:rPr>
        <w:t>Context for Decision</w:t>
      </w:r>
    </w:p>
    <w:p w:rsidR="005D10F3" w:rsidRDefault="005D10F3" w:rsidP="005D10F3">
      <w:pPr>
        <w:pStyle w:val="ListParagraph"/>
        <w:jc w:val="both"/>
        <w:rPr>
          <w:rFonts w:ascii="Arial" w:hAnsi="Arial" w:cs="Arial"/>
          <w:b/>
          <w:sz w:val="22"/>
        </w:rPr>
      </w:pPr>
    </w:p>
    <w:p w:rsidR="005D10F3" w:rsidRDefault="005D10F3" w:rsidP="005D10F3">
      <w:pPr>
        <w:ind w:left="720"/>
        <w:jc w:val="both"/>
        <w:rPr>
          <w:rFonts w:ascii="Arial" w:hAnsi="Arial" w:cs="Arial"/>
          <w:sz w:val="22"/>
        </w:rPr>
      </w:pPr>
      <w:r>
        <w:rPr>
          <w:rFonts w:ascii="Arial" w:hAnsi="Arial" w:cs="Arial"/>
          <w:sz w:val="22"/>
        </w:rPr>
        <w:t xml:space="preserve">The PBAC helps decide whether and, if so, how medicines should be subsidised in Australia. It considers submissions in this context. A PBAC decision not to </w:t>
      </w:r>
      <w:r>
        <w:rPr>
          <w:rFonts w:ascii="Arial" w:hAnsi="Arial" w:cs="Arial"/>
          <w:sz w:val="22"/>
        </w:rPr>
        <w:lastRenderedPageBreak/>
        <w:t>recommend listing or not to recommend changing a listing does not represent a final PBAC view about the merits of the medicine. A company can resubmit to the PBAC or seek independent review of the PBAC decision.</w:t>
      </w:r>
    </w:p>
    <w:p w:rsidR="005D10F3" w:rsidRPr="005D10F3" w:rsidRDefault="005D10F3" w:rsidP="005D10F3">
      <w:pPr>
        <w:jc w:val="both"/>
        <w:rPr>
          <w:rFonts w:ascii="Arial" w:hAnsi="Arial"/>
          <w:sz w:val="22"/>
          <w:szCs w:val="22"/>
        </w:rPr>
      </w:pPr>
    </w:p>
    <w:sectPr w:rsidR="005D10F3" w:rsidRPr="005D10F3" w:rsidSect="006F7F92">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C1" w:rsidRDefault="00326CC1">
      <w:r>
        <w:separator/>
      </w:r>
    </w:p>
  </w:endnote>
  <w:endnote w:type="continuationSeparator" w:id="0">
    <w:p w:rsidR="00326CC1" w:rsidRDefault="0032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0" w:rsidRPr="006F7F92" w:rsidRDefault="00EF44A0" w:rsidP="00EF44A0">
    <w:pPr>
      <w:pStyle w:val="Footer"/>
      <w:rPr>
        <w:rFonts w:ascii="Arial" w:hAnsi="Arial" w:cs="Arial"/>
        <w:sz w:val="22"/>
      </w:rPr>
    </w:pPr>
  </w:p>
  <w:p w:rsidR="00EF44A0" w:rsidRPr="006F7F92" w:rsidRDefault="004F524B">
    <w:pPr>
      <w:pStyle w:val="Footer"/>
      <w:jc w:val="center"/>
      <w:rPr>
        <w:rFonts w:ascii="Arial" w:hAnsi="Arial" w:cs="Arial"/>
        <w:sz w:val="22"/>
      </w:rPr>
    </w:pPr>
    <w:sdt>
      <w:sdtPr>
        <w:rPr>
          <w:rFonts w:ascii="Arial" w:hAnsi="Arial" w:cs="Arial"/>
          <w:sz w:val="22"/>
        </w:rPr>
        <w:id w:val="646254239"/>
        <w:docPartObj>
          <w:docPartGallery w:val="Page Numbers (Bottom of Page)"/>
          <w:docPartUnique/>
        </w:docPartObj>
      </w:sdtPr>
      <w:sdtEndPr>
        <w:rPr>
          <w:noProof/>
        </w:rPr>
      </w:sdtEndPr>
      <w:sdtContent>
        <w:r w:rsidR="00EF44A0" w:rsidRPr="006F7F92">
          <w:rPr>
            <w:rFonts w:ascii="Arial" w:hAnsi="Arial" w:cs="Arial"/>
            <w:sz w:val="22"/>
          </w:rPr>
          <w:fldChar w:fldCharType="begin"/>
        </w:r>
        <w:r w:rsidR="00EF44A0" w:rsidRPr="006F7F92">
          <w:rPr>
            <w:rFonts w:ascii="Arial" w:hAnsi="Arial" w:cs="Arial"/>
            <w:sz w:val="22"/>
          </w:rPr>
          <w:instrText xml:space="preserve"> PAGE   \* MERGEFORMAT </w:instrText>
        </w:r>
        <w:r w:rsidR="00EF44A0" w:rsidRPr="006F7F92">
          <w:rPr>
            <w:rFonts w:ascii="Arial" w:hAnsi="Arial" w:cs="Arial"/>
            <w:sz w:val="22"/>
          </w:rPr>
          <w:fldChar w:fldCharType="separate"/>
        </w:r>
        <w:r>
          <w:rPr>
            <w:rFonts w:ascii="Arial" w:hAnsi="Arial" w:cs="Arial"/>
            <w:noProof/>
            <w:sz w:val="22"/>
          </w:rPr>
          <w:t>1</w:t>
        </w:r>
        <w:r w:rsidR="00EF44A0" w:rsidRPr="006F7F92">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C1" w:rsidRDefault="00326CC1">
      <w:r>
        <w:separator/>
      </w:r>
    </w:p>
  </w:footnote>
  <w:footnote w:type="continuationSeparator" w:id="0">
    <w:p w:rsidR="00326CC1" w:rsidRDefault="0032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66" w:rsidRDefault="006F7F92" w:rsidP="00546166">
    <w:pPr>
      <w:widowControl w:val="0"/>
      <w:tabs>
        <w:tab w:val="center" w:pos="4513"/>
        <w:tab w:val="right" w:pos="9026"/>
      </w:tabs>
      <w:jc w:val="center"/>
      <w:rPr>
        <w:rFonts w:ascii="Arial" w:hAnsi="Arial" w:cs="Arial"/>
        <w:i/>
        <w:snapToGrid w:val="0"/>
        <w:sz w:val="22"/>
        <w:lang w:eastAsia="en-US"/>
      </w:rPr>
    </w:pPr>
    <w:r>
      <w:rPr>
        <w:rFonts w:ascii="Arial" w:hAnsi="Arial" w:cs="Arial"/>
        <w:i/>
        <w:snapToGrid w:val="0"/>
        <w:sz w:val="22"/>
        <w:lang w:eastAsia="en-US"/>
      </w:rPr>
      <w:t>Public Summary Document</w:t>
    </w:r>
    <w:r w:rsidR="00546166">
      <w:rPr>
        <w:rFonts w:ascii="Arial" w:hAnsi="Arial" w:cs="Arial"/>
        <w:i/>
        <w:snapToGrid w:val="0"/>
        <w:sz w:val="22"/>
        <w:lang w:eastAsia="en-US"/>
      </w:rPr>
      <w:t xml:space="preserve"> </w:t>
    </w:r>
    <w:r w:rsidR="00546166" w:rsidRPr="00752EC1">
      <w:rPr>
        <w:rFonts w:ascii="Arial" w:hAnsi="Arial" w:cs="Arial"/>
        <w:i/>
        <w:snapToGrid w:val="0"/>
        <w:sz w:val="22"/>
        <w:lang w:eastAsia="en-US"/>
      </w:rPr>
      <w:t>– November 2014 PBAC Meeting</w:t>
    </w:r>
  </w:p>
  <w:p w:rsidR="006F7F92" w:rsidRDefault="006F7F92" w:rsidP="00546166">
    <w:pPr>
      <w:widowControl w:val="0"/>
      <w:tabs>
        <w:tab w:val="center" w:pos="4513"/>
        <w:tab w:val="right" w:pos="9026"/>
      </w:tabs>
      <w:jc w:val="center"/>
      <w:rPr>
        <w:rFonts w:ascii="Arial" w:hAnsi="Arial" w:cs="Arial"/>
        <w:i/>
        <w:snapToGrid w:val="0"/>
        <w:sz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0C2E9A"/>
    <w:multiLevelType w:val="hybridMultilevel"/>
    <w:tmpl w:val="310883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3"/>
  </w:num>
  <w:num w:numId="3">
    <w:abstractNumId w:val="20"/>
  </w:num>
  <w:num w:numId="4">
    <w:abstractNumId w:val="0"/>
  </w:num>
  <w:num w:numId="5">
    <w:abstractNumId w:val="5"/>
  </w:num>
  <w:num w:numId="6">
    <w:abstractNumId w:val="19"/>
  </w:num>
  <w:num w:numId="7">
    <w:abstractNumId w:val="16"/>
  </w:num>
  <w:num w:numId="8">
    <w:abstractNumId w:val="4"/>
  </w:num>
  <w:num w:numId="9">
    <w:abstractNumId w:val="7"/>
  </w:num>
  <w:num w:numId="10">
    <w:abstractNumId w:val="31"/>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4"/>
  </w:num>
  <w:num w:numId="15">
    <w:abstractNumId w:val="27"/>
  </w:num>
  <w:num w:numId="16">
    <w:abstractNumId w:val="23"/>
  </w:num>
  <w:num w:numId="17">
    <w:abstractNumId w:val="36"/>
  </w:num>
  <w:num w:numId="18">
    <w:abstractNumId w:val="13"/>
  </w:num>
  <w:num w:numId="19">
    <w:abstractNumId w:val="18"/>
  </w:num>
  <w:num w:numId="20">
    <w:abstractNumId w:val="3"/>
  </w:num>
  <w:num w:numId="21">
    <w:abstractNumId w:val="30"/>
  </w:num>
  <w:num w:numId="22">
    <w:abstractNumId w:val="32"/>
  </w:num>
  <w:num w:numId="23">
    <w:abstractNumId w:val="38"/>
  </w:num>
  <w:num w:numId="24">
    <w:abstractNumId w:val="15"/>
  </w:num>
  <w:num w:numId="25">
    <w:abstractNumId w:val="37"/>
  </w:num>
  <w:num w:numId="26">
    <w:abstractNumId w:val="28"/>
  </w:num>
  <w:num w:numId="27">
    <w:abstractNumId w:val="12"/>
  </w:num>
  <w:num w:numId="28">
    <w:abstractNumId w:val="6"/>
  </w:num>
  <w:num w:numId="29">
    <w:abstractNumId w:val="25"/>
  </w:num>
  <w:num w:numId="30">
    <w:abstractNumId w:val="2"/>
  </w:num>
  <w:num w:numId="31">
    <w:abstractNumId w:val="26"/>
  </w:num>
  <w:num w:numId="32">
    <w:abstractNumId w:val="35"/>
  </w:num>
  <w:num w:numId="33">
    <w:abstractNumId w:val="24"/>
  </w:num>
  <w:num w:numId="34">
    <w:abstractNumId w:val="39"/>
  </w:num>
  <w:num w:numId="35">
    <w:abstractNumId w:val="11"/>
  </w:num>
  <w:num w:numId="36">
    <w:abstractNumId w:val="22"/>
  </w:num>
  <w:num w:numId="37">
    <w:abstractNumId w:val="29"/>
  </w:num>
  <w:num w:numId="38">
    <w:abstractNumId w:val="8"/>
  </w:num>
  <w:num w:numId="39">
    <w:abstractNumId w:val="17"/>
  </w:num>
  <w:num w:numId="40">
    <w:abstractNumId w:val="1"/>
  </w:num>
  <w:num w:numId="41">
    <w:abstractNumId w:val="14"/>
  </w:num>
  <w:num w:numId="42">
    <w:abstractNumId w:val="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812C3"/>
    <w:rsid w:val="000969AD"/>
    <w:rsid w:val="000A5392"/>
    <w:rsid w:val="000B558D"/>
    <w:rsid w:val="000B5A87"/>
    <w:rsid w:val="000C6996"/>
    <w:rsid w:val="000D23BA"/>
    <w:rsid w:val="000E681E"/>
    <w:rsid w:val="000F091E"/>
    <w:rsid w:val="000F4E6A"/>
    <w:rsid w:val="001107BF"/>
    <w:rsid w:val="0012417C"/>
    <w:rsid w:val="00141696"/>
    <w:rsid w:val="00142395"/>
    <w:rsid w:val="00142714"/>
    <w:rsid w:val="001452ED"/>
    <w:rsid w:val="001830CE"/>
    <w:rsid w:val="00196307"/>
    <w:rsid w:val="001B017F"/>
    <w:rsid w:val="001B5129"/>
    <w:rsid w:val="001C1195"/>
    <w:rsid w:val="00206F67"/>
    <w:rsid w:val="00213CFB"/>
    <w:rsid w:val="00271BA1"/>
    <w:rsid w:val="00277505"/>
    <w:rsid w:val="00282D77"/>
    <w:rsid w:val="0029458F"/>
    <w:rsid w:val="002A104C"/>
    <w:rsid w:val="002A3C5B"/>
    <w:rsid w:val="002A4960"/>
    <w:rsid w:val="002B1AE6"/>
    <w:rsid w:val="002B30F8"/>
    <w:rsid w:val="002C212F"/>
    <w:rsid w:val="002E72CA"/>
    <w:rsid w:val="003067AD"/>
    <w:rsid w:val="00310350"/>
    <w:rsid w:val="00322425"/>
    <w:rsid w:val="00326CC1"/>
    <w:rsid w:val="00326E79"/>
    <w:rsid w:val="00327C9A"/>
    <w:rsid w:val="003367EF"/>
    <w:rsid w:val="0034110B"/>
    <w:rsid w:val="00341AE4"/>
    <w:rsid w:val="003A1B07"/>
    <w:rsid w:val="003A5B4A"/>
    <w:rsid w:val="003B23C5"/>
    <w:rsid w:val="003B2A75"/>
    <w:rsid w:val="003B7EE4"/>
    <w:rsid w:val="003C1525"/>
    <w:rsid w:val="003C33FB"/>
    <w:rsid w:val="003D4AC4"/>
    <w:rsid w:val="003D63B7"/>
    <w:rsid w:val="003E468B"/>
    <w:rsid w:val="003F5C8C"/>
    <w:rsid w:val="00412C90"/>
    <w:rsid w:val="004465BD"/>
    <w:rsid w:val="00466ADA"/>
    <w:rsid w:val="0047346D"/>
    <w:rsid w:val="004738A0"/>
    <w:rsid w:val="00476245"/>
    <w:rsid w:val="00485940"/>
    <w:rsid w:val="004A5A85"/>
    <w:rsid w:val="004B5640"/>
    <w:rsid w:val="004C1BD7"/>
    <w:rsid w:val="004C691D"/>
    <w:rsid w:val="004E692D"/>
    <w:rsid w:val="004F524B"/>
    <w:rsid w:val="00514CD7"/>
    <w:rsid w:val="0051655E"/>
    <w:rsid w:val="0052479A"/>
    <w:rsid w:val="00534E2E"/>
    <w:rsid w:val="00544552"/>
    <w:rsid w:val="00546166"/>
    <w:rsid w:val="005479AF"/>
    <w:rsid w:val="00581932"/>
    <w:rsid w:val="00591242"/>
    <w:rsid w:val="005963BB"/>
    <w:rsid w:val="005A3173"/>
    <w:rsid w:val="005A3223"/>
    <w:rsid w:val="005A3DA3"/>
    <w:rsid w:val="005A52C4"/>
    <w:rsid w:val="005D03AB"/>
    <w:rsid w:val="005D10F3"/>
    <w:rsid w:val="005D5017"/>
    <w:rsid w:val="005E3B65"/>
    <w:rsid w:val="005E4DED"/>
    <w:rsid w:val="00601A91"/>
    <w:rsid w:val="00602BA3"/>
    <w:rsid w:val="00614159"/>
    <w:rsid w:val="00616C82"/>
    <w:rsid w:val="00617C00"/>
    <w:rsid w:val="006263BF"/>
    <w:rsid w:val="0062715C"/>
    <w:rsid w:val="00630A2C"/>
    <w:rsid w:val="00651169"/>
    <w:rsid w:val="00653D69"/>
    <w:rsid w:val="00670A76"/>
    <w:rsid w:val="006711AA"/>
    <w:rsid w:val="00675622"/>
    <w:rsid w:val="006906DB"/>
    <w:rsid w:val="00690F8B"/>
    <w:rsid w:val="006A12A5"/>
    <w:rsid w:val="006B0D94"/>
    <w:rsid w:val="006B485D"/>
    <w:rsid w:val="006C708E"/>
    <w:rsid w:val="006D6EC7"/>
    <w:rsid w:val="006F5125"/>
    <w:rsid w:val="006F7F92"/>
    <w:rsid w:val="00706BED"/>
    <w:rsid w:val="007174BB"/>
    <w:rsid w:val="00753F9E"/>
    <w:rsid w:val="0076420C"/>
    <w:rsid w:val="007753C2"/>
    <w:rsid w:val="00781256"/>
    <w:rsid w:val="007838B8"/>
    <w:rsid w:val="007B5986"/>
    <w:rsid w:val="007C0F57"/>
    <w:rsid w:val="007C40B6"/>
    <w:rsid w:val="007C729F"/>
    <w:rsid w:val="007D08DB"/>
    <w:rsid w:val="007E1D28"/>
    <w:rsid w:val="007F2641"/>
    <w:rsid w:val="007F7C36"/>
    <w:rsid w:val="00806796"/>
    <w:rsid w:val="00826F6D"/>
    <w:rsid w:val="0084031A"/>
    <w:rsid w:val="0085396B"/>
    <w:rsid w:val="00853AC2"/>
    <w:rsid w:val="00856DDD"/>
    <w:rsid w:val="00863E68"/>
    <w:rsid w:val="00882085"/>
    <w:rsid w:val="00883188"/>
    <w:rsid w:val="00895AEB"/>
    <w:rsid w:val="00897D58"/>
    <w:rsid w:val="008A1956"/>
    <w:rsid w:val="008A44AA"/>
    <w:rsid w:val="008A4937"/>
    <w:rsid w:val="008B276B"/>
    <w:rsid w:val="008D3C82"/>
    <w:rsid w:val="008D447E"/>
    <w:rsid w:val="008D7A41"/>
    <w:rsid w:val="008E34B9"/>
    <w:rsid w:val="008E3680"/>
    <w:rsid w:val="008E5870"/>
    <w:rsid w:val="008F1434"/>
    <w:rsid w:val="008F7355"/>
    <w:rsid w:val="009067B7"/>
    <w:rsid w:val="00922A99"/>
    <w:rsid w:val="00923572"/>
    <w:rsid w:val="00930937"/>
    <w:rsid w:val="00930B3F"/>
    <w:rsid w:val="00933E6C"/>
    <w:rsid w:val="009366EF"/>
    <w:rsid w:val="00942160"/>
    <w:rsid w:val="009602C5"/>
    <w:rsid w:val="00974C21"/>
    <w:rsid w:val="009B0F67"/>
    <w:rsid w:val="009C703C"/>
    <w:rsid w:val="009D3CAA"/>
    <w:rsid w:val="009F454D"/>
    <w:rsid w:val="009F4E46"/>
    <w:rsid w:val="009F5B65"/>
    <w:rsid w:val="009F5F2E"/>
    <w:rsid w:val="00A06225"/>
    <w:rsid w:val="00A37C8D"/>
    <w:rsid w:val="00A5273B"/>
    <w:rsid w:val="00A53A9D"/>
    <w:rsid w:val="00A56F4F"/>
    <w:rsid w:val="00A62C1A"/>
    <w:rsid w:val="00A6426D"/>
    <w:rsid w:val="00A70622"/>
    <w:rsid w:val="00A70977"/>
    <w:rsid w:val="00A8390C"/>
    <w:rsid w:val="00AA4D1C"/>
    <w:rsid w:val="00AB1974"/>
    <w:rsid w:val="00AC5206"/>
    <w:rsid w:val="00AE11A5"/>
    <w:rsid w:val="00AF4D3D"/>
    <w:rsid w:val="00AF68CC"/>
    <w:rsid w:val="00B158BF"/>
    <w:rsid w:val="00B205AA"/>
    <w:rsid w:val="00B22E84"/>
    <w:rsid w:val="00B25F75"/>
    <w:rsid w:val="00B43E90"/>
    <w:rsid w:val="00B56118"/>
    <w:rsid w:val="00B57C5F"/>
    <w:rsid w:val="00B6773F"/>
    <w:rsid w:val="00BB69F5"/>
    <w:rsid w:val="00BB7EC3"/>
    <w:rsid w:val="00BC4B9A"/>
    <w:rsid w:val="00BD784C"/>
    <w:rsid w:val="00BF4CB6"/>
    <w:rsid w:val="00C00DA7"/>
    <w:rsid w:val="00C12768"/>
    <w:rsid w:val="00C35996"/>
    <w:rsid w:val="00C5342C"/>
    <w:rsid w:val="00C6256A"/>
    <w:rsid w:val="00C91449"/>
    <w:rsid w:val="00C92D10"/>
    <w:rsid w:val="00CE10C4"/>
    <w:rsid w:val="00CE27B5"/>
    <w:rsid w:val="00D0321E"/>
    <w:rsid w:val="00D13675"/>
    <w:rsid w:val="00D1455A"/>
    <w:rsid w:val="00D3280C"/>
    <w:rsid w:val="00D3406A"/>
    <w:rsid w:val="00D36FAB"/>
    <w:rsid w:val="00D469B2"/>
    <w:rsid w:val="00D479F4"/>
    <w:rsid w:val="00D741EB"/>
    <w:rsid w:val="00D8785D"/>
    <w:rsid w:val="00D91271"/>
    <w:rsid w:val="00D975E0"/>
    <w:rsid w:val="00DA2CB5"/>
    <w:rsid w:val="00DA4BAC"/>
    <w:rsid w:val="00DB4C75"/>
    <w:rsid w:val="00DE6D27"/>
    <w:rsid w:val="00DF217D"/>
    <w:rsid w:val="00DF26A7"/>
    <w:rsid w:val="00DF30F0"/>
    <w:rsid w:val="00E164B3"/>
    <w:rsid w:val="00E16910"/>
    <w:rsid w:val="00E65E54"/>
    <w:rsid w:val="00E80155"/>
    <w:rsid w:val="00E83575"/>
    <w:rsid w:val="00E848C0"/>
    <w:rsid w:val="00E91B96"/>
    <w:rsid w:val="00E941A1"/>
    <w:rsid w:val="00E946C9"/>
    <w:rsid w:val="00E95CE3"/>
    <w:rsid w:val="00EA2825"/>
    <w:rsid w:val="00EB36D8"/>
    <w:rsid w:val="00EB5088"/>
    <w:rsid w:val="00ED1644"/>
    <w:rsid w:val="00EE6D62"/>
    <w:rsid w:val="00EF44A0"/>
    <w:rsid w:val="00F050BD"/>
    <w:rsid w:val="00F05657"/>
    <w:rsid w:val="00F25578"/>
    <w:rsid w:val="00F258E5"/>
    <w:rsid w:val="00F300BC"/>
    <w:rsid w:val="00F3334E"/>
    <w:rsid w:val="00F50EC4"/>
    <w:rsid w:val="00F57A6D"/>
    <w:rsid w:val="00F638CC"/>
    <w:rsid w:val="00F8247A"/>
    <w:rsid w:val="00F9629A"/>
    <w:rsid w:val="00FA5883"/>
    <w:rsid w:val="00FA6055"/>
    <w:rsid w:val="00FB009D"/>
    <w:rsid w:val="00FB065C"/>
    <w:rsid w:val="00FB322F"/>
    <w:rsid w:val="00FB442F"/>
    <w:rsid w:val="00FC1929"/>
    <w:rsid w:val="00FC5B46"/>
    <w:rsid w:val="00FD112A"/>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locked/>
    <w:rsid w:val="005D10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72"/>
    <w:locked/>
    <w:rsid w:val="005D10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21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CEB0-01C8-4271-ACCA-A8599D3A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720</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2014-12-11T23:56:00Z</dcterms:created>
  <dcterms:modified xsi:type="dcterms:W3CDTF">2015-03-03T03:36:00Z</dcterms:modified>
</cp:coreProperties>
</file>