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BBF" w:rsidRPr="00E81E11" w:rsidRDefault="00A8638F" w:rsidP="00E81E11">
      <w:pPr>
        <w:pStyle w:val="BodyText"/>
        <w:rPr>
          <w:b/>
          <w:sz w:val="28"/>
        </w:rPr>
      </w:pPr>
      <w:bookmarkStart w:id="0" w:name="_Toc398651865"/>
      <w:r w:rsidRPr="00E81E11">
        <w:rPr>
          <w:b/>
          <w:sz w:val="28"/>
        </w:rPr>
        <w:t>9.1</w:t>
      </w:r>
      <w:r w:rsidR="00B60939" w:rsidRPr="00E81E11">
        <w:rPr>
          <w:b/>
          <w:sz w:val="28"/>
        </w:rPr>
        <w:tab/>
      </w:r>
      <w:r w:rsidR="00CC2190" w:rsidRPr="00E81E11">
        <w:rPr>
          <w:b/>
          <w:sz w:val="28"/>
        </w:rPr>
        <w:t>EZETIMIBE +</w:t>
      </w:r>
      <w:r w:rsidR="004F4767" w:rsidRPr="00E81E11">
        <w:rPr>
          <w:b/>
          <w:sz w:val="28"/>
        </w:rPr>
        <w:t xml:space="preserve"> SIMVASTATIN</w:t>
      </w:r>
    </w:p>
    <w:p w:rsidR="00416BBF" w:rsidRDefault="00D47321" w:rsidP="00416BBF">
      <w:pPr>
        <w:pStyle w:val="BodyText"/>
        <w:ind w:left="709"/>
        <w:rPr>
          <w:b/>
          <w:sz w:val="28"/>
        </w:rPr>
      </w:pPr>
      <w:proofErr w:type="gramStart"/>
      <w:r w:rsidRPr="00416BBF">
        <w:rPr>
          <w:b/>
          <w:sz w:val="28"/>
        </w:rPr>
        <w:t>t</w:t>
      </w:r>
      <w:r w:rsidR="006F325F" w:rsidRPr="00416BBF">
        <w:rPr>
          <w:b/>
          <w:sz w:val="28"/>
        </w:rPr>
        <w:t>ablet</w:t>
      </w:r>
      <w:r w:rsidR="00016C7C" w:rsidRPr="00416BBF">
        <w:rPr>
          <w:b/>
          <w:sz w:val="28"/>
        </w:rPr>
        <w:t>s</w:t>
      </w:r>
      <w:proofErr w:type="gramEnd"/>
      <w:r w:rsidRPr="00416BBF">
        <w:rPr>
          <w:b/>
          <w:sz w:val="28"/>
        </w:rPr>
        <w:t>,</w:t>
      </w:r>
      <w:r w:rsidR="006F325F" w:rsidRPr="00416BBF">
        <w:rPr>
          <w:b/>
          <w:sz w:val="28"/>
        </w:rPr>
        <w:t xml:space="preserve"> 10</w:t>
      </w:r>
      <w:r w:rsidR="00016C7C" w:rsidRPr="00416BBF">
        <w:rPr>
          <w:b/>
          <w:sz w:val="28"/>
        </w:rPr>
        <w:t xml:space="preserve"> </w:t>
      </w:r>
      <w:r w:rsidR="006F325F" w:rsidRPr="00416BBF">
        <w:rPr>
          <w:b/>
          <w:sz w:val="28"/>
        </w:rPr>
        <w:t xml:space="preserve">mg </w:t>
      </w:r>
      <w:r w:rsidR="00016C7C" w:rsidRPr="00416BBF">
        <w:rPr>
          <w:b/>
          <w:sz w:val="28"/>
        </w:rPr>
        <w:t>–</w:t>
      </w:r>
      <w:r w:rsidR="006F325F" w:rsidRPr="00416BBF">
        <w:rPr>
          <w:b/>
          <w:sz w:val="28"/>
        </w:rPr>
        <w:t xml:space="preserve"> 10</w:t>
      </w:r>
      <w:r w:rsidR="00016C7C" w:rsidRPr="00416BBF">
        <w:rPr>
          <w:b/>
          <w:sz w:val="28"/>
        </w:rPr>
        <w:t xml:space="preserve"> </w:t>
      </w:r>
      <w:r w:rsidR="006F325F" w:rsidRPr="00416BBF">
        <w:rPr>
          <w:b/>
          <w:sz w:val="28"/>
        </w:rPr>
        <w:t xml:space="preserve">mg, </w:t>
      </w:r>
      <w:r w:rsidR="009A2D11" w:rsidRPr="00416BBF">
        <w:rPr>
          <w:b/>
          <w:sz w:val="28"/>
        </w:rPr>
        <w:t>10</w:t>
      </w:r>
      <w:r w:rsidR="00016C7C" w:rsidRPr="00416BBF">
        <w:rPr>
          <w:b/>
          <w:sz w:val="28"/>
        </w:rPr>
        <w:t xml:space="preserve"> </w:t>
      </w:r>
      <w:r w:rsidR="009A2D11" w:rsidRPr="00416BBF">
        <w:rPr>
          <w:b/>
          <w:sz w:val="28"/>
        </w:rPr>
        <w:t xml:space="preserve">mg </w:t>
      </w:r>
      <w:r w:rsidR="00016C7C" w:rsidRPr="00416BBF">
        <w:rPr>
          <w:b/>
          <w:sz w:val="28"/>
        </w:rPr>
        <w:t>–</w:t>
      </w:r>
      <w:r w:rsidR="009A2D11" w:rsidRPr="00416BBF">
        <w:rPr>
          <w:b/>
          <w:sz w:val="28"/>
        </w:rPr>
        <w:t xml:space="preserve"> 20</w:t>
      </w:r>
      <w:r w:rsidR="00016C7C" w:rsidRPr="00416BBF">
        <w:rPr>
          <w:b/>
          <w:sz w:val="28"/>
        </w:rPr>
        <w:t xml:space="preserve"> mg, </w:t>
      </w:r>
    </w:p>
    <w:p w:rsidR="00416BBF" w:rsidRDefault="00016C7C" w:rsidP="00416BBF">
      <w:pPr>
        <w:pStyle w:val="BodyText"/>
        <w:ind w:left="709"/>
        <w:rPr>
          <w:b/>
          <w:sz w:val="28"/>
        </w:rPr>
      </w:pPr>
      <w:r w:rsidRPr="00416BBF">
        <w:rPr>
          <w:b/>
          <w:sz w:val="28"/>
        </w:rPr>
        <w:t xml:space="preserve">10 mg – </w:t>
      </w:r>
      <w:r w:rsidR="009A2D11" w:rsidRPr="00416BBF">
        <w:rPr>
          <w:b/>
          <w:sz w:val="28"/>
        </w:rPr>
        <w:t>40</w:t>
      </w:r>
      <w:r w:rsidRPr="00416BBF">
        <w:rPr>
          <w:b/>
          <w:sz w:val="28"/>
        </w:rPr>
        <w:t xml:space="preserve"> </w:t>
      </w:r>
      <w:r w:rsidR="00D47321" w:rsidRPr="00416BBF">
        <w:rPr>
          <w:b/>
          <w:sz w:val="28"/>
        </w:rPr>
        <w:t>mg and</w:t>
      </w:r>
      <w:r w:rsidR="009A2D11" w:rsidRPr="00416BBF">
        <w:rPr>
          <w:b/>
          <w:sz w:val="28"/>
        </w:rPr>
        <w:t xml:space="preserve"> 10</w:t>
      </w:r>
      <w:r w:rsidRPr="00416BBF">
        <w:rPr>
          <w:b/>
          <w:sz w:val="28"/>
        </w:rPr>
        <w:t xml:space="preserve"> </w:t>
      </w:r>
      <w:r w:rsidR="009A2D11" w:rsidRPr="00416BBF">
        <w:rPr>
          <w:b/>
          <w:sz w:val="28"/>
        </w:rPr>
        <w:t xml:space="preserve">mg </w:t>
      </w:r>
      <w:r w:rsidRPr="00416BBF">
        <w:rPr>
          <w:b/>
          <w:sz w:val="28"/>
        </w:rPr>
        <w:t>–</w:t>
      </w:r>
      <w:r w:rsidR="009A2D11" w:rsidRPr="00416BBF">
        <w:rPr>
          <w:b/>
          <w:sz w:val="28"/>
        </w:rPr>
        <w:t xml:space="preserve"> 80</w:t>
      </w:r>
      <w:r w:rsidRPr="00416BBF">
        <w:rPr>
          <w:b/>
          <w:sz w:val="28"/>
        </w:rPr>
        <w:t xml:space="preserve"> </w:t>
      </w:r>
      <w:r w:rsidR="00D47321" w:rsidRPr="00416BBF">
        <w:rPr>
          <w:b/>
          <w:sz w:val="28"/>
        </w:rPr>
        <w:t>mg</w:t>
      </w:r>
      <w:r w:rsidR="00416BBF">
        <w:rPr>
          <w:b/>
          <w:sz w:val="28"/>
        </w:rPr>
        <w:t>;</w:t>
      </w:r>
      <w:r w:rsidR="004F4767" w:rsidRPr="00416BBF">
        <w:rPr>
          <w:b/>
          <w:sz w:val="28"/>
        </w:rPr>
        <w:t xml:space="preserve"> </w:t>
      </w:r>
    </w:p>
    <w:p w:rsidR="00B60939" w:rsidRPr="00416BBF" w:rsidRDefault="006F325F" w:rsidP="00416BBF">
      <w:pPr>
        <w:pStyle w:val="BodyText"/>
        <w:ind w:left="709"/>
        <w:rPr>
          <w:b/>
          <w:sz w:val="28"/>
        </w:rPr>
      </w:pPr>
      <w:proofErr w:type="spellStart"/>
      <w:proofErr w:type="gramStart"/>
      <w:r w:rsidRPr="00416BBF">
        <w:rPr>
          <w:b/>
          <w:sz w:val="28"/>
        </w:rPr>
        <w:t>Vytorin</w:t>
      </w:r>
      <w:proofErr w:type="spellEnd"/>
      <w:r w:rsidRPr="00416BBF">
        <w:rPr>
          <w:b/>
          <w:sz w:val="28"/>
          <w:vertAlign w:val="superscript"/>
        </w:rPr>
        <w:t>®</w:t>
      </w:r>
      <w:r w:rsidR="004F4767" w:rsidRPr="00416BBF">
        <w:rPr>
          <w:b/>
          <w:sz w:val="28"/>
        </w:rPr>
        <w:t>;</w:t>
      </w:r>
      <w:r w:rsidRPr="00416BBF">
        <w:rPr>
          <w:b/>
          <w:sz w:val="28"/>
        </w:rPr>
        <w:t xml:space="preserve"> Merck Sharp &amp; </w:t>
      </w:r>
      <w:proofErr w:type="spellStart"/>
      <w:r w:rsidRPr="00416BBF">
        <w:rPr>
          <w:b/>
          <w:sz w:val="28"/>
        </w:rPr>
        <w:t>Dohme</w:t>
      </w:r>
      <w:proofErr w:type="spellEnd"/>
      <w:r w:rsidRPr="00416BBF">
        <w:rPr>
          <w:b/>
          <w:sz w:val="28"/>
        </w:rPr>
        <w:t xml:space="preserve"> (Australia) Pty Ltd</w:t>
      </w:r>
      <w:bookmarkEnd w:id="0"/>
      <w:r w:rsidR="00416BBF">
        <w:rPr>
          <w:b/>
          <w:sz w:val="28"/>
        </w:rPr>
        <w:t>.</w:t>
      </w:r>
      <w:proofErr w:type="gramEnd"/>
    </w:p>
    <w:p w:rsidR="00B60939" w:rsidRPr="00443103" w:rsidRDefault="00B60939" w:rsidP="00207D00"/>
    <w:p w:rsidR="003C5994" w:rsidRPr="00443103" w:rsidRDefault="003C5994" w:rsidP="00207D00"/>
    <w:p w:rsidR="00B50DB8" w:rsidRPr="00443103" w:rsidRDefault="00B50DB8" w:rsidP="00BD6CF3">
      <w:pPr>
        <w:pStyle w:val="PBACHeading1"/>
      </w:pPr>
      <w:bookmarkStart w:id="1" w:name="_Toc398651867"/>
      <w:r w:rsidRPr="00443103">
        <w:t>Purpose of Application</w:t>
      </w:r>
      <w:bookmarkEnd w:id="1"/>
    </w:p>
    <w:p w:rsidR="00B60939" w:rsidRPr="00443103" w:rsidRDefault="00B60939" w:rsidP="00B60939">
      <w:pPr>
        <w:rPr>
          <w:szCs w:val="22"/>
        </w:rPr>
      </w:pPr>
    </w:p>
    <w:p w:rsidR="006C33A2" w:rsidRPr="00816364" w:rsidRDefault="003F0897" w:rsidP="008D11C6">
      <w:pPr>
        <w:pStyle w:val="ListParagraph"/>
        <w:widowControl/>
        <w:numPr>
          <w:ilvl w:val="1"/>
          <w:numId w:val="3"/>
        </w:numPr>
      </w:pPr>
      <w:r w:rsidRPr="00816364">
        <w:t>T</w:t>
      </w:r>
      <w:r w:rsidR="006D6DAB" w:rsidRPr="00816364">
        <w:t>he major submission</w:t>
      </w:r>
      <w:r w:rsidR="00217F4D" w:rsidRPr="00816364">
        <w:t xml:space="preserve"> </w:t>
      </w:r>
      <w:r w:rsidR="0050776C" w:rsidRPr="00816364">
        <w:t>request</w:t>
      </w:r>
      <w:r w:rsidR="000638F1" w:rsidRPr="00816364">
        <w:t>ed</w:t>
      </w:r>
      <w:r w:rsidR="00F13B33" w:rsidRPr="00816364">
        <w:t xml:space="preserve"> </w:t>
      </w:r>
      <w:r w:rsidR="0050776C" w:rsidRPr="00816364">
        <w:t xml:space="preserve">the PBAC advise the Minister that the </w:t>
      </w:r>
      <w:r w:rsidR="000638F1" w:rsidRPr="00816364">
        <w:t>November </w:t>
      </w:r>
      <w:r w:rsidR="003F161B" w:rsidRPr="00816364">
        <w:t xml:space="preserve">2008 </w:t>
      </w:r>
      <w:r w:rsidR="0050776C" w:rsidRPr="00816364">
        <w:t xml:space="preserve">compliance </w:t>
      </w:r>
      <w:r w:rsidR="005B7AF2" w:rsidRPr="00816364">
        <w:t xml:space="preserve">advice </w:t>
      </w:r>
      <w:r w:rsidR="00933818" w:rsidRPr="00816364">
        <w:t xml:space="preserve">for </w:t>
      </w:r>
      <w:proofErr w:type="spellStart"/>
      <w:r w:rsidR="00933818" w:rsidRPr="00816364">
        <w:t>Vytorin</w:t>
      </w:r>
      <w:proofErr w:type="spellEnd"/>
      <w:r w:rsidR="00933818" w:rsidRPr="00816364">
        <w:t xml:space="preserve"> under subs</w:t>
      </w:r>
      <w:r w:rsidR="00A0487F" w:rsidRPr="00816364">
        <w:t>ection</w:t>
      </w:r>
      <w:r w:rsidR="003F161B" w:rsidRPr="00816364">
        <w:t xml:space="preserve"> 101(4AC) of the </w:t>
      </w:r>
      <w:r w:rsidR="00933818" w:rsidRPr="00816364">
        <w:t>Act</w:t>
      </w:r>
      <w:r w:rsidR="003F161B" w:rsidRPr="00816364">
        <w:t xml:space="preserve"> </w:t>
      </w:r>
      <w:r w:rsidR="005B7AF2" w:rsidRPr="00816364">
        <w:t xml:space="preserve">for </w:t>
      </w:r>
      <w:proofErr w:type="spellStart"/>
      <w:r w:rsidR="008B495B" w:rsidRPr="00816364">
        <w:rPr>
          <w:szCs w:val="22"/>
        </w:rPr>
        <w:t>Vytorin</w:t>
      </w:r>
      <w:proofErr w:type="spellEnd"/>
      <w:r w:rsidR="008B495B" w:rsidRPr="00816364">
        <w:rPr>
          <w:szCs w:val="22"/>
        </w:rPr>
        <w:t xml:space="preserve"> </w:t>
      </w:r>
      <w:r w:rsidR="005B7AF2" w:rsidRPr="00816364">
        <w:t>be maintained.</w:t>
      </w:r>
    </w:p>
    <w:p w:rsidR="006C33A2" w:rsidRDefault="006C33A2" w:rsidP="006C33A2">
      <w:pPr>
        <w:widowControl/>
      </w:pPr>
    </w:p>
    <w:p w:rsidR="002C2775" w:rsidRPr="00D47321" w:rsidRDefault="00933818" w:rsidP="006C33A2">
      <w:pPr>
        <w:pStyle w:val="ListParagraph"/>
        <w:widowControl/>
      </w:pPr>
      <w:r>
        <w:t xml:space="preserve">Note: These minutes </w:t>
      </w:r>
      <w:r w:rsidR="00D47321" w:rsidRPr="00D47321">
        <w:t>refer to the ezetimibe with simvastatin fixed dose combination</w:t>
      </w:r>
      <w:r w:rsidR="00395AFF">
        <w:t xml:space="preserve"> items</w:t>
      </w:r>
      <w:r w:rsidR="00D47321" w:rsidRPr="00D47321">
        <w:t xml:space="preserve"> as </w:t>
      </w:r>
      <w:proofErr w:type="spellStart"/>
      <w:r w:rsidR="00D47321" w:rsidRPr="00D47321">
        <w:t>Vytorin</w:t>
      </w:r>
      <w:proofErr w:type="spellEnd"/>
      <w:r>
        <w:t>.</w:t>
      </w:r>
    </w:p>
    <w:p w:rsidR="00B60939" w:rsidRPr="00443103" w:rsidRDefault="00B60939" w:rsidP="004B1CB4"/>
    <w:p w:rsidR="004E43B2" w:rsidRPr="00443103" w:rsidRDefault="004E43B2" w:rsidP="004B1CB4"/>
    <w:p w:rsidR="00B50DB8" w:rsidRPr="00443103" w:rsidRDefault="000638F1" w:rsidP="00BD6CF3">
      <w:pPr>
        <w:pStyle w:val="PBACHeading1"/>
      </w:pPr>
      <w:bookmarkStart w:id="2" w:name="_Toc398651868"/>
      <w:r>
        <w:t>Requested</w:t>
      </w:r>
      <w:r w:rsidR="00B50DB8" w:rsidRPr="00443103">
        <w:t xml:space="preserve"> listing</w:t>
      </w:r>
      <w:bookmarkEnd w:id="2"/>
    </w:p>
    <w:p w:rsidR="00B60939" w:rsidRPr="00443103" w:rsidRDefault="00B60939" w:rsidP="004B1CB4"/>
    <w:p w:rsidR="00B60939" w:rsidRPr="008310EF" w:rsidRDefault="006D6DAB" w:rsidP="008D11C6">
      <w:pPr>
        <w:pStyle w:val="ListParagraph"/>
        <w:widowControl/>
        <w:numPr>
          <w:ilvl w:val="1"/>
          <w:numId w:val="3"/>
        </w:numPr>
        <w:rPr>
          <w:szCs w:val="22"/>
        </w:rPr>
      </w:pPr>
      <w:r w:rsidRPr="006D6DAB">
        <w:rPr>
          <w:szCs w:val="22"/>
        </w:rPr>
        <w:t>The submission d</w:t>
      </w:r>
      <w:r w:rsidR="000638F1">
        <w:rPr>
          <w:szCs w:val="22"/>
        </w:rPr>
        <w:t>id</w:t>
      </w:r>
      <w:r w:rsidRPr="006D6DAB">
        <w:rPr>
          <w:szCs w:val="22"/>
        </w:rPr>
        <w:t xml:space="preserve"> not request any changes to the current PBS restriction</w:t>
      </w:r>
      <w:r w:rsidR="00EA4212">
        <w:rPr>
          <w:szCs w:val="22"/>
        </w:rPr>
        <w:t>.</w:t>
      </w:r>
    </w:p>
    <w:p w:rsidR="00F97A78" w:rsidRPr="00443103" w:rsidRDefault="00F97A78" w:rsidP="00A35D16">
      <w:pPr>
        <w:widowControl/>
        <w:rPr>
          <w:szCs w:val="22"/>
        </w:rPr>
      </w:pPr>
    </w:p>
    <w:p w:rsidR="004E43B2" w:rsidRPr="00443103" w:rsidRDefault="004E43B2" w:rsidP="004B1CB4"/>
    <w:p w:rsidR="00B50DB8" w:rsidRPr="0035775E" w:rsidRDefault="00B50DB8" w:rsidP="00BD6CF3">
      <w:pPr>
        <w:pStyle w:val="PBACHeading1"/>
      </w:pPr>
      <w:bookmarkStart w:id="3" w:name="_Toc398651869"/>
      <w:r w:rsidRPr="0035775E">
        <w:t>Background</w:t>
      </w:r>
      <w:bookmarkEnd w:id="3"/>
    </w:p>
    <w:p w:rsidR="00B60939" w:rsidRPr="0035775E" w:rsidRDefault="00B60939" w:rsidP="00B60939">
      <w:pPr>
        <w:rPr>
          <w:szCs w:val="22"/>
        </w:rPr>
      </w:pPr>
    </w:p>
    <w:p w:rsidR="00C477ED" w:rsidRDefault="00042601" w:rsidP="008D11C6">
      <w:pPr>
        <w:pStyle w:val="ListParagraph"/>
        <w:widowControl/>
        <w:numPr>
          <w:ilvl w:val="1"/>
          <w:numId w:val="3"/>
        </w:numPr>
        <w:rPr>
          <w:szCs w:val="22"/>
        </w:rPr>
      </w:pPr>
      <w:proofErr w:type="spellStart"/>
      <w:r w:rsidRPr="0035775E">
        <w:rPr>
          <w:szCs w:val="22"/>
        </w:rPr>
        <w:t>Vytorin</w:t>
      </w:r>
      <w:proofErr w:type="spellEnd"/>
      <w:r w:rsidR="00933818">
        <w:rPr>
          <w:szCs w:val="22"/>
        </w:rPr>
        <w:t xml:space="preserve"> </w:t>
      </w:r>
      <w:r w:rsidR="00B60939" w:rsidRPr="0035775E">
        <w:rPr>
          <w:szCs w:val="22"/>
        </w:rPr>
        <w:t xml:space="preserve">was </w:t>
      </w:r>
      <w:r w:rsidR="00BB17BE" w:rsidRPr="0035775E">
        <w:rPr>
          <w:szCs w:val="22"/>
        </w:rPr>
        <w:t xml:space="preserve">first </w:t>
      </w:r>
      <w:r w:rsidR="00B60939" w:rsidRPr="0035775E">
        <w:rPr>
          <w:szCs w:val="22"/>
        </w:rPr>
        <w:t xml:space="preserve">TGA registered on </w:t>
      </w:r>
      <w:r w:rsidR="00BB17BE" w:rsidRPr="0035775E">
        <w:rPr>
          <w:szCs w:val="22"/>
        </w:rPr>
        <w:t>7 January 2005</w:t>
      </w:r>
      <w:r w:rsidR="00656FCD" w:rsidRPr="0035775E">
        <w:rPr>
          <w:szCs w:val="22"/>
        </w:rPr>
        <w:t>.</w:t>
      </w:r>
      <w:r w:rsidR="00BB17BE" w:rsidRPr="0035775E">
        <w:rPr>
          <w:szCs w:val="22"/>
        </w:rPr>
        <w:t xml:space="preserve"> </w:t>
      </w:r>
      <w:proofErr w:type="spellStart"/>
      <w:r w:rsidR="008405A7" w:rsidRPr="0035775E">
        <w:rPr>
          <w:szCs w:val="22"/>
        </w:rPr>
        <w:t>Vytorin</w:t>
      </w:r>
      <w:proofErr w:type="spellEnd"/>
      <w:r w:rsidR="001524AB" w:rsidRPr="0035775E">
        <w:rPr>
          <w:szCs w:val="22"/>
        </w:rPr>
        <w:t xml:space="preserve"> </w:t>
      </w:r>
      <w:r w:rsidR="00BB17BE" w:rsidRPr="0035775E">
        <w:rPr>
          <w:szCs w:val="22"/>
        </w:rPr>
        <w:t>is currently indicated</w:t>
      </w:r>
      <w:r w:rsidR="000D563F" w:rsidRPr="0035775E">
        <w:rPr>
          <w:szCs w:val="22"/>
        </w:rPr>
        <w:t xml:space="preserve"> </w:t>
      </w:r>
      <w:r w:rsidR="00BB17BE" w:rsidRPr="0035775E">
        <w:rPr>
          <w:szCs w:val="22"/>
        </w:rPr>
        <w:t>as adjunctive therapy to diet in patients with primary (heterozygous familial and non-familial) hypercholesterolaemia or mixed hyperlipidaemia where use of a combination product is appropriate</w:t>
      </w:r>
      <w:r w:rsidR="005068D6" w:rsidRPr="0035775E">
        <w:rPr>
          <w:szCs w:val="22"/>
        </w:rPr>
        <w:t xml:space="preserve">; and for </w:t>
      </w:r>
      <w:r w:rsidR="00F94060" w:rsidRPr="0035775E">
        <w:rPr>
          <w:szCs w:val="22"/>
        </w:rPr>
        <w:t>homozygous familial h</w:t>
      </w:r>
      <w:r w:rsidR="00BB17BE" w:rsidRPr="0035775E">
        <w:rPr>
          <w:szCs w:val="22"/>
        </w:rPr>
        <w:t>ypercholesterolaemia</w:t>
      </w:r>
      <w:r w:rsidR="00A006E3" w:rsidRPr="0035775E">
        <w:rPr>
          <w:szCs w:val="22"/>
        </w:rPr>
        <w:t>.</w:t>
      </w:r>
    </w:p>
    <w:p w:rsidR="000638F1" w:rsidRPr="00906867" w:rsidRDefault="000638F1" w:rsidP="000638F1">
      <w:pPr>
        <w:widowControl/>
        <w:rPr>
          <w:szCs w:val="22"/>
        </w:rPr>
      </w:pPr>
    </w:p>
    <w:p w:rsidR="000638F1" w:rsidRPr="000638F1" w:rsidRDefault="000638F1" w:rsidP="008D11C6">
      <w:pPr>
        <w:pStyle w:val="ListParagraph"/>
        <w:numPr>
          <w:ilvl w:val="1"/>
          <w:numId w:val="3"/>
        </w:numPr>
        <w:rPr>
          <w:szCs w:val="22"/>
        </w:rPr>
      </w:pPr>
      <w:proofErr w:type="spellStart"/>
      <w:r w:rsidRPr="000638F1">
        <w:rPr>
          <w:szCs w:val="22"/>
        </w:rPr>
        <w:t>Vytorin</w:t>
      </w:r>
      <w:proofErr w:type="spellEnd"/>
      <w:r w:rsidRPr="000638F1">
        <w:rPr>
          <w:szCs w:val="22"/>
        </w:rPr>
        <w:t xml:space="preserve"> was initially recommended on a cost-minimisation basis compared to the sum of the corresponding strengths of the individual components duri</w:t>
      </w:r>
      <w:r w:rsidR="00906867">
        <w:rPr>
          <w:szCs w:val="22"/>
        </w:rPr>
        <w:t>ng the March 2005 PBAC meeting.</w:t>
      </w:r>
    </w:p>
    <w:p w:rsidR="00C477ED" w:rsidRPr="00906867" w:rsidRDefault="00C477ED" w:rsidP="00C477ED">
      <w:pPr>
        <w:widowControl/>
        <w:rPr>
          <w:szCs w:val="22"/>
        </w:rPr>
      </w:pPr>
    </w:p>
    <w:p w:rsidR="00816364" w:rsidRPr="00816364" w:rsidRDefault="00816364" w:rsidP="00816364">
      <w:pPr>
        <w:pStyle w:val="ListParagraph"/>
        <w:numPr>
          <w:ilvl w:val="1"/>
          <w:numId w:val="3"/>
        </w:numPr>
      </w:pPr>
      <w:r w:rsidRPr="00816364">
        <w:t xml:space="preserve">Since 2007, subsection 101(4AC) of the Act has required the PBAC to advise the Minister for Health when it is satisfied that therapy involving a combination item provides, for some patients, either (a) a significant improvement in patient compliance with the therapy, or (b) a significant improvement in efficacy or a reduction in toxicity, over alternative therapies. </w:t>
      </w:r>
    </w:p>
    <w:p w:rsidR="0010098F" w:rsidRDefault="0010098F" w:rsidP="0010098F">
      <w:pPr>
        <w:widowControl/>
      </w:pPr>
    </w:p>
    <w:p w:rsidR="00974129" w:rsidRPr="000B79D7" w:rsidRDefault="00C477ED" w:rsidP="000B79D7">
      <w:pPr>
        <w:pStyle w:val="ListParagraph"/>
        <w:widowControl/>
        <w:numPr>
          <w:ilvl w:val="1"/>
          <w:numId w:val="3"/>
        </w:numPr>
        <w:rPr>
          <w:szCs w:val="22"/>
        </w:rPr>
      </w:pPr>
      <w:r w:rsidRPr="000B79D7">
        <w:rPr>
          <w:szCs w:val="22"/>
        </w:rPr>
        <w:t xml:space="preserve">The </w:t>
      </w:r>
      <w:r w:rsidR="004254D1" w:rsidRPr="000B79D7">
        <w:rPr>
          <w:szCs w:val="22"/>
        </w:rPr>
        <w:t xml:space="preserve">PBAC </w:t>
      </w:r>
      <w:r w:rsidR="00177886" w:rsidRPr="000B79D7">
        <w:rPr>
          <w:szCs w:val="22"/>
        </w:rPr>
        <w:t>ha</w:t>
      </w:r>
      <w:r w:rsidR="00933818" w:rsidRPr="000B79D7">
        <w:rPr>
          <w:szCs w:val="22"/>
        </w:rPr>
        <w:t>s</w:t>
      </w:r>
      <w:r w:rsidR="00177886" w:rsidRPr="000B79D7">
        <w:rPr>
          <w:szCs w:val="22"/>
        </w:rPr>
        <w:t xml:space="preserve"> </w:t>
      </w:r>
      <w:r w:rsidR="004254D1" w:rsidRPr="000B79D7">
        <w:rPr>
          <w:szCs w:val="22"/>
        </w:rPr>
        <w:t>previously considered</w:t>
      </w:r>
      <w:r w:rsidRPr="000B79D7">
        <w:rPr>
          <w:szCs w:val="22"/>
        </w:rPr>
        <w:t xml:space="preserve"> two compliance submissions </w:t>
      </w:r>
      <w:r w:rsidR="00A67D49" w:rsidRPr="000B79D7">
        <w:rPr>
          <w:szCs w:val="22"/>
        </w:rPr>
        <w:t xml:space="preserve">for </w:t>
      </w:r>
      <w:proofErr w:type="spellStart"/>
      <w:r w:rsidR="00A67D49" w:rsidRPr="000B79D7">
        <w:rPr>
          <w:szCs w:val="22"/>
        </w:rPr>
        <w:t>Vytorin</w:t>
      </w:r>
      <w:proofErr w:type="spellEnd"/>
      <w:r w:rsidR="00177886" w:rsidRPr="000B79D7">
        <w:rPr>
          <w:szCs w:val="22"/>
        </w:rPr>
        <w:t>.</w:t>
      </w:r>
      <w:r w:rsidR="000B79D7" w:rsidRPr="000B79D7">
        <w:rPr>
          <w:szCs w:val="22"/>
        </w:rPr>
        <w:t xml:space="preserve">  </w:t>
      </w:r>
      <w:r w:rsidR="00177886" w:rsidRPr="000B79D7">
        <w:rPr>
          <w:szCs w:val="22"/>
        </w:rPr>
        <w:t xml:space="preserve">At its April 2008 special meeting, the PBAC advised that the appropriate alternative </w:t>
      </w:r>
      <w:r w:rsidR="000B79D7" w:rsidRPr="000B79D7">
        <w:rPr>
          <w:szCs w:val="22"/>
        </w:rPr>
        <w:t>t</w:t>
      </w:r>
      <w:r w:rsidR="00177886" w:rsidRPr="000B79D7">
        <w:rPr>
          <w:szCs w:val="22"/>
        </w:rPr>
        <w:t>herapies</w:t>
      </w:r>
      <w:r w:rsidR="00395AFF" w:rsidRPr="000B79D7">
        <w:rPr>
          <w:szCs w:val="22"/>
        </w:rPr>
        <w:t xml:space="preserve"> at that time,</w:t>
      </w:r>
      <w:r w:rsidR="00177886" w:rsidRPr="000B79D7">
        <w:rPr>
          <w:szCs w:val="22"/>
        </w:rPr>
        <w:t xml:space="preserve"> for combination items containing ezetimibe with simvastatin </w:t>
      </w:r>
      <w:r w:rsidR="00395AFF" w:rsidRPr="000B79D7">
        <w:rPr>
          <w:szCs w:val="22"/>
        </w:rPr>
        <w:t xml:space="preserve">were </w:t>
      </w:r>
      <w:r w:rsidR="00177886" w:rsidRPr="000B79D7">
        <w:rPr>
          <w:szCs w:val="22"/>
        </w:rPr>
        <w:t>ezetimibe taken concomitantly with any statin with a potency equivalent to, or higher than 40 mg of simvastatin.</w:t>
      </w:r>
      <w:r w:rsidR="00E76375" w:rsidRPr="000B79D7">
        <w:rPr>
          <w:szCs w:val="22"/>
        </w:rPr>
        <w:t xml:space="preserve"> </w:t>
      </w:r>
      <w:r w:rsidR="00933818" w:rsidRPr="000B79D7">
        <w:rPr>
          <w:szCs w:val="22"/>
        </w:rPr>
        <w:t>At that meeting, the PBAC decided it was not</w:t>
      </w:r>
      <w:r w:rsidR="00974129" w:rsidRPr="000B79D7">
        <w:rPr>
          <w:szCs w:val="22"/>
        </w:rPr>
        <w:t xml:space="preserve"> satisfied of the matters in subsection 101(4AC) and decided not to provide advice</w:t>
      </w:r>
      <w:r w:rsidR="00906867" w:rsidRPr="000B79D7">
        <w:rPr>
          <w:szCs w:val="22"/>
        </w:rPr>
        <w:t xml:space="preserve"> on these matters</w:t>
      </w:r>
      <w:r w:rsidR="00974129" w:rsidRPr="000B79D7">
        <w:rPr>
          <w:szCs w:val="22"/>
        </w:rPr>
        <w:t xml:space="preserve"> to the M</w:t>
      </w:r>
      <w:r w:rsidR="00906867" w:rsidRPr="000B79D7">
        <w:rPr>
          <w:szCs w:val="22"/>
        </w:rPr>
        <w:t xml:space="preserve">inister in relation to </w:t>
      </w:r>
      <w:proofErr w:type="spellStart"/>
      <w:r w:rsidR="00906867" w:rsidRPr="000B79D7">
        <w:rPr>
          <w:szCs w:val="22"/>
        </w:rPr>
        <w:t>Vytorin</w:t>
      </w:r>
      <w:proofErr w:type="spellEnd"/>
      <w:r w:rsidR="00906867" w:rsidRPr="000B79D7">
        <w:rPr>
          <w:szCs w:val="22"/>
        </w:rPr>
        <w:t>.</w:t>
      </w:r>
    </w:p>
    <w:p w:rsidR="00933818" w:rsidRDefault="00933818" w:rsidP="00906867">
      <w:pPr>
        <w:widowControl/>
      </w:pPr>
    </w:p>
    <w:p w:rsidR="00177886" w:rsidRDefault="00177886" w:rsidP="008D11C6">
      <w:pPr>
        <w:pStyle w:val="ListParagraph"/>
        <w:widowControl/>
        <w:numPr>
          <w:ilvl w:val="1"/>
          <w:numId w:val="3"/>
        </w:numPr>
      </w:pPr>
      <w:r>
        <w:t xml:space="preserve">Subsequently, at its November 2008 meeting, the PBAC advised that the sponsor’s </w:t>
      </w:r>
      <w:r w:rsidR="009860A1">
        <w:t>re</w:t>
      </w:r>
      <w:r>
        <w:t xml:space="preserve">submission provided a sufficient basis to conclude that there is a significant improvement in compliance for the combination item over its alternative therapies for </w:t>
      </w:r>
      <w:proofErr w:type="gramStart"/>
      <w:r>
        <w:lastRenderedPageBreak/>
        <w:t>some</w:t>
      </w:r>
      <w:proofErr w:type="gramEnd"/>
      <w:r>
        <w:t xml:space="preserve"> patients. The PBAC noted that the clinical importance for treated patients of this compliance improvement remained uncertain.</w:t>
      </w:r>
    </w:p>
    <w:p w:rsidR="00AB29F3" w:rsidRDefault="00AB29F3" w:rsidP="00AB29F3"/>
    <w:p w:rsidR="0010098F" w:rsidRDefault="0010098F" w:rsidP="008D11C6">
      <w:pPr>
        <w:pStyle w:val="ListParagraph"/>
        <w:widowControl/>
        <w:numPr>
          <w:ilvl w:val="1"/>
          <w:numId w:val="3"/>
        </w:numPr>
      </w:pPr>
      <w:r>
        <w:t xml:space="preserve">In </w:t>
      </w:r>
      <w:r w:rsidRPr="00E76375">
        <w:t>200</w:t>
      </w:r>
      <w:r w:rsidR="00E9513C" w:rsidRPr="00E76375">
        <w:t>8</w:t>
      </w:r>
      <w:r>
        <w:t>, the PBAC requested that the Compliance to Medicines Working Group</w:t>
      </w:r>
      <w:r w:rsidR="00E9513C">
        <w:t xml:space="preserve"> (CM</w:t>
      </w:r>
      <w:r w:rsidR="00BB486B">
        <w:t>W</w:t>
      </w:r>
      <w:r w:rsidR="00E9513C">
        <w:t>G)</w:t>
      </w:r>
      <w:r>
        <w:t xml:space="preserve"> be established to gather information from experts and published literature on methods for evaluating and interpreting evidence used to support claims that combination products improve compliance and health outcomes.</w:t>
      </w:r>
      <w:r w:rsidR="00E9513C">
        <w:t xml:space="preserve"> </w:t>
      </w:r>
      <w:r w:rsidR="00E76375">
        <w:t xml:space="preserve">The CMWG </w:t>
      </w:r>
      <w:r w:rsidR="003F5E19">
        <w:t xml:space="preserve">had 14 members including representatives of the pharmaceutical industry, researchers, clinicians, consumers, DUSC and PBAC. </w:t>
      </w:r>
      <w:r w:rsidR="00E9513C">
        <w:t xml:space="preserve">The CMWG report </w:t>
      </w:r>
      <w:r w:rsidR="005B47A0">
        <w:t xml:space="preserve">was endorsed by the </w:t>
      </w:r>
      <w:r w:rsidR="00E9513C" w:rsidRPr="00694427">
        <w:t>PBAC in April 2010</w:t>
      </w:r>
      <w:r w:rsidR="00906867" w:rsidRPr="00694427">
        <w:t>.</w:t>
      </w:r>
    </w:p>
    <w:p w:rsidR="00BB7DB6" w:rsidRDefault="00BB7DB6" w:rsidP="00BB7DB6">
      <w:pPr>
        <w:pStyle w:val="ListParagraph"/>
      </w:pPr>
    </w:p>
    <w:p w:rsidR="00BB7DB6" w:rsidRPr="00694427" w:rsidRDefault="00BB7DB6" w:rsidP="00BB7DB6">
      <w:pPr>
        <w:pStyle w:val="ListParagraph"/>
        <w:widowControl/>
        <w:numPr>
          <w:ilvl w:val="1"/>
          <w:numId w:val="3"/>
        </w:numPr>
      </w:pPr>
      <w:r>
        <w:t>In</w:t>
      </w:r>
      <w:r w:rsidRPr="00BB7DB6">
        <w:t xml:space="preserve"> July 2013, in the context of a submission to list a co-pack containing atorvastatin tablets and ezetimibe tablets, the PBAC recalled its November 2008 advice to the Minister under subsection 101(4AC) of the Act that </w:t>
      </w:r>
      <w:proofErr w:type="spellStart"/>
      <w:r w:rsidRPr="00BB7DB6">
        <w:t>Vytorin</w:t>
      </w:r>
      <w:proofErr w:type="spellEnd"/>
      <w:r w:rsidRPr="00BB7DB6">
        <w:t xml:space="preserve"> had a significant improvement in compliance over its alternative therapies for some patients. The PBAC recalled also that this advice was given before the finalisation of the CMWG report, and that the criteria of that report had therefore not been used to assess the compliance claims for </w:t>
      </w:r>
      <w:proofErr w:type="spellStart"/>
      <w:r w:rsidRPr="00BB7DB6">
        <w:t>Vytorin</w:t>
      </w:r>
      <w:proofErr w:type="spellEnd"/>
      <w:r w:rsidRPr="00BB7DB6">
        <w:t>.</w:t>
      </w:r>
    </w:p>
    <w:p w:rsidR="0010098F" w:rsidRDefault="0010098F" w:rsidP="0010098F">
      <w:pPr>
        <w:widowControl/>
      </w:pPr>
    </w:p>
    <w:p w:rsidR="00816364" w:rsidRPr="00816364" w:rsidRDefault="00816364" w:rsidP="00816364">
      <w:pPr>
        <w:pStyle w:val="ListParagraph"/>
        <w:numPr>
          <w:ilvl w:val="1"/>
          <w:numId w:val="3"/>
        </w:numPr>
      </w:pPr>
      <w:r w:rsidRPr="00816364">
        <w:t xml:space="preserve">The PBAC considered that the impending PBS listing of ezetimibe and atorvastatin co-pack would allow that co-pack to be considered as an alternative therapy to </w:t>
      </w:r>
      <w:proofErr w:type="spellStart"/>
      <w:r w:rsidRPr="00816364">
        <w:t>Vytorin</w:t>
      </w:r>
      <w:proofErr w:type="spellEnd"/>
      <w:r w:rsidRPr="00816364">
        <w:t xml:space="preserve"> for the purposes of  subsection 101(4AC) of the Act. The PBAC therefore considered that the basis of its previous advice to the Minister under subsection 101(4AC) for </w:t>
      </w:r>
      <w:proofErr w:type="spellStart"/>
      <w:r w:rsidRPr="00816364">
        <w:t>Vytorin</w:t>
      </w:r>
      <w:proofErr w:type="spellEnd"/>
      <w:r w:rsidRPr="00816364">
        <w:t xml:space="preserve"> should be reviewed, given that the new alternative therapy will be available. </w:t>
      </w:r>
    </w:p>
    <w:p w:rsidR="00177886" w:rsidRDefault="00177886" w:rsidP="00177886">
      <w:pPr>
        <w:widowControl/>
      </w:pPr>
    </w:p>
    <w:p w:rsidR="00177886" w:rsidRPr="00443103" w:rsidRDefault="00177886" w:rsidP="008D11C6">
      <w:pPr>
        <w:pStyle w:val="ListParagraph"/>
        <w:widowControl/>
        <w:numPr>
          <w:ilvl w:val="1"/>
          <w:numId w:val="3"/>
        </w:numPr>
      </w:pPr>
      <w:r w:rsidRPr="00D21FDF">
        <w:t xml:space="preserve">The PBAC invited the sponsor of </w:t>
      </w:r>
      <w:proofErr w:type="spellStart"/>
      <w:r w:rsidR="00395AFF" w:rsidRPr="00D21FDF">
        <w:t>Vytorin</w:t>
      </w:r>
      <w:proofErr w:type="spellEnd"/>
      <w:r w:rsidRPr="00D21FDF">
        <w:t xml:space="preserve"> to submit data in support of its continued</w:t>
      </w:r>
      <w:r>
        <w:t xml:space="preserve"> claim of compliance benefit and </w:t>
      </w:r>
      <w:r w:rsidR="00BB486B">
        <w:t xml:space="preserve">noted </w:t>
      </w:r>
      <w:r>
        <w:t xml:space="preserve">that any future submission seeking PBAC advice to the Minister of a compliance benefit would need to address the approach for measuring compliance set out in the </w:t>
      </w:r>
      <w:r w:rsidR="006A7410">
        <w:t xml:space="preserve">CMWG </w:t>
      </w:r>
      <w:r w:rsidR="00CD3C2C">
        <w:t>Report to the PBAC.</w:t>
      </w:r>
    </w:p>
    <w:p w:rsidR="002447C3" w:rsidRDefault="002447C3" w:rsidP="004B1CB4"/>
    <w:p w:rsidR="00471429" w:rsidRPr="00443103" w:rsidRDefault="00471429" w:rsidP="004B1CB4"/>
    <w:p w:rsidR="00B50DB8" w:rsidRPr="00443103" w:rsidRDefault="00B50DB8" w:rsidP="00BD6CF3">
      <w:pPr>
        <w:pStyle w:val="PBACHeading1"/>
      </w:pPr>
      <w:bookmarkStart w:id="4" w:name="_Toc398651870"/>
      <w:r w:rsidRPr="00443103">
        <w:t>Clinical place for the proposed therapy</w:t>
      </w:r>
      <w:bookmarkEnd w:id="4"/>
    </w:p>
    <w:p w:rsidR="00B60939" w:rsidRPr="00443103" w:rsidRDefault="00B60939" w:rsidP="00B60939">
      <w:pPr>
        <w:rPr>
          <w:szCs w:val="22"/>
        </w:rPr>
      </w:pPr>
    </w:p>
    <w:p w:rsidR="00894489" w:rsidRPr="00443103" w:rsidRDefault="00B94D11" w:rsidP="008D11C6">
      <w:pPr>
        <w:pStyle w:val="ListParagraph"/>
        <w:widowControl/>
        <w:numPr>
          <w:ilvl w:val="1"/>
          <w:numId w:val="3"/>
        </w:numPr>
        <w:rPr>
          <w:szCs w:val="22"/>
        </w:rPr>
      </w:pPr>
      <w:r w:rsidRPr="00443103">
        <w:t xml:space="preserve">Hypercholesterolaemia </w:t>
      </w:r>
      <w:r w:rsidR="00516B27" w:rsidRPr="00443103">
        <w:t>is</w:t>
      </w:r>
      <w:r w:rsidR="00520C6C" w:rsidRPr="00443103">
        <w:t xml:space="preserve"> characterised by</w:t>
      </w:r>
      <w:r w:rsidR="00516B27" w:rsidRPr="00443103">
        <w:t xml:space="preserve"> </w:t>
      </w:r>
      <w:r w:rsidR="007E220A" w:rsidRPr="00443103">
        <w:t>high levels of cholesterol in the blood</w:t>
      </w:r>
      <w:r w:rsidR="00FE354E" w:rsidRPr="00443103">
        <w:t xml:space="preserve">, and is associated with a higher risk of cardiovascular diseases (e.g. </w:t>
      </w:r>
      <w:r w:rsidR="003531E4" w:rsidRPr="00443103">
        <w:t>heart attack or stroke)</w:t>
      </w:r>
      <w:r w:rsidR="00906867">
        <w:t>.</w:t>
      </w:r>
    </w:p>
    <w:p w:rsidR="00AF1686" w:rsidRPr="00906867" w:rsidRDefault="00AF1686" w:rsidP="00AF1686">
      <w:pPr>
        <w:widowControl/>
        <w:rPr>
          <w:szCs w:val="22"/>
        </w:rPr>
      </w:pPr>
    </w:p>
    <w:p w:rsidR="00B60939" w:rsidRPr="00443103" w:rsidRDefault="00AE61DF" w:rsidP="008D11C6">
      <w:pPr>
        <w:pStyle w:val="ListParagraph"/>
        <w:widowControl/>
        <w:numPr>
          <w:ilvl w:val="1"/>
          <w:numId w:val="3"/>
        </w:numPr>
        <w:rPr>
          <w:szCs w:val="22"/>
        </w:rPr>
      </w:pPr>
      <w:r w:rsidRPr="00443103">
        <w:rPr>
          <w:szCs w:val="22"/>
        </w:rPr>
        <w:t>The submission d</w:t>
      </w:r>
      <w:r w:rsidR="003C1A90">
        <w:rPr>
          <w:szCs w:val="22"/>
        </w:rPr>
        <w:t>id</w:t>
      </w:r>
      <w:r w:rsidRPr="00443103">
        <w:rPr>
          <w:szCs w:val="22"/>
        </w:rPr>
        <w:t xml:space="preserve"> not propose a</w:t>
      </w:r>
      <w:r w:rsidR="006D6DAB">
        <w:rPr>
          <w:szCs w:val="22"/>
        </w:rPr>
        <w:t>ny changes to the</w:t>
      </w:r>
      <w:r w:rsidR="006C33A2">
        <w:rPr>
          <w:szCs w:val="22"/>
        </w:rPr>
        <w:t xml:space="preserve"> current</w:t>
      </w:r>
      <w:r w:rsidRPr="00443103">
        <w:rPr>
          <w:szCs w:val="22"/>
        </w:rPr>
        <w:t xml:space="preserve"> place in therapy for </w:t>
      </w:r>
      <w:proofErr w:type="spellStart"/>
      <w:r w:rsidR="00481283" w:rsidRPr="00443103">
        <w:rPr>
          <w:szCs w:val="22"/>
        </w:rPr>
        <w:t>Vytorin</w:t>
      </w:r>
      <w:proofErr w:type="spellEnd"/>
      <w:r w:rsidRPr="00443103">
        <w:rPr>
          <w:szCs w:val="22"/>
        </w:rPr>
        <w:t>.</w:t>
      </w:r>
    </w:p>
    <w:p w:rsidR="002C2775" w:rsidRPr="00443103" w:rsidRDefault="002C2775" w:rsidP="002C2775">
      <w:pPr>
        <w:widowControl/>
        <w:rPr>
          <w:szCs w:val="22"/>
        </w:rPr>
      </w:pPr>
    </w:p>
    <w:p w:rsidR="00E55BB5" w:rsidRPr="00443103" w:rsidRDefault="00E55BB5" w:rsidP="00B60939">
      <w:pPr>
        <w:pStyle w:val="Header"/>
        <w:rPr>
          <w:szCs w:val="22"/>
        </w:rPr>
      </w:pPr>
    </w:p>
    <w:p w:rsidR="00B50DB8" w:rsidRPr="00443103" w:rsidRDefault="006C33A2" w:rsidP="008D11C6">
      <w:pPr>
        <w:pStyle w:val="Header"/>
        <w:widowControl/>
        <w:numPr>
          <w:ilvl w:val="0"/>
          <w:numId w:val="3"/>
        </w:numPr>
        <w:tabs>
          <w:tab w:val="clear" w:pos="4513"/>
          <w:tab w:val="clear" w:pos="9026"/>
        </w:tabs>
        <w:rPr>
          <w:b/>
          <w:szCs w:val="22"/>
        </w:rPr>
      </w:pPr>
      <w:r>
        <w:rPr>
          <w:b/>
          <w:szCs w:val="22"/>
        </w:rPr>
        <w:t>Alternative therap</w:t>
      </w:r>
      <w:r w:rsidR="00BB486B">
        <w:rPr>
          <w:b/>
          <w:szCs w:val="22"/>
        </w:rPr>
        <w:t>ies</w:t>
      </w:r>
    </w:p>
    <w:p w:rsidR="000920D1" w:rsidRDefault="000920D1" w:rsidP="000920D1"/>
    <w:p w:rsidR="000920D1" w:rsidRDefault="000920D1" w:rsidP="008D11C6">
      <w:pPr>
        <w:pStyle w:val="ListParagraph"/>
        <w:numPr>
          <w:ilvl w:val="1"/>
          <w:numId w:val="3"/>
        </w:numPr>
      </w:pPr>
      <w:r w:rsidRPr="000920D1">
        <w:t xml:space="preserve">The submission </w:t>
      </w:r>
      <w:r>
        <w:t>specified</w:t>
      </w:r>
      <w:r w:rsidRPr="000920D1">
        <w:t xml:space="preserve"> that prescribers could consider three possible alternative therapies to </w:t>
      </w:r>
      <w:proofErr w:type="spellStart"/>
      <w:r w:rsidRPr="000920D1">
        <w:t>Vytorin</w:t>
      </w:r>
      <w:proofErr w:type="spellEnd"/>
      <w:r w:rsidRPr="000920D1">
        <w:t xml:space="preserve">: statin monotherapy, combination therapy with a statin and ezetimibe given concomitantly; or the </w:t>
      </w:r>
      <w:r>
        <w:t>atorvastatin + ezetimibe (</w:t>
      </w:r>
      <w:proofErr w:type="spellStart"/>
      <w:r w:rsidRPr="000920D1">
        <w:t>Atozet</w:t>
      </w:r>
      <w:proofErr w:type="spellEnd"/>
      <w:r>
        <w:rPr>
          <w:vertAlign w:val="superscript"/>
        </w:rPr>
        <w:t>®</w:t>
      </w:r>
      <w:r>
        <w:t>) c</w:t>
      </w:r>
      <w:r w:rsidRPr="000920D1">
        <w:t>omposite pack.</w:t>
      </w:r>
    </w:p>
    <w:p w:rsidR="000920D1" w:rsidRPr="00906867" w:rsidRDefault="000920D1" w:rsidP="000920D1">
      <w:pPr>
        <w:pStyle w:val="PBACHeading1"/>
        <w:numPr>
          <w:ilvl w:val="0"/>
          <w:numId w:val="0"/>
        </w:numPr>
        <w:rPr>
          <w:b w:val="0"/>
        </w:rPr>
      </w:pPr>
    </w:p>
    <w:p w:rsidR="002E4CB2" w:rsidRDefault="002E4CB2" w:rsidP="008D11C6">
      <w:pPr>
        <w:pStyle w:val="ListParagraph"/>
        <w:numPr>
          <w:ilvl w:val="1"/>
          <w:numId w:val="3"/>
        </w:numPr>
      </w:pPr>
      <w:r>
        <w:t>The submission argue</w:t>
      </w:r>
      <w:r w:rsidR="0098742B">
        <w:t>d</w:t>
      </w:r>
      <w:r>
        <w:t xml:space="preserve"> that the alternative therapy likely to be used in most patients who are currently controlled on </w:t>
      </w:r>
      <w:proofErr w:type="spellStart"/>
      <w:r>
        <w:t>Vytorin</w:t>
      </w:r>
      <w:proofErr w:type="spellEnd"/>
      <w:r>
        <w:t xml:space="preserve"> is dual combination therapy with simvastatin </w:t>
      </w:r>
      <w:r>
        <w:lastRenderedPageBreak/>
        <w:t xml:space="preserve">and ezetimibe. The main argument provided in support of this nomination is that patients are most likely to be switched to the individual components should </w:t>
      </w:r>
      <w:proofErr w:type="spellStart"/>
      <w:r>
        <w:t>Vytorin</w:t>
      </w:r>
      <w:proofErr w:type="spellEnd"/>
      <w:r>
        <w:t xml:space="preserve"> be de-listed.</w:t>
      </w:r>
    </w:p>
    <w:p w:rsidR="002E4CB2" w:rsidRDefault="002E4CB2" w:rsidP="00BB04BB"/>
    <w:p w:rsidR="002E4CB2" w:rsidRDefault="002E4CB2" w:rsidP="008D11C6">
      <w:pPr>
        <w:pStyle w:val="ListParagraph"/>
        <w:numPr>
          <w:ilvl w:val="1"/>
          <w:numId w:val="3"/>
        </w:numPr>
      </w:pPr>
      <w:r>
        <w:t xml:space="preserve">The CMWG report suggests that for applications seeking consideration under </w:t>
      </w:r>
      <w:r w:rsidR="000D6553">
        <w:t>s</w:t>
      </w:r>
      <w:r>
        <w:t>ubsection 101(4AC) the comparison should be against the alternative therapy that prescribers would most replace in practice if the combination item were removed from the PBS. The CMWG report also considers that</w:t>
      </w:r>
      <w:r w:rsidR="00906867">
        <w:t>,</w:t>
      </w:r>
      <w:r>
        <w:t xml:space="preserve"> in keeping with the principles already established for submissions to the PBAC, there may also be circumstances where a comparison should be presented ag</w:t>
      </w:r>
      <w:r w:rsidR="00906867">
        <w:t>ainst more than one alternative therapy.</w:t>
      </w:r>
    </w:p>
    <w:p w:rsidR="002E4CB2" w:rsidRDefault="002E4CB2" w:rsidP="00BB04BB"/>
    <w:p w:rsidR="002E4CB2" w:rsidRDefault="002E4CB2" w:rsidP="008D11C6">
      <w:pPr>
        <w:pStyle w:val="ListParagraph"/>
        <w:numPr>
          <w:ilvl w:val="1"/>
          <w:numId w:val="3"/>
        </w:numPr>
      </w:pPr>
      <w:r>
        <w:t xml:space="preserve">The </w:t>
      </w:r>
      <w:r w:rsidR="000D6553">
        <w:t>evaluation</w:t>
      </w:r>
      <w:r>
        <w:t xml:space="preserve"> </w:t>
      </w:r>
      <w:r w:rsidR="00906867">
        <w:t xml:space="preserve">of the submission </w:t>
      </w:r>
      <w:r>
        <w:t xml:space="preserve">considered that the individual components (ezetimibe and simvastatin) are not the only appropriate alternate therapies. Atorvastatin-ezetimibe co-pack (currently listed) and atorvastatin and rosuvastatin with ezetimibe FDC/co-packs which have been recommended by </w:t>
      </w:r>
      <w:proofErr w:type="gramStart"/>
      <w:r>
        <w:t>PBAC,</w:t>
      </w:r>
      <w:proofErr w:type="gramEnd"/>
      <w:r>
        <w:t xml:space="preserve"> are also appropriate alternative therapies. Both the 10% Medicare sample analyses and the commissioned market survey suggest that patients switch to </w:t>
      </w:r>
      <w:proofErr w:type="spellStart"/>
      <w:r>
        <w:t>Vytorin</w:t>
      </w:r>
      <w:proofErr w:type="spellEnd"/>
      <w:r>
        <w:t xml:space="preserve"> from statins other than simvastatin (the most frequently reported being atorvastatin). This suggest</w:t>
      </w:r>
      <w:r w:rsidR="00383440">
        <w:t>ed</w:t>
      </w:r>
      <w:r>
        <w:t xml:space="preserve"> that prescribers are willing to consider switching between statins. It appears likely that patients, especially those with previous experience on atorvastatin, would be switched to atorvastatin and ezetimibe co-pack should </w:t>
      </w:r>
      <w:proofErr w:type="spellStart"/>
      <w:r>
        <w:t>Vytorin</w:t>
      </w:r>
      <w:proofErr w:type="spellEnd"/>
      <w:r>
        <w:t xml:space="preserve"> be delisted (particularly given</w:t>
      </w:r>
      <w:r w:rsidR="00906867">
        <w:t xml:space="preserve"> the saving of one co-payment).</w:t>
      </w:r>
    </w:p>
    <w:p w:rsidR="002E4CB2" w:rsidRDefault="002E4CB2" w:rsidP="00BB04BB"/>
    <w:p w:rsidR="002E4CB2" w:rsidRDefault="002E4CB2" w:rsidP="008D11C6">
      <w:pPr>
        <w:pStyle w:val="ListParagraph"/>
        <w:numPr>
          <w:ilvl w:val="1"/>
          <w:numId w:val="3"/>
        </w:numPr>
      </w:pPr>
      <w:r>
        <w:t xml:space="preserve">DUSC agreed with the </w:t>
      </w:r>
      <w:r w:rsidR="008B30D2">
        <w:t>e</w:t>
      </w:r>
      <w:r w:rsidR="000D6553">
        <w:t>valuation</w:t>
      </w:r>
      <w:r>
        <w:t xml:space="preserve"> that the atorvastatin-ezetimibe combination and the rosuvastatin-ezetimibe combination items (if listed) are likely to be alternate therapies. DUSC noted that the PBAC (July 2013) ha</w:t>
      </w:r>
      <w:r w:rsidR="00383440">
        <w:t>d</w:t>
      </w:r>
      <w:r>
        <w:t xml:space="preserve"> previously considered that the PBS listing of ezetimibe and atorvastatin co-pack would allow the co-pack to be considered as an alternative therapy to </w:t>
      </w:r>
      <w:proofErr w:type="spellStart"/>
      <w:r w:rsidR="0098742B">
        <w:t>Vytorin</w:t>
      </w:r>
      <w:proofErr w:type="spellEnd"/>
      <w:r>
        <w:t xml:space="preserve">. During the November 2013 PBAC meeting, the PBAC considered that ezetimibe and rosuvastatin co-pack should be treated as interchangeable on an individual patient basis with </w:t>
      </w:r>
      <w:proofErr w:type="spellStart"/>
      <w:r>
        <w:t>Vytorin</w:t>
      </w:r>
      <w:proofErr w:type="spellEnd"/>
      <w:r>
        <w:t xml:space="preserve">. During the July 2014 PBAC meeting, the PBAC considered that ezetimibe and rosuvastatin FDC should be treated as interchangeable on an individual patient basis with </w:t>
      </w:r>
      <w:proofErr w:type="spellStart"/>
      <w:r>
        <w:t>Vytorin</w:t>
      </w:r>
      <w:proofErr w:type="spellEnd"/>
      <w:r>
        <w:t>.</w:t>
      </w:r>
    </w:p>
    <w:p w:rsidR="002E4CB2" w:rsidRDefault="002E4CB2" w:rsidP="00BB04BB"/>
    <w:p w:rsidR="002E4CB2" w:rsidRDefault="002E4CB2" w:rsidP="008D11C6">
      <w:pPr>
        <w:pStyle w:val="ListParagraph"/>
        <w:numPr>
          <w:ilvl w:val="1"/>
          <w:numId w:val="3"/>
        </w:numPr>
      </w:pPr>
      <w:r>
        <w:t xml:space="preserve">DUSC acknowledged the Sponsor’s comments in the pre-subcommittee response (PSCR) that it is not possible to conduct adherence and persistence studies in the PBS data available for the recently listed atorvastatin combination products. However the availability of these combination products on the PBS does mean that in the future </w:t>
      </w:r>
      <w:proofErr w:type="spellStart"/>
      <w:r>
        <w:t>Vytorin</w:t>
      </w:r>
      <w:proofErr w:type="spellEnd"/>
      <w:r>
        <w:t xml:space="preserve"> users could switch to these products, particularly patients who are concerned about the cost of an additional co-payment and/or have prior experience with other statins.</w:t>
      </w:r>
    </w:p>
    <w:p w:rsidR="00D21FDF" w:rsidRDefault="00D21FDF" w:rsidP="00D21FDF">
      <w:pPr>
        <w:pStyle w:val="ListParagraph"/>
      </w:pPr>
    </w:p>
    <w:p w:rsidR="00D21FDF" w:rsidRDefault="00D21FDF" w:rsidP="00D21FDF">
      <w:pPr>
        <w:pStyle w:val="ListParagraph"/>
        <w:numPr>
          <w:ilvl w:val="1"/>
          <w:numId w:val="3"/>
        </w:numPr>
      </w:pPr>
      <w:r w:rsidRPr="00D21FDF">
        <w:t xml:space="preserve">DUSC agreed with the submission that statin monotherapy is not an alternate therapy. Statin monotherapy would only be an alternate therapy if patients were initiated on </w:t>
      </w:r>
      <w:proofErr w:type="spellStart"/>
      <w:r w:rsidRPr="00D21FDF">
        <w:t>Vytorin</w:t>
      </w:r>
      <w:proofErr w:type="spellEnd"/>
      <w:r w:rsidRPr="00D21FDF">
        <w:t xml:space="preserve"> without first up titrating to the maximum tolerated dose of a statin, which is outside of the PBS restriction.</w:t>
      </w:r>
    </w:p>
    <w:p w:rsidR="00081F3C" w:rsidRDefault="00081F3C" w:rsidP="00906867"/>
    <w:p w:rsidR="00081F3C" w:rsidRDefault="00081F3C" w:rsidP="008D11C6">
      <w:pPr>
        <w:pStyle w:val="ListParagraph"/>
        <w:numPr>
          <w:ilvl w:val="1"/>
          <w:numId w:val="3"/>
        </w:numPr>
      </w:pPr>
      <w:r>
        <w:t xml:space="preserve">In the pre-PBAC response, the </w:t>
      </w:r>
      <w:r w:rsidR="00383440">
        <w:t>s</w:t>
      </w:r>
      <w:r>
        <w:t>ponsor note</w:t>
      </w:r>
      <w:r w:rsidR="00383440">
        <w:t>d</w:t>
      </w:r>
      <w:r>
        <w:t xml:space="preserve"> that rosuvastatin and ezetimibe combination </w:t>
      </w:r>
      <w:r w:rsidR="00E27F85">
        <w:t xml:space="preserve">is </w:t>
      </w:r>
      <w:r>
        <w:t xml:space="preserve">not PBS listed and therefore cannot be an alternative therapy. </w:t>
      </w:r>
      <w:r w:rsidR="00D41DDE">
        <w:t xml:space="preserve">Atorvastatin with ezetimibe co-pack has only been PBS listed for 10 months. The Sponsor </w:t>
      </w:r>
      <w:r w:rsidR="007A5CA0">
        <w:t>considered</w:t>
      </w:r>
      <w:r w:rsidR="00D41DDE">
        <w:t xml:space="preserve"> that uptake has been low and </w:t>
      </w:r>
      <w:r w:rsidR="00383440">
        <w:t xml:space="preserve">that </w:t>
      </w:r>
      <w:r w:rsidR="00D41DDE">
        <w:t xml:space="preserve">it is unlikely that </w:t>
      </w:r>
      <w:proofErr w:type="spellStart"/>
      <w:r w:rsidR="00D41DDE">
        <w:t>Vytorin</w:t>
      </w:r>
      <w:proofErr w:type="spellEnd"/>
      <w:r w:rsidR="00D41DDE">
        <w:t xml:space="preserve"> patients would move to the co-</w:t>
      </w:r>
      <w:r w:rsidR="00906867">
        <w:t xml:space="preserve">pack in the absence of </w:t>
      </w:r>
      <w:proofErr w:type="spellStart"/>
      <w:r w:rsidR="00906867">
        <w:t>Vytorin</w:t>
      </w:r>
      <w:proofErr w:type="spellEnd"/>
      <w:r w:rsidR="00906867">
        <w:t>.</w:t>
      </w:r>
    </w:p>
    <w:p w:rsidR="00762A38" w:rsidRDefault="00762A38" w:rsidP="00762A38"/>
    <w:p w:rsidR="00762A38" w:rsidRPr="00762A38" w:rsidRDefault="00762A38" w:rsidP="00762A38">
      <w:pPr>
        <w:pStyle w:val="ListParagraph"/>
        <w:rPr>
          <w:i/>
        </w:rPr>
      </w:pPr>
      <w:r w:rsidRPr="00762A38">
        <w:rPr>
          <w:i/>
        </w:rPr>
        <w:t>For more detail on PBAC’s view, see section 7 “PBAC outcome”</w:t>
      </w:r>
    </w:p>
    <w:p w:rsidR="00964AF7" w:rsidRPr="00443103" w:rsidRDefault="00964AF7" w:rsidP="00762A38"/>
    <w:p w:rsidR="001A1E0F" w:rsidRPr="00443103" w:rsidRDefault="001A1E0F" w:rsidP="00DF5D2B">
      <w:pPr>
        <w:rPr>
          <w:szCs w:val="22"/>
        </w:rPr>
      </w:pPr>
    </w:p>
    <w:p w:rsidR="00B50DB8" w:rsidRPr="00443103" w:rsidRDefault="00416BBF" w:rsidP="00BD6CF3">
      <w:pPr>
        <w:pStyle w:val="PBACHeading1"/>
      </w:pPr>
      <w:bookmarkStart w:id="5" w:name="_Toc398651871"/>
      <w:r>
        <w:t>C</w:t>
      </w:r>
      <w:r w:rsidR="00B50DB8" w:rsidRPr="00443103">
        <w:t>onsideration of the evidence</w:t>
      </w:r>
      <w:bookmarkEnd w:id="5"/>
    </w:p>
    <w:p w:rsidR="009C3278" w:rsidRPr="00906867" w:rsidRDefault="009C3278" w:rsidP="00416BBF">
      <w:pPr>
        <w:pStyle w:val="BodyText"/>
      </w:pPr>
      <w:bookmarkStart w:id="6" w:name="_Toc398651872"/>
    </w:p>
    <w:p w:rsidR="009C3278" w:rsidRPr="00A52533" w:rsidRDefault="009C3278" w:rsidP="00416BBF">
      <w:pPr>
        <w:pStyle w:val="PBACHeading1"/>
        <w:numPr>
          <w:ilvl w:val="0"/>
          <w:numId w:val="0"/>
        </w:numPr>
        <w:ind w:left="720" w:hanging="720"/>
      </w:pPr>
      <w:r w:rsidRPr="00A52533">
        <w:t>Sponsor hearing</w:t>
      </w:r>
    </w:p>
    <w:bookmarkEnd w:id="6"/>
    <w:p w:rsidR="006F579A" w:rsidRPr="0050663F" w:rsidRDefault="006F579A" w:rsidP="0050663F">
      <w:pPr>
        <w:widowControl/>
        <w:rPr>
          <w:szCs w:val="22"/>
        </w:rPr>
      </w:pPr>
    </w:p>
    <w:p w:rsidR="006F579A" w:rsidRPr="009C3278" w:rsidRDefault="006F579A" w:rsidP="008D11C6">
      <w:pPr>
        <w:pStyle w:val="ListParagraph"/>
        <w:widowControl/>
        <w:numPr>
          <w:ilvl w:val="1"/>
          <w:numId w:val="3"/>
        </w:numPr>
        <w:rPr>
          <w:szCs w:val="22"/>
        </w:rPr>
      </w:pPr>
      <w:r w:rsidRPr="006F579A">
        <w:rPr>
          <w:szCs w:val="22"/>
        </w:rPr>
        <w:t>There was no he</w:t>
      </w:r>
      <w:r>
        <w:rPr>
          <w:szCs w:val="22"/>
        </w:rPr>
        <w:t>aring for this item.</w:t>
      </w:r>
    </w:p>
    <w:p w:rsidR="009C3278" w:rsidRPr="00906867" w:rsidRDefault="009C3278" w:rsidP="009C3278">
      <w:pPr>
        <w:pStyle w:val="PBACHeading1"/>
        <w:numPr>
          <w:ilvl w:val="0"/>
          <w:numId w:val="0"/>
        </w:numPr>
        <w:ind w:left="720" w:hanging="720"/>
        <w:rPr>
          <w:b w:val="0"/>
        </w:rPr>
      </w:pPr>
    </w:p>
    <w:p w:rsidR="009C3278" w:rsidRPr="00A52533" w:rsidRDefault="009C3278" w:rsidP="009C3278">
      <w:pPr>
        <w:pStyle w:val="PBACHeading1"/>
        <w:numPr>
          <w:ilvl w:val="0"/>
          <w:numId w:val="0"/>
        </w:numPr>
        <w:ind w:left="720" w:hanging="720"/>
      </w:pPr>
      <w:r w:rsidRPr="00A52533">
        <w:t>Consumer comments</w:t>
      </w:r>
    </w:p>
    <w:p w:rsidR="006F579A" w:rsidRPr="0050663F" w:rsidRDefault="006F579A" w:rsidP="0050663F">
      <w:pPr>
        <w:widowControl/>
        <w:rPr>
          <w:szCs w:val="22"/>
        </w:rPr>
      </w:pPr>
    </w:p>
    <w:p w:rsidR="006F579A" w:rsidRPr="006F579A" w:rsidRDefault="006F579A" w:rsidP="008D11C6">
      <w:pPr>
        <w:pStyle w:val="ListParagraph"/>
        <w:widowControl/>
        <w:numPr>
          <w:ilvl w:val="1"/>
          <w:numId w:val="3"/>
        </w:numPr>
        <w:rPr>
          <w:szCs w:val="22"/>
        </w:rPr>
      </w:pPr>
      <w:r w:rsidRPr="006F579A">
        <w:rPr>
          <w:szCs w:val="22"/>
        </w:rPr>
        <w:t>The PBAC noted that no consumer comme</w:t>
      </w:r>
      <w:r>
        <w:rPr>
          <w:szCs w:val="22"/>
        </w:rPr>
        <w:t>nts were received for this item</w:t>
      </w:r>
      <w:r w:rsidRPr="006F579A">
        <w:rPr>
          <w:szCs w:val="22"/>
        </w:rPr>
        <w:t>.</w:t>
      </w:r>
    </w:p>
    <w:p w:rsidR="009C3278" w:rsidRDefault="009C3278" w:rsidP="0050663F">
      <w:pPr>
        <w:widowControl/>
      </w:pPr>
    </w:p>
    <w:p w:rsidR="009C3278" w:rsidRPr="00A52533" w:rsidRDefault="00DF3C3E" w:rsidP="009C3278">
      <w:pPr>
        <w:widowControl/>
        <w:rPr>
          <w:b/>
        </w:rPr>
      </w:pPr>
      <w:r w:rsidRPr="00A52533">
        <w:rPr>
          <w:b/>
        </w:rPr>
        <w:t>Evidence</w:t>
      </w:r>
      <w:r w:rsidR="009E2FC0" w:rsidRPr="00A52533">
        <w:rPr>
          <w:b/>
        </w:rPr>
        <w:t xml:space="preserve"> presented</w:t>
      </w:r>
    </w:p>
    <w:p w:rsidR="009C3278" w:rsidRPr="00906867" w:rsidRDefault="009C3278" w:rsidP="00906867">
      <w:pPr>
        <w:widowControl/>
        <w:rPr>
          <w:szCs w:val="22"/>
        </w:rPr>
      </w:pPr>
    </w:p>
    <w:p w:rsidR="00CC279C" w:rsidRPr="00443103" w:rsidRDefault="009C3278" w:rsidP="008D11C6">
      <w:pPr>
        <w:pStyle w:val="ListParagraph"/>
        <w:widowControl/>
        <w:numPr>
          <w:ilvl w:val="1"/>
          <w:numId w:val="3"/>
        </w:numPr>
        <w:rPr>
          <w:szCs w:val="22"/>
        </w:rPr>
      </w:pPr>
      <w:r>
        <w:t>T</w:t>
      </w:r>
      <w:r w:rsidR="006F579A">
        <w:t>he submission wa</w:t>
      </w:r>
      <w:r w:rsidR="00862502" w:rsidRPr="00443103">
        <w:t>s based on</w:t>
      </w:r>
      <w:r w:rsidR="00CC279C" w:rsidRPr="00443103">
        <w:t>:</w:t>
      </w:r>
    </w:p>
    <w:p w:rsidR="00CC279C" w:rsidRPr="00443103" w:rsidRDefault="000E1C1C" w:rsidP="00F6481B">
      <w:pPr>
        <w:pStyle w:val="ListParagraph"/>
        <w:widowControl/>
        <w:numPr>
          <w:ilvl w:val="0"/>
          <w:numId w:val="8"/>
        </w:numPr>
        <w:ind w:left="993" w:hanging="284"/>
        <w:rPr>
          <w:szCs w:val="22"/>
        </w:rPr>
      </w:pPr>
      <w:r w:rsidRPr="00443103">
        <w:rPr>
          <w:szCs w:val="22"/>
        </w:rPr>
        <w:t xml:space="preserve">One retrospective </w:t>
      </w:r>
      <w:r w:rsidR="00E81E45" w:rsidRPr="00443103">
        <w:rPr>
          <w:szCs w:val="22"/>
        </w:rPr>
        <w:t>observational study using the 10% Medicare sample, referred to as</w:t>
      </w:r>
      <w:r w:rsidR="006F579A">
        <w:rPr>
          <w:szCs w:val="22"/>
        </w:rPr>
        <w:t xml:space="preserve"> the</w:t>
      </w:r>
      <w:r w:rsidR="00E81E45" w:rsidRPr="00443103">
        <w:rPr>
          <w:szCs w:val="22"/>
        </w:rPr>
        <w:t xml:space="preserve"> </w:t>
      </w:r>
      <w:proofErr w:type="spellStart"/>
      <w:r w:rsidR="00E81E45" w:rsidRPr="00443103">
        <w:rPr>
          <w:szCs w:val="22"/>
        </w:rPr>
        <w:t>Vytorin</w:t>
      </w:r>
      <w:proofErr w:type="spellEnd"/>
      <w:r w:rsidR="00E81E45" w:rsidRPr="00443103">
        <w:rPr>
          <w:szCs w:val="22"/>
        </w:rPr>
        <w:t xml:space="preserve"> Compliance Study IV</w:t>
      </w:r>
      <w:r w:rsidR="004E65BD" w:rsidRPr="00443103">
        <w:rPr>
          <w:szCs w:val="22"/>
        </w:rPr>
        <w:t>,</w:t>
      </w:r>
      <w:r w:rsidR="00041517" w:rsidRPr="00443103">
        <w:rPr>
          <w:szCs w:val="22"/>
        </w:rPr>
        <w:t xml:space="preserve"> comparing </w:t>
      </w:r>
      <w:proofErr w:type="spellStart"/>
      <w:r w:rsidR="00045978" w:rsidRPr="00443103">
        <w:rPr>
          <w:szCs w:val="22"/>
        </w:rPr>
        <w:t>Vytorin</w:t>
      </w:r>
      <w:proofErr w:type="spellEnd"/>
      <w:r w:rsidR="00045978" w:rsidRPr="00443103">
        <w:rPr>
          <w:szCs w:val="22"/>
        </w:rPr>
        <w:t xml:space="preserve"> to concomit</w:t>
      </w:r>
      <w:r w:rsidR="00DB2438" w:rsidRPr="00443103">
        <w:rPr>
          <w:szCs w:val="22"/>
        </w:rPr>
        <w:t>ant use of ezetimibe and statins</w:t>
      </w:r>
      <w:r w:rsidR="00592FF6" w:rsidRPr="00443103">
        <w:rPr>
          <w:szCs w:val="22"/>
        </w:rPr>
        <w:t xml:space="preserve">. </w:t>
      </w:r>
      <w:r w:rsidR="001A6194" w:rsidRPr="00443103">
        <w:rPr>
          <w:szCs w:val="22"/>
        </w:rPr>
        <w:t xml:space="preserve">Cohort 1 </w:t>
      </w:r>
      <w:r w:rsidR="004E65BD" w:rsidRPr="00443103">
        <w:rPr>
          <w:szCs w:val="22"/>
        </w:rPr>
        <w:t>is</w:t>
      </w:r>
      <w:r w:rsidR="001A6194" w:rsidRPr="00443103">
        <w:rPr>
          <w:szCs w:val="22"/>
        </w:rPr>
        <w:t xml:space="preserve"> a before and after study </w:t>
      </w:r>
      <w:r w:rsidR="001D2609" w:rsidRPr="00443103">
        <w:rPr>
          <w:szCs w:val="22"/>
        </w:rPr>
        <w:t xml:space="preserve">measuring adherence </w:t>
      </w:r>
      <w:r w:rsidR="00B12941" w:rsidRPr="00443103">
        <w:rPr>
          <w:szCs w:val="22"/>
        </w:rPr>
        <w:t>(n=between 304 and 1,</w:t>
      </w:r>
      <w:r w:rsidR="00240602" w:rsidRPr="00443103">
        <w:rPr>
          <w:szCs w:val="22"/>
        </w:rPr>
        <w:t>2</w:t>
      </w:r>
      <w:r w:rsidR="00240602">
        <w:rPr>
          <w:szCs w:val="22"/>
        </w:rPr>
        <w:t>05</w:t>
      </w:r>
      <w:r w:rsidR="001A6194" w:rsidRPr="00443103">
        <w:rPr>
          <w:szCs w:val="22"/>
        </w:rPr>
        <w:t xml:space="preserve">). Cohort 2 </w:t>
      </w:r>
      <w:r w:rsidR="00AA06C8" w:rsidRPr="00443103">
        <w:rPr>
          <w:szCs w:val="22"/>
        </w:rPr>
        <w:t xml:space="preserve">is used for </w:t>
      </w:r>
      <w:r w:rsidR="009826E2" w:rsidRPr="00443103">
        <w:rPr>
          <w:szCs w:val="22"/>
        </w:rPr>
        <w:t xml:space="preserve">the </w:t>
      </w:r>
      <w:r w:rsidR="00AA06C8" w:rsidRPr="00443103">
        <w:rPr>
          <w:szCs w:val="22"/>
        </w:rPr>
        <w:t>persistence analysis (n=</w:t>
      </w:r>
      <w:r w:rsidR="001D2609" w:rsidRPr="00443103">
        <w:rPr>
          <w:szCs w:val="22"/>
        </w:rPr>
        <w:t>16,594</w:t>
      </w:r>
      <w:r w:rsidR="00AA06C8" w:rsidRPr="00443103">
        <w:rPr>
          <w:szCs w:val="22"/>
        </w:rPr>
        <w:t>).</w:t>
      </w:r>
    </w:p>
    <w:p w:rsidR="00E81E45" w:rsidRPr="00443103" w:rsidRDefault="002C6D96" w:rsidP="00F6481B">
      <w:pPr>
        <w:pStyle w:val="ListParagraph"/>
        <w:widowControl/>
        <w:numPr>
          <w:ilvl w:val="0"/>
          <w:numId w:val="8"/>
        </w:numPr>
        <w:ind w:left="993" w:hanging="284"/>
        <w:rPr>
          <w:szCs w:val="22"/>
        </w:rPr>
      </w:pPr>
      <w:r w:rsidRPr="00443103">
        <w:rPr>
          <w:szCs w:val="22"/>
        </w:rPr>
        <w:t xml:space="preserve">One commissioned cross-sectional online market study </w:t>
      </w:r>
      <w:r w:rsidR="009C4B05" w:rsidRPr="00443103">
        <w:rPr>
          <w:szCs w:val="22"/>
        </w:rPr>
        <w:t xml:space="preserve">of general practitioners </w:t>
      </w:r>
      <w:r w:rsidR="00AA06C8" w:rsidRPr="00443103">
        <w:rPr>
          <w:szCs w:val="22"/>
        </w:rPr>
        <w:t xml:space="preserve">(n=192) </w:t>
      </w:r>
      <w:r w:rsidR="009C4B05" w:rsidRPr="00443103">
        <w:rPr>
          <w:szCs w:val="22"/>
        </w:rPr>
        <w:t xml:space="preserve">and </w:t>
      </w:r>
      <w:r w:rsidR="000C441A" w:rsidRPr="00443103">
        <w:rPr>
          <w:szCs w:val="22"/>
        </w:rPr>
        <w:t>patients</w:t>
      </w:r>
      <w:r w:rsidR="00AA06C8" w:rsidRPr="00443103">
        <w:rPr>
          <w:szCs w:val="22"/>
        </w:rPr>
        <w:t xml:space="preserve"> (n=189)</w:t>
      </w:r>
      <w:r w:rsidR="00305B34" w:rsidRPr="00443103">
        <w:rPr>
          <w:szCs w:val="22"/>
        </w:rPr>
        <w:t xml:space="preserve"> to gather </w:t>
      </w:r>
      <w:r w:rsidR="004C7F41" w:rsidRPr="00443103">
        <w:rPr>
          <w:szCs w:val="22"/>
        </w:rPr>
        <w:t>‘</w:t>
      </w:r>
      <w:r w:rsidR="0096065C" w:rsidRPr="00443103">
        <w:rPr>
          <w:szCs w:val="22"/>
        </w:rPr>
        <w:t>quantitative</w:t>
      </w:r>
      <w:r w:rsidR="004C7F41" w:rsidRPr="00443103">
        <w:rPr>
          <w:szCs w:val="22"/>
        </w:rPr>
        <w:t>’</w:t>
      </w:r>
      <w:r w:rsidR="0096065C" w:rsidRPr="00443103">
        <w:rPr>
          <w:szCs w:val="22"/>
        </w:rPr>
        <w:t xml:space="preserve"> information about compliance </w:t>
      </w:r>
      <w:r w:rsidR="009B1811" w:rsidRPr="00443103">
        <w:rPr>
          <w:szCs w:val="22"/>
        </w:rPr>
        <w:t>with medicines</w:t>
      </w:r>
      <w:r w:rsidR="00592FF6" w:rsidRPr="00443103">
        <w:rPr>
          <w:szCs w:val="22"/>
        </w:rPr>
        <w:t>.</w:t>
      </w:r>
    </w:p>
    <w:p w:rsidR="00895360" w:rsidRPr="00443103" w:rsidRDefault="001E3A5C" w:rsidP="00F6481B">
      <w:pPr>
        <w:pStyle w:val="ListParagraph"/>
        <w:widowControl/>
        <w:numPr>
          <w:ilvl w:val="0"/>
          <w:numId w:val="8"/>
        </w:numPr>
        <w:ind w:left="993" w:hanging="284"/>
        <w:rPr>
          <w:szCs w:val="22"/>
        </w:rPr>
      </w:pPr>
      <w:r w:rsidRPr="00443103">
        <w:rPr>
          <w:szCs w:val="22"/>
        </w:rPr>
        <w:t xml:space="preserve">Four systematic reviews: one investigating the factors </w:t>
      </w:r>
      <w:r w:rsidR="00ED5E80" w:rsidRPr="00443103">
        <w:rPr>
          <w:szCs w:val="22"/>
        </w:rPr>
        <w:t>affecting compliance to statins and three investigating the imp</w:t>
      </w:r>
      <w:r w:rsidR="00C62DD3" w:rsidRPr="00443103">
        <w:rPr>
          <w:szCs w:val="22"/>
        </w:rPr>
        <w:t>act of compliance to statins on</w:t>
      </w:r>
      <w:r w:rsidR="00ED5E80" w:rsidRPr="00443103">
        <w:rPr>
          <w:szCs w:val="22"/>
        </w:rPr>
        <w:t xml:space="preserve"> patient outcomes.</w:t>
      </w:r>
    </w:p>
    <w:p w:rsidR="00612E90" w:rsidRPr="00443103" w:rsidRDefault="00C62DD3" w:rsidP="00F6481B">
      <w:pPr>
        <w:pStyle w:val="ListParagraph"/>
        <w:widowControl/>
        <w:numPr>
          <w:ilvl w:val="0"/>
          <w:numId w:val="8"/>
        </w:numPr>
        <w:ind w:left="993" w:hanging="284"/>
        <w:rPr>
          <w:szCs w:val="22"/>
        </w:rPr>
      </w:pPr>
      <w:r w:rsidRPr="00443103">
        <w:rPr>
          <w:szCs w:val="22"/>
        </w:rPr>
        <w:t xml:space="preserve">Two narrative reviews: </w:t>
      </w:r>
      <w:r w:rsidR="00612E90" w:rsidRPr="00443103">
        <w:rPr>
          <w:szCs w:val="22"/>
        </w:rPr>
        <w:t xml:space="preserve">one discussing the factors affecting compliance to statins and </w:t>
      </w:r>
      <w:r w:rsidR="004800FA" w:rsidRPr="00443103">
        <w:rPr>
          <w:szCs w:val="22"/>
        </w:rPr>
        <w:t>one</w:t>
      </w:r>
      <w:r w:rsidR="00612E90" w:rsidRPr="00443103">
        <w:rPr>
          <w:szCs w:val="22"/>
        </w:rPr>
        <w:t xml:space="preserve"> discussing the impact of compliance to </w:t>
      </w:r>
      <w:r w:rsidR="00654835" w:rsidRPr="00443103">
        <w:rPr>
          <w:szCs w:val="22"/>
        </w:rPr>
        <w:t>lipid-lowering therapy</w:t>
      </w:r>
      <w:r w:rsidR="00612E90" w:rsidRPr="00443103">
        <w:rPr>
          <w:szCs w:val="22"/>
        </w:rPr>
        <w:t xml:space="preserve"> on patient outcomes.</w:t>
      </w:r>
    </w:p>
    <w:p w:rsidR="00ED5E80" w:rsidRDefault="00AC1746" w:rsidP="00F6481B">
      <w:pPr>
        <w:pStyle w:val="ListParagraph"/>
        <w:widowControl/>
        <w:numPr>
          <w:ilvl w:val="0"/>
          <w:numId w:val="8"/>
        </w:numPr>
        <w:ind w:left="993" w:hanging="284"/>
        <w:rPr>
          <w:szCs w:val="22"/>
        </w:rPr>
      </w:pPr>
      <w:r w:rsidRPr="00443103">
        <w:rPr>
          <w:szCs w:val="22"/>
        </w:rPr>
        <w:t>40 observational studies</w:t>
      </w:r>
      <w:r w:rsidR="000F1C42" w:rsidRPr="00443103">
        <w:rPr>
          <w:szCs w:val="22"/>
        </w:rPr>
        <w:t xml:space="preserve">: one study </w:t>
      </w:r>
      <w:r w:rsidR="004761B6" w:rsidRPr="00443103">
        <w:rPr>
          <w:szCs w:val="22"/>
        </w:rPr>
        <w:t xml:space="preserve">describing the usage pattern, effectiveness and tolerability of </w:t>
      </w:r>
      <w:proofErr w:type="spellStart"/>
      <w:r w:rsidR="004761B6" w:rsidRPr="00443103">
        <w:rPr>
          <w:szCs w:val="22"/>
        </w:rPr>
        <w:t>Vytorin</w:t>
      </w:r>
      <w:proofErr w:type="spellEnd"/>
      <w:r w:rsidR="002E2C29" w:rsidRPr="00443103">
        <w:rPr>
          <w:szCs w:val="22"/>
        </w:rPr>
        <w:t xml:space="preserve">, </w:t>
      </w:r>
      <w:r w:rsidR="002B5298" w:rsidRPr="00443103">
        <w:rPr>
          <w:szCs w:val="22"/>
        </w:rPr>
        <w:t xml:space="preserve">one study investigating compliance to </w:t>
      </w:r>
      <w:r w:rsidR="003324D3" w:rsidRPr="00443103">
        <w:rPr>
          <w:szCs w:val="22"/>
        </w:rPr>
        <w:t xml:space="preserve">single-pill combination versus </w:t>
      </w:r>
      <w:r w:rsidR="004E65BD" w:rsidRPr="00443103">
        <w:rPr>
          <w:szCs w:val="22"/>
        </w:rPr>
        <w:t>multiple-pill combination lipid-</w:t>
      </w:r>
      <w:r w:rsidR="003324D3" w:rsidRPr="00443103">
        <w:rPr>
          <w:szCs w:val="22"/>
        </w:rPr>
        <w:t>modifying therapy</w:t>
      </w:r>
      <w:r w:rsidR="002B5298" w:rsidRPr="00443103">
        <w:rPr>
          <w:szCs w:val="22"/>
        </w:rPr>
        <w:t xml:space="preserve">, </w:t>
      </w:r>
      <w:r w:rsidR="00275B1D" w:rsidRPr="00443103">
        <w:rPr>
          <w:szCs w:val="22"/>
        </w:rPr>
        <w:t>1</w:t>
      </w:r>
      <w:r w:rsidR="002B5298" w:rsidRPr="00443103">
        <w:rPr>
          <w:szCs w:val="22"/>
        </w:rPr>
        <w:t>5</w:t>
      </w:r>
      <w:r w:rsidR="00275B1D" w:rsidRPr="00443103">
        <w:rPr>
          <w:szCs w:val="22"/>
        </w:rPr>
        <w:t xml:space="preserve"> studies reporting </w:t>
      </w:r>
      <w:r w:rsidR="007B793D" w:rsidRPr="00443103">
        <w:rPr>
          <w:szCs w:val="22"/>
        </w:rPr>
        <w:t xml:space="preserve">on </w:t>
      </w:r>
      <w:r w:rsidR="00275B1D" w:rsidRPr="00443103">
        <w:rPr>
          <w:szCs w:val="22"/>
        </w:rPr>
        <w:t>factors affecting compliance to statins</w:t>
      </w:r>
      <w:r w:rsidR="0065020C" w:rsidRPr="00443103">
        <w:rPr>
          <w:szCs w:val="22"/>
        </w:rPr>
        <w:t>,</w:t>
      </w:r>
      <w:r w:rsidR="00275B1D" w:rsidRPr="00443103">
        <w:rPr>
          <w:szCs w:val="22"/>
        </w:rPr>
        <w:t xml:space="preserve"> and </w:t>
      </w:r>
      <w:r w:rsidR="00D60F68" w:rsidRPr="00443103">
        <w:rPr>
          <w:szCs w:val="22"/>
        </w:rPr>
        <w:t>23</w:t>
      </w:r>
      <w:r w:rsidR="00E31C9E" w:rsidRPr="00443103">
        <w:rPr>
          <w:szCs w:val="22"/>
        </w:rPr>
        <w:t xml:space="preserve"> studies reporting </w:t>
      </w:r>
      <w:r w:rsidR="00B866B5" w:rsidRPr="00443103">
        <w:rPr>
          <w:szCs w:val="22"/>
        </w:rPr>
        <w:t xml:space="preserve">on </w:t>
      </w:r>
      <w:r w:rsidR="00E31C9E" w:rsidRPr="00443103">
        <w:rPr>
          <w:szCs w:val="22"/>
        </w:rPr>
        <w:t>patient outcomes associated with statin compliance.</w:t>
      </w:r>
    </w:p>
    <w:p w:rsidR="00F75330" w:rsidRPr="00F6481B" w:rsidRDefault="00F75330" w:rsidP="00F6481B">
      <w:pPr>
        <w:widowControl/>
        <w:rPr>
          <w:szCs w:val="22"/>
        </w:rPr>
      </w:pPr>
    </w:p>
    <w:p w:rsidR="00862502" w:rsidRPr="00443103" w:rsidRDefault="00F75330" w:rsidP="008D11C6">
      <w:pPr>
        <w:pStyle w:val="ListParagraph"/>
        <w:widowControl/>
        <w:numPr>
          <w:ilvl w:val="1"/>
          <w:numId w:val="3"/>
        </w:numPr>
        <w:rPr>
          <w:szCs w:val="22"/>
        </w:rPr>
      </w:pPr>
      <w:r>
        <w:rPr>
          <w:szCs w:val="22"/>
        </w:rPr>
        <w:t>D</w:t>
      </w:r>
      <w:r w:rsidR="00862502" w:rsidRPr="00443103">
        <w:rPr>
          <w:szCs w:val="22"/>
        </w:rPr>
        <w:t xml:space="preserve">etails of the </w:t>
      </w:r>
      <w:r w:rsidR="006D58D5" w:rsidRPr="00443103">
        <w:rPr>
          <w:szCs w:val="22"/>
        </w:rPr>
        <w:t>studies</w:t>
      </w:r>
      <w:r w:rsidR="00862502" w:rsidRPr="00443103">
        <w:rPr>
          <w:szCs w:val="22"/>
        </w:rPr>
        <w:t xml:space="preserve"> presented in the submission ar</w:t>
      </w:r>
      <w:r w:rsidR="00F6481B">
        <w:rPr>
          <w:szCs w:val="22"/>
        </w:rPr>
        <w:t>e provided in the table below.</w:t>
      </w:r>
    </w:p>
    <w:p w:rsidR="00862502" w:rsidRPr="00443103" w:rsidRDefault="00862502" w:rsidP="00862502">
      <w:pPr>
        <w:widowControl/>
        <w:rPr>
          <w:szCs w:val="22"/>
        </w:rPr>
      </w:pPr>
    </w:p>
    <w:p w:rsidR="008F120A" w:rsidRPr="00443103" w:rsidRDefault="00DA0DCC" w:rsidP="00E22A0D">
      <w:pPr>
        <w:ind w:firstLine="720"/>
        <w:rPr>
          <w:rStyle w:val="CommentReference"/>
        </w:rPr>
      </w:pPr>
      <w:r w:rsidRPr="00443103">
        <w:rPr>
          <w:rStyle w:val="CommentReference"/>
        </w:rPr>
        <w:t>Studies</w:t>
      </w:r>
      <w:r w:rsidR="008F120A" w:rsidRPr="00443103">
        <w:rPr>
          <w:rStyle w:val="CommentReference"/>
        </w:rPr>
        <w:t xml:space="preserve">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7"/>
        <w:gridCol w:w="5357"/>
        <w:gridCol w:w="1711"/>
      </w:tblGrid>
      <w:tr w:rsidR="008F120A" w:rsidRPr="00443103" w:rsidTr="000B6585">
        <w:tc>
          <w:tcPr>
            <w:tcW w:w="765" w:type="pct"/>
          </w:tcPr>
          <w:p w:rsidR="008F120A" w:rsidRPr="00443103" w:rsidRDefault="00DA0DCC" w:rsidP="0018752F">
            <w:pPr>
              <w:jc w:val="left"/>
              <w:rPr>
                <w:rFonts w:ascii="Arial Narrow" w:hAnsi="Arial Narrow"/>
                <w:b/>
                <w:sz w:val="20"/>
              </w:rPr>
            </w:pPr>
            <w:r w:rsidRPr="00443103">
              <w:rPr>
                <w:rFonts w:ascii="Arial Narrow" w:hAnsi="Arial Narrow"/>
                <w:b/>
                <w:sz w:val="20"/>
              </w:rPr>
              <w:t>Study</w:t>
            </w:r>
            <w:r w:rsidR="008F120A" w:rsidRPr="00443103">
              <w:rPr>
                <w:rFonts w:ascii="Arial Narrow" w:hAnsi="Arial Narrow"/>
                <w:b/>
                <w:sz w:val="20"/>
              </w:rPr>
              <w:t xml:space="preserve"> ID</w:t>
            </w:r>
            <w:r w:rsidR="00E22A0D" w:rsidRPr="00443103">
              <w:rPr>
                <w:rFonts w:ascii="Arial Narrow" w:hAnsi="Arial Narrow"/>
                <w:b/>
                <w:sz w:val="20"/>
              </w:rPr>
              <w:t>/</w:t>
            </w:r>
            <w:r w:rsidR="005A7ADB" w:rsidRPr="00443103">
              <w:rPr>
                <w:rFonts w:ascii="Arial Narrow" w:hAnsi="Arial Narrow"/>
                <w:b/>
                <w:sz w:val="20"/>
              </w:rPr>
              <w:t xml:space="preserve"> </w:t>
            </w:r>
            <w:r w:rsidR="00E22A0D" w:rsidRPr="00443103">
              <w:rPr>
                <w:rFonts w:ascii="Arial Narrow" w:hAnsi="Arial Narrow"/>
                <w:b/>
                <w:sz w:val="20"/>
              </w:rPr>
              <w:t>First Author</w:t>
            </w:r>
          </w:p>
        </w:tc>
        <w:tc>
          <w:tcPr>
            <w:tcW w:w="3210" w:type="pct"/>
          </w:tcPr>
          <w:p w:rsidR="008F120A" w:rsidRPr="00443103" w:rsidRDefault="008F120A" w:rsidP="0018752F">
            <w:pPr>
              <w:jc w:val="center"/>
              <w:rPr>
                <w:rFonts w:ascii="Arial Narrow" w:hAnsi="Arial Narrow"/>
                <w:b/>
                <w:sz w:val="20"/>
              </w:rPr>
            </w:pPr>
            <w:r w:rsidRPr="00443103">
              <w:rPr>
                <w:rFonts w:ascii="Arial Narrow" w:hAnsi="Arial Narrow"/>
                <w:b/>
                <w:sz w:val="20"/>
              </w:rPr>
              <w:t>Protocol title/ Publication title</w:t>
            </w:r>
          </w:p>
        </w:tc>
        <w:tc>
          <w:tcPr>
            <w:tcW w:w="1025" w:type="pct"/>
          </w:tcPr>
          <w:p w:rsidR="008F120A" w:rsidRPr="00443103" w:rsidRDefault="008F120A" w:rsidP="0018752F">
            <w:pPr>
              <w:jc w:val="center"/>
              <w:rPr>
                <w:rFonts w:ascii="Arial Narrow" w:hAnsi="Arial Narrow"/>
                <w:b/>
                <w:sz w:val="20"/>
              </w:rPr>
            </w:pPr>
            <w:r w:rsidRPr="00443103">
              <w:rPr>
                <w:rFonts w:ascii="Arial Narrow" w:hAnsi="Arial Narrow"/>
                <w:b/>
                <w:sz w:val="20"/>
              </w:rPr>
              <w:t>Publication citation</w:t>
            </w:r>
          </w:p>
        </w:tc>
      </w:tr>
      <w:tr w:rsidR="008F120A" w:rsidRPr="00443103" w:rsidTr="00E22A0D">
        <w:tc>
          <w:tcPr>
            <w:tcW w:w="5000" w:type="pct"/>
            <w:gridSpan w:val="3"/>
          </w:tcPr>
          <w:p w:rsidR="008F120A" w:rsidRPr="00443103" w:rsidRDefault="00343B09" w:rsidP="00070909">
            <w:pPr>
              <w:jc w:val="left"/>
              <w:rPr>
                <w:rFonts w:ascii="Arial Narrow" w:hAnsi="Arial Narrow"/>
                <w:b/>
                <w:sz w:val="20"/>
              </w:rPr>
            </w:pPr>
            <w:r w:rsidRPr="00443103">
              <w:rPr>
                <w:rFonts w:ascii="Arial Narrow" w:hAnsi="Arial Narrow"/>
                <w:b/>
                <w:sz w:val="20"/>
              </w:rPr>
              <w:t>Commissioned studies</w:t>
            </w:r>
          </w:p>
        </w:tc>
      </w:tr>
      <w:tr w:rsidR="00AF66D0" w:rsidRPr="00443103" w:rsidTr="000B6585">
        <w:tc>
          <w:tcPr>
            <w:tcW w:w="765" w:type="pct"/>
          </w:tcPr>
          <w:p w:rsidR="00AF66D0" w:rsidRPr="00443103" w:rsidRDefault="00AF66D0" w:rsidP="0018752F">
            <w:pPr>
              <w:jc w:val="left"/>
              <w:rPr>
                <w:rFonts w:ascii="Arial Narrow" w:hAnsi="Arial Narrow"/>
                <w:sz w:val="20"/>
              </w:rPr>
            </w:pPr>
            <w:proofErr w:type="spellStart"/>
            <w:r w:rsidRPr="00443103">
              <w:rPr>
                <w:rFonts w:ascii="Arial Narrow" w:hAnsi="Arial Narrow"/>
                <w:sz w:val="20"/>
              </w:rPr>
              <w:t>Vytorin</w:t>
            </w:r>
            <w:proofErr w:type="spellEnd"/>
            <w:r w:rsidRPr="00443103">
              <w:rPr>
                <w:rFonts w:ascii="Arial Narrow" w:hAnsi="Arial Narrow"/>
                <w:sz w:val="20"/>
                <w:vertAlign w:val="superscript"/>
              </w:rPr>
              <w:t xml:space="preserve">® </w:t>
            </w:r>
            <w:r w:rsidRPr="00443103">
              <w:rPr>
                <w:rFonts w:ascii="Arial Narrow" w:hAnsi="Arial Narrow"/>
                <w:sz w:val="20"/>
              </w:rPr>
              <w:t>Compliance Study IV</w:t>
            </w:r>
          </w:p>
        </w:tc>
        <w:tc>
          <w:tcPr>
            <w:tcW w:w="3210" w:type="pct"/>
          </w:tcPr>
          <w:p w:rsidR="00AF66D0" w:rsidRPr="00443103" w:rsidRDefault="00AF66D0" w:rsidP="0018752F">
            <w:pPr>
              <w:jc w:val="left"/>
              <w:rPr>
                <w:rFonts w:ascii="Arial Narrow" w:hAnsi="Arial Narrow"/>
                <w:sz w:val="20"/>
              </w:rPr>
            </w:pPr>
            <w:proofErr w:type="spellStart"/>
            <w:r w:rsidRPr="00443103">
              <w:rPr>
                <w:rFonts w:ascii="Arial Narrow" w:hAnsi="Arial Narrow"/>
                <w:sz w:val="20"/>
              </w:rPr>
              <w:t>Vytorin</w:t>
            </w:r>
            <w:proofErr w:type="spellEnd"/>
            <w:r w:rsidRPr="00443103">
              <w:rPr>
                <w:rFonts w:ascii="Arial Narrow" w:hAnsi="Arial Narrow"/>
                <w:sz w:val="20"/>
              </w:rPr>
              <w:t xml:space="preserve"> </w:t>
            </w:r>
            <w:r w:rsidRPr="00443103">
              <w:rPr>
                <w:rFonts w:ascii="Arial Narrow" w:hAnsi="Arial Narrow"/>
                <w:sz w:val="20"/>
                <w:vertAlign w:val="superscript"/>
              </w:rPr>
              <w:t xml:space="preserve">® </w:t>
            </w:r>
            <w:r w:rsidRPr="00443103">
              <w:rPr>
                <w:rFonts w:ascii="Arial Narrow" w:hAnsi="Arial Narrow"/>
                <w:sz w:val="20"/>
              </w:rPr>
              <w:t xml:space="preserve">Compliance Study IV: A longitudinal, retrospective descriptive study using a 10% sample of the Medicare Australia claims database (historical cohort).  </w:t>
            </w:r>
          </w:p>
        </w:tc>
        <w:tc>
          <w:tcPr>
            <w:tcW w:w="1025" w:type="pct"/>
          </w:tcPr>
          <w:p w:rsidR="00AF66D0" w:rsidRPr="00443103" w:rsidRDefault="00AF66D0" w:rsidP="0018752F">
            <w:pPr>
              <w:jc w:val="left"/>
              <w:rPr>
                <w:rFonts w:ascii="Arial Narrow" w:hAnsi="Arial Narrow"/>
                <w:sz w:val="20"/>
              </w:rPr>
            </w:pPr>
            <w:r w:rsidRPr="00443103">
              <w:rPr>
                <w:rFonts w:ascii="Arial Narrow" w:hAnsi="Arial Narrow"/>
                <w:sz w:val="20"/>
              </w:rPr>
              <w:t>Unpublished</w:t>
            </w:r>
          </w:p>
        </w:tc>
      </w:tr>
      <w:tr w:rsidR="00FE4634" w:rsidRPr="00443103" w:rsidTr="000B6585">
        <w:tc>
          <w:tcPr>
            <w:tcW w:w="765" w:type="pct"/>
          </w:tcPr>
          <w:p w:rsidR="00FE4634" w:rsidRPr="00443103" w:rsidRDefault="00FE4634" w:rsidP="0018752F">
            <w:pPr>
              <w:jc w:val="left"/>
              <w:rPr>
                <w:rFonts w:ascii="Arial Narrow" w:hAnsi="Arial Narrow"/>
                <w:sz w:val="20"/>
              </w:rPr>
            </w:pPr>
            <w:r w:rsidRPr="00443103">
              <w:rPr>
                <w:rFonts w:ascii="Arial Narrow" w:hAnsi="Arial Narrow"/>
                <w:sz w:val="20"/>
              </w:rPr>
              <w:t>Commissioned market survey</w:t>
            </w:r>
          </w:p>
        </w:tc>
        <w:tc>
          <w:tcPr>
            <w:tcW w:w="3210" w:type="pct"/>
          </w:tcPr>
          <w:p w:rsidR="00FE4634" w:rsidRPr="00443103" w:rsidRDefault="00FE4634" w:rsidP="0018752F">
            <w:pPr>
              <w:jc w:val="left"/>
              <w:rPr>
                <w:rFonts w:ascii="Arial Narrow" w:hAnsi="Arial Narrow"/>
                <w:sz w:val="20"/>
              </w:rPr>
            </w:pPr>
            <w:r w:rsidRPr="00443103">
              <w:rPr>
                <w:rFonts w:ascii="Arial Narrow" w:hAnsi="Arial Narrow"/>
                <w:sz w:val="20"/>
              </w:rPr>
              <w:t xml:space="preserve">Lipid lowering medications research: findings from quantitative research with general practitioners and patients. </w:t>
            </w:r>
          </w:p>
        </w:tc>
        <w:tc>
          <w:tcPr>
            <w:tcW w:w="1025" w:type="pct"/>
          </w:tcPr>
          <w:p w:rsidR="00FE4634" w:rsidRPr="00443103" w:rsidRDefault="00FE4634" w:rsidP="0018752F">
            <w:pPr>
              <w:jc w:val="left"/>
              <w:rPr>
                <w:rFonts w:ascii="Arial Narrow" w:hAnsi="Arial Narrow"/>
                <w:sz w:val="20"/>
              </w:rPr>
            </w:pPr>
            <w:r w:rsidRPr="00443103">
              <w:rPr>
                <w:rFonts w:ascii="Arial Narrow" w:hAnsi="Arial Narrow"/>
                <w:sz w:val="20"/>
              </w:rPr>
              <w:t>Unpublished. Prepared July 2014.</w:t>
            </w:r>
          </w:p>
        </w:tc>
      </w:tr>
      <w:tr w:rsidR="00A72C9D" w:rsidRPr="00443103" w:rsidTr="00A72C9D">
        <w:tc>
          <w:tcPr>
            <w:tcW w:w="5000" w:type="pct"/>
            <w:gridSpan w:val="3"/>
          </w:tcPr>
          <w:p w:rsidR="00A72C9D" w:rsidRPr="00443103" w:rsidRDefault="00A72C9D" w:rsidP="0018752F">
            <w:pPr>
              <w:jc w:val="left"/>
              <w:rPr>
                <w:rFonts w:ascii="Arial Narrow" w:hAnsi="Arial Narrow"/>
                <w:sz w:val="20"/>
              </w:rPr>
            </w:pPr>
            <w:r w:rsidRPr="00443103">
              <w:rPr>
                <w:rFonts w:ascii="Arial Narrow" w:hAnsi="Arial Narrow"/>
                <w:b/>
                <w:sz w:val="20"/>
              </w:rPr>
              <w:t>Systematic reviews</w:t>
            </w:r>
          </w:p>
        </w:tc>
      </w:tr>
      <w:tr w:rsidR="00A72C9D" w:rsidRPr="00443103" w:rsidTr="000B6585">
        <w:tc>
          <w:tcPr>
            <w:tcW w:w="765" w:type="pct"/>
          </w:tcPr>
          <w:p w:rsidR="00A72C9D" w:rsidRPr="00443103" w:rsidRDefault="006F579A" w:rsidP="0018752F">
            <w:pPr>
              <w:jc w:val="left"/>
              <w:rPr>
                <w:rFonts w:ascii="Arial Narrow" w:hAnsi="Arial Narrow"/>
                <w:sz w:val="20"/>
              </w:rPr>
            </w:pPr>
            <w:proofErr w:type="spellStart"/>
            <w:r>
              <w:rPr>
                <w:rFonts w:ascii="Arial Narrow" w:hAnsi="Arial Narrow"/>
                <w:sz w:val="20"/>
              </w:rPr>
              <w:t>Lemstra</w:t>
            </w:r>
            <w:proofErr w:type="spellEnd"/>
            <w:r>
              <w:rPr>
                <w:rFonts w:ascii="Arial Narrow" w:hAnsi="Arial Narrow"/>
                <w:sz w:val="20"/>
              </w:rPr>
              <w:t xml:space="preserve"> </w:t>
            </w:r>
          </w:p>
        </w:tc>
        <w:tc>
          <w:tcPr>
            <w:tcW w:w="3210" w:type="pct"/>
          </w:tcPr>
          <w:p w:rsidR="00A72C9D" w:rsidRPr="00443103" w:rsidRDefault="00A72C9D" w:rsidP="0018752F">
            <w:pPr>
              <w:jc w:val="left"/>
              <w:rPr>
                <w:rFonts w:ascii="Arial Narrow" w:hAnsi="Arial Narrow"/>
                <w:sz w:val="20"/>
              </w:rPr>
            </w:pPr>
            <w:r w:rsidRPr="00443103">
              <w:rPr>
                <w:rFonts w:ascii="Arial Narrow" w:hAnsi="Arial Narrow"/>
                <w:sz w:val="20"/>
              </w:rPr>
              <w:t xml:space="preserve">Proportion and Risk Indicators of Non-adherence to statin therapy: A Meta-analysis. </w:t>
            </w:r>
          </w:p>
        </w:tc>
        <w:tc>
          <w:tcPr>
            <w:tcW w:w="1025" w:type="pct"/>
          </w:tcPr>
          <w:p w:rsidR="00A72C9D" w:rsidRPr="00443103" w:rsidRDefault="00A72C9D" w:rsidP="0018752F">
            <w:pPr>
              <w:jc w:val="left"/>
              <w:rPr>
                <w:rFonts w:ascii="Arial Narrow" w:hAnsi="Arial Narrow"/>
                <w:sz w:val="20"/>
              </w:rPr>
            </w:pPr>
            <w:r w:rsidRPr="00443103">
              <w:rPr>
                <w:rFonts w:ascii="Arial Narrow" w:hAnsi="Arial Narrow"/>
                <w:sz w:val="20"/>
              </w:rPr>
              <w:t xml:space="preserve">Can J </w:t>
            </w:r>
            <w:proofErr w:type="spellStart"/>
            <w:r w:rsidRPr="00443103">
              <w:rPr>
                <w:rFonts w:ascii="Arial Narrow" w:hAnsi="Arial Narrow"/>
                <w:sz w:val="20"/>
              </w:rPr>
              <w:t>Cardiol</w:t>
            </w:r>
            <w:proofErr w:type="spellEnd"/>
            <w:r w:rsidRPr="00443103">
              <w:rPr>
                <w:rFonts w:ascii="Arial Narrow" w:hAnsi="Arial Narrow"/>
                <w:sz w:val="20"/>
              </w:rPr>
              <w:t xml:space="preserve"> 2012; 28: 574-580.</w:t>
            </w:r>
          </w:p>
        </w:tc>
      </w:tr>
      <w:tr w:rsidR="00A72C9D" w:rsidRPr="00443103" w:rsidTr="000B6585">
        <w:tc>
          <w:tcPr>
            <w:tcW w:w="765" w:type="pct"/>
          </w:tcPr>
          <w:p w:rsidR="00A72C9D" w:rsidRPr="00443103" w:rsidRDefault="006F579A" w:rsidP="0018752F">
            <w:pPr>
              <w:jc w:val="left"/>
              <w:rPr>
                <w:rFonts w:ascii="Arial Narrow" w:hAnsi="Arial Narrow"/>
                <w:sz w:val="20"/>
              </w:rPr>
            </w:pPr>
            <w:r>
              <w:rPr>
                <w:rFonts w:ascii="Arial Narrow" w:hAnsi="Arial Narrow"/>
                <w:sz w:val="20"/>
              </w:rPr>
              <w:lastRenderedPageBreak/>
              <w:t xml:space="preserve">Simpson </w:t>
            </w:r>
          </w:p>
        </w:tc>
        <w:tc>
          <w:tcPr>
            <w:tcW w:w="3210" w:type="pct"/>
          </w:tcPr>
          <w:p w:rsidR="00A72C9D" w:rsidRPr="00443103" w:rsidRDefault="00A72C9D" w:rsidP="0018752F">
            <w:pPr>
              <w:jc w:val="left"/>
              <w:rPr>
                <w:rFonts w:ascii="Arial Narrow" w:hAnsi="Arial Narrow"/>
                <w:sz w:val="20"/>
              </w:rPr>
            </w:pPr>
            <w:r w:rsidRPr="00443103">
              <w:rPr>
                <w:rFonts w:ascii="Arial Narrow" w:hAnsi="Arial Narrow"/>
                <w:sz w:val="20"/>
              </w:rPr>
              <w:t xml:space="preserve">The effects of adherence and persistence on clinical outcomes in patients treated with statins: A systematic review. </w:t>
            </w:r>
          </w:p>
        </w:tc>
        <w:tc>
          <w:tcPr>
            <w:tcW w:w="1025" w:type="pct"/>
          </w:tcPr>
          <w:p w:rsidR="00A72C9D" w:rsidRPr="00443103" w:rsidRDefault="00A72C9D" w:rsidP="0018752F">
            <w:pPr>
              <w:jc w:val="left"/>
              <w:rPr>
                <w:rFonts w:ascii="Arial Narrow" w:hAnsi="Arial Narrow"/>
                <w:sz w:val="20"/>
              </w:rPr>
            </w:pPr>
            <w:r w:rsidRPr="00443103">
              <w:rPr>
                <w:rFonts w:ascii="Arial Narrow" w:hAnsi="Arial Narrow"/>
                <w:sz w:val="20"/>
              </w:rPr>
              <w:t xml:space="preserve">J </w:t>
            </w:r>
            <w:proofErr w:type="spellStart"/>
            <w:r w:rsidRPr="00443103">
              <w:rPr>
                <w:rFonts w:ascii="Arial Narrow" w:hAnsi="Arial Narrow"/>
                <w:sz w:val="20"/>
              </w:rPr>
              <w:t>Clin</w:t>
            </w:r>
            <w:proofErr w:type="spellEnd"/>
            <w:r w:rsidRPr="00443103">
              <w:rPr>
                <w:rFonts w:ascii="Arial Narrow" w:hAnsi="Arial Narrow"/>
                <w:sz w:val="20"/>
              </w:rPr>
              <w:t xml:space="preserve"> </w:t>
            </w:r>
            <w:proofErr w:type="spellStart"/>
            <w:r w:rsidRPr="00443103">
              <w:rPr>
                <w:rFonts w:ascii="Arial Narrow" w:hAnsi="Arial Narrow"/>
                <w:sz w:val="20"/>
              </w:rPr>
              <w:t>Lipidology</w:t>
            </w:r>
            <w:proofErr w:type="spellEnd"/>
            <w:r w:rsidRPr="00443103">
              <w:rPr>
                <w:rFonts w:ascii="Arial Narrow" w:hAnsi="Arial Narrow"/>
                <w:sz w:val="20"/>
              </w:rPr>
              <w:t xml:space="preserve"> 2010; 4(6):462-471.</w:t>
            </w:r>
          </w:p>
        </w:tc>
      </w:tr>
      <w:tr w:rsidR="00A72C9D" w:rsidRPr="00443103" w:rsidTr="000B6585">
        <w:tc>
          <w:tcPr>
            <w:tcW w:w="765" w:type="pct"/>
          </w:tcPr>
          <w:p w:rsidR="00A72C9D" w:rsidRPr="00443103" w:rsidRDefault="00A72C9D" w:rsidP="006F579A">
            <w:pPr>
              <w:jc w:val="left"/>
              <w:rPr>
                <w:rFonts w:ascii="Arial Narrow" w:hAnsi="Arial Narrow"/>
                <w:sz w:val="20"/>
              </w:rPr>
            </w:pPr>
            <w:r w:rsidRPr="00443103">
              <w:rPr>
                <w:rFonts w:ascii="Arial Narrow" w:hAnsi="Arial Narrow"/>
                <w:sz w:val="20"/>
              </w:rPr>
              <w:t xml:space="preserve">Chowdhury </w:t>
            </w:r>
          </w:p>
        </w:tc>
        <w:tc>
          <w:tcPr>
            <w:tcW w:w="3210" w:type="pct"/>
          </w:tcPr>
          <w:p w:rsidR="00A72C9D" w:rsidRPr="00443103" w:rsidRDefault="00A72C9D" w:rsidP="0018752F">
            <w:pPr>
              <w:jc w:val="left"/>
              <w:rPr>
                <w:rFonts w:ascii="Arial Narrow" w:hAnsi="Arial Narrow"/>
                <w:sz w:val="20"/>
              </w:rPr>
            </w:pPr>
            <w:r w:rsidRPr="00443103">
              <w:rPr>
                <w:rFonts w:ascii="Arial Narrow" w:hAnsi="Arial Narrow"/>
                <w:sz w:val="20"/>
              </w:rPr>
              <w:t xml:space="preserve">Adherence to cardiovascular therapy: A meta-analysis of prevalence and clinical consequences. </w:t>
            </w:r>
          </w:p>
        </w:tc>
        <w:tc>
          <w:tcPr>
            <w:tcW w:w="1025" w:type="pct"/>
          </w:tcPr>
          <w:p w:rsidR="00A72C9D" w:rsidRPr="00443103" w:rsidRDefault="00A72C9D" w:rsidP="0018752F">
            <w:pPr>
              <w:jc w:val="left"/>
              <w:rPr>
                <w:rFonts w:ascii="Arial Narrow" w:hAnsi="Arial Narrow"/>
                <w:sz w:val="20"/>
              </w:rPr>
            </w:pPr>
            <w:proofErr w:type="spellStart"/>
            <w:r w:rsidRPr="00443103">
              <w:rPr>
                <w:rFonts w:ascii="Arial Narrow" w:hAnsi="Arial Narrow"/>
                <w:sz w:val="20"/>
              </w:rPr>
              <w:t>Eur</w:t>
            </w:r>
            <w:proofErr w:type="spellEnd"/>
            <w:r w:rsidRPr="00443103">
              <w:rPr>
                <w:rFonts w:ascii="Arial Narrow" w:hAnsi="Arial Narrow"/>
                <w:sz w:val="20"/>
              </w:rPr>
              <w:t xml:space="preserve"> Heart J 2013; 4(38):2940-2948.</w:t>
            </w:r>
          </w:p>
        </w:tc>
      </w:tr>
      <w:tr w:rsidR="00A72C9D" w:rsidRPr="00443103" w:rsidTr="000B6585">
        <w:tc>
          <w:tcPr>
            <w:tcW w:w="765" w:type="pct"/>
          </w:tcPr>
          <w:p w:rsidR="00A72C9D" w:rsidRPr="00443103" w:rsidRDefault="006F579A" w:rsidP="0018752F">
            <w:pPr>
              <w:jc w:val="left"/>
              <w:rPr>
                <w:rFonts w:ascii="Arial Narrow" w:hAnsi="Arial Narrow"/>
                <w:sz w:val="20"/>
              </w:rPr>
            </w:pPr>
            <w:r>
              <w:rPr>
                <w:rFonts w:ascii="Arial Narrow" w:hAnsi="Arial Narrow"/>
                <w:sz w:val="20"/>
              </w:rPr>
              <w:t xml:space="preserve">Gomez </w:t>
            </w:r>
          </w:p>
        </w:tc>
        <w:tc>
          <w:tcPr>
            <w:tcW w:w="3210" w:type="pct"/>
          </w:tcPr>
          <w:p w:rsidR="00A72C9D" w:rsidRPr="00443103" w:rsidRDefault="00A72C9D" w:rsidP="0018752F">
            <w:pPr>
              <w:jc w:val="left"/>
              <w:rPr>
                <w:rFonts w:ascii="Arial Narrow" w:hAnsi="Arial Narrow"/>
                <w:sz w:val="20"/>
              </w:rPr>
            </w:pPr>
            <w:r w:rsidRPr="00443103">
              <w:rPr>
                <w:rFonts w:ascii="Arial Narrow" w:hAnsi="Arial Narrow"/>
                <w:sz w:val="20"/>
              </w:rPr>
              <w:t xml:space="preserve">Statin discontinuation in high-risk patients: A systematic review of the evidence. </w:t>
            </w:r>
          </w:p>
        </w:tc>
        <w:tc>
          <w:tcPr>
            <w:tcW w:w="1025" w:type="pct"/>
          </w:tcPr>
          <w:p w:rsidR="00A72C9D" w:rsidRPr="00443103" w:rsidRDefault="00A72C9D" w:rsidP="0018752F">
            <w:pPr>
              <w:jc w:val="left"/>
              <w:rPr>
                <w:rFonts w:ascii="Arial Narrow" w:hAnsi="Arial Narrow"/>
                <w:sz w:val="20"/>
              </w:rPr>
            </w:pPr>
            <w:proofErr w:type="spellStart"/>
            <w:r w:rsidRPr="00443103">
              <w:rPr>
                <w:rFonts w:ascii="Arial Narrow" w:hAnsi="Arial Narrow"/>
                <w:sz w:val="20"/>
              </w:rPr>
              <w:t>Curr</w:t>
            </w:r>
            <w:proofErr w:type="spellEnd"/>
            <w:r w:rsidRPr="00443103">
              <w:rPr>
                <w:rFonts w:ascii="Arial Narrow" w:hAnsi="Arial Narrow"/>
                <w:sz w:val="20"/>
              </w:rPr>
              <w:t xml:space="preserve"> Pharm Des 2011; 17(33):3669-3689.</w:t>
            </w:r>
          </w:p>
        </w:tc>
      </w:tr>
      <w:tr w:rsidR="00A72C9D" w:rsidRPr="00443103" w:rsidTr="000B6585">
        <w:tc>
          <w:tcPr>
            <w:tcW w:w="765" w:type="pct"/>
          </w:tcPr>
          <w:p w:rsidR="00A72C9D" w:rsidRPr="00443103" w:rsidRDefault="006F579A" w:rsidP="0018752F">
            <w:pPr>
              <w:jc w:val="left"/>
              <w:rPr>
                <w:rFonts w:ascii="Arial Narrow" w:hAnsi="Arial Narrow"/>
                <w:sz w:val="20"/>
              </w:rPr>
            </w:pPr>
            <w:r>
              <w:rPr>
                <w:rFonts w:ascii="Arial Narrow" w:hAnsi="Arial Narrow"/>
                <w:sz w:val="20"/>
              </w:rPr>
              <w:t>De Vera</w:t>
            </w:r>
          </w:p>
        </w:tc>
        <w:tc>
          <w:tcPr>
            <w:tcW w:w="3210" w:type="pct"/>
          </w:tcPr>
          <w:p w:rsidR="00A72C9D" w:rsidRPr="00443103" w:rsidRDefault="00A72C9D" w:rsidP="0018752F">
            <w:pPr>
              <w:jc w:val="left"/>
              <w:rPr>
                <w:rFonts w:ascii="Arial Narrow" w:hAnsi="Arial Narrow"/>
                <w:sz w:val="20"/>
              </w:rPr>
            </w:pPr>
            <w:r w:rsidRPr="00443103">
              <w:rPr>
                <w:rFonts w:ascii="Arial Narrow" w:hAnsi="Arial Narrow"/>
                <w:sz w:val="20"/>
              </w:rPr>
              <w:t>Impact of Statin Adherence on Cardiovascular Disease and Mortality Outcomes: A Systematic Review.</w:t>
            </w:r>
          </w:p>
        </w:tc>
        <w:tc>
          <w:tcPr>
            <w:tcW w:w="1025" w:type="pct"/>
          </w:tcPr>
          <w:p w:rsidR="00A72C9D" w:rsidRPr="00443103" w:rsidRDefault="00A72C9D" w:rsidP="0018752F">
            <w:pPr>
              <w:jc w:val="left"/>
              <w:rPr>
                <w:rFonts w:ascii="Arial Narrow" w:hAnsi="Arial Narrow"/>
                <w:sz w:val="20"/>
              </w:rPr>
            </w:pPr>
            <w:r w:rsidRPr="00443103">
              <w:rPr>
                <w:rFonts w:ascii="Arial Narrow" w:hAnsi="Arial Narrow"/>
                <w:sz w:val="20"/>
              </w:rPr>
              <w:t xml:space="preserve">Br J </w:t>
            </w:r>
            <w:proofErr w:type="spellStart"/>
            <w:r w:rsidRPr="00443103">
              <w:rPr>
                <w:rFonts w:ascii="Arial Narrow" w:hAnsi="Arial Narrow"/>
                <w:sz w:val="20"/>
              </w:rPr>
              <w:t>Clin</w:t>
            </w:r>
            <w:proofErr w:type="spellEnd"/>
            <w:r w:rsidRPr="00443103">
              <w:rPr>
                <w:rFonts w:ascii="Arial Narrow" w:hAnsi="Arial Narrow"/>
                <w:sz w:val="20"/>
              </w:rPr>
              <w:t xml:space="preserve"> </w:t>
            </w:r>
            <w:proofErr w:type="spellStart"/>
            <w:r w:rsidRPr="00443103">
              <w:rPr>
                <w:rFonts w:ascii="Arial Narrow" w:hAnsi="Arial Narrow"/>
                <w:sz w:val="20"/>
              </w:rPr>
              <w:t>Pharmacol</w:t>
            </w:r>
            <w:proofErr w:type="spellEnd"/>
            <w:r w:rsidRPr="00443103">
              <w:rPr>
                <w:rFonts w:ascii="Arial Narrow" w:hAnsi="Arial Narrow"/>
                <w:sz w:val="20"/>
              </w:rPr>
              <w:t xml:space="preserve"> 2014; DOI: 10.1111/bcp.12339</w:t>
            </w:r>
          </w:p>
        </w:tc>
      </w:tr>
      <w:tr w:rsidR="00252158" w:rsidRPr="00443103" w:rsidTr="000B6585">
        <w:tc>
          <w:tcPr>
            <w:tcW w:w="765" w:type="pct"/>
          </w:tcPr>
          <w:p w:rsidR="00252158" w:rsidRPr="00443103" w:rsidRDefault="006F579A" w:rsidP="0018752F">
            <w:pPr>
              <w:jc w:val="left"/>
              <w:rPr>
                <w:rFonts w:ascii="Arial Narrow" w:hAnsi="Arial Narrow"/>
                <w:sz w:val="20"/>
              </w:rPr>
            </w:pPr>
            <w:r>
              <w:rPr>
                <w:rFonts w:ascii="Arial Narrow" w:hAnsi="Arial Narrow"/>
                <w:sz w:val="20"/>
              </w:rPr>
              <w:t xml:space="preserve">Mann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Predictors of </w:t>
            </w:r>
            <w:proofErr w:type="spellStart"/>
            <w:r w:rsidRPr="00443103">
              <w:rPr>
                <w:rFonts w:ascii="Arial Narrow" w:hAnsi="Arial Narrow"/>
                <w:sz w:val="20"/>
              </w:rPr>
              <w:t>nonadherence</w:t>
            </w:r>
            <w:proofErr w:type="spellEnd"/>
            <w:r w:rsidRPr="00443103">
              <w:rPr>
                <w:rFonts w:ascii="Arial Narrow" w:hAnsi="Arial Narrow"/>
                <w:sz w:val="20"/>
              </w:rPr>
              <w:t xml:space="preserve"> to statins: a systematic review and meta-analysis.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Ann </w:t>
            </w:r>
            <w:proofErr w:type="spellStart"/>
            <w:r w:rsidRPr="00443103">
              <w:rPr>
                <w:rFonts w:ascii="Arial Narrow" w:hAnsi="Arial Narrow"/>
                <w:sz w:val="20"/>
              </w:rPr>
              <w:t>Pharmacother</w:t>
            </w:r>
            <w:proofErr w:type="spellEnd"/>
            <w:r w:rsidRPr="00443103">
              <w:rPr>
                <w:rFonts w:ascii="Arial Narrow" w:hAnsi="Arial Narrow"/>
                <w:sz w:val="20"/>
              </w:rPr>
              <w:t xml:space="preserve"> 2010; 44(9):1410-21.</w:t>
            </w:r>
          </w:p>
        </w:tc>
      </w:tr>
      <w:tr w:rsidR="00252158" w:rsidRPr="00443103" w:rsidTr="00A72C9D">
        <w:tc>
          <w:tcPr>
            <w:tcW w:w="5000" w:type="pct"/>
            <w:gridSpan w:val="3"/>
          </w:tcPr>
          <w:p w:rsidR="00252158" w:rsidRPr="00443103" w:rsidRDefault="00252158" w:rsidP="0018752F">
            <w:pPr>
              <w:jc w:val="left"/>
              <w:rPr>
                <w:rFonts w:ascii="Arial Narrow" w:hAnsi="Arial Narrow"/>
                <w:sz w:val="20"/>
              </w:rPr>
            </w:pPr>
            <w:r w:rsidRPr="00443103">
              <w:rPr>
                <w:rFonts w:ascii="Arial Narrow" w:hAnsi="Arial Narrow"/>
                <w:b/>
                <w:sz w:val="20"/>
              </w:rPr>
              <w:t>Narrative reviews</w:t>
            </w:r>
          </w:p>
        </w:tc>
      </w:tr>
      <w:tr w:rsidR="00252158" w:rsidRPr="00443103" w:rsidTr="000B6585">
        <w:tc>
          <w:tcPr>
            <w:tcW w:w="765" w:type="pct"/>
          </w:tcPr>
          <w:p w:rsidR="00252158" w:rsidRPr="00443103" w:rsidRDefault="00252158" w:rsidP="006F579A">
            <w:pPr>
              <w:jc w:val="left"/>
              <w:rPr>
                <w:rFonts w:ascii="Arial Narrow" w:hAnsi="Arial Narrow"/>
                <w:sz w:val="20"/>
              </w:rPr>
            </w:pPr>
            <w:r w:rsidRPr="00443103">
              <w:rPr>
                <w:rFonts w:ascii="Arial Narrow" w:hAnsi="Arial Narrow"/>
                <w:sz w:val="20"/>
              </w:rPr>
              <w:t xml:space="preserve">Bates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Non-adherence to statin therapy: a major challenge for preventive cardiology.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Expert </w:t>
            </w:r>
            <w:proofErr w:type="spellStart"/>
            <w:r w:rsidRPr="00443103">
              <w:rPr>
                <w:rFonts w:ascii="Arial Narrow" w:hAnsi="Arial Narrow"/>
                <w:sz w:val="20"/>
              </w:rPr>
              <w:t>Opin</w:t>
            </w:r>
            <w:proofErr w:type="spellEnd"/>
            <w:r w:rsidRPr="00443103">
              <w:rPr>
                <w:rFonts w:ascii="Arial Narrow" w:hAnsi="Arial Narrow"/>
                <w:sz w:val="20"/>
              </w:rPr>
              <w:t xml:space="preserve"> </w:t>
            </w:r>
            <w:proofErr w:type="spellStart"/>
            <w:r w:rsidRPr="00443103">
              <w:rPr>
                <w:rFonts w:ascii="Arial Narrow" w:hAnsi="Arial Narrow"/>
                <w:sz w:val="20"/>
              </w:rPr>
              <w:t>Pharmacother</w:t>
            </w:r>
            <w:proofErr w:type="spellEnd"/>
            <w:r w:rsidRPr="00443103">
              <w:rPr>
                <w:rFonts w:ascii="Arial Narrow" w:hAnsi="Arial Narrow"/>
                <w:sz w:val="20"/>
              </w:rPr>
              <w:t xml:space="preserve"> 2009; 10(18): 2973-2985.</w:t>
            </w:r>
          </w:p>
        </w:tc>
      </w:tr>
      <w:tr w:rsidR="00252158" w:rsidRPr="00443103" w:rsidTr="000B6585">
        <w:tc>
          <w:tcPr>
            <w:tcW w:w="765" w:type="pct"/>
          </w:tcPr>
          <w:p w:rsidR="00252158" w:rsidRPr="00443103" w:rsidRDefault="00252158" w:rsidP="006F579A">
            <w:pPr>
              <w:jc w:val="left"/>
              <w:rPr>
                <w:rFonts w:ascii="Arial Narrow" w:hAnsi="Arial Narrow"/>
                <w:sz w:val="20"/>
              </w:rPr>
            </w:pPr>
            <w:proofErr w:type="spellStart"/>
            <w:r w:rsidRPr="00443103">
              <w:rPr>
                <w:rFonts w:ascii="Arial Narrow" w:hAnsi="Arial Narrow"/>
                <w:sz w:val="20"/>
              </w:rPr>
              <w:t>Liberopoulos</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Compliance with lipid-lowering therapy and its impact on cardiovascular morbidity and mortality.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Expert </w:t>
            </w:r>
            <w:proofErr w:type="spellStart"/>
            <w:r w:rsidRPr="00443103">
              <w:rPr>
                <w:rFonts w:ascii="Arial Narrow" w:hAnsi="Arial Narrow"/>
                <w:sz w:val="20"/>
              </w:rPr>
              <w:t>Opin</w:t>
            </w:r>
            <w:proofErr w:type="spellEnd"/>
            <w:r w:rsidRPr="00443103">
              <w:rPr>
                <w:rFonts w:ascii="Arial Narrow" w:hAnsi="Arial Narrow"/>
                <w:sz w:val="20"/>
              </w:rPr>
              <w:t xml:space="preserve"> Drug </w:t>
            </w:r>
            <w:proofErr w:type="spellStart"/>
            <w:r w:rsidRPr="00443103">
              <w:rPr>
                <w:rFonts w:ascii="Arial Narrow" w:hAnsi="Arial Narrow"/>
                <w:sz w:val="20"/>
              </w:rPr>
              <w:t>Saf</w:t>
            </w:r>
            <w:proofErr w:type="spellEnd"/>
            <w:r w:rsidRPr="00443103">
              <w:rPr>
                <w:rFonts w:ascii="Arial Narrow" w:hAnsi="Arial Narrow"/>
                <w:sz w:val="20"/>
              </w:rPr>
              <w:t xml:space="preserve"> 2008; 7(6):717-725.</w:t>
            </w:r>
          </w:p>
        </w:tc>
      </w:tr>
      <w:tr w:rsidR="00252158" w:rsidRPr="00443103" w:rsidTr="009E1D40">
        <w:tc>
          <w:tcPr>
            <w:tcW w:w="5000" w:type="pct"/>
            <w:gridSpan w:val="3"/>
          </w:tcPr>
          <w:p w:rsidR="00252158" w:rsidRPr="00443103" w:rsidRDefault="00252158" w:rsidP="0018752F">
            <w:pPr>
              <w:jc w:val="left"/>
              <w:rPr>
                <w:rFonts w:ascii="Arial Narrow" w:hAnsi="Arial Narrow"/>
                <w:sz w:val="20"/>
              </w:rPr>
            </w:pPr>
            <w:r w:rsidRPr="00443103">
              <w:rPr>
                <w:rFonts w:ascii="Arial Narrow" w:hAnsi="Arial Narrow"/>
                <w:b/>
                <w:sz w:val="20"/>
              </w:rPr>
              <w:t>Observational studies</w:t>
            </w:r>
          </w:p>
        </w:tc>
      </w:tr>
      <w:tr w:rsidR="00252158" w:rsidRPr="00443103" w:rsidTr="000B6585">
        <w:tc>
          <w:tcPr>
            <w:tcW w:w="765" w:type="pct"/>
          </w:tcPr>
          <w:p w:rsidR="00252158" w:rsidRPr="00443103" w:rsidRDefault="00252158" w:rsidP="006F579A">
            <w:pPr>
              <w:jc w:val="left"/>
              <w:rPr>
                <w:rFonts w:ascii="Arial Narrow" w:hAnsi="Arial Narrow"/>
                <w:sz w:val="20"/>
              </w:rPr>
            </w:pPr>
            <w:proofErr w:type="spellStart"/>
            <w:r w:rsidRPr="00443103">
              <w:rPr>
                <w:rFonts w:ascii="Arial Narrow" w:hAnsi="Arial Narrow"/>
                <w:sz w:val="20"/>
              </w:rPr>
              <w:t>Hildemann</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Sustained effects in </w:t>
            </w:r>
            <w:proofErr w:type="spellStart"/>
            <w:r w:rsidRPr="00443103">
              <w:rPr>
                <w:rFonts w:ascii="Arial Narrow" w:hAnsi="Arial Narrow"/>
                <w:sz w:val="20"/>
              </w:rPr>
              <w:t>hypercholesterolaemic</w:t>
            </w:r>
            <w:proofErr w:type="spellEnd"/>
            <w:r w:rsidRPr="00443103">
              <w:rPr>
                <w:rFonts w:ascii="Arial Narrow" w:hAnsi="Arial Narrow"/>
                <w:sz w:val="20"/>
              </w:rPr>
              <w:t xml:space="preserve"> patients on combined simvastatin/ ezetimibe treatment: observational cohort study in clinical practice.</w:t>
            </w:r>
          </w:p>
        </w:tc>
        <w:tc>
          <w:tcPr>
            <w:tcW w:w="1025" w:type="pct"/>
          </w:tcPr>
          <w:p w:rsidR="00252158" w:rsidRPr="00443103" w:rsidRDefault="00252158" w:rsidP="0018752F">
            <w:pPr>
              <w:jc w:val="left"/>
              <w:rPr>
                <w:rFonts w:ascii="Arial Narrow" w:hAnsi="Arial Narrow"/>
                <w:sz w:val="20"/>
              </w:rPr>
            </w:pPr>
            <w:proofErr w:type="spellStart"/>
            <w:r w:rsidRPr="00443103">
              <w:rPr>
                <w:rFonts w:ascii="Arial Narrow" w:hAnsi="Arial Narrow"/>
                <w:sz w:val="20"/>
              </w:rPr>
              <w:t>Curr</w:t>
            </w:r>
            <w:proofErr w:type="spellEnd"/>
            <w:r w:rsidRPr="00443103">
              <w:rPr>
                <w:rFonts w:ascii="Arial Narrow" w:hAnsi="Arial Narrow"/>
                <w:sz w:val="20"/>
              </w:rPr>
              <w:t xml:space="preserve"> Med  Res </w:t>
            </w:r>
            <w:proofErr w:type="spellStart"/>
            <w:r w:rsidRPr="00443103">
              <w:rPr>
                <w:rFonts w:ascii="Arial Narrow" w:hAnsi="Arial Narrow"/>
                <w:sz w:val="20"/>
              </w:rPr>
              <w:t>Opin</w:t>
            </w:r>
            <w:proofErr w:type="spellEnd"/>
            <w:r w:rsidRPr="00443103">
              <w:rPr>
                <w:rFonts w:ascii="Arial Narrow" w:hAnsi="Arial Narrow"/>
                <w:sz w:val="20"/>
              </w:rPr>
              <w:t xml:space="preserve"> 2008; 24 (10): 2777 – 2784</w:t>
            </w:r>
          </w:p>
        </w:tc>
      </w:tr>
      <w:tr w:rsidR="00252158" w:rsidRPr="00443103" w:rsidTr="000B6585">
        <w:tc>
          <w:tcPr>
            <w:tcW w:w="765" w:type="pct"/>
          </w:tcPr>
          <w:p w:rsidR="00252158" w:rsidRPr="00443103" w:rsidRDefault="006F579A" w:rsidP="0018752F">
            <w:pPr>
              <w:jc w:val="left"/>
              <w:rPr>
                <w:rFonts w:ascii="Arial Narrow" w:hAnsi="Arial Narrow"/>
                <w:sz w:val="20"/>
              </w:rPr>
            </w:pPr>
            <w:proofErr w:type="spellStart"/>
            <w:r>
              <w:rPr>
                <w:rFonts w:ascii="Arial Narrow" w:hAnsi="Arial Narrow"/>
                <w:sz w:val="20"/>
              </w:rPr>
              <w:t>Kamat</w:t>
            </w:r>
            <w:proofErr w:type="spellEnd"/>
            <w:r>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b/>
                <w:sz w:val="20"/>
              </w:rPr>
            </w:pPr>
            <w:r w:rsidRPr="00443103">
              <w:rPr>
                <w:rFonts w:ascii="Arial Narrow" w:hAnsi="Arial Narrow"/>
                <w:sz w:val="20"/>
              </w:rPr>
              <w:t>Adherence to single-pill combination versus multiple-pill combination lipid modifying therapy among patients with mixed dyslipidaemia in a managed care population.</w:t>
            </w:r>
          </w:p>
        </w:tc>
        <w:tc>
          <w:tcPr>
            <w:tcW w:w="1025" w:type="pct"/>
          </w:tcPr>
          <w:p w:rsidR="00252158" w:rsidRPr="00443103" w:rsidRDefault="00252158" w:rsidP="0018752F">
            <w:pPr>
              <w:jc w:val="left"/>
              <w:rPr>
                <w:rFonts w:ascii="Arial Narrow" w:hAnsi="Arial Narrow"/>
                <w:b/>
                <w:sz w:val="20"/>
              </w:rPr>
            </w:pPr>
            <w:proofErr w:type="spellStart"/>
            <w:r w:rsidRPr="00443103">
              <w:rPr>
                <w:rFonts w:ascii="Arial Narrow" w:hAnsi="Arial Narrow"/>
                <w:sz w:val="20"/>
              </w:rPr>
              <w:t>Curr</w:t>
            </w:r>
            <w:proofErr w:type="spellEnd"/>
            <w:r w:rsidRPr="00443103">
              <w:rPr>
                <w:rFonts w:ascii="Arial Narrow" w:hAnsi="Arial Narrow"/>
                <w:sz w:val="20"/>
              </w:rPr>
              <w:t xml:space="preserve"> Med  Res </w:t>
            </w:r>
            <w:proofErr w:type="spellStart"/>
            <w:r w:rsidRPr="00443103">
              <w:rPr>
                <w:rFonts w:ascii="Arial Narrow" w:hAnsi="Arial Narrow"/>
                <w:sz w:val="20"/>
              </w:rPr>
              <w:t>Opin</w:t>
            </w:r>
            <w:proofErr w:type="spellEnd"/>
            <w:r w:rsidRPr="00443103">
              <w:rPr>
                <w:rFonts w:ascii="Arial Narrow" w:hAnsi="Arial Narrow"/>
                <w:sz w:val="20"/>
              </w:rPr>
              <w:t xml:space="preserve"> 2011; 27(5): 961–968</w:t>
            </w:r>
          </w:p>
        </w:tc>
      </w:tr>
      <w:tr w:rsidR="00252158" w:rsidRPr="00443103" w:rsidTr="000B6585">
        <w:tc>
          <w:tcPr>
            <w:tcW w:w="765" w:type="pct"/>
          </w:tcPr>
          <w:p w:rsidR="00252158" w:rsidRPr="00443103" w:rsidRDefault="00252158" w:rsidP="0018752F">
            <w:pPr>
              <w:jc w:val="left"/>
              <w:rPr>
                <w:rFonts w:ascii="Arial Narrow" w:hAnsi="Arial Narrow"/>
                <w:b/>
                <w:sz w:val="20"/>
              </w:rPr>
            </w:pPr>
            <w:proofErr w:type="spellStart"/>
            <w:r w:rsidRPr="00443103">
              <w:rPr>
                <w:rFonts w:ascii="Arial Narrow" w:hAnsi="Arial Narrow"/>
                <w:sz w:val="20"/>
              </w:rPr>
              <w:t>Avorn</w:t>
            </w:r>
            <w:proofErr w:type="spellEnd"/>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Persistence of use of lipid-lowering Medications: A Cross-National Study.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JAMA 1998; 279:1458-1462.</w:t>
            </w:r>
          </w:p>
        </w:tc>
      </w:tr>
      <w:tr w:rsidR="00252158" w:rsidRPr="00443103" w:rsidTr="000B6585">
        <w:tc>
          <w:tcPr>
            <w:tcW w:w="765" w:type="pct"/>
          </w:tcPr>
          <w:p w:rsidR="00252158" w:rsidRPr="00443103" w:rsidRDefault="00252158" w:rsidP="006F579A">
            <w:pPr>
              <w:jc w:val="left"/>
              <w:rPr>
                <w:rFonts w:ascii="Arial Narrow" w:hAnsi="Arial Narrow"/>
                <w:sz w:val="20"/>
              </w:rPr>
            </w:pPr>
            <w:r w:rsidRPr="00443103">
              <w:rPr>
                <w:rFonts w:ascii="Arial Narrow" w:hAnsi="Arial Narrow"/>
                <w:sz w:val="20"/>
              </w:rPr>
              <w:t xml:space="preserve">Benner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Association between short-term effectiveness of statins and long-term adherence to lipid-lowering therapy.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Am J Health-</w:t>
            </w:r>
            <w:proofErr w:type="spellStart"/>
            <w:r w:rsidRPr="00443103">
              <w:rPr>
                <w:rFonts w:ascii="Arial Narrow" w:hAnsi="Arial Narrow"/>
                <w:sz w:val="20"/>
              </w:rPr>
              <w:t>Syst</w:t>
            </w:r>
            <w:proofErr w:type="spellEnd"/>
            <w:r w:rsidRPr="00443103">
              <w:rPr>
                <w:rFonts w:ascii="Arial Narrow" w:hAnsi="Arial Narrow"/>
                <w:sz w:val="20"/>
              </w:rPr>
              <w:t xml:space="preserve"> Pharm 2005; 62:1468-</w:t>
            </w:r>
            <w:proofErr w:type="gramStart"/>
            <w:r w:rsidRPr="00443103">
              <w:rPr>
                <w:rFonts w:ascii="Arial Narrow" w:hAnsi="Arial Narrow"/>
                <w:sz w:val="20"/>
              </w:rPr>
              <w:t>75.</w:t>
            </w:r>
            <w:proofErr w:type="gramEnd"/>
          </w:p>
        </w:tc>
      </w:tr>
      <w:tr w:rsidR="00252158" w:rsidRPr="00443103" w:rsidTr="000B6585">
        <w:tc>
          <w:tcPr>
            <w:tcW w:w="765" w:type="pct"/>
          </w:tcPr>
          <w:p w:rsidR="00252158" w:rsidRPr="00443103" w:rsidRDefault="006F579A" w:rsidP="0018752F">
            <w:pPr>
              <w:jc w:val="left"/>
              <w:rPr>
                <w:rFonts w:ascii="Arial Narrow" w:hAnsi="Arial Narrow"/>
                <w:sz w:val="20"/>
              </w:rPr>
            </w:pPr>
            <w:r>
              <w:rPr>
                <w:rFonts w:ascii="Arial Narrow" w:hAnsi="Arial Narrow"/>
                <w:sz w:val="20"/>
              </w:rPr>
              <w:t>Catalan</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Predictors of long-term persistence on statins in a subsidized clinical population.</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Value Health 2000; 3(6):417-426</w:t>
            </w:r>
          </w:p>
        </w:tc>
      </w:tr>
      <w:tr w:rsidR="00252158" w:rsidRPr="00443103" w:rsidTr="000B6585">
        <w:tc>
          <w:tcPr>
            <w:tcW w:w="765" w:type="pct"/>
          </w:tcPr>
          <w:p w:rsidR="00252158" w:rsidRPr="00443103" w:rsidRDefault="00252158" w:rsidP="0018752F">
            <w:pPr>
              <w:jc w:val="left"/>
              <w:rPr>
                <w:rFonts w:ascii="Arial Narrow" w:hAnsi="Arial Narrow"/>
                <w:sz w:val="20"/>
              </w:rPr>
            </w:pPr>
            <w:r w:rsidRPr="00443103">
              <w:rPr>
                <w:rFonts w:ascii="Arial Narrow" w:hAnsi="Arial Narrow"/>
                <w:sz w:val="20"/>
              </w:rPr>
              <w:t>C</w:t>
            </w:r>
            <w:r w:rsidR="006F579A">
              <w:rPr>
                <w:rFonts w:ascii="Arial Narrow" w:hAnsi="Arial Narrow"/>
                <w:sz w:val="20"/>
              </w:rPr>
              <w:t>han</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Patient, physician, and payment predictors of statin adherence.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Med Care 2010; 48(3):196-202.</w:t>
            </w:r>
          </w:p>
        </w:tc>
      </w:tr>
      <w:tr w:rsidR="00252158" w:rsidRPr="00443103" w:rsidTr="000B6585">
        <w:tc>
          <w:tcPr>
            <w:tcW w:w="765" w:type="pct"/>
          </w:tcPr>
          <w:p w:rsidR="00252158" w:rsidRPr="00443103" w:rsidRDefault="00252158" w:rsidP="006F579A">
            <w:pPr>
              <w:jc w:val="left"/>
              <w:rPr>
                <w:rFonts w:ascii="Arial Narrow" w:hAnsi="Arial Narrow"/>
                <w:sz w:val="20"/>
              </w:rPr>
            </w:pPr>
            <w:r w:rsidRPr="00443103">
              <w:rPr>
                <w:rFonts w:ascii="Arial Narrow" w:hAnsi="Arial Narrow"/>
                <w:sz w:val="20"/>
              </w:rPr>
              <w:t xml:space="preserve">Di Martino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Underuse of lipid-lowering drugs and factors associated with poor adherence: A real practice analysis in Italy. </w:t>
            </w:r>
          </w:p>
        </w:tc>
        <w:tc>
          <w:tcPr>
            <w:tcW w:w="1025" w:type="pct"/>
          </w:tcPr>
          <w:p w:rsidR="00252158" w:rsidRPr="00443103" w:rsidRDefault="00252158" w:rsidP="0018752F">
            <w:pPr>
              <w:jc w:val="left"/>
              <w:rPr>
                <w:rFonts w:ascii="Arial Narrow" w:hAnsi="Arial Narrow"/>
                <w:sz w:val="20"/>
              </w:rPr>
            </w:pPr>
            <w:proofErr w:type="spellStart"/>
            <w:r w:rsidRPr="00443103">
              <w:rPr>
                <w:rFonts w:ascii="Arial Narrow" w:hAnsi="Arial Narrow"/>
                <w:sz w:val="20"/>
              </w:rPr>
              <w:t>Eur</w:t>
            </w:r>
            <w:proofErr w:type="spellEnd"/>
            <w:r w:rsidRPr="00443103">
              <w:rPr>
                <w:rFonts w:ascii="Arial Narrow" w:hAnsi="Arial Narrow"/>
                <w:sz w:val="20"/>
              </w:rPr>
              <w:t xml:space="preserve"> J </w:t>
            </w:r>
            <w:proofErr w:type="spellStart"/>
            <w:r w:rsidRPr="00443103">
              <w:rPr>
                <w:rFonts w:ascii="Arial Narrow" w:hAnsi="Arial Narrow"/>
                <w:sz w:val="20"/>
              </w:rPr>
              <w:t>Clin</w:t>
            </w:r>
            <w:proofErr w:type="spellEnd"/>
            <w:r w:rsidRPr="00443103">
              <w:rPr>
                <w:rFonts w:ascii="Arial Narrow" w:hAnsi="Arial Narrow"/>
                <w:sz w:val="20"/>
              </w:rPr>
              <w:t xml:space="preserve"> </w:t>
            </w:r>
            <w:proofErr w:type="spellStart"/>
            <w:r w:rsidRPr="00443103">
              <w:rPr>
                <w:rFonts w:ascii="Arial Narrow" w:hAnsi="Arial Narrow"/>
                <w:sz w:val="20"/>
              </w:rPr>
              <w:t>Pharmacol</w:t>
            </w:r>
            <w:proofErr w:type="spellEnd"/>
            <w:r w:rsidRPr="00443103">
              <w:rPr>
                <w:rFonts w:ascii="Arial Narrow" w:hAnsi="Arial Narrow"/>
                <w:sz w:val="20"/>
              </w:rPr>
              <w:t xml:space="preserve"> 2005; 61(3):225-230.</w:t>
            </w:r>
          </w:p>
        </w:tc>
      </w:tr>
      <w:tr w:rsidR="00252158" w:rsidRPr="00443103" w:rsidTr="000B6585">
        <w:tc>
          <w:tcPr>
            <w:tcW w:w="765" w:type="pct"/>
          </w:tcPr>
          <w:p w:rsidR="00252158" w:rsidRPr="00443103" w:rsidRDefault="006F579A" w:rsidP="0018752F">
            <w:pPr>
              <w:jc w:val="left"/>
              <w:rPr>
                <w:rFonts w:ascii="Arial Narrow" w:hAnsi="Arial Narrow"/>
                <w:sz w:val="20"/>
              </w:rPr>
            </w:pPr>
            <w:proofErr w:type="spellStart"/>
            <w:r>
              <w:rPr>
                <w:rFonts w:ascii="Arial Narrow" w:hAnsi="Arial Narrow"/>
                <w:sz w:val="20"/>
              </w:rPr>
              <w:t>Helin-Salmivaara</w:t>
            </w:r>
            <w:proofErr w:type="spellEnd"/>
            <w:r>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Long-term persistence with statin therapy: A nationwide register study in Finland. </w:t>
            </w:r>
          </w:p>
        </w:tc>
        <w:tc>
          <w:tcPr>
            <w:tcW w:w="1025" w:type="pct"/>
          </w:tcPr>
          <w:p w:rsidR="00252158" w:rsidRPr="00443103" w:rsidRDefault="00252158" w:rsidP="0018752F">
            <w:pPr>
              <w:jc w:val="left"/>
              <w:rPr>
                <w:rFonts w:ascii="Arial Narrow" w:hAnsi="Arial Narrow"/>
                <w:sz w:val="20"/>
              </w:rPr>
            </w:pPr>
            <w:proofErr w:type="spellStart"/>
            <w:r w:rsidRPr="00443103">
              <w:rPr>
                <w:rFonts w:ascii="Arial Narrow" w:hAnsi="Arial Narrow"/>
                <w:sz w:val="20"/>
              </w:rPr>
              <w:t>Clin</w:t>
            </w:r>
            <w:proofErr w:type="spellEnd"/>
            <w:r w:rsidRPr="00443103">
              <w:rPr>
                <w:rFonts w:ascii="Arial Narrow" w:hAnsi="Arial Narrow"/>
                <w:sz w:val="20"/>
              </w:rPr>
              <w:t xml:space="preserve"> </w:t>
            </w:r>
            <w:proofErr w:type="spellStart"/>
            <w:r w:rsidRPr="00443103">
              <w:rPr>
                <w:rFonts w:ascii="Arial Narrow" w:hAnsi="Arial Narrow"/>
                <w:sz w:val="20"/>
              </w:rPr>
              <w:t>Ther</w:t>
            </w:r>
            <w:proofErr w:type="spellEnd"/>
            <w:r w:rsidRPr="00443103">
              <w:rPr>
                <w:rFonts w:ascii="Arial Narrow" w:hAnsi="Arial Narrow"/>
                <w:sz w:val="20"/>
              </w:rPr>
              <w:t xml:space="preserve"> 2008; 30(PART 2): 2228-2240</w:t>
            </w:r>
          </w:p>
        </w:tc>
      </w:tr>
      <w:tr w:rsidR="00252158" w:rsidRPr="00443103" w:rsidTr="000B6585">
        <w:tc>
          <w:tcPr>
            <w:tcW w:w="765" w:type="pct"/>
          </w:tcPr>
          <w:p w:rsidR="00252158" w:rsidRPr="00443103" w:rsidRDefault="006F579A" w:rsidP="0018752F">
            <w:pPr>
              <w:jc w:val="left"/>
              <w:rPr>
                <w:rFonts w:ascii="Arial Narrow" w:hAnsi="Arial Narrow"/>
                <w:sz w:val="20"/>
              </w:rPr>
            </w:pPr>
            <w:proofErr w:type="spellStart"/>
            <w:r>
              <w:rPr>
                <w:rFonts w:ascii="Arial Narrow" w:hAnsi="Arial Narrow"/>
                <w:sz w:val="20"/>
              </w:rPr>
              <w:t>Kardas</w:t>
            </w:r>
            <w:proofErr w:type="spellEnd"/>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Prevalence and reasons for non-adherence to hyperlipidaemia treatment.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Cent </w:t>
            </w:r>
            <w:proofErr w:type="spellStart"/>
            <w:r w:rsidRPr="00443103">
              <w:rPr>
                <w:rFonts w:ascii="Arial Narrow" w:hAnsi="Arial Narrow"/>
                <w:sz w:val="20"/>
              </w:rPr>
              <w:t>Eur</w:t>
            </w:r>
            <w:proofErr w:type="spellEnd"/>
            <w:r w:rsidRPr="00443103">
              <w:rPr>
                <w:rFonts w:ascii="Arial Narrow" w:hAnsi="Arial Narrow"/>
                <w:sz w:val="20"/>
              </w:rPr>
              <w:t xml:space="preserve"> J Med 2013; 8(5):539-547.</w:t>
            </w:r>
          </w:p>
        </w:tc>
      </w:tr>
      <w:tr w:rsidR="00252158" w:rsidRPr="00443103" w:rsidTr="000B6585">
        <w:tc>
          <w:tcPr>
            <w:tcW w:w="765" w:type="pct"/>
          </w:tcPr>
          <w:p w:rsidR="00252158" w:rsidRPr="00443103" w:rsidRDefault="006F579A" w:rsidP="0018752F">
            <w:pPr>
              <w:jc w:val="left"/>
              <w:rPr>
                <w:rFonts w:ascii="Arial Narrow" w:hAnsi="Arial Narrow"/>
                <w:sz w:val="20"/>
              </w:rPr>
            </w:pPr>
            <w:r>
              <w:rPr>
                <w:rFonts w:ascii="Arial Narrow" w:hAnsi="Arial Narrow"/>
                <w:sz w:val="20"/>
              </w:rPr>
              <w:t xml:space="preserve">Kim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Determinants of non-compliance with lipid-lowering therapy in </w:t>
            </w:r>
            <w:proofErr w:type="spellStart"/>
            <w:r w:rsidRPr="00443103">
              <w:rPr>
                <w:rFonts w:ascii="Arial Narrow" w:hAnsi="Arial Narrow"/>
                <w:sz w:val="20"/>
              </w:rPr>
              <w:t>hyperlipidemic</w:t>
            </w:r>
            <w:proofErr w:type="spellEnd"/>
            <w:r w:rsidRPr="00443103">
              <w:rPr>
                <w:rFonts w:ascii="Arial Narrow" w:hAnsi="Arial Narrow"/>
                <w:sz w:val="20"/>
              </w:rPr>
              <w:t xml:space="preserve"> patients. </w:t>
            </w:r>
          </w:p>
        </w:tc>
        <w:tc>
          <w:tcPr>
            <w:tcW w:w="1025" w:type="pct"/>
          </w:tcPr>
          <w:p w:rsidR="00252158" w:rsidRPr="00443103" w:rsidRDefault="00252158" w:rsidP="0018752F">
            <w:pPr>
              <w:jc w:val="left"/>
              <w:rPr>
                <w:rFonts w:ascii="Arial Narrow" w:hAnsi="Arial Narrow"/>
                <w:sz w:val="20"/>
              </w:rPr>
            </w:pPr>
            <w:proofErr w:type="spellStart"/>
            <w:r w:rsidRPr="00443103">
              <w:rPr>
                <w:rFonts w:ascii="Arial Narrow" w:hAnsi="Arial Narrow"/>
                <w:sz w:val="20"/>
              </w:rPr>
              <w:t>Pharmacoepidemiol</w:t>
            </w:r>
            <w:proofErr w:type="spellEnd"/>
            <w:r w:rsidRPr="00443103">
              <w:rPr>
                <w:rFonts w:ascii="Arial Narrow" w:hAnsi="Arial Narrow"/>
                <w:sz w:val="20"/>
              </w:rPr>
              <w:t xml:space="preserve"> Drug </w:t>
            </w:r>
            <w:proofErr w:type="spellStart"/>
            <w:r w:rsidRPr="00443103">
              <w:rPr>
                <w:rFonts w:ascii="Arial Narrow" w:hAnsi="Arial Narrow"/>
                <w:sz w:val="20"/>
              </w:rPr>
              <w:t>Saf</w:t>
            </w:r>
            <w:proofErr w:type="spellEnd"/>
            <w:r w:rsidRPr="00443103">
              <w:rPr>
                <w:rFonts w:ascii="Arial Narrow" w:hAnsi="Arial Narrow"/>
                <w:sz w:val="20"/>
              </w:rPr>
              <w:t xml:space="preserve"> 2002; 11: 593–600.</w:t>
            </w:r>
          </w:p>
        </w:tc>
      </w:tr>
      <w:tr w:rsidR="00252158" w:rsidRPr="00443103" w:rsidTr="000B6585">
        <w:tc>
          <w:tcPr>
            <w:tcW w:w="765" w:type="pct"/>
          </w:tcPr>
          <w:p w:rsidR="00252158" w:rsidRPr="00443103" w:rsidRDefault="00252158" w:rsidP="006F579A">
            <w:pPr>
              <w:jc w:val="left"/>
              <w:rPr>
                <w:rFonts w:ascii="Arial Narrow" w:hAnsi="Arial Narrow"/>
                <w:sz w:val="20"/>
              </w:rPr>
            </w:pPr>
            <w:proofErr w:type="spellStart"/>
            <w:r w:rsidRPr="00443103">
              <w:rPr>
                <w:rFonts w:ascii="Arial Narrow" w:hAnsi="Arial Narrow"/>
                <w:sz w:val="20"/>
              </w:rPr>
              <w:t>Kiortsis</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Factors associated with low compliance with lipid-lowering drugs in </w:t>
            </w:r>
            <w:proofErr w:type="spellStart"/>
            <w:r w:rsidRPr="00443103">
              <w:rPr>
                <w:rFonts w:ascii="Arial Narrow" w:hAnsi="Arial Narrow"/>
                <w:sz w:val="20"/>
              </w:rPr>
              <w:t>hyperlipidemic</w:t>
            </w:r>
            <w:proofErr w:type="spellEnd"/>
            <w:r w:rsidRPr="00443103">
              <w:rPr>
                <w:rFonts w:ascii="Arial Narrow" w:hAnsi="Arial Narrow"/>
                <w:sz w:val="20"/>
              </w:rPr>
              <w:t xml:space="preserve"> patients.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J </w:t>
            </w:r>
            <w:proofErr w:type="spellStart"/>
            <w:r w:rsidRPr="00443103">
              <w:rPr>
                <w:rFonts w:ascii="Arial Narrow" w:hAnsi="Arial Narrow"/>
                <w:sz w:val="20"/>
              </w:rPr>
              <w:t>Clin</w:t>
            </w:r>
            <w:proofErr w:type="spellEnd"/>
            <w:r w:rsidRPr="00443103">
              <w:rPr>
                <w:rFonts w:ascii="Arial Narrow" w:hAnsi="Arial Narrow"/>
                <w:sz w:val="20"/>
              </w:rPr>
              <w:t xml:space="preserve"> Pharm </w:t>
            </w:r>
            <w:proofErr w:type="spellStart"/>
            <w:r w:rsidRPr="00443103">
              <w:rPr>
                <w:rFonts w:ascii="Arial Narrow" w:hAnsi="Arial Narrow"/>
                <w:sz w:val="20"/>
              </w:rPr>
              <w:t>Ther</w:t>
            </w:r>
            <w:proofErr w:type="spellEnd"/>
            <w:r w:rsidRPr="00443103">
              <w:rPr>
                <w:rFonts w:ascii="Arial Narrow" w:hAnsi="Arial Narrow"/>
                <w:sz w:val="20"/>
              </w:rPr>
              <w:t xml:space="preserve"> 2000; 25(6): 445-451.</w:t>
            </w:r>
          </w:p>
        </w:tc>
      </w:tr>
      <w:tr w:rsidR="00252158" w:rsidRPr="00443103" w:rsidTr="000B6585">
        <w:tc>
          <w:tcPr>
            <w:tcW w:w="765" w:type="pct"/>
          </w:tcPr>
          <w:p w:rsidR="00252158" w:rsidRPr="00443103" w:rsidRDefault="00252158" w:rsidP="006F579A">
            <w:pPr>
              <w:jc w:val="left"/>
              <w:rPr>
                <w:rFonts w:ascii="Arial Narrow" w:hAnsi="Arial Narrow"/>
                <w:sz w:val="20"/>
              </w:rPr>
            </w:pPr>
            <w:proofErr w:type="spellStart"/>
            <w:r w:rsidRPr="00443103">
              <w:rPr>
                <w:rFonts w:ascii="Arial Narrow" w:hAnsi="Arial Narrow"/>
                <w:sz w:val="20"/>
              </w:rPr>
              <w:t>Wiegand</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Factors of </w:t>
            </w:r>
            <w:proofErr w:type="spellStart"/>
            <w:r w:rsidRPr="00443103">
              <w:rPr>
                <w:rFonts w:ascii="Arial Narrow" w:hAnsi="Arial Narrow"/>
                <w:sz w:val="20"/>
              </w:rPr>
              <w:t>Hyperlipidemia</w:t>
            </w:r>
            <w:proofErr w:type="spellEnd"/>
            <w:r w:rsidRPr="00443103">
              <w:rPr>
                <w:rFonts w:ascii="Arial Narrow" w:hAnsi="Arial Narrow"/>
                <w:sz w:val="20"/>
              </w:rPr>
              <w:t xml:space="preserve"> Medication Adherence in a Nationwide Health Plan.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Am J </w:t>
            </w:r>
            <w:proofErr w:type="spellStart"/>
            <w:r w:rsidRPr="00443103">
              <w:rPr>
                <w:rFonts w:ascii="Arial Narrow" w:hAnsi="Arial Narrow"/>
                <w:sz w:val="20"/>
              </w:rPr>
              <w:t>Manag</w:t>
            </w:r>
            <w:proofErr w:type="spellEnd"/>
            <w:r w:rsidRPr="00443103">
              <w:rPr>
                <w:rFonts w:ascii="Arial Narrow" w:hAnsi="Arial Narrow"/>
                <w:sz w:val="20"/>
              </w:rPr>
              <w:t xml:space="preserve"> Care 2012; 18(4):193-199.</w:t>
            </w:r>
          </w:p>
        </w:tc>
      </w:tr>
      <w:tr w:rsidR="00252158" w:rsidRPr="00443103" w:rsidTr="000B6585">
        <w:tc>
          <w:tcPr>
            <w:tcW w:w="765" w:type="pct"/>
          </w:tcPr>
          <w:p w:rsidR="00252158" w:rsidRPr="00443103" w:rsidRDefault="006F579A" w:rsidP="0018752F">
            <w:pPr>
              <w:jc w:val="left"/>
              <w:rPr>
                <w:rFonts w:ascii="Arial Narrow" w:hAnsi="Arial Narrow"/>
                <w:sz w:val="20"/>
              </w:rPr>
            </w:pPr>
            <w:r>
              <w:rPr>
                <w:rFonts w:ascii="Arial Narrow" w:hAnsi="Arial Narrow"/>
                <w:sz w:val="20"/>
              </w:rPr>
              <w:t>Wong</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Adherence to lipid-lowering agents among 11,042 patients in clinical practice. </w:t>
            </w:r>
          </w:p>
        </w:tc>
        <w:tc>
          <w:tcPr>
            <w:tcW w:w="1025" w:type="pct"/>
          </w:tcPr>
          <w:p w:rsidR="00252158" w:rsidRPr="00443103" w:rsidRDefault="00252158" w:rsidP="0018752F">
            <w:pPr>
              <w:jc w:val="left"/>
              <w:rPr>
                <w:rFonts w:ascii="Arial Narrow" w:hAnsi="Arial Narrow"/>
                <w:sz w:val="20"/>
              </w:rPr>
            </w:pPr>
            <w:proofErr w:type="spellStart"/>
            <w:r w:rsidRPr="00443103">
              <w:rPr>
                <w:rFonts w:ascii="Arial Narrow" w:hAnsi="Arial Narrow"/>
                <w:sz w:val="20"/>
              </w:rPr>
              <w:t>Int</w:t>
            </w:r>
            <w:proofErr w:type="spellEnd"/>
            <w:r w:rsidRPr="00443103">
              <w:rPr>
                <w:rFonts w:ascii="Arial Narrow" w:hAnsi="Arial Narrow"/>
                <w:sz w:val="20"/>
              </w:rPr>
              <w:t xml:space="preserve"> J </w:t>
            </w:r>
            <w:proofErr w:type="spellStart"/>
            <w:r w:rsidRPr="00443103">
              <w:rPr>
                <w:rFonts w:ascii="Arial Narrow" w:hAnsi="Arial Narrow"/>
                <w:sz w:val="20"/>
              </w:rPr>
              <w:t>Clin</w:t>
            </w:r>
            <w:proofErr w:type="spellEnd"/>
            <w:r w:rsidRPr="00443103">
              <w:rPr>
                <w:rFonts w:ascii="Arial Narrow" w:hAnsi="Arial Narrow"/>
                <w:sz w:val="20"/>
              </w:rPr>
              <w:t xml:space="preserve"> </w:t>
            </w:r>
            <w:proofErr w:type="spellStart"/>
            <w:r w:rsidRPr="00443103">
              <w:rPr>
                <w:rFonts w:ascii="Arial Narrow" w:hAnsi="Arial Narrow"/>
                <w:sz w:val="20"/>
              </w:rPr>
              <w:t>Pract</w:t>
            </w:r>
            <w:proofErr w:type="spellEnd"/>
            <w:r w:rsidRPr="00443103">
              <w:rPr>
                <w:rFonts w:ascii="Arial Narrow" w:hAnsi="Arial Narrow"/>
                <w:sz w:val="20"/>
              </w:rPr>
              <w:t xml:space="preserve"> 2011; 65(7):741-748.</w:t>
            </w:r>
          </w:p>
        </w:tc>
      </w:tr>
      <w:tr w:rsidR="00252158" w:rsidRPr="00443103" w:rsidTr="000B6585">
        <w:tc>
          <w:tcPr>
            <w:tcW w:w="765" w:type="pct"/>
          </w:tcPr>
          <w:p w:rsidR="00252158" w:rsidRPr="00443103" w:rsidRDefault="00252158" w:rsidP="006F579A">
            <w:pPr>
              <w:jc w:val="left"/>
              <w:rPr>
                <w:rFonts w:ascii="Arial Narrow" w:hAnsi="Arial Narrow"/>
                <w:sz w:val="20"/>
              </w:rPr>
            </w:pPr>
            <w:r w:rsidRPr="00443103">
              <w:rPr>
                <w:rFonts w:ascii="Arial Narrow" w:hAnsi="Arial Narrow"/>
                <w:sz w:val="20"/>
              </w:rPr>
              <w:t>Mann</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Predictors of adherence to statins for primary prevention. </w:t>
            </w:r>
          </w:p>
        </w:tc>
        <w:tc>
          <w:tcPr>
            <w:tcW w:w="1025" w:type="pct"/>
          </w:tcPr>
          <w:p w:rsidR="00252158" w:rsidRPr="00443103" w:rsidRDefault="00252158" w:rsidP="0018752F">
            <w:pPr>
              <w:jc w:val="left"/>
              <w:rPr>
                <w:rFonts w:ascii="Arial Narrow" w:hAnsi="Arial Narrow"/>
                <w:sz w:val="20"/>
              </w:rPr>
            </w:pPr>
            <w:proofErr w:type="spellStart"/>
            <w:r w:rsidRPr="00443103">
              <w:rPr>
                <w:rFonts w:ascii="Arial Narrow" w:hAnsi="Arial Narrow"/>
                <w:sz w:val="20"/>
              </w:rPr>
              <w:t>Cardiovasc</w:t>
            </w:r>
            <w:proofErr w:type="spellEnd"/>
            <w:r w:rsidRPr="00443103">
              <w:rPr>
                <w:rFonts w:ascii="Arial Narrow" w:hAnsi="Arial Narrow"/>
                <w:sz w:val="20"/>
              </w:rPr>
              <w:t xml:space="preserve"> Drugs </w:t>
            </w:r>
            <w:proofErr w:type="spellStart"/>
            <w:r w:rsidRPr="00443103">
              <w:rPr>
                <w:rFonts w:ascii="Arial Narrow" w:hAnsi="Arial Narrow"/>
                <w:sz w:val="20"/>
              </w:rPr>
              <w:t>Ther</w:t>
            </w:r>
            <w:proofErr w:type="spellEnd"/>
            <w:r w:rsidRPr="00443103">
              <w:rPr>
                <w:rFonts w:ascii="Arial Narrow" w:hAnsi="Arial Narrow"/>
                <w:sz w:val="20"/>
              </w:rPr>
              <w:t xml:space="preserve"> 2007; 21(4): 311-316.</w:t>
            </w:r>
          </w:p>
        </w:tc>
      </w:tr>
      <w:tr w:rsidR="00252158" w:rsidRPr="00443103" w:rsidTr="000B6585">
        <w:tc>
          <w:tcPr>
            <w:tcW w:w="765" w:type="pct"/>
          </w:tcPr>
          <w:p w:rsidR="00252158" w:rsidRPr="00443103" w:rsidRDefault="00252158" w:rsidP="006F579A">
            <w:pPr>
              <w:jc w:val="left"/>
              <w:rPr>
                <w:rFonts w:ascii="Arial Narrow" w:hAnsi="Arial Narrow"/>
                <w:sz w:val="20"/>
              </w:rPr>
            </w:pPr>
            <w:r w:rsidRPr="00443103">
              <w:rPr>
                <w:rFonts w:ascii="Arial Narrow" w:hAnsi="Arial Narrow"/>
                <w:sz w:val="20"/>
              </w:rPr>
              <w:t xml:space="preserve">Warren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Factors influencing adherence in long-term use of statins. </w:t>
            </w:r>
          </w:p>
        </w:tc>
        <w:tc>
          <w:tcPr>
            <w:tcW w:w="1025" w:type="pct"/>
          </w:tcPr>
          <w:p w:rsidR="00252158" w:rsidRPr="00443103" w:rsidRDefault="00252158" w:rsidP="0018752F">
            <w:pPr>
              <w:jc w:val="left"/>
              <w:rPr>
                <w:rFonts w:ascii="Arial Narrow" w:hAnsi="Arial Narrow"/>
                <w:sz w:val="20"/>
              </w:rPr>
            </w:pPr>
            <w:proofErr w:type="spellStart"/>
            <w:r w:rsidRPr="00443103">
              <w:rPr>
                <w:rFonts w:ascii="Arial Narrow" w:hAnsi="Arial Narrow"/>
                <w:sz w:val="20"/>
              </w:rPr>
              <w:t>Pharmacoepidemiol</w:t>
            </w:r>
            <w:proofErr w:type="spellEnd"/>
            <w:r w:rsidRPr="00443103">
              <w:rPr>
                <w:rFonts w:ascii="Arial Narrow" w:hAnsi="Arial Narrow"/>
                <w:sz w:val="20"/>
              </w:rPr>
              <w:t xml:space="preserve"> Drug </w:t>
            </w:r>
            <w:proofErr w:type="spellStart"/>
            <w:r w:rsidRPr="00443103">
              <w:rPr>
                <w:rFonts w:ascii="Arial Narrow" w:hAnsi="Arial Narrow"/>
                <w:sz w:val="20"/>
              </w:rPr>
              <w:t>Saf</w:t>
            </w:r>
            <w:proofErr w:type="spellEnd"/>
            <w:r w:rsidRPr="00443103">
              <w:rPr>
                <w:rFonts w:ascii="Arial Narrow" w:hAnsi="Arial Narrow"/>
                <w:sz w:val="20"/>
              </w:rPr>
              <w:t xml:space="preserve"> 2013; 22(12):1298-1307.</w:t>
            </w:r>
          </w:p>
        </w:tc>
      </w:tr>
      <w:tr w:rsidR="00252158" w:rsidRPr="00443103" w:rsidTr="000B6585">
        <w:tc>
          <w:tcPr>
            <w:tcW w:w="765" w:type="pct"/>
          </w:tcPr>
          <w:p w:rsidR="00252158" w:rsidRPr="00443103" w:rsidRDefault="006F579A" w:rsidP="0018752F">
            <w:pPr>
              <w:jc w:val="left"/>
              <w:rPr>
                <w:rFonts w:ascii="Arial Narrow" w:hAnsi="Arial Narrow"/>
                <w:sz w:val="20"/>
              </w:rPr>
            </w:pPr>
            <w:r>
              <w:rPr>
                <w:rFonts w:ascii="Arial Narrow" w:hAnsi="Arial Narrow"/>
                <w:sz w:val="20"/>
              </w:rPr>
              <w:lastRenderedPageBreak/>
              <w:t xml:space="preserve">Wei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Predictors of statin adherence, switching and discontinuation in the USAGE survey: Understanding the use of statins in America and gaps in patient education.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J </w:t>
            </w:r>
            <w:proofErr w:type="spellStart"/>
            <w:r w:rsidRPr="00443103">
              <w:rPr>
                <w:rFonts w:ascii="Arial Narrow" w:hAnsi="Arial Narrow"/>
                <w:sz w:val="20"/>
              </w:rPr>
              <w:t>Clin</w:t>
            </w:r>
            <w:proofErr w:type="spellEnd"/>
            <w:r w:rsidRPr="00443103">
              <w:rPr>
                <w:rFonts w:ascii="Arial Narrow" w:hAnsi="Arial Narrow"/>
                <w:sz w:val="20"/>
              </w:rPr>
              <w:t xml:space="preserve"> </w:t>
            </w:r>
            <w:proofErr w:type="spellStart"/>
            <w:r w:rsidRPr="00443103">
              <w:rPr>
                <w:rFonts w:ascii="Arial Narrow" w:hAnsi="Arial Narrow"/>
                <w:sz w:val="20"/>
              </w:rPr>
              <w:t>Lipidology</w:t>
            </w:r>
            <w:proofErr w:type="spellEnd"/>
            <w:r w:rsidRPr="00443103">
              <w:rPr>
                <w:rFonts w:ascii="Arial Narrow" w:hAnsi="Arial Narrow"/>
                <w:sz w:val="20"/>
              </w:rPr>
              <w:t xml:space="preserve"> 2013; 7(5): 471-483.</w:t>
            </w:r>
          </w:p>
        </w:tc>
      </w:tr>
      <w:tr w:rsidR="00252158" w:rsidRPr="00443103" w:rsidTr="000B6585">
        <w:tc>
          <w:tcPr>
            <w:tcW w:w="765" w:type="pct"/>
          </w:tcPr>
          <w:p w:rsidR="00252158" w:rsidRPr="00443103" w:rsidRDefault="00252158" w:rsidP="006F579A">
            <w:pPr>
              <w:jc w:val="left"/>
              <w:rPr>
                <w:rFonts w:ascii="Arial Narrow" w:hAnsi="Arial Narrow"/>
                <w:sz w:val="20"/>
              </w:rPr>
            </w:pPr>
            <w:proofErr w:type="spellStart"/>
            <w:r w:rsidRPr="00443103">
              <w:rPr>
                <w:rFonts w:ascii="Arial Narrow" w:hAnsi="Arial Narrow"/>
                <w:sz w:val="20"/>
              </w:rPr>
              <w:t>Xie</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Factors associated with compliance to lipid-lowering treatment in China. </w:t>
            </w:r>
          </w:p>
        </w:tc>
        <w:tc>
          <w:tcPr>
            <w:tcW w:w="1025" w:type="pct"/>
          </w:tcPr>
          <w:p w:rsidR="00252158" w:rsidRPr="00443103" w:rsidRDefault="00252158" w:rsidP="0018752F">
            <w:pPr>
              <w:jc w:val="left"/>
              <w:rPr>
                <w:rFonts w:ascii="Arial Narrow" w:hAnsi="Arial Narrow"/>
                <w:sz w:val="20"/>
              </w:rPr>
            </w:pPr>
            <w:proofErr w:type="spellStart"/>
            <w:r w:rsidRPr="00443103">
              <w:rPr>
                <w:rFonts w:ascii="Arial Narrow" w:hAnsi="Arial Narrow"/>
                <w:sz w:val="20"/>
              </w:rPr>
              <w:t>Eur</w:t>
            </w:r>
            <w:proofErr w:type="spellEnd"/>
            <w:r w:rsidRPr="00443103">
              <w:rPr>
                <w:rFonts w:ascii="Arial Narrow" w:hAnsi="Arial Narrow"/>
                <w:sz w:val="20"/>
              </w:rPr>
              <w:t xml:space="preserve"> J </w:t>
            </w:r>
            <w:proofErr w:type="spellStart"/>
            <w:r w:rsidRPr="00443103">
              <w:rPr>
                <w:rFonts w:ascii="Arial Narrow" w:hAnsi="Arial Narrow"/>
                <w:sz w:val="20"/>
              </w:rPr>
              <w:t>Prev</w:t>
            </w:r>
            <w:proofErr w:type="spellEnd"/>
            <w:r w:rsidRPr="00443103">
              <w:rPr>
                <w:rFonts w:ascii="Arial Narrow" w:hAnsi="Arial Narrow"/>
                <w:sz w:val="20"/>
              </w:rPr>
              <w:t xml:space="preserve"> </w:t>
            </w:r>
            <w:proofErr w:type="spellStart"/>
            <w:r w:rsidRPr="00443103">
              <w:rPr>
                <w:rFonts w:ascii="Arial Narrow" w:hAnsi="Arial Narrow"/>
                <w:sz w:val="20"/>
              </w:rPr>
              <w:t>Cardiol</w:t>
            </w:r>
            <w:proofErr w:type="spellEnd"/>
            <w:r w:rsidRPr="00443103">
              <w:rPr>
                <w:rFonts w:ascii="Arial Narrow" w:hAnsi="Arial Narrow"/>
                <w:sz w:val="20"/>
              </w:rPr>
              <w:t xml:space="preserve"> 2013; 20(2):229-37.</w:t>
            </w:r>
          </w:p>
        </w:tc>
      </w:tr>
      <w:tr w:rsidR="00252158" w:rsidRPr="00443103" w:rsidTr="000B6585">
        <w:tc>
          <w:tcPr>
            <w:tcW w:w="765" w:type="pct"/>
          </w:tcPr>
          <w:p w:rsidR="00252158" w:rsidRPr="00443103" w:rsidRDefault="00252158" w:rsidP="0018752F">
            <w:pPr>
              <w:jc w:val="left"/>
              <w:rPr>
                <w:rFonts w:ascii="Arial Narrow" w:hAnsi="Arial Narrow"/>
                <w:b/>
                <w:sz w:val="20"/>
              </w:rPr>
            </w:pPr>
            <w:proofErr w:type="spellStart"/>
            <w:r w:rsidRPr="00443103">
              <w:rPr>
                <w:rFonts w:ascii="Arial Narrow" w:hAnsi="Arial Narrow"/>
                <w:sz w:val="20"/>
              </w:rPr>
              <w:t>Gislason</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Persistent use of evidence-based pharmacotherapy in heart failure is associated with improved outcomes.</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Circulation 2007; 116(7):737-744.</w:t>
            </w:r>
          </w:p>
        </w:tc>
      </w:tr>
      <w:tr w:rsidR="00252158" w:rsidRPr="00443103" w:rsidTr="000B6585">
        <w:tc>
          <w:tcPr>
            <w:tcW w:w="765" w:type="pct"/>
          </w:tcPr>
          <w:p w:rsidR="00252158" w:rsidRPr="00443103" w:rsidRDefault="00252158" w:rsidP="006F579A">
            <w:pPr>
              <w:jc w:val="left"/>
              <w:rPr>
                <w:rFonts w:ascii="Arial Narrow" w:hAnsi="Arial Narrow"/>
                <w:sz w:val="20"/>
              </w:rPr>
            </w:pPr>
            <w:proofErr w:type="spellStart"/>
            <w:r w:rsidRPr="00443103">
              <w:rPr>
                <w:rFonts w:ascii="Arial Narrow" w:hAnsi="Arial Narrow"/>
                <w:sz w:val="20"/>
              </w:rPr>
              <w:t>Haukka</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Statin usage and all-cause and disease-specific mortality in a nationwide study. </w:t>
            </w:r>
          </w:p>
        </w:tc>
        <w:tc>
          <w:tcPr>
            <w:tcW w:w="1025" w:type="pct"/>
          </w:tcPr>
          <w:p w:rsidR="00252158" w:rsidRPr="00443103" w:rsidRDefault="00252158" w:rsidP="0018752F">
            <w:pPr>
              <w:jc w:val="left"/>
              <w:rPr>
                <w:rFonts w:ascii="Arial Narrow" w:hAnsi="Arial Narrow"/>
                <w:sz w:val="20"/>
              </w:rPr>
            </w:pPr>
            <w:proofErr w:type="spellStart"/>
            <w:r w:rsidRPr="00443103">
              <w:rPr>
                <w:rFonts w:ascii="Arial Narrow" w:hAnsi="Arial Narrow"/>
                <w:sz w:val="20"/>
              </w:rPr>
              <w:t>Pharmacoepidemiol</w:t>
            </w:r>
            <w:proofErr w:type="spellEnd"/>
            <w:r w:rsidRPr="00443103">
              <w:rPr>
                <w:rFonts w:ascii="Arial Narrow" w:hAnsi="Arial Narrow"/>
                <w:sz w:val="20"/>
              </w:rPr>
              <w:t xml:space="preserve"> Drug </w:t>
            </w:r>
            <w:proofErr w:type="spellStart"/>
            <w:r w:rsidRPr="00443103">
              <w:rPr>
                <w:rFonts w:ascii="Arial Narrow" w:hAnsi="Arial Narrow"/>
                <w:sz w:val="20"/>
              </w:rPr>
              <w:t>Saf</w:t>
            </w:r>
            <w:proofErr w:type="spellEnd"/>
            <w:r w:rsidRPr="00443103">
              <w:rPr>
                <w:rFonts w:ascii="Arial Narrow" w:hAnsi="Arial Narrow"/>
                <w:sz w:val="20"/>
              </w:rPr>
              <w:t xml:space="preserve"> 2012; 21(1):61-69.</w:t>
            </w:r>
          </w:p>
        </w:tc>
      </w:tr>
      <w:tr w:rsidR="00252158" w:rsidRPr="00443103" w:rsidTr="000B6585">
        <w:tc>
          <w:tcPr>
            <w:tcW w:w="765" w:type="pct"/>
          </w:tcPr>
          <w:p w:rsidR="00252158" w:rsidRPr="00443103" w:rsidRDefault="00252158" w:rsidP="006F579A">
            <w:pPr>
              <w:jc w:val="left"/>
              <w:rPr>
                <w:rFonts w:ascii="Arial Narrow" w:hAnsi="Arial Narrow"/>
                <w:sz w:val="20"/>
              </w:rPr>
            </w:pPr>
            <w:proofErr w:type="spellStart"/>
            <w:r w:rsidRPr="00443103">
              <w:rPr>
                <w:rFonts w:ascii="Arial Narrow" w:hAnsi="Arial Narrow"/>
                <w:sz w:val="20"/>
              </w:rPr>
              <w:t>Corrao</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Results of a retrospective database analysis of adherence to statin therapy and risk of nonfatal ischemic heart disease in daily clinical practice in Italy.</w:t>
            </w:r>
          </w:p>
        </w:tc>
        <w:tc>
          <w:tcPr>
            <w:tcW w:w="1025" w:type="pct"/>
          </w:tcPr>
          <w:p w:rsidR="00252158" w:rsidRPr="00443103" w:rsidRDefault="00252158" w:rsidP="0018752F">
            <w:pPr>
              <w:jc w:val="left"/>
              <w:rPr>
                <w:rFonts w:ascii="Arial Narrow" w:hAnsi="Arial Narrow"/>
                <w:sz w:val="20"/>
              </w:rPr>
            </w:pPr>
            <w:proofErr w:type="spellStart"/>
            <w:r w:rsidRPr="00443103">
              <w:rPr>
                <w:rFonts w:ascii="Arial Narrow" w:hAnsi="Arial Narrow"/>
                <w:sz w:val="20"/>
              </w:rPr>
              <w:t>Clin</w:t>
            </w:r>
            <w:proofErr w:type="spellEnd"/>
            <w:r w:rsidRPr="00443103">
              <w:rPr>
                <w:rFonts w:ascii="Arial Narrow" w:hAnsi="Arial Narrow"/>
                <w:sz w:val="20"/>
              </w:rPr>
              <w:t xml:space="preserve"> </w:t>
            </w:r>
            <w:proofErr w:type="spellStart"/>
            <w:r w:rsidRPr="00443103">
              <w:rPr>
                <w:rFonts w:ascii="Arial Narrow" w:hAnsi="Arial Narrow"/>
                <w:sz w:val="20"/>
              </w:rPr>
              <w:t>Ther</w:t>
            </w:r>
            <w:proofErr w:type="spellEnd"/>
            <w:r w:rsidRPr="00443103">
              <w:rPr>
                <w:rFonts w:ascii="Arial Narrow" w:hAnsi="Arial Narrow"/>
                <w:sz w:val="20"/>
              </w:rPr>
              <w:t xml:space="preserve"> 2010; 32(2):300-310.</w:t>
            </w:r>
          </w:p>
        </w:tc>
      </w:tr>
      <w:tr w:rsidR="00252158" w:rsidRPr="00443103" w:rsidTr="000B6585">
        <w:tc>
          <w:tcPr>
            <w:tcW w:w="765" w:type="pct"/>
          </w:tcPr>
          <w:p w:rsidR="00252158" w:rsidRPr="00443103" w:rsidRDefault="00252158" w:rsidP="006F579A">
            <w:pPr>
              <w:jc w:val="left"/>
              <w:rPr>
                <w:rFonts w:ascii="Arial Narrow" w:hAnsi="Arial Narrow"/>
                <w:sz w:val="20"/>
              </w:rPr>
            </w:pPr>
            <w:r w:rsidRPr="00443103">
              <w:rPr>
                <w:rFonts w:ascii="Arial Narrow" w:hAnsi="Arial Narrow"/>
                <w:sz w:val="20"/>
              </w:rPr>
              <w:t xml:space="preserve">Bouchard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Impact of adherence to statins on coronary artery disease in primary prevention.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Br J </w:t>
            </w:r>
            <w:proofErr w:type="spellStart"/>
            <w:r w:rsidRPr="00443103">
              <w:rPr>
                <w:rFonts w:ascii="Arial Narrow" w:hAnsi="Arial Narrow"/>
                <w:sz w:val="20"/>
              </w:rPr>
              <w:t>Clin</w:t>
            </w:r>
            <w:proofErr w:type="spellEnd"/>
            <w:r w:rsidRPr="00443103">
              <w:rPr>
                <w:rFonts w:ascii="Arial Narrow" w:hAnsi="Arial Narrow"/>
                <w:sz w:val="20"/>
              </w:rPr>
              <w:t xml:space="preserve"> </w:t>
            </w:r>
            <w:proofErr w:type="spellStart"/>
            <w:r w:rsidRPr="00443103">
              <w:rPr>
                <w:rFonts w:ascii="Arial Narrow" w:hAnsi="Arial Narrow"/>
                <w:sz w:val="20"/>
              </w:rPr>
              <w:t>Pharmacol</w:t>
            </w:r>
            <w:proofErr w:type="spellEnd"/>
            <w:r w:rsidRPr="00443103">
              <w:rPr>
                <w:rFonts w:ascii="Arial Narrow" w:hAnsi="Arial Narrow"/>
                <w:sz w:val="20"/>
              </w:rPr>
              <w:t xml:space="preserve"> 2007; 63(6):698-708.</w:t>
            </w:r>
          </w:p>
        </w:tc>
      </w:tr>
      <w:tr w:rsidR="00252158" w:rsidRPr="00443103" w:rsidTr="000B6585">
        <w:tc>
          <w:tcPr>
            <w:tcW w:w="765" w:type="pct"/>
          </w:tcPr>
          <w:p w:rsidR="00252158" w:rsidRPr="00443103" w:rsidRDefault="00252158" w:rsidP="006F579A">
            <w:pPr>
              <w:jc w:val="left"/>
              <w:rPr>
                <w:rFonts w:ascii="Arial Narrow" w:hAnsi="Arial Narrow"/>
                <w:sz w:val="20"/>
              </w:rPr>
            </w:pPr>
            <w:proofErr w:type="spellStart"/>
            <w:r w:rsidRPr="00443103">
              <w:rPr>
                <w:rFonts w:ascii="Arial Narrow" w:hAnsi="Arial Narrow"/>
                <w:sz w:val="20"/>
              </w:rPr>
              <w:t>Perreault</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Effect of Statin Adherence on Cerebrovascular Disease in Primary Prevention.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Am J Med 2009; 122(7):647-655.</w:t>
            </w:r>
          </w:p>
        </w:tc>
      </w:tr>
      <w:tr w:rsidR="00252158" w:rsidRPr="00443103" w:rsidTr="000B6585">
        <w:tc>
          <w:tcPr>
            <w:tcW w:w="765" w:type="pct"/>
          </w:tcPr>
          <w:p w:rsidR="00252158" w:rsidRPr="00443103" w:rsidRDefault="00252158" w:rsidP="006F579A">
            <w:pPr>
              <w:jc w:val="left"/>
              <w:rPr>
                <w:rFonts w:ascii="Arial Narrow" w:hAnsi="Arial Narrow"/>
                <w:sz w:val="20"/>
              </w:rPr>
            </w:pPr>
            <w:proofErr w:type="spellStart"/>
            <w:r w:rsidRPr="00443103">
              <w:rPr>
                <w:rFonts w:ascii="Arial Narrow" w:hAnsi="Arial Narrow"/>
                <w:sz w:val="20"/>
              </w:rPr>
              <w:t>Perreault</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Impact of better adherence to statin agents in the primary prevention of coronary artery disease. </w:t>
            </w:r>
          </w:p>
        </w:tc>
        <w:tc>
          <w:tcPr>
            <w:tcW w:w="1025" w:type="pct"/>
          </w:tcPr>
          <w:p w:rsidR="00252158" w:rsidRPr="00443103" w:rsidRDefault="00252158" w:rsidP="0018752F">
            <w:pPr>
              <w:jc w:val="left"/>
              <w:rPr>
                <w:rFonts w:ascii="Arial Narrow" w:hAnsi="Arial Narrow"/>
                <w:sz w:val="20"/>
              </w:rPr>
            </w:pPr>
            <w:proofErr w:type="spellStart"/>
            <w:r w:rsidRPr="00443103">
              <w:rPr>
                <w:rFonts w:ascii="Arial Narrow" w:hAnsi="Arial Narrow"/>
                <w:sz w:val="20"/>
              </w:rPr>
              <w:t>Eur</w:t>
            </w:r>
            <w:proofErr w:type="spellEnd"/>
            <w:r w:rsidRPr="00443103">
              <w:rPr>
                <w:rFonts w:ascii="Arial Narrow" w:hAnsi="Arial Narrow"/>
                <w:sz w:val="20"/>
              </w:rPr>
              <w:t xml:space="preserve"> J </w:t>
            </w:r>
            <w:proofErr w:type="spellStart"/>
            <w:r w:rsidRPr="00443103">
              <w:rPr>
                <w:rFonts w:ascii="Arial Narrow" w:hAnsi="Arial Narrow"/>
                <w:sz w:val="20"/>
              </w:rPr>
              <w:t>Clin</w:t>
            </w:r>
            <w:proofErr w:type="spellEnd"/>
            <w:r w:rsidRPr="00443103">
              <w:rPr>
                <w:rFonts w:ascii="Arial Narrow" w:hAnsi="Arial Narrow"/>
                <w:sz w:val="20"/>
              </w:rPr>
              <w:t xml:space="preserve"> </w:t>
            </w:r>
            <w:proofErr w:type="spellStart"/>
            <w:r w:rsidRPr="00443103">
              <w:rPr>
                <w:rFonts w:ascii="Arial Narrow" w:hAnsi="Arial Narrow"/>
                <w:sz w:val="20"/>
              </w:rPr>
              <w:t>Pharmacol</w:t>
            </w:r>
            <w:proofErr w:type="spellEnd"/>
            <w:r w:rsidRPr="00443103">
              <w:rPr>
                <w:rFonts w:ascii="Arial Narrow" w:hAnsi="Arial Narrow"/>
                <w:sz w:val="20"/>
              </w:rPr>
              <w:t xml:space="preserve"> 2009; 65(10):1013-1024.</w:t>
            </w:r>
          </w:p>
        </w:tc>
      </w:tr>
      <w:tr w:rsidR="00252158" w:rsidRPr="00443103" w:rsidTr="000B6585">
        <w:tc>
          <w:tcPr>
            <w:tcW w:w="765" w:type="pct"/>
          </w:tcPr>
          <w:p w:rsidR="00252158" w:rsidRPr="00443103" w:rsidRDefault="00252158" w:rsidP="006F579A">
            <w:pPr>
              <w:jc w:val="left"/>
              <w:rPr>
                <w:rFonts w:ascii="Arial Narrow" w:hAnsi="Arial Narrow"/>
                <w:sz w:val="20"/>
              </w:rPr>
            </w:pPr>
            <w:r w:rsidRPr="00443103">
              <w:rPr>
                <w:rFonts w:ascii="Arial Narrow" w:hAnsi="Arial Narrow"/>
                <w:sz w:val="20"/>
              </w:rPr>
              <w:t xml:space="preserve">Wei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Adherence to statin treatment and readmission of patients after myocardial infarction: </w:t>
            </w:r>
            <w:proofErr w:type="gramStart"/>
            <w:r w:rsidRPr="00443103">
              <w:rPr>
                <w:rFonts w:ascii="Arial Narrow" w:hAnsi="Arial Narrow"/>
                <w:sz w:val="20"/>
              </w:rPr>
              <w:t>A six year follow</w:t>
            </w:r>
            <w:proofErr w:type="gramEnd"/>
            <w:r w:rsidRPr="00443103">
              <w:rPr>
                <w:rFonts w:ascii="Arial Narrow" w:hAnsi="Arial Narrow"/>
                <w:sz w:val="20"/>
              </w:rPr>
              <w:t xml:space="preserve"> up study.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Heart 2002; 88(3):229-233.</w:t>
            </w:r>
          </w:p>
        </w:tc>
      </w:tr>
      <w:tr w:rsidR="00252158" w:rsidRPr="00443103" w:rsidTr="000B6585">
        <w:tc>
          <w:tcPr>
            <w:tcW w:w="765" w:type="pct"/>
          </w:tcPr>
          <w:p w:rsidR="00252158" w:rsidRPr="00443103" w:rsidRDefault="00252158" w:rsidP="006F579A">
            <w:pPr>
              <w:jc w:val="left"/>
              <w:rPr>
                <w:rFonts w:ascii="Arial Narrow" w:hAnsi="Arial Narrow"/>
                <w:sz w:val="20"/>
              </w:rPr>
            </w:pPr>
            <w:r w:rsidRPr="00443103">
              <w:rPr>
                <w:rFonts w:ascii="Arial Narrow" w:hAnsi="Arial Narrow"/>
                <w:sz w:val="20"/>
              </w:rPr>
              <w:t xml:space="preserve">Rasmussen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Relationship between adherence to evidence-based pharmacotherapy and long-term mortality after acute myocardial infarction.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J Am Med </w:t>
            </w:r>
            <w:proofErr w:type="spellStart"/>
            <w:r w:rsidRPr="00443103">
              <w:rPr>
                <w:rFonts w:ascii="Arial Narrow" w:hAnsi="Arial Narrow"/>
                <w:sz w:val="20"/>
              </w:rPr>
              <w:t>Assoc</w:t>
            </w:r>
            <w:proofErr w:type="spellEnd"/>
            <w:r w:rsidRPr="00443103">
              <w:rPr>
                <w:rFonts w:ascii="Arial Narrow" w:hAnsi="Arial Narrow"/>
                <w:sz w:val="20"/>
              </w:rPr>
              <w:t xml:space="preserve"> 2007; 297(2):177-186.</w:t>
            </w:r>
          </w:p>
        </w:tc>
      </w:tr>
      <w:tr w:rsidR="00252158" w:rsidRPr="00443103" w:rsidTr="000B6585">
        <w:tc>
          <w:tcPr>
            <w:tcW w:w="765" w:type="pct"/>
          </w:tcPr>
          <w:p w:rsidR="00252158" w:rsidRPr="00443103" w:rsidRDefault="006F579A" w:rsidP="0018752F">
            <w:pPr>
              <w:jc w:val="left"/>
              <w:rPr>
                <w:rFonts w:ascii="Arial Narrow" w:hAnsi="Arial Narrow"/>
                <w:sz w:val="20"/>
              </w:rPr>
            </w:pPr>
            <w:r>
              <w:rPr>
                <w:rFonts w:ascii="Arial Narrow" w:hAnsi="Arial Narrow"/>
                <w:sz w:val="20"/>
              </w:rPr>
              <w:t>Wei</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Adherence to statin or aspirin or both in patients with established cardiovascular disease: Exploring healthy behaviour vs. drug effects and 10-year follow-up of outcome.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Br J </w:t>
            </w:r>
            <w:proofErr w:type="spellStart"/>
            <w:r w:rsidRPr="00443103">
              <w:rPr>
                <w:rFonts w:ascii="Arial Narrow" w:hAnsi="Arial Narrow"/>
                <w:sz w:val="20"/>
              </w:rPr>
              <w:t>Clin</w:t>
            </w:r>
            <w:proofErr w:type="spellEnd"/>
            <w:r w:rsidRPr="00443103">
              <w:rPr>
                <w:rFonts w:ascii="Arial Narrow" w:hAnsi="Arial Narrow"/>
                <w:sz w:val="20"/>
              </w:rPr>
              <w:t xml:space="preserve"> </w:t>
            </w:r>
            <w:proofErr w:type="spellStart"/>
            <w:r w:rsidRPr="00443103">
              <w:rPr>
                <w:rFonts w:ascii="Arial Narrow" w:hAnsi="Arial Narrow"/>
                <w:sz w:val="20"/>
              </w:rPr>
              <w:t>Pharmacol</w:t>
            </w:r>
            <w:proofErr w:type="spellEnd"/>
            <w:r w:rsidRPr="00443103">
              <w:rPr>
                <w:rFonts w:ascii="Arial Narrow" w:hAnsi="Arial Narrow"/>
                <w:sz w:val="20"/>
              </w:rPr>
              <w:t xml:space="preserve"> 2008; 66(1):110-116.</w:t>
            </w:r>
          </w:p>
        </w:tc>
      </w:tr>
      <w:tr w:rsidR="00252158" w:rsidRPr="00443103" w:rsidTr="000B6585">
        <w:tc>
          <w:tcPr>
            <w:tcW w:w="765" w:type="pct"/>
          </w:tcPr>
          <w:p w:rsidR="00252158" w:rsidRPr="00443103" w:rsidRDefault="00252158" w:rsidP="006F579A">
            <w:pPr>
              <w:jc w:val="left"/>
              <w:rPr>
                <w:rFonts w:ascii="Arial Narrow" w:hAnsi="Arial Narrow"/>
                <w:sz w:val="20"/>
              </w:rPr>
            </w:pPr>
            <w:proofErr w:type="spellStart"/>
            <w:r w:rsidRPr="00443103">
              <w:rPr>
                <w:rFonts w:ascii="Arial Narrow" w:hAnsi="Arial Narrow"/>
                <w:sz w:val="20"/>
              </w:rPr>
              <w:t>Colivicchi</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Discontinuation of statin therapy and clinical outcome after ischemic stroke.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Stroke 2007; 38(10):2652-2657.</w:t>
            </w:r>
          </w:p>
        </w:tc>
      </w:tr>
      <w:tr w:rsidR="00252158" w:rsidRPr="00443103" w:rsidTr="000B6585">
        <w:tc>
          <w:tcPr>
            <w:tcW w:w="765" w:type="pct"/>
          </w:tcPr>
          <w:p w:rsidR="00252158" w:rsidRPr="00443103" w:rsidRDefault="00252158" w:rsidP="006F579A">
            <w:pPr>
              <w:jc w:val="left"/>
              <w:rPr>
                <w:rFonts w:ascii="Arial Narrow" w:hAnsi="Arial Narrow"/>
                <w:sz w:val="20"/>
              </w:rPr>
            </w:pPr>
            <w:r w:rsidRPr="00443103">
              <w:rPr>
                <w:rFonts w:ascii="Arial Narrow" w:hAnsi="Arial Narrow"/>
                <w:sz w:val="20"/>
              </w:rPr>
              <w:t>Pittman</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Adherence to statins, subsequent healthcare costs, and cardiovascular hospitalizations.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Am J </w:t>
            </w:r>
            <w:proofErr w:type="spellStart"/>
            <w:r w:rsidRPr="00443103">
              <w:rPr>
                <w:rFonts w:ascii="Arial Narrow" w:hAnsi="Arial Narrow"/>
                <w:sz w:val="20"/>
              </w:rPr>
              <w:t>Cardiol</w:t>
            </w:r>
            <w:proofErr w:type="spellEnd"/>
            <w:r w:rsidRPr="00443103">
              <w:rPr>
                <w:rFonts w:ascii="Arial Narrow" w:hAnsi="Arial Narrow"/>
                <w:sz w:val="20"/>
              </w:rPr>
              <w:t xml:space="preserve"> 2011; 107(11):1662-1666.</w:t>
            </w:r>
          </w:p>
        </w:tc>
      </w:tr>
      <w:tr w:rsidR="00252158" w:rsidRPr="00443103" w:rsidTr="000B6585">
        <w:tc>
          <w:tcPr>
            <w:tcW w:w="765" w:type="pct"/>
          </w:tcPr>
          <w:p w:rsidR="00252158" w:rsidRPr="00443103" w:rsidRDefault="00252158" w:rsidP="006F579A">
            <w:pPr>
              <w:jc w:val="left"/>
              <w:rPr>
                <w:rFonts w:ascii="Arial Narrow" w:hAnsi="Arial Narrow"/>
                <w:sz w:val="20"/>
              </w:rPr>
            </w:pPr>
            <w:proofErr w:type="spellStart"/>
            <w:r w:rsidRPr="00443103">
              <w:rPr>
                <w:rFonts w:ascii="Arial Narrow" w:hAnsi="Arial Narrow"/>
                <w:sz w:val="20"/>
              </w:rPr>
              <w:t>Kumbhani</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Adherence to secondary prevention medications and four-year outcomes in outpatients with atherosclerosis.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Am J Med 2013; 126(8):693-700.</w:t>
            </w:r>
          </w:p>
        </w:tc>
      </w:tr>
      <w:tr w:rsidR="00252158" w:rsidRPr="00443103" w:rsidTr="000B6585">
        <w:tc>
          <w:tcPr>
            <w:tcW w:w="765" w:type="pct"/>
          </w:tcPr>
          <w:p w:rsidR="00252158" w:rsidRPr="00443103" w:rsidRDefault="00252158" w:rsidP="006F579A">
            <w:pPr>
              <w:jc w:val="left"/>
              <w:rPr>
                <w:rFonts w:ascii="Arial Narrow" w:hAnsi="Arial Narrow"/>
                <w:sz w:val="20"/>
              </w:rPr>
            </w:pPr>
            <w:proofErr w:type="spellStart"/>
            <w:r w:rsidRPr="00443103">
              <w:rPr>
                <w:rFonts w:ascii="Arial Narrow" w:hAnsi="Arial Narrow"/>
                <w:sz w:val="20"/>
              </w:rPr>
              <w:t>Ho</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Medication </w:t>
            </w:r>
            <w:proofErr w:type="spellStart"/>
            <w:r w:rsidRPr="00443103">
              <w:rPr>
                <w:rFonts w:ascii="Arial Narrow" w:hAnsi="Arial Narrow"/>
                <w:sz w:val="20"/>
              </w:rPr>
              <w:t>nonadherence</w:t>
            </w:r>
            <w:proofErr w:type="spellEnd"/>
            <w:r w:rsidRPr="00443103">
              <w:rPr>
                <w:rFonts w:ascii="Arial Narrow" w:hAnsi="Arial Narrow"/>
                <w:sz w:val="20"/>
              </w:rPr>
              <w:t xml:space="preserve"> is associated with a broad range of adverse outcomes in patients with coronary artery disease.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Am Heart J 2008; 155(4):772-779.</w:t>
            </w:r>
          </w:p>
        </w:tc>
      </w:tr>
      <w:tr w:rsidR="00252158" w:rsidRPr="00443103" w:rsidTr="000B6585">
        <w:tc>
          <w:tcPr>
            <w:tcW w:w="765" w:type="pct"/>
          </w:tcPr>
          <w:p w:rsidR="00252158" w:rsidRPr="00443103" w:rsidRDefault="00252158" w:rsidP="006F579A">
            <w:pPr>
              <w:jc w:val="left"/>
              <w:rPr>
                <w:rFonts w:ascii="Arial Narrow" w:hAnsi="Arial Narrow"/>
                <w:sz w:val="20"/>
              </w:rPr>
            </w:pPr>
            <w:proofErr w:type="spellStart"/>
            <w:r w:rsidRPr="00443103">
              <w:rPr>
                <w:rFonts w:ascii="Arial Narrow" w:hAnsi="Arial Narrow"/>
                <w:sz w:val="20"/>
              </w:rPr>
              <w:t>Allonen</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Mortality rate increases steeply with </w:t>
            </w:r>
            <w:proofErr w:type="spellStart"/>
            <w:r w:rsidRPr="00443103">
              <w:rPr>
                <w:rFonts w:ascii="Arial Narrow" w:hAnsi="Arial Narrow"/>
                <w:sz w:val="20"/>
              </w:rPr>
              <w:t>nonadherence</w:t>
            </w:r>
            <w:proofErr w:type="spellEnd"/>
            <w:r w:rsidRPr="00443103">
              <w:rPr>
                <w:rFonts w:ascii="Arial Narrow" w:hAnsi="Arial Narrow"/>
                <w:sz w:val="20"/>
              </w:rPr>
              <w:t xml:space="preserve"> to statin therapy in patients with acute coronary syndrome. </w:t>
            </w:r>
          </w:p>
        </w:tc>
        <w:tc>
          <w:tcPr>
            <w:tcW w:w="1025" w:type="pct"/>
          </w:tcPr>
          <w:p w:rsidR="00252158" w:rsidRPr="00443103" w:rsidRDefault="00252158" w:rsidP="0018752F">
            <w:pPr>
              <w:jc w:val="left"/>
              <w:rPr>
                <w:rFonts w:ascii="Arial Narrow" w:hAnsi="Arial Narrow"/>
                <w:sz w:val="20"/>
              </w:rPr>
            </w:pPr>
            <w:proofErr w:type="spellStart"/>
            <w:r w:rsidRPr="00443103">
              <w:rPr>
                <w:rFonts w:ascii="Arial Narrow" w:hAnsi="Arial Narrow"/>
                <w:sz w:val="20"/>
              </w:rPr>
              <w:t>Clin</w:t>
            </w:r>
            <w:proofErr w:type="spellEnd"/>
            <w:r w:rsidRPr="00443103">
              <w:rPr>
                <w:rFonts w:ascii="Arial Narrow" w:hAnsi="Arial Narrow"/>
                <w:sz w:val="20"/>
              </w:rPr>
              <w:t xml:space="preserve"> </w:t>
            </w:r>
            <w:proofErr w:type="spellStart"/>
            <w:r w:rsidRPr="00443103">
              <w:rPr>
                <w:rFonts w:ascii="Arial Narrow" w:hAnsi="Arial Narrow"/>
                <w:sz w:val="20"/>
              </w:rPr>
              <w:t>Cardiol</w:t>
            </w:r>
            <w:proofErr w:type="spellEnd"/>
            <w:r w:rsidRPr="00443103">
              <w:rPr>
                <w:rFonts w:ascii="Arial Narrow" w:hAnsi="Arial Narrow"/>
                <w:sz w:val="20"/>
              </w:rPr>
              <w:t xml:space="preserve"> 2012; 35(11):E22-E27.</w:t>
            </w:r>
          </w:p>
        </w:tc>
      </w:tr>
      <w:tr w:rsidR="00252158" w:rsidRPr="00443103" w:rsidTr="000B6585">
        <w:tc>
          <w:tcPr>
            <w:tcW w:w="765" w:type="pct"/>
          </w:tcPr>
          <w:p w:rsidR="00252158" w:rsidRPr="00443103" w:rsidRDefault="00252158" w:rsidP="006F579A">
            <w:pPr>
              <w:jc w:val="left"/>
              <w:rPr>
                <w:rFonts w:ascii="Arial Narrow" w:hAnsi="Arial Narrow"/>
                <w:sz w:val="20"/>
              </w:rPr>
            </w:pPr>
            <w:proofErr w:type="spellStart"/>
            <w:r w:rsidRPr="00443103">
              <w:rPr>
                <w:rFonts w:ascii="Arial Narrow" w:hAnsi="Arial Narrow"/>
                <w:sz w:val="20"/>
              </w:rPr>
              <w:t>Ho</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Adherence to </w:t>
            </w:r>
            <w:r w:rsidR="006A7410" w:rsidRPr="00443103">
              <w:rPr>
                <w:rFonts w:ascii="Arial Narrow" w:hAnsi="Arial Narrow"/>
                <w:sz w:val="20"/>
              </w:rPr>
              <w:t>cardio protective</w:t>
            </w:r>
            <w:r w:rsidRPr="00443103">
              <w:rPr>
                <w:rFonts w:ascii="Arial Narrow" w:hAnsi="Arial Narrow"/>
                <w:sz w:val="20"/>
              </w:rPr>
              <w:t xml:space="preserve"> medications and mortality among patients with diabetes and ischemic heart disease.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BMC </w:t>
            </w:r>
            <w:proofErr w:type="spellStart"/>
            <w:r w:rsidRPr="00443103">
              <w:rPr>
                <w:rFonts w:ascii="Arial Narrow" w:hAnsi="Arial Narrow"/>
                <w:sz w:val="20"/>
              </w:rPr>
              <w:t>Cardiovasc</w:t>
            </w:r>
            <w:proofErr w:type="spellEnd"/>
            <w:r w:rsidRPr="00443103">
              <w:rPr>
                <w:rFonts w:ascii="Arial Narrow" w:hAnsi="Arial Narrow"/>
                <w:sz w:val="20"/>
              </w:rPr>
              <w:t xml:space="preserve"> </w:t>
            </w:r>
            <w:proofErr w:type="spellStart"/>
            <w:r w:rsidRPr="00443103">
              <w:rPr>
                <w:rFonts w:ascii="Arial Narrow" w:hAnsi="Arial Narrow"/>
                <w:sz w:val="20"/>
              </w:rPr>
              <w:t>Disord</w:t>
            </w:r>
            <w:proofErr w:type="spellEnd"/>
            <w:r w:rsidRPr="00443103">
              <w:rPr>
                <w:rFonts w:ascii="Arial Narrow" w:hAnsi="Arial Narrow"/>
                <w:sz w:val="20"/>
              </w:rPr>
              <w:t xml:space="preserve"> 2006; 6:48.</w:t>
            </w:r>
          </w:p>
        </w:tc>
      </w:tr>
      <w:tr w:rsidR="00252158" w:rsidRPr="00443103" w:rsidTr="000B6585">
        <w:tc>
          <w:tcPr>
            <w:tcW w:w="765" w:type="pct"/>
          </w:tcPr>
          <w:p w:rsidR="00252158" w:rsidRPr="00443103" w:rsidRDefault="00252158" w:rsidP="006F579A">
            <w:pPr>
              <w:jc w:val="left"/>
              <w:rPr>
                <w:rFonts w:ascii="Arial Narrow" w:hAnsi="Arial Narrow"/>
                <w:sz w:val="20"/>
              </w:rPr>
            </w:pPr>
            <w:r w:rsidRPr="00443103">
              <w:rPr>
                <w:rFonts w:ascii="Arial Narrow" w:hAnsi="Arial Narrow"/>
                <w:sz w:val="20"/>
              </w:rPr>
              <w:t xml:space="preserve">McGinnis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Statin adherence and mortality in patients enrolled in a secondary prevention program.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Am J Managed Care 2009; 15(10):689-695.</w:t>
            </w:r>
          </w:p>
        </w:tc>
      </w:tr>
      <w:tr w:rsidR="00252158" w:rsidRPr="00443103" w:rsidTr="000B6585">
        <w:tc>
          <w:tcPr>
            <w:tcW w:w="765" w:type="pct"/>
          </w:tcPr>
          <w:p w:rsidR="00252158" w:rsidRPr="00443103" w:rsidRDefault="00252158" w:rsidP="006F579A">
            <w:pPr>
              <w:jc w:val="left"/>
              <w:rPr>
                <w:rFonts w:ascii="Arial Narrow" w:hAnsi="Arial Narrow"/>
                <w:sz w:val="20"/>
              </w:rPr>
            </w:pPr>
            <w:proofErr w:type="spellStart"/>
            <w:r w:rsidRPr="00443103">
              <w:rPr>
                <w:rFonts w:ascii="Arial Narrow" w:hAnsi="Arial Narrow"/>
                <w:sz w:val="20"/>
              </w:rPr>
              <w:t>Kazerooni</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Association between statin adherence and cholesterol level reduction from baseline in a veteran population.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Pharmacotherapy 2013; 33(10):1044-1052.</w:t>
            </w:r>
          </w:p>
        </w:tc>
      </w:tr>
      <w:tr w:rsidR="00252158" w:rsidRPr="00443103" w:rsidTr="000B6585">
        <w:tc>
          <w:tcPr>
            <w:tcW w:w="765" w:type="pct"/>
          </w:tcPr>
          <w:p w:rsidR="00252158" w:rsidRPr="00443103" w:rsidRDefault="00252158" w:rsidP="006F579A">
            <w:pPr>
              <w:jc w:val="left"/>
              <w:rPr>
                <w:rFonts w:ascii="Arial Narrow" w:hAnsi="Arial Narrow"/>
                <w:sz w:val="20"/>
              </w:rPr>
            </w:pPr>
            <w:proofErr w:type="spellStart"/>
            <w:r w:rsidRPr="00443103">
              <w:rPr>
                <w:rFonts w:ascii="Arial Narrow" w:hAnsi="Arial Narrow"/>
                <w:sz w:val="20"/>
              </w:rPr>
              <w:t>Ho</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Effect of medication </w:t>
            </w:r>
            <w:proofErr w:type="spellStart"/>
            <w:r w:rsidRPr="00443103">
              <w:rPr>
                <w:rFonts w:ascii="Arial Narrow" w:hAnsi="Arial Narrow"/>
                <w:sz w:val="20"/>
              </w:rPr>
              <w:t>nonadherence</w:t>
            </w:r>
            <w:proofErr w:type="spellEnd"/>
            <w:r w:rsidRPr="00443103">
              <w:rPr>
                <w:rFonts w:ascii="Arial Narrow" w:hAnsi="Arial Narrow"/>
                <w:sz w:val="20"/>
              </w:rPr>
              <w:t xml:space="preserve"> on hospitalization and mortality among patients with diabetes mellitus.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Arch Intern Med 2006; 166(17):1836-1841.</w:t>
            </w:r>
          </w:p>
        </w:tc>
      </w:tr>
      <w:tr w:rsidR="00252158" w:rsidRPr="00443103" w:rsidTr="000B6585">
        <w:tc>
          <w:tcPr>
            <w:tcW w:w="765" w:type="pct"/>
          </w:tcPr>
          <w:p w:rsidR="00252158" w:rsidRPr="00443103" w:rsidRDefault="00252158" w:rsidP="006F579A">
            <w:pPr>
              <w:jc w:val="left"/>
              <w:rPr>
                <w:rFonts w:ascii="Arial Narrow" w:hAnsi="Arial Narrow"/>
                <w:sz w:val="20"/>
              </w:rPr>
            </w:pPr>
            <w:proofErr w:type="spellStart"/>
            <w:r w:rsidRPr="00443103">
              <w:rPr>
                <w:rFonts w:ascii="Arial Narrow" w:hAnsi="Arial Narrow"/>
                <w:sz w:val="20"/>
              </w:rPr>
              <w:t>Ho</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Impact of medication therapy discontinuation on mortality after myocardial infarction.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Arch Intern Med 2006; 166(17): 1842-1847</w:t>
            </w:r>
          </w:p>
        </w:tc>
      </w:tr>
      <w:tr w:rsidR="00252158" w:rsidRPr="00443103" w:rsidTr="000B6585">
        <w:tc>
          <w:tcPr>
            <w:tcW w:w="765" w:type="pct"/>
          </w:tcPr>
          <w:p w:rsidR="00252158" w:rsidRPr="00443103" w:rsidRDefault="00252158" w:rsidP="006F579A">
            <w:pPr>
              <w:jc w:val="left"/>
              <w:rPr>
                <w:rFonts w:ascii="Arial Narrow" w:hAnsi="Arial Narrow"/>
                <w:sz w:val="20"/>
              </w:rPr>
            </w:pPr>
            <w:r w:rsidRPr="00443103">
              <w:rPr>
                <w:rFonts w:ascii="Arial Narrow" w:hAnsi="Arial Narrow"/>
                <w:sz w:val="20"/>
              </w:rPr>
              <w:t xml:space="preserve">Parris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Adherence to statin therapy and LDL Cholesterol Goal attainment by patients with diabetes and dyslipidaemia.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Diabetes Care 2005; 28(3):595-9</w:t>
            </w:r>
          </w:p>
        </w:tc>
      </w:tr>
      <w:tr w:rsidR="00252158" w:rsidRPr="00443103" w:rsidTr="000B6585">
        <w:tc>
          <w:tcPr>
            <w:tcW w:w="765" w:type="pct"/>
          </w:tcPr>
          <w:p w:rsidR="00252158" w:rsidRPr="00443103" w:rsidRDefault="00252158" w:rsidP="006F579A">
            <w:pPr>
              <w:jc w:val="left"/>
              <w:rPr>
                <w:rFonts w:ascii="Arial Narrow" w:hAnsi="Arial Narrow"/>
                <w:sz w:val="20"/>
              </w:rPr>
            </w:pPr>
            <w:proofErr w:type="spellStart"/>
            <w:r w:rsidRPr="00443103">
              <w:rPr>
                <w:rFonts w:ascii="Arial Narrow" w:hAnsi="Arial Narrow"/>
                <w:sz w:val="20"/>
              </w:rPr>
              <w:t>Shalev</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Continuation of statin treatment and all-cause mortality.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Arch Intern Med 2009; 169(3): 260 -268.</w:t>
            </w:r>
          </w:p>
        </w:tc>
      </w:tr>
      <w:tr w:rsidR="00252158" w:rsidRPr="00443103" w:rsidTr="000B6585">
        <w:tc>
          <w:tcPr>
            <w:tcW w:w="765" w:type="pct"/>
          </w:tcPr>
          <w:p w:rsidR="00252158" w:rsidRPr="00443103" w:rsidRDefault="00252158" w:rsidP="006F579A">
            <w:pPr>
              <w:jc w:val="left"/>
              <w:rPr>
                <w:rFonts w:ascii="Arial Narrow" w:hAnsi="Arial Narrow"/>
                <w:sz w:val="20"/>
              </w:rPr>
            </w:pPr>
            <w:proofErr w:type="spellStart"/>
            <w:r w:rsidRPr="00443103">
              <w:rPr>
                <w:rFonts w:ascii="Arial Narrow" w:hAnsi="Arial Narrow"/>
                <w:sz w:val="20"/>
              </w:rPr>
              <w:t>Shalev</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Continuation of statin therapy and primary prevention of nonfatal cardiovascular events.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Am J </w:t>
            </w:r>
            <w:proofErr w:type="spellStart"/>
            <w:r w:rsidRPr="00443103">
              <w:rPr>
                <w:rFonts w:ascii="Arial Narrow" w:hAnsi="Arial Narrow"/>
                <w:sz w:val="20"/>
              </w:rPr>
              <w:t>Cardiol</w:t>
            </w:r>
            <w:proofErr w:type="spellEnd"/>
            <w:r w:rsidRPr="00443103">
              <w:rPr>
                <w:rFonts w:ascii="Arial Narrow" w:hAnsi="Arial Narrow"/>
                <w:sz w:val="20"/>
              </w:rPr>
              <w:t xml:space="preserve"> 2012; 110: 1779-</w:t>
            </w:r>
            <w:proofErr w:type="gramStart"/>
            <w:r w:rsidRPr="00443103">
              <w:rPr>
                <w:rFonts w:ascii="Arial Narrow" w:hAnsi="Arial Narrow"/>
                <w:sz w:val="20"/>
              </w:rPr>
              <w:t>1786.</w:t>
            </w:r>
            <w:proofErr w:type="gramEnd"/>
          </w:p>
        </w:tc>
      </w:tr>
      <w:tr w:rsidR="00252158" w:rsidRPr="00443103" w:rsidTr="000B6585">
        <w:tc>
          <w:tcPr>
            <w:tcW w:w="765" w:type="pct"/>
          </w:tcPr>
          <w:p w:rsidR="00252158" w:rsidRPr="00443103" w:rsidRDefault="00252158" w:rsidP="006F579A">
            <w:pPr>
              <w:jc w:val="left"/>
              <w:rPr>
                <w:rFonts w:ascii="Arial Narrow" w:hAnsi="Arial Narrow"/>
                <w:sz w:val="20"/>
              </w:rPr>
            </w:pPr>
            <w:proofErr w:type="spellStart"/>
            <w:r w:rsidRPr="00443103">
              <w:rPr>
                <w:rFonts w:ascii="Arial Narrow" w:hAnsi="Arial Narrow"/>
                <w:sz w:val="20"/>
              </w:rPr>
              <w:t>Shalev</w:t>
            </w:r>
            <w:proofErr w:type="spellEnd"/>
            <w:r w:rsidRPr="00443103">
              <w:rPr>
                <w:rFonts w:ascii="Arial Narrow" w:hAnsi="Arial Narrow"/>
                <w:sz w:val="20"/>
              </w:rPr>
              <w:t xml:space="preserve"> </w:t>
            </w:r>
          </w:p>
        </w:tc>
        <w:tc>
          <w:tcPr>
            <w:tcW w:w="3210" w:type="pct"/>
          </w:tcPr>
          <w:p w:rsidR="00252158" w:rsidRPr="00443103" w:rsidRDefault="00252158" w:rsidP="0018752F">
            <w:pPr>
              <w:jc w:val="left"/>
              <w:rPr>
                <w:rFonts w:ascii="Arial Narrow" w:hAnsi="Arial Narrow"/>
                <w:sz w:val="20"/>
              </w:rPr>
            </w:pPr>
            <w:r w:rsidRPr="00443103">
              <w:rPr>
                <w:rFonts w:ascii="Arial Narrow" w:hAnsi="Arial Narrow"/>
                <w:sz w:val="20"/>
              </w:rPr>
              <w:t xml:space="preserve">Association between persistence with statin therapy and reduction in </w:t>
            </w:r>
            <w:r w:rsidRPr="00443103">
              <w:rPr>
                <w:rFonts w:ascii="Arial Narrow" w:hAnsi="Arial Narrow"/>
                <w:sz w:val="20"/>
              </w:rPr>
              <w:lastRenderedPageBreak/>
              <w:t xml:space="preserve">Low Density Lipoprotein cholesterol level: Analysis of Real-Life data from Community Settings. </w:t>
            </w:r>
          </w:p>
        </w:tc>
        <w:tc>
          <w:tcPr>
            <w:tcW w:w="1025" w:type="pct"/>
          </w:tcPr>
          <w:p w:rsidR="00252158" w:rsidRPr="00443103" w:rsidRDefault="00252158" w:rsidP="0018752F">
            <w:pPr>
              <w:jc w:val="left"/>
              <w:rPr>
                <w:rFonts w:ascii="Arial Narrow" w:hAnsi="Arial Narrow"/>
                <w:sz w:val="20"/>
              </w:rPr>
            </w:pPr>
            <w:r w:rsidRPr="00443103">
              <w:rPr>
                <w:rFonts w:ascii="Arial Narrow" w:hAnsi="Arial Narrow"/>
                <w:sz w:val="20"/>
              </w:rPr>
              <w:lastRenderedPageBreak/>
              <w:t xml:space="preserve">Pharmacotherapy </w:t>
            </w:r>
            <w:r w:rsidRPr="00443103">
              <w:rPr>
                <w:rFonts w:ascii="Arial Narrow" w:hAnsi="Arial Narrow"/>
                <w:sz w:val="20"/>
              </w:rPr>
              <w:lastRenderedPageBreak/>
              <w:t>2014; 34(1):1-8.</w:t>
            </w:r>
          </w:p>
        </w:tc>
      </w:tr>
      <w:tr w:rsidR="00AC20B3" w:rsidRPr="00443103" w:rsidTr="000B6585">
        <w:tc>
          <w:tcPr>
            <w:tcW w:w="765" w:type="pct"/>
          </w:tcPr>
          <w:p w:rsidR="00AC20B3" w:rsidRPr="00443103" w:rsidRDefault="00AC20B3" w:rsidP="006F579A">
            <w:pPr>
              <w:jc w:val="left"/>
              <w:rPr>
                <w:rFonts w:ascii="Arial Narrow" w:hAnsi="Arial Narrow"/>
                <w:sz w:val="20"/>
              </w:rPr>
            </w:pPr>
            <w:r w:rsidRPr="00443103">
              <w:rPr>
                <w:rFonts w:ascii="Arial Narrow" w:hAnsi="Arial Narrow"/>
                <w:sz w:val="20"/>
              </w:rPr>
              <w:lastRenderedPageBreak/>
              <w:t xml:space="preserve">Simons </w:t>
            </w:r>
          </w:p>
        </w:tc>
        <w:tc>
          <w:tcPr>
            <w:tcW w:w="3210" w:type="pct"/>
          </w:tcPr>
          <w:p w:rsidR="00AC20B3" w:rsidRPr="00443103" w:rsidRDefault="00AC20B3" w:rsidP="0018752F">
            <w:pPr>
              <w:jc w:val="left"/>
              <w:rPr>
                <w:rFonts w:ascii="Arial Narrow" w:hAnsi="Arial Narrow"/>
                <w:sz w:val="20"/>
              </w:rPr>
            </w:pPr>
            <w:r w:rsidRPr="00443103">
              <w:rPr>
                <w:rFonts w:ascii="Arial Narrow" w:hAnsi="Arial Narrow"/>
                <w:sz w:val="20"/>
              </w:rPr>
              <w:t xml:space="preserve">Long term persistence with statin therapy – Experience in Australia 2006-2010. </w:t>
            </w:r>
          </w:p>
        </w:tc>
        <w:tc>
          <w:tcPr>
            <w:tcW w:w="1025" w:type="pct"/>
          </w:tcPr>
          <w:p w:rsidR="00AC20B3" w:rsidRPr="00443103" w:rsidRDefault="00AC20B3" w:rsidP="0018752F">
            <w:pPr>
              <w:jc w:val="left"/>
              <w:rPr>
                <w:rFonts w:ascii="Arial Narrow" w:hAnsi="Arial Narrow"/>
                <w:sz w:val="20"/>
              </w:rPr>
            </w:pPr>
            <w:proofErr w:type="spellStart"/>
            <w:r w:rsidRPr="00443103">
              <w:rPr>
                <w:rFonts w:ascii="Arial Narrow" w:hAnsi="Arial Narrow"/>
                <w:sz w:val="20"/>
              </w:rPr>
              <w:t>Aust</w:t>
            </w:r>
            <w:proofErr w:type="spellEnd"/>
            <w:r w:rsidRPr="00443103">
              <w:rPr>
                <w:rFonts w:ascii="Arial Narrow" w:hAnsi="Arial Narrow"/>
                <w:sz w:val="20"/>
              </w:rPr>
              <w:t xml:space="preserve"> </w:t>
            </w:r>
            <w:proofErr w:type="spellStart"/>
            <w:r w:rsidRPr="00443103">
              <w:rPr>
                <w:rFonts w:ascii="Arial Narrow" w:hAnsi="Arial Narrow"/>
                <w:sz w:val="20"/>
              </w:rPr>
              <w:t>Fam</w:t>
            </w:r>
            <w:proofErr w:type="spellEnd"/>
            <w:r w:rsidRPr="00443103">
              <w:rPr>
                <w:rFonts w:ascii="Arial Narrow" w:hAnsi="Arial Narrow"/>
                <w:sz w:val="20"/>
              </w:rPr>
              <w:t xml:space="preserve"> Physician 2011; 40(5):319-22.</w:t>
            </w:r>
          </w:p>
        </w:tc>
      </w:tr>
    </w:tbl>
    <w:p w:rsidR="001C5788" w:rsidRPr="00443103" w:rsidRDefault="008F120A" w:rsidP="000D7079">
      <w:pPr>
        <w:pStyle w:val="TableFooter"/>
        <w:ind w:left="720"/>
      </w:pPr>
      <w:r w:rsidRPr="00443103">
        <w:t xml:space="preserve">Source: </w:t>
      </w:r>
      <w:r w:rsidR="005A7ADB" w:rsidRPr="00443103">
        <w:t>Table</w:t>
      </w:r>
      <w:r w:rsidR="000D7079" w:rsidRPr="00443103">
        <w:t>s</w:t>
      </w:r>
      <w:r w:rsidR="005A7ADB" w:rsidRPr="00443103">
        <w:t xml:space="preserve"> B.1.1-2 (p14)</w:t>
      </w:r>
      <w:r w:rsidR="000D7079" w:rsidRPr="00443103">
        <w:t>, B.2-3 (p33), B.2-5 (p35), B.2-6 (p35</w:t>
      </w:r>
      <w:r w:rsidR="00651C50" w:rsidRPr="00443103">
        <w:t>)</w:t>
      </w:r>
      <w:r w:rsidR="00CE639B" w:rsidRPr="00443103">
        <w:t>,</w:t>
      </w:r>
      <w:r w:rsidR="00651C50" w:rsidRPr="00443103">
        <w:t xml:space="preserve"> </w:t>
      </w:r>
      <w:r w:rsidR="00CE639B" w:rsidRPr="00443103">
        <w:t>B.5-2 (pp86-7),</w:t>
      </w:r>
      <w:r w:rsidR="008C4B61" w:rsidRPr="00443103">
        <w:t xml:space="preserve"> </w:t>
      </w:r>
      <w:r w:rsidR="00CE639B" w:rsidRPr="00443103">
        <w:t xml:space="preserve">and B.5-4 (p89) </w:t>
      </w:r>
      <w:r w:rsidR="005A7ADB" w:rsidRPr="00443103">
        <w:t xml:space="preserve">of the submission. </w:t>
      </w:r>
    </w:p>
    <w:p w:rsidR="00E27F85" w:rsidRPr="00F6481B" w:rsidRDefault="00E27F85" w:rsidP="00F6481B">
      <w:pPr>
        <w:widowControl/>
        <w:rPr>
          <w:szCs w:val="22"/>
        </w:rPr>
      </w:pPr>
    </w:p>
    <w:p w:rsidR="00C0110B" w:rsidRPr="00C0110B" w:rsidRDefault="00C0110B" w:rsidP="00C0110B">
      <w:pPr>
        <w:pStyle w:val="ListParagraph"/>
        <w:widowControl/>
        <w:numPr>
          <w:ilvl w:val="1"/>
          <w:numId w:val="3"/>
        </w:numPr>
        <w:rPr>
          <w:szCs w:val="22"/>
        </w:rPr>
      </w:pPr>
      <w:r w:rsidRPr="00C0110B">
        <w:rPr>
          <w:szCs w:val="22"/>
        </w:rPr>
        <w:t xml:space="preserve">The </w:t>
      </w:r>
      <w:proofErr w:type="spellStart"/>
      <w:r w:rsidRPr="00C0110B">
        <w:rPr>
          <w:szCs w:val="22"/>
        </w:rPr>
        <w:t>Vytorin</w:t>
      </w:r>
      <w:proofErr w:type="spellEnd"/>
      <w:r w:rsidRPr="00C0110B">
        <w:rPr>
          <w:szCs w:val="22"/>
        </w:rPr>
        <w:t xml:space="preserve"> Compliance Study IV use</w:t>
      </w:r>
      <w:r w:rsidR="00383440">
        <w:rPr>
          <w:szCs w:val="22"/>
        </w:rPr>
        <w:t>d</w:t>
      </w:r>
      <w:r w:rsidRPr="00C0110B">
        <w:rPr>
          <w:szCs w:val="22"/>
        </w:rPr>
        <w:t xml:space="preserve"> the 10% Medicare sample (claims database) </w:t>
      </w:r>
      <w:r w:rsidR="00B63C9E">
        <w:rPr>
          <w:szCs w:val="22"/>
        </w:rPr>
        <w:t>and</w:t>
      </w:r>
      <w:r w:rsidRPr="00C0110B">
        <w:rPr>
          <w:szCs w:val="22"/>
        </w:rPr>
        <w:t xml:space="preserve"> was designed to:</w:t>
      </w:r>
    </w:p>
    <w:p w:rsidR="00C0110B" w:rsidRPr="00C0110B" w:rsidRDefault="00C0110B" w:rsidP="00F6481B">
      <w:pPr>
        <w:pStyle w:val="ListParagraph"/>
        <w:widowControl/>
        <w:numPr>
          <w:ilvl w:val="0"/>
          <w:numId w:val="8"/>
        </w:numPr>
        <w:ind w:left="993" w:hanging="284"/>
        <w:rPr>
          <w:szCs w:val="22"/>
        </w:rPr>
      </w:pPr>
      <w:r w:rsidRPr="00C0110B">
        <w:rPr>
          <w:szCs w:val="22"/>
        </w:rPr>
        <w:t xml:space="preserve">Measure the adherence characteristics of </w:t>
      </w:r>
      <w:proofErr w:type="spellStart"/>
      <w:r w:rsidRPr="00C0110B">
        <w:rPr>
          <w:szCs w:val="22"/>
        </w:rPr>
        <w:t>Vytorin</w:t>
      </w:r>
      <w:proofErr w:type="spellEnd"/>
      <w:r w:rsidRPr="00C0110B">
        <w:rPr>
          <w:szCs w:val="22"/>
        </w:rPr>
        <w:t xml:space="preserve"> using medication possession ratio (MPR) and continuous measure of medication gaps (CMG) versus concomitant therapy in the same patient (Cohort 1).</w:t>
      </w:r>
    </w:p>
    <w:p w:rsidR="00C0110B" w:rsidRDefault="00C0110B" w:rsidP="00F6481B">
      <w:pPr>
        <w:pStyle w:val="ListParagraph"/>
        <w:widowControl/>
        <w:numPr>
          <w:ilvl w:val="0"/>
          <w:numId w:val="8"/>
        </w:numPr>
        <w:ind w:left="993" w:hanging="284"/>
        <w:rPr>
          <w:szCs w:val="22"/>
        </w:rPr>
      </w:pPr>
      <w:r w:rsidRPr="00C0110B">
        <w:rPr>
          <w:szCs w:val="22"/>
        </w:rPr>
        <w:t xml:space="preserve">Measure persistence to </w:t>
      </w:r>
      <w:proofErr w:type="spellStart"/>
      <w:r w:rsidRPr="00C0110B">
        <w:rPr>
          <w:szCs w:val="22"/>
        </w:rPr>
        <w:t>Vytorin</w:t>
      </w:r>
      <w:proofErr w:type="spellEnd"/>
      <w:r w:rsidRPr="00C0110B">
        <w:rPr>
          <w:szCs w:val="22"/>
        </w:rPr>
        <w:t xml:space="preserve"> compared to concomitant therapies, accounting for switching (Cohort 2).</w:t>
      </w:r>
    </w:p>
    <w:p w:rsidR="00240602" w:rsidRPr="00F6481B" w:rsidRDefault="00240602" w:rsidP="00F6481B">
      <w:pPr>
        <w:widowControl/>
        <w:rPr>
          <w:szCs w:val="22"/>
        </w:rPr>
      </w:pPr>
    </w:p>
    <w:p w:rsidR="00240602" w:rsidRPr="00720B27" w:rsidRDefault="00981234" w:rsidP="00240602">
      <w:pPr>
        <w:pStyle w:val="ListParagraph"/>
        <w:numPr>
          <w:ilvl w:val="1"/>
          <w:numId w:val="3"/>
        </w:numPr>
        <w:rPr>
          <w:szCs w:val="22"/>
        </w:rPr>
      </w:pPr>
      <w:r>
        <w:rPr>
          <w:szCs w:val="22"/>
        </w:rPr>
        <w:t>The submission used d</w:t>
      </w:r>
      <w:r w:rsidR="00240602" w:rsidRPr="00720B27">
        <w:rPr>
          <w:szCs w:val="22"/>
        </w:rPr>
        <w:t xml:space="preserve">ata from a subgroup of approximately 1,200 patients who met the criteria for inclusion into Cohort 1 </w:t>
      </w:r>
      <w:r w:rsidR="00CF0515">
        <w:rPr>
          <w:szCs w:val="22"/>
        </w:rPr>
        <w:t xml:space="preserve">was used </w:t>
      </w:r>
      <w:r w:rsidR="00240602" w:rsidRPr="00720B27">
        <w:rPr>
          <w:szCs w:val="22"/>
        </w:rPr>
        <w:t xml:space="preserve">to characterise the current levels of adherence to </w:t>
      </w:r>
      <w:proofErr w:type="spellStart"/>
      <w:r w:rsidR="00240602" w:rsidRPr="00720B27">
        <w:rPr>
          <w:szCs w:val="22"/>
        </w:rPr>
        <w:t>Vytorin</w:t>
      </w:r>
      <w:proofErr w:type="spellEnd"/>
      <w:r w:rsidR="00240602">
        <w:rPr>
          <w:szCs w:val="22"/>
        </w:rPr>
        <w:t xml:space="preserve"> </w:t>
      </w:r>
      <w:r w:rsidR="00240602" w:rsidRPr="00720B27">
        <w:rPr>
          <w:szCs w:val="22"/>
        </w:rPr>
        <w:t>The study use</w:t>
      </w:r>
      <w:r w:rsidR="00383440">
        <w:rPr>
          <w:szCs w:val="22"/>
        </w:rPr>
        <w:t>d</w:t>
      </w:r>
      <w:r w:rsidR="00240602" w:rsidRPr="00720B27">
        <w:rPr>
          <w:szCs w:val="22"/>
        </w:rPr>
        <w:t xml:space="preserve"> a before and after study design, with two measures of adherence (CMG and MPR). Patients were included in Cohort 1 if they were on concomitant ezetimibe with a statin ‘immediately prior’ to receiving </w:t>
      </w:r>
      <w:proofErr w:type="spellStart"/>
      <w:r w:rsidR="00240602" w:rsidRPr="00720B27">
        <w:rPr>
          <w:szCs w:val="22"/>
        </w:rPr>
        <w:t>Vytorin</w:t>
      </w:r>
      <w:proofErr w:type="spellEnd"/>
      <w:r w:rsidR="00240602" w:rsidRPr="00720B27">
        <w:rPr>
          <w:szCs w:val="22"/>
        </w:rPr>
        <w:t xml:space="preserve">. Thus, the comparison </w:t>
      </w:r>
      <w:r w:rsidR="00383440">
        <w:rPr>
          <w:szCs w:val="22"/>
        </w:rPr>
        <w:t>wa</w:t>
      </w:r>
      <w:r w:rsidR="00240602" w:rsidRPr="00720B27">
        <w:rPr>
          <w:szCs w:val="22"/>
        </w:rPr>
        <w:t xml:space="preserve">s concomitant ezetimibe and statin prior to switching (referred to as the pre-period) versus </w:t>
      </w:r>
      <w:proofErr w:type="spellStart"/>
      <w:r w:rsidR="00240602" w:rsidRPr="00720B27">
        <w:rPr>
          <w:szCs w:val="22"/>
        </w:rPr>
        <w:t>Vytorin</w:t>
      </w:r>
      <w:proofErr w:type="spellEnd"/>
      <w:r w:rsidR="00240602" w:rsidRPr="00720B27">
        <w:rPr>
          <w:szCs w:val="22"/>
        </w:rPr>
        <w:t xml:space="preserve"> after the switch (referred to as the post-period).</w:t>
      </w:r>
    </w:p>
    <w:p w:rsidR="00240602" w:rsidRPr="00F6481B" w:rsidRDefault="00240602" w:rsidP="00240602">
      <w:pPr>
        <w:widowControl/>
        <w:rPr>
          <w:szCs w:val="22"/>
        </w:rPr>
      </w:pPr>
    </w:p>
    <w:p w:rsidR="00240602" w:rsidRPr="0018676B" w:rsidRDefault="00240602" w:rsidP="00240602">
      <w:pPr>
        <w:pStyle w:val="ListParagraph"/>
        <w:widowControl/>
        <w:numPr>
          <w:ilvl w:val="1"/>
          <w:numId w:val="3"/>
        </w:numPr>
        <w:rPr>
          <w:szCs w:val="22"/>
        </w:rPr>
      </w:pPr>
      <w:r w:rsidRPr="00720B27">
        <w:rPr>
          <w:szCs w:val="22"/>
        </w:rPr>
        <w:t>The submission state</w:t>
      </w:r>
      <w:r w:rsidR="00383440">
        <w:rPr>
          <w:szCs w:val="22"/>
        </w:rPr>
        <w:t>d</w:t>
      </w:r>
      <w:r w:rsidRPr="00720B27">
        <w:rPr>
          <w:szCs w:val="22"/>
        </w:rPr>
        <w:t xml:space="preserve"> that the advice under </w:t>
      </w:r>
      <w:r>
        <w:rPr>
          <w:szCs w:val="22"/>
        </w:rPr>
        <w:t>subs</w:t>
      </w:r>
      <w:r w:rsidRPr="00720B27">
        <w:rPr>
          <w:szCs w:val="22"/>
        </w:rPr>
        <w:t xml:space="preserve">ection 101(4AC) of the </w:t>
      </w:r>
      <w:r>
        <w:rPr>
          <w:szCs w:val="22"/>
        </w:rPr>
        <w:t xml:space="preserve">Act </w:t>
      </w:r>
      <w:r w:rsidRPr="00720B27">
        <w:rPr>
          <w:szCs w:val="22"/>
        </w:rPr>
        <w:t xml:space="preserve">refers to a significant improvement in compliance in some patients. Therefore, the sponsor further selected a sub-population </w:t>
      </w:r>
      <w:r>
        <w:rPr>
          <w:szCs w:val="22"/>
        </w:rPr>
        <w:t xml:space="preserve">of Cohort 1 </w:t>
      </w:r>
      <w:r w:rsidRPr="00720B27">
        <w:rPr>
          <w:szCs w:val="22"/>
        </w:rPr>
        <w:t xml:space="preserve">with &lt;85% in MPR </w:t>
      </w:r>
      <w:r w:rsidR="00B2131C">
        <w:rPr>
          <w:szCs w:val="22"/>
        </w:rPr>
        <w:t xml:space="preserve">to a statin </w:t>
      </w:r>
      <w:r w:rsidRPr="00720B27">
        <w:rPr>
          <w:szCs w:val="22"/>
        </w:rPr>
        <w:t>(n=304) or CMG (n=500) as the population at need of improved compliance</w:t>
      </w:r>
      <w:r>
        <w:rPr>
          <w:szCs w:val="22"/>
        </w:rPr>
        <w:t>. The submission also then analyse</w:t>
      </w:r>
      <w:r w:rsidR="0018676B">
        <w:rPr>
          <w:szCs w:val="22"/>
        </w:rPr>
        <w:t>d</w:t>
      </w:r>
      <w:r>
        <w:rPr>
          <w:szCs w:val="22"/>
        </w:rPr>
        <w:t xml:space="preserve"> MPR and CMG </w:t>
      </w:r>
      <w:r w:rsidR="00CF0515">
        <w:rPr>
          <w:szCs w:val="22"/>
        </w:rPr>
        <w:t xml:space="preserve">by patient age </w:t>
      </w:r>
      <w:r w:rsidRPr="0018676B">
        <w:rPr>
          <w:szCs w:val="22"/>
        </w:rPr>
        <w:t>in each of these subgroups.</w:t>
      </w:r>
    </w:p>
    <w:p w:rsidR="00240602" w:rsidRPr="00F6481B" w:rsidRDefault="00240602" w:rsidP="00240602">
      <w:pPr>
        <w:rPr>
          <w:szCs w:val="22"/>
        </w:rPr>
      </w:pPr>
    </w:p>
    <w:p w:rsidR="00240602" w:rsidRDefault="00240602" w:rsidP="00240602">
      <w:pPr>
        <w:pStyle w:val="ListParagraph"/>
        <w:widowControl/>
        <w:numPr>
          <w:ilvl w:val="1"/>
          <w:numId w:val="3"/>
        </w:numPr>
        <w:rPr>
          <w:szCs w:val="22"/>
        </w:rPr>
      </w:pPr>
      <w:r w:rsidRPr="00136EC2">
        <w:rPr>
          <w:szCs w:val="22"/>
        </w:rPr>
        <w:t>The persistence analysis was conducted in a different cohort to the adherence analysis (Cohort 2</w:t>
      </w:r>
      <w:r w:rsidR="00F6481B">
        <w:rPr>
          <w:szCs w:val="22"/>
        </w:rPr>
        <w:t>, n=</w:t>
      </w:r>
      <w:r>
        <w:rPr>
          <w:szCs w:val="22"/>
        </w:rPr>
        <w:t>16,594</w:t>
      </w:r>
      <w:r w:rsidRPr="00136EC2">
        <w:rPr>
          <w:szCs w:val="22"/>
        </w:rPr>
        <w:t xml:space="preserve">). The analysis was aimed at measuring how long patients remain on therapy and the differences in persistence based on the last form of ezetimibe dispensed (i.e. </w:t>
      </w:r>
      <w:proofErr w:type="spellStart"/>
      <w:r w:rsidRPr="00136EC2">
        <w:rPr>
          <w:szCs w:val="22"/>
        </w:rPr>
        <w:t>Vytorin</w:t>
      </w:r>
      <w:proofErr w:type="spellEnd"/>
      <w:r w:rsidRPr="00136EC2">
        <w:rPr>
          <w:szCs w:val="22"/>
        </w:rPr>
        <w:t xml:space="preserve"> or ezetimibe as </w:t>
      </w:r>
      <w:proofErr w:type="spellStart"/>
      <w:r w:rsidRPr="00136EC2">
        <w:rPr>
          <w:szCs w:val="22"/>
        </w:rPr>
        <w:t>Ezetrol</w:t>
      </w:r>
      <w:proofErr w:type="spellEnd"/>
      <w:r w:rsidRPr="00136EC2">
        <w:rPr>
          <w:szCs w:val="22"/>
        </w:rPr>
        <w:t>).</w:t>
      </w:r>
    </w:p>
    <w:p w:rsidR="00240602" w:rsidRPr="00F6481B" w:rsidRDefault="00240602" w:rsidP="00F6481B">
      <w:pPr>
        <w:widowControl/>
        <w:rPr>
          <w:szCs w:val="22"/>
        </w:rPr>
      </w:pPr>
    </w:p>
    <w:p w:rsidR="00844EA1" w:rsidRDefault="008F120A" w:rsidP="008D11C6">
      <w:pPr>
        <w:pStyle w:val="ListParagraph"/>
        <w:widowControl/>
        <w:numPr>
          <w:ilvl w:val="1"/>
          <w:numId w:val="3"/>
        </w:numPr>
        <w:rPr>
          <w:szCs w:val="22"/>
        </w:rPr>
      </w:pPr>
      <w:r w:rsidRPr="00443103">
        <w:rPr>
          <w:szCs w:val="22"/>
        </w:rPr>
        <w:t xml:space="preserve">The key features of the </w:t>
      </w:r>
      <w:proofErr w:type="spellStart"/>
      <w:r w:rsidR="00894771" w:rsidRPr="00443103">
        <w:rPr>
          <w:szCs w:val="22"/>
        </w:rPr>
        <w:t>Vytorin</w:t>
      </w:r>
      <w:proofErr w:type="spellEnd"/>
      <w:r w:rsidR="00894771" w:rsidRPr="00443103">
        <w:rPr>
          <w:szCs w:val="22"/>
        </w:rPr>
        <w:t xml:space="preserve"> Compliance Study IV and the market survey</w:t>
      </w:r>
      <w:r w:rsidR="00117181">
        <w:rPr>
          <w:szCs w:val="22"/>
        </w:rPr>
        <w:t xml:space="preserve"> </w:t>
      </w:r>
      <w:r w:rsidRPr="00443103">
        <w:rPr>
          <w:szCs w:val="22"/>
        </w:rPr>
        <w:t>are</w:t>
      </w:r>
      <w:r w:rsidR="00F6481B">
        <w:rPr>
          <w:szCs w:val="22"/>
        </w:rPr>
        <w:t xml:space="preserve"> summarised in the table below.</w:t>
      </w:r>
    </w:p>
    <w:p w:rsidR="00844EA1" w:rsidRPr="00F6481B" w:rsidRDefault="00844EA1" w:rsidP="00844EA1">
      <w:pPr>
        <w:widowControl/>
        <w:rPr>
          <w:rStyle w:val="CommentReference"/>
          <w:rFonts w:ascii="Arial" w:hAnsi="Arial"/>
          <w:b w:val="0"/>
          <w:sz w:val="22"/>
          <w:szCs w:val="22"/>
        </w:rPr>
      </w:pPr>
    </w:p>
    <w:p w:rsidR="00131842" w:rsidRPr="00844EA1" w:rsidRDefault="00131842" w:rsidP="00C0110B">
      <w:pPr>
        <w:pStyle w:val="ListParagraph"/>
        <w:widowControl/>
        <w:rPr>
          <w:rStyle w:val="CommentReference"/>
          <w:rFonts w:ascii="Arial" w:hAnsi="Arial"/>
          <w:b w:val="0"/>
          <w:sz w:val="22"/>
          <w:szCs w:val="22"/>
        </w:rPr>
      </w:pPr>
      <w:r w:rsidRPr="00443103">
        <w:rPr>
          <w:rStyle w:val="CommentReference"/>
        </w:rPr>
        <w:t>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5"/>
        <w:gridCol w:w="640"/>
        <w:gridCol w:w="1059"/>
        <w:gridCol w:w="713"/>
        <w:gridCol w:w="2974"/>
        <w:gridCol w:w="1422"/>
      </w:tblGrid>
      <w:tr w:rsidR="00131842" w:rsidRPr="00443103" w:rsidTr="00003C7E">
        <w:tc>
          <w:tcPr>
            <w:tcW w:w="930" w:type="pct"/>
            <w:shd w:val="clear" w:color="auto" w:fill="auto"/>
            <w:vAlign w:val="center"/>
          </w:tcPr>
          <w:p w:rsidR="00131842" w:rsidRPr="00443103" w:rsidRDefault="00131842" w:rsidP="00003C7E">
            <w:pPr>
              <w:jc w:val="left"/>
              <w:rPr>
                <w:rFonts w:ascii="Arial Narrow" w:hAnsi="Arial Narrow"/>
                <w:b/>
                <w:sz w:val="20"/>
                <w:lang w:val="en-US"/>
              </w:rPr>
            </w:pPr>
            <w:r w:rsidRPr="00443103">
              <w:rPr>
                <w:rFonts w:ascii="Arial Narrow" w:hAnsi="Arial Narrow"/>
                <w:b/>
                <w:sz w:val="20"/>
                <w:lang w:val="en-US"/>
              </w:rPr>
              <w:t>Study</w:t>
            </w:r>
          </w:p>
        </w:tc>
        <w:tc>
          <w:tcPr>
            <w:tcW w:w="383" w:type="pct"/>
            <w:shd w:val="clear" w:color="auto" w:fill="auto"/>
            <w:vAlign w:val="center"/>
          </w:tcPr>
          <w:p w:rsidR="00131842" w:rsidRPr="00443103" w:rsidRDefault="00131842" w:rsidP="00003C7E">
            <w:pPr>
              <w:jc w:val="center"/>
              <w:rPr>
                <w:rFonts w:ascii="Arial Narrow" w:hAnsi="Arial Narrow"/>
                <w:b/>
                <w:sz w:val="20"/>
                <w:lang w:val="en-US"/>
              </w:rPr>
            </w:pPr>
            <w:r w:rsidRPr="00443103">
              <w:rPr>
                <w:rFonts w:ascii="Arial Narrow" w:hAnsi="Arial Narrow"/>
                <w:b/>
                <w:sz w:val="20"/>
                <w:lang w:val="en-US"/>
              </w:rPr>
              <w:t>N</w:t>
            </w:r>
          </w:p>
        </w:tc>
        <w:tc>
          <w:tcPr>
            <w:tcW w:w="633" w:type="pct"/>
            <w:shd w:val="clear" w:color="auto" w:fill="auto"/>
            <w:vAlign w:val="center"/>
          </w:tcPr>
          <w:p w:rsidR="00131842" w:rsidRPr="00443103" w:rsidRDefault="00131842" w:rsidP="00003C7E">
            <w:pPr>
              <w:jc w:val="center"/>
              <w:rPr>
                <w:rFonts w:ascii="Arial Narrow" w:hAnsi="Arial Narrow"/>
                <w:b/>
                <w:sz w:val="20"/>
                <w:lang w:val="en-US"/>
              </w:rPr>
            </w:pPr>
            <w:r w:rsidRPr="00443103">
              <w:rPr>
                <w:rFonts w:ascii="Arial Narrow" w:hAnsi="Arial Narrow"/>
                <w:b/>
                <w:sz w:val="20"/>
                <w:lang w:val="en-US"/>
              </w:rPr>
              <w:t>Design/ duration</w:t>
            </w:r>
          </w:p>
        </w:tc>
        <w:tc>
          <w:tcPr>
            <w:tcW w:w="426" w:type="pct"/>
            <w:shd w:val="clear" w:color="auto" w:fill="auto"/>
            <w:vAlign w:val="center"/>
          </w:tcPr>
          <w:p w:rsidR="00131842" w:rsidRPr="00443103" w:rsidRDefault="00131842" w:rsidP="00003C7E">
            <w:pPr>
              <w:jc w:val="center"/>
              <w:rPr>
                <w:rFonts w:ascii="Arial Narrow" w:hAnsi="Arial Narrow"/>
                <w:b/>
                <w:sz w:val="20"/>
                <w:lang w:val="en-US"/>
              </w:rPr>
            </w:pPr>
            <w:r w:rsidRPr="00443103">
              <w:rPr>
                <w:rFonts w:ascii="Arial Narrow" w:hAnsi="Arial Narrow"/>
                <w:b/>
                <w:sz w:val="20"/>
                <w:lang w:val="en-US"/>
              </w:rPr>
              <w:t>Risk of bias</w:t>
            </w:r>
          </w:p>
        </w:tc>
        <w:tc>
          <w:tcPr>
            <w:tcW w:w="1778" w:type="pct"/>
            <w:shd w:val="clear" w:color="auto" w:fill="auto"/>
            <w:vAlign w:val="center"/>
          </w:tcPr>
          <w:p w:rsidR="00131842" w:rsidRPr="00443103" w:rsidRDefault="00131842" w:rsidP="00003C7E">
            <w:pPr>
              <w:jc w:val="center"/>
              <w:rPr>
                <w:rFonts w:ascii="Arial Narrow" w:hAnsi="Arial Narrow"/>
                <w:b/>
                <w:sz w:val="20"/>
                <w:lang w:val="en-US"/>
              </w:rPr>
            </w:pPr>
            <w:r w:rsidRPr="00443103">
              <w:rPr>
                <w:rFonts w:ascii="Arial Narrow" w:hAnsi="Arial Narrow"/>
                <w:b/>
                <w:sz w:val="20"/>
                <w:lang w:val="en-US"/>
              </w:rPr>
              <w:t>Population</w:t>
            </w:r>
          </w:p>
        </w:tc>
        <w:tc>
          <w:tcPr>
            <w:tcW w:w="850" w:type="pct"/>
            <w:shd w:val="clear" w:color="auto" w:fill="auto"/>
            <w:vAlign w:val="center"/>
          </w:tcPr>
          <w:p w:rsidR="00131842" w:rsidRPr="00443103" w:rsidRDefault="00131842" w:rsidP="00003C7E">
            <w:pPr>
              <w:jc w:val="center"/>
              <w:rPr>
                <w:rFonts w:ascii="Arial Narrow" w:hAnsi="Arial Narrow"/>
                <w:b/>
                <w:sz w:val="20"/>
                <w:lang w:val="en-US"/>
              </w:rPr>
            </w:pPr>
            <w:r w:rsidRPr="00443103">
              <w:rPr>
                <w:rFonts w:ascii="Arial Narrow" w:hAnsi="Arial Narrow"/>
                <w:b/>
                <w:sz w:val="20"/>
                <w:lang w:val="en-US"/>
              </w:rPr>
              <w:t>Outcome</w:t>
            </w:r>
          </w:p>
        </w:tc>
      </w:tr>
      <w:tr w:rsidR="00131842" w:rsidRPr="00443103" w:rsidTr="00003C7E">
        <w:tc>
          <w:tcPr>
            <w:tcW w:w="5000" w:type="pct"/>
            <w:gridSpan w:val="6"/>
            <w:shd w:val="clear" w:color="auto" w:fill="auto"/>
            <w:vAlign w:val="center"/>
          </w:tcPr>
          <w:p w:rsidR="00131842" w:rsidRPr="00443103" w:rsidRDefault="00131842" w:rsidP="00003C7E">
            <w:pPr>
              <w:jc w:val="left"/>
              <w:rPr>
                <w:rFonts w:ascii="Arial Narrow" w:hAnsi="Arial Narrow"/>
                <w:b/>
                <w:sz w:val="20"/>
                <w:lang w:val="en-US"/>
              </w:rPr>
            </w:pPr>
            <w:proofErr w:type="spellStart"/>
            <w:r w:rsidRPr="00443103">
              <w:rPr>
                <w:rFonts w:ascii="Arial Narrow" w:hAnsi="Arial Narrow"/>
                <w:b/>
                <w:sz w:val="20"/>
              </w:rPr>
              <w:t>Vytorin</w:t>
            </w:r>
            <w:proofErr w:type="spellEnd"/>
            <w:r w:rsidRPr="00443103">
              <w:rPr>
                <w:rFonts w:ascii="Arial Narrow" w:hAnsi="Arial Narrow"/>
                <w:b/>
                <w:sz w:val="20"/>
                <w:vertAlign w:val="superscript"/>
              </w:rPr>
              <w:t xml:space="preserve">® </w:t>
            </w:r>
            <w:r w:rsidRPr="00443103">
              <w:rPr>
                <w:rFonts w:ascii="Arial Narrow" w:hAnsi="Arial Narrow"/>
                <w:b/>
                <w:sz w:val="20"/>
              </w:rPr>
              <w:t>Compliance Study IV</w:t>
            </w:r>
          </w:p>
        </w:tc>
      </w:tr>
      <w:tr w:rsidR="002F5B40" w:rsidRPr="00443103" w:rsidTr="00003C7E">
        <w:tc>
          <w:tcPr>
            <w:tcW w:w="930" w:type="pct"/>
            <w:shd w:val="clear" w:color="auto" w:fill="auto"/>
            <w:vAlign w:val="center"/>
          </w:tcPr>
          <w:p w:rsidR="002F5B40" w:rsidRPr="00443103" w:rsidRDefault="002F5B40" w:rsidP="00207162">
            <w:pPr>
              <w:jc w:val="left"/>
              <w:rPr>
                <w:rFonts w:ascii="Arial Narrow" w:hAnsi="Arial Narrow"/>
                <w:sz w:val="20"/>
              </w:rPr>
            </w:pPr>
            <w:r w:rsidRPr="00443103">
              <w:rPr>
                <w:rFonts w:ascii="Arial Narrow" w:hAnsi="Arial Narrow"/>
                <w:sz w:val="20"/>
              </w:rPr>
              <w:t xml:space="preserve">Cohort 1 - Current MPR </w:t>
            </w:r>
          </w:p>
        </w:tc>
        <w:tc>
          <w:tcPr>
            <w:tcW w:w="383" w:type="pct"/>
            <w:shd w:val="clear" w:color="auto" w:fill="auto"/>
            <w:vAlign w:val="center"/>
          </w:tcPr>
          <w:p w:rsidR="002F5B40" w:rsidRPr="00443103" w:rsidRDefault="002F5B40" w:rsidP="00003C7E">
            <w:pPr>
              <w:jc w:val="center"/>
              <w:rPr>
                <w:rFonts w:ascii="Arial Narrow" w:hAnsi="Arial Narrow"/>
                <w:sz w:val="20"/>
                <w:vertAlign w:val="superscript"/>
                <w:lang w:val="en-US"/>
              </w:rPr>
            </w:pPr>
            <w:r w:rsidRPr="00443103">
              <w:rPr>
                <w:rFonts w:ascii="Arial Narrow" w:hAnsi="Arial Narrow"/>
                <w:sz w:val="20"/>
                <w:lang w:val="en-US"/>
              </w:rPr>
              <w:t>1,230</w:t>
            </w:r>
            <w:r w:rsidR="000E7BC9" w:rsidRPr="00443103">
              <w:rPr>
                <w:rFonts w:ascii="Arial Narrow" w:hAnsi="Arial Narrow"/>
                <w:sz w:val="20"/>
                <w:vertAlign w:val="superscript"/>
                <w:lang w:val="en-US"/>
              </w:rPr>
              <w:t>b</w:t>
            </w:r>
          </w:p>
        </w:tc>
        <w:tc>
          <w:tcPr>
            <w:tcW w:w="633" w:type="pct"/>
            <w:vMerge w:val="restart"/>
            <w:shd w:val="clear" w:color="auto" w:fill="auto"/>
            <w:vAlign w:val="center"/>
          </w:tcPr>
          <w:p w:rsidR="002F5B40" w:rsidRPr="00443103" w:rsidRDefault="002F5B40" w:rsidP="00003C7E">
            <w:pPr>
              <w:jc w:val="center"/>
              <w:rPr>
                <w:rFonts w:ascii="Arial Narrow" w:hAnsi="Arial Narrow"/>
                <w:sz w:val="20"/>
                <w:lang w:val="en-US"/>
              </w:rPr>
            </w:pPr>
            <w:r w:rsidRPr="00443103">
              <w:rPr>
                <w:rFonts w:ascii="Arial Narrow" w:hAnsi="Arial Narrow"/>
                <w:sz w:val="20"/>
                <w:lang w:val="en-US"/>
              </w:rPr>
              <w:t>Retrospective historical cohort (10% Medicare sample);</w:t>
            </w:r>
          </w:p>
          <w:p w:rsidR="002F5B40" w:rsidRPr="00443103" w:rsidRDefault="002F5B40" w:rsidP="00003C7E">
            <w:pPr>
              <w:jc w:val="center"/>
              <w:rPr>
                <w:rFonts w:ascii="Arial Narrow" w:hAnsi="Arial Narrow"/>
                <w:sz w:val="20"/>
                <w:vertAlign w:val="superscript"/>
                <w:lang w:val="en-US"/>
              </w:rPr>
            </w:pPr>
            <w:r w:rsidRPr="00443103">
              <w:rPr>
                <w:rFonts w:ascii="Arial Narrow" w:hAnsi="Arial Narrow"/>
                <w:sz w:val="20"/>
                <w:lang w:val="en-US"/>
              </w:rPr>
              <w:t>reported as between 2006 and 2013</w:t>
            </w:r>
            <w:r w:rsidRPr="00443103">
              <w:rPr>
                <w:rFonts w:ascii="Arial Narrow" w:hAnsi="Arial Narrow"/>
                <w:sz w:val="20"/>
                <w:vertAlign w:val="superscript"/>
                <w:lang w:val="en-US"/>
              </w:rPr>
              <w:t>a</w:t>
            </w:r>
          </w:p>
        </w:tc>
        <w:tc>
          <w:tcPr>
            <w:tcW w:w="426" w:type="pct"/>
            <w:vMerge w:val="restart"/>
            <w:shd w:val="clear" w:color="auto" w:fill="auto"/>
            <w:vAlign w:val="center"/>
          </w:tcPr>
          <w:p w:rsidR="002F5B40" w:rsidRPr="00443103" w:rsidRDefault="002F5B40" w:rsidP="00F6481B">
            <w:pPr>
              <w:jc w:val="center"/>
              <w:rPr>
                <w:rFonts w:ascii="Arial Narrow" w:hAnsi="Arial Narrow"/>
                <w:sz w:val="20"/>
                <w:lang w:val="en-US"/>
              </w:rPr>
            </w:pPr>
            <w:r w:rsidRPr="00443103">
              <w:rPr>
                <w:rFonts w:ascii="Arial Narrow" w:hAnsi="Arial Narrow"/>
                <w:sz w:val="20"/>
                <w:lang w:val="en-US"/>
              </w:rPr>
              <w:t>High</w:t>
            </w:r>
          </w:p>
        </w:tc>
        <w:tc>
          <w:tcPr>
            <w:tcW w:w="1778" w:type="pct"/>
            <w:shd w:val="clear" w:color="auto" w:fill="auto"/>
            <w:vAlign w:val="center"/>
          </w:tcPr>
          <w:p w:rsidR="002F5B40" w:rsidRPr="00443103" w:rsidRDefault="002F5B40" w:rsidP="00003C7E">
            <w:pPr>
              <w:jc w:val="center"/>
              <w:rPr>
                <w:rFonts w:ascii="Arial Narrow" w:hAnsi="Arial Narrow"/>
                <w:sz w:val="20"/>
                <w:lang w:val="en-US"/>
              </w:rPr>
            </w:pPr>
            <w:r w:rsidRPr="00443103">
              <w:rPr>
                <w:rFonts w:ascii="Arial Narrow" w:hAnsi="Arial Narrow"/>
                <w:sz w:val="20"/>
                <w:lang w:val="en-US"/>
              </w:rPr>
              <w:t xml:space="preserve">Switched from concomitant therapy to </w:t>
            </w:r>
            <w:proofErr w:type="spellStart"/>
            <w:r w:rsidRPr="00443103">
              <w:rPr>
                <w:rFonts w:ascii="Arial Narrow" w:hAnsi="Arial Narrow"/>
                <w:sz w:val="20"/>
                <w:lang w:val="en-US"/>
              </w:rPr>
              <w:t>Vytorin</w:t>
            </w:r>
            <w:proofErr w:type="spellEnd"/>
            <w:r w:rsidRPr="00443103">
              <w:rPr>
                <w:rFonts w:ascii="Arial Narrow" w:hAnsi="Arial Narrow"/>
                <w:sz w:val="20"/>
                <w:vertAlign w:val="superscript"/>
              </w:rPr>
              <w:t xml:space="preserve">® </w:t>
            </w:r>
            <w:r w:rsidRPr="00443103">
              <w:rPr>
                <w:rFonts w:ascii="Arial Narrow" w:hAnsi="Arial Narrow"/>
                <w:sz w:val="20"/>
                <w:lang w:val="en-US"/>
              </w:rPr>
              <w:t>– other characteristics unknown</w:t>
            </w:r>
          </w:p>
        </w:tc>
        <w:tc>
          <w:tcPr>
            <w:tcW w:w="850" w:type="pct"/>
            <w:shd w:val="clear" w:color="auto" w:fill="auto"/>
            <w:vAlign w:val="center"/>
          </w:tcPr>
          <w:p w:rsidR="002F5B40" w:rsidRPr="00443103" w:rsidRDefault="00703907" w:rsidP="00003C7E">
            <w:pPr>
              <w:jc w:val="center"/>
              <w:rPr>
                <w:rFonts w:ascii="Arial Narrow" w:hAnsi="Arial Narrow"/>
                <w:sz w:val="20"/>
                <w:lang w:val="en-US"/>
              </w:rPr>
            </w:pPr>
            <w:r w:rsidRPr="00443103">
              <w:rPr>
                <w:rFonts w:ascii="Arial Narrow" w:hAnsi="Arial Narrow"/>
                <w:sz w:val="20"/>
                <w:lang w:val="en-US"/>
              </w:rPr>
              <w:t xml:space="preserve">Medication possession ratio </w:t>
            </w:r>
            <w:r w:rsidR="0089568A" w:rsidRPr="00443103">
              <w:rPr>
                <w:rFonts w:ascii="Arial Narrow" w:hAnsi="Arial Narrow"/>
                <w:sz w:val="20"/>
                <w:lang w:val="en-US"/>
              </w:rPr>
              <w:t xml:space="preserve">for </w:t>
            </w:r>
            <w:proofErr w:type="spellStart"/>
            <w:r w:rsidR="0089568A" w:rsidRPr="00443103">
              <w:rPr>
                <w:rFonts w:ascii="Arial Narrow" w:hAnsi="Arial Narrow"/>
                <w:sz w:val="20"/>
                <w:lang w:val="en-US"/>
              </w:rPr>
              <w:t>Vytorin</w:t>
            </w:r>
            <w:proofErr w:type="spellEnd"/>
            <w:r w:rsidR="008D68D1" w:rsidRPr="00443103">
              <w:rPr>
                <w:rFonts w:ascii="Arial Narrow" w:hAnsi="Arial Narrow"/>
                <w:sz w:val="20"/>
                <w:vertAlign w:val="superscript"/>
                <w:lang w:val="en-US"/>
              </w:rPr>
              <w:t>®</w:t>
            </w:r>
            <w:r w:rsidR="008D68D1" w:rsidRPr="00443103">
              <w:rPr>
                <w:rFonts w:ascii="Arial Narrow" w:hAnsi="Arial Narrow"/>
                <w:sz w:val="20"/>
                <w:lang w:val="en-US"/>
              </w:rPr>
              <w:t xml:space="preserve"> </w:t>
            </w:r>
            <w:r w:rsidRPr="00443103">
              <w:rPr>
                <w:rFonts w:ascii="Arial Narrow" w:hAnsi="Arial Narrow"/>
                <w:sz w:val="20"/>
                <w:lang w:val="en-US"/>
              </w:rPr>
              <w:t>(</w:t>
            </w:r>
            <w:r w:rsidR="002F5B40" w:rsidRPr="00443103">
              <w:rPr>
                <w:rFonts w:ascii="Arial Narrow" w:hAnsi="Arial Narrow"/>
                <w:sz w:val="20"/>
                <w:lang w:val="en-US"/>
              </w:rPr>
              <w:t>MPR</w:t>
            </w:r>
            <w:r w:rsidRPr="00443103">
              <w:rPr>
                <w:rFonts w:ascii="Arial Narrow" w:hAnsi="Arial Narrow"/>
                <w:sz w:val="20"/>
                <w:lang w:val="en-US"/>
              </w:rPr>
              <w:t>)</w:t>
            </w:r>
          </w:p>
        </w:tc>
      </w:tr>
      <w:tr w:rsidR="002F5B40" w:rsidRPr="00443103" w:rsidTr="00003C7E">
        <w:tc>
          <w:tcPr>
            <w:tcW w:w="930" w:type="pct"/>
            <w:shd w:val="clear" w:color="auto" w:fill="auto"/>
            <w:vAlign w:val="center"/>
          </w:tcPr>
          <w:p w:rsidR="002F5B40" w:rsidRPr="00443103" w:rsidRDefault="002F5B40" w:rsidP="00207162">
            <w:pPr>
              <w:jc w:val="left"/>
              <w:rPr>
                <w:rFonts w:ascii="Arial Narrow" w:hAnsi="Arial Narrow"/>
                <w:sz w:val="20"/>
              </w:rPr>
            </w:pPr>
            <w:r w:rsidRPr="00443103">
              <w:rPr>
                <w:rFonts w:ascii="Arial Narrow" w:hAnsi="Arial Narrow"/>
                <w:sz w:val="20"/>
              </w:rPr>
              <w:t>Cohort 1 - Current CMG</w:t>
            </w:r>
          </w:p>
        </w:tc>
        <w:tc>
          <w:tcPr>
            <w:tcW w:w="383" w:type="pct"/>
            <w:shd w:val="clear" w:color="auto" w:fill="auto"/>
            <w:vAlign w:val="center"/>
          </w:tcPr>
          <w:p w:rsidR="002F5B40" w:rsidRPr="00443103" w:rsidRDefault="002F5B40" w:rsidP="00003C7E">
            <w:pPr>
              <w:jc w:val="center"/>
              <w:rPr>
                <w:rFonts w:ascii="Arial Narrow" w:hAnsi="Arial Narrow"/>
                <w:sz w:val="20"/>
                <w:lang w:val="en-US"/>
              </w:rPr>
            </w:pPr>
            <w:r w:rsidRPr="00443103">
              <w:rPr>
                <w:rFonts w:ascii="Arial Narrow" w:hAnsi="Arial Narrow"/>
                <w:sz w:val="20"/>
                <w:lang w:val="en-US"/>
              </w:rPr>
              <w:t>1,205</w:t>
            </w:r>
          </w:p>
        </w:tc>
        <w:tc>
          <w:tcPr>
            <w:tcW w:w="633" w:type="pct"/>
            <w:vMerge/>
            <w:shd w:val="clear" w:color="auto" w:fill="auto"/>
            <w:vAlign w:val="center"/>
          </w:tcPr>
          <w:p w:rsidR="002F5B40" w:rsidRPr="00443103" w:rsidRDefault="002F5B40" w:rsidP="00003C7E">
            <w:pPr>
              <w:jc w:val="center"/>
              <w:rPr>
                <w:rFonts w:ascii="Arial Narrow" w:hAnsi="Arial Narrow"/>
                <w:sz w:val="20"/>
                <w:lang w:val="en-US"/>
              </w:rPr>
            </w:pPr>
          </w:p>
        </w:tc>
        <w:tc>
          <w:tcPr>
            <w:tcW w:w="426" w:type="pct"/>
            <w:vMerge/>
            <w:shd w:val="clear" w:color="auto" w:fill="auto"/>
            <w:vAlign w:val="center"/>
          </w:tcPr>
          <w:p w:rsidR="002F5B40" w:rsidRPr="00443103" w:rsidRDefault="002F5B40" w:rsidP="00003C7E">
            <w:pPr>
              <w:jc w:val="center"/>
              <w:rPr>
                <w:rFonts w:ascii="Arial Narrow" w:hAnsi="Arial Narrow"/>
                <w:sz w:val="20"/>
                <w:lang w:val="en-US"/>
              </w:rPr>
            </w:pPr>
          </w:p>
        </w:tc>
        <w:tc>
          <w:tcPr>
            <w:tcW w:w="1778" w:type="pct"/>
            <w:shd w:val="clear" w:color="auto" w:fill="auto"/>
            <w:vAlign w:val="center"/>
          </w:tcPr>
          <w:p w:rsidR="002F5B40" w:rsidRPr="00443103" w:rsidRDefault="002F5B40" w:rsidP="00581602">
            <w:pPr>
              <w:jc w:val="center"/>
              <w:rPr>
                <w:rFonts w:ascii="Arial Narrow" w:hAnsi="Arial Narrow"/>
                <w:sz w:val="20"/>
                <w:lang w:val="en-US"/>
              </w:rPr>
            </w:pPr>
            <w:r w:rsidRPr="00443103">
              <w:rPr>
                <w:rFonts w:ascii="Arial Narrow" w:hAnsi="Arial Narrow"/>
                <w:sz w:val="20"/>
                <w:lang w:val="en-US"/>
              </w:rPr>
              <w:t xml:space="preserve">Switched from concomitant ezetimibe + atorvastatin/ simvastatin/ rosuvastatin to </w:t>
            </w:r>
            <w:proofErr w:type="spellStart"/>
            <w:r w:rsidRPr="00443103">
              <w:rPr>
                <w:rFonts w:ascii="Arial Narrow" w:hAnsi="Arial Narrow"/>
                <w:sz w:val="20"/>
                <w:lang w:val="en-US"/>
              </w:rPr>
              <w:t>Vytorin</w:t>
            </w:r>
            <w:proofErr w:type="spellEnd"/>
            <w:r w:rsidRPr="00443103">
              <w:rPr>
                <w:rFonts w:ascii="Arial Narrow" w:hAnsi="Arial Narrow"/>
                <w:sz w:val="20"/>
                <w:vertAlign w:val="superscript"/>
              </w:rPr>
              <w:t xml:space="preserve">® </w:t>
            </w:r>
            <w:r w:rsidRPr="00443103">
              <w:rPr>
                <w:rFonts w:ascii="Arial Narrow" w:hAnsi="Arial Narrow"/>
                <w:sz w:val="20"/>
                <w:lang w:val="en-US"/>
              </w:rPr>
              <w:t xml:space="preserve">and at least 3 scripts of each item </w:t>
            </w:r>
          </w:p>
        </w:tc>
        <w:tc>
          <w:tcPr>
            <w:tcW w:w="850" w:type="pct"/>
            <w:shd w:val="clear" w:color="auto" w:fill="auto"/>
            <w:vAlign w:val="center"/>
          </w:tcPr>
          <w:p w:rsidR="002F5B40" w:rsidRPr="00443103" w:rsidRDefault="00DE54FC" w:rsidP="00003C7E">
            <w:pPr>
              <w:jc w:val="center"/>
              <w:rPr>
                <w:rFonts w:ascii="Arial Narrow" w:hAnsi="Arial Narrow"/>
                <w:sz w:val="20"/>
                <w:lang w:val="en-US"/>
              </w:rPr>
            </w:pPr>
            <w:r w:rsidRPr="00443103">
              <w:rPr>
                <w:rFonts w:ascii="Arial Narrow" w:hAnsi="Arial Narrow"/>
                <w:sz w:val="20"/>
                <w:lang w:val="en-US"/>
              </w:rPr>
              <w:t xml:space="preserve">Continuous measure of medication gap </w:t>
            </w:r>
            <w:r w:rsidR="0089568A" w:rsidRPr="00443103">
              <w:rPr>
                <w:rFonts w:ascii="Arial Narrow" w:hAnsi="Arial Narrow"/>
                <w:sz w:val="20"/>
                <w:lang w:val="en-US"/>
              </w:rPr>
              <w:t xml:space="preserve">for </w:t>
            </w:r>
            <w:proofErr w:type="spellStart"/>
            <w:r w:rsidR="0089568A" w:rsidRPr="00443103">
              <w:rPr>
                <w:rFonts w:ascii="Arial Narrow" w:hAnsi="Arial Narrow"/>
                <w:sz w:val="20"/>
                <w:lang w:val="en-US"/>
              </w:rPr>
              <w:t>Vytorin</w:t>
            </w:r>
            <w:proofErr w:type="spellEnd"/>
            <w:r w:rsidR="008D68D1" w:rsidRPr="00443103">
              <w:rPr>
                <w:rFonts w:ascii="Arial Narrow" w:hAnsi="Arial Narrow"/>
                <w:sz w:val="20"/>
                <w:vertAlign w:val="superscript"/>
                <w:lang w:val="en-US"/>
              </w:rPr>
              <w:t>®</w:t>
            </w:r>
            <w:r w:rsidR="0089568A" w:rsidRPr="00443103">
              <w:rPr>
                <w:rFonts w:ascii="Arial Narrow" w:hAnsi="Arial Narrow"/>
                <w:sz w:val="20"/>
                <w:lang w:val="en-US"/>
              </w:rPr>
              <w:t xml:space="preserve"> </w:t>
            </w:r>
            <w:r w:rsidRPr="00443103">
              <w:rPr>
                <w:rFonts w:ascii="Arial Narrow" w:hAnsi="Arial Narrow"/>
                <w:sz w:val="20"/>
                <w:lang w:val="en-US"/>
              </w:rPr>
              <w:t>(</w:t>
            </w:r>
            <w:r w:rsidR="002F5B40" w:rsidRPr="00443103">
              <w:rPr>
                <w:rFonts w:ascii="Arial Narrow" w:hAnsi="Arial Narrow"/>
                <w:sz w:val="20"/>
                <w:lang w:val="en-US"/>
              </w:rPr>
              <w:t>CMG</w:t>
            </w:r>
            <w:r w:rsidRPr="00443103">
              <w:rPr>
                <w:rFonts w:ascii="Arial Narrow" w:hAnsi="Arial Narrow"/>
                <w:sz w:val="20"/>
                <w:lang w:val="en-US"/>
              </w:rPr>
              <w:t>)</w:t>
            </w:r>
          </w:p>
        </w:tc>
      </w:tr>
      <w:tr w:rsidR="00B161ED" w:rsidRPr="00443103" w:rsidTr="00003C7E">
        <w:tc>
          <w:tcPr>
            <w:tcW w:w="930" w:type="pct"/>
            <w:shd w:val="clear" w:color="auto" w:fill="auto"/>
            <w:vAlign w:val="center"/>
          </w:tcPr>
          <w:p w:rsidR="00B161ED" w:rsidRPr="00443103" w:rsidRDefault="00B161ED" w:rsidP="00003C7E">
            <w:pPr>
              <w:jc w:val="left"/>
              <w:rPr>
                <w:rFonts w:ascii="Arial Narrow" w:hAnsi="Arial Narrow"/>
                <w:sz w:val="20"/>
              </w:rPr>
            </w:pPr>
            <w:r w:rsidRPr="00443103">
              <w:rPr>
                <w:rFonts w:ascii="Arial Narrow" w:hAnsi="Arial Narrow"/>
                <w:sz w:val="20"/>
              </w:rPr>
              <w:t>Cohort 1 - Comparative MPR</w:t>
            </w:r>
          </w:p>
        </w:tc>
        <w:tc>
          <w:tcPr>
            <w:tcW w:w="383" w:type="pct"/>
            <w:shd w:val="clear" w:color="auto" w:fill="auto"/>
            <w:vAlign w:val="center"/>
          </w:tcPr>
          <w:p w:rsidR="00B161ED" w:rsidRPr="00443103" w:rsidRDefault="00B161ED" w:rsidP="00003C7E">
            <w:pPr>
              <w:jc w:val="center"/>
              <w:rPr>
                <w:rFonts w:ascii="Arial Narrow" w:hAnsi="Arial Narrow"/>
                <w:sz w:val="20"/>
                <w:lang w:val="en-US"/>
              </w:rPr>
            </w:pPr>
            <w:r w:rsidRPr="00443103">
              <w:rPr>
                <w:rFonts w:ascii="Arial Narrow" w:hAnsi="Arial Narrow"/>
                <w:sz w:val="20"/>
                <w:lang w:val="en-US"/>
              </w:rPr>
              <w:t>304</w:t>
            </w:r>
          </w:p>
        </w:tc>
        <w:tc>
          <w:tcPr>
            <w:tcW w:w="633" w:type="pct"/>
            <w:vMerge/>
            <w:shd w:val="clear" w:color="auto" w:fill="auto"/>
            <w:vAlign w:val="center"/>
          </w:tcPr>
          <w:p w:rsidR="00B161ED" w:rsidRPr="00443103" w:rsidRDefault="00B161ED" w:rsidP="00003C7E">
            <w:pPr>
              <w:jc w:val="center"/>
              <w:rPr>
                <w:rFonts w:ascii="Arial Narrow" w:hAnsi="Arial Narrow"/>
                <w:sz w:val="20"/>
                <w:lang w:val="en-US"/>
              </w:rPr>
            </w:pPr>
          </w:p>
        </w:tc>
        <w:tc>
          <w:tcPr>
            <w:tcW w:w="426" w:type="pct"/>
            <w:vMerge/>
            <w:shd w:val="clear" w:color="auto" w:fill="auto"/>
            <w:vAlign w:val="center"/>
          </w:tcPr>
          <w:p w:rsidR="00B161ED" w:rsidRPr="00443103" w:rsidRDefault="00B161ED" w:rsidP="00003C7E">
            <w:pPr>
              <w:jc w:val="center"/>
              <w:rPr>
                <w:rFonts w:ascii="Arial Narrow" w:hAnsi="Arial Narrow"/>
                <w:sz w:val="20"/>
                <w:lang w:val="en-US"/>
              </w:rPr>
            </w:pPr>
          </w:p>
        </w:tc>
        <w:tc>
          <w:tcPr>
            <w:tcW w:w="1778" w:type="pct"/>
            <w:shd w:val="clear" w:color="auto" w:fill="auto"/>
            <w:vAlign w:val="center"/>
          </w:tcPr>
          <w:p w:rsidR="00B161ED" w:rsidRPr="00443103" w:rsidRDefault="00B161ED" w:rsidP="00F87506">
            <w:pPr>
              <w:jc w:val="center"/>
              <w:rPr>
                <w:rFonts w:ascii="Arial Narrow" w:hAnsi="Arial Narrow"/>
                <w:sz w:val="20"/>
                <w:lang w:val="en-US"/>
              </w:rPr>
            </w:pPr>
            <w:r w:rsidRPr="00443103">
              <w:rPr>
                <w:rFonts w:ascii="Arial Narrow" w:hAnsi="Arial Narrow"/>
                <w:sz w:val="20"/>
                <w:lang w:val="en-US"/>
              </w:rPr>
              <w:t xml:space="preserve">Switched from concomitant ezetimibe + atorvastatin/ simvastatin/ rosuvastatin to </w:t>
            </w:r>
            <w:proofErr w:type="spellStart"/>
            <w:r w:rsidRPr="00443103">
              <w:rPr>
                <w:rFonts w:ascii="Arial Narrow" w:hAnsi="Arial Narrow"/>
                <w:sz w:val="20"/>
                <w:lang w:val="en-US"/>
              </w:rPr>
              <w:t>Vytorin</w:t>
            </w:r>
            <w:proofErr w:type="spellEnd"/>
            <w:r w:rsidRPr="00443103">
              <w:rPr>
                <w:rFonts w:ascii="Arial Narrow" w:hAnsi="Arial Narrow"/>
                <w:sz w:val="20"/>
                <w:vertAlign w:val="superscript"/>
              </w:rPr>
              <w:t>®</w:t>
            </w:r>
            <w:r w:rsidRPr="00443103">
              <w:rPr>
                <w:rFonts w:ascii="Arial Narrow" w:hAnsi="Arial Narrow"/>
                <w:sz w:val="20"/>
                <w:lang w:val="en-US"/>
              </w:rPr>
              <w:t>, at least 3 scripts of each item, sub</w:t>
            </w:r>
            <w:r w:rsidR="00CC2190" w:rsidRPr="00443103">
              <w:rPr>
                <w:rFonts w:ascii="Arial Narrow" w:hAnsi="Arial Narrow"/>
                <w:sz w:val="20"/>
                <w:lang w:val="en-US"/>
              </w:rPr>
              <w:t>-</w:t>
            </w:r>
            <w:r w:rsidRPr="00443103">
              <w:rPr>
                <w:rFonts w:ascii="Arial Narrow" w:hAnsi="Arial Narrow"/>
                <w:sz w:val="20"/>
                <w:lang w:val="en-US"/>
              </w:rPr>
              <w:t xml:space="preserve">optimally compliant to statin (MPR </w:t>
            </w:r>
            <w:r w:rsidRPr="00443103">
              <w:rPr>
                <w:rFonts w:ascii="Arial Narrow" w:hAnsi="Arial Narrow"/>
                <w:sz w:val="20"/>
                <w:lang w:val="en-US"/>
              </w:rPr>
              <w:lastRenderedPageBreak/>
              <w:t xml:space="preserve">between 27.5% and 82.5%) and </w:t>
            </w:r>
            <w:proofErr w:type="spellStart"/>
            <w:r w:rsidRPr="00443103">
              <w:rPr>
                <w:rFonts w:ascii="Arial Narrow" w:hAnsi="Arial Narrow"/>
                <w:sz w:val="20"/>
                <w:lang w:val="en-US"/>
              </w:rPr>
              <w:t>Vytorin</w:t>
            </w:r>
            <w:proofErr w:type="spellEnd"/>
            <w:r w:rsidRPr="00443103">
              <w:rPr>
                <w:rFonts w:ascii="Arial Narrow" w:hAnsi="Arial Narrow"/>
                <w:sz w:val="20"/>
                <w:vertAlign w:val="superscript"/>
              </w:rPr>
              <w:t xml:space="preserve">® </w:t>
            </w:r>
            <w:r w:rsidRPr="00443103">
              <w:rPr>
                <w:rFonts w:ascii="Arial Narrow" w:hAnsi="Arial Narrow"/>
                <w:sz w:val="20"/>
                <w:lang w:val="en-US"/>
              </w:rPr>
              <w:t>MPR &lt;102.5%</w:t>
            </w:r>
          </w:p>
        </w:tc>
        <w:tc>
          <w:tcPr>
            <w:tcW w:w="850" w:type="pct"/>
            <w:shd w:val="clear" w:color="auto" w:fill="auto"/>
            <w:vAlign w:val="center"/>
          </w:tcPr>
          <w:p w:rsidR="00B161ED" w:rsidRPr="00443103" w:rsidRDefault="00B161ED" w:rsidP="00003C7E">
            <w:pPr>
              <w:jc w:val="center"/>
              <w:rPr>
                <w:rFonts w:ascii="Arial Narrow" w:hAnsi="Arial Narrow"/>
                <w:sz w:val="20"/>
                <w:lang w:val="en-US"/>
              </w:rPr>
            </w:pPr>
            <w:r w:rsidRPr="00443103">
              <w:rPr>
                <w:rFonts w:ascii="Arial Narrow" w:hAnsi="Arial Narrow"/>
                <w:sz w:val="20"/>
                <w:lang w:val="en-US"/>
              </w:rPr>
              <w:lastRenderedPageBreak/>
              <w:t>Medication possession ratio (MPR)</w:t>
            </w:r>
          </w:p>
        </w:tc>
      </w:tr>
      <w:tr w:rsidR="00B161ED" w:rsidRPr="00443103" w:rsidTr="00003C7E">
        <w:tc>
          <w:tcPr>
            <w:tcW w:w="930" w:type="pct"/>
            <w:shd w:val="clear" w:color="auto" w:fill="auto"/>
            <w:vAlign w:val="center"/>
          </w:tcPr>
          <w:p w:rsidR="00B161ED" w:rsidRPr="00443103" w:rsidRDefault="00B161ED" w:rsidP="00003C7E">
            <w:pPr>
              <w:jc w:val="left"/>
              <w:rPr>
                <w:rFonts w:ascii="Arial Narrow" w:hAnsi="Arial Narrow"/>
                <w:sz w:val="20"/>
              </w:rPr>
            </w:pPr>
            <w:r w:rsidRPr="00443103">
              <w:rPr>
                <w:rFonts w:ascii="Arial Narrow" w:hAnsi="Arial Narrow"/>
                <w:sz w:val="20"/>
              </w:rPr>
              <w:lastRenderedPageBreak/>
              <w:t>Cohort 1 - Comparative CMG</w:t>
            </w:r>
          </w:p>
        </w:tc>
        <w:tc>
          <w:tcPr>
            <w:tcW w:w="383" w:type="pct"/>
            <w:shd w:val="clear" w:color="auto" w:fill="auto"/>
            <w:vAlign w:val="center"/>
          </w:tcPr>
          <w:p w:rsidR="00B161ED" w:rsidRPr="00443103" w:rsidRDefault="00B161ED" w:rsidP="00003C7E">
            <w:pPr>
              <w:jc w:val="center"/>
              <w:rPr>
                <w:rFonts w:ascii="Arial Narrow" w:hAnsi="Arial Narrow"/>
                <w:sz w:val="20"/>
                <w:lang w:val="en-US"/>
              </w:rPr>
            </w:pPr>
            <w:r w:rsidRPr="00443103">
              <w:rPr>
                <w:rFonts w:ascii="Arial Narrow" w:hAnsi="Arial Narrow"/>
                <w:sz w:val="20"/>
                <w:lang w:val="en-US"/>
              </w:rPr>
              <w:t>500</w:t>
            </w:r>
          </w:p>
        </w:tc>
        <w:tc>
          <w:tcPr>
            <w:tcW w:w="633" w:type="pct"/>
            <w:vMerge/>
            <w:shd w:val="clear" w:color="auto" w:fill="auto"/>
            <w:vAlign w:val="center"/>
          </w:tcPr>
          <w:p w:rsidR="00B161ED" w:rsidRPr="00443103" w:rsidRDefault="00B161ED" w:rsidP="00003C7E">
            <w:pPr>
              <w:jc w:val="center"/>
              <w:rPr>
                <w:rFonts w:ascii="Arial Narrow" w:hAnsi="Arial Narrow"/>
                <w:sz w:val="20"/>
                <w:lang w:val="en-US"/>
              </w:rPr>
            </w:pPr>
          </w:p>
        </w:tc>
        <w:tc>
          <w:tcPr>
            <w:tcW w:w="426" w:type="pct"/>
            <w:vMerge/>
            <w:shd w:val="clear" w:color="auto" w:fill="auto"/>
            <w:vAlign w:val="center"/>
          </w:tcPr>
          <w:p w:rsidR="00B161ED" w:rsidRPr="00443103" w:rsidRDefault="00B161ED" w:rsidP="00003C7E">
            <w:pPr>
              <w:jc w:val="center"/>
              <w:rPr>
                <w:rFonts w:ascii="Arial Narrow" w:hAnsi="Arial Narrow"/>
                <w:sz w:val="20"/>
                <w:lang w:val="en-US"/>
              </w:rPr>
            </w:pPr>
          </w:p>
        </w:tc>
        <w:tc>
          <w:tcPr>
            <w:tcW w:w="1778" w:type="pct"/>
            <w:shd w:val="clear" w:color="auto" w:fill="auto"/>
            <w:vAlign w:val="center"/>
          </w:tcPr>
          <w:p w:rsidR="00B161ED" w:rsidRPr="00443103" w:rsidRDefault="00B161ED" w:rsidP="00392C37">
            <w:pPr>
              <w:jc w:val="center"/>
              <w:rPr>
                <w:rFonts w:ascii="Arial Narrow" w:hAnsi="Arial Narrow"/>
                <w:sz w:val="20"/>
                <w:lang w:val="en-US"/>
              </w:rPr>
            </w:pPr>
            <w:r w:rsidRPr="00443103">
              <w:rPr>
                <w:rFonts w:ascii="Arial Narrow" w:hAnsi="Arial Narrow"/>
                <w:sz w:val="20"/>
                <w:lang w:val="en-US"/>
              </w:rPr>
              <w:t xml:space="preserve">Switched from concomitant ezetimibe + atorvastatin/ simvastatin/ rosuvastatin to </w:t>
            </w:r>
            <w:proofErr w:type="spellStart"/>
            <w:r w:rsidRPr="00443103">
              <w:rPr>
                <w:rFonts w:ascii="Arial Narrow" w:hAnsi="Arial Narrow"/>
                <w:sz w:val="20"/>
                <w:lang w:val="en-US"/>
              </w:rPr>
              <w:t>Vytorin</w:t>
            </w:r>
            <w:proofErr w:type="spellEnd"/>
            <w:r w:rsidRPr="00443103">
              <w:rPr>
                <w:rFonts w:ascii="Arial Narrow" w:hAnsi="Arial Narrow"/>
                <w:sz w:val="20"/>
                <w:vertAlign w:val="superscript"/>
              </w:rPr>
              <w:t>®</w:t>
            </w:r>
            <w:r w:rsidRPr="00443103">
              <w:rPr>
                <w:rFonts w:ascii="Arial Narrow" w:hAnsi="Arial Narrow"/>
                <w:sz w:val="20"/>
                <w:lang w:val="en-US"/>
              </w:rPr>
              <w:t>, at least 3 scripts of each item, sub</w:t>
            </w:r>
            <w:r w:rsidR="00CC2190" w:rsidRPr="00443103">
              <w:rPr>
                <w:rFonts w:ascii="Arial Narrow" w:hAnsi="Arial Narrow"/>
                <w:sz w:val="20"/>
                <w:lang w:val="en-US"/>
              </w:rPr>
              <w:t>-</w:t>
            </w:r>
            <w:r w:rsidRPr="00443103">
              <w:rPr>
                <w:rFonts w:ascii="Arial Narrow" w:hAnsi="Arial Narrow"/>
                <w:sz w:val="20"/>
                <w:lang w:val="en-US"/>
              </w:rPr>
              <w:t>optim</w:t>
            </w:r>
            <w:r w:rsidR="00053E65">
              <w:rPr>
                <w:rFonts w:ascii="Arial Narrow" w:hAnsi="Arial Narrow"/>
                <w:sz w:val="20"/>
                <w:lang w:val="en-US"/>
              </w:rPr>
              <w:t>ally compliant to statin (CMG &lt;82.5%)</w:t>
            </w:r>
          </w:p>
        </w:tc>
        <w:tc>
          <w:tcPr>
            <w:tcW w:w="850" w:type="pct"/>
            <w:shd w:val="clear" w:color="auto" w:fill="auto"/>
            <w:vAlign w:val="center"/>
          </w:tcPr>
          <w:p w:rsidR="00B161ED" w:rsidRPr="00443103" w:rsidRDefault="00B161ED" w:rsidP="00003C7E">
            <w:pPr>
              <w:jc w:val="center"/>
              <w:rPr>
                <w:rFonts w:ascii="Arial Narrow" w:hAnsi="Arial Narrow"/>
                <w:sz w:val="20"/>
                <w:lang w:val="en-US"/>
              </w:rPr>
            </w:pPr>
            <w:r w:rsidRPr="00443103">
              <w:rPr>
                <w:rFonts w:ascii="Arial Narrow" w:hAnsi="Arial Narrow"/>
                <w:sz w:val="20"/>
                <w:lang w:val="en-US"/>
              </w:rPr>
              <w:t>Continuous measure of medication gap (CMG)</w:t>
            </w:r>
          </w:p>
        </w:tc>
      </w:tr>
      <w:tr w:rsidR="002F5B40" w:rsidRPr="00443103" w:rsidTr="00003C7E">
        <w:tc>
          <w:tcPr>
            <w:tcW w:w="930" w:type="pct"/>
            <w:shd w:val="clear" w:color="auto" w:fill="auto"/>
            <w:vAlign w:val="center"/>
          </w:tcPr>
          <w:p w:rsidR="002F5B40" w:rsidRPr="00443103" w:rsidRDefault="002F5B40" w:rsidP="00003C7E">
            <w:pPr>
              <w:jc w:val="left"/>
              <w:rPr>
                <w:rFonts w:ascii="Arial Narrow" w:hAnsi="Arial Narrow"/>
                <w:sz w:val="20"/>
              </w:rPr>
            </w:pPr>
            <w:r w:rsidRPr="00443103">
              <w:rPr>
                <w:rFonts w:ascii="Arial Narrow" w:hAnsi="Arial Narrow"/>
                <w:sz w:val="20"/>
              </w:rPr>
              <w:t>Cohort 2</w:t>
            </w:r>
          </w:p>
        </w:tc>
        <w:tc>
          <w:tcPr>
            <w:tcW w:w="383" w:type="pct"/>
            <w:shd w:val="clear" w:color="auto" w:fill="auto"/>
            <w:vAlign w:val="center"/>
          </w:tcPr>
          <w:p w:rsidR="002F5B40" w:rsidRPr="00443103" w:rsidRDefault="002F5B40" w:rsidP="00003C7E">
            <w:pPr>
              <w:jc w:val="center"/>
              <w:rPr>
                <w:rFonts w:ascii="Arial Narrow" w:hAnsi="Arial Narrow"/>
                <w:sz w:val="20"/>
                <w:lang w:val="en-US"/>
              </w:rPr>
            </w:pPr>
            <w:r w:rsidRPr="00443103">
              <w:rPr>
                <w:rFonts w:ascii="Arial Narrow" w:hAnsi="Arial Narrow"/>
                <w:sz w:val="20"/>
                <w:lang w:val="en-US"/>
              </w:rPr>
              <w:t>16,594</w:t>
            </w:r>
          </w:p>
        </w:tc>
        <w:tc>
          <w:tcPr>
            <w:tcW w:w="633" w:type="pct"/>
            <w:vMerge/>
            <w:shd w:val="clear" w:color="auto" w:fill="auto"/>
            <w:vAlign w:val="center"/>
          </w:tcPr>
          <w:p w:rsidR="002F5B40" w:rsidRPr="00443103" w:rsidRDefault="002F5B40" w:rsidP="00003C7E">
            <w:pPr>
              <w:jc w:val="center"/>
              <w:rPr>
                <w:rFonts w:ascii="Arial Narrow" w:hAnsi="Arial Narrow"/>
                <w:sz w:val="20"/>
                <w:lang w:val="en-US"/>
              </w:rPr>
            </w:pPr>
          </w:p>
        </w:tc>
        <w:tc>
          <w:tcPr>
            <w:tcW w:w="426" w:type="pct"/>
            <w:vMerge/>
            <w:shd w:val="clear" w:color="auto" w:fill="auto"/>
            <w:vAlign w:val="center"/>
          </w:tcPr>
          <w:p w:rsidR="002F5B40" w:rsidRPr="00443103" w:rsidRDefault="002F5B40" w:rsidP="00003C7E">
            <w:pPr>
              <w:jc w:val="center"/>
              <w:rPr>
                <w:rFonts w:ascii="Arial Narrow" w:hAnsi="Arial Narrow"/>
                <w:sz w:val="20"/>
                <w:lang w:val="en-US"/>
              </w:rPr>
            </w:pPr>
          </w:p>
        </w:tc>
        <w:tc>
          <w:tcPr>
            <w:tcW w:w="1778" w:type="pct"/>
            <w:shd w:val="clear" w:color="auto" w:fill="auto"/>
            <w:vAlign w:val="center"/>
          </w:tcPr>
          <w:p w:rsidR="002F5B40" w:rsidRPr="00443103" w:rsidRDefault="002F5B40" w:rsidP="00A30137">
            <w:pPr>
              <w:jc w:val="center"/>
              <w:rPr>
                <w:rFonts w:ascii="Arial Narrow" w:hAnsi="Arial Narrow"/>
                <w:sz w:val="20"/>
                <w:lang w:val="en-US"/>
              </w:rPr>
            </w:pPr>
            <w:r w:rsidRPr="00443103">
              <w:rPr>
                <w:rFonts w:ascii="Arial Narrow" w:hAnsi="Arial Narrow"/>
                <w:sz w:val="20"/>
                <w:lang w:val="en-US"/>
              </w:rPr>
              <w:t xml:space="preserve">Dispensed ezetimibe or </w:t>
            </w:r>
            <w:proofErr w:type="spellStart"/>
            <w:r w:rsidR="00A30137" w:rsidRPr="00443103">
              <w:rPr>
                <w:rFonts w:ascii="Arial Narrow" w:hAnsi="Arial Narrow"/>
                <w:sz w:val="20"/>
                <w:lang w:val="en-US"/>
              </w:rPr>
              <w:t>Vytorin</w:t>
            </w:r>
            <w:proofErr w:type="spellEnd"/>
            <w:r w:rsidR="00A30137" w:rsidRPr="00443103">
              <w:rPr>
                <w:rFonts w:ascii="Arial Narrow" w:hAnsi="Arial Narrow"/>
                <w:sz w:val="20"/>
                <w:vertAlign w:val="superscript"/>
              </w:rPr>
              <w:t>®</w:t>
            </w:r>
          </w:p>
        </w:tc>
        <w:tc>
          <w:tcPr>
            <w:tcW w:w="850" w:type="pct"/>
            <w:shd w:val="clear" w:color="auto" w:fill="auto"/>
            <w:vAlign w:val="center"/>
          </w:tcPr>
          <w:p w:rsidR="002F5B40" w:rsidRPr="00443103" w:rsidRDefault="002F5B40" w:rsidP="00003C7E">
            <w:pPr>
              <w:jc w:val="center"/>
              <w:rPr>
                <w:rFonts w:ascii="Arial Narrow" w:hAnsi="Arial Narrow"/>
                <w:sz w:val="20"/>
                <w:lang w:val="en-US"/>
              </w:rPr>
            </w:pPr>
            <w:r w:rsidRPr="00443103">
              <w:rPr>
                <w:rFonts w:ascii="Arial Narrow" w:hAnsi="Arial Narrow"/>
                <w:sz w:val="20"/>
                <w:lang w:val="en-US"/>
              </w:rPr>
              <w:t xml:space="preserve">Persistence to </w:t>
            </w:r>
            <w:r w:rsidRPr="00443103">
              <w:rPr>
                <w:rFonts w:ascii="Arial Narrow" w:hAnsi="Arial Narrow"/>
                <w:sz w:val="20"/>
                <w:u w:val="single"/>
                <w:lang w:val="en-US"/>
              </w:rPr>
              <w:t>ending</w:t>
            </w:r>
            <w:r w:rsidRPr="00443103">
              <w:rPr>
                <w:rFonts w:ascii="Arial Narrow" w:hAnsi="Arial Narrow"/>
                <w:sz w:val="20"/>
                <w:lang w:val="en-US"/>
              </w:rPr>
              <w:t xml:space="preserve"> ezetimibe formulation</w:t>
            </w:r>
          </w:p>
        </w:tc>
      </w:tr>
      <w:tr w:rsidR="00131842" w:rsidRPr="00443103" w:rsidTr="00003C7E">
        <w:tc>
          <w:tcPr>
            <w:tcW w:w="5000" w:type="pct"/>
            <w:gridSpan w:val="6"/>
            <w:shd w:val="clear" w:color="auto" w:fill="auto"/>
            <w:vAlign w:val="center"/>
          </w:tcPr>
          <w:p w:rsidR="00131842" w:rsidRPr="00443103" w:rsidRDefault="00131842" w:rsidP="00003C7E">
            <w:pPr>
              <w:jc w:val="left"/>
              <w:rPr>
                <w:rFonts w:ascii="Arial Narrow" w:hAnsi="Arial Narrow"/>
                <w:b/>
                <w:sz w:val="20"/>
                <w:lang w:val="en-US"/>
              </w:rPr>
            </w:pPr>
            <w:r w:rsidRPr="00443103">
              <w:rPr>
                <w:rFonts w:ascii="Arial Narrow" w:hAnsi="Arial Narrow"/>
                <w:b/>
                <w:sz w:val="20"/>
              </w:rPr>
              <w:t>Commissioned market survey</w:t>
            </w:r>
          </w:p>
        </w:tc>
      </w:tr>
      <w:tr w:rsidR="00392C37" w:rsidRPr="00443103" w:rsidTr="00003C7E">
        <w:tc>
          <w:tcPr>
            <w:tcW w:w="930" w:type="pct"/>
            <w:shd w:val="clear" w:color="auto" w:fill="auto"/>
            <w:vAlign w:val="center"/>
          </w:tcPr>
          <w:p w:rsidR="00392C37" w:rsidRPr="00443103" w:rsidRDefault="00392C37" w:rsidP="00003C7E">
            <w:pPr>
              <w:jc w:val="left"/>
              <w:rPr>
                <w:rFonts w:ascii="Arial Narrow" w:hAnsi="Arial Narrow"/>
                <w:sz w:val="20"/>
              </w:rPr>
            </w:pPr>
            <w:r w:rsidRPr="00443103">
              <w:rPr>
                <w:rFonts w:ascii="Arial Narrow" w:hAnsi="Arial Narrow"/>
                <w:sz w:val="20"/>
              </w:rPr>
              <w:t>General practitioners</w:t>
            </w:r>
          </w:p>
        </w:tc>
        <w:tc>
          <w:tcPr>
            <w:tcW w:w="383" w:type="pct"/>
            <w:shd w:val="clear" w:color="auto" w:fill="auto"/>
            <w:vAlign w:val="center"/>
          </w:tcPr>
          <w:p w:rsidR="00392C37" w:rsidRPr="00443103" w:rsidRDefault="00392C37" w:rsidP="00003C7E">
            <w:pPr>
              <w:jc w:val="center"/>
              <w:rPr>
                <w:rFonts w:ascii="Arial Narrow" w:hAnsi="Arial Narrow"/>
                <w:sz w:val="20"/>
                <w:lang w:val="en-US"/>
              </w:rPr>
            </w:pPr>
            <w:r w:rsidRPr="00443103">
              <w:rPr>
                <w:rFonts w:ascii="Arial Narrow" w:hAnsi="Arial Narrow"/>
                <w:sz w:val="20"/>
                <w:lang w:val="en-US"/>
              </w:rPr>
              <w:t>192</w:t>
            </w:r>
          </w:p>
        </w:tc>
        <w:tc>
          <w:tcPr>
            <w:tcW w:w="633" w:type="pct"/>
            <w:vMerge w:val="restart"/>
            <w:shd w:val="clear" w:color="auto" w:fill="auto"/>
            <w:vAlign w:val="center"/>
          </w:tcPr>
          <w:p w:rsidR="00392C37" w:rsidRPr="00443103" w:rsidRDefault="00392C37" w:rsidP="00003C7E">
            <w:pPr>
              <w:jc w:val="center"/>
              <w:rPr>
                <w:rFonts w:ascii="Arial Narrow" w:hAnsi="Arial Narrow"/>
                <w:sz w:val="20"/>
                <w:lang w:val="en-US"/>
              </w:rPr>
            </w:pPr>
            <w:r w:rsidRPr="00443103">
              <w:rPr>
                <w:rFonts w:ascii="Arial Narrow" w:hAnsi="Arial Narrow"/>
                <w:sz w:val="20"/>
                <w:lang w:val="en-US"/>
              </w:rPr>
              <w:t>Cross-sectional online survey July 2014</w:t>
            </w:r>
          </w:p>
        </w:tc>
        <w:tc>
          <w:tcPr>
            <w:tcW w:w="426" w:type="pct"/>
            <w:vMerge w:val="restart"/>
            <w:shd w:val="clear" w:color="auto" w:fill="auto"/>
            <w:vAlign w:val="center"/>
          </w:tcPr>
          <w:p w:rsidR="00392C37" w:rsidRPr="00443103" w:rsidRDefault="00392C37" w:rsidP="00392C37">
            <w:pPr>
              <w:jc w:val="center"/>
              <w:rPr>
                <w:rFonts w:ascii="Arial Narrow" w:hAnsi="Arial Narrow"/>
                <w:sz w:val="20"/>
                <w:lang w:val="en-US"/>
              </w:rPr>
            </w:pPr>
            <w:r w:rsidRPr="00443103">
              <w:rPr>
                <w:rFonts w:ascii="Arial Narrow" w:hAnsi="Arial Narrow"/>
                <w:sz w:val="20"/>
                <w:lang w:val="en-US"/>
              </w:rPr>
              <w:t>High</w:t>
            </w:r>
          </w:p>
        </w:tc>
        <w:tc>
          <w:tcPr>
            <w:tcW w:w="1778" w:type="pct"/>
            <w:shd w:val="clear" w:color="auto" w:fill="auto"/>
            <w:vAlign w:val="center"/>
          </w:tcPr>
          <w:p w:rsidR="00392C37" w:rsidRPr="00443103" w:rsidRDefault="00392C37" w:rsidP="00003C7E">
            <w:pPr>
              <w:jc w:val="center"/>
              <w:rPr>
                <w:rFonts w:ascii="Arial Narrow" w:hAnsi="Arial Narrow"/>
                <w:sz w:val="20"/>
                <w:lang w:val="en-US"/>
              </w:rPr>
            </w:pPr>
            <w:r w:rsidRPr="00443103">
              <w:rPr>
                <w:rFonts w:ascii="Arial Narrow" w:hAnsi="Arial Narrow"/>
                <w:sz w:val="20"/>
                <w:lang w:val="en-US"/>
              </w:rPr>
              <w:t xml:space="preserve">GPs working ≥ 4 days and who actively prescribe </w:t>
            </w:r>
            <w:proofErr w:type="spellStart"/>
            <w:r w:rsidRPr="00443103">
              <w:rPr>
                <w:rFonts w:ascii="Arial Narrow" w:hAnsi="Arial Narrow"/>
                <w:sz w:val="20"/>
                <w:lang w:val="en-US"/>
              </w:rPr>
              <w:t>Vytorin</w:t>
            </w:r>
            <w:proofErr w:type="spellEnd"/>
            <w:r w:rsidRPr="00443103">
              <w:rPr>
                <w:rFonts w:ascii="Arial Narrow" w:hAnsi="Arial Narrow"/>
                <w:sz w:val="20"/>
                <w:vertAlign w:val="superscript"/>
              </w:rPr>
              <w:t>®</w:t>
            </w:r>
            <w:r w:rsidRPr="00443103">
              <w:rPr>
                <w:rFonts w:ascii="Arial Narrow" w:hAnsi="Arial Narrow"/>
                <w:sz w:val="20"/>
                <w:lang w:val="en-US"/>
              </w:rPr>
              <w:t xml:space="preserve"> (regularly or occasionally)</w:t>
            </w:r>
          </w:p>
        </w:tc>
        <w:tc>
          <w:tcPr>
            <w:tcW w:w="850" w:type="pct"/>
            <w:shd w:val="clear" w:color="auto" w:fill="auto"/>
            <w:vAlign w:val="center"/>
          </w:tcPr>
          <w:p w:rsidR="00392C37" w:rsidRPr="00443103" w:rsidRDefault="00392C37" w:rsidP="00003C7E">
            <w:pPr>
              <w:jc w:val="center"/>
              <w:rPr>
                <w:rFonts w:ascii="Arial Narrow" w:hAnsi="Arial Narrow"/>
                <w:sz w:val="20"/>
                <w:lang w:val="en-US"/>
              </w:rPr>
            </w:pPr>
            <w:r w:rsidRPr="00443103">
              <w:rPr>
                <w:rFonts w:ascii="Arial Narrow" w:hAnsi="Arial Narrow"/>
                <w:sz w:val="20"/>
                <w:lang w:val="en-US"/>
              </w:rPr>
              <w:t>-</w:t>
            </w:r>
          </w:p>
        </w:tc>
      </w:tr>
      <w:tr w:rsidR="00392C37" w:rsidRPr="00443103" w:rsidTr="00003C7E">
        <w:tc>
          <w:tcPr>
            <w:tcW w:w="930" w:type="pct"/>
            <w:shd w:val="clear" w:color="auto" w:fill="auto"/>
            <w:vAlign w:val="center"/>
          </w:tcPr>
          <w:p w:rsidR="00392C37" w:rsidRPr="00443103" w:rsidRDefault="00392C37" w:rsidP="00003C7E">
            <w:pPr>
              <w:jc w:val="left"/>
              <w:rPr>
                <w:rFonts w:ascii="Arial Narrow" w:hAnsi="Arial Narrow"/>
                <w:sz w:val="20"/>
              </w:rPr>
            </w:pPr>
            <w:r w:rsidRPr="00443103">
              <w:rPr>
                <w:rFonts w:ascii="Arial Narrow" w:hAnsi="Arial Narrow"/>
                <w:sz w:val="20"/>
              </w:rPr>
              <w:t>Patients</w:t>
            </w:r>
          </w:p>
        </w:tc>
        <w:tc>
          <w:tcPr>
            <w:tcW w:w="383" w:type="pct"/>
            <w:shd w:val="clear" w:color="auto" w:fill="auto"/>
            <w:vAlign w:val="center"/>
          </w:tcPr>
          <w:p w:rsidR="00392C37" w:rsidRPr="00443103" w:rsidRDefault="00392C37" w:rsidP="00003C7E">
            <w:pPr>
              <w:jc w:val="center"/>
              <w:rPr>
                <w:rFonts w:ascii="Arial Narrow" w:hAnsi="Arial Narrow"/>
                <w:sz w:val="20"/>
                <w:lang w:val="en-US"/>
              </w:rPr>
            </w:pPr>
            <w:r w:rsidRPr="00443103">
              <w:rPr>
                <w:rFonts w:ascii="Arial Narrow" w:hAnsi="Arial Narrow"/>
                <w:sz w:val="20"/>
                <w:lang w:val="en-US"/>
              </w:rPr>
              <w:t>189</w:t>
            </w:r>
          </w:p>
        </w:tc>
        <w:tc>
          <w:tcPr>
            <w:tcW w:w="633" w:type="pct"/>
            <w:vMerge/>
            <w:shd w:val="clear" w:color="auto" w:fill="auto"/>
            <w:vAlign w:val="center"/>
          </w:tcPr>
          <w:p w:rsidR="00392C37" w:rsidRPr="00443103" w:rsidRDefault="00392C37" w:rsidP="00003C7E">
            <w:pPr>
              <w:jc w:val="center"/>
              <w:rPr>
                <w:rFonts w:ascii="Arial Narrow" w:hAnsi="Arial Narrow"/>
                <w:sz w:val="20"/>
                <w:lang w:val="en-US"/>
              </w:rPr>
            </w:pPr>
          </w:p>
        </w:tc>
        <w:tc>
          <w:tcPr>
            <w:tcW w:w="426" w:type="pct"/>
            <w:vMerge/>
            <w:shd w:val="clear" w:color="auto" w:fill="auto"/>
            <w:vAlign w:val="center"/>
          </w:tcPr>
          <w:p w:rsidR="00392C37" w:rsidRPr="00443103" w:rsidRDefault="00392C37" w:rsidP="00003C7E">
            <w:pPr>
              <w:jc w:val="center"/>
              <w:rPr>
                <w:rFonts w:ascii="Arial Narrow" w:hAnsi="Arial Narrow"/>
                <w:sz w:val="20"/>
                <w:lang w:val="en-US"/>
              </w:rPr>
            </w:pPr>
          </w:p>
        </w:tc>
        <w:tc>
          <w:tcPr>
            <w:tcW w:w="1778" w:type="pct"/>
            <w:shd w:val="clear" w:color="auto" w:fill="auto"/>
            <w:vAlign w:val="center"/>
          </w:tcPr>
          <w:p w:rsidR="00392C37" w:rsidRPr="00443103" w:rsidRDefault="00392C37" w:rsidP="00682643">
            <w:pPr>
              <w:jc w:val="center"/>
              <w:rPr>
                <w:rFonts w:ascii="Arial Narrow" w:hAnsi="Arial Narrow"/>
                <w:sz w:val="20"/>
                <w:lang w:val="en-US"/>
              </w:rPr>
            </w:pPr>
            <w:r w:rsidRPr="00443103">
              <w:rPr>
                <w:rFonts w:ascii="Arial Narrow" w:hAnsi="Arial Narrow"/>
                <w:sz w:val="20"/>
                <w:lang w:val="en-US"/>
              </w:rPr>
              <w:t xml:space="preserve">Patients on </w:t>
            </w:r>
            <w:proofErr w:type="spellStart"/>
            <w:r w:rsidRPr="00443103">
              <w:rPr>
                <w:rFonts w:ascii="Arial Narrow" w:hAnsi="Arial Narrow"/>
                <w:sz w:val="20"/>
                <w:lang w:val="en-US"/>
              </w:rPr>
              <w:t>Vytorin</w:t>
            </w:r>
            <w:proofErr w:type="spellEnd"/>
            <w:r w:rsidRPr="00443103">
              <w:rPr>
                <w:rFonts w:ascii="Arial Narrow" w:hAnsi="Arial Narrow"/>
                <w:sz w:val="20"/>
                <w:vertAlign w:val="superscript"/>
              </w:rPr>
              <w:t>®</w:t>
            </w:r>
            <w:r w:rsidRPr="00443103">
              <w:rPr>
                <w:rFonts w:ascii="Arial Narrow" w:hAnsi="Arial Narrow"/>
                <w:sz w:val="20"/>
                <w:lang w:val="en-US"/>
              </w:rPr>
              <w:t xml:space="preserve"> or any statin + ezetimibe for at least 6 months </w:t>
            </w:r>
          </w:p>
        </w:tc>
        <w:tc>
          <w:tcPr>
            <w:tcW w:w="850" w:type="pct"/>
            <w:shd w:val="clear" w:color="auto" w:fill="auto"/>
            <w:vAlign w:val="center"/>
          </w:tcPr>
          <w:p w:rsidR="00392C37" w:rsidRPr="00443103" w:rsidRDefault="00392C37" w:rsidP="00003C7E">
            <w:pPr>
              <w:jc w:val="center"/>
              <w:rPr>
                <w:rFonts w:ascii="Arial Narrow" w:hAnsi="Arial Narrow"/>
                <w:sz w:val="20"/>
                <w:lang w:val="en-US"/>
              </w:rPr>
            </w:pPr>
            <w:r w:rsidRPr="00443103">
              <w:rPr>
                <w:rFonts w:ascii="Arial Narrow" w:hAnsi="Arial Narrow"/>
                <w:sz w:val="20"/>
                <w:lang w:val="en-US"/>
              </w:rPr>
              <w:t>-</w:t>
            </w:r>
          </w:p>
        </w:tc>
      </w:tr>
    </w:tbl>
    <w:p w:rsidR="00131842" w:rsidRPr="00443103" w:rsidRDefault="00131842" w:rsidP="00131842">
      <w:pPr>
        <w:pStyle w:val="TableFooter"/>
        <w:ind w:firstLine="720"/>
      </w:pPr>
      <w:r w:rsidRPr="00443103">
        <w:t>Source: compiled during the evaluation</w:t>
      </w:r>
    </w:p>
    <w:p w:rsidR="00131842" w:rsidRPr="00443103" w:rsidRDefault="00131842" w:rsidP="00131842">
      <w:pPr>
        <w:pStyle w:val="TableFooter"/>
        <w:ind w:left="720"/>
      </w:pPr>
      <w:r w:rsidRPr="00443103">
        <w:t>Abbreviations: CMG, continuous measure of medication gap; GPs, general practitioners; MPR, medication possession ratio</w:t>
      </w:r>
    </w:p>
    <w:p w:rsidR="00131842" w:rsidRPr="00443103" w:rsidRDefault="00131842" w:rsidP="00131842">
      <w:pPr>
        <w:pStyle w:val="TableFooter"/>
        <w:ind w:left="720"/>
      </w:pPr>
      <w:proofErr w:type="gramStart"/>
      <w:r w:rsidRPr="00443103">
        <w:rPr>
          <w:vertAlign w:val="superscript"/>
        </w:rPr>
        <w:t>a</w:t>
      </w:r>
      <w:proofErr w:type="gramEnd"/>
      <w:r w:rsidRPr="00443103">
        <w:t xml:space="preserve"> There appear to be data available beyond the reported study period</w:t>
      </w:r>
    </w:p>
    <w:p w:rsidR="000E7BC9" w:rsidRPr="00443103" w:rsidRDefault="000E7BC9" w:rsidP="00131842">
      <w:pPr>
        <w:pStyle w:val="TableFooter"/>
        <w:ind w:left="720"/>
      </w:pPr>
      <w:proofErr w:type="gramStart"/>
      <w:r w:rsidRPr="00443103">
        <w:rPr>
          <w:vertAlign w:val="superscript"/>
        </w:rPr>
        <w:t>b</w:t>
      </w:r>
      <w:proofErr w:type="gramEnd"/>
      <w:r w:rsidRPr="00443103">
        <w:t xml:space="preserve"> Also reported as 1,203 patients in the submission</w:t>
      </w:r>
    </w:p>
    <w:p w:rsidR="00720B27" w:rsidRPr="00F6481B" w:rsidRDefault="00720B27" w:rsidP="00F6481B">
      <w:pPr>
        <w:widowControl/>
        <w:rPr>
          <w:szCs w:val="22"/>
        </w:rPr>
      </w:pPr>
    </w:p>
    <w:p w:rsidR="00686C4F" w:rsidRPr="00443103" w:rsidRDefault="00686C4F" w:rsidP="008D11C6">
      <w:pPr>
        <w:pStyle w:val="ListParagraph"/>
        <w:widowControl/>
        <w:numPr>
          <w:ilvl w:val="1"/>
          <w:numId w:val="3"/>
        </w:numPr>
        <w:rPr>
          <w:szCs w:val="22"/>
        </w:rPr>
      </w:pPr>
      <w:r w:rsidRPr="00016C7C">
        <w:rPr>
          <w:szCs w:val="22"/>
        </w:rPr>
        <w:t xml:space="preserve">Three additional </w:t>
      </w:r>
      <w:r w:rsidR="009E2FC0">
        <w:rPr>
          <w:szCs w:val="22"/>
        </w:rPr>
        <w:t xml:space="preserve">published </w:t>
      </w:r>
      <w:r w:rsidRPr="00016C7C">
        <w:rPr>
          <w:szCs w:val="22"/>
        </w:rPr>
        <w:t>studies were</w:t>
      </w:r>
      <w:r w:rsidR="00016C7C">
        <w:rPr>
          <w:szCs w:val="22"/>
        </w:rPr>
        <w:t xml:space="preserve"> identified as being relevant</w:t>
      </w:r>
      <w:r w:rsidRPr="00016C7C">
        <w:rPr>
          <w:szCs w:val="22"/>
        </w:rPr>
        <w:t>: two systematic reviews</w:t>
      </w:r>
      <w:r w:rsidRPr="00443103">
        <w:rPr>
          <w:szCs w:val="22"/>
        </w:rPr>
        <w:t xml:space="preserve"> (De Vera et al</w:t>
      </w:r>
      <w:r w:rsidR="007A5CA0">
        <w:rPr>
          <w:szCs w:val="22"/>
        </w:rPr>
        <w:t>.</w:t>
      </w:r>
      <w:r w:rsidRPr="00443103">
        <w:rPr>
          <w:szCs w:val="22"/>
        </w:rPr>
        <w:t xml:space="preserve"> </w:t>
      </w:r>
      <w:proofErr w:type="spellStart"/>
      <w:r w:rsidRPr="00443103">
        <w:rPr>
          <w:szCs w:val="22"/>
        </w:rPr>
        <w:t>epub</w:t>
      </w:r>
      <w:proofErr w:type="spellEnd"/>
      <w:r w:rsidRPr="00443103">
        <w:rPr>
          <w:szCs w:val="22"/>
        </w:rPr>
        <w:t xml:space="preserve"> 2014 and Mann et al</w:t>
      </w:r>
      <w:r w:rsidR="007A5CA0">
        <w:rPr>
          <w:szCs w:val="22"/>
        </w:rPr>
        <w:t>.</w:t>
      </w:r>
      <w:r w:rsidRPr="00443103">
        <w:rPr>
          <w:szCs w:val="22"/>
        </w:rPr>
        <w:t xml:space="preserve"> 2010) and one retrospective observatio</w:t>
      </w:r>
      <w:r w:rsidR="00F6481B">
        <w:rPr>
          <w:szCs w:val="22"/>
        </w:rPr>
        <w:t>nal study (Simons et al</w:t>
      </w:r>
      <w:r w:rsidR="005308E6">
        <w:rPr>
          <w:szCs w:val="22"/>
        </w:rPr>
        <w:t>.</w:t>
      </w:r>
      <w:r w:rsidR="00F6481B">
        <w:rPr>
          <w:szCs w:val="22"/>
        </w:rPr>
        <w:t xml:space="preserve"> 2011).</w:t>
      </w:r>
    </w:p>
    <w:p w:rsidR="00686C4F" w:rsidRPr="00443103" w:rsidRDefault="00686C4F" w:rsidP="00686C4F">
      <w:pPr>
        <w:widowControl/>
        <w:rPr>
          <w:szCs w:val="22"/>
        </w:rPr>
      </w:pPr>
    </w:p>
    <w:p w:rsidR="00E40AD3" w:rsidRDefault="000638F1" w:rsidP="00E40AD3">
      <w:pPr>
        <w:pStyle w:val="ListParagraph"/>
        <w:widowControl/>
        <w:numPr>
          <w:ilvl w:val="1"/>
          <w:numId w:val="3"/>
        </w:numPr>
        <w:rPr>
          <w:szCs w:val="22"/>
        </w:rPr>
      </w:pPr>
      <w:r w:rsidRPr="00E40AD3">
        <w:rPr>
          <w:szCs w:val="22"/>
        </w:rPr>
        <w:t xml:space="preserve">The </w:t>
      </w:r>
      <w:r w:rsidR="009E2FC0" w:rsidRPr="00E40AD3">
        <w:rPr>
          <w:szCs w:val="22"/>
        </w:rPr>
        <w:t xml:space="preserve">evaluation concluded that </w:t>
      </w:r>
      <w:r w:rsidR="00383440">
        <w:rPr>
          <w:szCs w:val="22"/>
        </w:rPr>
        <w:t xml:space="preserve">the </w:t>
      </w:r>
      <w:proofErr w:type="spellStart"/>
      <w:r w:rsidRPr="00E40AD3">
        <w:rPr>
          <w:szCs w:val="22"/>
        </w:rPr>
        <w:t>Vytorin</w:t>
      </w:r>
      <w:proofErr w:type="spellEnd"/>
      <w:r w:rsidRPr="00E40AD3">
        <w:rPr>
          <w:szCs w:val="22"/>
        </w:rPr>
        <w:t xml:space="preserve"> Compliance Study IV </w:t>
      </w:r>
      <w:r w:rsidR="00383440">
        <w:rPr>
          <w:szCs w:val="22"/>
        </w:rPr>
        <w:t>wa</w:t>
      </w:r>
      <w:r w:rsidRPr="00E40AD3">
        <w:rPr>
          <w:szCs w:val="22"/>
        </w:rPr>
        <w:t xml:space="preserve">s at high risk of bias (for both Cohort 1 and Cohort 2). </w:t>
      </w:r>
      <w:r w:rsidR="00136EC2" w:rsidRPr="00E40AD3">
        <w:rPr>
          <w:szCs w:val="22"/>
        </w:rPr>
        <w:t>The systematic reviews which were largely based on observational data were also c</w:t>
      </w:r>
      <w:r w:rsidR="00F6481B">
        <w:rPr>
          <w:szCs w:val="22"/>
        </w:rPr>
        <w:t>onsidered at high risk of bias.</w:t>
      </w:r>
    </w:p>
    <w:p w:rsidR="00E40AD3" w:rsidRPr="00F6481B" w:rsidRDefault="00E40AD3" w:rsidP="00E40AD3">
      <w:pPr>
        <w:rPr>
          <w:szCs w:val="22"/>
        </w:rPr>
      </w:pPr>
    </w:p>
    <w:p w:rsidR="00E40AD3" w:rsidRPr="00AC0F94" w:rsidRDefault="00E40AD3" w:rsidP="00AC0F94">
      <w:pPr>
        <w:pStyle w:val="ListParagraph"/>
        <w:numPr>
          <w:ilvl w:val="1"/>
          <w:numId w:val="3"/>
        </w:numPr>
        <w:rPr>
          <w:szCs w:val="22"/>
        </w:rPr>
      </w:pPr>
      <w:r w:rsidRPr="00AC0F94">
        <w:rPr>
          <w:szCs w:val="22"/>
        </w:rPr>
        <w:t xml:space="preserve">The submission did not present data or make any claim under subsection 101(4AC) on the comparative efficacy or toxicity of </w:t>
      </w:r>
      <w:proofErr w:type="spellStart"/>
      <w:r w:rsidRPr="00AC0F94">
        <w:rPr>
          <w:szCs w:val="22"/>
        </w:rPr>
        <w:t>Vytorin</w:t>
      </w:r>
      <w:proofErr w:type="spellEnd"/>
      <w:r w:rsidRPr="00AC0F94">
        <w:rPr>
          <w:szCs w:val="22"/>
        </w:rPr>
        <w:t xml:space="preserve"> over its alternative therapies.</w:t>
      </w:r>
    </w:p>
    <w:p w:rsidR="00B60939" w:rsidRPr="00F6481B" w:rsidRDefault="00B60939" w:rsidP="00F6481B">
      <w:pPr>
        <w:widowControl/>
        <w:rPr>
          <w:szCs w:val="22"/>
        </w:rPr>
      </w:pPr>
    </w:p>
    <w:p w:rsidR="00DF3C3E" w:rsidRDefault="00DF3C3E" w:rsidP="00416BBF">
      <w:pPr>
        <w:pStyle w:val="PBACHeading1"/>
        <w:numPr>
          <w:ilvl w:val="0"/>
          <w:numId w:val="0"/>
        </w:numPr>
        <w:ind w:left="720" w:hanging="720"/>
      </w:pPr>
      <w:bookmarkStart w:id="7" w:name="_Toc398651873"/>
      <w:r>
        <w:t>Comparative compliance to therapy</w:t>
      </w:r>
    </w:p>
    <w:p w:rsidR="00AC0F94" w:rsidRPr="00AC0F94" w:rsidRDefault="00AC0F94" w:rsidP="00AC0F94">
      <w:pPr>
        <w:pStyle w:val="ListParagraph"/>
        <w:rPr>
          <w:szCs w:val="22"/>
        </w:rPr>
      </w:pPr>
    </w:p>
    <w:p w:rsidR="00AC0F94" w:rsidRPr="00AC0F94" w:rsidRDefault="00AC0F94" w:rsidP="00AC0F94">
      <w:pPr>
        <w:pStyle w:val="ListParagraph"/>
        <w:numPr>
          <w:ilvl w:val="1"/>
          <w:numId w:val="3"/>
        </w:numPr>
        <w:rPr>
          <w:szCs w:val="22"/>
        </w:rPr>
      </w:pPr>
      <w:r w:rsidRPr="00AC0F94">
        <w:rPr>
          <w:szCs w:val="22"/>
        </w:rPr>
        <w:t>The April 2010 CMWG report to the PBAC provides a framework based on important questions from a funder perspective in evaluating evidence to support claims of increased compliance to combination items. The submission and these Minutes are structured around these six questions</w:t>
      </w:r>
      <w:r>
        <w:rPr>
          <w:szCs w:val="22"/>
        </w:rPr>
        <w:t>.</w:t>
      </w:r>
    </w:p>
    <w:bookmarkEnd w:id="7"/>
    <w:p w:rsidR="000D112F" w:rsidRPr="00443103" w:rsidRDefault="000D112F" w:rsidP="00F6481B">
      <w:pPr>
        <w:widowControl/>
        <w:rPr>
          <w:lang w:val="en-US"/>
        </w:rPr>
      </w:pPr>
    </w:p>
    <w:p w:rsidR="0003014E" w:rsidRPr="0003014E" w:rsidRDefault="0003014E" w:rsidP="00740B50">
      <w:pPr>
        <w:widowControl/>
        <w:rPr>
          <w:b/>
          <w:i/>
          <w:szCs w:val="22"/>
        </w:rPr>
      </w:pPr>
      <w:r w:rsidRPr="0003014E">
        <w:rPr>
          <w:b/>
          <w:i/>
          <w:szCs w:val="22"/>
        </w:rPr>
        <w:t xml:space="preserve">What is currently known about the level of compliance with </w:t>
      </w:r>
      <w:proofErr w:type="spellStart"/>
      <w:r w:rsidRPr="0003014E">
        <w:rPr>
          <w:b/>
          <w:i/>
          <w:szCs w:val="22"/>
        </w:rPr>
        <w:t>Vytorin</w:t>
      </w:r>
      <w:proofErr w:type="spellEnd"/>
      <w:r w:rsidRPr="0003014E">
        <w:rPr>
          <w:b/>
          <w:i/>
          <w:szCs w:val="22"/>
        </w:rPr>
        <w:t>?</w:t>
      </w:r>
      <w:r w:rsidR="00735CEF">
        <w:rPr>
          <w:b/>
          <w:i/>
          <w:szCs w:val="22"/>
        </w:rPr>
        <w:t xml:space="preserve"> (Question 1 in the CMWG report)</w:t>
      </w:r>
    </w:p>
    <w:p w:rsidR="00DF3C3E" w:rsidRPr="00F6481B" w:rsidRDefault="00DF3C3E" w:rsidP="00F6481B">
      <w:pPr>
        <w:rPr>
          <w:szCs w:val="22"/>
        </w:rPr>
      </w:pPr>
    </w:p>
    <w:p w:rsidR="00723514" w:rsidRDefault="00723514" w:rsidP="00723514">
      <w:pPr>
        <w:pStyle w:val="ListParagraph"/>
        <w:numPr>
          <w:ilvl w:val="1"/>
          <w:numId w:val="3"/>
        </w:numPr>
        <w:rPr>
          <w:szCs w:val="22"/>
        </w:rPr>
      </w:pPr>
      <w:r w:rsidRPr="00723514">
        <w:rPr>
          <w:szCs w:val="22"/>
        </w:rPr>
        <w:t xml:space="preserve">The submission reviewed the literature and undertook analyses of PBS data to </w:t>
      </w:r>
      <w:r>
        <w:rPr>
          <w:szCs w:val="22"/>
        </w:rPr>
        <w:t>measure</w:t>
      </w:r>
      <w:r w:rsidRPr="00723514">
        <w:rPr>
          <w:szCs w:val="22"/>
        </w:rPr>
        <w:t xml:space="preserve"> the current level of compliance with </w:t>
      </w:r>
      <w:proofErr w:type="spellStart"/>
      <w:r w:rsidRPr="00723514">
        <w:rPr>
          <w:szCs w:val="22"/>
        </w:rPr>
        <w:t>Vytorin</w:t>
      </w:r>
      <w:proofErr w:type="spellEnd"/>
      <w:r w:rsidRPr="00723514">
        <w:rPr>
          <w:szCs w:val="22"/>
        </w:rPr>
        <w:t>.</w:t>
      </w:r>
    </w:p>
    <w:p w:rsidR="00DC74F1" w:rsidRPr="00F6481B" w:rsidRDefault="00DC74F1" w:rsidP="00DC74F1">
      <w:pPr>
        <w:rPr>
          <w:szCs w:val="22"/>
        </w:rPr>
      </w:pPr>
    </w:p>
    <w:p w:rsidR="00723514" w:rsidRDefault="00DC74F1" w:rsidP="00723514">
      <w:pPr>
        <w:pStyle w:val="ListParagraph"/>
        <w:numPr>
          <w:ilvl w:val="1"/>
          <w:numId w:val="3"/>
        </w:numPr>
        <w:rPr>
          <w:szCs w:val="22"/>
        </w:rPr>
      </w:pPr>
      <w:r>
        <w:rPr>
          <w:szCs w:val="22"/>
        </w:rPr>
        <w:t>T</w:t>
      </w:r>
      <w:r w:rsidR="00723514">
        <w:rPr>
          <w:szCs w:val="22"/>
        </w:rPr>
        <w:t xml:space="preserve">wo </w:t>
      </w:r>
      <w:r w:rsidR="00B53849">
        <w:rPr>
          <w:szCs w:val="22"/>
        </w:rPr>
        <w:t>studies from the literature review reporting on the current level of compliance</w:t>
      </w:r>
      <w:r w:rsidR="00723514">
        <w:rPr>
          <w:szCs w:val="22"/>
        </w:rPr>
        <w:t xml:space="preserve"> to </w:t>
      </w:r>
      <w:proofErr w:type="spellStart"/>
      <w:r w:rsidR="00723514">
        <w:rPr>
          <w:szCs w:val="22"/>
        </w:rPr>
        <w:t>Vytorin</w:t>
      </w:r>
      <w:proofErr w:type="spellEnd"/>
      <w:r w:rsidR="00723514">
        <w:rPr>
          <w:szCs w:val="22"/>
        </w:rPr>
        <w:t xml:space="preserve">: </w:t>
      </w:r>
      <w:proofErr w:type="spellStart"/>
      <w:r w:rsidR="00723514" w:rsidRPr="00723514">
        <w:rPr>
          <w:szCs w:val="22"/>
        </w:rPr>
        <w:t>Hildemann</w:t>
      </w:r>
      <w:proofErr w:type="spellEnd"/>
      <w:r w:rsidR="00723514" w:rsidRPr="00723514">
        <w:rPr>
          <w:szCs w:val="22"/>
        </w:rPr>
        <w:t xml:space="preserve"> (2008) and </w:t>
      </w:r>
      <w:proofErr w:type="spellStart"/>
      <w:r w:rsidR="00723514" w:rsidRPr="00723514">
        <w:rPr>
          <w:szCs w:val="22"/>
        </w:rPr>
        <w:t>Kamat</w:t>
      </w:r>
      <w:proofErr w:type="spellEnd"/>
      <w:r w:rsidR="00723514" w:rsidRPr="00723514">
        <w:rPr>
          <w:szCs w:val="22"/>
        </w:rPr>
        <w:t xml:space="preserve"> (2011)</w:t>
      </w:r>
      <w:r>
        <w:rPr>
          <w:szCs w:val="22"/>
        </w:rPr>
        <w:t xml:space="preserve"> were presented by the submission</w:t>
      </w:r>
      <w:r w:rsidR="00F6481B">
        <w:rPr>
          <w:szCs w:val="22"/>
        </w:rPr>
        <w:t>.</w:t>
      </w:r>
    </w:p>
    <w:p w:rsidR="00723514" w:rsidRPr="00723514" w:rsidRDefault="00723514" w:rsidP="00723514">
      <w:pPr>
        <w:rPr>
          <w:szCs w:val="22"/>
        </w:rPr>
      </w:pPr>
    </w:p>
    <w:p w:rsidR="00740B50" w:rsidRPr="00085D3D" w:rsidRDefault="00085D3D" w:rsidP="008D11C6">
      <w:pPr>
        <w:pStyle w:val="ListParagraph"/>
        <w:numPr>
          <w:ilvl w:val="1"/>
          <w:numId w:val="3"/>
        </w:numPr>
        <w:rPr>
          <w:szCs w:val="22"/>
        </w:rPr>
      </w:pPr>
      <w:r w:rsidRPr="00085D3D">
        <w:rPr>
          <w:szCs w:val="22"/>
        </w:rPr>
        <w:t>T</w:t>
      </w:r>
      <w:r w:rsidR="007E37D7" w:rsidRPr="00085D3D">
        <w:rPr>
          <w:szCs w:val="22"/>
        </w:rPr>
        <w:t xml:space="preserve">he study by </w:t>
      </w:r>
      <w:proofErr w:type="spellStart"/>
      <w:r w:rsidR="007E37D7" w:rsidRPr="00085D3D">
        <w:rPr>
          <w:szCs w:val="22"/>
        </w:rPr>
        <w:t>Hilde</w:t>
      </w:r>
      <w:r w:rsidR="00740B50" w:rsidRPr="00085D3D">
        <w:rPr>
          <w:szCs w:val="22"/>
        </w:rPr>
        <w:t>mann</w:t>
      </w:r>
      <w:proofErr w:type="spellEnd"/>
      <w:r w:rsidR="00740B50" w:rsidRPr="00085D3D">
        <w:rPr>
          <w:szCs w:val="22"/>
        </w:rPr>
        <w:t xml:space="preserve"> (2008) concluded that</w:t>
      </w:r>
      <w:r w:rsidR="00F6481B">
        <w:rPr>
          <w:szCs w:val="22"/>
        </w:rPr>
        <w:t>,</w:t>
      </w:r>
      <w:r w:rsidR="00740B50" w:rsidRPr="00085D3D">
        <w:rPr>
          <w:szCs w:val="22"/>
        </w:rPr>
        <w:t xml:space="preserve"> compared to patients with therapy discontinuations or switches, those remaining on the combination had better outcomes regarding lipid status. DUSC noted that the sponsor had acknowledged some limitations of the study and agreed with the </w:t>
      </w:r>
      <w:r w:rsidR="008B30D2">
        <w:rPr>
          <w:szCs w:val="22"/>
        </w:rPr>
        <w:t>e</w:t>
      </w:r>
      <w:r w:rsidR="000D6553">
        <w:rPr>
          <w:szCs w:val="22"/>
        </w:rPr>
        <w:t>valuation</w:t>
      </w:r>
      <w:r w:rsidR="00740B50" w:rsidRPr="00085D3D">
        <w:rPr>
          <w:szCs w:val="22"/>
        </w:rPr>
        <w:t xml:space="preserve"> that the study had a high risk of bias and lacked clarity on other includ</w:t>
      </w:r>
      <w:r w:rsidR="00F6481B">
        <w:rPr>
          <w:szCs w:val="22"/>
        </w:rPr>
        <w:t>ed therapies. DUSC added that:</w:t>
      </w:r>
    </w:p>
    <w:p w:rsidR="00740B50" w:rsidRPr="00740B50" w:rsidRDefault="006A7410" w:rsidP="008D11C6">
      <w:pPr>
        <w:pStyle w:val="ListParagraph"/>
        <w:widowControl/>
        <w:numPr>
          <w:ilvl w:val="0"/>
          <w:numId w:val="8"/>
        </w:numPr>
        <w:ind w:left="993" w:hanging="284"/>
        <w:rPr>
          <w:szCs w:val="22"/>
        </w:rPr>
      </w:pPr>
      <w:r>
        <w:rPr>
          <w:szCs w:val="22"/>
        </w:rPr>
        <w:lastRenderedPageBreak/>
        <w:t>T</w:t>
      </w:r>
      <w:r w:rsidR="00740B50" w:rsidRPr="00740B50">
        <w:rPr>
          <w:szCs w:val="22"/>
        </w:rPr>
        <w:t>he populations in the study were not comparable. The cohort of patients remaining on the combination was subject to survivor bias; and the cohort of patients switching or discontinuing was subj</w:t>
      </w:r>
      <w:r w:rsidR="00F6481B">
        <w:rPr>
          <w:szCs w:val="22"/>
        </w:rPr>
        <w:t>ect to non-responder bias.</w:t>
      </w:r>
    </w:p>
    <w:p w:rsidR="00740B50" w:rsidRPr="00740B50" w:rsidRDefault="006A7410" w:rsidP="008D11C6">
      <w:pPr>
        <w:pStyle w:val="ListParagraph"/>
        <w:widowControl/>
        <w:numPr>
          <w:ilvl w:val="0"/>
          <w:numId w:val="8"/>
        </w:numPr>
        <w:ind w:left="993" w:hanging="284"/>
        <w:rPr>
          <w:szCs w:val="22"/>
        </w:rPr>
      </w:pPr>
      <w:r>
        <w:rPr>
          <w:szCs w:val="22"/>
        </w:rPr>
        <w:t>T</w:t>
      </w:r>
      <w:r w:rsidR="00740B50" w:rsidRPr="00740B50">
        <w:rPr>
          <w:szCs w:val="22"/>
        </w:rPr>
        <w:t>he paper d</w:t>
      </w:r>
      <w:r w:rsidR="00740B50">
        <w:rPr>
          <w:szCs w:val="22"/>
        </w:rPr>
        <w:t>id</w:t>
      </w:r>
      <w:r w:rsidR="00740B50" w:rsidRPr="00740B50">
        <w:rPr>
          <w:szCs w:val="22"/>
        </w:rPr>
        <w:t xml:space="preserve"> not report the baseline characteristics of the study populations separately, nor d</w:t>
      </w:r>
      <w:r w:rsidR="00740B50">
        <w:rPr>
          <w:szCs w:val="22"/>
        </w:rPr>
        <w:t>id</w:t>
      </w:r>
      <w:r w:rsidR="00740B50" w:rsidRPr="00740B50">
        <w:rPr>
          <w:szCs w:val="22"/>
        </w:rPr>
        <w:t xml:space="preserve"> it report lipid profile</w:t>
      </w:r>
      <w:r w:rsidR="00F6481B">
        <w:rPr>
          <w:szCs w:val="22"/>
        </w:rPr>
        <w:t xml:space="preserve"> results at 8 weeks separately.</w:t>
      </w:r>
    </w:p>
    <w:p w:rsidR="00740B50" w:rsidRDefault="006A7410" w:rsidP="008D11C6">
      <w:pPr>
        <w:pStyle w:val="ListParagraph"/>
        <w:widowControl/>
        <w:numPr>
          <w:ilvl w:val="0"/>
          <w:numId w:val="8"/>
        </w:numPr>
        <w:ind w:left="993" w:hanging="284"/>
        <w:rPr>
          <w:szCs w:val="22"/>
        </w:rPr>
      </w:pPr>
      <w:r>
        <w:rPr>
          <w:szCs w:val="22"/>
        </w:rPr>
        <w:t>T</w:t>
      </w:r>
      <w:r w:rsidR="00740B50">
        <w:rPr>
          <w:szCs w:val="22"/>
        </w:rPr>
        <w:t>he study has</w:t>
      </w:r>
      <w:r w:rsidR="00740B50" w:rsidRPr="00740B50">
        <w:rPr>
          <w:szCs w:val="22"/>
        </w:rPr>
        <w:t xml:space="preserve"> low applicability to the Australian population, particularly noting that the majority of patients were on ezetimibe/simvastatin 10</w:t>
      </w:r>
      <w:r w:rsidR="00740B50">
        <w:rPr>
          <w:szCs w:val="22"/>
        </w:rPr>
        <w:t xml:space="preserve"> mg</w:t>
      </w:r>
      <w:r w:rsidR="00740B50" w:rsidRPr="00740B50">
        <w:rPr>
          <w:szCs w:val="22"/>
        </w:rPr>
        <w:t>/10</w:t>
      </w:r>
      <w:r w:rsidR="00740B50">
        <w:rPr>
          <w:szCs w:val="22"/>
        </w:rPr>
        <w:t xml:space="preserve"> mg</w:t>
      </w:r>
      <w:r w:rsidR="00740B50" w:rsidRPr="00740B50">
        <w:rPr>
          <w:szCs w:val="22"/>
        </w:rPr>
        <w:t xml:space="preserve"> and 10</w:t>
      </w:r>
      <w:r w:rsidR="00740B50">
        <w:rPr>
          <w:szCs w:val="22"/>
        </w:rPr>
        <w:t> mg</w:t>
      </w:r>
      <w:r w:rsidR="00740B50" w:rsidRPr="00740B50">
        <w:rPr>
          <w:szCs w:val="22"/>
        </w:rPr>
        <w:t>/20</w:t>
      </w:r>
      <w:r w:rsidR="00740B50">
        <w:rPr>
          <w:szCs w:val="22"/>
        </w:rPr>
        <w:t> mg</w:t>
      </w:r>
      <w:r w:rsidR="00740B50" w:rsidRPr="00740B50">
        <w:rPr>
          <w:szCs w:val="22"/>
        </w:rPr>
        <w:t>, where as in Australia 10</w:t>
      </w:r>
      <w:r w:rsidR="00740B50">
        <w:rPr>
          <w:szCs w:val="22"/>
        </w:rPr>
        <w:t xml:space="preserve"> mg</w:t>
      </w:r>
      <w:r w:rsidR="00740B50" w:rsidRPr="00740B50">
        <w:rPr>
          <w:szCs w:val="22"/>
        </w:rPr>
        <w:t>/40</w:t>
      </w:r>
      <w:r w:rsidR="00740B50">
        <w:rPr>
          <w:szCs w:val="22"/>
        </w:rPr>
        <w:t xml:space="preserve"> mg</w:t>
      </w:r>
      <w:r w:rsidR="00740B50" w:rsidRPr="00740B50">
        <w:rPr>
          <w:szCs w:val="22"/>
        </w:rPr>
        <w:t xml:space="preserve"> and 10</w:t>
      </w:r>
      <w:r w:rsidR="00740B50">
        <w:rPr>
          <w:szCs w:val="22"/>
        </w:rPr>
        <w:t xml:space="preserve"> mg</w:t>
      </w:r>
      <w:r w:rsidR="00740B50" w:rsidRPr="00740B50">
        <w:rPr>
          <w:szCs w:val="22"/>
        </w:rPr>
        <w:t xml:space="preserve">/80 </w:t>
      </w:r>
      <w:r w:rsidR="00740B50">
        <w:rPr>
          <w:szCs w:val="22"/>
        </w:rPr>
        <w:t xml:space="preserve">mg </w:t>
      </w:r>
      <w:r w:rsidR="00740B50" w:rsidRPr="00740B50">
        <w:rPr>
          <w:szCs w:val="22"/>
        </w:rPr>
        <w:t xml:space="preserve">are the most </w:t>
      </w:r>
      <w:proofErr w:type="gramStart"/>
      <w:r w:rsidR="00740B50" w:rsidRPr="00740B50">
        <w:rPr>
          <w:szCs w:val="22"/>
        </w:rPr>
        <w:t>commonly</w:t>
      </w:r>
      <w:proofErr w:type="gramEnd"/>
      <w:r w:rsidR="00740B50" w:rsidRPr="00740B50">
        <w:rPr>
          <w:szCs w:val="22"/>
        </w:rPr>
        <w:t xml:space="preserve"> prescribed strengths. </w:t>
      </w:r>
    </w:p>
    <w:p w:rsidR="00740B50" w:rsidRPr="00F6481B" w:rsidRDefault="00740B50" w:rsidP="00F6481B">
      <w:pPr>
        <w:widowControl/>
        <w:rPr>
          <w:szCs w:val="22"/>
        </w:rPr>
      </w:pPr>
    </w:p>
    <w:p w:rsidR="00740B50" w:rsidRDefault="00740B50" w:rsidP="008D11C6">
      <w:pPr>
        <w:pStyle w:val="ListParagraph"/>
        <w:widowControl/>
        <w:numPr>
          <w:ilvl w:val="1"/>
          <w:numId w:val="3"/>
        </w:numPr>
        <w:rPr>
          <w:szCs w:val="22"/>
        </w:rPr>
      </w:pPr>
      <w:r w:rsidRPr="00740B50">
        <w:rPr>
          <w:szCs w:val="22"/>
        </w:rPr>
        <w:t>For the above reasons, DUSC consid</w:t>
      </w:r>
      <w:r w:rsidR="007E37D7">
        <w:rPr>
          <w:szCs w:val="22"/>
        </w:rPr>
        <w:t xml:space="preserve">ered that </w:t>
      </w:r>
      <w:proofErr w:type="spellStart"/>
      <w:r w:rsidR="007E37D7">
        <w:rPr>
          <w:szCs w:val="22"/>
        </w:rPr>
        <w:t>Hilde</w:t>
      </w:r>
      <w:r>
        <w:rPr>
          <w:szCs w:val="22"/>
        </w:rPr>
        <w:t>mann</w:t>
      </w:r>
      <w:proofErr w:type="spellEnd"/>
      <w:r>
        <w:rPr>
          <w:szCs w:val="22"/>
        </w:rPr>
        <w:t xml:space="preserve"> (2008) did</w:t>
      </w:r>
      <w:r w:rsidRPr="00740B50">
        <w:rPr>
          <w:szCs w:val="22"/>
        </w:rPr>
        <w:t xml:space="preserve"> not provide any evidence on the overall compliance to </w:t>
      </w:r>
      <w:proofErr w:type="spellStart"/>
      <w:r w:rsidRPr="00740B50">
        <w:rPr>
          <w:szCs w:val="22"/>
        </w:rPr>
        <w:t>Vytorin</w:t>
      </w:r>
      <w:proofErr w:type="spellEnd"/>
      <w:r w:rsidRPr="00740B50">
        <w:rPr>
          <w:szCs w:val="22"/>
        </w:rPr>
        <w:t xml:space="preserve"> or the concomitant or alternative therapies available on the PBS. DU</w:t>
      </w:r>
      <w:r>
        <w:rPr>
          <w:szCs w:val="22"/>
        </w:rPr>
        <w:t>SC concluded that the evidence wa</w:t>
      </w:r>
      <w:r w:rsidRPr="00740B50">
        <w:rPr>
          <w:szCs w:val="22"/>
        </w:rPr>
        <w:t>s insufficient for ascertaining that any reported differences in lipid levels or compliance are due to differences arising from using a combination item.</w:t>
      </w:r>
      <w:r w:rsidR="002D4422">
        <w:rPr>
          <w:szCs w:val="22"/>
        </w:rPr>
        <w:t xml:space="preserve"> </w:t>
      </w:r>
    </w:p>
    <w:p w:rsidR="002D4422" w:rsidRPr="00F6481B" w:rsidRDefault="002D4422" w:rsidP="002D4422">
      <w:pPr>
        <w:widowControl/>
        <w:rPr>
          <w:szCs w:val="22"/>
        </w:rPr>
      </w:pPr>
    </w:p>
    <w:p w:rsidR="002D4422" w:rsidRPr="002D4422" w:rsidRDefault="002D4422" w:rsidP="008D11C6">
      <w:pPr>
        <w:pStyle w:val="ListParagraph"/>
        <w:widowControl/>
        <w:numPr>
          <w:ilvl w:val="1"/>
          <w:numId w:val="3"/>
        </w:numPr>
        <w:rPr>
          <w:szCs w:val="22"/>
        </w:rPr>
      </w:pPr>
      <w:r w:rsidRPr="002D4422">
        <w:rPr>
          <w:szCs w:val="22"/>
        </w:rPr>
        <w:t>The second</w:t>
      </w:r>
      <w:r>
        <w:rPr>
          <w:szCs w:val="22"/>
        </w:rPr>
        <w:t xml:space="preserve"> study by </w:t>
      </w:r>
      <w:proofErr w:type="spellStart"/>
      <w:r>
        <w:rPr>
          <w:szCs w:val="22"/>
        </w:rPr>
        <w:t>Kamat</w:t>
      </w:r>
      <w:proofErr w:type="spellEnd"/>
      <w:r>
        <w:rPr>
          <w:szCs w:val="22"/>
        </w:rPr>
        <w:t xml:space="preserve"> (2011) concluded</w:t>
      </w:r>
      <w:r w:rsidRPr="002D4422">
        <w:rPr>
          <w:szCs w:val="22"/>
        </w:rPr>
        <w:t xml:space="preserve"> that adherence to single pill statin combinations including </w:t>
      </w:r>
      <w:proofErr w:type="spellStart"/>
      <w:r w:rsidRPr="002D4422">
        <w:rPr>
          <w:szCs w:val="22"/>
        </w:rPr>
        <w:t>Vytorin</w:t>
      </w:r>
      <w:proofErr w:type="spellEnd"/>
      <w:r w:rsidRPr="002D4422">
        <w:rPr>
          <w:szCs w:val="22"/>
        </w:rPr>
        <w:t xml:space="preserve"> is statistically significantly higher than adherence to multiple pill statin regimens, based on the proportion of days covered (PDC) of 56% versus 47% respectively. This study used the PDC method to compare adherence between the two study groups. DUSC considered that:</w:t>
      </w:r>
    </w:p>
    <w:p w:rsidR="002D4422" w:rsidRPr="002D4422" w:rsidRDefault="002D4422" w:rsidP="00F6481B">
      <w:pPr>
        <w:pStyle w:val="ListParagraph"/>
        <w:widowControl/>
        <w:numPr>
          <w:ilvl w:val="0"/>
          <w:numId w:val="8"/>
        </w:numPr>
        <w:ind w:left="993" w:hanging="284"/>
        <w:rPr>
          <w:szCs w:val="22"/>
        </w:rPr>
      </w:pPr>
      <w:r w:rsidRPr="002D4422">
        <w:rPr>
          <w:szCs w:val="22"/>
        </w:rPr>
        <w:t>The method biases in favour of the single pill combination. It d</w:t>
      </w:r>
      <w:r>
        <w:rPr>
          <w:szCs w:val="22"/>
        </w:rPr>
        <w:t>id</w:t>
      </w:r>
      <w:r w:rsidRPr="002D4422">
        <w:rPr>
          <w:szCs w:val="22"/>
        </w:rPr>
        <w:t xml:space="preserve"> not allow flexible allocation of days around the dispensing of separate prescriptions on different days and favours single pill combinations, which by default are dispensed on the same day.</w:t>
      </w:r>
    </w:p>
    <w:p w:rsidR="002D4422" w:rsidRPr="002D4422" w:rsidRDefault="002D4422" w:rsidP="00F6481B">
      <w:pPr>
        <w:pStyle w:val="ListParagraph"/>
        <w:widowControl/>
        <w:numPr>
          <w:ilvl w:val="0"/>
          <w:numId w:val="8"/>
        </w:numPr>
        <w:ind w:left="993" w:hanging="284"/>
        <w:rPr>
          <w:szCs w:val="22"/>
        </w:rPr>
      </w:pPr>
      <w:r>
        <w:rPr>
          <w:szCs w:val="22"/>
        </w:rPr>
        <w:t>There we</w:t>
      </w:r>
      <w:r w:rsidRPr="002D4422">
        <w:rPr>
          <w:szCs w:val="22"/>
        </w:rPr>
        <w:t>re differences between the study groups – patients on the separate components were sicker as indicated by more hospitalisations and more co-morbidity at baseline. Furthermore, the odds ratios presented in Table 4 of the publication show that patients with pre-existing cardiovascular disease will be more compliant, independent of whether they are on the single or multi-pill regimen.</w:t>
      </w:r>
    </w:p>
    <w:p w:rsidR="002D4422" w:rsidRDefault="002D4422" w:rsidP="00F6481B">
      <w:pPr>
        <w:pStyle w:val="ListParagraph"/>
        <w:widowControl/>
        <w:numPr>
          <w:ilvl w:val="0"/>
          <w:numId w:val="8"/>
        </w:numPr>
        <w:ind w:left="993" w:hanging="284"/>
        <w:rPr>
          <w:szCs w:val="22"/>
        </w:rPr>
      </w:pPr>
      <w:r w:rsidRPr="002D4422">
        <w:rPr>
          <w:szCs w:val="22"/>
        </w:rPr>
        <w:t>The study may not be applicable to the Australian population noting that adherence in both groups of this study was very low compared to that measured in the PBS population taking statins and ezetimibe.</w:t>
      </w:r>
    </w:p>
    <w:p w:rsidR="002D4422" w:rsidRPr="006F4509" w:rsidRDefault="002D4422" w:rsidP="006F4509">
      <w:pPr>
        <w:widowControl/>
        <w:rPr>
          <w:szCs w:val="22"/>
        </w:rPr>
      </w:pPr>
    </w:p>
    <w:p w:rsidR="00F67D33" w:rsidRDefault="007C2BC9" w:rsidP="008D11C6">
      <w:pPr>
        <w:pStyle w:val="ListParagraph"/>
        <w:widowControl/>
        <w:numPr>
          <w:ilvl w:val="1"/>
          <w:numId w:val="3"/>
        </w:numPr>
        <w:rPr>
          <w:szCs w:val="22"/>
        </w:rPr>
      </w:pPr>
      <w:r>
        <w:rPr>
          <w:szCs w:val="22"/>
        </w:rPr>
        <w:t xml:space="preserve">For </w:t>
      </w:r>
      <w:r w:rsidR="001A598D">
        <w:rPr>
          <w:szCs w:val="22"/>
        </w:rPr>
        <w:t>measuring compliance</w:t>
      </w:r>
      <w:r>
        <w:rPr>
          <w:szCs w:val="22"/>
        </w:rPr>
        <w:t>, t</w:t>
      </w:r>
      <w:r w:rsidRPr="007C2BC9">
        <w:rPr>
          <w:szCs w:val="22"/>
        </w:rPr>
        <w:t>he submission provided a retrospective cohort study (Cohort 1) based on PBS data and two adherence measures: MPR and CMG</w:t>
      </w:r>
      <w:r w:rsidR="00117181">
        <w:rPr>
          <w:szCs w:val="22"/>
        </w:rPr>
        <w:t xml:space="preserve"> </w:t>
      </w:r>
      <w:r w:rsidRPr="007C2BC9">
        <w:rPr>
          <w:szCs w:val="22"/>
        </w:rPr>
        <w:t xml:space="preserve">in the </w:t>
      </w:r>
      <w:proofErr w:type="spellStart"/>
      <w:r w:rsidRPr="007C2BC9">
        <w:rPr>
          <w:szCs w:val="22"/>
        </w:rPr>
        <w:t>Vytorin</w:t>
      </w:r>
      <w:proofErr w:type="spellEnd"/>
      <w:r w:rsidRPr="007C2BC9">
        <w:rPr>
          <w:szCs w:val="22"/>
        </w:rPr>
        <w:t xml:space="preserve"> population</w:t>
      </w:r>
      <w:r w:rsidR="006F4509">
        <w:rPr>
          <w:szCs w:val="22"/>
        </w:rPr>
        <w:t>.</w:t>
      </w:r>
    </w:p>
    <w:p w:rsidR="00F67D33" w:rsidRPr="00F67D33" w:rsidRDefault="00F67D33" w:rsidP="00F67D33">
      <w:pPr>
        <w:widowControl/>
        <w:rPr>
          <w:szCs w:val="22"/>
        </w:rPr>
      </w:pPr>
    </w:p>
    <w:p w:rsidR="00B74059" w:rsidRDefault="00B74059" w:rsidP="00117181">
      <w:pPr>
        <w:pStyle w:val="ListParagraph"/>
        <w:widowControl/>
        <w:numPr>
          <w:ilvl w:val="1"/>
          <w:numId w:val="3"/>
        </w:numPr>
        <w:rPr>
          <w:szCs w:val="22"/>
        </w:rPr>
      </w:pPr>
      <w:r>
        <w:rPr>
          <w:szCs w:val="22"/>
        </w:rPr>
        <w:t xml:space="preserve">Patients were included in Cohort 1 if they had been dispensed at least three prescriptions of </w:t>
      </w:r>
      <w:proofErr w:type="spellStart"/>
      <w:r>
        <w:rPr>
          <w:szCs w:val="22"/>
        </w:rPr>
        <w:t>Vytorin</w:t>
      </w:r>
      <w:proofErr w:type="spellEnd"/>
      <w:r>
        <w:rPr>
          <w:szCs w:val="22"/>
        </w:rPr>
        <w:t xml:space="preserve"> within the study period (2006-2013) and were on concomitant therapy with any statin and ezetimibe ‘immediately prior’ to </w:t>
      </w:r>
      <w:proofErr w:type="spellStart"/>
      <w:r>
        <w:rPr>
          <w:szCs w:val="22"/>
        </w:rPr>
        <w:t>Vytorin</w:t>
      </w:r>
      <w:proofErr w:type="spellEnd"/>
      <w:r>
        <w:rPr>
          <w:szCs w:val="22"/>
        </w:rPr>
        <w:t xml:space="preserve">. The number of patients in Cohort 1 </w:t>
      </w:r>
      <w:r w:rsidR="00BC6ED1">
        <w:rPr>
          <w:szCs w:val="22"/>
        </w:rPr>
        <w:t>wa</w:t>
      </w:r>
      <w:r>
        <w:rPr>
          <w:szCs w:val="22"/>
        </w:rPr>
        <w:t>s not clearly and consistently presented in the submission. Cohort 1 is presented as 1</w:t>
      </w:r>
      <w:r w:rsidR="00BC6ED1">
        <w:rPr>
          <w:szCs w:val="22"/>
        </w:rPr>
        <w:t>,</w:t>
      </w:r>
      <w:r>
        <w:rPr>
          <w:szCs w:val="22"/>
        </w:rPr>
        <w:t>203 and 1</w:t>
      </w:r>
      <w:r w:rsidR="00BC6ED1">
        <w:rPr>
          <w:szCs w:val="22"/>
        </w:rPr>
        <w:t>,</w:t>
      </w:r>
      <w:r>
        <w:rPr>
          <w:szCs w:val="22"/>
        </w:rPr>
        <w:t>230 records in the submission MPR analysis, and 1,205 records for the submission CMG analysis. The evaluation was unable to replicate all of the values presented in the submission.</w:t>
      </w:r>
    </w:p>
    <w:p w:rsidR="00B74059" w:rsidRPr="00B74059" w:rsidRDefault="00B74059" w:rsidP="00B74059">
      <w:pPr>
        <w:pStyle w:val="ListParagraph"/>
        <w:rPr>
          <w:szCs w:val="22"/>
        </w:rPr>
      </w:pPr>
    </w:p>
    <w:p w:rsidR="00F67D33" w:rsidRDefault="009C3ED7" w:rsidP="00117181">
      <w:pPr>
        <w:pStyle w:val="ListParagraph"/>
        <w:widowControl/>
        <w:numPr>
          <w:ilvl w:val="1"/>
          <w:numId w:val="3"/>
        </w:numPr>
        <w:rPr>
          <w:szCs w:val="22"/>
        </w:rPr>
      </w:pPr>
      <w:r>
        <w:rPr>
          <w:szCs w:val="22"/>
        </w:rPr>
        <w:t>For the initial analysis for the</w:t>
      </w:r>
      <w:r w:rsidR="00AA3DD3">
        <w:rPr>
          <w:szCs w:val="22"/>
        </w:rPr>
        <w:t xml:space="preserve"> complete</w:t>
      </w:r>
      <w:r>
        <w:rPr>
          <w:szCs w:val="22"/>
        </w:rPr>
        <w:t xml:space="preserve"> Cohort 1</w:t>
      </w:r>
      <w:r w:rsidR="00C55D16">
        <w:rPr>
          <w:szCs w:val="22"/>
        </w:rPr>
        <w:t xml:space="preserve"> </w:t>
      </w:r>
      <w:r w:rsidR="00BC6ED1">
        <w:rPr>
          <w:szCs w:val="22"/>
        </w:rPr>
        <w:t>(approximately 1,200</w:t>
      </w:r>
      <w:r w:rsidR="00C55D16">
        <w:rPr>
          <w:szCs w:val="22"/>
        </w:rPr>
        <w:t xml:space="preserve"> patients</w:t>
      </w:r>
      <w:r w:rsidR="00BC6ED1">
        <w:rPr>
          <w:szCs w:val="22"/>
        </w:rPr>
        <w:t>)</w:t>
      </w:r>
      <w:r>
        <w:rPr>
          <w:szCs w:val="22"/>
        </w:rPr>
        <w:t>, t</w:t>
      </w:r>
      <w:r w:rsidR="007C2BC9" w:rsidRPr="00150EAD">
        <w:rPr>
          <w:szCs w:val="22"/>
        </w:rPr>
        <w:t>he submission report</w:t>
      </w:r>
      <w:r w:rsidR="00F67D33">
        <w:rPr>
          <w:szCs w:val="22"/>
        </w:rPr>
        <w:t>ed</w:t>
      </w:r>
      <w:r w:rsidR="007C2BC9" w:rsidRPr="00150EAD">
        <w:rPr>
          <w:szCs w:val="22"/>
        </w:rPr>
        <w:t xml:space="preserve"> a mean MPR of 92% and mean CMG of 84%</w:t>
      </w:r>
      <w:r w:rsidR="00BC6ED1">
        <w:rPr>
          <w:szCs w:val="22"/>
        </w:rPr>
        <w:t xml:space="preserve"> for </w:t>
      </w:r>
      <w:proofErr w:type="spellStart"/>
      <w:r w:rsidR="00BC6ED1">
        <w:rPr>
          <w:szCs w:val="22"/>
        </w:rPr>
        <w:t>Vytorin</w:t>
      </w:r>
      <w:proofErr w:type="spellEnd"/>
      <w:r w:rsidR="00BC6ED1">
        <w:rPr>
          <w:szCs w:val="22"/>
        </w:rPr>
        <w:t xml:space="preserve">. </w:t>
      </w:r>
      <w:r w:rsidR="007C2BC9" w:rsidRPr="00150EAD">
        <w:rPr>
          <w:szCs w:val="22"/>
        </w:rPr>
        <w:t xml:space="preserve"> </w:t>
      </w:r>
    </w:p>
    <w:p w:rsidR="005D6CD8" w:rsidRPr="00647C65" w:rsidRDefault="005D6CD8" w:rsidP="005D6CD8">
      <w:pPr>
        <w:rPr>
          <w:szCs w:val="22"/>
        </w:rPr>
      </w:pPr>
    </w:p>
    <w:p w:rsidR="00777D1F" w:rsidRDefault="00777D1F" w:rsidP="00777D1F">
      <w:pPr>
        <w:pStyle w:val="ListParagraph"/>
        <w:widowControl/>
        <w:numPr>
          <w:ilvl w:val="1"/>
          <w:numId w:val="3"/>
        </w:numPr>
        <w:rPr>
          <w:szCs w:val="22"/>
        </w:rPr>
      </w:pPr>
      <w:r w:rsidRPr="007C2BC9">
        <w:rPr>
          <w:szCs w:val="22"/>
        </w:rPr>
        <w:lastRenderedPageBreak/>
        <w:t xml:space="preserve">The </w:t>
      </w:r>
      <w:r>
        <w:rPr>
          <w:szCs w:val="22"/>
        </w:rPr>
        <w:t xml:space="preserve">evaluation </w:t>
      </w:r>
      <w:r w:rsidR="009C3ED7">
        <w:rPr>
          <w:szCs w:val="22"/>
        </w:rPr>
        <w:t>noted</w:t>
      </w:r>
      <w:r>
        <w:rPr>
          <w:szCs w:val="22"/>
        </w:rPr>
        <w:t xml:space="preserve"> that the </w:t>
      </w:r>
      <w:r w:rsidRPr="007C2BC9">
        <w:rPr>
          <w:szCs w:val="22"/>
        </w:rPr>
        <w:t>submission d</w:t>
      </w:r>
      <w:r>
        <w:rPr>
          <w:szCs w:val="22"/>
        </w:rPr>
        <w:t xml:space="preserve">id </w:t>
      </w:r>
      <w:r w:rsidRPr="007C2BC9">
        <w:rPr>
          <w:szCs w:val="22"/>
        </w:rPr>
        <w:t xml:space="preserve">not present the current level of adherence for the vast majority of patients on PBS </w:t>
      </w:r>
      <w:proofErr w:type="spellStart"/>
      <w:r w:rsidRPr="007C2BC9">
        <w:rPr>
          <w:szCs w:val="22"/>
        </w:rPr>
        <w:t>Vytorin</w:t>
      </w:r>
      <w:proofErr w:type="spellEnd"/>
      <w:r w:rsidRPr="007C2BC9">
        <w:rPr>
          <w:szCs w:val="22"/>
        </w:rPr>
        <w:t xml:space="preserve"> or the concomitant therapies, only those who meet the criteria for inclusion in Cohort 1 (i.e. those on ‘concomitant’ therapy with statin and ezetimibe ‘immediately prior’ to switching to </w:t>
      </w:r>
      <w:proofErr w:type="spellStart"/>
      <w:r w:rsidRPr="007C2BC9">
        <w:rPr>
          <w:szCs w:val="22"/>
        </w:rPr>
        <w:t>Vytorin</w:t>
      </w:r>
      <w:proofErr w:type="spellEnd"/>
      <w:r w:rsidRPr="007C2BC9">
        <w:rPr>
          <w:szCs w:val="22"/>
        </w:rPr>
        <w:t xml:space="preserve"> receiving at least 3 scripts of each item).</w:t>
      </w:r>
    </w:p>
    <w:p w:rsidR="008B1D3D" w:rsidRPr="00647C65" w:rsidRDefault="008B1D3D" w:rsidP="008B1D3D">
      <w:pPr>
        <w:rPr>
          <w:szCs w:val="22"/>
        </w:rPr>
      </w:pPr>
    </w:p>
    <w:p w:rsidR="008B1D3D" w:rsidRDefault="009C3ED7" w:rsidP="008B1D3D">
      <w:pPr>
        <w:pStyle w:val="ListParagraph"/>
        <w:widowControl/>
        <w:numPr>
          <w:ilvl w:val="1"/>
          <w:numId w:val="3"/>
        </w:numPr>
        <w:rPr>
          <w:szCs w:val="22"/>
        </w:rPr>
      </w:pPr>
      <w:r>
        <w:rPr>
          <w:szCs w:val="22"/>
        </w:rPr>
        <w:t>In addition, the evaluation noted that n</w:t>
      </w:r>
      <w:r w:rsidR="008B1D3D" w:rsidRPr="008B1D3D">
        <w:rPr>
          <w:szCs w:val="22"/>
        </w:rPr>
        <w:t xml:space="preserve">o </w:t>
      </w:r>
      <w:proofErr w:type="gramStart"/>
      <w:r w:rsidR="008B1D3D" w:rsidRPr="008B1D3D">
        <w:rPr>
          <w:szCs w:val="22"/>
        </w:rPr>
        <w:t>comparison of adherence measures for the same group (</w:t>
      </w:r>
      <w:r w:rsidR="00AA3DD3">
        <w:rPr>
          <w:szCs w:val="22"/>
        </w:rPr>
        <w:t xml:space="preserve">complete </w:t>
      </w:r>
      <w:r w:rsidR="000629BB">
        <w:rPr>
          <w:szCs w:val="22"/>
        </w:rPr>
        <w:t>Cohort 1) pre-</w:t>
      </w:r>
      <w:proofErr w:type="spellStart"/>
      <w:r w:rsidR="008B1D3D" w:rsidRPr="008B1D3D">
        <w:rPr>
          <w:szCs w:val="22"/>
        </w:rPr>
        <w:t>Vytorin</w:t>
      </w:r>
      <w:proofErr w:type="spellEnd"/>
      <w:r w:rsidR="008B1D3D" w:rsidRPr="008B1D3D">
        <w:rPr>
          <w:szCs w:val="22"/>
        </w:rPr>
        <w:t xml:space="preserve"> were</w:t>
      </w:r>
      <w:proofErr w:type="gramEnd"/>
      <w:r w:rsidR="008B1D3D" w:rsidRPr="008B1D3D">
        <w:rPr>
          <w:szCs w:val="22"/>
        </w:rPr>
        <w:t xml:space="preserve"> presented in the submission. This comparison was performed by the evaluator and it was found that adherence was similar in this group (i.e. MPR to a statin, 88.9%, or ezetimibe, 88.3%, p</w:t>
      </w:r>
      <w:r w:rsidR="00647C65">
        <w:rPr>
          <w:szCs w:val="22"/>
        </w:rPr>
        <w:t xml:space="preserve">rior to switching to </w:t>
      </w:r>
      <w:proofErr w:type="spellStart"/>
      <w:r w:rsidR="00647C65">
        <w:rPr>
          <w:szCs w:val="22"/>
        </w:rPr>
        <w:t>Vytorin</w:t>
      </w:r>
      <w:proofErr w:type="spellEnd"/>
      <w:r w:rsidR="00647C65">
        <w:rPr>
          <w:szCs w:val="22"/>
        </w:rPr>
        <w:t>).</w:t>
      </w:r>
    </w:p>
    <w:p w:rsidR="008B1D3D" w:rsidRPr="00647C65" w:rsidRDefault="008B1D3D" w:rsidP="008B1D3D">
      <w:pPr>
        <w:rPr>
          <w:szCs w:val="22"/>
        </w:rPr>
      </w:pPr>
    </w:p>
    <w:p w:rsidR="000B79D7" w:rsidRDefault="008B1D3D" w:rsidP="008B1D3D">
      <w:pPr>
        <w:pStyle w:val="ListParagraph"/>
        <w:widowControl/>
        <w:numPr>
          <w:ilvl w:val="1"/>
          <w:numId w:val="3"/>
        </w:numPr>
        <w:rPr>
          <w:szCs w:val="22"/>
        </w:rPr>
      </w:pPr>
      <w:r>
        <w:rPr>
          <w:szCs w:val="22"/>
        </w:rPr>
        <w:t xml:space="preserve">The adherence presented in the submission for </w:t>
      </w:r>
      <w:proofErr w:type="spellStart"/>
      <w:r>
        <w:rPr>
          <w:szCs w:val="22"/>
        </w:rPr>
        <w:t>Vytorin</w:t>
      </w:r>
      <w:proofErr w:type="spellEnd"/>
      <w:r>
        <w:rPr>
          <w:szCs w:val="22"/>
        </w:rPr>
        <w:t xml:space="preserve"> and the adherence </w:t>
      </w:r>
      <w:r w:rsidR="00402F4C">
        <w:rPr>
          <w:szCs w:val="22"/>
        </w:rPr>
        <w:t xml:space="preserve">calculated </w:t>
      </w:r>
      <w:r w:rsidR="009C3ED7">
        <w:rPr>
          <w:szCs w:val="22"/>
        </w:rPr>
        <w:t xml:space="preserve">by </w:t>
      </w:r>
      <w:r>
        <w:rPr>
          <w:szCs w:val="22"/>
        </w:rPr>
        <w:t>the evaluation for statin and ezetimibe in the pre-</w:t>
      </w:r>
      <w:proofErr w:type="spellStart"/>
      <w:r>
        <w:rPr>
          <w:szCs w:val="22"/>
        </w:rPr>
        <w:t>Vytorin</w:t>
      </w:r>
      <w:proofErr w:type="spellEnd"/>
      <w:r>
        <w:rPr>
          <w:szCs w:val="22"/>
        </w:rPr>
        <w:t xml:space="preserve"> period, are provided in the table below.</w:t>
      </w:r>
    </w:p>
    <w:p w:rsidR="00150EAD" w:rsidRPr="00647C65" w:rsidRDefault="00150EAD" w:rsidP="00150EAD">
      <w:pPr>
        <w:widowControl/>
        <w:rPr>
          <w:szCs w:val="22"/>
        </w:rPr>
      </w:pPr>
    </w:p>
    <w:p w:rsidR="00A74E60" w:rsidRPr="00181F7F" w:rsidRDefault="00A74E60" w:rsidP="00383440">
      <w:pPr>
        <w:ind w:left="709"/>
        <w:rPr>
          <w:rFonts w:ascii="Arial Narrow" w:hAnsi="Arial Narrow"/>
          <w:sz w:val="20"/>
        </w:rPr>
      </w:pPr>
      <w:r w:rsidRPr="00181F7F">
        <w:rPr>
          <w:rStyle w:val="CommentReference"/>
          <w:szCs w:val="20"/>
        </w:rPr>
        <w:t xml:space="preserve">Adherence results for </w:t>
      </w:r>
      <w:r w:rsidR="00AA3DD3" w:rsidRPr="00181F7F">
        <w:rPr>
          <w:rStyle w:val="CommentReference"/>
          <w:szCs w:val="20"/>
        </w:rPr>
        <w:t xml:space="preserve">complete </w:t>
      </w:r>
      <w:r w:rsidRPr="00181F7F">
        <w:rPr>
          <w:rStyle w:val="CommentReference"/>
          <w:szCs w:val="20"/>
        </w:rPr>
        <w:t>Cohort 1</w:t>
      </w:r>
    </w:p>
    <w:tbl>
      <w:tblPr>
        <w:tblW w:w="84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772"/>
        <w:gridCol w:w="1769"/>
        <w:gridCol w:w="1769"/>
      </w:tblGrid>
      <w:tr w:rsidR="00A74E60" w:rsidRPr="00181F7F" w:rsidTr="00383440">
        <w:trPr>
          <w:trHeight w:val="50"/>
        </w:trPr>
        <w:tc>
          <w:tcPr>
            <w:tcW w:w="3119" w:type="dxa"/>
            <w:shd w:val="clear" w:color="auto" w:fill="auto"/>
            <w:noWrap/>
            <w:hideMark/>
          </w:tcPr>
          <w:p w:rsidR="00A74E60" w:rsidRPr="00181F7F" w:rsidRDefault="00A74E60" w:rsidP="00774001">
            <w:pPr>
              <w:rPr>
                <w:rFonts w:ascii="Arial Narrow" w:hAnsi="Arial Narrow"/>
                <w:sz w:val="20"/>
              </w:rPr>
            </w:pPr>
          </w:p>
        </w:tc>
        <w:tc>
          <w:tcPr>
            <w:tcW w:w="1772" w:type="dxa"/>
            <w:tcBorders>
              <w:right w:val="double" w:sz="4" w:space="0" w:color="auto"/>
            </w:tcBorders>
            <w:shd w:val="clear" w:color="auto" w:fill="auto"/>
            <w:noWrap/>
          </w:tcPr>
          <w:p w:rsidR="00A74E60" w:rsidRPr="00181F7F" w:rsidRDefault="00A74E60" w:rsidP="009C3ED7">
            <w:pPr>
              <w:jc w:val="center"/>
              <w:rPr>
                <w:rFonts w:ascii="Arial Narrow" w:hAnsi="Arial Narrow"/>
                <w:b/>
                <w:sz w:val="20"/>
              </w:rPr>
            </w:pPr>
            <w:proofErr w:type="spellStart"/>
            <w:r w:rsidRPr="00181F7F">
              <w:rPr>
                <w:rFonts w:ascii="Arial Narrow" w:hAnsi="Arial Narrow"/>
                <w:b/>
                <w:sz w:val="20"/>
              </w:rPr>
              <w:t>Vytori</w:t>
            </w:r>
            <w:r w:rsidR="00181F7F">
              <w:rPr>
                <w:rFonts w:ascii="Arial Narrow" w:hAnsi="Arial Narrow"/>
                <w:b/>
                <w:sz w:val="20"/>
              </w:rPr>
              <w:t>n</w:t>
            </w:r>
            <w:proofErr w:type="spellEnd"/>
            <w:r w:rsidRPr="00181F7F">
              <w:rPr>
                <w:rFonts w:ascii="Arial Narrow" w:hAnsi="Arial Narrow"/>
                <w:b/>
                <w:sz w:val="20"/>
                <w:vertAlign w:val="superscript"/>
              </w:rPr>
              <w:t>®</w:t>
            </w:r>
          </w:p>
        </w:tc>
        <w:tc>
          <w:tcPr>
            <w:tcW w:w="1769" w:type="dxa"/>
            <w:tcBorders>
              <w:left w:val="double" w:sz="4" w:space="0" w:color="auto"/>
            </w:tcBorders>
            <w:shd w:val="clear" w:color="auto" w:fill="auto"/>
            <w:vAlign w:val="center"/>
          </w:tcPr>
          <w:p w:rsidR="00A74E60" w:rsidRPr="00181F7F" w:rsidRDefault="00A74E60" w:rsidP="00774001">
            <w:pPr>
              <w:jc w:val="center"/>
              <w:rPr>
                <w:rFonts w:ascii="Arial Narrow" w:hAnsi="Arial Narrow"/>
                <w:b/>
                <w:sz w:val="20"/>
              </w:rPr>
            </w:pPr>
            <w:r w:rsidRPr="00181F7F">
              <w:rPr>
                <w:rFonts w:ascii="Arial Narrow" w:hAnsi="Arial Narrow"/>
                <w:b/>
                <w:sz w:val="20"/>
              </w:rPr>
              <w:t>Statin</w:t>
            </w:r>
          </w:p>
        </w:tc>
        <w:tc>
          <w:tcPr>
            <w:tcW w:w="1769" w:type="dxa"/>
            <w:vAlign w:val="center"/>
          </w:tcPr>
          <w:p w:rsidR="00A74E60" w:rsidRPr="00181F7F" w:rsidRDefault="00A74E60" w:rsidP="00774001">
            <w:pPr>
              <w:jc w:val="center"/>
              <w:rPr>
                <w:rFonts w:ascii="Arial Narrow" w:hAnsi="Arial Narrow"/>
                <w:b/>
                <w:sz w:val="20"/>
              </w:rPr>
            </w:pPr>
            <w:r w:rsidRPr="00181F7F">
              <w:rPr>
                <w:rFonts w:ascii="Arial Narrow" w:hAnsi="Arial Narrow"/>
                <w:b/>
                <w:sz w:val="20"/>
              </w:rPr>
              <w:t>Ezetimibe</w:t>
            </w:r>
          </w:p>
        </w:tc>
      </w:tr>
      <w:tr w:rsidR="00A74E60" w:rsidRPr="00181F7F" w:rsidTr="00383440">
        <w:trPr>
          <w:trHeight w:val="50"/>
        </w:trPr>
        <w:tc>
          <w:tcPr>
            <w:tcW w:w="3119" w:type="dxa"/>
            <w:shd w:val="clear" w:color="auto" w:fill="auto"/>
            <w:noWrap/>
          </w:tcPr>
          <w:p w:rsidR="00A74E60" w:rsidRPr="00181F7F" w:rsidRDefault="00A74E60" w:rsidP="00774001">
            <w:pPr>
              <w:rPr>
                <w:rFonts w:ascii="Arial Narrow" w:hAnsi="Arial Narrow"/>
                <w:sz w:val="20"/>
              </w:rPr>
            </w:pPr>
            <w:r w:rsidRPr="00181F7F">
              <w:rPr>
                <w:rFonts w:ascii="Arial Narrow" w:hAnsi="Arial Narrow"/>
                <w:sz w:val="20"/>
              </w:rPr>
              <w:t>Number of records</w:t>
            </w:r>
          </w:p>
        </w:tc>
        <w:tc>
          <w:tcPr>
            <w:tcW w:w="1772" w:type="dxa"/>
            <w:tcBorders>
              <w:right w:val="double" w:sz="4" w:space="0" w:color="auto"/>
            </w:tcBorders>
            <w:shd w:val="clear" w:color="auto" w:fill="auto"/>
            <w:noWrap/>
            <w:vAlign w:val="center"/>
          </w:tcPr>
          <w:p w:rsidR="00A74E60" w:rsidRPr="00181F7F" w:rsidRDefault="00A74E60" w:rsidP="00774001">
            <w:pPr>
              <w:jc w:val="center"/>
              <w:rPr>
                <w:rFonts w:ascii="Arial Narrow" w:hAnsi="Arial Narrow"/>
                <w:sz w:val="20"/>
              </w:rPr>
            </w:pPr>
            <w:r w:rsidRPr="00181F7F">
              <w:rPr>
                <w:rFonts w:ascii="Arial Narrow" w:hAnsi="Arial Narrow"/>
                <w:sz w:val="20"/>
              </w:rPr>
              <w:t>1,205</w:t>
            </w:r>
            <w:r w:rsidR="00301D1F" w:rsidRPr="00181F7F">
              <w:rPr>
                <w:rFonts w:ascii="Arial Narrow" w:hAnsi="Arial Narrow"/>
                <w:sz w:val="20"/>
                <w:vertAlign w:val="superscript"/>
              </w:rPr>
              <w:t>a</w:t>
            </w:r>
          </w:p>
        </w:tc>
        <w:tc>
          <w:tcPr>
            <w:tcW w:w="3538" w:type="dxa"/>
            <w:gridSpan w:val="2"/>
            <w:tcBorders>
              <w:left w:val="double" w:sz="4" w:space="0" w:color="auto"/>
            </w:tcBorders>
            <w:shd w:val="clear" w:color="auto" w:fill="auto"/>
            <w:vAlign w:val="center"/>
          </w:tcPr>
          <w:p w:rsidR="00A74E60" w:rsidRPr="00181F7F" w:rsidRDefault="00A74E60" w:rsidP="00774001">
            <w:pPr>
              <w:jc w:val="center"/>
              <w:rPr>
                <w:rFonts w:ascii="Arial Narrow" w:hAnsi="Arial Narrow"/>
                <w:sz w:val="20"/>
              </w:rPr>
            </w:pPr>
            <w:r w:rsidRPr="00181F7F">
              <w:rPr>
                <w:rFonts w:ascii="Arial Narrow" w:hAnsi="Arial Narrow"/>
                <w:sz w:val="20"/>
              </w:rPr>
              <w:t>1,205</w:t>
            </w:r>
          </w:p>
        </w:tc>
      </w:tr>
      <w:tr w:rsidR="00A74E60" w:rsidRPr="00181F7F" w:rsidTr="00383440">
        <w:trPr>
          <w:trHeight w:val="50"/>
        </w:trPr>
        <w:tc>
          <w:tcPr>
            <w:tcW w:w="3119" w:type="dxa"/>
            <w:shd w:val="clear" w:color="auto" w:fill="auto"/>
            <w:noWrap/>
          </w:tcPr>
          <w:p w:rsidR="00A74E60" w:rsidRPr="00181F7F" w:rsidRDefault="00A74E60" w:rsidP="00774001">
            <w:pPr>
              <w:rPr>
                <w:rFonts w:ascii="Arial Narrow" w:hAnsi="Arial Narrow"/>
                <w:sz w:val="20"/>
              </w:rPr>
            </w:pPr>
            <w:r w:rsidRPr="00181F7F">
              <w:rPr>
                <w:rFonts w:ascii="Arial Narrow" w:hAnsi="Arial Narrow"/>
                <w:sz w:val="20"/>
              </w:rPr>
              <w:t xml:space="preserve">Mean duration of medication supplied in </w:t>
            </w:r>
            <w:proofErr w:type="spellStart"/>
            <w:r w:rsidRPr="00181F7F">
              <w:rPr>
                <w:rFonts w:ascii="Arial Narrow" w:hAnsi="Arial Narrow"/>
                <w:sz w:val="20"/>
              </w:rPr>
              <w:t>yrs</w:t>
            </w:r>
            <w:proofErr w:type="spellEnd"/>
          </w:p>
        </w:tc>
        <w:tc>
          <w:tcPr>
            <w:tcW w:w="1772" w:type="dxa"/>
            <w:tcBorders>
              <w:right w:val="double" w:sz="4" w:space="0" w:color="auto"/>
            </w:tcBorders>
            <w:shd w:val="clear" w:color="auto" w:fill="auto"/>
            <w:noWrap/>
            <w:vAlign w:val="center"/>
          </w:tcPr>
          <w:p w:rsidR="00A74E60" w:rsidRPr="00181F7F" w:rsidRDefault="00A74E60" w:rsidP="00301D1F">
            <w:pPr>
              <w:jc w:val="center"/>
              <w:rPr>
                <w:rFonts w:ascii="Arial Narrow" w:hAnsi="Arial Narrow"/>
                <w:sz w:val="20"/>
                <w:vertAlign w:val="superscript"/>
              </w:rPr>
            </w:pPr>
            <w:r w:rsidRPr="00181F7F">
              <w:rPr>
                <w:rFonts w:ascii="Arial Narrow" w:hAnsi="Arial Narrow"/>
                <w:sz w:val="20"/>
              </w:rPr>
              <w:t>2.78</w:t>
            </w:r>
            <w:r w:rsidR="00301D1F" w:rsidRPr="00181F7F">
              <w:rPr>
                <w:rFonts w:ascii="Arial Narrow" w:hAnsi="Arial Narrow"/>
                <w:sz w:val="20"/>
                <w:vertAlign w:val="superscript"/>
              </w:rPr>
              <w:t>b</w:t>
            </w:r>
          </w:p>
        </w:tc>
        <w:tc>
          <w:tcPr>
            <w:tcW w:w="3538" w:type="dxa"/>
            <w:gridSpan w:val="2"/>
            <w:tcBorders>
              <w:left w:val="double" w:sz="4" w:space="0" w:color="auto"/>
            </w:tcBorders>
            <w:shd w:val="clear" w:color="auto" w:fill="auto"/>
            <w:vAlign w:val="center"/>
          </w:tcPr>
          <w:p w:rsidR="00A74E60" w:rsidRPr="00181F7F" w:rsidRDefault="00A74E60" w:rsidP="00774001">
            <w:pPr>
              <w:jc w:val="center"/>
              <w:rPr>
                <w:rFonts w:ascii="Arial Narrow" w:hAnsi="Arial Narrow"/>
                <w:sz w:val="20"/>
              </w:rPr>
            </w:pPr>
            <w:r w:rsidRPr="00181F7F">
              <w:rPr>
                <w:rFonts w:ascii="Arial Narrow" w:hAnsi="Arial Narrow"/>
                <w:sz w:val="20"/>
              </w:rPr>
              <w:t>NE</w:t>
            </w:r>
          </w:p>
        </w:tc>
      </w:tr>
      <w:tr w:rsidR="00A74E60" w:rsidRPr="00181F7F" w:rsidTr="00383440">
        <w:trPr>
          <w:trHeight w:val="50"/>
        </w:trPr>
        <w:tc>
          <w:tcPr>
            <w:tcW w:w="3119" w:type="dxa"/>
            <w:shd w:val="clear" w:color="auto" w:fill="auto"/>
            <w:noWrap/>
          </w:tcPr>
          <w:p w:rsidR="00A74E60" w:rsidRPr="00181F7F" w:rsidRDefault="00A74E60" w:rsidP="00774001">
            <w:pPr>
              <w:rPr>
                <w:rFonts w:ascii="Arial Narrow" w:hAnsi="Arial Narrow"/>
                <w:sz w:val="20"/>
              </w:rPr>
            </w:pPr>
            <w:r w:rsidRPr="00181F7F">
              <w:rPr>
                <w:rFonts w:ascii="Arial Narrow" w:hAnsi="Arial Narrow"/>
                <w:sz w:val="20"/>
              </w:rPr>
              <w:t xml:space="preserve">Mean length of pre/post-period in </w:t>
            </w:r>
            <w:proofErr w:type="spellStart"/>
            <w:r w:rsidRPr="00181F7F">
              <w:rPr>
                <w:rFonts w:ascii="Arial Narrow" w:hAnsi="Arial Narrow"/>
                <w:sz w:val="20"/>
              </w:rPr>
              <w:t>yrs</w:t>
            </w:r>
            <w:proofErr w:type="spellEnd"/>
            <w:r w:rsidRPr="00181F7F">
              <w:rPr>
                <w:rFonts w:ascii="Arial Narrow" w:hAnsi="Arial Narrow"/>
                <w:sz w:val="20"/>
              </w:rPr>
              <w:t xml:space="preserve"> ± SD</w:t>
            </w:r>
          </w:p>
        </w:tc>
        <w:tc>
          <w:tcPr>
            <w:tcW w:w="1772" w:type="dxa"/>
            <w:tcBorders>
              <w:right w:val="double" w:sz="4" w:space="0" w:color="auto"/>
            </w:tcBorders>
            <w:shd w:val="clear" w:color="auto" w:fill="auto"/>
            <w:noWrap/>
            <w:vAlign w:val="center"/>
          </w:tcPr>
          <w:p w:rsidR="00A74E60" w:rsidRPr="00181F7F" w:rsidRDefault="00A74E60" w:rsidP="00774001">
            <w:pPr>
              <w:jc w:val="center"/>
              <w:rPr>
                <w:rFonts w:ascii="Arial Narrow" w:hAnsi="Arial Narrow"/>
                <w:sz w:val="20"/>
              </w:rPr>
            </w:pPr>
            <w:r w:rsidRPr="00181F7F">
              <w:rPr>
                <w:rFonts w:ascii="Arial Narrow" w:hAnsi="Arial Narrow"/>
                <w:sz w:val="20"/>
              </w:rPr>
              <w:t>3.40</w:t>
            </w:r>
            <w:r w:rsidRPr="00181F7F">
              <w:rPr>
                <w:rFonts w:ascii="Arial Narrow" w:hAnsi="Arial Narrow"/>
                <w:sz w:val="20"/>
                <w:vertAlign w:val="superscript"/>
              </w:rPr>
              <w:t>a</w:t>
            </w:r>
            <w:r w:rsidRPr="00181F7F">
              <w:rPr>
                <w:rFonts w:ascii="Arial Narrow" w:hAnsi="Arial Narrow"/>
                <w:sz w:val="20"/>
              </w:rPr>
              <w:t xml:space="preserve"> ± 2.45 </w:t>
            </w:r>
          </w:p>
        </w:tc>
        <w:tc>
          <w:tcPr>
            <w:tcW w:w="3538" w:type="dxa"/>
            <w:gridSpan w:val="2"/>
            <w:tcBorders>
              <w:left w:val="double" w:sz="4" w:space="0" w:color="auto"/>
            </w:tcBorders>
            <w:shd w:val="clear" w:color="auto" w:fill="auto"/>
            <w:vAlign w:val="center"/>
          </w:tcPr>
          <w:p w:rsidR="00A74E60" w:rsidRPr="00181F7F" w:rsidRDefault="00A74E60" w:rsidP="00774001">
            <w:pPr>
              <w:jc w:val="center"/>
              <w:rPr>
                <w:rFonts w:ascii="Arial Narrow" w:hAnsi="Arial Narrow"/>
                <w:sz w:val="20"/>
              </w:rPr>
            </w:pPr>
            <w:r w:rsidRPr="00181F7F">
              <w:rPr>
                <w:rFonts w:ascii="Arial Narrow" w:hAnsi="Arial Narrow"/>
                <w:sz w:val="20"/>
              </w:rPr>
              <w:t>1.80 ± 1.45</w:t>
            </w:r>
          </w:p>
        </w:tc>
      </w:tr>
      <w:tr w:rsidR="00A74E60" w:rsidRPr="00181F7F" w:rsidTr="00383440">
        <w:trPr>
          <w:trHeight w:val="50"/>
        </w:trPr>
        <w:tc>
          <w:tcPr>
            <w:tcW w:w="3119" w:type="dxa"/>
            <w:shd w:val="clear" w:color="auto" w:fill="auto"/>
            <w:noWrap/>
          </w:tcPr>
          <w:p w:rsidR="00A74E60" w:rsidRPr="00181F7F" w:rsidRDefault="00A74E60" w:rsidP="00774001">
            <w:pPr>
              <w:rPr>
                <w:rFonts w:ascii="Arial Narrow" w:hAnsi="Arial Narrow"/>
                <w:sz w:val="20"/>
              </w:rPr>
            </w:pPr>
            <w:r w:rsidRPr="00181F7F">
              <w:rPr>
                <w:rFonts w:ascii="Arial Narrow" w:hAnsi="Arial Narrow"/>
                <w:sz w:val="20"/>
              </w:rPr>
              <w:t xml:space="preserve">Median length of pre/post-period in </w:t>
            </w:r>
            <w:proofErr w:type="spellStart"/>
            <w:r w:rsidRPr="00181F7F">
              <w:rPr>
                <w:rFonts w:ascii="Arial Narrow" w:hAnsi="Arial Narrow"/>
                <w:sz w:val="20"/>
              </w:rPr>
              <w:t>yrs</w:t>
            </w:r>
            <w:proofErr w:type="spellEnd"/>
            <w:r w:rsidRPr="00181F7F">
              <w:rPr>
                <w:rFonts w:ascii="Arial Narrow" w:hAnsi="Arial Narrow"/>
                <w:sz w:val="20"/>
              </w:rPr>
              <w:t xml:space="preserve"> (quartiles)</w:t>
            </w:r>
          </w:p>
        </w:tc>
        <w:tc>
          <w:tcPr>
            <w:tcW w:w="1772" w:type="dxa"/>
            <w:tcBorders>
              <w:right w:val="double" w:sz="4" w:space="0" w:color="auto"/>
            </w:tcBorders>
            <w:shd w:val="clear" w:color="auto" w:fill="auto"/>
            <w:noWrap/>
            <w:vAlign w:val="center"/>
          </w:tcPr>
          <w:p w:rsidR="00A74E60" w:rsidRPr="00181F7F" w:rsidRDefault="00A74E60" w:rsidP="00774001">
            <w:pPr>
              <w:jc w:val="center"/>
              <w:rPr>
                <w:rFonts w:ascii="Arial Narrow" w:hAnsi="Arial Narrow"/>
                <w:sz w:val="20"/>
              </w:rPr>
            </w:pPr>
            <w:r w:rsidRPr="00181F7F">
              <w:rPr>
                <w:rFonts w:ascii="Arial Narrow" w:hAnsi="Arial Narrow"/>
                <w:sz w:val="20"/>
              </w:rPr>
              <w:t>2.84 (1.15, 5.64)</w:t>
            </w:r>
          </w:p>
        </w:tc>
        <w:tc>
          <w:tcPr>
            <w:tcW w:w="3538" w:type="dxa"/>
            <w:gridSpan w:val="2"/>
            <w:tcBorders>
              <w:left w:val="double" w:sz="4" w:space="0" w:color="auto"/>
            </w:tcBorders>
            <w:shd w:val="clear" w:color="auto" w:fill="auto"/>
            <w:vAlign w:val="center"/>
          </w:tcPr>
          <w:p w:rsidR="00A74E60" w:rsidRPr="00181F7F" w:rsidRDefault="00A74E60" w:rsidP="00774001">
            <w:pPr>
              <w:jc w:val="center"/>
              <w:rPr>
                <w:rFonts w:ascii="Arial Narrow" w:hAnsi="Arial Narrow"/>
                <w:sz w:val="20"/>
              </w:rPr>
            </w:pPr>
            <w:r w:rsidRPr="00181F7F">
              <w:rPr>
                <w:rFonts w:ascii="Arial Narrow" w:hAnsi="Arial Narrow"/>
                <w:sz w:val="20"/>
              </w:rPr>
              <w:t>1.36 (0.80, 2.26)</w:t>
            </w:r>
          </w:p>
        </w:tc>
      </w:tr>
      <w:tr w:rsidR="00A74E60" w:rsidRPr="00181F7F" w:rsidTr="00383440">
        <w:trPr>
          <w:trHeight w:val="50"/>
        </w:trPr>
        <w:tc>
          <w:tcPr>
            <w:tcW w:w="8429" w:type="dxa"/>
            <w:gridSpan w:val="4"/>
            <w:shd w:val="clear" w:color="auto" w:fill="auto"/>
            <w:noWrap/>
            <w:vAlign w:val="center"/>
          </w:tcPr>
          <w:p w:rsidR="00A74E60" w:rsidRPr="00181F7F" w:rsidRDefault="00A74E60" w:rsidP="00774001">
            <w:pPr>
              <w:jc w:val="left"/>
              <w:rPr>
                <w:rFonts w:ascii="Arial Narrow" w:hAnsi="Arial Narrow"/>
                <w:sz w:val="20"/>
              </w:rPr>
            </w:pPr>
            <w:r w:rsidRPr="00181F7F">
              <w:rPr>
                <w:rFonts w:ascii="Arial Narrow" w:hAnsi="Arial Narrow"/>
                <w:b/>
                <w:sz w:val="20"/>
              </w:rPr>
              <w:t>MPR</w:t>
            </w:r>
          </w:p>
        </w:tc>
      </w:tr>
      <w:tr w:rsidR="00A74E60" w:rsidRPr="00181F7F" w:rsidTr="00383440">
        <w:trPr>
          <w:trHeight w:val="163"/>
        </w:trPr>
        <w:tc>
          <w:tcPr>
            <w:tcW w:w="3119" w:type="dxa"/>
            <w:shd w:val="clear" w:color="auto" w:fill="auto"/>
            <w:noWrap/>
            <w:hideMark/>
          </w:tcPr>
          <w:p w:rsidR="00A74E60" w:rsidRPr="00181F7F" w:rsidRDefault="00A74E60" w:rsidP="00774001">
            <w:pPr>
              <w:rPr>
                <w:rFonts w:ascii="Arial Narrow" w:hAnsi="Arial Narrow"/>
                <w:sz w:val="20"/>
              </w:rPr>
            </w:pPr>
            <w:r w:rsidRPr="00181F7F">
              <w:rPr>
                <w:rFonts w:ascii="Arial Narrow" w:hAnsi="Arial Narrow"/>
                <w:sz w:val="20"/>
              </w:rPr>
              <w:t>Mean ± SD</w:t>
            </w:r>
          </w:p>
        </w:tc>
        <w:tc>
          <w:tcPr>
            <w:tcW w:w="1772" w:type="dxa"/>
            <w:tcBorders>
              <w:right w:val="double" w:sz="4" w:space="0" w:color="auto"/>
            </w:tcBorders>
            <w:shd w:val="clear" w:color="auto" w:fill="auto"/>
            <w:noWrap/>
            <w:vAlign w:val="center"/>
          </w:tcPr>
          <w:p w:rsidR="00A74E60" w:rsidRPr="00181F7F" w:rsidRDefault="00A74E60" w:rsidP="00774001">
            <w:pPr>
              <w:jc w:val="center"/>
              <w:rPr>
                <w:rFonts w:ascii="Arial Narrow" w:hAnsi="Arial Narrow"/>
                <w:sz w:val="20"/>
              </w:rPr>
            </w:pPr>
            <w:r w:rsidRPr="00181F7F">
              <w:rPr>
                <w:rFonts w:ascii="Arial Narrow" w:hAnsi="Arial Narrow"/>
                <w:sz w:val="20"/>
              </w:rPr>
              <w:t>92.21% ± 14.20%</w:t>
            </w:r>
          </w:p>
        </w:tc>
        <w:tc>
          <w:tcPr>
            <w:tcW w:w="1769" w:type="dxa"/>
            <w:tcBorders>
              <w:left w:val="double" w:sz="4" w:space="0" w:color="auto"/>
            </w:tcBorders>
            <w:shd w:val="clear" w:color="auto" w:fill="auto"/>
            <w:vAlign w:val="center"/>
          </w:tcPr>
          <w:p w:rsidR="00A74E60" w:rsidRPr="00181F7F" w:rsidRDefault="00A74E60" w:rsidP="00774001">
            <w:pPr>
              <w:jc w:val="center"/>
              <w:rPr>
                <w:rFonts w:ascii="Arial Narrow" w:hAnsi="Arial Narrow"/>
                <w:sz w:val="20"/>
              </w:rPr>
            </w:pPr>
            <w:r w:rsidRPr="00181F7F">
              <w:rPr>
                <w:rFonts w:ascii="Arial Narrow" w:hAnsi="Arial Narrow"/>
                <w:sz w:val="20"/>
              </w:rPr>
              <w:t>88.89% ± 17.46%</w:t>
            </w:r>
          </w:p>
        </w:tc>
        <w:tc>
          <w:tcPr>
            <w:tcW w:w="1769" w:type="dxa"/>
            <w:vAlign w:val="center"/>
          </w:tcPr>
          <w:p w:rsidR="00A74E60" w:rsidRPr="00181F7F" w:rsidRDefault="00A74E60" w:rsidP="00774001">
            <w:pPr>
              <w:jc w:val="center"/>
              <w:rPr>
                <w:rFonts w:ascii="Arial Narrow" w:hAnsi="Arial Narrow"/>
                <w:sz w:val="20"/>
              </w:rPr>
            </w:pPr>
            <w:r w:rsidRPr="00181F7F">
              <w:rPr>
                <w:rFonts w:ascii="Arial Narrow" w:hAnsi="Arial Narrow"/>
                <w:sz w:val="20"/>
              </w:rPr>
              <w:t>88.25% ± 16.81%</w:t>
            </w:r>
          </w:p>
        </w:tc>
      </w:tr>
      <w:tr w:rsidR="00A74E60" w:rsidRPr="00181F7F" w:rsidTr="00383440">
        <w:trPr>
          <w:trHeight w:val="64"/>
        </w:trPr>
        <w:tc>
          <w:tcPr>
            <w:tcW w:w="3119" w:type="dxa"/>
            <w:shd w:val="clear" w:color="auto" w:fill="auto"/>
            <w:noWrap/>
            <w:vAlign w:val="center"/>
          </w:tcPr>
          <w:p w:rsidR="00A74E60" w:rsidRPr="00181F7F" w:rsidRDefault="00A74E60" w:rsidP="00774001">
            <w:pPr>
              <w:jc w:val="left"/>
              <w:rPr>
                <w:rFonts w:ascii="Arial Narrow" w:hAnsi="Arial Narrow"/>
                <w:sz w:val="20"/>
              </w:rPr>
            </w:pPr>
            <w:r w:rsidRPr="00181F7F">
              <w:rPr>
                <w:rFonts w:ascii="Arial Narrow" w:hAnsi="Arial Narrow"/>
                <w:sz w:val="20"/>
              </w:rPr>
              <w:t>Median (quartiles)</w:t>
            </w:r>
          </w:p>
        </w:tc>
        <w:tc>
          <w:tcPr>
            <w:tcW w:w="1772" w:type="dxa"/>
            <w:tcBorders>
              <w:right w:val="double" w:sz="4" w:space="0" w:color="auto"/>
            </w:tcBorders>
            <w:shd w:val="clear" w:color="auto" w:fill="auto"/>
            <w:noWrap/>
            <w:vAlign w:val="center"/>
          </w:tcPr>
          <w:p w:rsidR="00A74E60" w:rsidRPr="00181F7F" w:rsidRDefault="00A74E60" w:rsidP="00774001">
            <w:pPr>
              <w:jc w:val="center"/>
              <w:rPr>
                <w:rFonts w:ascii="Arial Narrow" w:hAnsi="Arial Narrow"/>
                <w:sz w:val="20"/>
              </w:rPr>
            </w:pPr>
            <w:r w:rsidRPr="00181F7F">
              <w:rPr>
                <w:rFonts w:ascii="Arial Narrow" w:hAnsi="Arial Narrow"/>
                <w:sz w:val="20"/>
              </w:rPr>
              <w:t>95.45%</w:t>
            </w:r>
          </w:p>
          <w:p w:rsidR="00A74E60" w:rsidRPr="00181F7F" w:rsidRDefault="00A74E60" w:rsidP="00774001">
            <w:pPr>
              <w:jc w:val="center"/>
              <w:rPr>
                <w:rFonts w:ascii="Arial Narrow" w:hAnsi="Arial Narrow"/>
                <w:sz w:val="20"/>
              </w:rPr>
            </w:pPr>
            <w:r w:rsidRPr="00181F7F">
              <w:rPr>
                <w:rFonts w:ascii="Arial Narrow" w:hAnsi="Arial Narrow"/>
                <w:sz w:val="20"/>
              </w:rPr>
              <w:t>(87.48%, 99.12%)</w:t>
            </w:r>
          </w:p>
        </w:tc>
        <w:tc>
          <w:tcPr>
            <w:tcW w:w="1769" w:type="dxa"/>
            <w:tcBorders>
              <w:left w:val="double" w:sz="4" w:space="0" w:color="auto"/>
            </w:tcBorders>
            <w:shd w:val="clear" w:color="auto" w:fill="auto"/>
            <w:vAlign w:val="center"/>
          </w:tcPr>
          <w:p w:rsidR="00A74E60" w:rsidRPr="00181F7F" w:rsidRDefault="00A74E60" w:rsidP="00774001">
            <w:pPr>
              <w:jc w:val="center"/>
              <w:rPr>
                <w:rFonts w:ascii="Arial Narrow" w:hAnsi="Arial Narrow"/>
                <w:sz w:val="20"/>
              </w:rPr>
            </w:pPr>
            <w:r w:rsidRPr="00181F7F">
              <w:rPr>
                <w:rFonts w:ascii="Arial Narrow" w:hAnsi="Arial Narrow"/>
                <w:sz w:val="20"/>
              </w:rPr>
              <w:t>92.51%</w:t>
            </w:r>
          </w:p>
          <w:p w:rsidR="00A74E60" w:rsidRPr="00181F7F" w:rsidRDefault="00A74E60" w:rsidP="00774001">
            <w:pPr>
              <w:jc w:val="center"/>
              <w:rPr>
                <w:rFonts w:ascii="Arial Narrow" w:hAnsi="Arial Narrow"/>
                <w:sz w:val="20"/>
              </w:rPr>
            </w:pPr>
            <w:r w:rsidRPr="00181F7F">
              <w:rPr>
                <w:rFonts w:ascii="Arial Narrow" w:hAnsi="Arial Narrow"/>
                <w:sz w:val="20"/>
              </w:rPr>
              <w:t>(81.36%, 98.90%)</w:t>
            </w:r>
          </w:p>
        </w:tc>
        <w:tc>
          <w:tcPr>
            <w:tcW w:w="1769" w:type="dxa"/>
            <w:vAlign w:val="center"/>
          </w:tcPr>
          <w:p w:rsidR="00A74E60" w:rsidRPr="00181F7F" w:rsidRDefault="00A74E60" w:rsidP="00774001">
            <w:pPr>
              <w:jc w:val="center"/>
              <w:rPr>
                <w:rFonts w:ascii="Arial Narrow" w:hAnsi="Arial Narrow"/>
                <w:sz w:val="20"/>
              </w:rPr>
            </w:pPr>
            <w:r w:rsidRPr="00181F7F">
              <w:rPr>
                <w:rFonts w:ascii="Arial Narrow" w:hAnsi="Arial Narrow"/>
                <w:sz w:val="20"/>
              </w:rPr>
              <w:t>92.49%</w:t>
            </w:r>
          </w:p>
          <w:p w:rsidR="00A74E60" w:rsidRPr="00181F7F" w:rsidRDefault="00A74E60" w:rsidP="00774001">
            <w:pPr>
              <w:jc w:val="center"/>
              <w:rPr>
                <w:rFonts w:ascii="Arial Narrow" w:hAnsi="Arial Narrow"/>
                <w:sz w:val="20"/>
              </w:rPr>
            </w:pPr>
            <w:r w:rsidRPr="00181F7F">
              <w:rPr>
                <w:rFonts w:ascii="Arial Narrow" w:hAnsi="Arial Narrow"/>
                <w:sz w:val="20"/>
              </w:rPr>
              <w:t>(80.07%, 98.90%)</w:t>
            </w:r>
          </w:p>
        </w:tc>
      </w:tr>
      <w:tr w:rsidR="00A74E60" w:rsidRPr="00181F7F" w:rsidTr="00383440">
        <w:trPr>
          <w:trHeight w:val="64"/>
        </w:trPr>
        <w:tc>
          <w:tcPr>
            <w:tcW w:w="3119" w:type="dxa"/>
            <w:shd w:val="clear" w:color="auto" w:fill="auto"/>
            <w:noWrap/>
            <w:vAlign w:val="center"/>
          </w:tcPr>
          <w:p w:rsidR="00A74E60" w:rsidRPr="00181F7F" w:rsidRDefault="00A74E60" w:rsidP="00774001">
            <w:pPr>
              <w:rPr>
                <w:rFonts w:ascii="Arial Narrow" w:hAnsi="Arial Narrow"/>
                <w:sz w:val="20"/>
              </w:rPr>
            </w:pPr>
            <w:r w:rsidRPr="00181F7F">
              <w:rPr>
                <w:rFonts w:ascii="Arial Narrow" w:hAnsi="Arial Narrow"/>
                <w:sz w:val="20"/>
              </w:rPr>
              <w:t>10</w:t>
            </w:r>
            <w:r w:rsidRPr="00181F7F">
              <w:rPr>
                <w:rFonts w:ascii="Arial Narrow" w:hAnsi="Arial Narrow"/>
                <w:sz w:val="20"/>
                <w:vertAlign w:val="superscript"/>
              </w:rPr>
              <w:t>th</w:t>
            </w:r>
            <w:r w:rsidRPr="00181F7F">
              <w:rPr>
                <w:rFonts w:ascii="Arial Narrow" w:hAnsi="Arial Narrow"/>
                <w:sz w:val="20"/>
              </w:rPr>
              <w:t xml:space="preserve"> percentile</w:t>
            </w:r>
          </w:p>
        </w:tc>
        <w:tc>
          <w:tcPr>
            <w:tcW w:w="1772" w:type="dxa"/>
            <w:tcBorders>
              <w:right w:val="double" w:sz="4" w:space="0" w:color="auto"/>
            </w:tcBorders>
            <w:shd w:val="clear" w:color="auto" w:fill="auto"/>
            <w:noWrap/>
            <w:vAlign w:val="center"/>
          </w:tcPr>
          <w:p w:rsidR="00A74E60" w:rsidRPr="00181F7F" w:rsidRDefault="00A74E60" w:rsidP="00774001">
            <w:pPr>
              <w:jc w:val="center"/>
              <w:rPr>
                <w:rFonts w:ascii="Arial Narrow" w:hAnsi="Arial Narrow"/>
                <w:sz w:val="20"/>
              </w:rPr>
            </w:pPr>
            <w:r w:rsidRPr="00181F7F">
              <w:rPr>
                <w:rFonts w:ascii="Arial Narrow" w:hAnsi="Arial Narrow"/>
                <w:sz w:val="20"/>
              </w:rPr>
              <w:t>74.06%</w:t>
            </w:r>
          </w:p>
        </w:tc>
        <w:tc>
          <w:tcPr>
            <w:tcW w:w="1769" w:type="dxa"/>
            <w:tcBorders>
              <w:left w:val="double" w:sz="4" w:space="0" w:color="auto"/>
            </w:tcBorders>
            <w:shd w:val="clear" w:color="auto" w:fill="auto"/>
            <w:vAlign w:val="center"/>
          </w:tcPr>
          <w:p w:rsidR="00A74E60" w:rsidRPr="00181F7F" w:rsidRDefault="00A74E60" w:rsidP="00774001">
            <w:pPr>
              <w:jc w:val="center"/>
              <w:rPr>
                <w:rFonts w:ascii="Arial Narrow" w:hAnsi="Arial Narrow"/>
                <w:sz w:val="20"/>
              </w:rPr>
            </w:pPr>
            <w:r w:rsidRPr="00181F7F">
              <w:rPr>
                <w:rFonts w:ascii="Arial Narrow" w:hAnsi="Arial Narrow"/>
                <w:sz w:val="20"/>
              </w:rPr>
              <w:t>65.69%</w:t>
            </w:r>
          </w:p>
        </w:tc>
        <w:tc>
          <w:tcPr>
            <w:tcW w:w="1769" w:type="dxa"/>
            <w:vAlign w:val="center"/>
          </w:tcPr>
          <w:p w:rsidR="00A74E60" w:rsidRPr="00181F7F" w:rsidRDefault="00A74E60" w:rsidP="00774001">
            <w:pPr>
              <w:jc w:val="center"/>
              <w:rPr>
                <w:rFonts w:ascii="Arial Narrow" w:hAnsi="Arial Narrow"/>
                <w:sz w:val="20"/>
              </w:rPr>
            </w:pPr>
            <w:r w:rsidRPr="00181F7F">
              <w:rPr>
                <w:rFonts w:ascii="Arial Narrow" w:hAnsi="Arial Narrow"/>
                <w:sz w:val="20"/>
              </w:rPr>
              <w:t>65.50%</w:t>
            </w:r>
          </w:p>
        </w:tc>
      </w:tr>
      <w:tr w:rsidR="00A74E60" w:rsidRPr="00181F7F" w:rsidTr="00383440">
        <w:trPr>
          <w:trHeight w:val="64"/>
        </w:trPr>
        <w:tc>
          <w:tcPr>
            <w:tcW w:w="3119" w:type="dxa"/>
            <w:shd w:val="clear" w:color="auto" w:fill="auto"/>
            <w:noWrap/>
            <w:vAlign w:val="center"/>
          </w:tcPr>
          <w:p w:rsidR="00A74E60" w:rsidRPr="00181F7F" w:rsidRDefault="00A74E60" w:rsidP="00774001">
            <w:pPr>
              <w:rPr>
                <w:rFonts w:ascii="Arial Narrow" w:hAnsi="Arial Narrow"/>
                <w:sz w:val="20"/>
              </w:rPr>
            </w:pPr>
            <w:r w:rsidRPr="00181F7F">
              <w:rPr>
                <w:rFonts w:ascii="Arial Narrow" w:hAnsi="Arial Narrow"/>
                <w:sz w:val="20"/>
              </w:rPr>
              <w:t>90</w:t>
            </w:r>
            <w:r w:rsidRPr="00181F7F">
              <w:rPr>
                <w:rFonts w:ascii="Arial Narrow" w:hAnsi="Arial Narrow"/>
                <w:sz w:val="20"/>
                <w:vertAlign w:val="superscript"/>
              </w:rPr>
              <w:t>th</w:t>
            </w:r>
            <w:r w:rsidRPr="00181F7F">
              <w:rPr>
                <w:rFonts w:ascii="Arial Narrow" w:hAnsi="Arial Narrow"/>
                <w:sz w:val="20"/>
              </w:rPr>
              <w:t xml:space="preserve"> percentile</w:t>
            </w:r>
          </w:p>
        </w:tc>
        <w:tc>
          <w:tcPr>
            <w:tcW w:w="1772" w:type="dxa"/>
            <w:tcBorders>
              <w:right w:val="double" w:sz="4" w:space="0" w:color="auto"/>
            </w:tcBorders>
            <w:shd w:val="clear" w:color="auto" w:fill="auto"/>
            <w:noWrap/>
            <w:vAlign w:val="center"/>
          </w:tcPr>
          <w:p w:rsidR="00A74E60" w:rsidRPr="00181F7F" w:rsidRDefault="00A74E60" w:rsidP="00774001">
            <w:pPr>
              <w:jc w:val="center"/>
              <w:rPr>
                <w:rFonts w:ascii="Arial Narrow" w:hAnsi="Arial Narrow"/>
                <w:sz w:val="20"/>
              </w:rPr>
            </w:pPr>
            <w:r w:rsidRPr="00181F7F">
              <w:rPr>
                <w:rFonts w:ascii="Arial Narrow" w:hAnsi="Arial Narrow"/>
                <w:sz w:val="20"/>
              </w:rPr>
              <w:t>102.77%</w:t>
            </w:r>
          </w:p>
        </w:tc>
        <w:tc>
          <w:tcPr>
            <w:tcW w:w="1769" w:type="dxa"/>
            <w:tcBorders>
              <w:left w:val="double" w:sz="4" w:space="0" w:color="auto"/>
            </w:tcBorders>
            <w:shd w:val="clear" w:color="auto" w:fill="auto"/>
            <w:vAlign w:val="center"/>
          </w:tcPr>
          <w:p w:rsidR="00A74E60" w:rsidRPr="00181F7F" w:rsidRDefault="00A74E60" w:rsidP="00774001">
            <w:pPr>
              <w:jc w:val="center"/>
              <w:rPr>
                <w:rFonts w:ascii="Arial Narrow" w:hAnsi="Arial Narrow"/>
                <w:sz w:val="20"/>
              </w:rPr>
            </w:pPr>
            <w:r w:rsidRPr="00181F7F">
              <w:rPr>
                <w:rFonts w:ascii="Arial Narrow" w:hAnsi="Arial Narrow"/>
                <w:sz w:val="20"/>
              </w:rPr>
              <w:t>103.45%</w:t>
            </w:r>
          </w:p>
        </w:tc>
        <w:tc>
          <w:tcPr>
            <w:tcW w:w="1769" w:type="dxa"/>
            <w:vAlign w:val="center"/>
          </w:tcPr>
          <w:p w:rsidR="00A74E60" w:rsidRPr="00181F7F" w:rsidRDefault="00A74E60" w:rsidP="00774001">
            <w:pPr>
              <w:jc w:val="center"/>
              <w:rPr>
                <w:rFonts w:ascii="Arial Narrow" w:hAnsi="Arial Narrow"/>
                <w:sz w:val="20"/>
              </w:rPr>
            </w:pPr>
            <w:r w:rsidRPr="00181F7F">
              <w:rPr>
                <w:rFonts w:ascii="Arial Narrow" w:hAnsi="Arial Narrow"/>
                <w:sz w:val="20"/>
              </w:rPr>
              <w:t>103.45%</w:t>
            </w:r>
          </w:p>
        </w:tc>
      </w:tr>
      <w:tr w:rsidR="00A74E60" w:rsidRPr="00181F7F" w:rsidTr="00383440">
        <w:trPr>
          <w:trHeight w:val="64"/>
        </w:trPr>
        <w:tc>
          <w:tcPr>
            <w:tcW w:w="8429" w:type="dxa"/>
            <w:gridSpan w:val="4"/>
            <w:shd w:val="clear" w:color="auto" w:fill="auto"/>
            <w:noWrap/>
            <w:vAlign w:val="center"/>
          </w:tcPr>
          <w:p w:rsidR="00A74E60" w:rsidRPr="00181F7F" w:rsidRDefault="00A74E60" w:rsidP="00774001">
            <w:pPr>
              <w:jc w:val="left"/>
              <w:rPr>
                <w:rFonts w:ascii="Arial Narrow" w:hAnsi="Arial Narrow"/>
                <w:sz w:val="20"/>
              </w:rPr>
            </w:pPr>
            <w:r w:rsidRPr="00181F7F">
              <w:rPr>
                <w:rFonts w:ascii="Arial Narrow" w:hAnsi="Arial Narrow"/>
                <w:b/>
                <w:sz w:val="20"/>
              </w:rPr>
              <w:t>CMG</w:t>
            </w:r>
          </w:p>
        </w:tc>
      </w:tr>
      <w:tr w:rsidR="00A74E60" w:rsidRPr="00181F7F" w:rsidTr="00383440">
        <w:trPr>
          <w:trHeight w:val="142"/>
        </w:trPr>
        <w:tc>
          <w:tcPr>
            <w:tcW w:w="3119" w:type="dxa"/>
            <w:shd w:val="clear" w:color="auto" w:fill="auto"/>
            <w:noWrap/>
          </w:tcPr>
          <w:p w:rsidR="00A74E60" w:rsidRPr="00181F7F" w:rsidRDefault="00A74E60" w:rsidP="00774001">
            <w:pPr>
              <w:rPr>
                <w:rFonts w:ascii="Arial Narrow" w:hAnsi="Arial Narrow"/>
                <w:sz w:val="20"/>
              </w:rPr>
            </w:pPr>
            <w:r w:rsidRPr="00181F7F">
              <w:rPr>
                <w:rFonts w:ascii="Arial Narrow" w:hAnsi="Arial Narrow"/>
                <w:sz w:val="20"/>
              </w:rPr>
              <w:t>Mean ± SD</w:t>
            </w:r>
          </w:p>
        </w:tc>
        <w:tc>
          <w:tcPr>
            <w:tcW w:w="1772" w:type="dxa"/>
            <w:tcBorders>
              <w:right w:val="double" w:sz="4" w:space="0" w:color="auto"/>
            </w:tcBorders>
            <w:shd w:val="clear" w:color="auto" w:fill="auto"/>
            <w:noWrap/>
          </w:tcPr>
          <w:p w:rsidR="00A74E60" w:rsidRPr="00181F7F" w:rsidRDefault="00A74E60" w:rsidP="00774001">
            <w:pPr>
              <w:jc w:val="center"/>
              <w:rPr>
                <w:rFonts w:ascii="Arial Narrow" w:hAnsi="Arial Narrow"/>
                <w:sz w:val="20"/>
              </w:rPr>
            </w:pPr>
            <w:r w:rsidRPr="00181F7F">
              <w:rPr>
                <w:rFonts w:ascii="Arial Narrow" w:hAnsi="Arial Narrow"/>
                <w:sz w:val="20"/>
              </w:rPr>
              <w:t>84.20%</w:t>
            </w:r>
            <w:r w:rsidRPr="00181F7F">
              <w:rPr>
                <w:rFonts w:ascii="Arial Narrow" w:hAnsi="Arial Narrow"/>
                <w:sz w:val="20"/>
                <w:vertAlign w:val="superscript"/>
              </w:rPr>
              <w:t>b</w:t>
            </w:r>
            <w:r w:rsidRPr="00181F7F">
              <w:rPr>
                <w:rFonts w:ascii="Arial Narrow" w:hAnsi="Arial Narrow"/>
                <w:sz w:val="20"/>
              </w:rPr>
              <w:t xml:space="preserve"> ± 11.58%</w:t>
            </w:r>
          </w:p>
        </w:tc>
        <w:tc>
          <w:tcPr>
            <w:tcW w:w="1769" w:type="dxa"/>
            <w:tcBorders>
              <w:left w:val="double" w:sz="4" w:space="0" w:color="auto"/>
            </w:tcBorders>
            <w:shd w:val="clear" w:color="auto" w:fill="auto"/>
            <w:vAlign w:val="center"/>
          </w:tcPr>
          <w:p w:rsidR="00A74E60" w:rsidRPr="00181F7F" w:rsidRDefault="00A74E60" w:rsidP="00774001">
            <w:pPr>
              <w:jc w:val="center"/>
              <w:rPr>
                <w:rFonts w:ascii="Arial Narrow" w:hAnsi="Arial Narrow"/>
                <w:sz w:val="20"/>
              </w:rPr>
            </w:pPr>
            <w:r w:rsidRPr="00181F7F">
              <w:rPr>
                <w:rFonts w:ascii="Arial Narrow" w:hAnsi="Arial Narrow"/>
                <w:sz w:val="20"/>
              </w:rPr>
              <w:t>80.87% ± 14.44%</w:t>
            </w:r>
          </w:p>
        </w:tc>
        <w:tc>
          <w:tcPr>
            <w:tcW w:w="1769" w:type="dxa"/>
            <w:vAlign w:val="center"/>
          </w:tcPr>
          <w:p w:rsidR="00A74E60" w:rsidRPr="00181F7F" w:rsidRDefault="00A74E60" w:rsidP="00774001">
            <w:pPr>
              <w:jc w:val="center"/>
              <w:rPr>
                <w:rFonts w:ascii="Arial Narrow" w:hAnsi="Arial Narrow"/>
                <w:sz w:val="20"/>
              </w:rPr>
            </w:pPr>
            <w:r w:rsidRPr="00181F7F">
              <w:rPr>
                <w:rFonts w:ascii="Arial Narrow" w:hAnsi="Arial Narrow"/>
                <w:sz w:val="20"/>
              </w:rPr>
              <w:t>82.69% ± 13.22%</w:t>
            </w:r>
          </w:p>
        </w:tc>
      </w:tr>
      <w:tr w:rsidR="00A74E60" w:rsidRPr="00181F7F" w:rsidTr="00383440">
        <w:trPr>
          <w:trHeight w:val="142"/>
        </w:trPr>
        <w:tc>
          <w:tcPr>
            <w:tcW w:w="3119" w:type="dxa"/>
            <w:shd w:val="clear" w:color="auto" w:fill="auto"/>
            <w:noWrap/>
            <w:vAlign w:val="center"/>
          </w:tcPr>
          <w:p w:rsidR="00A74E60" w:rsidRPr="00181F7F" w:rsidRDefault="00A74E60" w:rsidP="00774001">
            <w:pPr>
              <w:jc w:val="left"/>
              <w:rPr>
                <w:rFonts w:ascii="Arial Narrow" w:hAnsi="Arial Narrow"/>
                <w:sz w:val="20"/>
              </w:rPr>
            </w:pPr>
            <w:r w:rsidRPr="00181F7F">
              <w:rPr>
                <w:rFonts w:ascii="Arial Narrow" w:hAnsi="Arial Narrow"/>
                <w:sz w:val="20"/>
              </w:rPr>
              <w:t>Median (quartiles)</w:t>
            </w:r>
          </w:p>
        </w:tc>
        <w:tc>
          <w:tcPr>
            <w:tcW w:w="1772" w:type="dxa"/>
            <w:tcBorders>
              <w:right w:val="double" w:sz="4" w:space="0" w:color="auto"/>
            </w:tcBorders>
            <w:shd w:val="clear" w:color="auto" w:fill="auto"/>
            <w:noWrap/>
          </w:tcPr>
          <w:p w:rsidR="00A74E60" w:rsidRPr="00181F7F" w:rsidRDefault="00A74E60" w:rsidP="00774001">
            <w:pPr>
              <w:jc w:val="center"/>
              <w:rPr>
                <w:rFonts w:ascii="Arial Narrow" w:hAnsi="Arial Narrow"/>
                <w:sz w:val="20"/>
              </w:rPr>
            </w:pPr>
            <w:r w:rsidRPr="00181F7F">
              <w:rPr>
                <w:rFonts w:ascii="Arial Narrow" w:hAnsi="Arial Narrow"/>
                <w:sz w:val="20"/>
              </w:rPr>
              <w:t xml:space="preserve">87.47% </w:t>
            </w:r>
          </w:p>
          <w:p w:rsidR="00A74E60" w:rsidRPr="00181F7F" w:rsidRDefault="00A74E60" w:rsidP="00774001">
            <w:pPr>
              <w:jc w:val="center"/>
              <w:rPr>
                <w:rFonts w:ascii="Arial Narrow" w:hAnsi="Arial Narrow"/>
                <w:sz w:val="20"/>
              </w:rPr>
            </w:pPr>
            <w:r w:rsidRPr="00181F7F">
              <w:rPr>
                <w:rFonts w:ascii="Arial Narrow" w:hAnsi="Arial Narrow"/>
                <w:sz w:val="20"/>
              </w:rPr>
              <w:t>(79.98%</w:t>
            </w:r>
            <w:r w:rsidRPr="00181F7F">
              <w:rPr>
                <w:rFonts w:ascii="Arial Narrow" w:hAnsi="Arial Narrow"/>
                <w:sz w:val="20"/>
                <w:vertAlign w:val="superscript"/>
              </w:rPr>
              <w:t>b</w:t>
            </w:r>
            <w:r w:rsidRPr="00181F7F">
              <w:rPr>
                <w:rFonts w:ascii="Arial Narrow" w:hAnsi="Arial Narrow"/>
                <w:sz w:val="20"/>
              </w:rPr>
              <w:t>, 91.98%)</w:t>
            </w:r>
          </w:p>
        </w:tc>
        <w:tc>
          <w:tcPr>
            <w:tcW w:w="1769" w:type="dxa"/>
            <w:tcBorders>
              <w:left w:val="double" w:sz="4" w:space="0" w:color="auto"/>
            </w:tcBorders>
            <w:shd w:val="clear" w:color="auto" w:fill="auto"/>
            <w:vAlign w:val="center"/>
          </w:tcPr>
          <w:p w:rsidR="00A74E60" w:rsidRPr="00181F7F" w:rsidRDefault="00A74E60" w:rsidP="00774001">
            <w:pPr>
              <w:jc w:val="center"/>
              <w:rPr>
                <w:rFonts w:ascii="Arial Narrow" w:hAnsi="Arial Narrow"/>
                <w:sz w:val="20"/>
              </w:rPr>
            </w:pPr>
            <w:r w:rsidRPr="00181F7F">
              <w:rPr>
                <w:rFonts w:ascii="Arial Narrow" w:hAnsi="Arial Narrow"/>
                <w:sz w:val="20"/>
              </w:rPr>
              <w:t>84.89%</w:t>
            </w:r>
          </w:p>
          <w:p w:rsidR="00A74E60" w:rsidRPr="00181F7F" w:rsidRDefault="00A74E60" w:rsidP="00774001">
            <w:pPr>
              <w:jc w:val="center"/>
              <w:rPr>
                <w:rFonts w:ascii="Arial Narrow" w:hAnsi="Arial Narrow"/>
                <w:sz w:val="20"/>
              </w:rPr>
            </w:pPr>
            <w:r w:rsidRPr="00181F7F">
              <w:rPr>
                <w:rFonts w:ascii="Arial Narrow" w:hAnsi="Arial Narrow"/>
                <w:sz w:val="20"/>
              </w:rPr>
              <w:t>(75.384%, 90.60%)</w:t>
            </w:r>
          </w:p>
        </w:tc>
        <w:tc>
          <w:tcPr>
            <w:tcW w:w="1769" w:type="dxa"/>
            <w:vAlign w:val="center"/>
          </w:tcPr>
          <w:p w:rsidR="00A74E60" w:rsidRPr="00181F7F" w:rsidRDefault="00A74E60" w:rsidP="00774001">
            <w:pPr>
              <w:jc w:val="center"/>
              <w:rPr>
                <w:rFonts w:ascii="Arial Narrow" w:hAnsi="Arial Narrow"/>
                <w:sz w:val="20"/>
              </w:rPr>
            </w:pPr>
            <w:r w:rsidRPr="00181F7F">
              <w:rPr>
                <w:rFonts w:ascii="Arial Narrow" w:hAnsi="Arial Narrow"/>
                <w:sz w:val="20"/>
              </w:rPr>
              <w:t>86.46%</w:t>
            </w:r>
          </w:p>
          <w:p w:rsidR="00A74E60" w:rsidRPr="00181F7F" w:rsidRDefault="00A74E60" w:rsidP="00774001">
            <w:pPr>
              <w:jc w:val="center"/>
              <w:rPr>
                <w:rFonts w:ascii="Arial Narrow" w:hAnsi="Arial Narrow"/>
                <w:sz w:val="20"/>
              </w:rPr>
            </w:pPr>
            <w:r w:rsidRPr="00181F7F">
              <w:rPr>
                <w:rFonts w:ascii="Arial Narrow" w:hAnsi="Arial Narrow"/>
                <w:sz w:val="20"/>
              </w:rPr>
              <w:t>(77.43%, 91.80%)</w:t>
            </w:r>
          </w:p>
        </w:tc>
      </w:tr>
      <w:tr w:rsidR="00A74E60" w:rsidRPr="00181F7F" w:rsidTr="00383440">
        <w:trPr>
          <w:trHeight w:val="142"/>
        </w:trPr>
        <w:tc>
          <w:tcPr>
            <w:tcW w:w="3119" w:type="dxa"/>
            <w:shd w:val="clear" w:color="auto" w:fill="auto"/>
            <w:noWrap/>
            <w:vAlign w:val="center"/>
          </w:tcPr>
          <w:p w:rsidR="00A74E60" w:rsidRPr="00181F7F" w:rsidRDefault="00A74E60" w:rsidP="00774001">
            <w:pPr>
              <w:jc w:val="left"/>
              <w:rPr>
                <w:rFonts w:ascii="Arial Narrow" w:hAnsi="Arial Narrow"/>
                <w:sz w:val="20"/>
              </w:rPr>
            </w:pPr>
            <w:r w:rsidRPr="00181F7F">
              <w:rPr>
                <w:rFonts w:ascii="Arial Narrow" w:hAnsi="Arial Narrow"/>
                <w:sz w:val="20"/>
              </w:rPr>
              <w:t>10</w:t>
            </w:r>
            <w:r w:rsidRPr="00181F7F">
              <w:rPr>
                <w:rFonts w:ascii="Arial Narrow" w:hAnsi="Arial Narrow"/>
                <w:sz w:val="20"/>
                <w:vertAlign w:val="superscript"/>
              </w:rPr>
              <w:t>th</w:t>
            </w:r>
            <w:r w:rsidRPr="00181F7F">
              <w:rPr>
                <w:rFonts w:ascii="Arial Narrow" w:hAnsi="Arial Narrow"/>
                <w:sz w:val="20"/>
              </w:rPr>
              <w:t xml:space="preserve"> percentile</w:t>
            </w:r>
          </w:p>
        </w:tc>
        <w:tc>
          <w:tcPr>
            <w:tcW w:w="1772" w:type="dxa"/>
            <w:tcBorders>
              <w:right w:val="double" w:sz="4" w:space="0" w:color="auto"/>
            </w:tcBorders>
            <w:shd w:val="clear" w:color="auto" w:fill="auto"/>
            <w:noWrap/>
          </w:tcPr>
          <w:p w:rsidR="00A74E60" w:rsidRPr="00181F7F" w:rsidRDefault="00A74E60" w:rsidP="00301D1F">
            <w:pPr>
              <w:jc w:val="center"/>
              <w:rPr>
                <w:rFonts w:ascii="Arial Narrow" w:hAnsi="Arial Narrow"/>
                <w:sz w:val="20"/>
                <w:vertAlign w:val="superscript"/>
              </w:rPr>
            </w:pPr>
            <w:r w:rsidRPr="00181F7F">
              <w:rPr>
                <w:rFonts w:ascii="Arial Narrow" w:hAnsi="Arial Narrow"/>
                <w:sz w:val="20"/>
              </w:rPr>
              <w:t>69.41%</w:t>
            </w:r>
            <w:r w:rsidR="00301D1F" w:rsidRPr="00181F7F">
              <w:rPr>
                <w:rFonts w:ascii="Arial Narrow" w:hAnsi="Arial Narrow"/>
                <w:sz w:val="20"/>
                <w:vertAlign w:val="superscript"/>
              </w:rPr>
              <w:t>c</w:t>
            </w:r>
          </w:p>
        </w:tc>
        <w:tc>
          <w:tcPr>
            <w:tcW w:w="1769" w:type="dxa"/>
            <w:tcBorders>
              <w:left w:val="double" w:sz="4" w:space="0" w:color="auto"/>
            </w:tcBorders>
            <w:shd w:val="clear" w:color="auto" w:fill="auto"/>
            <w:vAlign w:val="center"/>
          </w:tcPr>
          <w:p w:rsidR="00A74E60" w:rsidRPr="00181F7F" w:rsidRDefault="00A74E60" w:rsidP="00774001">
            <w:pPr>
              <w:jc w:val="center"/>
              <w:rPr>
                <w:rFonts w:ascii="Arial Narrow" w:hAnsi="Arial Narrow"/>
                <w:sz w:val="20"/>
              </w:rPr>
            </w:pPr>
            <w:r w:rsidRPr="00181F7F">
              <w:rPr>
                <w:rFonts w:ascii="Arial Narrow" w:hAnsi="Arial Narrow"/>
                <w:sz w:val="20"/>
              </w:rPr>
              <w:t>61.48%</w:t>
            </w:r>
          </w:p>
        </w:tc>
        <w:tc>
          <w:tcPr>
            <w:tcW w:w="1769" w:type="dxa"/>
            <w:vAlign w:val="center"/>
          </w:tcPr>
          <w:p w:rsidR="00A74E60" w:rsidRPr="00181F7F" w:rsidRDefault="00A74E60" w:rsidP="00774001">
            <w:pPr>
              <w:jc w:val="center"/>
              <w:rPr>
                <w:rFonts w:ascii="Arial Narrow" w:hAnsi="Arial Narrow"/>
                <w:sz w:val="20"/>
              </w:rPr>
            </w:pPr>
            <w:r w:rsidRPr="00181F7F">
              <w:rPr>
                <w:rFonts w:ascii="Arial Narrow" w:hAnsi="Arial Narrow"/>
                <w:sz w:val="20"/>
              </w:rPr>
              <w:t>64.53%</w:t>
            </w:r>
          </w:p>
        </w:tc>
      </w:tr>
      <w:tr w:rsidR="00A74E60" w:rsidRPr="00181F7F" w:rsidTr="00383440">
        <w:trPr>
          <w:trHeight w:val="142"/>
        </w:trPr>
        <w:tc>
          <w:tcPr>
            <w:tcW w:w="3119" w:type="dxa"/>
            <w:shd w:val="clear" w:color="auto" w:fill="auto"/>
            <w:noWrap/>
            <w:vAlign w:val="center"/>
          </w:tcPr>
          <w:p w:rsidR="00A74E60" w:rsidRPr="00181F7F" w:rsidRDefault="00A74E60" w:rsidP="00774001">
            <w:pPr>
              <w:jc w:val="left"/>
              <w:rPr>
                <w:rFonts w:ascii="Arial Narrow" w:hAnsi="Arial Narrow"/>
                <w:sz w:val="20"/>
              </w:rPr>
            </w:pPr>
            <w:r w:rsidRPr="00181F7F">
              <w:rPr>
                <w:rFonts w:ascii="Arial Narrow" w:hAnsi="Arial Narrow"/>
                <w:sz w:val="20"/>
              </w:rPr>
              <w:t>90</w:t>
            </w:r>
            <w:r w:rsidRPr="00181F7F">
              <w:rPr>
                <w:rFonts w:ascii="Arial Narrow" w:hAnsi="Arial Narrow"/>
                <w:sz w:val="20"/>
                <w:vertAlign w:val="superscript"/>
              </w:rPr>
              <w:t>th</w:t>
            </w:r>
            <w:r w:rsidRPr="00181F7F">
              <w:rPr>
                <w:rFonts w:ascii="Arial Narrow" w:hAnsi="Arial Narrow"/>
                <w:sz w:val="20"/>
              </w:rPr>
              <w:t xml:space="preserve"> percentile</w:t>
            </w:r>
          </w:p>
        </w:tc>
        <w:tc>
          <w:tcPr>
            <w:tcW w:w="1772" w:type="dxa"/>
            <w:tcBorders>
              <w:right w:val="double" w:sz="4" w:space="0" w:color="auto"/>
            </w:tcBorders>
            <w:shd w:val="clear" w:color="auto" w:fill="auto"/>
            <w:noWrap/>
          </w:tcPr>
          <w:p w:rsidR="00A74E60" w:rsidRPr="00181F7F" w:rsidRDefault="00A74E60" w:rsidP="00774001">
            <w:pPr>
              <w:jc w:val="center"/>
              <w:rPr>
                <w:rFonts w:ascii="Arial Narrow" w:hAnsi="Arial Narrow"/>
                <w:sz w:val="20"/>
              </w:rPr>
            </w:pPr>
            <w:r w:rsidRPr="00181F7F">
              <w:rPr>
                <w:rFonts w:ascii="Arial Narrow" w:hAnsi="Arial Narrow"/>
                <w:sz w:val="20"/>
              </w:rPr>
              <w:t>95.62%</w:t>
            </w:r>
          </w:p>
        </w:tc>
        <w:tc>
          <w:tcPr>
            <w:tcW w:w="1769" w:type="dxa"/>
            <w:tcBorders>
              <w:left w:val="double" w:sz="4" w:space="0" w:color="auto"/>
            </w:tcBorders>
            <w:shd w:val="clear" w:color="auto" w:fill="auto"/>
            <w:vAlign w:val="center"/>
          </w:tcPr>
          <w:p w:rsidR="00A74E60" w:rsidRPr="00181F7F" w:rsidRDefault="00A74E60" w:rsidP="00774001">
            <w:pPr>
              <w:jc w:val="center"/>
              <w:rPr>
                <w:rFonts w:ascii="Arial Narrow" w:hAnsi="Arial Narrow"/>
                <w:sz w:val="20"/>
              </w:rPr>
            </w:pPr>
            <w:r w:rsidRPr="00181F7F">
              <w:rPr>
                <w:rFonts w:ascii="Arial Narrow" w:hAnsi="Arial Narrow"/>
                <w:sz w:val="20"/>
              </w:rPr>
              <w:t>94.20%</w:t>
            </w:r>
          </w:p>
        </w:tc>
        <w:tc>
          <w:tcPr>
            <w:tcW w:w="1769" w:type="dxa"/>
            <w:vAlign w:val="center"/>
          </w:tcPr>
          <w:p w:rsidR="00A74E60" w:rsidRPr="00181F7F" w:rsidRDefault="00A74E60" w:rsidP="00774001">
            <w:pPr>
              <w:jc w:val="center"/>
              <w:rPr>
                <w:rFonts w:ascii="Arial Narrow" w:hAnsi="Arial Narrow"/>
                <w:sz w:val="20"/>
              </w:rPr>
            </w:pPr>
            <w:r w:rsidRPr="00181F7F">
              <w:rPr>
                <w:rFonts w:ascii="Arial Narrow" w:hAnsi="Arial Narrow"/>
                <w:sz w:val="20"/>
              </w:rPr>
              <w:t>94.91%</w:t>
            </w:r>
          </w:p>
        </w:tc>
      </w:tr>
    </w:tbl>
    <w:p w:rsidR="00A74E60" w:rsidRPr="00181F7F" w:rsidRDefault="00A74E60" w:rsidP="00383440">
      <w:pPr>
        <w:ind w:left="709"/>
        <w:rPr>
          <w:rFonts w:ascii="Arial Narrow" w:hAnsi="Arial Narrow"/>
          <w:sz w:val="16"/>
          <w:szCs w:val="16"/>
        </w:rPr>
      </w:pPr>
      <w:r w:rsidRPr="00181F7F">
        <w:rPr>
          <w:rFonts w:ascii="Arial Narrow" w:hAnsi="Arial Narrow"/>
          <w:sz w:val="16"/>
          <w:szCs w:val="16"/>
        </w:rPr>
        <w:t>Source: Adapted from Tables B.1.2-4 to B.1.2-5 (p27) of the submission and calculated during the evaluation</w:t>
      </w:r>
      <w:r w:rsidR="009F7C5B">
        <w:rPr>
          <w:rFonts w:ascii="Arial Narrow" w:hAnsi="Arial Narrow"/>
          <w:sz w:val="16"/>
          <w:szCs w:val="16"/>
        </w:rPr>
        <w:t>.</w:t>
      </w:r>
      <w:r w:rsidRPr="00181F7F">
        <w:rPr>
          <w:rFonts w:ascii="Arial Narrow" w:hAnsi="Arial Narrow"/>
          <w:sz w:val="16"/>
          <w:szCs w:val="16"/>
        </w:rPr>
        <w:t xml:space="preserve"> </w:t>
      </w:r>
    </w:p>
    <w:p w:rsidR="00A74E60" w:rsidRPr="00181F7F" w:rsidRDefault="00A74E60" w:rsidP="00383440">
      <w:pPr>
        <w:ind w:left="709"/>
        <w:rPr>
          <w:rFonts w:ascii="Arial Narrow" w:hAnsi="Arial Narrow"/>
          <w:sz w:val="16"/>
          <w:szCs w:val="16"/>
        </w:rPr>
      </w:pPr>
      <w:r w:rsidRPr="00181F7F">
        <w:rPr>
          <w:rFonts w:ascii="Arial Narrow" w:hAnsi="Arial Narrow"/>
          <w:sz w:val="16"/>
          <w:szCs w:val="16"/>
        </w:rPr>
        <w:t xml:space="preserve">Abbreviations: CMG, continuous measure of medication gap; MPR, medication possession ratio; NE, not estimated; SD, standard deviation; </w:t>
      </w:r>
      <w:proofErr w:type="spellStart"/>
      <w:r w:rsidRPr="00181F7F">
        <w:rPr>
          <w:rFonts w:ascii="Arial Narrow" w:hAnsi="Arial Narrow"/>
          <w:sz w:val="16"/>
          <w:szCs w:val="16"/>
        </w:rPr>
        <w:t>yrs</w:t>
      </w:r>
      <w:proofErr w:type="spellEnd"/>
      <w:r w:rsidRPr="00181F7F">
        <w:rPr>
          <w:rFonts w:ascii="Arial Narrow" w:hAnsi="Arial Narrow"/>
          <w:sz w:val="16"/>
          <w:szCs w:val="16"/>
        </w:rPr>
        <w:t>, years</w:t>
      </w:r>
    </w:p>
    <w:p w:rsidR="00301D1F" w:rsidRPr="00181F7F" w:rsidRDefault="00301D1F" w:rsidP="00383440">
      <w:pPr>
        <w:ind w:left="709"/>
        <w:rPr>
          <w:rFonts w:ascii="Arial Narrow" w:hAnsi="Arial Narrow"/>
          <w:sz w:val="16"/>
          <w:szCs w:val="16"/>
        </w:rPr>
      </w:pPr>
      <w:proofErr w:type="spellStart"/>
      <w:proofErr w:type="gramStart"/>
      <w:r w:rsidRPr="00181F7F">
        <w:rPr>
          <w:rFonts w:ascii="Arial Narrow" w:hAnsi="Arial Narrow"/>
          <w:sz w:val="16"/>
          <w:szCs w:val="16"/>
          <w:vertAlign w:val="superscript"/>
        </w:rPr>
        <w:t>a</w:t>
      </w:r>
      <w:proofErr w:type="spellEnd"/>
      <w:proofErr w:type="gramEnd"/>
      <w:r w:rsidRPr="00181F7F">
        <w:rPr>
          <w:rFonts w:ascii="Arial Narrow" w:hAnsi="Arial Narrow"/>
          <w:sz w:val="16"/>
          <w:szCs w:val="16"/>
        </w:rPr>
        <w:t xml:space="preserve"> Attempts du</w:t>
      </w:r>
      <w:r w:rsidR="00C55D16" w:rsidRPr="00181F7F">
        <w:rPr>
          <w:rFonts w:ascii="Arial Narrow" w:hAnsi="Arial Narrow"/>
          <w:sz w:val="16"/>
          <w:szCs w:val="16"/>
        </w:rPr>
        <w:t>r</w:t>
      </w:r>
      <w:r w:rsidRPr="00181F7F">
        <w:rPr>
          <w:rFonts w:ascii="Arial Narrow" w:hAnsi="Arial Narrow"/>
          <w:sz w:val="16"/>
          <w:szCs w:val="16"/>
        </w:rPr>
        <w:t>in</w:t>
      </w:r>
      <w:r w:rsidR="00C55D16" w:rsidRPr="00181F7F">
        <w:rPr>
          <w:rFonts w:ascii="Arial Narrow" w:hAnsi="Arial Narrow"/>
          <w:sz w:val="16"/>
          <w:szCs w:val="16"/>
        </w:rPr>
        <w:t>g</w:t>
      </w:r>
      <w:r w:rsidRPr="00181F7F">
        <w:rPr>
          <w:rFonts w:ascii="Arial Narrow" w:hAnsi="Arial Narrow"/>
          <w:sz w:val="16"/>
          <w:szCs w:val="16"/>
        </w:rPr>
        <w:t xml:space="preserve"> the evaluation at duplicating the submissions results for existing MPR level failed (unable to replicate N=1,203 or 1,230 or the results). Due to premature rounding, the value in the evaluation (1</w:t>
      </w:r>
      <w:r w:rsidR="00647C65">
        <w:rPr>
          <w:rFonts w:ascii="Arial Narrow" w:hAnsi="Arial Narrow"/>
          <w:sz w:val="16"/>
          <w:szCs w:val="16"/>
        </w:rPr>
        <w:t>,</w:t>
      </w:r>
      <w:r w:rsidRPr="00181F7F">
        <w:rPr>
          <w:rFonts w:ascii="Arial Narrow" w:hAnsi="Arial Narrow"/>
          <w:sz w:val="16"/>
          <w:szCs w:val="16"/>
        </w:rPr>
        <w:t>205) do</w:t>
      </w:r>
      <w:r w:rsidR="00647C65">
        <w:rPr>
          <w:rFonts w:ascii="Arial Narrow" w:hAnsi="Arial Narrow"/>
          <w:sz w:val="16"/>
          <w:szCs w:val="16"/>
        </w:rPr>
        <w:t>es</w:t>
      </w:r>
      <w:r w:rsidRPr="00181F7F">
        <w:rPr>
          <w:rFonts w:ascii="Arial Narrow" w:hAnsi="Arial Narrow"/>
          <w:sz w:val="16"/>
          <w:szCs w:val="16"/>
        </w:rPr>
        <w:t xml:space="preserve"> not match the values reported in the submission. </w:t>
      </w:r>
    </w:p>
    <w:p w:rsidR="00A74E60" w:rsidRPr="00181F7F" w:rsidRDefault="00301D1F" w:rsidP="00383440">
      <w:pPr>
        <w:ind w:left="709"/>
        <w:rPr>
          <w:rFonts w:ascii="Arial Narrow" w:hAnsi="Arial Narrow"/>
          <w:sz w:val="16"/>
          <w:szCs w:val="16"/>
        </w:rPr>
      </w:pPr>
      <w:proofErr w:type="gramStart"/>
      <w:r w:rsidRPr="00181F7F">
        <w:rPr>
          <w:rFonts w:ascii="Arial Narrow" w:hAnsi="Arial Narrow"/>
          <w:sz w:val="16"/>
          <w:szCs w:val="16"/>
          <w:vertAlign w:val="superscript"/>
        </w:rPr>
        <w:t>b</w:t>
      </w:r>
      <w:proofErr w:type="gramEnd"/>
      <w:r w:rsidR="00A74E60" w:rsidRPr="00181F7F">
        <w:rPr>
          <w:rFonts w:ascii="Arial Narrow" w:hAnsi="Arial Narrow"/>
          <w:sz w:val="16"/>
          <w:szCs w:val="16"/>
        </w:rPr>
        <w:t xml:space="preserve"> The average medication supplied and length of period were not defined. The length of period was calculated using the column for length of pre-period and post-period+30 days during the evaluation.</w:t>
      </w:r>
    </w:p>
    <w:p w:rsidR="00A74E60" w:rsidRPr="00181F7F" w:rsidRDefault="00301D1F" w:rsidP="00383440">
      <w:pPr>
        <w:ind w:left="709"/>
        <w:rPr>
          <w:rFonts w:ascii="Arial Narrow" w:hAnsi="Arial Narrow"/>
          <w:sz w:val="16"/>
          <w:szCs w:val="16"/>
        </w:rPr>
      </w:pPr>
      <w:proofErr w:type="gramStart"/>
      <w:r w:rsidRPr="00181F7F">
        <w:rPr>
          <w:rFonts w:ascii="Arial Narrow" w:hAnsi="Arial Narrow"/>
          <w:sz w:val="16"/>
          <w:szCs w:val="16"/>
          <w:vertAlign w:val="superscript"/>
        </w:rPr>
        <w:t>c</w:t>
      </w:r>
      <w:proofErr w:type="gramEnd"/>
      <w:r w:rsidR="00A74E60" w:rsidRPr="00181F7F">
        <w:rPr>
          <w:rFonts w:ascii="Arial Narrow" w:hAnsi="Arial Narrow"/>
          <w:sz w:val="16"/>
          <w:szCs w:val="16"/>
        </w:rPr>
        <w:t xml:space="preserve"> There were slight discrepancies compared to values calculated during the evaluation - may be due to rounding differences</w:t>
      </w:r>
    </w:p>
    <w:p w:rsidR="0024460E" w:rsidRPr="00647C65" w:rsidRDefault="0024460E" w:rsidP="00647C65">
      <w:pPr>
        <w:widowControl/>
        <w:rPr>
          <w:szCs w:val="22"/>
        </w:rPr>
      </w:pPr>
    </w:p>
    <w:p w:rsidR="007C2BC9" w:rsidRDefault="007C2BC9" w:rsidP="008B1D3D">
      <w:pPr>
        <w:pStyle w:val="ListParagraph"/>
        <w:widowControl/>
        <w:numPr>
          <w:ilvl w:val="1"/>
          <w:numId w:val="3"/>
        </w:numPr>
        <w:rPr>
          <w:szCs w:val="22"/>
        </w:rPr>
      </w:pPr>
      <w:r w:rsidRPr="007C2BC9">
        <w:rPr>
          <w:szCs w:val="22"/>
        </w:rPr>
        <w:t>DUSC noted that compliance to the component</w:t>
      </w:r>
      <w:r w:rsidR="00BC6ED1">
        <w:rPr>
          <w:szCs w:val="22"/>
        </w:rPr>
        <w:t>s</w:t>
      </w:r>
      <w:r w:rsidR="009C3ED7">
        <w:rPr>
          <w:szCs w:val="22"/>
        </w:rPr>
        <w:t xml:space="preserve"> given con</w:t>
      </w:r>
      <w:r w:rsidR="00AA3DD3">
        <w:rPr>
          <w:szCs w:val="22"/>
        </w:rPr>
        <w:t>com</w:t>
      </w:r>
      <w:r w:rsidR="009C3ED7">
        <w:rPr>
          <w:szCs w:val="22"/>
        </w:rPr>
        <w:t>itantly</w:t>
      </w:r>
      <w:r w:rsidRPr="007C2BC9">
        <w:rPr>
          <w:szCs w:val="22"/>
        </w:rPr>
        <w:t xml:space="preserve"> was high prior to switching to </w:t>
      </w:r>
      <w:proofErr w:type="spellStart"/>
      <w:r w:rsidRPr="007C2BC9">
        <w:rPr>
          <w:szCs w:val="22"/>
        </w:rPr>
        <w:t>Vytorin</w:t>
      </w:r>
      <w:proofErr w:type="spellEnd"/>
      <w:r w:rsidRPr="007C2BC9">
        <w:rPr>
          <w:szCs w:val="22"/>
        </w:rPr>
        <w:t xml:space="preserve"> (i.e. MPR to a statin, 88.9%, or ezetimibe, 88.3%, prior to switching to </w:t>
      </w:r>
      <w:proofErr w:type="spellStart"/>
      <w:r w:rsidRPr="007C2BC9">
        <w:rPr>
          <w:szCs w:val="22"/>
        </w:rPr>
        <w:t>Vytorin</w:t>
      </w:r>
      <w:proofErr w:type="spellEnd"/>
      <w:r w:rsidRPr="007C2BC9">
        <w:rPr>
          <w:szCs w:val="22"/>
        </w:rPr>
        <w:t>), and continued to be high after switch</w:t>
      </w:r>
      <w:r w:rsidR="009C3ED7">
        <w:rPr>
          <w:szCs w:val="22"/>
        </w:rPr>
        <w:t>ing</w:t>
      </w:r>
      <w:r w:rsidRPr="007C2BC9">
        <w:rPr>
          <w:szCs w:val="22"/>
        </w:rPr>
        <w:t xml:space="preserve"> to </w:t>
      </w:r>
      <w:proofErr w:type="spellStart"/>
      <w:r w:rsidRPr="007C2BC9">
        <w:rPr>
          <w:szCs w:val="22"/>
        </w:rPr>
        <w:t>Vytorin</w:t>
      </w:r>
      <w:proofErr w:type="spellEnd"/>
      <w:r w:rsidRPr="007C2BC9">
        <w:rPr>
          <w:szCs w:val="22"/>
        </w:rPr>
        <w:t xml:space="preserve"> (MPR 92.2%). Although the MPR for </w:t>
      </w:r>
      <w:proofErr w:type="spellStart"/>
      <w:r w:rsidRPr="007C2BC9">
        <w:rPr>
          <w:szCs w:val="22"/>
        </w:rPr>
        <w:t>Vytorin</w:t>
      </w:r>
      <w:proofErr w:type="spellEnd"/>
      <w:r w:rsidRPr="007C2BC9">
        <w:rPr>
          <w:szCs w:val="22"/>
        </w:rPr>
        <w:t xml:space="preserve"> was numerically higher, there </w:t>
      </w:r>
      <w:r w:rsidR="00383440">
        <w:rPr>
          <w:szCs w:val="22"/>
        </w:rPr>
        <w:t>wa</w:t>
      </w:r>
      <w:r w:rsidRPr="007C2BC9">
        <w:rPr>
          <w:szCs w:val="22"/>
        </w:rPr>
        <w:t>s no evidence that this is a clinically significant difference.</w:t>
      </w:r>
    </w:p>
    <w:p w:rsidR="007C2BC9" w:rsidRPr="00647C65" w:rsidRDefault="007C2BC9" w:rsidP="0024460E">
      <w:pPr>
        <w:widowControl/>
        <w:rPr>
          <w:szCs w:val="22"/>
        </w:rPr>
      </w:pPr>
    </w:p>
    <w:p w:rsidR="004F2372" w:rsidRPr="009C3ED7" w:rsidRDefault="004F2372" w:rsidP="004F2372">
      <w:pPr>
        <w:pStyle w:val="ListParagraph"/>
        <w:widowControl/>
        <w:numPr>
          <w:ilvl w:val="1"/>
          <w:numId w:val="3"/>
        </w:numPr>
        <w:rPr>
          <w:szCs w:val="22"/>
        </w:rPr>
      </w:pPr>
      <w:r w:rsidRPr="009C3ED7">
        <w:rPr>
          <w:szCs w:val="22"/>
        </w:rPr>
        <w:t xml:space="preserve">The evaluation </w:t>
      </w:r>
      <w:r w:rsidR="00383440">
        <w:rPr>
          <w:szCs w:val="22"/>
        </w:rPr>
        <w:t>identified</w:t>
      </w:r>
      <w:r w:rsidR="00383440" w:rsidRPr="009C3ED7">
        <w:rPr>
          <w:szCs w:val="22"/>
        </w:rPr>
        <w:t xml:space="preserve"> </w:t>
      </w:r>
      <w:r w:rsidRPr="009C3ED7">
        <w:rPr>
          <w:szCs w:val="22"/>
        </w:rPr>
        <w:t xml:space="preserve">a number of limitations of the adherence analysis including a lack of transparency in the reporting of the study, with limited information provided </w:t>
      </w:r>
      <w:r w:rsidRPr="009C3ED7">
        <w:rPr>
          <w:szCs w:val="22"/>
        </w:rPr>
        <w:lastRenderedPageBreak/>
        <w:t>on the definitions used. The evaluation also observed that there were concerns regarding the validity of the data, and that it was difficult to verify the results. No measures of uncertainty around the differences were presented. Limited statistical testing and sens</w:t>
      </w:r>
      <w:r w:rsidR="00647C65">
        <w:rPr>
          <w:szCs w:val="22"/>
        </w:rPr>
        <w:t>itivity analyses were provided.</w:t>
      </w:r>
    </w:p>
    <w:p w:rsidR="00B21FAF" w:rsidRPr="00B21FAF" w:rsidRDefault="00B21FAF" w:rsidP="00B21FAF">
      <w:pPr>
        <w:widowControl/>
        <w:rPr>
          <w:szCs w:val="22"/>
          <w:highlight w:val="yellow"/>
        </w:rPr>
      </w:pPr>
    </w:p>
    <w:p w:rsidR="0072788A" w:rsidRPr="009C3ED7" w:rsidRDefault="009C3ED7" w:rsidP="008D11C6">
      <w:pPr>
        <w:pStyle w:val="ListParagraph"/>
        <w:widowControl/>
        <w:numPr>
          <w:ilvl w:val="1"/>
          <w:numId w:val="3"/>
        </w:numPr>
        <w:rPr>
          <w:szCs w:val="22"/>
        </w:rPr>
      </w:pPr>
      <w:r w:rsidRPr="009C3ED7">
        <w:rPr>
          <w:szCs w:val="22"/>
        </w:rPr>
        <w:t xml:space="preserve">In the </w:t>
      </w:r>
      <w:r>
        <w:rPr>
          <w:szCs w:val="22"/>
        </w:rPr>
        <w:t>PSCR</w:t>
      </w:r>
      <w:r w:rsidR="00647C65">
        <w:rPr>
          <w:szCs w:val="22"/>
        </w:rPr>
        <w:t>,</w:t>
      </w:r>
      <w:r w:rsidRPr="009C3ED7">
        <w:rPr>
          <w:szCs w:val="22"/>
        </w:rPr>
        <w:t xml:space="preserve"> the </w:t>
      </w:r>
      <w:r w:rsidR="00383440">
        <w:rPr>
          <w:szCs w:val="22"/>
        </w:rPr>
        <w:t>s</w:t>
      </w:r>
      <w:r w:rsidRPr="009C3ED7">
        <w:rPr>
          <w:szCs w:val="22"/>
        </w:rPr>
        <w:t xml:space="preserve">ponsor provided some additional information on the </w:t>
      </w:r>
      <w:proofErr w:type="spellStart"/>
      <w:r w:rsidRPr="009C3ED7">
        <w:rPr>
          <w:szCs w:val="22"/>
        </w:rPr>
        <w:t>Vytorin</w:t>
      </w:r>
      <w:proofErr w:type="spellEnd"/>
      <w:r w:rsidRPr="009C3ED7">
        <w:rPr>
          <w:szCs w:val="22"/>
        </w:rPr>
        <w:t xml:space="preserve"> Compliance Study IV design. </w:t>
      </w:r>
      <w:r w:rsidR="00A84853" w:rsidRPr="009C3ED7">
        <w:rPr>
          <w:szCs w:val="22"/>
        </w:rPr>
        <w:t xml:space="preserve">The </w:t>
      </w:r>
      <w:r w:rsidR="006A7410" w:rsidRPr="009C3ED7">
        <w:rPr>
          <w:szCs w:val="22"/>
        </w:rPr>
        <w:t>PSCR (p.2)</w:t>
      </w:r>
      <w:r w:rsidR="00A84853" w:rsidRPr="009C3ED7">
        <w:rPr>
          <w:szCs w:val="22"/>
        </w:rPr>
        <w:t xml:space="preserve"> stated that ‘Previous compliance submissions were criticised for utilising different patient cohorts [8.2.ESC ADV Nov 2008] and thus </w:t>
      </w:r>
      <w:r w:rsidR="006A7410" w:rsidRPr="009C3ED7">
        <w:rPr>
          <w:szCs w:val="22"/>
        </w:rPr>
        <w:t>the sponsor</w:t>
      </w:r>
      <w:r w:rsidR="00A84853" w:rsidRPr="009C3ED7">
        <w:rPr>
          <w:szCs w:val="22"/>
        </w:rPr>
        <w:t xml:space="preserve"> has tried to use the same patients i.e. those that have dual therapy for a period of time and then also used </w:t>
      </w:r>
      <w:proofErr w:type="spellStart"/>
      <w:r w:rsidR="00A84853" w:rsidRPr="009C3ED7">
        <w:rPr>
          <w:szCs w:val="22"/>
        </w:rPr>
        <w:t>Vytorin</w:t>
      </w:r>
      <w:proofErr w:type="spellEnd"/>
      <w:r w:rsidR="00A84853" w:rsidRPr="009C3ED7">
        <w:rPr>
          <w:szCs w:val="22"/>
        </w:rPr>
        <w:t xml:space="preserve"> for a period of time to enable a compliance comparison. This limits the selection bias which is a common concern raised in the CMWG paper and associated with most studies measuring compliance benefits.’ DUSC considered that inherent biases remain in the study design when comparing adherence measures in the same population pre and post a switch to </w:t>
      </w:r>
      <w:proofErr w:type="spellStart"/>
      <w:r w:rsidR="00A84853" w:rsidRPr="009C3ED7">
        <w:rPr>
          <w:szCs w:val="22"/>
        </w:rPr>
        <w:t>Vytorin</w:t>
      </w:r>
      <w:proofErr w:type="spellEnd"/>
      <w:r w:rsidR="00A84853" w:rsidRPr="009C3ED7">
        <w:rPr>
          <w:szCs w:val="22"/>
        </w:rPr>
        <w:t>: Comparisons befor</w:t>
      </w:r>
      <w:r w:rsidR="00506E44" w:rsidRPr="009C3ED7">
        <w:rPr>
          <w:szCs w:val="22"/>
        </w:rPr>
        <w:t xml:space="preserve">e and after a switch to </w:t>
      </w:r>
      <w:proofErr w:type="spellStart"/>
      <w:r w:rsidR="00506E44" w:rsidRPr="009C3ED7">
        <w:rPr>
          <w:szCs w:val="22"/>
        </w:rPr>
        <w:t>Vytorin</w:t>
      </w:r>
      <w:proofErr w:type="spellEnd"/>
      <w:r w:rsidR="00A84853" w:rsidRPr="009C3ED7">
        <w:rPr>
          <w:szCs w:val="22"/>
        </w:rPr>
        <w:t xml:space="preserve"> may introduce time-dependent confounding. The submission </w:t>
      </w:r>
      <w:r w:rsidR="00383440">
        <w:rPr>
          <w:szCs w:val="22"/>
        </w:rPr>
        <w:t xml:space="preserve">did </w:t>
      </w:r>
      <w:r w:rsidR="00A84853" w:rsidRPr="009C3ED7">
        <w:rPr>
          <w:szCs w:val="22"/>
        </w:rPr>
        <w:t>not provide a comparison with a similar population who see the doctor for a new prescription and continue on a statin + ezetimibe separate pill combination.</w:t>
      </w:r>
      <w:r w:rsidR="00506E44" w:rsidRPr="009C3ED7">
        <w:rPr>
          <w:szCs w:val="22"/>
        </w:rPr>
        <w:t xml:space="preserve"> </w:t>
      </w:r>
    </w:p>
    <w:p w:rsidR="004F2372" w:rsidRPr="00647C65" w:rsidRDefault="004F2372" w:rsidP="004F2372">
      <w:pPr>
        <w:rPr>
          <w:szCs w:val="22"/>
        </w:rPr>
      </w:pPr>
    </w:p>
    <w:p w:rsidR="00506E44" w:rsidRPr="00475A0C" w:rsidRDefault="00506E44" w:rsidP="008D11C6">
      <w:pPr>
        <w:pStyle w:val="ListParagraph"/>
        <w:widowControl/>
        <w:numPr>
          <w:ilvl w:val="1"/>
          <w:numId w:val="3"/>
        </w:numPr>
        <w:rPr>
          <w:szCs w:val="22"/>
        </w:rPr>
      </w:pPr>
      <w:r w:rsidRPr="00475A0C">
        <w:rPr>
          <w:szCs w:val="22"/>
        </w:rPr>
        <w:t>DUSC raised the following additional methodological concerns:</w:t>
      </w:r>
    </w:p>
    <w:p w:rsidR="00506E44" w:rsidRPr="00475A0C" w:rsidRDefault="00506E44" w:rsidP="00F6481B">
      <w:pPr>
        <w:pStyle w:val="ListParagraph"/>
        <w:widowControl/>
        <w:numPr>
          <w:ilvl w:val="0"/>
          <w:numId w:val="8"/>
        </w:numPr>
        <w:ind w:left="993" w:hanging="284"/>
        <w:rPr>
          <w:szCs w:val="22"/>
        </w:rPr>
      </w:pPr>
      <w:r w:rsidRPr="00475A0C">
        <w:rPr>
          <w:szCs w:val="22"/>
        </w:rPr>
        <w:t>The pre-</w:t>
      </w:r>
      <w:proofErr w:type="spellStart"/>
      <w:r w:rsidRPr="00475A0C">
        <w:rPr>
          <w:szCs w:val="22"/>
        </w:rPr>
        <w:t>Vytorin</w:t>
      </w:r>
      <w:proofErr w:type="spellEnd"/>
      <w:r w:rsidRPr="00475A0C">
        <w:rPr>
          <w:szCs w:val="22"/>
        </w:rPr>
        <w:t xml:space="preserve"> and post-</w:t>
      </w:r>
      <w:proofErr w:type="spellStart"/>
      <w:r w:rsidRPr="00475A0C">
        <w:rPr>
          <w:szCs w:val="22"/>
        </w:rPr>
        <w:t>Vytorin</w:t>
      </w:r>
      <w:proofErr w:type="spellEnd"/>
      <w:r w:rsidRPr="00475A0C">
        <w:rPr>
          <w:szCs w:val="22"/>
        </w:rPr>
        <w:t xml:space="preserve"> time periods were non-equivalent: the look back period was shorter than the look forward period on average. The scatter plots presented in Figure B.1.3 of the </w:t>
      </w:r>
      <w:r w:rsidR="008B30D2" w:rsidRPr="00475A0C">
        <w:rPr>
          <w:szCs w:val="22"/>
        </w:rPr>
        <w:t>e</w:t>
      </w:r>
      <w:r w:rsidR="000D6553" w:rsidRPr="00475A0C">
        <w:rPr>
          <w:szCs w:val="22"/>
        </w:rPr>
        <w:t>valuation</w:t>
      </w:r>
      <w:r w:rsidRPr="00475A0C">
        <w:rPr>
          <w:szCs w:val="22"/>
        </w:rPr>
        <w:t xml:space="preserve"> indicated that there is likely a different application of the method in th</w:t>
      </w:r>
      <w:r w:rsidR="00647C65">
        <w:rPr>
          <w:szCs w:val="22"/>
        </w:rPr>
        <w:t>e pre- and post-</w:t>
      </w:r>
      <w:proofErr w:type="spellStart"/>
      <w:r w:rsidR="00647C65">
        <w:rPr>
          <w:szCs w:val="22"/>
        </w:rPr>
        <w:t>Vytorin</w:t>
      </w:r>
      <w:proofErr w:type="spellEnd"/>
      <w:r w:rsidR="00647C65">
        <w:rPr>
          <w:szCs w:val="22"/>
        </w:rPr>
        <w:t xml:space="preserve"> period.</w:t>
      </w:r>
    </w:p>
    <w:p w:rsidR="00506E44" w:rsidRPr="00506E44" w:rsidRDefault="00506E44" w:rsidP="00F6481B">
      <w:pPr>
        <w:pStyle w:val="ListParagraph"/>
        <w:widowControl/>
        <w:numPr>
          <w:ilvl w:val="0"/>
          <w:numId w:val="8"/>
        </w:numPr>
        <w:ind w:left="993" w:hanging="284"/>
        <w:rPr>
          <w:szCs w:val="22"/>
        </w:rPr>
      </w:pPr>
      <w:r w:rsidRPr="00475A0C">
        <w:rPr>
          <w:szCs w:val="22"/>
        </w:rPr>
        <w:t>The definitions of MPR and CMG in the submission logically imply that MPR must always be greater than CMG. Figure B.1.3 shows that this is the case for</w:t>
      </w:r>
      <w:r w:rsidRPr="00506E44">
        <w:rPr>
          <w:szCs w:val="22"/>
        </w:rPr>
        <w:t xml:space="preserve"> </w:t>
      </w:r>
      <w:proofErr w:type="spellStart"/>
      <w:r w:rsidRPr="00506E44">
        <w:rPr>
          <w:szCs w:val="22"/>
        </w:rPr>
        <w:t>Vytorin</w:t>
      </w:r>
      <w:proofErr w:type="spellEnd"/>
      <w:r w:rsidRPr="00506E44">
        <w:rPr>
          <w:szCs w:val="22"/>
        </w:rPr>
        <w:t xml:space="preserve"> for all 1</w:t>
      </w:r>
      <w:r w:rsidR="00647C65">
        <w:rPr>
          <w:szCs w:val="22"/>
        </w:rPr>
        <w:t>,</w:t>
      </w:r>
      <w:r w:rsidRPr="00506E44">
        <w:rPr>
          <w:szCs w:val="22"/>
        </w:rPr>
        <w:t>205 patients in the post-period. However in the pre-period there are many instances where MPR is less than CMG. This most likely introduces a bias, with MPR being less in the pre-perio</w:t>
      </w:r>
      <w:r w:rsidR="00647C65">
        <w:rPr>
          <w:szCs w:val="22"/>
        </w:rPr>
        <w:t>d compared to the post-period.</w:t>
      </w:r>
    </w:p>
    <w:p w:rsidR="00506E44" w:rsidRPr="00506E44" w:rsidRDefault="00506E44" w:rsidP="00F6481B">
      <w:pPr>
        <w:pStyle w:val="ListParagraph"/>
        <w:widowControl/>
        <w:numPr>
          <w:ilvl w:val="0"/>
          <w:numId w:val="8"/>
        </w:numPr>
        <w:ind w:left="993" w:hanging="284"/>
        <w:rPr>
          <w:szCs w:val="22"/>
        </w:rPr>
      </w:pPr>
      <w:r w:rsidRPr="00506E44">
        <w:rPr>
          <w:szCs w:val="22"/>
        </w:rPr>
        <w:t xml:space="preserve">The reason for MPR being less than CMG in the pre-period is not clear. One possibility is that although inclusion criteria included the concomitant use of both ezetimibe and a statin supplied as separate products, the start date of the pre-period is defined by the date of the first prescription of the second drug initiated (in most cases this would be the first ezetimibe prescription, as ezetimibe is usually added to a statin and not vice versa). For example, if a statin was supplied on 1/1/2010 and the patient’s first ezetimibe was supplied on 15/1/2010 then the period start date would be 15/1/2010. However if the next statin script was supplied on 1/2/2010 and this was counted as the first statin script in the period then, in the calculation of the statin MPR, the first 14 days of the pre-period will be included in the denominator, but not in the numerator. This would artificially lower the value of MPR. This scenario is not possible in the post-period as the start date is only determined by one product (i.e. </w:t>
      </w:r>
      <w:proofErr w:type="spellStart"/>
      <w:r w:rsidRPr="00506E44">
        <w:rPr>
          <w:szCs w:val="22"/>
        </w:rPr>
        <w:t>Vytorin</w:t>
      </w:r>
      <w:proofErr w:type="spellEnd"/>
      <w:r w:rsidRPr="00506E44">
        <w:rPr>
          <w:szCs w:val="22"/>
        </w:rPr>
        <w:t xml:space="preserve">). As a consequence, DUSC agreed with the </w:t>
      </w:r>
      <w:r w:rsidR="008B30D2">
        <w:rPr>
          <w:szCs w:val="22"/>
        </w:rPr>
        <w:t>e</w:t>
      </w:r>
      <w:r w:rsidR="000D6553">
        <w:rPr>
          <w:szCs w:val="22"/>
        </w:rPr>
        <w:t>valuation</w:t>
      </w:r>
      <w:r w:rsidRPr="00506E44">
        <w:rPr>
          <w:szCs w:val="22"/>
        </w:rPr>
        <w:t xml:space="preserve"> that it is not possible to ascertain if the small difference in compliance in the pre</w:t>
      </w:r>
      <w:r w:rsidR="00647C65">
        <w:rPr>
          <w:szCs w:val="22"/>
        </w:rPr>
        <w:t>-</w:t>
      </w:r>
      <w:r w:rsidRPr="00506E44">
        <w:rPr>
          <w:szCs w:val="22"/>
        </w:rPr>
        <w:t xml:space="preserve"> and post</w:t>
      </w:r>
      <w:r w:rsidR="00647C65">
        <w:rPr>
          <w:szCs w:val="22"/>
        </w:rPr>
        <w:t>-</w:t>
      </w:r>
      <w:proofErr w:type="spellStart"/>
      <w:r w:rsidRPr="00506E44">
        <w:rPr>
          <w:szCs w:val="22"/>
        </w:rPr>
        <w:t>Vytorin</w:t>
      </w:r>
      <w:proofErr w:type="spellEnd"/>
      <w:r w:rsidRPr="00506E44">
        <w:rPr>
          <w:szCs w:val="22"/>
        </w:rPr>
        <w:t xml:space="preserve"> period is a real difference or</w:t>
      </w:r>
      <w:r w:rsidR="00647C65">
        <w:rPr>
          <w:szCs w:val="22"/>
        </w:rPr>
        <w:t xml:space="preserve"> an artefact of the method.</w:t>
      </w:r>
    </w:p>
    <w:p w:rsidR="00506E44" w:rsidRPr="00506E44" w:rsidRDefault="00506E44" w:rsidP="00F6481B">
      <w:pPr>
        <w:pStyle w:val="ListParagraph"/>
        <w:widowControl/>
        <w:numPr>
          <w:ilvl w:val="0"/>
          <w:numId w:val="8"/>
        </w:numPr>
        <w:ind w:left="993" w:hanging="284"/>
        <w:rPr>
          <w:szCs w:val="22"/>
        </w:rPr>
      </w:pPr>
      <w:r w:rsidRPr="00506E44">
        <w:rPr>
          <w:szCs w:val="22"/>
        </w:rPr>
        <w:t xml:space="preserve">The submission defined discontinuation as a gap of at least 183 days (6 months). The </w:t>
      </w:r>
      <w:r w:rsidR="008B30D2">
        <w:rPr>
          <w:szCs w:val="22"/>
        </w:rPr>
        <w:t>e</w:t>
      </w:r>
      <w:r w:rsidR="000D6553">
        <w:rPr>
          <w:szCs w:val="22"/>
        </w:rPr>
        <w:t>valuation</w:t>
      </w:r>
      <w:r w:rsidRPr="00506E44">
        <w:rPr>
          <w:szCs w:val="22"/>
        </w:rPr>
        <w:t xml:space="preserve"> considered that there d</w:t>
      </w:r>
      <w:r>
        <w:rPr>
          <w:szCs w:val="22"/>
        </w:rPr>
        <w:t>id</w:t>
      </w:r>
      <w:r w:rsidRPr="00506E44">
        <w:rPr>
          <w:szCs w:val="22"/>
        </w:rPr>
        <w:t xml:space="preserve"> not appear to be a clinical basis for the gap duration selection. Table 1 of the PSCR states that ‘...any less and you get a lot of poorly compliant patients that interferes with the data…</w:t>
      </w:r>
      <w:proofErr w:type="gramStart"/>
      <w:r w:rsidRPr="00506E44">
        <w:rPr>
          <w:szCs w:val="22"/>
        </w:rPr>
        <w:t>’.</w:t>
      </w:r>
      <w:proofErr w:type="gramEnd"/>
      <w:r w:rsidRPr="00506E44">
        <w:rPr>
          <w:szCs w:val="22"/>
        </w:rPr>
        <w:t xml:space="preserve"> DUSC noted that a </w:t>
      </w:r>
      <w:r w:rsidRPr="00506E44">
        <w:rPr>
          <w:szCs w:val="22"/>
        </w:rPr>
        <w:lastRenderedPageBreak/>
        <w:t>gap of 6 months allows for some inclusion of restart and overall considered the gap to be reasonable.</w:t>
      </w:r>
    </w:p>
    <w:p w:rsidR="00506E44" w:rsidRPr="00506E44" w:rsidRDefault="00506E44" w:rsidP="00F6481B">
      <w:pPr>
        <w:pStyle w:val="ListParagraph"/>
        <w:widowControl/>
        <w:numPr>
          <w:ilvl w:val="0"/>
          <w:numId w:val="8"/>
        </w:numPr>
        <w:ind w:left="993" w:hanging="284"/>
        <w:rPr>
          <w:szCs w:val="22"/>
        </w:rPr>
      </w:pPr>
      <w:r w:rsidRPr="00506E44">
        <w:rPr>
          <w:szCs w:val="22"/>
        </w:rPr>
        <w:t>Table 1 in the PSCR state</w:t>
      </w:r>
      <w:r>
        <w:rPr>
          <w:szCs w:val="22"/>
        </w:rPr>
        <w:t>d</w:t>
      </w:r>
      <w:r w:rsidRPr="00506E44">
        <w:rPr>
          <w:szCs w:val="22"/>
        </w:rPr>
        <w:t xml:space="preserve"> that patients do have to have an overlap in therapy to define co-administration. However, DUSC considered that there may still be patients included who do not have overlapping supply of any duration. For example three statin supplies followed by three ezetimibe supplies. The effect of this on the MPRs f</w:t>
      </w:r>
      <w:r w:rsidR="000629BB">
        <w:rPr>
          <w:szCs w:val="22"/>
        </w:rPr>
        <w:t>or the individual component pre-</w:t>
      </w:r>
      <w:proofErr w:type="spellStart"/>
      <w:r w:rsidRPr="00506E44">
        <w:rPr>
          <w:szCs w:val="22"/>
        </w:rPr>
        <w:t>Vytorin</w:t>
      </w:r>
      <w:proofErr w:type="spellEnd"/>
      <w:r w:rsidRPr="00506E44">
        <w:rPr>
          <w:szCs w:val="22"/>
        </w:rPr>
        <w:t xml:space="preserve"> is unknown</w:t>
      </w:r>
      <w:r w:rsidR="000629BB">
        <w:rPr>
          <w:szCs w:val="22"/>
        </w:rPr>
        <w:t>.</w:t>
      </w:r>
    </w:p>
    <w:p w:rsidR="0066040A" w:rsidRPr="0066040A" w:rsidRDefault="00506E44" w:rsidP="00F6481B">
      <w:pPr>
        <w:pStyle w:val="ListParagraph"/>
        <w:widowControl/>
        <w:numPr>
          <w:ilvl w:val="0"/>
          <w:numId w:val="8"/>
        </w:numPr>
        <w:ind w:left="993" w:hanging="284"/>
        <w:rPr>
          <w:szCs w:val="22"/>
        </w:rPr>
      </w:pPr>
      <w:r w:rsidRPr="0066040A">
        <w:rPr>
          <w:szCs w:val="22"/>
        </w:rPr>
        <w:t xml:space="preserve">The PSCR (p1) claimed that “the DUSC PVA Utilisation Analysis for </w:t>
      </w:r>
      <w:proofErr w:type="spellStart"/>
      <w:r w:rsidRPr="0066040A">
        <w:rPr>
          <w:szCs w:val="22"/>
        </w:rPr>
        <w:t>Vytorin</w:t>
      </w:r>
      <w:proofErr w:type="spellEnd"/>
      <w:r w:rsidRPr="0066040A">
        <w:rPr>
          <w:szCs w:val="22"/>
        </w:rPr>
        <w:t xml:space="preserve"> 10/10 and 10/20mg being considered at this same meeting (Item 7.5 October 2014) has shown that the number of prevalent patients on ezetimibe, including </w:t>
      </w:r>
      <w:proofErr w:type="spellStart"/>
      <w:r w:rsidRPr="0066040A">
        <w:rPr>
          <w:szCs w:val="22"/>
        </w:rPr>
        <w:t>Vytorin</w:t>
      </w:r>
      <w:proofErr w:type="spellEnd"/>
      <w:r w:rsidRPr="0066040A">
        <w:rPr>
          <w:szCs w:val="22"/>
        </w:rPr>
        <w:t xml:space="preserve"> is increasing over time, thereby further supporting MSD’s claim of a compliance benefit associated with </w:t>
      </w:r>
      <w:proofErr w:type="spellStart"/>
      <w:r w:rsidRPr="0066040A">
        <w:rPr>
          <w:szCs w:val="22"/>
        </w:rPr>
        <w:t>Vytorin</w:t>
      </w:r>
      <w:proofErr w:type="spellEnd"/>
      <w:r w:rsidRPr="0066040A">
        <w:rPr>
          <w:szCs w:val="22"/>
        </w:rPr>
        <w:t>.</w:t>
      </w:r>
      <w:r w:rsidR="009F7C5B">
        <w:rPr>
          <w:szCs w:val="22"/>
        </w:rPr>
        <w:t xml:space="preserve">” </w:t>
      </w:r>
      <w:r w:rsidRPr="0066040A">
        <w:rPr>
          <w:szCs w:val="22"/>
        </w:rPr>
        <w:t xml:space="preserve"> DUSC considered that the utilisation report shows that there are a lot of patients on ezetimibe and </w:t>
      </w:r>
      <w:proofErr w:type="spellStart"/>
      <w:r w:rsidRPr="0066040A">
        <w:rPr>
          <w:szCs w:val="22"/>
        </w:rPr>
        <w:t>Vytorin</w:t>
      </w:r>
      <w:proofErr w:type="spellEnd"/>
      <w:r w:rsidRPr="0066040A">
        <w:rPr>
          <w:szCs w:val="22"/>
        </w:rPr>
        <w:t xml:space="preserve">. DUSC did not agree with the Sponsor’s claim that this supports a compliance benefit under subsection 101(4AC) of the Act as it does not establish the compliance of </w:t>
      </w:r>
      <w:proofErr w:type="spellStart"/>
      <w:r w:rsidRPr="0066040A">
        <w:rPr>
          <w:szCs w:val="22"/>
        </w:rPr>
        <w:t>Vytorin</w:t>
      </w:r>
      <w:proofErr w:type="spellEnd"/>
      <w:r w:rsidRPr="0066040A">
        <w:rPr>
          <w:szCs w:val="22"/>
        </w:rPr>
        <w:t xml:space="preserve"> compared with alternate therapies. </w:t>
      </w:r>
    </w:p>
    <w:p w:rsidR="00506E44" w:rsidRPr="000629BB" w:rsidRDefault="00506E44" w:rsidP="000629BB">
      <w:pPr>
        <w:widowControl/>
        <w:rPr>
          <w:szCs w:val="22"/>
        </w:rPr>
      </w:pPr>
    </w:p>
    <w:p w:rsidR="0066040A" w:rsidRPr="00475A0C" w:rsidRDefault="0066040A" w:rsidP="0066040A">
      <w:pPr>
        <w:pStyle w:val="ListParagraph"/>
        <w:widowControl/>
        <w:numPr>
          <w:ilvl w:val="1"/>
          <w:numId w:val="3"/>
        </w:numPr>
        <w:rPr>
          <w:szCs w:val="22"/>
        </w:rPr>
      </w:pPr>
      <w:r w:rsidRPr="00475A0C">
        <w:rPr>
          <w:szCs w:val="22"/>
        </w:rPr>
        <w:t>The PBAC noted that pre-PBAC response restate</w:t>
      </w:r>
      <w:r w:rsidR="00230E6B">
        <w:rPr>
          <w:szCs w:val="22"/>
        </w:rPr>
        <w:t>d</w:t>
      </w:r>
      <w:r w:rsidRPr="00475A0C">
        <w:rPr>
          <w:szCs w:val="22"/>
        </w:rPr>
        <w:t xml:space="preserve"> the definitions used for the pre- and post-</w:t>
      </w:r>
      <w:proofErr w:type="spellStart"/>
      <w:r w:rsidRPr="00475A0C">
        <w:rPr>
          <w:szCs w:val="22"/>
        </w:rPr>
        <w:t>Vytorin</w:t>
      </w:r>
      <w:proofErr w:type="spellEnd"/>
      <w:r w:rsidRPr="00475A0C">
        <w:rPr>
          <w:szCs w:val="22"/>
        </w:rPr>
        <w:t xml:space="preserve"> analyses, but d</w:t>
      </w:r>
      <w:r w:rsidR="00230E6B">
        <w:rPr>
          <w:szCs w:val="22"/>
        </w:rPr>
        <w:t>id</w:t>
      </w:r>
      <w:r w:rsidRPr="00475A0C">
        <w:rPr>
          <w:szCs w:val="22"/>
        </w:rPr>
        <w:t xml:space="preserve"> not explain the reason the MPR is less than CMG in the pre-period</w:t>
      </w:r>
      <w:r w:rsidR="00230E6B">
        <w:rPr>
          <w:szCs w:val="22"/>
        </w:rPr>
        <w:t>. T</w:t>
      </w:r>
      <w:r w:rsidRPr="00475A0C">
        <w:rPr>
          <w:szCs w:val="22"/>
        </w:rPr>
        <w:t>herefore</w:t>
      </w:r>
      <w:r w:rsidR="00230E6B">
        <w:rPr>
          <w:szCs w:val="22"/>
        </w:rPr>
        <w:t>,</w:t>
      </w:r>
      <w:r w:rsidRPr="00475A0C">
        <w:rPr>
          <w:szCs w:val="22"/>
        </w:rPr>
        <w:t xml:space="preserve"> it </w:t>
      </w:r>
      <w:r w:rsidR="00230E6B">
        <w:rPr>
          <w:szCs w:val="22"/>
        </w:rPr>
        <w:t>wa</w:t>
      </w:r>
      <w:r w:rsidRPr="00475A0C">
        <w:rPr>
          <w:szCs w:val="22"/>
        </w:rPr>
        <w:t>s not possible to ascertain if the small difference in compliance in the pre</w:t>
      </w:r>
      <w:r w:rsidR="00647C65">
        <w:rPr>
          <w:szCs w:val="22"/>
        </w:rPr>
        <w:t>-</w:t>
      </w:r>
      <w:r w:rsidRPr="00475A0C">
        <w:rPr>
          <w:szCs w:val="22"/>
        </w:rPr>
        <w:t xml:space="preserve"> and post</w:t>
      </w:r>
      <w:r w:rsidR="00647C65">
        <w:rPr>
          <w:szCs w:val="22"/>
        </w:rPr>
        <w:t>-</w:t>
      </w:r>
      <w:proofErr w:type="spellStart"/>
      <w:r w:rsidRPr="00475A0C">
        <w:rPr>
          <w:szCs w:val="22"/>
        </w:rPr>
        <w:t>Vytorin</w:t>
      </w:r>
      <w:proofErr w:type="spellEnd"/>
      <w:r w:rsidRPr="00475A0C">
        <w:rPr>
          <w:szCs w:val="22"/>
        </w:rPr>
        <w:t xml:space="preserve"> period is a real difference or an artefact of the method.</w:t>
      </w:r>
    </w:p>
    <w:p w:rsidR="0066040A" w:rsidRPr="000629BB" w:rsidRDefault="0066040A" w:rsidP="0066040A">
      <w:pPr>
        <w:widowControl/>
        <w:rPr>
          <w:szCs w:val="22"/>
        </w:rPr>
      </w:pPr>
    </w:p>
    <w:p w:rsidR="00506E44" w:rsidRPr="000629BB" w:rsidRDefault="00506E44" w:rsidP="008D11C6">
      <w:pPr>
        <w:pStyle w:val="ListParagraph"/>
        <w:widowControl/>
        <w:numPr>
          <w:ilvl w:val="1"/>
          <w:numId w:val="3"/>
        </w:numPr>
        <w:rPr>
          <w:szCs w:val="22"/>
        </w:rPr>
      </w:pPr>
      <w:r w:rsidRPr="00506E44">
        <w:rPr>
          <w:szCs w:val="22"/>
        </w:rPr>
        <w:t xml:space="preserve">The submission also undertook a persistence analysis (Cohort 2). </w:t>
      </w:r>
      <w:r w:rsidR="005F6A80">
        <w:rPr>
          <w:szCs w:val="22"/>
        </w:rPr>
        <w:t>DUSC considered that t</w:t>
      </w:r>
      <w:r w:rsidRPr="00506E44">
        <w:rPr>
          <w:szCs w:val="22"/>
        </w:rPr>
        <w:t xml:space="preserve">he submission’s approach of assigning a patient to either </w:t>
      </w:r>
      <w:r>
        <w:rPr>
          <w:szCs w:val="22"/>
        </w:rPr>
        <w:t xml:space="preserve">the ezetimibe or </w:t>
      </w:r>
      <w:proofErr w:type="spellStart"/>
      <w:r>
        <w:rPr>
          <w:szCs w:val="22"/>
        </w:rPr>
        <w:t>Vytorin</w:t>
      </w:r>
      <w:proofErr w:type="spellEnd"/>
      <w:r>
        <w:rPr>
          <w:szCs w:val="22"/>
        </w:rPr>
        <w:t xml:space="preserve"> curve wa</w:t>
      </w:r>
      <w:r w:rsidRPr="00506E44">
        <w:rPr>
          <w:szCs w:val="22"/>
        </w:rPr>
        <w:t xml:space="preserve">s likely to be subject to survivor bias, favouring </w:t>
      </w:r>
      <w:proofErr w:type="spellStart"/>
      <w:r w:rsidRPr="00506E44">
        <w:rPr>
          <w:szCs w:val="22"/>
        </w:rPr>
        <w:t>Vytorin</w:t>
      </w:r>
      <w:proofErr w:type="spellEnd"/>
      <w:r w:rsidRPr="00506E44">
        <w:rPr>
          <w:szCs w:val="22"/>
        </w:rPr>
        <w:t>.</w:t>
      </w:r>
      <w:r w:rsidR="008D71B3">
        <w:rPr>
          <w:szCs w:val="22"/>
        </w:rPr>
        <w:t xml:space="preserve"> </w:t>
      </w:r>
      <w:r w:rsidR="008D71B3" w:rsidRPr="00BB164B">
        <w:rPr>
          <w:szCs w:val="22"/>
        </w:rPr>
        <w:t xml:space="preserve">This issue </w:t>
      </w:r>
      <w:r w:rsidR="00230E6B">
        <w:rPr>
          <w:szCs w:val="22"/>
        </w:rPr>
        <w:t>wa</w:t>
      </w:r>
      <w:r w:rsidR="008D71B3" w:rsidRPr="00BB164B">
        <w:rPr>
          <w:szCs w:val="22"/>
        </w:rPr>
        <w:t>s further dealt with</w:t>
      </w:r>
      <w:r w:rsidR="00475A0C">
        <w:rPr>
          <w:szCs w:val="22"/>
        </w:rPr>
        <w:t xml:space="preserve"> under Question 4</w:t>
      </w:r>
      <w:r w:rsidR="008D71B3" w:rsidRPr="00BB164B">
        <w:rPr>
          <w:szCs w:val="22"/>
        </w:rPr>
        <w:t xml:space="preserve"> below</w:t>
      </w:r>
      <w:r w:rsidR="000629BB">
        <w:rPr>
          <w:szCs w:val="22"/>
        </w:rPr>
        <w:t>.</w:t>
      </w:r>
      <w:r w:rsidR="008D71B3" w:rsidRPr="00BB164B">
        <w:rPr>
          <w:szCs w:val="22"/>
        </w:rPr>
        <w:t xml:space="preserve"> </w:t>
      </w:r>
    </w:p>
    <w:p w:rsidR="00506E44" w:rsidRPr="000629BB" w:rsidRDefault="00506E44" w:rsidP="00506E44">
      <w:pPr>
        <w:widowControl/>
        <w:rPr>
          <w:szCs w:val="22"/>
        </w:rPr>
      </w:pPr>
    </w:p>
    <w:p w:rsidR="00637909" w:rsidRPr="00BB164B" w:rsidRDefault="00D139E4" w:rsidP="008D11C6">
      <w:pPr>
        <w:pStyle w:val="ListParagraph"/>
        <w:widowControl/>
        <w:numPr>
          <w:ilvl w:val="1"/>
          <w:numId w:val="3"/>
        </w:numPr>
        <w:rPr>
          <w:szCs w:val="22"/>
        </w:rPr>
      </w:pPr>
      <w:r w:rsidRPr="00BB164B">
        <w:rPr>
          <w:szCs w:val="22"/>
        </w:rPr>
        <w:t xml:space="preserve">Overall, DUSC considered there </w:t>
      </w:r>
      <w:r w:rsidR="00230E6B">
        <w:rPr>
          <w:szCs w:val="22"/>
        </w:rPr>
        <w:t>we</w:t>
      </w:r>
      <w:r w:rsidRPr="00BB164B">
        <w:rPr>
          <w:szCs w:val="22"/>
        </w:rPr>
        <w:t xml:space="preserve">re biases and applicability issues in the studies </w:t>
      </w:r>
      <w:r w:rsidR="00117181">
        <w:rPr>
          <w:szCs w:val="22"/>
        </w:rPr>
        <w:t xml:space="preserve">and analyses </w:t>
      </w:r>
      <w:r w:rsidR="000629BB">
        <w:rPr>
          <w:szCs w:val="22"/>
        </w:rPr>
        <w:t>presented.</w:t>
      </w:r>
    </w:p>
    <w:p w:rsidR="00637909" w:rsidRPr="000629BB" w:rsidRDefault="00637909" w:rsidP="00637909">
      <w:pPr>
        <w:rPr>
          <w:szCs w:val="22"/>
        </w:rPr>
      </w:pPr>
    </w:p>
    <w:p w:rsidR="00D139E4" w:rsidRPr="00BB164B" w:rsidRDefault="00D139E4" w:rsidP="008D11C6">
      <w:pPr>
        <w:pStyle w:val="ListParagraph"/>
        <w:widowControl/>
        <w:numPr>
          <w:ilvl w:val="1"/>
          <w:numId w:val="3"/>
        </w:numPr>
        <w:rPr>
          <w:szCs w:val="22"/>
        </w:rPr>
      </w:pPr>
      <w:r w:rsidRPr="00BB164B">
        <w:rPr>
          <w:szCs w:val="22"/>
        </w:rPr>
        <w:t xml:space="preserve">DUSC also noted that compliance is high with both </w:t>
      </w:r>
      <w:proofErr w:type="spellStart"/>
      <w:r w:rsidRPr="00BB164B">
        <w:rPr>
          <w:szCs w:val="22"/>
        </w:rPr>
        <w:t>Vytorin</w:t>
      </w:r>
      <w:proofErr w:type="spellEnd"/>
      <w:r w:rsidRPr="00BB164B">
        <w:rPr>
          <w:szCs w:val="22"/>
        </w:rPr>
        <w:t xml:space="preserve"> and the component agents given concomitantly.</w:t>
      </w:r>
    </w:p>
    <w:p w:rsidR="0003014E" w:rsidRPr="00D139E4" w:rsidRDefault="0003014E" w:rsidP="0003014E">
      <w:pPr>
        <w:widowControl/>
        <w:rPr>
          <w:szCs w:val="22"/>
        </w:rPr>
      </w:pPr>
    </w:p>
    <w:p w:rsidR="0003014E" w:rsidRPr="0003014E" w:rsidRDefault="0003014E" w:rsidP="0003014E">
      <w:pPr>
        <w:widowControl/>
        <w:rPr>
          <w:i/>
          <w:szCs w:val="22"/>
        </w:rPr>
      </w:pPr>
      <w:r w:rsidRPr="0003014E">
        <w:rPr>
          <w:b/>
          <w:i/>
          <w:szCs w:val="22"/>
        </w:rPr>
        <w:t>What is known about the factors that affect compliance to lipid lowering therapies?</w:t>
      </w:r>
      <w:r w:rsidR="00735CEF">
        <w:rPr>
          <w:b/>
          <w:i/>
          <w:szCs w:val="22"/>
        </w:rPr>
        <w:t xml:space="preserve"> (Question 2 in the CMWG report)</w:t>
      </w:r>
    </w:p>
    <w:p w:rsidR="00085D3D" w:rsidRPr="000629BB" w:rsidRDefault="00085D3D" w:rsidP="004D2CF0">
      <w:pPr>
        <w:widowControl/>
        <w:rPr>
          <w:szCs w:val="22"/>
        </w:rPr>
      </w:pPr>
    </w:p>
    <w:p w:rsidR="00B029C0" w:rsidRDefault="004D2CF0" w:rsidP="008D11C6">
      <w:pPr>
        <w:pStyle w:val="ListParagraph"/>
        <w:numPr>
          <w:ilvl w:val="1"/>
          <w:numId w:val="3"/>
        </w:numPr>
        <w:rPr>
          <w:szCs w:val="22"/>
        </w:rPr>
      </w:pPr>
      <w:r w:rsidRPr="004D2CF0">
        <w:rPr>
          <w:szCs w:val="22"/>
        </w:rPr>
        <w:t>F</w:t>
      </w:r>
      <w:r w:rsidR="0003014E" w:rsidRPr="004D2CF0">
        <w:rPr>
          <w:szCs w:val="22"/>
        </w:rPr>
        <w:t xml:space="preserve">rom a literature review the submission identified age, co-morbid conditions requiring increased pill burden, costs and adverse events as the main factors </w:t>
      </w:r>
      <w:r w:rsidR="000629BB">
        <w:rPr>
          <w:szCs w:val="22"/>
        </w:rPr>
        <w:t>associated with non-compliance.</w:t>
      </w:r>
    </w:p>
    <w:p w:rsidR="00B029C0" w:rsidRPr="00B029C0" w:rsidRDefault="00B029C0" w:rsidP="00B029C0">
      <w:pPr>
        <w:rPr>
          <w:szCs w:val="22"/>
        </w:rPr>
      </w:pPr>
    </w:p>
    <w:p w:rsidR="004D2CF0" w:rsidRDefault="00F52162" w:rsidP="008D11C6">
      <w:pPr>
        <w:pStyle w:val="ListParagraph"/>
        <w:numPr>
          <w:ilvl w:val="1"/>
          <w:numId w:val="3"/>
        </w:numPr>
        <w:rPr>
          <w:szCs w:val="22"/>
        </w:rPr>
      </w:pPr>
      <w:r>
        <w:rPr>
          <w:szCs w:val="22"/>
        </w:rPr>
        <w:t>The evaluation considered that t</w:t>
      </w:r>
      <w:r w:rsidR="004D2CF0" w:rsidRPr="004D2CF0">
        <w:rPr>
          <w:szCs w:val="22"/>
        </w:rPr>
        <w:t xml:space="preserve">hese factors appear inconsistent with the presented observational evidence. Pill burden does not appear to be consistently </w:t>
      </w:r>
      <w:r w:rsidR="004D2CF0">
        <w:rPr>
          <w:szCs w:val="22"/>
        </w:rPr>
        <w:t>associated with non-compliance.</w:t>
      </w:r>
      <w:r w:rsidR="006A7410">
        <w:rPr>
          <w:szCs w:val="22"/>
        </w:rPr>
        <w:t xml:space="preserve"> </w:t>
      </w:r>
      <w:r w:rsidR="004D2CF0" w:rsidRPr="004D2CF0">
        <w:rPr>
          <w:szCs w:val="22"/>
        </w:rPr>
        <w:t>The presence of hypertension and diabetes, and previous cardiovascular disease is associated with better compliance. Increased lipid testing is a factor predicting compliance not identified by the submission.</w:t>
      </w:r>
    </w:p>
    <w:p w:rsidR="004D2CF0" w:rsidRPr="000629BB" w:rsidRDefault="004D2CF0" w:rsidP="004D2CF0">
      <w:pPr>
        <w:rPr>
          <w:szCs w:val="22"/>
        </w:rPr>
      </w:pPr>
    </w:p>
    <w:p w:rsidR="0003014E" w:rsidRPr="000629BB" w:rsidRDefault="0003014E" w:rsidP="008D11C6">
      <w:pPr>
        <w:pStyle w:val="ListParagraph"/>
        <w:widowControl/>
        <w:numPr>
          <w:ilvl w:val="1"/>
          <w:numId w:val="3"/>
        </w:numPr>
        <w:rPr>
          <w:szCs w:val="22"/>
        </w:rPr>
      </w:pPr>
      <w:r w:rsidRPr="0003014E">
        <w:rPr>
          <w:szCs w:val="22"/>
        </w:rPr>
        <w:lastRenderedPageBreak/>
        <w:t>DUSC considered that the Warren (2013) paper</w:t>
      </w:r>
      <w:bookmarkStart w:id="8" w:name="_Ref401263962"/>
      <w:r w:rsidRPr="0003014E">
        <w:rPr>
          <w:rStyle w:val="FootnoteReference"/>
          <w:szCs w:val="22"/>
        </w:rPr>
        <w:footnoteReference w:id="1"/>
      </w:r>
      <w:bookmarkEnd w:id="8"/>
      <w:r w:rsidRPr="0003014E">
        <w:rPr>
          <w:szCs w:val="22"/>
        </w:rPr>
        <w:t xml:space="preserve"> is the most applicable for identifying factors that influence compliance in the Australian environment. The study reports high rates of compliance that are comparable to those in the current submission and in the 2012 statin review.</w:t>
      </w:r>
      <w:r w:rsidRPr="0003014E">
        <w:rPr>
          <w:rStyle w:val="FootnoteReference"/>
          <w:szCs w:val="22"/>
        </w:rPr>
        <w:footnoteReference w:id="2"/>
      </w:r>
      <w:r>
        <w:rPr>
          <w:szCs w:val="22"/>
        </w:rPr>
        <w:t xml:space="preserve"> </w:t>
      </w:r>
    </w:p>
    <w:p w:rsidR="0003014E" w:rsidRPr="000629BB" w:rsidRDefault="0003014E" w:rsidP="0003014E">
      <w:pPr>
        <w:widowControl/>
        <w:rPr>
          <w:szCs w:val="22"/>
        </w:rPr>
      </w:pPr>
    </w:p>
    <w:p w:rsidR="0003014E" w:rsidRPr="000629BB" w:rsidRDefault="0003014E" w:rsidP="008D11C6">
      <w:pPr>
        <w:pStyle w:val="ListParagraph"/>
        <w:widowControl/>
        <w:numPr>
          <w:ilvl w:val="1"/>
          <w:numId w:val="3"/>
        </w:numPr>
        <w:rPr>
          <w:szCs w:val="22"/>
        </w:rPr>
      </w:pPr>
      <w:r w:rsidRPr="0003014E">
        <w:rPr>
          <w:szCs w:val="22"/>
        </w:rPr>
        <w:t>The Warren (2013) paper was identified</w:t>
      </w:r>
      <w:r w:rsidR="000629BB">
        <w:rPr>
          <w:szCs w:val="22"/>
        </w:rPr>
        <w:t>,</w:t>
      </w:r>
      <w:r w:rsidRPr="0003014E">
        <w:rPr>
          <w:szCs w:val="22"/>
        </w:rPr>
        <w:t xml:space="preserve"> but not discussed in detail in the submission. </w:t>
      </w:r>
      <w:r>
        <w:rPr>
          <w:szCs w:val="22"/>
        </w:rPr>
        <w:t>This paper reported that:</w:t>
      </w:r>
    </w:p>
    <w:p w:rsidR="0003014E" w:rsidRPr="0003014E" w:rsidRDefault="0003014E" w:rsidP="00F6481B">
      <w:pPr>
        <w:pStyle w:val="ListParagraph"/>
        <w:widowControl/>
        <w:numPr>
          <w:ilvl w:val="0"/>
          <w:numId w:val="8"/>
        </w:numPr>
        <w:ind w:left="993" w:hanging="284"/>
        <w:rPr>
          <w:szCs w:val="22"/>
        </w:rPr>
      </w:pPr>
      <w:r w:rsidRPr="0003014E">
        <w:rPr>
          <w:szCs w:val="22"/>
        </w:rPr>
        <w:t>Poor adherence to statins is associated with smoking, employment, higher levels of education, those who speak a language other than English at home and psychological distress.</w:t>
      </w:r>
    </w:p>
    <w:p w:rsidR="0003014E" w:rsidRPr="00735CEF" w:rsidRDefault="0003014E" w:rsidP="00F6481B">
      <w:pPr>
        <w:pStyle w:val="ListParagraph"/>
        <w:widowControl/>
        <w:numPr>
          <w:ilvl w:val="0"/>
          <w:numId w:val="8"/>
        </w:numPr>
        <w:ind w:left="993" w:hanging="284"/>
        <w:rPr>
          <w:szCs w:val="22"/>
        </w:rPr>
      </w:pPr>
      <w:r w:rsidRPr="0003014E">
        <w:rPr>
          <w:szCs w:val="22"/>
        </w:rPr>
        <w:t>Increased adherence to statins is associated with older age, poor self-rated health, pre-existing heart conditions, obesity and private health insurance.</w:t>
      </w:r>
      <w:r>
        <w:rPr>
          <w:szCs w:val="22"/>
        </w:rPr>
        <w:t xml:space="preserve"> </w:t>
      </w:r>
    </w:p>
    <w:p w:rsidR="00735CEF" w:rsidRPr="000629BB" w:rsidRDefault="00735CEF" w:rsidP="000629BB">
      <w:pPr>
        <w:widowControl/>
        <w:rPr>
          <w:szCs w:val="22"/>
        </w:rPr>
      </w:pPr>
    </w:p>
    <w:p w:rsidR="0003014E" w:rsidRPr="0003014E" w:rsidRDefault="0003014E" w:rsidP="008D11C6">
      <w:pPr>
        <w:pStyle w:val="ListParagraph"/>
        <w:widowControl/>
        <w:numPr>
          <w:ilvl w:val="1"/>
          <w:numId w:val="3"/>
        </w:numPr>
        <w:rPr>
          <w:szCs w:val="22"/>
        </w:rPr>
      </w:pPr>
      <w:r w:rsidRPr="0003014E">
        <w:rPr>
          <w:szCs w:val="22"/>
        </w:rPr>
        <w:t xml:space="preserve">Overall, DUSC considered that factors affecting compliance to medicines need to be established in the Australian setting. Warren (2013) is applicable for identifying these factors. </w:t>
      </w:r>
    </w:p>
    <w:p w:rsidR="0003014E" w:rsidRDefault="0003014E" w:rsidP="0003014E">
      <w:pPr>
        <w:widowControl/>
        <w:rPr>
          <w:szCs w:val="22"/>
        </w:rPr>
      </w:pPr>
    </w:p>
    <w:p w:rsidR="0003014E" w:rsidRPr="0003014E" w:rsidRDefault="0003014E" w:rsidP="0003014E">
      <w:pPr>
        <w:widowControl/>
        <w:rPr>
          <w:b/>
          <w:i/>
          <w:szCs w:val="22"/>
        </w:rPr>
      </w:pPr>
      <w:r w:rsidRPr="0003014E">
        <w:rPr>
          <w:b/>
          <w:i/>
          <w:szCs w:val="22"/>
        </w:rPr>
        <w:t xml:space="preserve">How and to what extent can </w:t>
      </w:r>
      <w:proofErr w:type="spellStart"/>
      <w:r w:rsidRPr="0003014E">
        <w:rPr>
          <w:b/>
          <w:i/>
          <w:szCs w:val="22"/>
        </w:rPr>
        <w:t>Vytorin</w:t>
      </w:r>
      <w:proofErr w:type="spellEnd"/>
      <w:r w:rsidRPr="0003014E">
        <w:rPr>
          <w:b/>
          <w:i/>
          <w:szCs w:val="22"/>
        </w:rPr>
        <w:t xml:space="preserve"> affect the factors contributing to non-compliance?</w:t>
      </w:r>
      <w:r w:rsidR="00735CEF">
        <w:rPr>
          <w:b/>
          <w:i/>
          <w:szCs w:val="22"/>
        </w:rPr>
        <w:t xml:space="preserve"> (Question 3 in the CMWG report)</w:t>
      </w:r>
    </w:p>
    <w:p w:rsidR="0003014E" w:rsidRPr="0003014E" w:rsidRDefault="0003014E" w:rsidP="0003014E">
      <w:pPr>
        <w:widowControl/>
        <w:rPr>
          <w:szCs w:val="22"/>
        </w:rPr>
      </w:pPr>
    </w:p>
    <w:p w:rsidR="0003014E" w:rsidRPr="0003014E" w:rsidRDefault="0003014E" w:rsidP="008D11C6">
      <w:pPr>
        <w:pStyle w:val="ListParagraph"/>
        <w:numPr>
          <w:ilvl w:val="1"/>
          <w:numId w:val="3"/>
        </w:numPr>
        <w:rPr>
          <w:szCs w:val="22"/>
        </w:rPr>
      </w:pPr>
      <w:r>
        <w:rPr>
          <w:szCs w:val="22"/>
        </w:rPr>
        <w:t>The submission addressed</w:t>
      </w:r>
      <w:r w:rsidRPr="0003014E">
        <w:rPr>
          <w:szCs w:val="22"/>
        </w:rPr>
        <w:t xml:space="preserve"> this question with literature searches, plausible explanations and market research.</w:t>
      </w:r>
      <w:r>
        <w:rPr>
          <w:szCs w:val="22"/>
        </w:rPr>
        <w:t xml:space="preserve"> </w:t>
      </w:r>
    </w:p>
    <w:p w:rsidR="0003014E" w:rsidRPr="000629BB" w:rsidRDefault="0003014E" w:rsidP="0003014E">
      <w:pPr>
        <w:widowControl/>
        <w:rPr>
          <w:szCs w:val="22"/>
        </w:rPr>
      </w:pPr>
    </w:p>
    <w:p w:rsidR="00D90A93" w:rsidRDefault="00D90A93" w:rsidP="00D90A93">
      <w:pPr>
        <w:pStyle w:val="ListParagraph"/>
        <w:numPr>
          <w:ilvl w:val="1"/>
          <w:numId w:val="3"/>
        </w:numPr>
        <w:rPr>
          <w:szCs w:val="22"/>
        </w:rPr>
      </w:pPr>
      <w:r>
        <w:rPr>
          <w:szCs w:val="22"/>
        </w:rPr>
        <w:t xml:space="preserve">The market research was a commissioned market survey of patients and general practitioners. The evaluation considered that the </w:t>
      </w:r>
      <w:r w:rsidRPr="00D90A93">
        <w:rPr>
          <w:szCs w:val="22"/>
        </w:rPr>
        <w:t xml:space="preserve">survey design and questions may have influenced the results. Some responses rely on recall of practice, thus may be subject to recall bias. The representativeness of the patient population </w:t>
      </w:r>
      <w:r w:rsidR="00230E6B">
        <w:rPr>
          <w:szCs w:val="22"/>
        </w:rPr>
        <w:t>wa</w:t>
      </w:r>
      <w:r w:rsidRPr="00D90A93">
        <w:rPr>
          <w:szCs w:val="22"/>
        </w:rPr>
        <w:t xml:space="preserve">s unknown. The results for general practitioners </w:t>
      </w:r>
      <w:r w:rsidR="00230E6B">
        <w:rPr>
          <w:szCs w:val="22"/>
        </w:rPr>
        <w:t>we</w:t>
      </w:r>
      <w:r w:rsidRPr="00D90A93">
        <w:rPr>
          <w:szCs w:val="22"/>
        </w:rPr>
        <w:t xml:space="preserve">re not representative as general practitioners who do not prescribe </w:t>
      </w:r>
      <w:proofErr w:type="spellStart"/>
      <w:r w:rsidRPr="00D90A93">
        <w:rPr>
          <w:szCs w:val="22"/>
        </w:rPr>
        <w:t>Vytorin</w:t>
      </w:r>
      <w:proofErr w:type="spellEnd"/>
      <w:r w:rsidRPr="00D90A93">
        <w:rPr>
          <w:szCs w:val="22"/>
        </w:rPr>
        <w:t xml:space="preserve"> were excluded.</w:t>
      </w:r>
    </w:p>
    <w:p w:rsidR="00D90A93" w:rsidRPr="000629BB" w:rsidRDefault="00D90A93" w:rsidP="00D90A93">
      <w:pPr>
        <w:rPr>
          <w:szCs w:val="22"/>
        </w:rPr>
      </w:pPr>
    </w:p>
    <w:p w:rsidR="00637069" w:rsidRPr="00443103" w:rsidRDefault="00637069" w:rsidP="00637069">
      <w:pPr>
        <w:pStyle w:val="ListParagraph"/>
        <w:widowControl/>
        <w:numPr>
          <w:ilvl w:val="1"/>
          <w:numId w:val="3"/>
        </w:numPr>
        <w:rPr>
          <w:szCs w:val="22"/>
        </w:rPr>
      </w:pPr>
      <w:r w:rsidRPr="00443103">
        <w:rPr>
          <w:szCs w:val="22"/>
        </w:rPr>
        <w:t>The key findings of the commissioned market survey include</w:t>
      </w:r>
      <w:r w:rsidR="00860036">
        <w:rPr>
          <w:szCs w:val="22"/>
        </w:rPr>
        <w:t>d</w:t>
      </w:r>
      <w:r w:rsidRPr="00443103">
        <w:rPr>
          <w:szCs w:val="22"/>
        </w:rPr>
        <w:t>:</w:t>
      </w:r>
    </w:p>
    <w:p w:rsidR="00637069" w:rsidRPr="00443103" w:rsidRDefault="00637069" w:rsidP="00F6481B">
      <w:pPr>
        <w:pStyle w:val="ListParagraph"/>
        <w:widowControl/>
        <w:numPr>
          <w:ilvl w:val="0"/>
          <w:numId w:val="8"/>
        </w:numPr>
        <w:ind w:left="993" w:hanging="284"/>
        <w:rPr>
          <w:szCs w:val="22"/>
        </w:rPr>
      </w:pPr>
      <w:r w:rsidRPr="00443103">
        <w:rPr>
          <w:szCs w:val="22"/>
        </w:rPr>
        <w:t xml:space="preserve">The average number of days per month (30 days) that patients report taking </w:t>
      </w:r>
      <w:proofErr w:type="spellStart"/>
      <w:r w:rsidRPr="00443103">
        <w:rPr>
          <w:szCs w:val="22"/>
        </w:rPr>
        <w:t>Vytorin</w:t>
      </w:r>
      <w:proofErr w:type="spellEnd"/>
      <w:r w:rsidRPr="00443103">
        <w:rPr>
          <w:szCs w:val="22"/>
        </w:rPr>
        <w:t xml:space="preserve"> was 29 days, whereas patients on concomitant therapy report taking </w:t>
      </w:r>
      <w:r w:rsidRPr="00443103">
        <w:rPr>
          <w:b/>
          <w:szCs w:val="22"/>
        </w:rPr>
        <w:t>both</w:t>
      </w:r>
      <w:r w:rsidRPr="00443103">
        <w:rPr>
          <w:szCs w:val="22"/>
        </w:rPr>
        <w:t xml:space="preserve"> tablets for an average of 25 days. The submission therefore claim</w:t>
      </w:r>
      <w:r w:rsidR="00230E6B">
        <w:rPr>
          <w:szCs w:val="22"/>
        </w:rPr>
        <w:t>ed</w:t>
      </w:r>
      <w:r w:rsidRPr="00443103">
        <w:rPr>
          <w:szCs w:val="22"/>
        </w:rPr>
        <w:t xml:space="preserve"> that the use of two tablets results in a 14% reduction in adherence. It </w:t>
      </w:r>
      <w:r w:rsidR="00230E6B">
        <w:rPr>
          <w:szCs w:val="22"/>
        </w:rPr>
        <w:t>wa</w:t>
      </w:r>
      <w:r w:rsidRPr="00443103">
        <w:rPr>
          <w:szCs w:val="22"/>
        </w:rPr>
        <w:t xml:space="preserve">s unclear whether patients on </w:t>
      </w:r>
      <w:proofErr w:type="spellStart"/>
      <w:r w:rsidRPr="00443103">
        <w:rPr>
          <w:szCs w:val="22"/>
        </w:rPr>
        <w:t>Vytorin</w:t>
      </w:r>
      <w:proofErr w:type="spellEnd"/>
      <w:r w:rsidRPr="00443103">
        <w:rPr>
          <w:szCs w:val="22"/>
        </w:rPr>
        <w:t xml:space="preserve"> and patients on concomitant therapy </w:t>
      </w:r>
      <w:r w:rsidR="00230E6B">
        <w:rPr>
          <w:szCs w:val="22"/>
        </w:rPr>
        <w:t>we</w:t>
      </w:r>
      <w:r w:rsidRPr="00443103">
        <w:rPr>
          <w:szCs w:val="22"/>
        </w:rPr>
        <w:t>re comparable and whether anchoring the question to both tablets for patients on concomitant therapy may underestimate compliance.</w:t>
      </w:r>
    </w:p>
    <w:p w:rsidR="00637069" w:rsidRPr="00443103" w:rsidRDefault="00637069" w:rsidP="00F6481B">
      <w:pPr>
        <w:pStyle w:val="ListParagraph"/>
        <w:widowControl/>
        <w:numPr>
          <w:ilvl w:val="0"/>
          <w:numId w:val="8"/>
        </w:numPr>
        <w:ind w:left="993" w:hanging="284"/>
        <w:rPr>
          <w:szCs w:val="22"/>
        </w:rPr>
      </w:pPr>
      <w:r w:rsidRPr="00443103">
        <w:rPr>
          <w:szCs w:val="22"/>
        </w:rPr>
        <w:t xml:space="preserve">Patients are price sensitive and rely on medical advice. </w:t>
      </w:r>
      <w:r w:rsidRPr="00443103">
        <w:t>The presentation (i.e. one or two tablets; two tablets in one or two boxes) appear</w:t>
      </w:r>
      <w:r w:rsidR="00230E6B">
        <w:t>s</w:t>
      </w:r>
      <w:r w:rsidRPr="00443103">
        <w:t xml:space="preserve"> to have limited impact on anticipated acceptance, compliance or persistence (anchored to lifetime) for the majority of patients.</w:t>
      </w:r>
    </w:p>
    <w:p w:rsidR="00637069" w:rsidRPr="00443103" w:rsidRDefault="00637069" w:rsidP="00F6481B">
      <w:pPr>
        <w:pStyle w:val="ListParagraph"/>
        <w:widowControl/>
        <w:numPr>
          <w:ilvl w:val="0"/>
          <w:numId w:val="8"/>
        </w:numPr>
        <w:ind w:left="993" w:hanging="284"/>
        <w:rPr>
          <w:szCs w:val="22"/>
        </w:rPr>
      </w:pPr>
      <w:r w:rsidRPr="00443103">
        <w:rPr>
          <w:szCs w:val="22"/>
        </w:rPr>
        <w:t xml:space="preserve">General practitioners who prescribe </w:t>
      </w:r>
      <w:proofErr w:type="spellStart"/>
      <w:r w:rsidRPr="00443103">
        <w:rPr>
          <w:szCs w:val="22"/>
        </w:rPr>
        <w:t>Vytorin</w:t>
      </w:r>
      <w:proofErr w:type="spellEnd"/>
      <w:r w:rsidRPr="00443103">
        <w:rPr>
          <w:szCs w:val="22"/>
        </w:rPr>
        <w:t xml:space="preserve"> believe that </w:t>
      </w:r>
      <w:proofErr w:type="spellStart"/>
      <w:r w:rsidRPr="00443103">
        <w:rPr>
          <w:szCs w:val="22"/>
        </w:rPr>
        <w:t>Vytorin</w:t>
      </w:r>
      <w:proofErr w:type="spellEnd"/>
      <w:r w:rsidR="00E40AD3">
        <w:rPr>
          <w:szCs w:val="22"/>
        </w:rPr>
        <w:t xml:space="preserve"> </w:t>
      </w:r>
      <w:r w:rsidRPr="00443103">
        <w:rPr>
          <w:szCs w:val="22"/>
        </w:rPr>
        <w:t>improves compliance (compared to two tablets) and reduces the o</w:t>
      </w:r>
      <w:r w:rsidR="000629BB">
        <w:rPr>
          <w:szCs w:val="22"/>
        </w:rPr>
        <w:t>ut-of-pocket costs to patients.</w:t>
      </w:r>
    </w:p>
    <w:p w:rsidR="00637069" w:rsidRDefault="00637069" w:rsidP="00F6481B">
      <w:pPr>
        <w:pStyle w:val="ListParagraph"/>
        <w:widowControl/>
        <w:numPr>
          <w:ilvl w:val="0"/>
          <w:numId w:val="8"/>
        </w:numPr>
        <w:ind w:left="993" w:hanging="284"/>
        <w:rPr>
          <w:szCs w:val="22"/>
        </w:rPr>
      </w:pPr>
      <w:r w:rsidRPr="00443103">
        <w:rPr>
          <w:szCs w:val="22"/>
        </w:rPr>
        <w:lastRenderedPageBreak/>
        <w:t>The presence of adverse events was identified by both general practitioners and patients as a factor with the most potential impact on persistence, with patients identifying cost o</w:t>
      </w:r>
      <w:r w:rsidR="000629BB">
        <w:rPr>
          <w:szCs w:val="22"/>
        </w:rPr>
        <w:t>f medication as another factor.</w:t>
      </w:r>
    </w:p>
    <w:p w:rsidR="00637069" w:rsidRPr="00637069" w:rsidRDefault="00637069" w:rsidP="000629BB">
      <w:pPr>
        <w:widowControl/>
        <w:rPr>
          <w:szCs w:val="22"/>
        </w:rPr>
      </w:pPr>
    </w:p>
    <w:p w:rsidR="00B46B79" w:rsidRPr="00B46B79" w:rsidRDefault="00B46B79" w:rsidP="008D11C6">
      <w:pPr>
        <w:pStyle w:val="ListParagraph"/>
        <w:numPr>
          <w:ilvl w:val="1"/>
          <w:numId w:val="3"/>
        </w:numPr>
        <w:rPr>
          <w:szCs w:val="22"/>
        </w:rPr>
      </w:pPr>
      <w:r w:rsidRPr="00B46B79">
        <w:rPr>
          <w:szCs w:val="22"/>
        </w:rPr>
        <w:t xml:space="preserve">The submission </w:t>
      </w:r>
      <w:r>
        <w:rPr>
          <w:szCs w:val="22"/>
        </w:rPr>
        <w:t>considered</w:t>
      </w:r>
      <w:r w:rsidRPr="00B46B79">
        <w:rPr>
          <w:szCs w:val="22"/>
        </w:rPr>
        <w:t xml:space="preserve"> that age may affect compliance. In the patient survey, 72% of the patients taking </w:t>
      </w:r>
      <w:proofErr w:type="spellStart"/>
      <w:r w:rsidRPr="00B46B79">
        <w:rPr>
          <w:szCs w:val="22"/>
        </w:rPr>
        <w:t>Vytorin</w:t>
      </w:r>
      <w:proofErr w:type="spellEnd"/>
      <w:r w:rsidRPr="00B46B79">
        <w:rPr>
          <w:szCs w:val="22"/>
        </w:rPr>
        <w:t xml:space="preserve"> were ≥55 years. DUSC noted that the Warren (2013) study found that older age was associated with increased adherence. </w:t>
      </w:r>
      <w:r>
        <w:rPr>
          <w:szCs w:val="22"/>
        </w:rPr>
        <w:t>The submission also considered</w:t>
      </w:r>
      <w:r w:rsidRPr="00B46B79">
        <w:rPr>
          <w:szCs w:val="22"/>
        </w:rPr>
        <w:t xml:space="preserve"> that co-mo</w:t>
      </w:r>
      <w:r w:rsidR="000629BB">
        <w:rPr>
          <w:szCs w:val="22"/>
        </w:rPr>
        <w:t xml:space="preserve">rbidity may affect compliance. </w:t>
      </w:r>
      <w:r w:rsidRPr="00B46B79">
        <w:rPr>
          <w:szCs w:val="22"/>
        </w:rPr>
        <w:t>The Warren (2013) study show</w:t>
      </w:r>
      <w:r w:rsidR="00230E6B">
        <w:rPr>
          <w:szCs w:val="22"/>
        </w:rPr>
        <w:t>ed</w:t>
      </w:r>
      <w:r w:rsidRPr="00B46B79">
        <w:rPr>
          <w:szCs w:val="22"/>
        </w:rPr>
        <w:t xml:space="preserve"> prior disease is associated with improved compliance.</w:t>
      </w:r>
      <w:r>
        <w:rPr>
          <w:szCs w:val="22"/>
        </w:rPr>
        <w:t xml:space="preserve"> There wa</w:t>
      </w:r>
      <w:r w:rsidRPr="00B46B79">
        <w:rPr>
          <w:szCs w:val="22"/>
        </w:rPr>
        <w:t>s conflicting evidence in the literature on the relationship between pill burden and compliance with studies suggesting increased pill burden is associated with increased or decreased compliance.</w:t>
      </w:r>
      <w:r w:rsidRPr="00B46B79">
        <w:rPr>
          <w:szCs w:val="22"/>
          <w:vertAlign w:val="superscript"/>
        </w:rPr>
        <w:footnoteReference w:id="3"/>
      </w:r>
      <w:r w:rsidRPr="00B46B79">
        <w:rPr>
          <w:szCs w:val="22"/>
          <w:vertAlign w:val="superscript"/>
        </w:rPr>
        <w:t>,</w:t>
      </w:r>
      <w:r w:rsidRPr="00B46B79">
        <w:rPr>
          <w:szCs w:val="22"/>
          <w:vertAlign w:val="superscript"/>
        </w:rPr>
        <w:footnoteReference w:id="4"/>
      </w:r>
      <w:r w:rsidRPr="00B46B79">
        <w:rPr>
          <w:szCs w:val="22"/>
        </w:rPr>
        <w:t xml:space="preserve"> </w:t>
      </w:r>
    </w:p>
    <w:p w:rsidR="0003014E" w:rsidRDefault="0003014E" w:rsidP="000629BB">
      <w:pPr>
        <w:pStyle w:val="PBACHeading1"/>
        <w:numPr>
          <w:ilvl w:val="0"/>
          <w:numId w:val="0"/>
        </w:numPr>
      </w:pPr>
    </w:p>
    <w:p w:rsidR="00B46B79" w:rsidRPr="000629BB" w:rsidRDefault="00B46B79" w:rsidP="008D11C6">
      <w:pPr>
        <w:pStyle w:val="ListParagraph"/>
        <w:numPr>
          <w:ilvl w:val="1"/>
          <w:numId w:val="3"/>
        </w:numPr>
        <w:rPr>
          <w:szCs w:val="22"/>
        </w:rPr>
      </w:pPr>
      <w:r w:rsidRPr="00B46B79">
        <w:rPr>
          <w:szCs w:val="22"/>
        </w:rPr>
        <w:t xml:space="preserve">The submission </w:t>
      </w:r>
      <w:r>
        <w:rPr>
          <w:szCs w:val="22"/>
        </w:rPr>
        <w:t>considered</w:t>
      </w:r>
      <w:r w:rsidRPr="00B46B79">
        <w:rPr>
          <w:szCs w:val="22"/>
        </w:rPr>
        <w:t xml:space="preserve"> that adverse events may affect compliance. DUSC considered that adverse events are a pharmacological issue</w:t>
      </w:r>
      <w:r>
        <w:rPr>
          <w:szCs w:val="22"/>
        </w:rPr>
        <w:t>,</w:t>
      </w:r>
      <w:r w:rsidRPr="00B46B79">
        <w:rPr>
          <w:szCs w:val="22"/>
        </w:rPr>
        <w:t xml:space="preserve"> not a compliance issue</w:t>
      </w:r>
      <w:r>
        <w:rPr>
          <w:szCs w:val="22"/>
        </w:rPr>
        <w:t xml:space="preserve"> and the two issues should not be conflated</w:t>
      </w:r>
      <w:r w:rsidRPr="00B46B79">
        <w:rPr>
          <w:szCs w:val="22"/>
        </w:rPr>
        <w:t xml:space="preserve">. The same pharmacological ingredients are contained in both </w:t>
      </w:r>
      <w:proofErr w:type="spellStart"/>
      <w:r w:rsidRPr="00B46B79">
        <w:rPr>
          <w:szCs w:val="22"/>
        </w:rPr>
        <w:t>Vytorin</w:t>
      </w:r>
      <w:proofErr w:type="spellEnd"/>
      <w:r w:rsidRPr="00B46B79">
        <w:rPr>
          <w:szCs w:val="22"/>
        </w:rPr>
        <w:t xml:space="preserve"> and the separate pill regimen of ezetimibe and simvastatin. The PBS restrictions require patients to be on the maximally tolerated dose of a statin before adding ezetimibe.</w:t>
      </w:r>
      <w:r>
        <w:rPr>
          <w:szCs w:val="22"/>
        </w:rPr>
        <w:t xml:space="preserve"> </w:t>
      </w:r>
    </w:p>
    <w:p w:rsidR="00B46B79" w:rsidRPr="000629BB" w:rsidRDefault="00B46B79" w:rsidP="00B46B79">
      <w:pPr>
        <w:rPr>
          <w:szCs w:val="22"/>
        </w:rPr>
      </w:pPr>
    </w:p>
    <w:p w:rsidR="0003014E" w:rsidRDefault="002749CB" w:rsidP="008D11C6">
      <w:pPr>
        <w:pStyle w:val="ListParagraph"/>
        <w:widowControl/>
        <w:numPr>
          <w:ilvl w:val="1"/>
          <w:numId w:val="3"/>
        </w:numPr>
        <w:rPr>
          <w:szCs w:val="22"/>
        </w:rPr>
      </w:pPr>
      <w:r>
        <w:rPr>
          <w:szCs w:val="22"/>
        </w:rPr>
        <w:t>The submission considered</w:t>
      </w:r>
      <w:r w:rsidR="00B46B79" w:rsidRPr="00B46B79">
        <w:rPr>
          <w:szCs w:val="22"/>
        </w:rPr>
        <w:t xml:space="preserve"> that cost to patients may affect compliance. DUSC agreed that the market research infers that </w:t>
      </w:r>
      <w:proofErr w:type="spellStart"/>
      <w:r w:rsidR="00B46B79" w:rsidRPr="00B46B79">
        <w:rPr>
          <w:szCs w:val="22"/>
        </w:rPr>
        <w:t>Vytorin</w:t>
      </w:r>
      <w:proofErr w:type="spellEnd"/>
      <w:r w:rsidR="00B46B79" w:rsidRPr="00B46B79">
        <w:rPr>
          <w:szCs w:val="22"/>
        </w:rPr>
        <w:t xml:space="preserve"> may improve compliance in some patients because of reduced patient cost (i.e. one co-payment instead of two). In the unprompted GP answers in the market research, cost </w:t>
      </w:r>
      <w:r w:rsidR="00230E6B">
        <w:rPr>
          <w:szCs w:val="22"/>
        </w:rPr>
        <w:t>wa</w:t>
      </w:r>
      <w:r w:rsidR="00B46B79" w:rsidRPr="00B46B79">
        <w:rPr>
          <w:szCs w:val="22"/>
        </w:rPr>
        <w:t>s the main driver of medication cessation followed by side effects, then too many tablets and news stories</w:t>
      </w:r>
      <w:r w:rsidR="00B46B79">
        <w:rPr>
          <w:szCs w:val="22"/>
        </w:rPr>
        <w:t>.</w:t>
      </w:r>
      <w:r w:rsidR="00B46B79" w:rsidRPr="00B46B79">
        <w:rPr>
          <w:szCs w:val="22"/>
        </w:rPr>
        <w:t xml:space="preserve"> For 40% of patients, the costs of medication were found to have a very big impact on medication cessation; whereas the number o</w:t>
      </w:r>
      <w:r w:rsidR="00B46B79">
        <w:rPr>
          <w:szCs w:val="22"/>
        </w:rPr>
        <w:t xml:space="preserve">f tablets had much less impact. </w:t>
      </w:r>
    </w:p>
    <w:p w:rsidR="00B46B79" w:rsidRPr="000629BB" w:rsidRDefault="00B46B79" w:rsidP="00B46B79">
      <w:pPr>
        <w:widowControl/>
        <w:rPr>
          <w:szCs w:val="22"/>
        </w:rPr>
      </w:pPr>
    </w:p>
    <w:p w:rsidR="00B46B79" w:rsidRPr="004F5459" w:rsidRDefault="002749CB" w:rsidP="008D11C6">
      <w:pPr>
        <w:pStyle w:val="ListParagraph"/>
        <w:numPr>
          <w:ilvl w:val="1"/>
          <w:numId w:val="3"/>
        </w:numPr>
        <w:rPr>
          <w:b/>
          <w:i/>
          <w:szCs w:val="22"/>
        </w:rPr>
      </w:pPr>
      <w:r w:rsidRPr="002749CB">
        <w:rPr>
          <w:szCs w:val="22"/>
        </w:rPr>
        <w:t xml:space="preserve">Overall, DUSC concluded that patient cost is a driver for switching from component products to a FDC. However, while </w:t>
      </w:r>
      <w:proofErr w:type="spellStart"/>
      <w:r w:rsidRPr="002749CB">
        <w:rPr>
          <w:szCs w:val="22"/>
        </w:rPr>
        <w:t>Vytorin</w:t>
      </w:r>
      <w:proofErr w:type="spellEnd"/>
      <w:r w:rsidRPr="002749CB">
        <w:rPr>
          <w:szCs w:val="22"/>
        </w:rPr>
        <w:t xml:space="preserve"> can help to address costs, DUSC considered that this creates a question about the appropriateness of addressing an overall policy issue on co</w:t>
      </w:r>
      <w:r w:rsidR="000629BB">
        <w:rPr>
          <w:szCs w:val="22"/>
        </w:rPr>
        <w:t>-</w:t>
      </w:r>
      <w:r w:rsidRPr="002749CB">
        <w:rPr>
          <w:szCs w:val="22"/>
        </w:rPr>
        <w:t>payments with a case by case fix through a FDC.</w:t>
      </w:r>
      <w:r>
        <w:rPr>
          <w:szCs w:val="22"/>
        </w:rPr>
        <w:t xml:space="preserve"> </w:t>
      </w:r>
    </w:p>
    <w:p w:rsidR="00B83D98" w:rsidRDefault="00B83D98" w:rsidP="00BE1F3F">
      <w:pPr>
        <w:widowControl/>
        <w:rPr>
          <w:szCs w:val="22"/>
        </w:rPr>
      </w:pPr>
    </w:p>
    <w:p w:rsidR="00BE1F3F" w:rsidRPr="00BE1F3F" w:rsidRDefault="00BE1F3F" w:rsidP="00BE1F3F">
      <w:pPr>
        <w:widowControl/>
        <w:rPr>
          <w:b/>
          <w:i/>
          <w:szCs w:val="22"/>
        </w:rPr>
      </w:pPr>
      <w:r w:rsidRPr="00BE1F3F">
        <w:rPr>
          <w:b/>
          <w:i/>
          <w:szCs w:val="22"/>
        </w:rPr>
        <w:t xml:space="preserve">Is there evidence available to show that there are measured differences in compliance and, if so, that these are associated with use of </w:t>
      </w:r>
      <w:proofErr w:type="spellStart"/>
      <w:r w:rsidRPr="00BE1F3F">
        <w:rPr>
          <w:b/>
          <w:i/>
          <w:szCs w:val="22"/>
        </w:rPr>
        <w:t>Vytorin</w:t>
      </w:r>
      <w:proofErr w:type="spellEnd"/>
      <w:r w:rsidRPr="00BE1F3F">
        <w:rPr>
          <w:b/>
          <w:i/>
          <w:szCs w:val="22"/>
        </w:rPr>
        <w:t xml:space="preserve"> versus its alternative therapies?</w:t>
      </w:r>
      <w:r w:rsidR="00735CEF">
        <w:rPr>
          <w:b/>
          <w:i/>
          <w:szCs w:val="22"/>
        </w:rPr>
        <w:t xml:space="preserve"> (Question 4 in the CMWG report)</w:t>
      </w:r>
    </w:p>
    <w:p w:rsidR="00B46B79" w:rsidRPr="000629BB" w:rsidRDefault="00B46B79" w:rsidP="000629BB">
      <w:pPr>
        <w:widowControl/>
        <w:rPr>
          <w:szCs w:val="22"/>
        </w:rPr>
      </w:pPr>
    </w:p>
    <w:p w:rsidR="0040457A" w:rsidRDefault="00D662BD" w:rsidP="0040457A">
      <w:pPr>
        <w:pStyle w:val="ListParagraph"/>
        <w:widowControl/>
        <w:numPr>
          <w:ilvl w:val="1"/>
          <w:numId w:val="3"/>
        </w:numPr>
        <w:rPr>
          <w:szCs w:val="22"/>
        </w:rPr>
      </w:pPr>
      <w:r>
        <w:rPr>
          <w:szCs w:val="22"/>
        </w:rPr>
        <w:t>The submission</w:t>
      </w:r>
      <w:r w:rsidR="0040457A">
        <w:rPr>
          <w:szCs w:val="22"/>
        </w:rPr>
        <w:t xml:space="preserve"> </w:t>
      </w:r>
      <w:r>
        <w:rPr>
          <w:szCs w:val="22"/>
        </w:rPr>
        <w:t>measured</w:t>
      </w:r>
      <w:r w:rsidR="0040457A">
        <w:rPr>
          <w:szCs w:val="22"/>
        </w:rPr>
        <w:t xml:space="preserve"> differences in compliance</w:t>
      </w:r>
      <w:r w:rsidR="00BC2B0F">
        <w:rPr>
          <w:szCs w:val="22"/>
        </w:rPr>
        <w:t xml:space="preserve"> of </w:t>
      </w:r>
      <w:proofErr w:type="spellStart"/>
      <w:r w:rsidR="00BC2B0F">
        <w:rPr>
          <w:szCs w:val="22"/>
        </w:rPr>
        <w:t>Vytorin</w:t>
      </w:r>
      <w:proofErr w:type="spellEnd"/>
      <w:r w:rsidR="00BC2B0F">
        <w:rPr>
          <w:szCs w:val="22"/>
        </w:rPr>
        <w:t xml:space="preserve"> against concomitant statin and ezetimibe</w:t>
      </w:r>
      <w:r w:rsidR="00DF5B82">
        <w:rPr>
          <w:szCs w:val="22"/>
        </w:rPr>
        <w:t>, in the same patient,</w:t>
      </w:r>
      <w:r w:rsidR="0040457A">
        <w:rPr>
          <w:szCs w:val="22"/>
        </w:rPr>
        <w:t xml:space="preserve"> us</w:t>
      </w:r>
      <w:r>
        <w:rPr>
          <w:szCs w:val="22"/>
        </w:rPr>
        <w:t xml:space="preserve">ing </w:t>
      </w:r>
      <w:r w:rsidR="00F70E4E">
        <w:rPr>
          <w:szCs w:val="22"/>
        </w:rPr>
        <w:t xml:space="preserve">subpopulations of </w:t>
      </w:r>
      <w:r w:rsidR="0040457A">
        <w:rPr>
          <w:szCs w:val="22"/>
        </w:rPr>
        <w:t>the</w:t>
      </w:r>
      <w:r w:rsidR="0040457A" w:rsidRPr="007C2BC9">
        <w:rPr>
          <w:szCs w:val="22"/>
        </w:rPr>
        <w:t xml:space="preserve"> retrospective cohort study (Cohort</w:t>
      </w:r>
      <w:r w:rsidR="00F70E4E">
        <w:rPr>
          <w:szCs w:val="22"/>
        </w:rPr>
        <w:t> </w:t>
      </w:r>
      <w:r w:rsidR="0040457A" w:rsidRPr="007C2BC9">
        <w:rPr>
          <w:szCs w:val="22"/>
        </w:rPr>
        <w:t xml:space="preserve">1) based on PBS data and </w:t>
      </w:r>
      <w:r w:rsidR="00BC2B0F">
        <w:rPr>
          <w:szCs w:val="22"/>
        </w:rPr>
        <w:t xml:space="preserve">the </w:t>
      </w:r>
      <w:r w:rsidR="0040457A" w:rsidRPr="007C2BC9">
        <w:rPr>
          <w:szCs w:val="22"/>
        </w:rPr>
        <w:t xml:space="preserve">two adherence measures: MPR and </w:t>
      </w:r>
      <w:r w:rsidR="00BC2B0F">
        <w:rPr>
          <w:szCs w:val="22"/>
        </w:rPr>
        <w:t>CMG</w:t>
      </w:r>
      <w:r w:rsidR="0040457A">
        <w:rPr>
          <w:szCs w:val="22"/>
        </w:rPr>
        <w:t xml:space="preserve">. </w:t>
      </w:r>
      <w:r w:rsidR="000168D7">
        <w:rPr>
          <w:szCs w:val="22"/>
        </w:rPr>
        <w:t>Persistence to therapy was also measured</w:t>
      </w:r>
      <w:r w:rsidR="00762DF6">
        <w:rPr>
          <w:szCs w:val="22"/>
        </w:rPr>
        <w:t xml:space="preserve"> in a different cohort (Cohort</w:t>
      </w:r>
      <w:r w:rsidR="00053E65">
        <w:rPr>
          <w:szCs w:val="22"/>
        </w:rPr>
        <w:t> </w:t>
      </w:r>
      <w:r w:rsidR="00762DF6">
        <w:rPr>
          <w:szCs w:val="22"/>
        </w:rPr>
        <w:t>2)</w:t>
      </w:r>
      <w:r w:rsidR="00F70E4E">
        <w:rPr>
          <w:szCs w:val="22"/>
        </w:rPr>
        <w:t>.</w:t>
      </w:r>
    </w:p>
    <w:p w:rsidR="0040457A" w:rsidRPr="00BC2B0F" w:rsidRDefault="0040457A" w:rsidP="00BC2B0F">
      <w:pPr>
        <w:widowControl/>
        <w:rPr>
          <w:szCs w:val="22"/>
        </w:rPr>
      </w:pPr>
    </w:p>
    <w:p w:rsidR="00607F1B" w:rsidRDefault="00607F1B" w:rsidP="00607F1B">
      <w:pPr>
        <w:pStyle w:val="ListParagraph"/>
        <w:widowControl/>
        <w:numPr>
          <w:ilvl w:val="1"/>
          <w:numId w:val="3"/>
        </w:numPr>
        <w:rPr>
          <w:szCs w:val="22"/>
        </w:rPr>
      </w:pPr>
      <w:r>
        <w:rPr>
          <w:szCs w:val="22"/>
        </w:rPr>
        <w:t xml:space="preserve">Methodological concerns regarding the MPR and CMG analyses </w:t>
      </w:r>
      <w:r w:rsidR="00CB6524">
        <w:rPr>
          <w:szCs w:val="22"/>
        </w:rPr>
        <w:t xml:space="preserve">raised by the evaluator and </w:t>
      </w:r>
      <w:r w:rsidR="00F70E4E">
        <w:rPr>
          <w:szCs w:val="22"/>
        </w:rPr>
        <w:t xml:space="preserve">by </w:t>
      </w:r>
      <w:r w:rsidR="00CB6524">
        <w:rPr>
          <w:szCs w:val="22"/>
        </w:rPr>
        <w:t>DUSC were</w:t>
      </w:r>
      <w:r>
        <w:rPr>
          <w:szCs w:val="22"/>
        </w:rPr>
        <w:t xml:space="preserve"> </w:t>
      </w:r>
      <w:r w:rsidR="00CB6524">
        <w:rPr>
          <w:szCs w:val="22"/>
        </w:rPr>
        <w:t xml:space="preserve">presented </w:t>
      </w:r>
      <w:r>
        <w:rPr>
          <w:szCs w:val="22"/>
        </w:rPr>
        <w:t>under Question 1</w:t>
      </w:r>
      <w:r w:rsidRPr="00607F1B">
        <w:t xml:space="preserve"> </w:t>
      </w:r>
      <w:r>
        <w:t>(</w:t>
      </w:r>
      <w:r w:rsidRPr="00607F1B">
        <w:rPr>
          <w:szCs w:val="22"/>
        </w:rPr>
        <w:t xml:space="preserve">What is currently known </w:t>
      </w:r>
      <w:r w:rsidRPr="00607F1B">
        <w:rPr>
          <w:szCs w:val="22"/>
        </w:rPr>
        <w:lastRenderedPageBreak/>
        <w:t xml:space="preserve">about the level of compliance with </w:t>
      </w:r>
      <w:proofErr w:type="spellStart"/>
      <w:r w:rsidRPr="00607F1B">
        <w:rPr>
          <w:szCs w:val="22"/>
        </w:rPr>
        <w:t>Vytorin</w:t>
      </w:r>
      <w:proofErr w:type="spellEnd"/>
      <w:r w:rsidRPr="00607F1B">
        <w:rPr>
          <w:szCs w:val="22"/>
        </w:rPr>
        <w:t>?</w:t>
      </w:r>
      <w:r>
        <w:rPr>
          <w:szCs w:val="22"/>
        </w:rPr>
        <w:t>)</w:t>
      </w:r>
      <w:r w:rsidR="00CB6524">
        <w:rPr>
          <w:szCs w:val="22"/>
        </w:rPr>
        <w:t xml:space="preserve">. </w:t>
      </w:r>
      <w:r>
        <w:rPr>
          <w:szCs w:val="22"/>
        </w:rPr>
        <w:t xml:space="preserve">The same issues </w:t>
      </w:r>
      <w:r w:rsidR="00230E6B">
        <w:rPr>
          <w:szCs w:val="22"/>
        </w:rPr>
        <w:t>we</w:t>
      </w:r>
      <w:r>
        <w:rPr>
          <w:szCs w:val="22"/>
        </w:rPr>
        <w:t xml:space="preserve">re relevant for the analysis presented </w:t>
      </w:r>
      <w:r w:rsidR="00CB6524">
        <w:rPr>
          <w:szCs w:val="22"/>
        </w:rPr>
        <w:t>in Q</w:t>
      </w:r>
      <w:r w:rsidR="000629BB">
        <w:rPr>
          <w:szCs w:val="22"/>
        </w:rPr>
        <w:t>uestion 4 of the submission.</w:t>
      </w:r>
    </w:p>
    <w:p w:rsidR="00607F1B" w:rsidRPr="000629BB" w:rsidRDefault="00607F1B" w:rsidP="00607F1B">
      <w:pPr>
        <w:rPr>
          <w:szCs w:val="22"/>
        </w:rPr>
      </w:pPr>
    </w:p>
    <w:p w:rsidR="00BC2B0F" w:rsidRDefault="00BC2B0F" w:rsidP="008D11C6">
      <w:pPr>
        <w:pStyle w:val="ListParagraph"/>
        <w:widowControl/>
        <w:numPr>
          <w:ilvl w:val="1"/>
          <w:numId w:val="3"/>
        </w:numPr>
        <w:rPr>
          <w:szCs w:val="22"/>
        </w:rPr>
      </w:pPr>
      <w:r>
        <w:rPr>
          <w:szCs w:val="22"/>
        </w:rPr>
        <w:t xml:space="preserve">The adherence </w:t>
      </w:r>
      <w:r w:rsidR="00D662BD">
        <w:rPr>
          <w:szCs w:val="22"/>
        </w:rPr>
        <w:t>analysis presented focused</w:t>
      </w:r>
      <w:r>
        <w:rPr>
          <w:szCs w:val="22"/>
        </w:rPr>
        <w:t xml:space="preserve"> on patients</w:t>
      </w:r>
      <w:r w:rsidR="00D662BD">
        <w:rPr>
          <w:szCs w:val="22"/>
        </w:rPr>
        <w:t xml:space="preserve"> that the submission considered to be ‘most in need of improved compliance’. The submission identified patients from Cohort 1 who recorded MPR or CMG scores &lt;85%</w:t>
      </w:r>
      <w:r w:rsidR="009C542B">
        <w:rPr>
          <w:szCs w:val="22"/>
        </w:rPr>
        <w:t xml:space="preserve"> </w:t>
      </w:r>
      <w:r w:rsidR="00703B44">
        <w:rPr>
          <w:szCs w:val="22"/>
        </w:rPr>
        <w:t>to a</w:t>
      </w:r>
      <w:r w:rsidR="009C542B">
        <w:rPr>
          <w:szCs w:val="22"/>
        </w:rPr>
        <w:t xml:space="preserve"> statin</w:t>
      </w:r>
      <w:r w:rsidR="00D662BD">
        <w:rPr>
          <w:szCs w:val="22"/>
        </w:rPr>
        <w:t xml:space="preserve"> prior to switching to </w:t>
      </w:r>
      <w:proofErr w:type="spellStart"/>
      <w:r w:rsidR="00D662BD">
        <w:rPr>
          <w:szCs w:val="22"/>
        </w:rPr>
        <w:t>Vytorin</w:t>
      </w:r>
      <w:proofErr w:type="spellEnd"/>
      <w:r w:rsidR="00D662BD">
        <w:rPr>
          <w:szCs w:val="22"/>
        </w:rPr>
        <w:t xml:space="preserve"> leaving </w:t>
      </w:r>
      <w:r w:rsidR="006F4509">
        <w:rPr>
          <w:szCs w:val="22"/>
        </w:rPr>
        <w:t>n</w:t>
      </w:r>
      <w:r w:rsidR="00D662BD">
        <w:rPr>
          <w:szCs w:val="22"/>
        </w:rPr>
        <w:t xml:space="preserve">=304 for the MPR analysis and </w:t>
      </w:r>
      <w:r w:rsidR="006F4509">
        <w:rPr>
          <w:szCs w:val="22"/>
        </w:rPr>
        <w:t>n</w:t>
      </w:r>
      <w:r w:rsidR="00D662BD">
        <w:rPr>
          <w:szCs w:val="22"/>
        </w:rPr>
        <w:t xml:space="preserve">=500 for </w:t>
      </w:r>
      <w:r w:rsidR="005E25E8">
        <w:rPr>
          <w:szCs w:val="22"/>
        </w:rPr>
        <w:t>t</w:t>
      </w:r>
      <w:r w:rsidR="00D662BD">
        <w:rPr>
          <w:szCs w:val="22"/>
        </w:rPr>
        <w:t>he CMG analysis.</w:t>
      </w:r>
      <w:r w:rsidR="002D1CED">
        <w:rPr>
          <w:szCs w:val="22"/>
        </w:rPr>
        <w:t xml:space="preserve"> The evaluation </w:t>
      </w:r>
      <w:r w:rsidR="005E25E8">
        <w:rPr>
          <w:szCs w:val="22"/>
        </w:rPr>
        <w:t>could not replicate the results but noted that the submission appear</w:t>
      </w:r>
      <w:r w:rsidR="00230E6B">
        <w:rPr>
          <w:szCs w:val="22"/>
        </w:rPr>
        <w:t>ed</w:t>
      </w:r>
      <w:r w:rsidR="005E25E8">
        <w:rPr>
          <w:szCs w:val="22"/>
        </w:rPr>
        <w:t xml:space="preserve"> to apply a threshold of 82.5%, li</w:t>
      </w:r>
      <w:r w:rsidR="000629BB">
        <w:rPr>
          <w:szCs w:val="22"/>
        </w:rPr>
        <w:t>kely due to premature rounding.</w:t>
      </w:r>
    </w:p>
    <w:p w:rsidR="00910FD8" w:rsidRPr="000629BB" w:rsidRDefault="00910FD8" w:rsidP="00910FD8">
      <w:pPr>
        <w:rPr>
          <w:szCs w:val="22"/>
        </w:rPr>
      </w:pPr>
    </w:p>
    <w:p w:rsidR="000168D7" w:rsidRPr="00607F1B" w:rsidRDefault="000168D7" w:rsidP="000168D7">
      <w:pPr>
        <w:pStyle w:val="ListParagraph"/>
        <w:widowControl/>
        <w:numPr>
          <w:ilvl w:val="1"/>
          <w:numId w:val="3"/>
        </w:numPr>
        <w:rPr>
          <w:szCs w:val="22"/>
        </w:rPr>
      </w:pPr>
      <w:r w:rsidRPr="00607F1B">
        <w:rPr>
          <w:szCs w:val="22"/>
        </w:rPr>
        <w:t>The submission claim</w:t>
      </w:r>
      <w:r w:rsidR="000629BB">
        <w:rPr>
          <w:szCs w:val="22"/>
        </w:rPr>
        <w:t>ed</w:t>
      </w:r>
      <w:r w:rsidRPr="00607F1B">
        <w:rPr>
          <w:szCs w:val="22"/>
        </w:rPr>
        <w:t xml:space="preserve"> that several studies have demonstrated that MPR &gt;80% is associated with significantly greater reduction in LDL and reduced cardiovascular events</w:t>
      </w:r>
      <w:r w:rsidR="005E25E8" w:rsidRPr="00607F1B">
        <w:rPr>
          <w:szCs w:val="22"/>
        </w:rPr>
        <w:t>.</w:t>
      </w:r>
      <w:r w:rsidRPr="00607F1B">
        <w:rPr>
          <w:szCs w:val="22"/>
        </w:rPr>
        <w:t xml:space="preserve"> This</w:t>
      </w:r>
      <w:r w:rsidR="000629BB">
        <w:rPr>
          <w:szCs w:val="22"/>
        </w:rPr>
        <w:t xml:space="preserve"> is discussed under </w:t>
      </w:r>
      <w:r w:rsidR="00AD0D74">
        <w:rPr>
          <w:szCs w:val="22"/>
        </w:rPr>
        <w:t>Q</w:t>
      </w:r>
      <w:r w:rsidR="000629BB">
        <w:rPr>
          <w:szCs w:val="22"/>
        </w:rPr>
        <w:t>uestion 5.</w:t>
      </w:r>
    </w:p>
    <w:p w:rsidR="005E25E8" w:rsidRPr="000629BB" w:rsidRDefault="005E25E8" w:rsidP="005E25E8">
      <w:pPr>
        <w:rPr>
          <w:szCs w:val="22"/>
        </w:rPr>
      </w:pPr>
    </w:p>
    <w:p w:rsidR="00AD2991" w:rsidRDefault="002D1CED" w:rsidP="008D11C6">
      <w:pPr>
        <w:pStyle w:val="ListParagraph"/>
        <w:widowControl/>
        <w:numPr>
          <w:ilvl w:val="1"/>
          <w:numId w:val="3"/>
        </w:numPr>
        <w:rPr>
          <w:szCs w:val="22"/>
        </w:rPr>
      </w:pPr>
      <w:r w:rsidRPr="00AD2991">
        <w:rPr>
          <w:szCs w:val="22"/>
        </w:rPr>
        <w:t xml:space="preserve">In the group of </w:t>
      </w:r>
      <w:r w:rsidR="005E25E8" w:rsidRPr="00AD2991">
        <w:rPr>
          <w:szCs w:val="22"/>
        </w:rPr>
        <w:t xml:space="preserve">304 </w:t>
      </w:r>
      <w:r w:rsidRPr="00AD2991">
        <w:rPr>
          <w:szCs w:val="22"/>
        </w:rPr>
        <w:t xml:space="preserve">patients </w:t>
      </w:r>
      <w:r w:rsidR="00607F1B" w:rsidRPr="00AD2991">
        <w:rPr>
          <w:szCs w:val="22"/>
        </w:rPr>
        <w:t xml:space="preserve">on concomitant therapy </w:t>
      </w:r>
      <w:r w:rsidRPr="00AD2991">
        <w:rPr>
          <w:szCs w:val="22"/>
        </w:rPr>
        <w:t>with an MPR score &lt;85%</w:t>
      </w:r>
      <w:r w:rsidR="005E25E8" w:rsidRPr="00AD2991">
        <w:rPr>
          <w:szCs w:val="22"/>
        </w:rPr>
        <w:t xml:space="preserve"> prior to switching to </w:t>
      </w:r>
      <w:proofErr w:type="spellStart"/>
      <w:r w:rsidR="005E25E8" w:rsidRPr="00AD2991">
        <w:rPr>
          <w:szCs w:val="22"/>
        </w:rPr>
        <w:t>Vytorin</w:t>
      </w:r>
      <w:proofErr w:type="spellEnd"/>
      <w:r w:rsidRPr="00AD2991">
        <w:rPr>
          <w:szCs w:val="22"/>
        </w:rPr>
        <w:t>, t</w:t>
      </w:r>
      <w:r w:rsidR="00BC2B0F" w:rsidRPr="00AD2991">
        <w:rPr>
          <w:szCs w:val="22"/>
        </w:rPr>
        <w:t xml:space="preserve">he submission found </w:t>
      </w:r>
      <w:r w:rsidR="0020608C" w:rsidRPr="00AD2991">
        <w:rPr>
          <w:szCs w:val="22"/>
        </w:rPr>
        <w:t xml:space="preserve">a 14% improvement in MPR versus the statin component and a 6% improvement versus the ezetimibe component, based on the differences in mean MPRs. </w:t>
      </w:r>
      <w:r w:rsidR="00AD2991">
        <w:rPr>
          <w:szCs w:val="22"/>
        </w:rPr>
        <w:t xml:space="preserve">The mean MPR prior to initiation of </w:t>
      </w:r>
      <w:proofErr w:type="spellStart"/>
      <w:r w:rsidR="00AD2991">
        <w:rPr>
          <w:szCs w:val="22"/>
        </w:rPr>
        <w:t>Vytorin</w:t>
      </w:r>
      <w:proofErr w:type="spellEnd"/>
      <w:r w:rsidR="00AD2991">
        <w:rPr>
          <w:szCs w:val="22"/>
        </w:rPr>
        <w:t xml:space="preserve"> for statin was 67% and </w:t>
      </w:r>
      <w:r w:rsidR="00CD25CD">
        <w:rPr>
          <w:szCs w:val="22"/>
        </w:rPr>
        <w:t xml:space="preserve">for </w:t>
      </w:r>
      <w:r w:rsidR="00AD2991">
        <w:rPr>
          <w:szCs w:val="22"/>
        </w:rPr>
        <w:t xml:space="preserve">ezetimibe was 75%. After initiation to </w:t>
      </w:r>
      <w:proofErr w:type="spellStart"/>
      <w:r w:rsidR="00AD2991">
        <w:rPr>
          <w:szCs w:val="22"/>
        </w:rPr>
        <w:t>Vytorin</w:t>
      </w:r>
      <w:proofErr w:type="spellEnd"/>
      <w:r w:rsidR="000629BB">
        <w:rPr>
          <w:szCs w:val="22"/>
        </w:rPr>
        <w:t>,</w:t>
      </w:r>
      <w:r w:rsidR="00AD2991">
        <w:rPr>
          <w:szCs w:val="22"/>
        </w:rPr>
        <w:t xml:space="preserve"> the</w:t>
      </w:r>
      <w:r w:rsidR="000629BB">
        <w:rPr>
          <w:szCs w:val="22"/>
        </w:rPr>
        <w:t xml:space="preserve"> MPR for </w:t>
      </w:r>
      <w:proofErr w:type="spellStart"/>
      <w:r w:rsidR="000629BB">
        <w:rPr>
          <w:szCs w:val="22"/>
        </w:rPr>
        <w:t>Vytorin</w:t>
      </w:r>
      <w:proofErr w:type="spellEnd"/>
      <w:r w:rsidR="000629BB">
        <w:rPr>
          <w:szCs w:val="22"/>
        </w:rPr>
        <w:t xml:space="preserve"> was 81%.</w:t>
      </w:r>
    </w:p>
    <w:p w:rsidR="005F56AA" w:rsidRPr="000629BB" w:rsidRDefault="005F56AA" w:rsidP="005F56AA">
      <w:pPr>
        <w:rPr>
          <w:szCs w:val="22"/>
        </w:rPr>
      </w:pPr>
    </w:p>
    <w:p w:rsidR="005F56AA" w:rsidRPr="00053E65" w:rsidRDefault="005F56AA" w:rsidP="005F56AA">
      <w:pPr>
        <w:pStyle w:val="ListParagraph"/>
        <w:widowControl/>
        <w:numPr>
          <w:ilvl w:val="1"/>
          <w:numId w:val="3"/>
        </w:numPr>
        <w:rPr>
          <w:szCs w:val="22"/>
        </w:rPr>
      </w:pPr>
      <w:r>
        <w:rPr>
          <w:szCs w:val="22"/>
        </w:rPr>
        <w:t>The adherence results,</w:t>
      </w:r>
      <w:r w:rsidRPr="00DF5B82">
        <w:rPr>
          <w:szCs w:val="22"/>
        </w:rPr>
        <w:t xml:space="preserve"> </w:t>
      </w:r>
      <w:r>
        <w:rPr>
          <w:szCs w:val="22"/>
        </w:rPr>
        <w:t>pre</w:t>
      </w:r>
      <w:r w:rsidR="000629BB">
        <w:rPr>
          <w:szCs w:val="22"/>
        </w:rPr>
        <w:t>-</w:t>
      </w:r>
      <w:r>
        <w:rPr>
          <w:szCs w:val="22"/>
        </w:rPr>
        <w:t xml:space="preserve"> and post</w:t>
      </w:r>
      <w:r w:rsidR="000629BB">
        <w:rPr>
          <w:szCs w:val="22"/>
        </w:rPr>
        <w:t>-</w:t>
      </w:r>
      <w:r>
        <w:rPr>
          <w:szCs w:val="22"/>
        </w:rPr>
        <w:t xml:space="preserve">initiation </w:t>
      </w:r>
      <w:r w:rsidR="000629BB">
        <w:rPr>
          <w:szCs w:val="22"/>
        </w:rPr>
        <w:t>with</w:t>
      </w:r>
      <w:r>
        <w:rPr>
          <w:szCs w:val="22"/>
        </w:rPr>
        <w:t xml:space="preserve"> </w:t>
      </w:r>
      <w:proofErr w:type="spellStart"/>
      <w:r>
        <w:rPr>
          <w:szCs w:val="22"/>
        </w:rPr>
        <w:t>Vytorin</w:t>
      </w:r>
      <w:proofErr w:type="spellEnd"/>
      <w:r>
        <w:rPr>
          <w:szCs w:val="22"/>
        </w:rPr>
        <w:t xml:space="preserve">, for the subpopulation with an MPR score &lt;85% </w:t>
      </w:r>
      <w:r w:rsidR="00B2131C">
        <w:rPr>
          <w:szCs w:val="22"/>
        </w:rPr>
        <w:t xml:space="preserve">to a statin </w:t>
      </w:r>
      <w:r>
        <w:rPr>
          <w:szCs w:val="22"/>
        </w:rPr>
        <w:t xml:space="preserve">prior to switching to </w:t>
      </w:r>
      <w:proofErr w:type="spellStart"/>
      <w:r>
        <w:rPr>
          <w:szCs w:val="22"/>
        </w:rPr>
        <w:t>Vytorin</w:t>
      </w:r>
      <w:proofErr w:type="spellEnd"/>
      <w:r>
        <w:rPr>
          <w:szCs w:val="22"/>
        </w:rPr>
        <w:t>, are shown in the table below.</w:t>
      </w:r>
    </w:p>
    <w:p w:rsidR="005F56AA" w:rsidRPr="00053E65" w:rsidRDefault="005F56AA" w:rsidP="005F56AA">
      <w:pPr>
        <w:rPr>
          <w:szCs w:val="22"/>
        </w:rPr>
      </w:pPr>
    </w:p>
    <w:p w:rsidR="005F56AA" w:rsidRPr="009012DE" w:rsidRDefault="005F56AA" w:rsidP="005F56AA">
      <w:pPr>
        <w:widowControl/>
        <w:ind w:firstLine="720"/>
        <w:rPr>
          <w:rFonts w:ascii="Arial Narrow" w:hAnsi="Arial Narrow"/>
          <w:sz w:val="20"/>
        </w:rPr>
      </w:pPr>
      <w:r w:rsidRPr="009012DE">
        <w:rPr>
          <w:rFonts w:ascii="Arial Narrow" w:hAnsi="Arial Narrow"/>
          <w:b/>
          <w:sz w:val="20"/>
        </w:rPr>
        <w:t>Adherence results for the MPR base population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645"/>
        <w:gridCol w:w="1645"/>
        <w:gridCol w:w="1645"/>
        <w:gridCol w:w="13"/>
      </w:tblGrid>
      <w:tr w:rsidR="005F56AA" w:rsidRPr="009012DE" w:rsidTr="00906867">
        <w:trPr>
          <w:gridAfter w:val="1"/>
          <w:wAfter w:w="13" w:type="dxa"/>
          <w:trHeight w:val="50"/>
        </w:trPr>
        <w:tc>
          <w:tcPr>
            <w:tcW w:w="3402" w:type="dxa"/>
            <w:shd w:val="clear" w:color="auto" w:fill="auto"/>
            <w:noWrap/>
            <w:hideMark/>
          </w:tcPr>
          <w:p w:rsidR="005F56AA" w:rsidRPr="009012DE" w:rsidRDefault="005F56AA" w:rsidP="00906867">
            <w:pPr>
              <w:widowControl/>
              <w:rPr>
                <w:rFonts w:ascii="Arial Narrow" w:hAnsi="Arial Narrow"/>
                <w:i/>
                <w:sz w:val="20"/>
              </w:rPr>
            </w:pPr>
          </w:p>
        </w:tc>
        <w:tc>
          <w:tcPr>
            <w:tcW w:w="1645" w:type="dxa"/>
            <w:tcBorders>
              <w:right w:val="double" w:sz="4" w:space="0" w:color="auto"/>
            </w:tcBorders>
            <w:shd w:val="clear" w:color="auto" w:fill="auto"/>
            <w:noWrap/>
          </w:tcPr>
          <w:p w:rsidR="005F56AA" w:rsidRPr="009012DE" w:rsidRDefault="005F56AA" w:rsidP="00906867">
            <w:pPr>
              <w:widowControl/>
              <w:rPr>
                <w:rFonts w:ascii="Arial Narrow" w:hAnsi="Arial Narrow"/>
                <w:b/>
                <w:i/>
                <w:sz w:val="20"/>
              </w:rPr>
            </w:pPr>
            <w:proofErr w:type="spellStart"/>
            <w:r w:rsidRPr="009012DE">
              <w:rPr>
                <w:rFonts w:ascii="Arial Narrow" w:hAnsi="Arial Narrow"/>
                <w:b/>
                <w:sz w:val="20"/>
              </w:rPr>
              <w:t>Vytorin</w:t>
            </w:r>
            <w:proofErr w:type="spellEnd"/>
            <w:r w:rsidRPr="009012DE">
              <w:rPr>
                <w:rFonts w:ascii="Arial Narrow" w:hAnsi="Arial Narrow"/>
                <w:b/>
                <w:sz w:val="20"/>
                <w:vertAlign w:val="superscript"/>
              </w:rPr>
              <w:t>®</w:t>
            </w:r>
          </w:p>
        </w:tc>
        <w:tc>
          <w:tcPr>
            <w:tcW w:w="1645" w:type="dxa"/>
            <w:tcBorders>
              <w:left w:val="double" w:sz="4" w:space="0" w:color="auto"/>
            </w:tcBorders>
            <w:shd w:val="clear" w:color="auto" w:fill="auto"/>
            <w:vAlign w:val="center"/>
          </w:tcPr>
          <w:p w:rsidR="005F56AA" w:rsidRPr="009012DE" w:rsidRDefault="005F56AA" w:rsidP="00906867">
            <w:pPr>
              <w:widowControl/>
              <w:rPr>
                <w:rFonts w:ascii="Arial Narrow" w:hAnsi="Arial Narrow"/>
                <w:b/>
                <w:i/>
                <w:sz w:val="20"/>
              </w:rPr>
            </w:pPr>
            <w:r w:rsidRPr="009012DE">
              <w:rPr>
                <w:rFonts w:ascii="Arial Narrow" w:hAnsi="Arial Narrow"/>
                <w:b/>
                <w:sz w:val="20"/>
              </w:rPr>
              <w:t>Statin</w:t>
            </w:r>
          </w:p>
        </w:tc>
        <w:tc>
          <w:tcPr>
            <w:tcW w:w="1645" w:type="dxa"/>
            <w:vAlign w:val="center"/>
          </w:tcPr>
          <w:p w:rsidR="005F56AA" w:rsidRPr="009012DE" w:rsidRDefault="005F56AA" w:rsidP="00906867">
            <w:pPr>
              <w:widowControl/>
              <w:rPr>
                <w:rFonts w:ascii="Arial Narrow" w:hAnsi="Arial Narrow"/>
                <w:b/>
                <w:i/>
                <w:sz w:val="20"/>
              </w:rPr>
            </w:pPr>
            <w:r w:rsidRPr="009012DE">
              <w:rPr>
                <w:rFonts w:ascii="Arial Narrow" w:hAnsi="Arial Narrow"/>
                <w:b/>
                <w:sz w:val="20"/>
              </w:rPr>
              <w:t>Ezetimibe</w:t>
            </w:r>
          </w:p>
        </w:tc>
      </w:tr>
      <w:tr w:rsidR="005F56AA" w:rsidRPr="009012DE" w:rsidTr="00906867">
        <w:trPr>
          <w:trHeight w:val="50"/>
        </w:trPr>
        <w:tc>
          <w:tcPr>
            <w:tcW w:w="3402" w:type="dxa"/>
            <w:shd w:val="clear" w:color="auto" w:fill="auto"/>
            <w:noWrap/>
          </w:tcPr>
          <w:p w:rsidR="005F56AA" w:rsidRPr="009012DE" w:rsidRDefault="005F56AA" w:rsidP="00906867">
            <w:pPr>
              <w:widowControl/>
              <w:rPr>
                <w:rFonts w:ascii="Arial Narrow" w:hAnsi="Arial Narrow"/>
                <w:i/>
                <w:sz w:val="20"/>
              </w:rPr>
            </w:pPr>
            <w:r w:rsidRPr="009012DE">
              <w:rPr>
                <w:rFonts w:ascii="Arial Narrow" w:hAnsi="Arial Narrow"/>
                <w:sz w:val="20"/>
              </w:rPr>
              <w:t>Number of records</w:t>
            </w:r>
          </w:p>
        </w:tc>
        <w:tc>
          <w:tcPr>
            <w:tcW w:w="1645" w:type="dxa"/>
            <w:tcBorders>
              <w:right w:val="double" w:sz="4" w:space="0" w:color="auto"/>
            </w:tcBorders>
            <w:shd w:val="clear" w:color="auto" w:fill="auto"/>
            <w:noWrap/>
            <w:vAlign w:val="center"/>
          </w:tcPr>
          <w:p w:rsidR="005F56AA" w:rsidRPr="009012DE" w:rsidRDefault="005F56AA" w:rsidP="00906867">
            <w:pPr>
              <w:widowControl/>
              <w:rPr>
                <w:rFonts w:ascii="Arial Narrow" w:hAnsi="Arial Narrow"/>
                <w:i/>
                <w:sz w:val="20"/>
              </w:rPr>
            </w:pPr>
            <w:r w:rsidRPr="009012DE">
              <w:rPr>
                <w:rFonts w:ascii="Arial Narrow" w:hAnsi="Arial Narrow"/>
                <w:sz w:val="20"/>
              </w:rPr>
              <w:t>304</w:t>
            </w:r>
          </w:p>
        </w:tc>
        <w:tc>
          <w:tcPr>
            <w:tcW w:w="3303" w:type="dxa"/>
            <w:gridSpan w:val="3"/>
            <w:tcBorders>
              <w:left w:val="double" w:sz="4" w:space="0" w:color="auto"/>
            </w:tcBorders>
            <w:shd w:val="clear" w:color="auto" w:fill="auto"/>
            <w:vAlign w:val="center"/>
          </w:tcPr>
          <w:p w:rsidR="005F56AA" w:rsidRPr="009012DE" w:rsidRDefault="005F56AA" w:rsidP="00906867">
            <w:pPr>
              <w:widowControl/>
              <w:rPr>
                <w:rFonts w:ascii="Arial Narrow" w:hAnsi="Arial Narrow"/>
                <w:i/>
                <w:sz w:val="20"/>
              </w:rPr>
            </w:pPr>
            <w:r w:rsidRPr="009012DE">
              <w:rPr>
                <w:rFonts w:ascii="Arial Narrow" w:hAnsi="Arial Narrow"/>
                <w:sz w:val="20"/>
              </w:rPr>
              <w:t>304</w:t>
            </w:r>
          </w:p>
        </w:tc>
      </w:tr>
      <w:tr w:rsidR="005F56AA" w:rsidRPr="009012DE" w:rsidTr="00906867">
        <w:trPr>
          <w:trHeight w:val="50"/>
        </w:trPr>
        <w:tc>
          <w:tcPr>
            <w:tcW w:w="3402" w:type="dxa"/>
            <w:shd w:val="clear" w:color="auto" w:fill="auto"/>
            <w:noWrap/>
          </w:tcPr>
          <w:p w:rsidR="005F56AA" w:rsidRPr="009012DE" w:rsidRDefault="005F56AA" w:rsidP="00906867">
            <w:pPr>
              <w:widowControl/>
              <w:rPr>
                <w:rFonts w:ascii="Arial Narrow" w:hAnsi="Arial Narrow"/>
                <w:i/>
                <w:sz w:val="20"/>
              </w:rPr>
            </w:pPr>
            <w:r w:rsidRPr="009012DE">
              <w:rPr>
                <w:rFonts w:ascii="Arial Narrow" w:hAnsi="Arial Narrow"/>
                <w:sz w:val="20"/>
              </w:rPr>
              <w:t xml:space="preserve">Mean duration of medication supplied in </w:t>
            </w:r>
            <w:proofErr w:type="spellStart"/>
            <w:r w:rsidRPr="009012DE">
              <w:rPr>
                <w:rFonts w:ascii="Arial Narrow" w:hAnsi="Arial Narrow"/>
                <w:sz w:val="20"/>
              </w:rPr>
              <w:t>yrs</w:t>
            </w:r>
            <w:proofErr w:type="spellEnd"/>
          </w:p>
        </w:tc>
        <w:tc>
          <w:tcPr>
            <w:tcW w:w="1645" w:type="dxa"/>
            <w:tcBorders>
              <w:right w:val="double" w:sz="4" w:space="0" w:color="auto"/>
            </w:tcBorders>
            <w:shd w:val="clear" w:color="auto" w:fill="auto"/>
            <w:noWrap/>
            <w:vAlign w:val="center"/>
          </w:tcPr>
          <w:p w:rsidR="005F56AA" w:rsidRPr="009012DE" w:rsidRDefault="005F56AA" w:rsidP="00906867">
            <w:pPr>
              <w:widowControl/>
              <w:rPr>
                <w:rFonts w:ascii="Arial Narrow" w:hAnsi="Arial Narrow"/>
                <w:i/>
                <w:sz w:val="20"/>
                <w:vertAlign w:val="superscript"/>
              </w:rPr>
            </w:pPr>
            <w:r w:rsidRPr="009012DE">
              <w:rPr>
                <w:rFonts w:ascii="Arial Narrow" w:hAnsi="Arial Narrow"/>
                <w:sz w:val="20"/>
              </w:rPr>
              <w:t>2.67</w:t>
            </w:r>
            <w:r w:rsidRPr="009012DE">
              <w:rPr>
                <w:rFonts w:ascii="Arial Narrow" w:hAnsi="Arial Narrow"/>
                <w:sz w:val="20"/>
                <w:vertAlign w:val="superscript"/>
              </w:rPr>
              <w:t>a</w:t>
            </w:r>
            <w:r w:rsidRPr="009012DE">
              <w:rPr>
                <w:rFonts w:ascii="Arial Narrow" w:hAnsi="Arial Narrow"/>
                <w:sz w:val="20"/>
              </w:rPr>
              <w:t xml:space="preserve"> </w:t>
            </w:r>
          </w:p>
        </w:tc>
        <w:tc>
          <w:tcPr>
            <w:tcW w:w="3303" w:type="dxa"/>
            <w:gridSpan w:val="3"/>
            <w:tcBorders>
              <w:left w:val="double" w:sz="4" w:space="0" w:color="auto"/>
            </w:tcBorders>
            <w:shd w:val="clear" w:color="auto" w:fill="auto"/>
            <w:vAlign w:val="center"/>
          </w:tcPr>
          <w:p w:rsidR="005F56AA" w:rsidRPr="009012DE" w:rsidRDefault="005F56AA" w:rsidP="00906867">
            <w:pPr>
              <w:widowControl/>
              <w:rPr>
                <w:rFonts w:ascii="Arial Narrow" w:hAnsi="Arial Narrow"/>
                <w:i/>
                <w:sz w:val="20"/>
              </w:rPr>
            </w:pPr>
            <w:r w:rsidRPr="009012DE">
              <w:rPr>
                <w:rFonts w:ascii="Arial Narrow" w:hAnsi="Arial Narrow"/>
                <w:sz w:val="20"/>
              </w:rPr>
              <w:t>1.03</w:t>
            </w:r>
            <w:r w:rsidRPr="009012DE">
              <w:rPr>
                <w:rFonts w:ascii="Arial Narrow" w:hAnsi="Arial Narrow"/>
                <w:sz w:val="20"/>
                <w:vertAlign w:val="superscript"/>
              </w:rPr>
              <w:t>a</w:t>
            </w:r>
            <w:r w:rsidRPr="009012DE">
              <w:rPr>
                <w:rFonts w:ascii="Arial Narrow" w:hAnsi="Arial Narrow"/>
                <w:sz w:val="20"/>
              </w:rPr>
              <w:t xml:space="preserve"> </w:t>
            </w:r>
          </w:p>
        </w:tc>
      </w:tr>
      <w:tr w:rsidR="005F56AA" w:rsidRPr="009012DE" w:rsidTr="00906867">
        <w:trPr>
          <w:trHeight w:val="50"/>
        </w:trPr>
        <w:tc>
          <w:tcPr>
            <w:tcW w:w="3402" w:type="dxa"/>
            <w:shd w:val="clear" w:color="auto" w:fill="auto"/>
            <w:noWrap/>
          </w:tcPr>
          <w:p w:rsidR="005F56AA" w:rsidRPr="009012DE" w:rsidRDefault="005F56AA" w:rsidP="00906867">
            <w:pPr>
              <w:widowControl/>
              <w:rPr>
                <w:rFonts w:ascii="Arial Narrow" w:hAnsi="Arial Narrow"/>
                <w:i/>
                <w:sz w:val="20"/>
              </w:rPr>
            </w:pPr>
            <w:r w:rsidRPr="009012DE">
              <w:rPr>
                <w:rFonts w:ascii="Arial Narrow" w:hAnsi="Arial Narrow"/>
                <w:sz w:val="20"/>
              </w:rPr>
              <w:t xml:space="preserve">Mean length of pre/post-period in </w:t>
            </w:r>
            <w:proofErr w:type="spellStart"/>
            <w:r w:rsidRPr="009012DE">
              <w:rPr>
                <w:rFonts w:ascii="Arial Narrow" w:hAnsi="Arial Narrow"/>
                <w:sz w:val="20"/>
              </w:rPr>
              <w:t>yrs</w:t>
            </w:r>
            <w:proofErr w:type="spellEnd"/>
            <w:r w:rsidRPr="009012DE">
              <w:rPr>
                <w:rFonts w:ascii="Arial Narrow" w:hAnsi="Arial Narrow"/>
                <w:i/>
                <w:sz w:val="20"/>
              </w:rPr>
              <w:t xml:space="preserve"> ± SD</w:t>
            </w:r>
          </w:p>
        </w:tc>
        <w:tc>
          <w:tcPr>
            <w:tcW w:w="1645" w:type="dxa"/>
            <w:tcBorders>
              <w:right w:val="double" w:sz="4" w:space="0" w:color="auto"/>
            </w:tcBorders>
            <w:shd w:val="clear" w:color="auto" w:fill="auto"/>
            <w:noWrap/>
            <w:vAlign w:val="center"/>
          </w:tcPr>
          <w:p w:rsidR="005F56AA" w:rsidRPr="009012DE" w:rsidRDefault="005F56AA" w:rsidP="00906867">
            <w:pPr>
              <w:widowControl/>
              <w:rPr>
                <w:rFonts w:ascii="Arial Narrow" w:hAnsi="Arial Narrow"/>
                <w:i/>
                <w:sz w:val="20"/>
              </w:rPr>
            </w:pPr>
            <w:r w:rsidRPr="009012DE">
              <w:rPr>
                <w:rFonts w:ascii="Arial Narrow" w:hAnsi="Arial Narrow"/>
                <w:sz w:val="20"/>
              </w:rPr>
              <w:t>3.20</w:t>
            </w:r>
            <w:r w:rsidRPr="009012DE">
              <w:rPr>
                <w:rFonts w:ascii="Arial Narrow" w:hAnsi="Arial Narrow"/>
                <w:sz w:val="20"/>
                <w:vertAlign w:val="superscript"/>
              </w:rPr>
              <w:t>a</w:t>
            </w:r>
            <w:r w:rsidRPr="009012DE">
              <w:rPr>
                <w:rFonts w:ascii="Arial Narrow" w:hAnsi="Arial Narrow"/>
                <w:sz w:val="20"/>
              </w:rPr>
              <w:t xml:space="preserve"> </w:t>
            </w:r>
            <w:r w:rsidRPr="009012DE">
              <w:rPr>
                <w:rFonts w:ascii="Arial Narrow" w:hAnsi="Arial Narrow"/>
                <w:i/>
                <w:sz w:val="20"/>
              </w:rPr>
              <w:t>± 2.35</w:t>
            </w:r>
          </w:p>
        </w:tc>
        <w:tc>
          <w:tcPr>
            <w:tcW w:w="3303" w:type="dxa"/>
            <w:gridSpan w:val="3"/>
            <w:tcBorders>
              <w:left w:val="double" w:sz="4" w:space="0" w:color="auto"/>
            </w:tcBorders>
            <w:shd w:val="clear" w:color="auto" w:fill="auto"/>
            <w:vAlign w:val="center"/>
          </w:tcPr>
          <w:p w:rsidR="005F56AA" w:rsidRPr="009012DE" w:rsidRDefault="005F56AA" w:rsidP="00906867">
            <w:pPr>
              <w:widowControl/>
              <w:rPr>
                <w:rFonts w:ascii="Arial Narrow" w:hAnsi="Arial Narrow"/>
                <w:i/>
                <w:sz w:val="20"/>
              </w:rPr>
            </w:pPr>
            <w:r w:rsidRPr="009012DE">
              <w:rPr>
                <w:rFonts w:ascii="Arial Narrow" w:hAnsi="Arial Narrow"/>
                <w:sz w:val="20"/>
              </w:rPr>
              <w:t>1.51</w:t>
            </w:r>
            <w:r w:rsidRPr="009012DE">
              <w:rPr>
                <w:rFonts w:ascii="Arial Narrow" w:hAnsi="Arial Narrow"/>
                <w:i/>
                <w:sz w:val="20"/>
              </w:rPr>
              <w:t xml:space="preserve"> ± 1.13</w:t>
            </w:r>
          </w:p>
        </w:tc>
      </w:tr>
      <w:tr w:rsidR="005F56AA" w:rsidRPr="009012DE" w:rsidTr="00906867">
        <w:trPr>
          <w:trHeight w:val="50"/>
        </w:trPr>
        <w:tc>
          <w:tcPr>
            <w:tcW w:w="3402" w:type="dxa"/>
            <w:shd w:val="clear" w:color="auto" w:fill="auto"/>
            <w:noWrap/>
          </w:tcPr>
          <w:p w:rsidR="005F56AA" w:rsidRPr="009012DE" w:rsidRDefault="005F56AA" w:rsidP="00906867">
            <w:pPr>
              <w:widowControl/>
              <w:rPr>
                <w:rFonts w:ascii="Arial Narrow" w:hAnsi="Arial Narrow"/>
                <w:i/>
                <w:sz w:val="20"/>
              </w:rPr>
            </w:pPr>
            <w:r w:rsidRPr="009012DE">
              <w:rPr>
                <w:rFonts w:ascii="Arial Narrow" w:hAnsi="Arial Narrow"/>
                <w:i/>
                <w:sz w:val="20"/>
              </w:rPr>
              <w:t xml:space="preserve">Median length of pre/post-period in </w:t>
            </w:r>
            <w:proofErr w:type="spellStart"/>
            <w:r w:rsidRPr="009012DE">
              <w:rPr>
                <w:rFonts w:ascii="Arial Narrow" w:hAnsi="Arial Narrow"/>
                <w:i/>
                <w:sz w:val="20"/>
              </w:rPr>
              <w:t>yrs</w:t>
            </w:r>
            <w:proofErr w:type="spellEnd"/>
            <w:r w:rsidRPr="009012DE">
              <w:rPr>
                <w:rFonts w:ascii="Arial Narrow" w:hAnsi="Arial Narrow"/>
                <w:i/>
                <w:sz w:val="20"/>
              </w:rPr>
              <w:t xml:space="preserve"> (quartiles)</w:t>
            </w:r>
          </w:p>
        </w:tc>
        <w:tc>
          <w:tcPr>
            <w:tcW w:w="1645" w:type="dxa"/>
            <w:tcBorders>
              <w:right w:val="double" w:sz="4" w:space="0" w:color="auto"/>
            </w:tcBorders>
            <w:shd w:val="clear" w:color="auto" w:fill="auto"/>
            <w:noWrap/>
            <w:vAlign w:val="center"/>
          </w:tcPr>
          <w:p w:rsidR="005F56AA" w:rsidRPr="009012DE" w:rsidRDefault="005F56AA" w:rsidP="00906867">
            <w:pPr>
              <w:widowControl/>
              <w:rPr>
                <w:rFonts w:ascii="Arial Narrow" w:hAnsi="Arial Narrow"/>
                <w:i/>
                <w:sz w:val="20"/>
              </w:rPr>
            </w:pPr>
            <w:r w:rsidRPr="009012DE">
              <w:rPr>
                <w:rFonts w:ascii="Arial Narrow" w:hAnsi="Arial Narrow"/>
                <w:i/>
                <w:sz w:val="20"/>
              </w:rPr>
              <w:t>2.49 (0.97, 5.14)</w:t>
            </w:r>
          </w:p>
        </w:tc>
        <w:tc>
          <w:tcPr>
            <w:tcW w:w="3303" w:type="dxa"/>
            <w:gridSpan w:val="3"/>
            <w:tcBorders>
              <w:left w:val="double" w:sz="4" w:space="0" w:color="auto"/>
            </w:tcBorders>
            <w:shd w:val="clear" w:color="auto" w:fill="auto"/>
            <w:vAlign w:val="center"/>
          </w:tcPr>
          <w:p w:rsidR="005F56AA" w:rsidRPr="009012DE" w:rsidRDefault="005F56AA" w:rsidP="00906867">
            <w:pPr>
              <w:widowControl/>
              <w:rPr>
                <w:rFonts w:ascii="Arial Narrow" w:hAnsi="Arial Narrow"/>
                <w:i/>
                <w:sz w:val="20"/>
              </w:rPr>
            </w:pPr>
            <w:r w:rsidRPr="009012DE">
              <w:rPr>
                <w:rFonts w:ascii="Arial Narrow" w:hAnsi="Arial Narrow"/>
                <w:i/>
                <w:sz w:val="20"/>
              </w:rPr>
              <w:t>1.19 (0.71, 1.96)</w:t>
            </w:r>
          </w:p>
        </w:tc>
      </w:tr>
      <w:tr w:rsidR="005F56AA" w:rsidRPr="009012DE" w:rsidTr="00906867">
        <w:trPr>
          <w:gridAfter w:val="1"/>
          <w:wAfter w:w="13" w:type="dxa"/>
          <w:trHeight w:val="163"/>
        </w:trPr>
        <w:tc>
          <w:tcPr>
            <w:tcW w:w="3402" w:type="dxa"/>
            <w:shd w:val="clear" w:color="auto" w:fill="auto"/>
            <w:noWrap/>
          </w:tcPr>
          <w:p w:rsidR="005F56AA" w:rsidRPr="009012DE" w:rsidRDefault="005F56AA" w:rsidP="00906867">
            <w:pPr>
              <w:widowControl/>
              <w:rPr>
                <w:rFonts w:ascii="Arial Narrow" w:hAnsi="Arial Narrow"/>
                <w:i/>
                <w:sz w:val="20"/>
              </w:rPr>
            </w:pPr>
            <w:r w:rsidRPr="009012DE">
              <w:rPr>
                <w:rFonts w:ascii="Arial Narrow" w:hAnsi="Arial Narrow"/>
                <w:b/>
                <w:sz w:val="20"/>
              </w:rPr>
              <w:t>MPR</w:t>
            </w:r>
          </w:p>
        </w:tc>
        <w:tc>
          <w:tcPr>
            <w:tcW w:w="1645" w:type="dxa"/>
            <w:tcBorders>
              <w:right w:val="double" w:sz="4" w:space="0" w:color="auto"/>
            </w:tcBorders>
            <w:shd w:val="clear" w:color="auto" w:fill="auto"/>
            <w:noWrap/>
            <w:vAlign w:val="center"/>
          </w:tcPr>
          <w:p w:rsidR="005F56AA" w:rsidRPr="009012DE" w:rsidRDefault="005F56AA" w:rsidP="00906867">
            <w:pPr>
              <w:widowControl/>
              <w:rPr>
                <w:rFonts w:ascii="Arial Narrow" w:hAnsi="Arial Narrow"/>
                <w:i/>
                <w:sz w:val="20"/>
              </w:rPr>
            </w:pPr>
          </w:p>
        </w:tc>
        <w:tc>
          <w:tcPr>
            <w:tcW w:w="1645" w:type="dxa"/>
            <w:tcBorders>
              <w:left w:val="double" w:sz="4" w:space="0" w:color="auto"/>
            </w:tcBorders>
            <w:shd w:val="clear" w:color="auto" w:fill="auto"/>
            <w:vAlign w:val="center"/>
          </w:tcPr>
          <w:p w:rsidR="005F56AA" w:rsidRPr="009012DE" w:rsidRDefault="005F56AA" w:rsidP="00906867">
            <w:pPr>
              <w:widowControl/>
              <w:rPr>
                <w:rFonts w:ascii="Arial Narrow" w:hAnsi="Arial Narrow"/>
                <w:i/>
                <w:sz w:val="20"/>
              </w:rPr>
            </w:pPr>
          </w:p>
        </w:tc>
        <w:tc>
          <w:tcPr>
            <w:tcW w:w="1645" w:type="dxa"/>
            <w:vAlign w:val="center"/>
          </w:tcPr>
          <w:p w:rsidR="005F56AA" w:rsidRPr="009012DE" w:rsidRDefault="005F56AA" w:rsidP="00906867">
            <w:pPr>
              <w:widowControl/>
              <w:rPr>
                <w:rFonts w:ascii="Arial Narrow" w:hAnsi="Arial Narrow"/>
                <w:i/>
                <w:sz w:val="20"/>
              </w:rPr>
            </w:pPr>
          </w:p>
        </w:tc>
      </w:tr>
      <w:tr w:rsidR="005F56AA" w:rsidRPr="009012DE" w:rsidTr="00906867">
        <w:trPr>
          <w:gridAfter w:val="1"/>
          <w:wAfter w:w="13" w:type="dxa"/>
          <w:trHeight w:val="163"/>
        </w:trPr>
        <w:tc>
          <w:tcPr>
            <w:tcW w:w="3402" w:type="dxa"/>
            <w:shd w:val="clear" w:color="auto" w:fill="auto"/>
            <w:noWrap/>
            <w:hideMark/>
          </w:tcPr>
          <w:p w:rsidR="005F56AA" w:rsidRPr="009012DE" w:rsidRDefault="005F56AA" w:rsidP="00906867">
            <w:pPr>
              <w:widowControl/>
              <w:rPr>
                <w:rFonts w:ascii="Arial Narrow" w:hAnsi="Arial Narrow"/>
                <w:i/>
                <w:sz w:val="20"/>
              </w:rPr>
            </w:pPr>
            <w:r w:rsidRPr="009012DE">
              <w:rPr>
                <w:rFonts w:ascii="Arial Narrow" w:hAnsi="Arial Narrow"/>
                <w:sz w:val="20"/>
              </w:rPr>
              <w:t>Mean ± SD</w:t>
            </w:r>
          </w:p>
        </w:tc>
        <w:tc>
          <w:tcPr>
            <w:tcW w:w="1645" w:type="dxa"/>
            <w:tcBorders>
              <w:right w:val="double" w:sz="4" w:space="0" w:color="auto"/>
            </w:tcBorders>
            <w:shd w:val="clear" w:color="auto" w:fill="auto"/>
            <w:noWrap/>
            <w:vAlign w:val="center"/>
          </w:tcPr>
          <w:p w:rsidR="005F56AA" w:rsidRPr="009012DE" w:rsidRDefault="005F56AA" w:rsidP="00906867">
            <w:pPr>
              <w:widowControl/>
              <w:rPr>
                <w:rFonts w:ascii="Arial Narrow" w:hAnsi="Arial Narrow"/>
                <w:i/>
                <w:sz w:val="20"/>
              </w:rPr>
            </w:pPr>
            <w:r w:rsidRPr="009012DE">
              <w:rPr>
                <w:rFonts w:ascii="Arial Narrow" w:hAnsi="Arial Narrow"/>
                <w:sz w:val="20"/>
              </w:rPr>
              <w:t xml:space="preserve">81% </w:t>
            </w:r>
            <w:r w:rsidRPr="009012DE">
              <w:rPr>
                <w:rFonts w:ascii="Arial Narrow" w:hAnsi="Arial Narrow"/>
                <w:i/>
                <w:sz w:val="20"/>
              </w:rPr>
              <w:t xml:space="preserve">± </w:t>
            </w:r>
            <w:r w:rsidRPr="009012DE">
              <w:rPr>
                <w:rFonts w:ascii="Arial Narrow" w:hAnsi="Arial Narrow"/>
                <w:sz w:val="20"/>
              </w:rPr>
              <w:t>15.91%</w:t>
            </w:r>
          </w:p>
        </w:tc>
        <w:tc>
          <w:tcPr>
            <w:tcW w:w="1645" w:type="dxa"/>
            <w:tcBorders>
              <w:left w:val="double" w:sz="4" w:space="0" w:color="auto"/>
            </w:tcBorders>
            <w:shd w:val="clear" w:color="auto" w:fill="auto"/>
            <w:vAlign w:val="center"/>
          </w:tcPr>
          <w:p w:rsidR="005F56AA" w:rsidRPr="009012DE" w:rsidRDefault="005F56AA" w:rsidP="00906867">
            <w:pPr>
              <w:widowControl/>
              <w:rPr>
                <w:rFonts w:ascii="Arial Narrow" w:hAnsi="Arial Narrow"/>
                <w:i/>
                <w:sz w:val="20"/>
              </w:rPr>
            </w:pPr>
            <w:r w:rsidRPr="009012DE">
              <w:rPr>
                <w:rFonts w:ascii="Arial Narrow" w:hAnsi="Arial Narrow"/>
                <w:sz w:val="20"/>
              </w:rPr>
              <w:t>67% ± 12.84%</w:t>
            </w:r>
          </w:p>
        </w:tc>
        <w:tc>
          <w:tcPr>
            <w:tcW w:w="1645" w:type="dxa"/>
            <w:vAlign w:val="center"/>
          </w:tcPr>
          <w:p w:rsidR="005F56AA" w:rsidRPr="009012DE" w:rsidRDefault="005F56AA" w:rsidP="00906867">
            <w:pPr>
              <w:widowControl/>
              <w:rPr>
                <w:rFonts w:ascii="Arial Narrow" w:hAnsi="Arial Narrow"/>
                <w:i/>
                <w:sz w:val="20"/>
              </w:rPr>
            </w:pPr>
            <w:r w:rsidRPr="009012DE">
              <w:rPr>
                <w:rFonts w:ascii="Arial Narrow" w:hAnsi="Arial Narrow"/>
                <w:sz w:val="20"/>
              </w:rPr>
              <w:t>75% ± 18.22%</w:t>
            </w:r>
          </w:p>
        </w:tc>
      </w:tr>
      <w:tr w:rsidR="005F56AA" w:rsidRPr="009012DE" w:rsidTr="00906867">
        <w:trPr>
          <w:gridAfter w:val="1"/>
          <w:wAfter w:w="13" w:type="dxa"/>
          <w:trHeight w:val="64"/>
        </w:trPr>
        <w:tc>
          <w:tcPr>
            <w:tcW w:w="3402" w:type="dxa"/>
            <w:shd w:val="clear" w:color="auto" w:fill="auto"/>
            <w:noWrap/>
            <w:vAlign w:val="center"/>
          </w:tcPr>
          <w:p w:rsidR="005F56AA" w:rsidRPr="009012DE" w:rsidRDefault="005F56AA" w:rsidP="00906867">
            <w:pPr>
              <w:widowControl/>
              <w:rPr>
                <w:rFonts w:ascii="Arial Narrow" w:hAnsi="Arial Narrow"/>
                <w:i/>
                <w:sz w:val="20"/>
              </w:rPr>
            </w:pPr>
            <w:r w:rsidRPr="009012DE">
              <w:rPr>
                <w:rFonts w:ascii="Arial Narrow" w:hAnsi="Arial Narrow"/>
                <w:sz w:val="20"/>
              </w:rPr>
              <w:t>Median (quartiles)</w:t>
            </w:r>
          </w:p>
        </w:tc>
        <w:tc>
          <w:tcPr>
            <w:tcW w:w="1645" w:type="dxa"/>
            <w:tcBorders>
              <w:right w:val="double" w:sz="4" w:space="0" w:color="auto"/>
            </w:tcBorders>
            <w:shd w:val="clear" w:color="auto" w:fill="auto"/>
            <w:noWrap/>
            <w:vAlign w:val="center"/>
          </w:tcPr>
          <w:p w:rsidR="005F56AA" w:rsidRPr="009012DE" w:rsidRDefault="005F56AA" w:rsidP="00906867">
            <w:pPr>
              <w:widowControl/>
              <w:rPr>
                <w:rFonts w:ascii="Arial Narrow" w:hAnsi="Arial Narrow"/>
                <w:sz w:val="20"/>
              </w:rPr>
            </w:pPr>
            <w:r w:rsidRPr="009012DE">
              <w:rPr>
                <w:rFonts w:ascii="Arial Narrow" w:hAnsi="Arial Narrow"/>
                <w:sz w:val="20"/>
              </w:rPr>
              <w:t xml:space="preserve">84.30% </w:t>
            </w:r>
          </w:p>
          <w:p w:rsidR="005F56AA" w:rsidRPr="009012DE" w:rsidRDefault="005F56AA" w:rsidP="00906867">
            <w:pPr>
              <w:widowControl/>
              <w:rPr>
                <w:rFonts w:ascii="Arial Narrow" w:hAnsi="Arial Narrow"/>
                <w:i/>
                <w:sz w:val="20"/>
              </w:rPr>
            </w:pPr>
            <w:r w:rsidRPr="009012DE">
              <w:rPr>
                <w:rFonts w:ascii="Arial Narrow" w:hAnsi="Arial Narrow"/>
                <w:i/>
                <w:sz w:val="20"/>
              </w:rPr>
              <w:t xml:space="preserve"> (69.74%, 94.04%)</w:t>
            </w:r>
          </w:p>
        </w:tc>
        <w:tc>
          <w:tcPr>
            <w:tcW w:w="1645" w:type="dxa"/>
            <w:tcBorders>
              <w:left w:val="double" w:sz="4" w:space="0" w:color="auto"/>
            </w:tcBorders>
            <w:shd w:val="clear" w:color="auto" w:fill="auto"/>
            <w:vAlign w:val="center"/>
          </w:tcPr>
          <w:p w:rsidR="005F56AA" w:rsidRPr="009012DE" w:rsidRDefault="005F56AA" w:rsidP="00906867">
            <w:pPr>
              <w:widowControl/>
              <w:rPr>
                <w:rFonts w:ascii="Arial Narrow" w:hAnsi="Arial Narrow"/>
                <w:sz w:val="20"/>
              </w:rPr>
            </w:pPr>
            <w:r w:rsidRPr="009012DE">
              <w:rPr>
                <w:rFonts w:ascii="Arial Narrow" w:hAnsi="Arial Narrow"/>
                <w:sz w:val="20"/>
              </w:rPr>
              <w:t>71.66%</w:t>
            </w:r>
          </w:p>
          <w:p w:rsidR="005F56AA" w:rsidRPr="009012DE" w:rsidRDefault="005F56AA" w:rsidP="00906867">
            <w:pPr>
              <w:widowControl/>
              <w:rPr>
                <w:rFonts w:ascii="Arial Narrow" w:hAnsi="Arial Narrow"/>
                <w:i/>
                <w:sz w:val="20"/>
              </w:rPr>
            </w:pPr>
            <w:r w:rsidRPr="009012DE">
              <w:rPr>
                <w:rFonts w:ascii="Arial Narrow" w:hAnsi="Arial Narrow"/>
                <w:i/>
                <w:sz w:val="20"/>
              </w:rPr>
              <w:t xml:space="preserve"> (58.95%, 77.41%)</w:t>
            </w:r>
          </w:p>
        </w:tc>
        <w:tc>
          <w:tcPr>
            <w:tcW w:w="1645" w:type="dxa"/>
            <w:vAlign w:val="center"/>
          </w:tcPr>
          <w:p w:rsidR="005F56AA" w:rsidRPr="009012DE" w:rsidRDefault="005F56AA" w:rsidP="00906867">
            <w:pPr>
              <w:widowControl/>
              <w:rPr>
                <w:rFonts w:ascii="Arial Narrow" w:hAnsi="Arial Narrow"/>
                <w:sz w:val="20"/>
              </w:rPr>
            </w:pPr>
            <w:r w:rsidRPr="009012DE">
              <w:rPr>
                <w:rFonts w:ascii="Arial Narrow" w:hAnsi="Arial Narrow"/>
                <w:sz w:val="20"/>
              </w:rPr>
              <w:t>75.91%</w:t>
            </w:r>
          </w:p>
          <w:p w:rsidR="005F56AA" w:rsidRPr="009012DE" w:rsidRDefault="005F56AA" w:rsidP="00906867">
            <w:pPr>
              <w:widowControl/>
              <w:rPr>
                <w:rFonts w:ascii="Arial Narrow" w:hAnsi="Arial Narrow"/>
                <w:i/>
                <w:sz w:val="20"/>
              </w:rPr>
            </w:pPr>
            <w:r w:rsidRPr="009012DE">
              <w:rPr>
                <w:rFonts w:ascii="Arial Narrow" w:hAnsi="Arial Narrow"/>
                <w:i/>
                <w:sz w:val="20"/>
              </w:rPr>
              <w:t xml:space="preserve"> (63.29%, 89.40%)</w:t>
            </w:r>
          </w:p>
        </w:tc>
      </w:tr>
      <w:tr w:rsidR="005F56AA" w:rsidRPr="009012DE" w:rsidTr="00906867">
        <w:trPr>
          <w:gridAfter w:val="1"/>
          <w:wAfter w:w="13" w:type="dxa"/>
          <w:trHeight w:val="142"/>
        </w:trPr>
        <w:tc>
          <w:tcPr>
            <w:tcW w:w="3402" w:type="dxa"/>
            <w:shd w:val="clear" w:color="auto" w:fill="auto"/>
            <w:noWrap/>
          </w:tcPr>
          <w:p w:rsidR="005F56AA" w:rsidRPr="009012DE" w:rsidRDefault="005F56AA" w:rsidP="00906867">
            <w:pPr>
              <w:widowControl/>
              <w:rPr>
                <w:rFonts w:ascii="Arial Narrow" w:hAnsi="Arial Narrow"/>
                <w:i/>
                <w:sz w:val="20"/>
              </w:rPr>
            </w:pPr>
            <w:r w:rsidRPr="009012DE">
              <w:rPr>
                <w:rFonts w:ascii="Arial Narrow" w:hAnsi="Arial Narrow"/>
                <w:b/>
                <w:i/>
                <w:sz w:val="20"/>
              </w:rPr>
              <w:t>CMG</w:t>
            </w:r>
          </w:p>
        </w:tc>
        <w:tc>
          <w:tcPr>
            <w:tcW w:w="1645" w:type="dxa"/>
            <w:tcBorders>
              <w:right w:val="double" w:sz="4" w:space="0" w:color="auto"/>
            </w:tcBorders>
            <w:shd w:val="clear" w:color="auto" w:fill="auto"/>
            <w:noWrap/>
            <w:vAlign w:val="center"/>
          </w:tcPr>
          <w:p w:rsidR="005F56AA" w:rsidRPr="009012DE" w:rsidRDefault="005F56AA" w:rsidP="00906867">
            <w:pPr>
              <w:widowControl/>
              <w:rPr>
                <w:rFonts w:ascii="Arial Narrow" w:hAnsi="Arial Narrow"/>
                <w:i/>
                <w:sz w:val="20"/>
              </w:rPr>
            </w:pPr>
          </w:p>
        </w:tc>
        <w:tc>
          <w:tcPr>
            <w:tcW w:w="1645" w:type="dxa"/>
            <w:tcBorders>
              <w:left w:val="double" w:sz="4" w:space="0" w:color="auto"/>
            </w:tcBorders>
            <w:shd w:val="clear" w:color="auto" w:fill="auto"/>
            <w:vAlign w:val="center"/>
          </w:tcPr>
          <w:p w:rsidR="005F56AA" w:rsidRPr="009012DE" w:rsidRDefault="005F56AA" w:rsidP="00906867">
            <w:pPr>
              <w:widowControl/>
              <w:rPr>
                <w:rFonts w:ascii="Arial Narrow" w:hAnsi="Arial Narrow"/>
                <w:i/>
                <w:sz w:val="20"/>
              </w:rPr>
            </w:pPr>
          </w:p>
        </w:tc>
        <w:tc>
          <w:tcPr>
            <w:tcW w:w="1645" w:type="dxa"/>
            <w:vAlign w:val="center"/>
          </w:tcPr>
          <w:p w:rsidR="005F56AA" w:rsidRPr="009012DE" w:rsidRDefault="005F56AA" w:rsidP="00906867">
            <w:pPr>
              <w:widowControl/>
              <w:rPr>
                <w:rFonts w:ascii="Arial Narrow" w:hAnsi="Arial Narrow"/>
                <w:i/>
                <w:sz w:val="20"/>
              </w:rPr>
            </w:pPr>
          </w:p>
        </w:tc>
      </w:tr>
      <w:tr w:rsidR="005F56AA" w:rsidRPr="009012DE" w:rsidTr="00906867">
        <w:trPr>
          <w:gridAfter w:val="1"/>
          <w:wAfter w:w="13" w:type="dxa"/>
          <w:trHeight w:val="142"/>
        </w:trPr>
        <w:tc>
          <w:tcPr>
            <w:tcW w:w="3402" w:type="dxa"/>
            <w:shd w:val="clear" w:color="auto" w:fill="auto"/>
            <w:noWrap/>
          </w:tcPr>
          <w:p w:rsidR="005F56AA" w:rsidRPr="009012DE" w:rsidRDefault="005F56AA" w:rsidP="00906867">
            <w:pPr>
              <w:widowControl/>
              <w:rPr>
                <w:rFonts w:ascii="Arial Narrow" w:hAnsi="Arial Narrow"/>
                <w:i/>
                <w:sz w:val="20"/>
              </w:rPr>
            </w:pPr>
            <w:r w:rsidRPr="009012DE">
              <w:rPr>
                <w:rFonts w:ascii="Arial Narrow" w:hAnsi="Arial Narrow"/>
                <w:i/>
                <w:sz w:val="20"/>
              </w:rPr>
              <w:t>Mean ± SD</w:t>
            </w:r>
          </w:p>
        </w:tc>
        <w:tc>
          <w:tcPr>
            <w:tcW w:w="1645" w:type="dxa"/>
            <w:tcBorders>
              <w:right w:val="double" w:sz="4" w:space="0" w:color="auto"/>
            </w:tcBorders>
            <w:shd w:val="clear" w:color="auto" w:fill="auto"/>
            <w:noWrap/>
          </w:tcPr>
          <w:p w:rsidR="005F56AA" w:rsidRPr="009012DE" w:rsidRDefault="005F56AA" w:rsidP="00906867">
            <w:pPr>
              <w:widowControl/>
              <w:rPr>
                <w:rFonts w:ascii="Arial Narrow" w:hAnsi="Arial Narrow"/>
                <w:i/>
                <w:sz w:val="20"/>
              </w:rPr>
            </w:pPr>
            <w:r w:rsidRPr="009012DE">
              <w:rPr>
                <w:rFonts w:ascii="Arial Narrow" w:hAnsi="Arial Narrow"/>
                <w:i/>
                <w:sz w:val="20"/>
              </w:rPr>
              <w:t>75.82% ± 14.12%</w:t>
            </w:r>
          </w:p>
        </w:tc>
        <w:tc>
          <w:tcPr>
            <w:tcW w:w="1645" w:type="dxa"/>
            <w:tcBorders>
              <w:left w:val="double" w:sz="4" w:space="0" w:color="auto"/>
            </w:tcBorders>
            <w:shd w:val="clear" w:color="auto" w:fill="auto"/>
            <w:vAlign w:val="center"/>
          </w:tcPr>
          <w:p w:rsidR="005F56AA" w:rsidRPr="009012DE" w:rsidRDefault="005F56AA" w:rsidP="00906867">
            <w:pPr>
              <w:widowControl/>
              <w:rPr>
                <w:rFonts w:ascii="Arial Narrow" w:hAnsi="Arial Narrow"/>
                <w:i/>
                <w:sz w:val="20"/>
              </w:rPr>
            </w:pPr>
            <w:r w:rsidRPr="009012DE">
              <w:rPr>
                <w:rFonts w:ascii="Arial Narrow" w:hAnsi="Arial Narrow"/>
                <w:i/>
                <w:sz w:val="20"/>
              </w:rPr>
              <w:t>64.60% ± 14.34%</w:t>
            </w:r>
          </w:p>
        </w:tc>
        <w:tc>
          <w:tcPr>
            <w:tcW w:w="1645" w:type="dxa"/>
            <w:vAlign w:val="center"/>
          </w:tcPr>
          <w:p w:rsidR="005F56AA" w:rsidRPr="009012DE" w:rsidRDefault="005F56AA" w:rsidP="00906867">
            <w:pPr>
              <w:widowControl/>
              <w:rPr>
                <w:rFonts w:ascii="Arial Narrow" w:hAnsi="Arial Narrow"/>
                <w:i/>
                <w:sz w:val="20"/>
              </w:rPr>
            </w:pPr>
            <w:r w:rsidRPr="009012DE">
              <w:rPr>
                <w:rFonts w:ascii="Arial Narrow" w:hAnsi="Arial Narrow"/>
                <w:i/>
                <w:sz w:val="20"/>
              </w:rPr>
              <w:t>71.57% ± 15.88%</w:t>
            </w:r>
          </w:p>
        </w:tc>
      </w:tr>
      <w:tr w:rsidR="005F56AA" w:rsidRPr="009012DE" w:rsidTr="00906867">
        <w:trPr>
          <w:gridAfter w:val="1"/>
          <w:wAfter w:w="13" w:type="dxa"/>
          <w:trHeight w:val="142"/>
        </w:trPr>
        <w:tc>
          <w:tcPr>
            <w:tcW w:w="3402" w:type="dxa"/>
            <w:shd w:val="clear" w:color="auto" w:fill="auto"/>
            <w:noWrap/>
            <w:vAlign w:val="center"/>
          </w:tcPr>
          <w:p w:rsidR="005F56AA" w:rsidRPr="009012DE" w:rsidRDefault="005F56AA" w:rsidP="00906867">
            <w:pPr>
              <w:widowControl/>
              <w:rPr>
                <w:rFonts w:ascii="Arial Narrow" w:hAnsi="Arial Narrow"/>
                <w:i/>
                <w:sz w:val="20"/>
              </w:rPr>
            </w:pPr>
            <w:r w:rsidRPr="009012DE">
              <w:rPr>
                <w:rFonts w:ascii="Arial Narrow" w:hAnsi="Arial Narrow"/>
                <w:i/>
                <w:sz w:val="20"/>
              </w:rPr>
              <w:t>Median (quartiles)</w:t>
            </w:r>
          </w:p>
        </w:tc>
        <w:tc>
          <w:tcPr>
            <w:tcW w:w="1645" w:type="dxa"/>
            <w:tcBorders>
              <w:right w:val="double" w:sz="4" w:space="0" w:color="auto"/>
            </w:tcBorders>
            <w:shd w:val="clear" w:color="auto" w:fill="auto"/>
            <w:noWrap/>
          </w:tcPr>
          <w:p w:rsidR="005F56AA" w:rsidRPr="009012DE" w:rsidRDefault="005F56AA" w:rsidP="00906867">
            <w:pPr>
              <w:widowControl/>
              <w:rPr>
                <w:rFonts w:ascii="Arial Narrow" w:hAnsi="Arial Narrow"/>
                <w:i/>
                <w:sz w:val="20"/>
              </w:rPr>
            </w:pPr>
            <w:r w:rsidRPr="009012DE">
              <w:rPr>
                <w:rFonts w:ascii="Arial Narrow" w:hAnsi="Arial Narrow"/>
                <w:i/>
                <w:sz w:val="20"/>
              </w:rPr>
              <w:t>78.90%</w:t>
            </w:r>
          </w:p>
          <w:p w:rsidR="005F56AA" w:rsidRPr="009012DE" w:rsidRDefault="005F56AA" w:rsidP="00906867">
            <w:pPr>
              <w:widowControl/>
              <w:rPr>
                <w:rFonts w:ascii="Arial Narrow" w:hAnsi="Arial Narrow"/>
                <w:i/>
                <w:sz w:val="20"/>
              </w:rPr>
            </w:pPr>
            <w:r w:rsidRPr="009012DE">
              <w:rPr>
                <w:rFonts w:ascii="Arial Narrow" w:hAnsi="Arial Narrow"/>
                <w:i/>
                <w:sz w:val="20"/>
              </w:rPr>
              <w:t>(67.32%, 86.48%)</w:t>
            </w:r>
          </w:p>
        </w:tc>
        <w:tc>
          <w:tcPr>
            <w:tcW w:w="1645" w:type="dxa"/>
            <w:tcBorders>
              <w:left w:val="double" w:sz="4" w:space="0" w:color="auto"/>
            </w:tcBorders>
            <w:shd w:val="clear" w:color="auto" w:fill="auto"/>
            <w:vAlign w:val="center"/>
          </w:tcPr>
          <w:p w:rsidR="005F56AA" w:rsidRPr="009012DE" w:rsidRDefault="005F56AA" w:rsidP="00906867">
            <w:pPr>
              <w:widowControl/>
              <w:rPr>
                <w:rFonts w:ascii="Arial Narrow" w:hAnsi="Arial Narrow"/>
                <w:i/>
                <w:sz w:val="20"/>
              </w:rPr>
            </w:pPr>
            <w:r w:rsidRPr="009012DE">
              <w:rPr>
                <w:rFonts w:ascii="Arial Narrow" w:hAnsi="Arial Narrow"/>
                <w:i/>
                <w:sz w:val="20"/>
              </w:rPr>
              <w:t>68.44%</w:t>
            </w:r>
          </w:p>
          <w:p w:rsidR="005F56AA" w:rsidRPr="009012DE" w:rsidRDefault="005F56AA" w:rsidP="00906867">
            <w:pPr>
              <w:widowControl/>
              <w:rPr>
                <w:rFonts w:ascii="Arial Narrow" w:hAnsi="Arial Narrow"/>
                <w:i/>
                <w:sz w:val="20"/>
              </w:rPr>
            </w:pPr>
            <w:r w:rsidRPr="009012DE">
              <w:rPr>
                <w:rFonts w:ascii="Arial Narrow" w:hAnsi="Arial Narrow"/>
                <w:i/>
                <w:sz w:val="20"/>
              </w:rPr>
              <w:t>(56.56%, 74.21%)</w:t>
            </w:r>
          </w:p>
        </w:tc>
        <w:tc>
          <w:tcPr>
            <w:tcW w:w="1645" w:type="dxa"/>
            <w:vAlign w:val="center"/>
          </w:tcPr>
          <w:p w:rsidR="005F56AA" w:rsidRPr="009012DE" w:rsidRDefault="005F56AA" w:rsidP="00906867">
            <w:pPr>
              <w:widowControl/>
              <w:rPr>
                <w:rFonts w:ascii="Arial Narrow" w:hAnsi="Arial Narrow"/>
                <w:i/>
                <w:sz w:val="20"/>
              </w:rPr>
            </w:pPr>
            <w:r w:rsidRPr="009012DE">
              <w:rPr>
                <w:rFonts w:ascii="Arial Narrow" w:hAnsi="Arial Narrow"/>
                <w:i/>
                <w:sz w:val="20"/>
              </w:rPr>
              <w:t>74.05%</w:t>
            </w:r>
          </w:p>
          <w:p w:rsidR="005F56AA" w:rsidRPr="009012DE" w:rsidRDefault="005F56AA" w:rsidP="00906867">
            <w:pPr>
              <w:widowControl/>
              <w:rPr>
                <w:rFonts w:ascii="Arial Narrow" w:hAnsi="Arial Narrow"/>
                <w:i/>
                <w:sz w:val="20"/>
              </w:rPr>
            </w:pPr>
            <w:r w:rsidRPr="009012DE">
              <w:rPr>
                <w:rFonts w:ascii="Arial Narrow" w:hAnsi="Arial Narrow"/>
                <w:i/>
                <w:sz w:val="20"/>
              </w:rPr>
              <w:t>(62.59%, 84.00%)</w:t>
            </w:r>
          </w:p>
        </w:tc>
      </w:tr>
    </w:tbl>
    <w:p w:rsidR="005F56AA" w:rsidRPr="00827F59" w:rsidRDefault="005F56AA" w:rsidP="005F56AA">
      <w:pPr>
        <w:widowControl/>
        <w:ind w:firstLine="720"/>
        <w:rPr>
          <w:i/>
          <w:sz w:val="16"/>
          <w:szCs w:val="16"/>
          <w:u w:val="single"/>
        </w:rPr>
      </w:pPr>
      <w:r w:rsidRPr="00827F59">
        <w:rPr>
          <w:sz w:val="16"/>
          <w:szCs w:val="16"/>
        </w:rPr>
        <w:t xml:space="preserve">Source: Adapted from Table B.4-1 (p64) of the submission. </w:t>
      </w:r>
      <w:r w:rsidRPr="00827F59">
        <w:rPr>
          <w:i/>
          <w:sz w:val="16"/>
          <w:szCs w:val="16"/>
        </w:rPr>
        <w:t>Additional data calculated during the evaluation.</w:t>
      </w:r>
    </w:p>
    <w:p w:rsidR="005F56AA" w:rsidRPr="00827F59" w:rsidRDefault="005F56AA" w:rsidP="005F56AA">
      <w:pPr>
        <w:widowControl/>
        <w:ind w:left="720"/>
        <w:rPr>
          <w:sz w:val="16"/>
          <w:szCs w:val="16"/>
        </w:rPr>
      </w:pPr>
      <w:r w:rsidRPr="00827F59">
        <w:rPr>
          <w:sz w:val="16"/>
          <w:szCs w:val="16"/>
        </w:rPr>
        <w:t xml:space="preserve">Abbreviations: CMG, continuous measure of medication gap; MPR, medication possession ratio; SD, standard deviation; </w:t>
      </w:r>
      <w:proofErr w:type="spellStart"/>
      <w:r w:rsidRPr="00827F59">
        <w:rPr>
          <w:sz w:val="16"/>
          <w:szCs w:val="16"/>
        </w:rPr>
        <w:t>yrs</w:t>
      </w:r>
      <w:proofErr w:type="spellEnd"/>
      <w:r w:rsidRPr="00827F59">
        <w:rPr>
          <w:sz w:val="16"/>
          <w:szCs w:val="16"/>
        </w:rPr>
        <w:t>, years</w:t>
      </w:r>
    </w:p>
    <w:p w:rsidR="005F56AA" w:rsidRPr="00827F59" w:rsidRDefault="005F56AA" w:rsidP="005F56AA">
      <w:pPr>
        <w:widowControl/>
        <w:ind w:left="720"/>
        <w:rPr>
          <w:sz w:val="16"/>
          <w:szCs w:val="16"/>
        </w:rPr>
      </w:pPr>
      <w:proofErr w:type="spellStart"/>
      <w:proofErr w:type="gramStart"/>
      <w:r w:rsidRPr="00827F59">
        <w:rPr>
          <w:i/>
          <w:sz w:val="16"/>
          <w:szCs w:val="16"/>
          <w:vertAlign w:val="superscript"/>
        </w:rPr>
        <w:t>a</w:t>
      </w:r>
      <w:proofErr w:type="spellEnd"/>
      <w:proofErr w:type="gramEnd"/>
      <w:r w:rsidRPr="00827F59">
        <w:rPr>
          <w:i/>
          <w:sz w:val="16"/>
          <w:szCs w:val="16"/>
        </w:rPr>
        <w:t xml:space="preserve"> The duration of medication supplied and length of period were not defined. The length of period was calculated using the column for length of pre-period and post-period+30 days during the evaluation</w:t>
      </w:r>
    </w:p>
    <w:p w:rsidR="00AD2991" w:rsidRPr="00053E65" w:rsidRDefault="00AD2991" w:rsidP="00053E65">
      <w:pPr>
        <w:rPr>
          <w:szCs w:val="22"/>
        </w:rPr>
      </w:pPr>
    </w:p>
    <w:p w:rsidR="0035390B" w:rsidRPr="0035390B" w:rsidRDefault="0020608C" w:rsidP="0035390B">
      <w:pPr>
        <w:pStyle w:val="ListParagraph"/>
        <w:numPr>
          <w:ilvl w:val="1"/>
          <w:numId w:val="3"/>
        </w:numPr>
        <w:rPr>
          <w:szCs w:val="22"/>
        </w:rPr>
      </w:pPr>
      <w:r w:rsidRPr="0035390B">
        <w:rPr>
          <w:szCs w:val="22"/>
        </w:rPr>
        <w:t xml:space="preserve">The </w:t>
      </w:r>
      <w:r w:rsidR="005F16FD" w:rsidRPr="0035390B">
        <w:rPr>
          <w:szCs w:val="22"/>
        </w:rPr>
        <w:t xml:space="preserve">evaluation considered that </w:t>
      </w:r>
      <w:r w:rsidRPr="0035390B">
        <w:rPr>
          <w:szCs w:val="22"/>
        </w:rPr>
        <w:t>selection of patients who were sub-optimally compliant to the statin component was a likely driver of the apparent larger improvement in the MPR results to the statin component. The results of the CMG were numerically lower than the MPR results. No measures of uncertainty around the differences were presented.</w:t>
      </w:r>
    </w:p>
    <w:p w:rsidR="0035390B" w:rsidRPr="00053E65" w:rsidRDefault="0035390B" w:rsidP="0035390B">
      <w:pPr>
        <w:rPr>
          <w:szCs w:val="22"/>
        </w:rPr>
      </w:pPr>
    </w:p>
    <w:p w:rsidR="0035390B" w:rsidRPr="0035390B" w:rsidRDefault="0035390B" w:rsidP="0035390B">
      <w:pPr>
        <w:pStyle w:val="ListParagraph"/>
        <w:numPr>
          <w:ilvl w:val="1"/>
          <w:numId w:val="3"/>
        </w:numPr>
        <w:rPr>
          <w:szCs w:val="22"/>
        </w:rPr>
      </w:pPr>
      <w:r w:rsidRPr="0035390B">
        <w:rPr>
          <w:szCs w:val="22"/>
        </w:rPr>
        <w:t>Similarly, the evaluation considered that the selected cohort represent</w:t>
      </w:r>
      <w:r w:rsidR="00230E6B">
        <w:rPr>
          <w:szCs w:val="22"/>
        </w:rPr>
        <w:t>ed</w:t>
      </w:r>
      <w:r w:rsidRPr="0035390B">
        <w:rPr>
          <w:szCs w:val="22"/>
        </w:rPr>
        <w:t xml:space="preserve"> only a small </w:t>
      </w:r>
      <w:r w:rsidRPr="0035390B">
        <w:rPr>
          <w:szCs w:val="22"/>
        </w:rPr>
        <w:lastRenderedPageBreak/>
        <w:t xml:space="preserve">proportion of patients who qualify for PBS-subsidised </w:t>
      </w:r>
      <w:proofErr w:type="spellStart"/>
      <w:r w:rsidRPr="0035390B">
        <w:rPr>
          <w:szCs w:val="22"/>
        </w:rPr>
        <w:t>Vytorin</w:t>
      </w:r>
      <w:proofErr w:type="spellEnd"/>
      <w:r w:rsidRPr="0035390B">
        <w:rPr>
          <w:szCs w:val="22"/>
        </w:rPr>
        <w:t xml:space="preserve">, and also considered that it may not be applicable to the broader population of patients on </w:t>
      </w:r>
      <w:proofErr w:type="spellStart"/>
      <w:r w:rsidRPr="0035390B">
        <w:rPr>
          <w:szCs w:val="22"/>
        </w:rPr>
        <w:t>Vytorin</w:t>
      </w:r>
      <w:proofErr w:type="spellEnd"/>
      <w:r w:rsidRPr="0035390B">
        <w:rPr>
          <w:szCs w:val="22"/>
        </w:rPr>
        <w:t xml:space="preserve"> (e.g. those who initiate </w:t>
      </w:r>
      <w:proofErr w:type="spellStart"/>
      <w:r w:rsidRPr="0035390B">
        <w:rPr>
          <w:szCs w:val="22"/>
        </w:rPr>
        <w:t>Vytorin</w:t>
      </w:r>
      <w:proofErr w:type="spellEnd"/>
      <w:r w:rsidRPr="0035390B">
        <w:rPr>
          <w:szCs w:val="22"/>
        </w:rPr>
        <w:t xml:space="preserve"> following statin monotherapy). The evaluation further noted the results indicate that not all </w:t>
      </w:r>
      <w:proofErr w:type="spellStart"/>
      <w:r w:rsidRPr="0035390B">
        <w:rPr>
          <w:szCs w:val="22"/>
        </w:rPr>
        <w:t>Vytorin</w:t>
      </w:r>
      <w:proofErr w:type="spellEnd"/>
      <w:r w:rsidRPr="0035390B">
        <w:rPr>
          <w:szCs w:val="22"/>
        </w:rPr>
        <w:t xml:space="preserve"> patients in the selected cohort achieve the </w:t>
      </w:r>
      <w:r w:rsidR="00053E65">
        <w:rPr>
          <w:szCs w:val="22"/>
        </w:rPr>
        <w:t>nominate threshold of 80%.</w:t>
      </w:r>
    </w:p>
    <w:p w:rsidR="009012DE" w:rsidRPr="00053E65" w:rsidRDefault="009012DE" w:rsidP="009012DE">
      <w:pPr>
        <w:widowControl/>
        <w:rPr>
          <w:szCs w:val="22"/>
        </w:rPr>
      </w:pPr>
    </w:p>
    <w:p w:rsidR="009012DE" w:rsidRPr="00053E65" w:rsidRDefault="009012DE" w:rsidP="009012DE">
      <w:pPr>
        <w:pStyle w:val="ListParagraph"/>
        <w:widowControl/>
        <w:numPr>
          <w:ilvl w:val="1"/>
          <w:numId w:val="3"/>
        </w:numPr>
        <w:rPr>
          <w:szCs w:val="22"/>
        </w:rPr>
      </w:pPr>
      <w:r w:rsidRPr="00874B7C">
        <w:rPr>
          <w:szCs w:val="22"/>
        </w:rPr>
        <w:t>The submission claimed that 156 of the 304 patients (51%) demon</w:t>
      </w:r>
      <w:r w:rsidR="00053E65">
        <w:rPr>
          <w:szCs w:val="22"/>
        </w:rPr>
        <w:t>strated an improvement in MPR &gt;</w:t>
      </w:r>
      <w:r w:rsidRPr="00874B7C">
        <w:rPr>
          <w:szCs w:val="22"/>
        </w:rPr>
        <w:t xml:space="preserve">10% when switched to </w:t>
      </w:r>
      <w:proofErr w:type="spellStart"/>
      <w:r w:rsidRPr="00874B7C">
        <w:rPr>
          <w:szCs w:val="22"/>
        </w:rPr>
        <w:t>Vytorin</w:t>
      </w:r>
      <w:proofErr w:type="spellEnd"/>
      <w:r w:rsidRPr="00874B7C">
        <w:rPr>
          <w:szCs w:val="22"/>
        </w:rPr>
        <w:t>, regar</w:t>
      </w:r>
      <w:r w:rsidR="00053E65">
        <w:rPr>
          <w:szCs w:val="22"/>
        </w:rPr>
        <w:t>dless of their previous statin.</w:t>
      </w:r>
    </w:p>
    <w:p w:rsidR="009012DE" w:rsidRPr="00053E65" w:rsidRDefault="009012DE" w:rsidP="009012DE">
      <w:pPr>
        <w:rPr>
          <w:szCs w:val="22"/>
        </w:rPr>
      </w:pPr>
    </w:p>
    <w:p w:rsidR="009012DE" w:rsidRPr="00053E65" w:rsidRDefault="009012DE" w:rsidP="009012DE">
      <w:pPr>
        <w:pStyle w:val="ListParagraph"/>
        <w:numPr>
          <w:ilvl w:val="1"/>
          <w:numId w:val="3"/>
        </w:numPr>
        <w:rPr>
          <w:szCs w:val="22"/>
        </w:rPr>
      </w:pPr>
      <w:r>
        <w:rPr>
          <w:szCs w:val="22"/>
        </w:rPr>
        <w:t>DUSC considered that t</w:t>
      </w:r>
      <w:r w:rsidRPr="0073595A">
        <w:rPr>
          <w:szCs w:val="22"/>
        </w:rPr>
        <w:t>he clinical significance of</w:t>
      </w:r>
      <w:r>
        <w:rPr>
          <w:szCs w:val="22"/>
        </w:rPr>
        <w:t xml:space="preserve"> an improv</w:t>
      </w:r>
      <w:r w:rsidR="00053E65">
        <w:rPr>
          <w:szCs w:val="22"/>
        </w:rPr>
        <w:t>ement in MPR &gt;</w:t>
      </w:r>
      <w:r>
        <w:rPr>
          <w:szCs w:val="22"/>
        </w:rPr>
        <w:t>10% had</w:t>
      </w:r>
      <w:r w:rsidRPr="0073595A">
        <w:rPr>
          <w:szCs w:val="22"/>
        </w:rPr>
        <w:t xml:space="preserve"> not been established for </w:t>
      </w:r>
      <w:proofErr w:type="spellStart"/>
      <w:r w:rsidRPr="0073595A">
        <w:rPr>
          <w:szCs w:val="22"/>
        </w:rPr>
        <w:t>Vytorin</w:t>
      </w:r>
      <w:proofErr w:type="spellEnd"/>
      <w:r w:rsidRPr="0073595A">
        <w:rPr>
          <w:szCs w:val="22"/>
        </w:rPr>
        <w:t>.</w:t>
      </w:r>
      <w:r>
        <w:rPr>
          <w:szCs w:val="22"/>
        </w:rPr>
        <w:t xml:space="preserve"> </w:t>
      </w:r>
    </w:p>
    <w:p w:rsidR="009012DE" w:rsidRPr="00053E65" w:rsidRDefault="009012DE" w:rsidP="009012DE">
      <w:pPr>
        <w:rPr>
          <w:szCs w:val="22"/>
        </w:rPr>
      </w:pPr>
    </w:p>
    <w:p w:rsidR="0018007C" w:rsidRDefault="00F24C4B" w:rsidP="0018007C">
      <w:pPr>
        <w:pStyle w:val="ListParagraph"/>
        <w:widowControl/>
        <w:numPr>
          <w:ilvl w:val="1"/>
          <w:numId w:val="3"/>
        </w:numPr>
        <w:rPr>
          <w:szCs w:val="22"/>
        </w:rPr>
      </w:pPr>
      <w:r w:rsidRPr="00F24C4B">
        <w:rPr>
          <w:szCs w:val="22"/>
        </w:rPr>
        <w:t xml:space="preserve">DUSC noted that the number of people in the MPR analysis (N=304) is a small subset of </w:t>
      </w:r>
      <w:r w:rsidR="00444484">
        <w:rPr>
          <w:szCs w:val="22"/>
        </w:rPr>
        <w:t>C</w:t>
      </w:r>
      <w:r w:rsidRPr="00F24C4B">
        <w:rPr>
          <w:szCs w:val="22"/>
        </w:rPr>
        <w:t xml:space="preserve">ohort 1 (N ≈ 1,200) and a very small subset of all </w:t>
      </w:r>
      <w:proofErr w:type="spellStart"/>
      <w:r w:rsidRPr="00F24C4B">
        <w:rPr>
          <w:szCs w:val="22"/>
        </w:rPr>
        <w:t>Vytorin</w:t>
      </w:r>
      <w:proofErr w:type="spellEnd"/>
      <w:r w:rsidRPr="00F24C4B">
        <w:rPr>
          <w:szCs w:val="22"/>
        </w:rPr>
        <w:t xml:space="preserve"> patients identified in the persistence analysis data (N=14,806). </w:t>
      </w:r>
      <w:r w:rsidR="009012DE" w:rsidRPr="00F24C4B">
        <w:rPr>
          <w:szCs w:val="22"/>
        </w:rPr>
        <w:t xml:space="preserve">DUSC also noted that </w:t>
      </w:r>
      <w:r w:rsidRPr="00F24C4B">
        <w:rPr>
          <w:szCs w:val="22"/>
        </w:rPr>
        <w:t xml:space="preserve">the </w:t>
      </w:r>
      <w:r w:rsidR="009012DE" w:rsidRPr="00F24C4B">
        <w:rPr>
          <w:szCs w:val="22"/>
        </w:rPr>
        <w:t>156</w:t>
      </w:r>
      <w:r w:rsidR="00230E6B">
        <w:rPr>
          <w:szCs w:val="22"/>
        </w:rPr>
        <w:t> </w:t>
      </w:r>
      <w:r w:rsidR="009012DE" w:rsidRPr="00F24C4B">
        <w:rPr>
          <w:szCs w:val="22"/>
        </w:rPr>
        <w:t>patients</w:t>
      </w:r>
      <w:r w:rsidRPr="00F24C4B">
        <w:rPr>
          <w:szCs w:val="22"/>
        </w:rPr>
        <w:t xml:space="preserve"> with a claimed improvement in MPR &gt;10%</w:t>
      </w:r>
      <w:r w:rsidR="009012DE" w:rsidRPr="00F24C4B">
        <w:rPr>
          <w:szCs w:val="22"/>
        </w:rPr>
        <w:t xml:space="preserve"> represent</w:t>
      </w:r>
      <w:r w:rsidR="00230E6B">
        <w:rPr>
          <w:szCs w:val="22"/>
        </w:rPr>
        <w:t>ed</w:t>
      </w:r>
      <w:r w:rsidR="009012DE" w:rsidRPr="00F24C4B">
        <w:rPr>
          <w:szCs w:val="22"/>
        </w:rPr>
        <w:t xml:space="preserve"> approximately 1% of the total population who started </w:t>
      </w:r>
      <w:proofErr w:type="spellStart"/>
      <w:r w:rsidR="009012DE" w:rsidRPr="00F24C4B">
        <w:rPr>
          <w:szCs w:val="22"/>
        </w:rPr>
        <w:t>Vytorin</w:t>
      </w:r>
      <w:proofErr w:type="spellEnd"/>
      <w:r w:rsidR="009012DE" w:rsidRPr="00F24C4B">
        <w:rPr>
          <w:szCs w:val="22"/>
        </w:rPr>
        <w:t xml:space="preserve"> in Cohort 2 (</w:t>
      </w:r>
      <w:r w:rsidR="006F4509" w:rsidRPr="00F24C4B">
        <w:rPr>
          <w:szCs w:val="22"/>
        </w:rPr>
        <w:t>n</w:t>
      </w:r>
      <w:r w:rsidR="009012DE" w:rsidRPr="00F24C4B">
        <w:rPr>
          <w:szCs w:val="22"/>
        </w:rPr>
        <w:t>=14,806),</w:t>
      </w:r>
      <w:r w:rsidRPr="00F24C4B">
        <w:rPr>
          <w:szCs w:val="22"/>
        </w:rPr>
        <w:t xml:space="preserve"> and that</w:t>
      </w:r>
      <w:r w:rsidR="009012DE" w:rsidRPr="00F24C4B">
        <w:rPr>
          <w:szCs w:val="22"/>
        </w:rPr>
        <w:t xml:space="preserve"> standard deviations </w:t>
      </w:r>
      <w:r w:rsidR="00230E6B">
        <w:rPr>
          <w:szCs w:val="22"/>
        </w:rPr>
        <w:t>we</w:t>
      </w:r>
      <w:r w:rsidR="009012DE" w:rsidRPr="00F24C4B">
        <w:rPr>
          <w:szCs w:val="22"/>
        </w:rPr>
        <w:t xml:space="preserve">re large and statistical significance </w:t>
      </w:r>
      <w:r w:rsidR="00230E6B">
        <w:rPr>
          <w:szCs w:val="22"/>
        </w:rPr>
        <w:t>wa</w:t>
      </w:r>
      <w:r w:rsidR="009012DE" w:rsidRPr="00F24C4B">
        <w:rPr>
          <w:szCs w:val="22"/>
        </w:rPr>
        <w:t xml:space="preserve">s not reported. </w:t>
      </w:r>
    </w:p>
    <w:p w:rsidR="006B5122" w:rsidRPr="006B5122" w:rsidRDefault="006B5122" w:rsidP="006B5122">
      <w:pPr>
        <w:pStyle w:val="ListParagraph"/>
        <w:rPr>
          <w:szCs w:val="22"/>
        </w:rPr>
      </w:pPr>
    </w:p>
    <w:p w:rsidR="006B5122" w:rsidRDefault="006B5122" w:rsidP="006B5122">
      <w:pPr>
        <w:pStyle w:val="ListParagraph"/>
        <w:widowControl/>
        <w:numPr>
          <w:ilvl w:val="1"/>
          <w:numId w:val="3"/>
        </w:numPr>
        <w:rPr>
          <w:szCs w:val="22"/>
        </w:rPr>
      </w:pPr>
      <w:r w:rsidRPr="006B5122">
        <w:rPr>
          <w:szCs w:val="22"/>
        </w:rPr>
        <w:t xml:space="preserve">The PBAC noted that the pre-PBAC response considered the 1% ratio cited by DUSC to be incorrect due to an arithmetic error. The </w:t>
      </w:r>
      <w:r w:rsidR="00230E6B">
        <w:rPr>
          <w:szCs w:val="22"/>
        </w:rPr>
        <w:t>s</w:t>
      </w:r>
      <w:r w:rsidRPr="006B5122">
        <w:rPr>
          <w:szCs w:val="22"/>
        </w:rPr>
        <w:t xml:space="preserve">ponsor contended that the 1% is a ratio between two unrelated numbers stating that ‘The denominator is the total number of patients in Cohort 2 – i.e. all patients who ever started ezetimibe (in whatever form) in combination with a statin, to measure their persistence to therapy’. The PBAC noted that DUSC was highlighting the very small size of the cohort relied upon for the key submission claims in the context of the number of patients dispensed </w:t>
      </w:r>
      <w:proofErr w:type="spellStart"/>
      <w:r w:rsidRPr="006B5122">
        <w:rPr>
          <w:szCs w:val="22"/>
        </w:rPr>
        <w:t>Vytorin</w:t>
      </w:r>
      <w:proofErr w:type="spellEnd"/>
      <w:r w:rsidRPr="006B5122">
        <w:rPr>
          <w:szCs w:val="22"/>
        </w:rPr>
        <w:t xml:space="preserve"> over the study period (2006 to 2013</w:t>
      </w:r>
      <w:r>
        <w:rPr>
          <w:szCs w:val="22"/>
        </w:rPr>
        <w:t xml:space="preserve"> for both cohorts</w:t>
      </w:r>
      <w:r w:rsidRPr="006B5122">
        <w:rPr>
          <w:szCs w:val="22"/>
        </w:rPr>
        <w:t xml:space="preserve">). That is, the 14% mean improvement in MPR for </w:t>
      </w:r>
      <w:proofErr w:type="spellStart"/>
      <w:r w:rsidRPr="006B5122">
        <w:rPr>
          <w:szCs w:val="22"/>
        </w:rPr>
        <w:t>Vytorin</w:t>
      </w:r>
      <w:proofErr w:type="spellEnd"/>
      <w:r w:rsidRPr="006B5122">
        <w:rPr>
          <w:szCs w:val="22"/>
        </w:rPr>
        <w:t xml:space="preserve"> compared to concomitant statin + ezetimibe was based on 304 patients, of whom 156 had an increase of &gt;10% in MPR. The PBAC also noted that the number of patients dispensed </w:t>
      </w:r>
      <w:proofErr w:type="spellStart"/>
      <w:r w:rsidRPr="006B5122">
        <w:rPr>
          <w:szCs w:val="22"/>
        </w:rPr>
        <w:t>Vytorin</w:t>
      </w:r>
      <w:proofErr w:type="spellEnd"/>
      <w:r w:rsidRPr="006B5122">
        <w:rPr>
          <w:szCs w:val="22"/>
        </w:rPr>
        <w:t xml:space="preserve"> between 2006 and 2013 provided in the submission for Cohort 2 varies depending on whether the count is based on the number of patients receiving </w:t>
      </w:r>
      <w:proofErr w:type="spellStart"/>
      <w:r w:rsidRPr="006B5122">
        <w:rPr>
          <w:szCs w:val="22"/>
        </w:rPr>
        <w:t>Vytorin</w:t>
      </w:r>
      <w:proofErr w:type="spellEnd"/>
      <w:r w:rsidRPr="006B5122">
        <w:rPr>
          <w:szCs w:val="22"/>
        </w:rPr>
        <w:t xml:space="preserve"> at the beginning of the study period (n=14,806), at the end of the study period (n=14,342),</w:t>
      </w:r>
      <w:r w:rsidR="003B319E">
        <w:rPr>
          <w:szCs w:val="22"/>
        </w:rPr>
        <w:t xml:space="preserve"> at start or finish (n =15,830),</w:t>
      </w:r>
      <w:r w:rsidRPr="006B5122">
        <w:rPr>
          <w:szCs w:val="22"/>
        </w:rPr>
        <w:t xml:space="preserve"> or receiving ezetimibe in whatever form (n=16,594). Regardless, DUSC’s observation that the subpopulation relied upon in the submission to demonstrate an improvement in MPR by &gt;10% represent</w:t>
      </w:r>
      <w:r w:rsidR="00DB24A2">
        <w:rPr>
          <w:szCs w:val="22"/>
        </w:rPr>
        <w:t>ed</w:t>
      </w:r>
      <w:r w:rsidRPr="006B5122">
        <w:rPr>
          <w:szCs w:val="22"/>
        </w:rPr>
        <w:t xml:space="preserve"> approximately 1% of patients dispensed a prescription for </w:t>
      </w:r>
      <w:proofErr w:type="spellStart"/>
      <w:r w:rsidRPr="006B5122">
        <w:rPr>
          <w:szCs w:val="22"/>
        </w:rPr>
        <w:t>Vytorin</w:t>
      </w:r>
      <w:proofErr w:type="spellEnd"/>
      <w:r w:rsidRPr="006B5122">
        <w:rPr>
          <w:szCs w:val="22"/>
        </w:rPr>
        <w:t xml:space="preserve"> during the 2006 to 2013 study period</w:t>
      </w:r>
      <w:r>
        <w:rPr>
          <w:szCs w:val="22"/>
        </w:rPr>
        <w:t xml:space="preserve"> remains the same</w:t>
      </w:r>
      <w:r w:rsidRPr="006B5122">
        <w:rPr>
          <w:szCs w:val="22"/>
        </w:rPr>
        <w:t>.</w:t>
      </w:r>
    </w:p>
    <w:p w:rsidR="00607F1B" w:rsidRPr="006B5122" w:rsidRDefault="00607F1B" w:rsidP="00053E65">
      <w:pPr>
        <w:pStyle w:val="ListParagraph"/>
        <w:rPr>
          <w:szCs w:val="22"/>
        </w:rPr>
      </w:pPr>
    </w:p>
    <w:p w:rsidR="009F3EFB" w:rsidRPr="009F3EFB" w:rsidRDefault="0067275C" w:rsidP="009F3EFB">
      <w:pPr>
        <w:pStyle w:val="ListParagraph"/>
        <w:widowControl/>
        <w:numPr>
          <w:ilvl w:val="1"/>
          <w:numId w:val="3"/>
        </w:numPr>
        <w:rPr>
          <w:szCs w:val="22"/>
        </w:rPr>
      </w:pPr>
      <w:r w:rsidRPr="00704BAA">
        <w:rPr>
          <w:szCs w:val="22"/>
        </w:rPr>
        <w:t>The submission</w:t>
      </w:r>
      <w:r w:rsidR="009F3EFB" w:rsidRPr="00704BAA">
        <w:rPr>
          <w:szCs w:val="22"/>
        </w:rPr>
        <w:t xml:space="preserve"> undertook further analysis to identify those patients </w:t>
      </w:r>
      <w:r w:rsidR="00DB24A2" w:rsidRPr="00704BAA">
        <w:rPr>
          <w:szCs w:val="22"/>
        </w:rPr>
        <w:t>wh</w:t>
      </w:r>
      <w:r w:rsidR="00DB24A2">
        <w:rPr>
          <w:szCs w:val="22"/>
        </w:rPr>
        <w:t>o</w:t>
      </w:r>
      <w:r w:rsidR="00DB24A2" w:rsidRPr="00704BAA">
        <w:rPr>
          <w:szCs w:val="22"/>
        </w:rPr>
        <w:t xml:space="preserve"> </w:t>
      </w:r>
      <w:r w:rsidR="009F3EFB" w:rsidRPr="00704BAA">
        <w:rPr>
          <w:szCs w:val="22"/>
        </w:rPr>
        <w:t>receive a</w:t>
      </w:r>
      <w:r w:rsidR="009F3EFB">
        <w:rPr>
          <w:szCs w:val="22"/>
        </w:rPr>
        <w:t xml:space="preserve"> significant compliance benefit with </w:t>
      </w:r>
      <w:proofErr w:type="spellStart"/>
      <w:r w:rsidR="009F3EFB">
        <w:rPr>
          <w:szCs w:val="22"/>
        </w:rPr>
        <w:t>Vytorin</w:t>
      </w:r>
      <w:proofErr w:type="spellEnd"/>
      <w:r w:rsidR="009F3EFB">
        <w:rPr>
          <w:szCs w:val="22"/>
        </w:rPr>
        <w:t>.</w:t>
      </w:r>
      <w:r w:rsidR="009F3EFB">
        <w:t xml:space="preserve"> T</w:t>
      </w:r>
      <w:r w:rsidR="009F3EFB" w:rsidRPr="00443103">
        <w:t>he submission present</w:t>
      </w:r>
      <w:r w:rsidR="009F3EFB">
        <w:t>ed</w:t>
      </w:r>
      <w:r w:rsidR="009F3EFB" w:rsidRPr="00443103">
        <w:t xml:space="preserve"> results stratified by age of switch versus the statin component. </w:t>
      </w:r>
      <w:r w:rsidR="009F3EFB">
        <w:rPr>
          <w:szCs w:val="22"/>
        </w:rPr>
        <w:t xml:space="preserve">The submission considered that older patients (≥65 years) represent an important segment of those treated with lipid lowering therapy. </w:t>
      </w:r>
      <w:r w:rsidR="009F3EFB" w:rsidRPr="00443103">
        <w:t>Of the</w:t>
      </w:r>
      <w:r w:rsidR="007F2B62">
        <w:t xml:space="preserve"> subpopulation of 304 patients </w:t>
      </w:r>
      <w:r w:rsidR="007F2B62" w:rsidRPr="00AD2991">
        <w:rPr>
          <w:szCs w:val="22"/>
        </w:rPr>
        <w:t xml:space="preserve">on concomitant therapy with an MPR score &lt;85% prior to switching to </w:t>
      </w:r>
      <w:proofErr w:type="spellStart"/>
      <w:r w:rsidR="007F2B62" w:rsidRPr="00AD2991">
        <w:rPr>
          <w:szCs w:val="22"/>
        </w:rPr>
        <w:t>Vytorin</w:t>
      </w:r>
      <w:proofErr w:type="spellEnd"/>
      <w:r w:rsidR="007F2B62" w:rsidRPr="00AD2991">
        <w:rPr>
          <w:szCs w:val="22"/>
        </w:rPr>
        <w:t xml:space="preserve">, </w:t>
      </w:r>
      <w:r w:rsidR="009F3EFB" w:rsidRPr="00443103">
        <w:t>115</w:t>
      </w:r>
      <w:r w:rsidR="00DB24A2">
        <w:t> </w:t>
      </w:r>
      <w:r w:rsidR="009F3EFB" w:rsidRPr="00443103">
        <w:t xml:space="preserve">patients </w:t>
      </w:r>
      <w:r w:rsidR="007F2B62">
        <w:t xml:space="preserve">were </w:t>
      </w:r>
      <w:r w:rsidR="009F3EFB" w:rsidRPr="00443103">
        <w:t>aged 65</w:t>
      </w:r>
      <w:r w:rsidR="003B7F6A">
        <w:t> </w:t>
      </w:r>
      <w:r w:rsidR="009F3EFB" w:rsidRPr="00443103">
        <w:t>years and older</w:t>
      </w:r>
      <w:r w:rsidR="007F2B62">
        <w:t xml:space="preserve">. Of these 115 patients, </w:t>
      </w:r>
      <w:r w:rsidR="009F3EFB" w:rsidRPr="00443103">
        <w:t>80% demonstrated any improvement in statin MPR, with 63%</w:t>
      </w:r>
      <w:r w:rsidR="007F2B62">
        <w:t xml:space="preserve"> (73 patients)</w:t>
      </w:r>
      <w:r w:rsidR="009F3EFB" w:rsidRPr="00443103">
        <w:t xml:space="preserve"> experiencing an improvement of &gt;10% after switching to </w:t>
      </w:r>
      <w:proofErr w:type="spellStart"/>
      <w:r w:rsidR="009F3EFB" w:rsidRPr="00443103">
        <w:t>Vytorin</w:t>
      </w:r>
      <w:proofErr w:type="spellEnd"/>
      <w:r w:rsidR="009F3EFB" w:rsidRPr="00443103">
        <w:t xml:space="preserve">. The </w:t>
      </w:r>
      <w:r w:rsidR="009F3EFB">
        <w:t xml:space="preserve">evaluation found that the </w:t>
      </w:r>
      <w:r w:rsidR="009F3EFB" w:rsidRPr="00443103">
        <w:t>classification of patients by level of change in MPR appear</w:t>
      </w:r>
      <w:r w:rsidR="009F3EFB">
        <w:t>ed</w:t>
      </w:r>
      <w:r w:rsidR="009F3EFB" w:rsidRPr="00443103">
        <w:t xml:space="preserve"> to be subject to premature rounding, and could not be verified</w:t>
      </w:r>
      <w:r w:rsidR="009F3EFB">
        <w:t xml:space="preserve"> by the evaluation</w:t>
      </w:r>
      <w:r w:rsidR="009F3EFB" w:rsidRPr="00443103">
        <w:t>.</w:t>
      </w:r>
    </w:p>
    <w:p w:rsidR="009F3EFB" w:rsidRPr="00053E65" w:rsidRDefault="009F3EFB" w:rsidP="009F3EFB">
      <w:pPr>
        <w:rPr>
          <w:szCs w:val="22"/>
        </w:rPr>
      </w:pPr>
    </w:p>
    <w:p w:rsidR="0020608C" w:rsidRPr="009012DE" w:rsidRDefault="0020608C" w:rsidP="008D11C6">
      <w:pPr>
        <w:pStyle w:val="ListParagraph"/>
        <w:widowControl/>
        <w:numPr>
          <w:ilvl w:val="1"/>
          <w:numId w:val="3"/>
        </w:numPr>
        <w:rPr>
          <w:szCs w:val="22"/>
        </w:rPr>
      </w:pPr>
      <w:r w:rsidRPr="00443103">
        <w:t xml:space="preserve">Of the 73 patients aged 65 years and older with a statin MPR improvement of &gt;10%, the mean statin MPR improvement was 27% [median not reported]. </w:t>
      </w:r>
      <w:r>
        <w:t>The submission used</w:t>
      </w:r>
      <w:r w:rsidRPr="00443103">
        <w:t xml:space="preserve"> the evidence from this subgroup to claim that </w:t>
      </w:r>
      <w:proofErr w:type="spellStart"/>
      <w:r w:rsidRPr="00443103">
        <w:t>Vytorin</w:t>
      </w:r>
      <w:proofErr w:type="spellEnd"/>
      <w:r w:rsidRPr="00443103">
        <w:t xml:space="preserve"> provides improvement in patient compliance for some patients as required under </w:t>
      </w:r>
      <w:r w:rsidR="0018007C">
        <w:t>subs</w:t>
      </w:r>
      <w:r w:rsidRPr="00443103">
        <w:t>ection 101 (4AC) of the Act. No measures of uncertainty around the difference in the MPRs were presented.</w:t>
      </w:r>
      <w:r>
        <w:t xml:space="preserve"> The submission did</w:t>
      </w:r>
      <w:r w:rsidRPr="00443103">
        <w:t xml:space="preserve"> not present descriptive statistics of the adherence measures for this subgroup.</w:t>
      </w:r>
    </w:p>
    <w:p w:rsidR="007160A7" w:rsidRPr="00053E65" w:rsidRDefault="007160A7" w:rsidP="007160A7">
      <w:pPr>
        <w:rPr>
          <w:szCs w:val="22"/>
        </w:rPr>
      </w:pPr>
    </w:p>
    <w:p w:rsidR="006B5122" w:rsidRDefault="009012DE" w:rsidP="006B5122">
      <w:pPr>
        <w:pStyle w:val="ListParagraph"/>
        <w:widowControl/>
        <w:numPr>
          <w:ilvl w:val="1"/>
          <w:numId w:val="3"/>
        </w:numPr>
        <w:rPr>
          <w:szCs w:val="22"/>
        </w:rPr>
      </w:pPr>
      <w:r>
        <w:rPr>
          <w:szCs w:val="22"/>
        </w:rPr>
        <w:t xml:space="preserve">The CMG </w:t>
      </w:r>
      <w:r w:rsidR="006B5122">
        <w:rPr>
          <w:szCs w:val="22"/>
        </w:rPr>
        <w:t xml:space="preserve">analysis </w:t>
      </w:r>
      <w:r>
        <w:rPr>
          <w:szCs w:val="22"/>
        </w:rPr>
        <w:t xml:space="preserve">subgroup </w:t>
      </w:r>
      <w:r w:rsidR="006B5122">
        <w:rPr>
          <w:szCs w:val="22"/>
        </w:rPr>
        <w:t>reported by the submission included more patients (n=500) compared with the MPR analysis subgroup (n=304). The results for the CMG analysis subgroup are presented in the table below.</w:t>
      </w:r>
    </w:p>
    <w:p w:rsidR="00186D32" w:rsidRPr="00053E65" w:rsidRDefault="00186D32" w:rsidP="00186D32">
      <w:pPr>
        <w:widowControl/>
        <w:rPr>
          <w:szCs w:val="22"/>
        </w:rPr>
      </w:pPr>
    </w:p>
    <w:p w:rsidR="007160A7" w:rsidRDefault="007160A7" w:rsidP="00DB24A2">
      <w:pPr>
        <w:ind w:left="709"/>
      </w:pPr>
      <w:r>
        <w:rPr>
          <w:rStyle w:val="CommentReference"/>
        </w:rPr>
        <w:t>Adherence results for the CMG base population</w:t>
      </w:r>
    </w:p>
    <w:tbl>
      <w:tblPr>
        <w:tblW w:w="84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772"/>
        <w:gridCol w:w="1769"/>
        <w:gridCol w:w="1769"/>
      </w:tblGrid>
      <w:tr w:rsidR="007160A7" w:rsidRPr="00793209" w:rsidTr="00DB24A2">
        <w:trPr>
          <w:trHeight w:val="50"/>
        </w:trPr>
        <w:tc>
          <w:tcPr>
            <w:tcW w:w="3119" w:type="dxa"/>
            <w:shd w:val="clear" w:color="auto" w:fill="auto"/>
            <w:noWrap/>
            <w:hideMark/>
          </w:tcPr>
          <w:p w:rsidR="007160A7" w:rsidRPr="00B03A8B" w:rsidRDefault="007160A7" w:rsidP="00906867">
            <w:pPr>
              <w:rPr>
                <w:rFonts w:ascii="Arial Narrow" w:hAnsi="Arial Narrow"/>
                <w:i/>
                <w:sz w:val="20"/>
              </w:rPr>
            </w:pPr>
          </w:p>
        </w:tc>
        <w:tc>
          <w:tcPr>
            <w:tcW w:w="1772" w:type="dxa"/>
            <w:tcBorders>
              <w:right w:val="double" w:sz="4" w:space="0" w:color="auto"/>
            </w:tcBorders>
            <w:shd w:val="clear" w:color="auto" w:fill="auto"/>
            <w:noWrap/>
          </w:tcPr>
          <w:p w:rsidR="007160A7" w:rsidRPr="00090029" w:rsidRDefault="007160A7" w:rsidP="00906867">
            <w:pPr>
              <w:jc w:val="center"/>
              <w:rPr>
                <w:rFonts w:ascii="Arial Narrow" w:hAnsi="Arial Narrow"/>
                <w:b/>
                <w:sz w:val="20"/>
              </w:rPr>
            </w:pPr>
            <w:proofErr w:type="spellStart"/>
            <w:r>
              <w:rPr>
                <w:rFonts w:ascii="Arial Narrow" w:hAnsi="Arial Narrow"/>
                <w:b/>
                <w:sz w:val="20"/>
              </w:rPr>
              <w:t>Vytorin</w:t>
            </w:r>
            <w:proofErr w:type="spellEnd"/>
            <w:r w:rsidRPr="00EC5424">
              <w:rPr>
                <w:rFonts w:ascii="Arial Narrow" w:hAnsi="Arial Narrow"/>
                <w:b/>
                <w:sz w:val="20"/>
                <w:vertAlign w:val="superscript"/>
              </w:rPr>
              <w:t>®</w:t>
            </w:r>
          </w:p>
        </w:tc>
        <w:tc>
          <w:tcPr>
            <w:tcW w:w="1769" w:type="dxa"/>
            <w:tcBorders>
              <w:left w:val="double" w:sz="4" w:space="0" w:color="auto"/>
            </w:tcBorders>
            <w:shd w:val="clear" w:color="auto" w:fill="auto"/>
            <w:vAlign w:val="center"/>
          </w:tcPr>
          <w:p w:rsidR="007160A7" w:rsidRPr="00090029" w:rsidRDefault="007160A7" w:rsidP="00906867">
            <w:pPr>
              <w:jc w:val="center"/>
              <w:rPr>
                <w:rFonts w:ascii="Arial Narrow" w:hAnsi="Arial Narrow"/>
                <w:b/>
                <w:sz w:val="20"/>
              </w:rPr>
            </w:pPr>
            <w:r w:rsidRPr="00090029">
              <w:rPr>
                <w:rFonts w:ascii="Arial Narrow" w:hAnsi="Arial Narrow"/>
                <w:b/>
                <w:sz w:val="20"/>
              </w:rPr>
              <w:t>Statin</w:t>
            </w:r>
          </w:p>
        </w:tc>
        <w:tc>
          <w:tcPr>
            <w:tcW w:w="1769" w:type="dxa"/>
            <w:vAlign w:val="center"/>
          </w:tcPr>
          <w:p w:rsidR="007160A7" w:rsidRPr="00090029" w:rsidRDefault="007160A7" w:rsidP="00906867">
            <w:pPr>
              <w:jc w:val="center"/>
              <w:rPr>
                <w:rFonts w:ascii="Arial Narrow" w:hAnsi="Arial Narrow"/>
                <w:b/>
                <w:sz w:val="20"/>
              </w:rPr>
            </w:pPr>
            <w:r w:rsidRPr="00090029">
              <w:rPr>
                <w:rFonts w:ascii="Arial Narrow" w:hAnsi="Arial Narrow"/>
                <w:b/>
                <w:sz w:val="20"/>
              </w:rPr>
              <w:t>Ezetimibe</w:t>
            </w:r>
          </w:p>
        </w:tc>
      </w:tr>
      <w:tr w:rsidR="007160A7" w:rsidRPr="00793209" w:rsidTr="00DB24A2">
        <w:trPr>
          <w:trHeight w:val="50"/>
        </w:trPr>
        <w:tc>
          <w:tcPr>
            <w:tcW w:w="3119" w:type="dxa"/>
            <w:shd w:val="clear" w:color="auto" w:fill="auto"/>
            <w:noWrap/>
          </w:tcPr>
          <w:p w:rsidR="007160A7" w:rsidRPr="00090029" w:rsidRDefault="007160A7" w:rsidP="00906867">
            <w:pPr>
              <w:rPr>
                <w:rFonts w:ascii="Arial Narrow" w:hAnsi="Arial Narrow"/>
                <w:sz w:val="20"/>
              </w:rPr>
            </w:pPr>
            <w:r w:rsidRPr="00090029">
              <w:rPr>
                <w:rFonts w:ascii="Arial Narrow" w:hAnsi="Arial Narrow"/>
                <w:sz w:val="20"/>
              </w:rPr>
              <w:t>Number of records</w:t>
            </w:r>
          </w:p>
        </w:tc>
        <w:tc>
          <w:tcPr>
            <w:tcW w:w="1772" w:type="dxa"/>
            <w:tcBorders>
              <w:right w:val="double" w:sz="4" w:space="0" w:color="auto"/>
            </w:tcBorders>
            <w:shd w:val="clear" w:color="auto" w:fill="auto"/>
            <w:noWrap/>
            <w:vAlign w:val="center"/>
          </w:tcPr>
          <w:p w:rsidR="007160A7" w:rsidRPr="00972D33" w:rsidRDefault="007160A7" w:rsidP="00906867">
            <w:pPr>
              <w:jc w:val="center"/>
              <w:rPr>
                <w:rFonts w:ascii="Arial Narrow" w:hAnsi="Arial Narrow"/>
                <w:sz w:val="20"/>
              </w:rPr>
            </w:pPr>
            <w:r w:rsidRPr="00972D33">
              <w:rPr>
                <w:rFonts w:ascii="Arial Narrow" w:hAnsi="Arial Narrow"/>
                <w:sz w:val="20"/>
              </w:rPr>
              <w:t>500</w:t>
            </w:r>
          </w:p>
        </w:tc>
        <w:tc>
          <w:tcPr>
            <w:tcW w:w="3538" w:type="dxa"/>
            <w:gridSpan w:val="2"/>
            <w:tcBorders>
              <w:left w:val="double" w:sz="4" w:space="0" w:color="auto"/>
            </w:tcBorders>
            <w:shd w:val="clear" w:color="auto" w:fill="auto"/>
            <w:vAlign w:val="center"/>
          </w:tcPr>
          <w:p w:rsidR="007160A7" w:rsidRPr="00B03A8B" w:rsidRDefault="007160A7" w:rsidP="00906867">
            <w:pPr>
              <w:jc w:val="center"/>
              <w:rPr>
                <w:rFonts w:ascii="Arial Narrow" w:hAnsi="Arial Narrow"/>
                <w:i/>
                <w:sz w:val="20"/>
              </w:rPr>
            </w:pPr>
            <w:r w:rsidRPr="00972D33">
              <w:rPr>
                <w:rFonts w:ascii="Arial Narrow" w:hAnsi="Arial Narrow"/>
                <w:sz w:val="20"/>
              </w:rPr>
              <w:t>500</w:t>
            </w:r>
          </w:p>
        </w:tc>
      </w:tr>
      <w:tr w:rsidR="007160A7" w:rsidRPr="00793209" w:rsidTr="00DB24A2">
        <w:trPr>
          <w:trHeight w:val="50"/>
        </w:trPr>
        <w:tc>
          <w:tcPr>
            <w:tcW w:w="3119" w:type="dxa"/>
            <w:shd w:val="clear" w:color="auto" w:fill="auto"/>
            <w:noWrap/>
          </w:tcPr>
          <w:p w:rsidR="007160A7" w:rsidRPr="00972D33" w:rsidRDefault="007160A7" w:rsidP="00906867">
            <w:pPr>
              <w:rPr>
                <w:rFonts w:ascii="Arial Narrow" w:hAnsi="Arial Narrow"/>
                <w:sz w:val="20"/>
              </w:rPr>
            </w:pPr>
            <w:r>
              <w:rPr>
                <w:rFonts w:ascii="Arial Narrow" w:hAnsi="Arial Narrow"/>
                <w:sz w:val="20"/>
              </w:rPr>
              <w:t xml:space="preserve">Mean duration of medication supplied in </w:t>
            </w:r>
            <w:proofErr w:type="spellStart"/>
            <w:r>
              <w:rPr>
                <w:rFonts w:ascii="Arial Narrow" w:hAnsi="Arial Narrow"/>
                <w:sz w:val="20"/>
              </w:rPr>
              <w:t>yrs</w:t>
            </w:r>
            <w:proofErr w:type="spellEnd"/>
          </w:p>
        </w:tc>
        <w:tc>
          <w:tcPr>
            <w:tcW w:w="1772" w:type="dxa"/>
            <w:tcBorders>
              <w:right w:val="double" w:sz="4" w:space="0" w:color="auto"/>
            </w:tcBorders>
            <w:shd w:val="clear" w:color="auto" w:fill="auto"/>
            <w:noWrap/>
            <w:vAlign w:val="center"/>
          </w:tcPr>
          <w:p w:rsidR="007160A7" w:rsidRPr="002A6ADC" w:rsidRDefault="007160A7" w:rsidP="00906867">
            <w:pPr>
              <w:jc w:val="center"/>
              <w:rPr>
                <w:rFonts w:ascii="Arial Narrow" w:hAnsi="Arial Narrow"/>
                <w:sz w:val="20"/>
                <w:vertAlign w:val="superscript"/>
              </w:rPr>
            </w:pPr>
            <w:r>
              <w:rPr>
                <w:rFonts w:ascii="Arial Narrow" w:hAnsi="Arial Narrow"/>
                <w:sz w:val="20"/>
              </w:rPr>
              <w:t>2.45</w:t>
            </w:r>
            <w:r>
              <w:rPr>
                <w:rFonts w:ascii="Arial Narrow" w:hAnsi="Arial Narrow"/>
                <w:sz w:val="20"/>
                <w:vertAlign w:val="superscript"/>
              </w:rPr>
              <w:t>a</w:t>
            </w:r>
          </w:p>
        </w:tc>
        <w:tc>
          <w:tcPr>
            <w:tcW w:w="1769" w:type="dxa"/>
            <w:tcBorders>
              <w:left w:val="double" w:sz="4" w:space="0" w:color="auto"/>
            </w:tcBorders>
            <w:shd w:val="clear" w:color="auto" w:fill="auto"/>
            <w:vAlign w:val="center"/>
          </w:tcPr>
          <w:p w:rsidR="007160A7" w:rsidRPr="002A6ADC" w:rsidRDefault="007160A7" w:rsidP="00906867">
            <w:pPr>
              <w:jc w:val="center"/>
              <w:rPr>
                <w:rFonts w:ascii="Arial Narrow" w:hAnsi="Arial Narrow"/>
                <w:sz w:val="20"/>
                <w:vertAlign w:val="superscript"/>
              </w:rPr>
            </w:pPr>
            <w:r>
              <w:rPr>
                <w:rFonts w:ascii="Arial Narrow" w:hAnsi="Arial Narrow"/>
                <w:sz w:val="20"/>
              </w:rPr>
              <w:t>1.19</w:t>
            </w:r>
            <w:r>
              <w:rPr>
                <w:rFonts w:ascii="Arial Narrow" w:hAnsi="Arial Narrow"/>
                <w:sz w:val="20"/>
                <w:vertAlign w:val="superscript"/>
              </w:rPr>
              <w:t>a</w:t>
            </w:r>
          </w:p>
        </w:tc>
        <w:tc>
          <w:tcPr>
            <w:tcW w:w="1769" w:type="dxa"/>
            <w:vAlign w:val="center"/>
          </w:tcPr>
          <w:p w:rsidR="007160A7" w:rsidRPr="002A6ADC" w:rsidRDefault="007160A7" w:rsidP="00906867">
            <w:pPr>
              <w:jc w:val="center"/>
              <w:rPr>
                <w:rFonts w:ascii="Arial Narrow" w:hAnsi="Arial Narrow"/>
                <w:i/>
                <w:sz w:val="20"/>
                <w:vertAlign w:val="superscript"/>
              </w:rPr>
            </w:pPr>
            <w:r>
              <w:rPr>
                <w:rFonts w:ascii="Arial Narrow" w:hAnsi="Arial Narrow"/>
                <w:sz w:val="20"/>
              </w:rPr>
              <w:t>1.26</w:t>
            </w:r>
            <w:r>
              <w:rPr>
                <w:rFonts w:ascii="Arial Narrow" w:hAnsi="Arial Narrow"/>
                <w:sz w:val="20"/>
                <w:vertAlign w:val="superscript"/>
              </w:rPr>
              <w:t>a</w:t>
            </w:r>
          </w:p>
        </w:tc>
      </w:tr>
      <w:tr w:rsidR="007160A7" w:rsidRPr="00793209" w:rsidTr="00DB24A2">
        <w:trPr>
          <w:trHeight w:val="50"/>
        </w:trPr>
        <w:tc>
          <w:tcPr>
            <w:tcW w:w="3119" w:type="dxa"/>
            <w:shd w:val="clear" w:color="auto" w:fill="auto"/>
            <w:noWrap/>
          </w:tcPr>
          <w:p w:rsidR="007160A7" w:rsidRPr="00B03A8B" w:rsidRDefault="007160A7" w:rsidP="00906867">
            <w:pPr>
              <w:rPr>
                <w:rFonts w:ascii="Arial Narrow" w:hAnsi="Arial Narrow"/>
                <w:i/>
                <w:sz w:val="20"/>
              </w:rPr>
            </w:pPr>
            <w:r w:rsidRPr="00E61192">
              <w:rPr>
                <w:rFonts w:ascii="Arial Narrow" w:hAnsi="Arial Narrow"/>
                <w:sz w:val="20"/>
              </w:rPr>
              <w:t xml:space="preserve">Mean length of </w:t>
            </w:r>
            <w:r w:rsidRPr="00BC199C">
              <w:rPr>
                <w:rFonts w:ascii="Arial Narrow" w:hAnsi="Arial Narrow"/>
                <w:sz w:val="20"/>
              </w:rPr>
              <w:t>pre/post-</w:t>
            </w:r>
            <w:r w:rsidRPr="00E61192">
              <w:rPr>
                <w:rFonts w:ascii="Arial Narrow" w:hAnsi="Arial Narrow"/>
                <w:sz w:val="20"/>
              </w:rPr>
              <w:t xml:space="preserve">period in </w:t>
            </w:r>
            <w:proofErr w:type="spellStart"/>
            <w:r w:rsidRPr="00E61192">
              <w:rPr>
                <w:rFonts w:ascii="Arial Narrow" w:hAnsi="Arial Narrow"/>
                <w:sz w:val="20"/>
              </w:rPr>
              <w:t>yrs</w:t>
            </w:r>
            <w:proofErr w:type="spellEnd"/>
            <w:r>
              <w:rPr>
                <w:rFonts w:ascii="Arial Narrow" w:hAnsi="Arial Narrow"/>
                <w:i/>
                <w:sz w:val="20"/>
              </w:rPr>
              <w:t xml:space="preserve"> ± SD</w:t>
            </w:r>
          </w:p>
        </w:tc>
        <w:tc>
          <w:tcPr>
            <w:tcW w:w="1772" w:type="dxa"/>
            <w:tcBorders>
              <w:right w:val="double" w:sz="4" w:space="0" w:color="auto"/>
            </w:tcBorders>
            <w:shd w:val="clear" w:color="auto" w:fill="auto"/>
            <w:noWrap/>
            <w:vAlign w:val="center"/>
          </w:tcPr>
          <w:p w:rsidR="007160A7" w:rsidRPr="00B03A8B" w:rsidRDefault="007160A7" w:rsidP="00906867">
            <w:pPr>
              <w:jc w:val="center"/>
              <w:rPr>
                <w:rFonts w:ascii="Arial Narrow" w:hAnsi="Arial Narrow"/>
                <w:i/>
                <w:sz w:val="20"/>
              </w:rPr>
            </w:pPr>
            <w:r>
              <w:rPr>
                <w:rFonts w:ascii="Arial Narrow" w:hAnsi="Arial Narrow"/>
                <w:sz w:val="20"/>
              </w:rPr>
              <w:t>3.20</w:t>
            </w:r>
            <w:r>
              <w:rPr>
                <w:rFonts w:ascii="Arial Narrow" w:hAnsi="Arial Narrow"/>
                <w:sz w:val="20"/>
                <w:vertAlign w:val="superscript"/>
              </w:rPr>
              <w:t>a</w:t>
            </w:r>
            <w:r>
              <w:rPr>
                <w:rFonts w:ascii="Arial Narrow" w:hAnsi="Arial Narrow"/>
                <w:sz w:val="20"/>
              </w:rPr>
              <w:t xml:space="preserve"> </w:t>
            </w:r>
            <w:r>
              <w:rPr>
                <w:rFonts w:ascii="Arial Narrow" w:hAnsi="Arial Narrow"/>
                <w:i/>
                <w:sz w:val="20"/>
              </w:rPr>
              <w:t>± 2.40</w:t>
            </w:r>
          </w:p>
        </w:tc>
        <w:tc>
          <w:tcPr>
            <w:tcW w:w="3538" w:type="dxa"/>
            <w:gridSpan w:val="2"/>
            <w:tcBorders>
              <w:left w:val="double" w:sz="4" w:space="0" w:color="auto"/>
            </w:tcBorders>
            <w:shd w:val="clear" w:color="auto" w:fill="auto"/>
            <w:vAlign w:val="center"/>
          </w:tcPr>
          <w:p w:rsidR="007160A7" w:rsidRPr="00B03A8B" w:rsidRDefault="007160A7" w:rsidP="00906867">
            <w:pPr>
              <w:jc w:val="center"/>
              <w:rPr>
                <w:rFonts w:ascii="Arial Narrow" w:hAnsi="Arial Narrow"/>
                <w:i/>
                <w:sz w:val="20"/>
              </w:rPr>
            </w:pPr>
            <w:r w:rsidRPr="002A6ADC">
              <w:rPr>
                <w:rFonts w:ascii="Arial Narrow" w:hAnsi="Arial Narrow"/>
                <w:sz w:val="20"/>
              </w:rPr>
              <w:t>1.69</w:t>
            </w:r>
            <w:r>
              <w:rPr>
                <w:rFonts w:ascii="Arial Narrow" w:hAnsi="Arial Narrow"/>
                <w:i/>
                <w:sz w:val="20"/>
              </w:rPr>
              <w:t xml:space="preserve"> ± 1.31</w:t>
            </w:r>
          </w:p>
        </w:tc>
      </w:tr>
      <w:tr w:rsidR="007160A7" w:rsidRPr="00793209" w:rsidTr="00DB24A2">
        <w:trPr>
          <w:trHeight w:val="50"/>
        </w:trPr>
        <w:tc>
          <w:tcPr>
            <w:tcW w:w="3119" w:type="dxa"/>
            <w:shd w:val="clear" w:color="auto" w:fill="auto"/>
            <w:noWrap/>
          </w:tcPr>
          <w:p w:rsidR="007160A7" w:rsidRPr="00B03A8B" w:rsidRDefault="007160A7" w:rsidP="00906867">
            <w:pPr>
              <w:rPr>
                <w:rFonts w:ascii="Arial Narrow" w:hAnsi="Arial Narrow"/>
                <w:i/>
                <w:sz w:val="20"/>
              </w:rPr>
            </w:pPr>
            <w:r>
              <w:rPr>
                <w:rFonts w:ascii="Arial Narrow" w:hAnsi="Arial Narrow"/>
                <w:i/>
                <w:sz w:val="20"/>
              </w:rPr>
              <w:t xml:space="preserve">Median length of pre/post-period in </w:t>
            </w:r>
            <w:proofErr w:type="spellStart"/>
            <w:r>
              <w:rPr>
                <w:rFonts w:ascii="Arial Narrow" w:hAnsi="Arial Narrow"/>
                <w:i/>
                <w:sz w:val="20"/>
              </w:rPr>
              <w:t>yrs</w:t>
            </w:r>
            <w:proofErr w:type="spellEnd"/>
            <w:r>
              <w:rPr>
                <w:rFonts w:ascii="Arial Narrow" w:hAnsi="Arial Narrow"/>
                <w:i/>
                <w:sz w:val="20"/>
              </w:rPr>
              <w:t xml:space="preserve"> (</w:t>
            </w:r>
            <w:r w:rsidRPr="00F32C4E">
              <w:rPr>
                <w:rFonts w:ascii="Arial Narrow" w:hAnsi="Arial Narrow"/>
                <w:i/>
                <w:sz w:val="20"/>
              </w:rPr>
              <w:t>quartiles</w:t>
            </w:r>
            <w:r>
              <w:rPr>
                <w:rFonts w:ascii="Arial Narrow" w:hAnsi="Arial Narrow"/>
                <w:i/>
                <w:sz w:val="20"/>
              </w:rPr>
              <w:t>)</w:t>
            </w:r>
          </w:p>
        </w:tc>
        <w:tc>
          <w:tcPr>
            <w:tcW w:w="1772" w:type="dxa"/>
            <w:tcBorders>
              <w:right w:val="double" w:sz="4" w:space="0" w:color="auto"/>
            </w:tcBorders>
            <w:shd w:val="clear" w:color="auto" w:fill="auto"/>
            <w:noWrap/>
            <w:vAlign w:val="center"/>
          </w:tcPr>
          <w:p w:rsidR="007160A7" w:rsidRPr="00B03A8B" w:rsidRDefault="007160A7" w:rsidP="00906867">
            <w:pPr>
              <w:jc w:val="center"/>
              <w:rPr>
                <w:rFonts w:ascii="Arial Narrow" w:hAnsi="Arial Narrow"/>
                <w:i/>
                <w:sz w:val="20"/>
              </w:rPr>
            </w:pPr>
            <w:r>
              <w:rPr>
                <w:rFonts w:ascii="Arial Narrow" w:hAnsi="Arial Narrow"/>
                <w:i/>
                <w:sz w:val="20"/>
              </w:rPr>
              <w:t>2.50 (0.99, 5.18)</w:t>
            </w:r>
          </w:p>
        </w:tc>
        <w:tc>
          <w:tcPr>
            <w:tcW w:w="3538" w:type="dxa"/>
            <w:gridSpan w:val="2"/>
            <w:tcBorders>
              <w:left w:val="double" w:sz="4" w:space="0" w:color="auto"/>
            </w:tcBorders>
            <w:shd w:val="clear" w:color="auto" w:fill="auto"/>
            <w:vAlign w:val="center"/>
          </w:tcPr>
          <w:p w:rsidR="007160A7" w:rsidRPr="00B03A8B" w:rsidRDefault="007160A7" w:rsidP="00906867">
            <w:pPr>
              <w:jc w:val="center"/>
              <w:rPr>
                <w:rFonts w:ascii="Arial Narrow" w:hAnsi="Arial Narrow"/>
                <w:i/>
                <w:sz w:val="20"/>
              </w:rPr>
            </w:pPr>
            <w:r>
              <w:rPr>
                <w:rFonts w:ascii="Arial Narrow" w:hAnsi="Arial Narrow"/>
                <w:i/>
                <w:sz w:val="20"/>
              </w:rPr>
              <w:t>1.33 (0.76 ,2.15)</w:t>
            </w:r>
          </w:p>
        </w:tc>
      </w:tr>
      <w:tr w:rsidR="007160A7" w:rsidRPr="00793209" w:rsidTr="00DB24A2">
        <w:trPr>
          <w:trHeight w:val="50"/>
        </w:trPr>
        <w:tc>
          <w:tcPr>
            <w:tcW w:w="3119" w:type="dxa"/>
            <w:shd w:val="clear" w:color="auto" w:fill="auto"/>
            <w:noWrap/>
          </w:tcPr>
          <w:p w:rsidR="007160A7" w:rsidRDefault="007160A7" w:rsidP="00906867">
            <w:pPr>
              <w:rPr>
                <w:rFonts w:ascii="Arial Narrow" w:hAnsi="Arial Narrow"/>
                <w:i/>
                <w:sz w:val="20"/>
              </w:rPr>
            </w:pPr>
            <w:r w:rsidRPr="00B03A8B">
              <w:rPr>
                <w:rFonts w:ascii="Arial Narrow" w:hAnsi="Arial Narrow"/>
                <w:b/>
                <w:i/>
                <w:sz w:val="20"/>
              </w:rPr>
              <w:t>MPR</w:t>
            </w:r>
          </w:p>
        </w:tc>
        <w:tc>
          <w:tcPr>
            <w:tcW w:w="1772" w:type="dxa"/>
            <w:tcBorders>
              <w:right w:val="double" w:sz="4" w:space="0" w:color="auto"/>
            </w:tcBorders>
            <w:shd w:val="clear" w:color="auto" w:fill="auto"/>
            <w:noWrap/>
            <w:vAlign w:val="center"/>
          </w:tcPr>
          <w:p w:rsidR="007160A7" w:rsidRDefault="007160A7" w:rsidP="00906867">
            <w:pPr>
              <w:jc w:val="center"/>
              <w:rPr>
                <w:rFonts w:ascii="Arial Narrow" w:hAnsi="Arial Narrow"/>
                <w:i/>
                <w:sz w:val="20"/>
              </w:rPr>
            </w:pPr>
          </w:p>
        </w:tc>
        <w:tc>
          <w:tcPr>
            <w:tcW w:w="1769" w:type="dxa"/>
            <w:tcBorders>
              <w:left w:val="double" w:sz="4" w:space="0" w:color="auto"/>
            </w:tcBorders>
            <w:shd w:val="clear" w:color="auto" w:fill="auto"/>
            <w:vAlign w:val="center"/>
          </w:tcPr>
          <w:p w:rsidR="007160A7" w:rsidRDefault="007160A7" w:rsidP="00906867">
            <w:pPr>
              <w:jc w:val="center"/>
              <w:rPr>
                <w:rFonts w:ascii="Arial Narrow" w:hAnsi="Arial Narrow"/>
                <w:i/>
                <w:sz w:val="20"/>
              </w:rPr>
            </w:pPr>
          </w:p>
        </w:tc>
        <w:tc>
          <w:tcPr>
            <w:tcW w:w="1769" w:type="dxa"/>
            <w:vAlign w:val="center"/>
          </w:tcPr>
          <w:p w:rsidR="007160A7" w:rsidRPr="00B03A8B" w:rsidRDefault="007160A7" w:rsidP="00906867">
            <w:pPr>
              <w:jc w:val="center"/>
              <w:rPr>
                <w:rFonts w:ascii="Arial Narrow" w:hAnsi="Arial Narrow"/>
                <w:i/>
                <w:sz w:val="20"/>
              </w:rPr>
            </w:pPr>
          </w:p>
        </w:tc>
      </w:tr>
      <w:tr w:rsidR="007160A7" w:rsidRPr="00793209" w:rsidTr="00DB24A2">
        <w:trPr>
          <w:trHeight w:val="163"/>
        </w:trPr>
        <w:tc>
          <w:tcPr>
            <w:tcW w:w="3119" w:type="dxa"/>
            <w:shd w:val="clear" w:color="auto" w:fill="auto"/>
            <w:noWrap/>
            <w:hideMark/>
          </w:tcPr>
          <w:p w:rsidR="007160A7" w:rsidRPr="00B03A8B" w:rsidRDefault="007160A7" w:rsidP="00906867">
            <w:pPr>
              <w:rPr>
                <w:rFonts w:ascii="Arial Narrow" w:hAnsi="Arial Narrow"/>
                <w:i/>
                <w:sz w:val="20"/>
              </w:rPr>
            </w:pPr>
            <w:r w:rsidRPr="00B03A8B">
              <w:rPr>
                <w:rFonts w:ascii="Arial Narrow" w:hAnsi="Arial Narrow"/>
                <w:i/>
                <w:sz w:val="20"/>
              </w:rPr>
              <w:t>Mean ± SD</w:t>
            </w:r>
          </w:p>
        </w:tc>
        <w:tc>
          <w:tcPr>
            <w:tcW w:w="1772" w:type="dxa"/>
            <w:tcBorders>
              <w:right w:val="double" w:sz="4" w:space="0" w:color="auto"/>
            </w:tcBorders>
            <w:shd w:val="clear" w:color="auto" w:fill="auto"/>
            <w:noWrap/>
            <w:vAlign w:val="center"/>
          </w:tcPr>
          <w:p w:rsidR="007160A7" w:rsidRPr="00B03A8B" w:rsidRDefault="007160A7" w:rsidP="00906867">
            <w:pPr>
              <w:jc w:val="center"/>
              <w:rPr>
                <w:rFonts w:ascii="Arial Narrow" w:hAnsi="Arial Narrow"/>
                <w:i/>
                <w:sz w:val="20"/>
              </w:rPr>
            </w:pPr>
            <w:r>
              <w:rPr>
                <w:rFonts w:ascii="Arial Narrow" w:hAnsi="Arial Narrow"/>
                <w:i/>
                <w:sz w:val="20"/>
              </w:rPr>
              <w:t>86.93% ± 17.85%</w:t>
            </w:r>
          </w:p>
        </w:tc>
        <w:tc>
          <w:tcPr>
            <w:tcW w:w="1769" w:type="dxa"/>
            <w:tcBorders>
              <w:left w:val="double" w:sz="4" w:space="0" w:color="auto"/>
            </w:tcBorders>
            <w:shd w:val="clear" w:color="auto" w:fill="auto"/>
            <w:vAlign w:val="center"/>
          </w:tcPr>
          <w:p w:rsidR="007160A7" w:rsidRPr="00B03A8B" w:rsidRDefault="007160A7" w:rsidP="00906867">
            <w:pPr>
              <w:jc w:val="center"/>
              <w:rPr>
                <w:rFonts w:ascii="Arial Narrow" w:hAnsi="Arial Narrow"/>
                <w:i/>
                <w:sz w:val="20"/>
              </w:rPr>
            </w:pPr>
            <w:r>
              <w:rPr>
                <w:rFonts w:ascii="Arial Narrow" w:hAnsi="Arial Narrow"/>
                <w:i/>
                <w:sz w:val="20"/>
              </w:rPr>
              <w:t>76.80% ± 18.01%</w:t>
            </w:r>
          </w:p>
        </w:tc>
        <w:tc>
          <w:tcPr>
            <w:tcW w:w="1769" w:type="dxa"/>
            <w:vAlign w:val="center"/>
          </w:tcPr>
          <w:p w:rsidR="007160A7" w:rsidRPr="00B03A8B" w:rsidRDefault="007160A7" w:rsidP="00906867">
            <w:pPr>
              <w:jc w:val="center"/>
              <w:rPr>
                <w:rFonts w:ascii="Arial Narrow" w:hAnsi="Arial Narrow"/>
                <w:i/>
                <w:sz w:val="20"/>
              </w:rPr>
            </w:pPr>
            <w:r>
              <w:rPr>
                <w:rFonts w:ascii="Arial Narrow" w:hAnsi="Arial Narrow"/>
                <w:i/>
                <w:sz w:val="20"/>
              </w:rPr>
              <w:t>80.13% ± 18.18%</w:t>
            </w:r>
          </w:p>
        </w:tc>
      </w:tr>
      <w:tr w:rsidR="007160A7" w:rsidRPr="00793209" w:rsidTr="00DB24A2">
        <w:trPr>
          <w:trHeight w:val="64"/>
        </w:trPr>
        <w:tc>
          <w:tcPr>
            <w:tcW w:w="3119" w:type="dxa"/>
            <w:shd w:val="clear" w:color="auto" w:fill="auto"/>
            <w:noWrap/>
            <w:vAlign w:val="center"/>
          </w:tcPr>
          <w:p w:rsidR="007160A7" w:rsidRPr="00B03A8B" w:rsidRDefault="007160A7" w:rsidP="00906867">
            <w:pPr>
              <w:rPr>
                <w:rFonts w:ascii="Arial Narrow" w:hAnsi="Arial Narrow"/>
                <w:i/>
                <w:sz w:val="20"/>
              </w:rPr>
            </w:pPr>
            <w:r w:rsidRPr="00B03A8B">
              <w:rPr>
                <w:rFonts w:ascii="Arial Narrow" w:hAnsi="Arial Narrow"/>
                <w:i/>
                <w:sz w:val="20"/>
              </w:rPr>
              <w:t>Median (</w:t>
            </w:r>
            <w:r>
              <w:rPr>
                <w:rFonts w:ascii="Arial Narrow" w:hAnsi="Arial Narrow"/>
                <w:i/>
                <w:sz w:val="20"/>
              </w:rPr>
              <w:t>quartiles</w:t>
            </w:r>
            <w:r w:rsidRPr="00B03A8B">
              <w:rPr>
                <w:rFonts w:ascii="Arial Narrow" w:hAnsi="Arial Narrow"/>
                <w:i/>
                <w:sz w:val="20"/>
              </w:rPr>
              <w:t>)</w:t>
            </w:r>
          </w:p>
        </w:tc>
        <w:tc>
          <w:tcPr>
            <w:tcW w:w="1772" w:type="dxa"/>
            <w:tcBorders>
              <w:right w:val="double" w:sz="4" w:space="0" w:color="auto"/>
            </w:tcBorders>
            <w:shd w:val="clear" w:color="auto" w:fill="auto"/>
            <w:noWrap/>
            <w:vAlign w:val="center"/>
          </w:tcPr>
          <w:p w:rsidR="007160A7" w:rsidRDefault="007160A7" w:rsidP="00906867">
            <w:pPr>
              <w:jc w:val="center"/>
              <w:rPr>
                <w:rFonts w:ascii="Arial Narrow" w:hAnsi="Arial Narrow"/>
                <w:i/>
                <w:sz w:val="20"/>
              </w:rPr>
            </w:pPr>
            <w:r>
              <w:rPr>
                <w:rFonts w:ascii="Arial Narrow" w:hAnsi="Arial Narrow"/>
                <w:i/>
                <w:sz w:val="20"/>
              </w:rPr>
              <w:t>90.95%</w:t>
            </w:r>
          </w:p>
          <w:p w:rsidR="007160A7" w:rsidRPr="00B03A8B" w:rsidRDefault="007160A7" w:rsidP="00906867">
            <w:pPr>
              <w:jc w:val="center"/>
              <w:rPr>
                <w:rFonts w:ascii="Arial Narrow" w:hAnsi="Arial Narrow"/>
                <w:i/>
                <w:sz w:val="20"/>
              </w:rPr>
            </w:pPr>
            <w:r>
              <w:rPr>
                <w:rFonts w:ascii="Arial Narrow" w:hAnsi="Arial Narrow"/>
                <w:i/>
                <w:sz w:val="20"/>
              </w:rPr>
              <w:t>(77.22%, 97.57%)</w:t>
            </w:r>
          </w:p>
        </w:tc>
        <w:tc>
          <w:tcPr>
            <w:tcW w:w="1769" w:type="dxa"/>
            <w:tcBorders>
              <w:left w:val="double" w:sz="4" w:space="0" w:color="auto"/>
            </w:tcBorders>
            <w:shd w:val="clear" w:color="auto" w:fill="auto"/>
            <w:vAlign w:val="center"/>
          </w:tcPr>
          <w:p w:rsidR="007160A7" w:rsidRDefault="007160A7" w:rsidP="00906867">
            <w:pPr>
              <w:jc w:val="center"/>
              <w:rPr>
                <w:rFonts w:ascii="Arial Narrow" w:hAnsi="Arial Narrow"/>
                <w:i/>
                <w:sz w:val="20"/>
              </w:rPr>
            </w:pPr>
            <w:r>
              <w:rPr>
                <w:rFonts w:ascii="Arial Narrow" w:hAnsi="Arial Narrow"/>
                <w:i/>
                <w:sz w:val="20"/>
              </w:rPr>
              <w:t>78.66%</w:t>
            </w:r>
          </w:p>
          <w:p w:rsidR="007160A7" w:rsidRPr="00B03A8B" w:rsidRDefault="007160A7" w:rsidP="00906867">
            <w:pPr>
              <w:jc w:val="center"/>
              <w:rPr>
                <w:rFonts w:ascii="Arial Narrow" w:hAnsi="Arial Narrow"/>
                <w:i/>
                <w:sz w:val="20"/>
              </w:rPr>
            </w:pPr>
            <w:r>
              <w:rPr>
                <w:rFonts w:ascii="Arial Narrow" w:hAnsi="Arial Narrow"/>
                <w:i/>
                <w:sz w:val="20"/>
              </w:rPr>
              <w:t>(66.39%, 87.98%)</w:t>
            </w:r>
          </w:p>
        </w:tc>
        <w:tc>
          <w:tcPr>
            <w:tcW w:w="1769" w:type="dxa"/>
            <w:vAlign w:val="center"/>
          </w:tcPr>
          <w:p w:rsidR="007160A7" w:rsidRDefault="007160A7" w:rsidP="00906867">
            <w:pPr>
              <w:jc w:val="center"/>
              <w:rPr>
                <w:rFonts w:ascii="Arial Narrow" w:hAnsi="Arial Narrow"/>
                <w:i/>
                <w:sz w:val="20"/>
              </w:rPr>
            </w:pPr>
            <w:r>
              <w:rPr>
                <w:rFonts w:ascii="Arial Narrow" w:hAnsi="Arial Narrow"/>
                <w:i/>
                <w:sz w:val="20"/>
              </w:rPr>
              <w:t>82.99%</w:t>
            </w:r>
          </w:p>
          <w:p w:rsidR="007160A7" w:rsidRPr="00B03A8B" w:rsidRDefault="007160A7" w:rsidP="00906867">
            <w:pPr>
              <w:jc w:val="center"/>
              <w:rPr>
                <w:rFonts w:ascii="Arial Narrow" w:hAnsi="Arial Narrow"/>
                <w:i/>
                <w:sz w:val="20"/>
              </w:rPr>
            </w:pPr>
            <w:r>
              <w:rPr>
                <w:rFonts w:ascii="Arial Narrow" w:hAnsi="Arial Narrow"/>
                <w:i/>
                <w:sz w:val="20"/>
              </w:rPr>
              <w:t>(68.11%, 93.56%)</w:t>
            </w:r>
          </w:p>
        </w:tc>
      </w:tr>
      <w:tr w:rsidR="007160A7" w:rsidRPr="00793209" w:rsidTr="00DB24A2">
        <w:trPr>
          <w:trHeight w:val="64"/>
        </w:trPr>
        <w:tc>
          <w:tcPr>
            <w:tcW w:w="3119" w:type="dxa"/>
            <w:shd w:val="clear" w:color="auto" w:fill="auto"/>
            <w:noWrap/>
          </w:tcPr>
          <w:p w:rsidR="007160A7" w:rsidRPr="00090029" w:rsidRDefault="007160A7" w:rsidP="00906867">
            <w:pPr>
              <w:rPr>
                <w:rFonts w:ascii="Arial Narrow" w:hAnsi="Arial Narrow"/>
                <w:b/>
                <w:sz w:val="20"/>
              </w:rPr>
            </w:pPr>
            <w:r w:rsidRPr="00090029">
              <w:rPr>
                <w:rFonts w:ascii="Arial Narrow" w:hAnsi="Arial Narrow"/>
                <w:b/>
                <w:sz w:val="20"/>
              </w:rPr>
              <w:t>CMG</w:t>
            </w:r>
          </w:p>
        </w:tc>
        <w:tc>
          <w:tcPr>
            <w:tcW w:w="1772" w:type="dxa"/>
            <w:tcBorders>
              <w:right w:val="double" w:sz="4" w:space="0" w:color="auto"/>
            </w:tcBorders>
            <w:shd w:val="clear" w:color="auto" w:fill="auto"/>
            <w:noWrap/>
            <w:vAlign w:val="center"/>
          </w:tcPr>
          <w:p w:rsidR="007160A7" w:rsidRPr="00B03A8B" w:rsidRDefault="007160A7" w:rsidP="00906867">
            <w:pPr>
              <w:jc w:val="center"/>
              <w:rPr>
                <w:rFonts w:ascii="Arial Narrow" w:hAnsi="Arial Narrow"/>
                <w:i/>
                <w:sz w:val="20"/>
              </w:rPr>
            </w:pPr>
          </w:p>
        </w:tc>
        <w:tc>
          <w:tcPr>
            <w:tcW w:w="1769" w:type="dxa"/>
            <w:tcBorders>
              <w:left w:val="double" w:sz="4" w:space="0" w:color="auto"/>
            </w:tcBorders>
            <w:shd w:val="clear" w:color="auto" w:fill="auto"/>
            <w:vAlign w:val="center"/>
          </w:tcPr>
          <w:p w:rsidR="007160A7" w:rsidRPr="00B03A8B" w:rsidRDefault="007160A7" w:rsidP="00906867">
            <w:pPr>
              <w:jc w:val="center"/>
              <w:rPr>
                <w:rFonts w:ascii="Arial Narrow" w:hAnsi="Arial Narrow"/>
                <w:i/>
                <w:sz w:val="20"/>
              </w:rPr>
            </w:pPr>
          </w:p>
        </w:tc>
        <w:tc>
          <w:tcPr>
            <w:tcW w:w="1769" w:type="dxa"/>
            <w:vAlign w:val="center"/>
          </w:tcPr>
          <w:p w:rsidR="007160A7" w:rsidRPr="00B03A8B" w:rsidRDefault="007160A7" w:rsidP="00906867">
            <w:pPr>
              <w:jc w:val="center"/>
              <w:rPr>
                <w:rFonts w:ascii="Arial Narrow" w:hAnsi="Arial Narrow"/>
                <w:i/>
                <w:sz w:val="20"/>
              </w:rPr>
            </w:pPr>
          </w:p>
        </w:tc>
      </w:tr>
      <w:tr w:rsidR="007160A7" w:rsidRPr="00793209" w:rsidTr="00DB24A2">
        <w:trPr>
          <w:trHeight w:val="142"/>
        </w:trPr>
        <w:tc>
          <w:tcPr>
            <w:tcW w:w="3119" w:type="dxa"/>
            <w:shd w:val="clear" w:color="auto" w:fill="auto"/>
            <w:noWrap/>
          </w:tcPr>
          <w:p w:rsidR="007160A7" w:rsidRPr="00090029" w:rsidRDefault="007160A7" w:rsidP="00906867">
            <w:pPr>
              <w:rPr>
                <w:rFonts w:ascii="Arial Narrow" w:hAnsi="Arial Narrow"/>
                <w:sz w:val="20"/>
              </w:rPr>
            </w:pPr>
            <w:r w:rsidRPr="00090029">
              <w:rPr>
                <w:rFonts w:ascii="Arial Narrow" w:hAnsi="Arial Narrow"/>
                <w:sz w:val="20"/>
              </w:rPr>
              <w:t>Mean ± SD</w:t>
            </w:r>
          </w:p>
        </w:tc>
        <w:tc>
          <w:tcPr>
            <w:tcW w:w="1772" w:type="dxa"/>
            <w:tcBorders>
              <w:right w:val="double" w:sz="4" w:space="0" w:color="auto"/>
            </w:tcBorders>
            <w:shd w:val="clear" w:color="auto" w:fill="auto"/>
            <w:noWrap/>
          </w:tcPr>
          <w:p w:rsidR="007160A7" w:rsidRPr="00BF2915" w:rsidRDefault="007160A7" w:rsidP="00906867">
            <w:pPr>
              <w:jc w:val="center"/>
              <w:rPr>
                <w:rFonts w:ascii="Arial Narrow" w:hAnsi="Arial Narrow"/>
                <w:sz w:val="20"/>
              </w:rPr>
            </w:pPr>
            <w:r w:rsidRPr="00BF2915">
              <w:rPr>
                <w:rFonts w:ascii="Arial Narrow" w:hAnsi="Arial Narrow"/>
                <w:sz w:val="20"/>
              </w:rPr>
              <w:t>79% ± 13.68%</w:t>
            </w:r>
          </w:p>
        </w:tc>
        <w:tc>
          <w:tcPr>
            <w:tcW w:w="1769" w:type="dxa"/>
            <w:tcBorders>
              <w:left w:val="double" w:sz="4" w:space="0" w:color="auto"/>
            </w:tcBorders>
            <w:shd w:val="clear" w:color="auto" w:fill="auto"/>
            <w:vAlign w:val="center"/>
          </w:tcPr>
          <w:p w:rsidR="007160A7" w:rsidRPr="008C576A" w:rsidRDefault="007160A7" w:rsidP="00906867">
            <w:pPr>
              <w:jc w:val="center"/>
              <w:rPr>
                <w:rFonts w:ascii="Arial Narrow" w:hAnsi="Arial Narrow"/>
                <w:sz w:val="20"/>
              </w:rPr>
            </w:pPr>
            <w:r w:rsidRPr="008C576A">
              <w:rPr>
                <w:rFonts w:ascii="Arial Narrow" w:hAnsi="Arial Narrow"/>
                <w:sz w:val="20"/>
              </w:rPr>
              <w:t>68% ± 14.05%</w:t>
            </w:r>
          </w:p>
        </w:tc>
        <w:tc>
          <w:tcPr>
            <w:tcW w:w="1769" w:type="dxa"/>
            <w:vAlign w:val="center"/>
          </w:tcPr>
          <w:p w:rsidR="007160A7" w:rsidRPr="00B03A8B" w:rsidRDefault="007160A7" w:rsidP="00906867">
            <w:pPr>
              <w:jc w:val="center"/>
              <w:rPr>
                <w:rFonts w:ascii="Arial Narrow" w:hAnsi="Arial Narrow"/>
                <w:i/>
                <w:sz w:val="20"/>
              </w:rPr>
            </w:pPr>
            <w:r w:rsidRPr="006D3C7C">
              <w:rPr>
                <w:rFonts w:ascii="Arial Narrow" w:hAnsi="Arial Narrow"/>
                <w:sz w:val="20"/>
              </w:rPr>
              <w:t>75%</w:t>
            </w:r>
            <w:r>
              <w:rPr>
                <w:rFonts w:ascii="Arial Narrow" w:hAnsi="Arial Narrow"/>
                <w:sz w:val="20"/>
              </w:rPr>
              <w:t xml:space="preserve"> ± </w:t>
            </w:r>
            <w:r w:rsidRPr="006D3C7C">
              <w:rPr>
                <w:rFonts w:ascii="Arial Narrow" w:hAnsi="Arial Narrow"/>
                <w:sz w:val="20"/>
              </w:rPr>
              <w:t>14.84%</w:t>
            </w:r>
          </w:p>
        </w:tc>
      </w:tr>
      <w:tr w:rsidR="007160A7" w:rsidRPr="00793209" w:rsidTr="00DB24A2">
        <w:trPr>
          <w:trHeight w:val="142"/>
        </w:trPr>
        <w:tc>
          <w:tcPr>
            <w:tcW w:w="3119" w:type="dxa"/>
            <w:shd w:val="clear" w:color="auto" w:fill="auto"/>
            <w:noWrap/>
            <w:vAlign w:val="center"/>
          </w:tcPr>
          <w:p w:rsidR="007160A7" w:rsidRPr="00090029" w:rsidRDefault="007160A7" w:rsidP="00906867">
            <w:pPr>
              <w:jc w:val="left"/>
              <w:rPr>
                <w:rFonts w:ascii="Arial Narrow" w:hAnsi="Arial Narrow"/>
                <w:sz w:val="20"/>
              </w:rPr>
            </w:pPr>
            <w:r w:rsidRPr="00090029">
              <w:rPr>
                <w:rFonts w:ascii="Arial Narrow" w:hAnsi="Arial Narrow"/>
                <w:sz w:val="20"/>
              </w:rPr>
              <w:t>Median (quartiles)</w:t>
            </w:r>
          </w:p>
        </w:tc>
        <w:tc>
          <w:tcPr>
            <w:tcW w:w="1772" w:type="dxa"/>
            <w:tcBorders>
              <w:right w:val="double" w:sz="4" w:space="0" w:color="auto"/>
            </w:tcBorders>
            <w:shd w:val="clear" w:color="auto" w:fill="auto"/>
            <w:noWrap/>
          </w:tcPr>
          <w:p w:rsidR="007160A7" w:rsidRDefault="007160A7" w:rsidP="00906867">
            <w:pPr>
              <w:jc w:val="center"/>
              <w:rPr>
                <w:rFonts w:ascii="Arial Narrow" w:hAnsi="Arial Narrow"/>
                <w:sz w:val="20"/>
              </w:rPr>
            </w:pPr>
            <w:r w:rsidRPr="008C576A">
              <w:rPr>
                <w:rFonts w:ascii="Arial Narrow" w:hAnsi="Arial Narrow"/>
                <w:sz w:val="20"/>
              </w:rPr>
              <w:t>81.98%</w:t>
            </w:r>
          </w:p>
          <w:p w:rsidR="007160A7" w:rsidRPr="00B13712" w:rsidRDefault="007160A7" w:rsidP="00906867">
            <w:pPr>
              <w:jc w:val="center"/>
              <w:rPr>
                <w:rFonts w:ascii="Arial Narrow" w:hAnsi="Arial Narrow"/>
                <w:i/>
                <w:sz w:val="20"/>
              </w:rPr>
            </w:pPr>
            <w:r w:rsidRPr="00B13712">
              <w:rPr>
                <w:rFonts w:ascii="Arial Narrow" w:hAnsi="Arial Narrow"/>
                <w:i/>
                <w:sz w:val="20"/>
              </w:rPr>
              <w:t>(</w:t>
            </w:r>
            <w:r>
              <w:rPr>
                <w:rFonts w:ascii="Arial Narrow" w:hAnsi="Arial Narrow"/>
                <w:i/>
                <w:sz w:val="20"/>
              </w:rPr>
              <w:t>72.33%, 88.39%</w:t>
            </w:r>
            <w:r w:rsidRPr="00B13712">
              <w:rPr>
                <w:rFonts w:ascii="Arial Narrow" w:hAnsi="Arial Narrow"/>
                <w:i/>
                <w:sz w:val="20"/>
              </w:rPr>
              <w:t>)</w:t>
            </w:r>
          </w:p>
        </w:tc>
        <w:tc>
          <w:tcPr>
            <w:tcW w:w="1769" w:type="dxa"/>
            <w:tcBorders>
              <w:left w:val="double" w:sz="4" w:space="0" w:color="auto"/>
            </w:tcBorders>
            <w:shd w:val="clear" w:color="auto" w:fill="auto"/>
            <w:vAlign w:val="center"/>
          </w:tcPr>
          <w:p w:rsidR="007160A7" w:rsidRDefault="007160A7" w:rsidP="00906867">
            <w:pPr>
              <w:jc w:val="center"/>
              <w:rPr>
                <w:rFonts w:ascii="Arial Narrow" w:hAnsi="Arial Narrow"/>
                <w:sz w:val="20"/>
              </w:rPr>
            </w:pPr>
            <w:r w:rsidRPr="008C576A">
              <w:rPr>
                <w:rFonts w:ascii="Arial Narrow" w:hAnsi="Arial Narrow"/>
                <w:sz w:val="20"/>
              </w:rPr>
              <w:t>72.61%</w:t>
            </w:r>
          </w:p>
          <w:p w:rsidR="007160A7" w:rsidRPr="00B13712" w:rsidRDefault="007160A7" w:rsidP="00906867">
            <w:pPr>
              <w:jc w:val="center"/>
              <w:rPr>
                <w:rFonts w:ascii="Arial Narrow" w:hAnsi="Arial Narrow"/>
                <w:i/>
                <w:sz w:val="20"/>
              </w:rPr>
            </w:pPr>
            <w:r w:rsidRPr="00B13712">
              <w:rPr>
                <w:rFonts w:ascii="Arial Narrow" w:hAnsi="Arial Narrow"/>
                <w:i/>
                <w:sz w:val="20"/>
              </w:rPr>
              <w:t>(</w:t>
            </w:r>
            <w:r>
              <w:rPr>
                <w:rFonts w:ascii="Arial Narrow" w:hAnsi="Arial Narrow"/>
                <w:i/>
                <w:sz w:val="20"/>
              </w:rPr>
              <w:t>61.73%, 78.55%</w:t>
            </w:r>
            <w:r w:rsidRPr="00B13712">
              <w:rPr>
                <w:rFonts w:ascii="Arial Narrow" w:hAnsi="Arial Narrow"/>
                <w:i/>
                <w:sz w:val="20"/>
              </w:rPr>
              <w:t>)</w:t>
            </w:r>
          </w:p>
        </w:tc>
        <w:tc>
          <w:tcPr>
            <w:tcW w:w="1769" w:type="dxa"/>
            <w:vAlign w:val="center"/>
          </w:tcPr>
          <w:p w:rsidR="007160A7" w:rsidRDefault="007160A7" w:rsidP="00906867">
            <w:pPr>
              <w:jc w:val="center"/>
              <w:rPr>
                <w:rFonts w:ascii="Arial Narrow" w:hAnsi="Arial Narrow"/>
                <w:sz w:val="20"/>
              </w:rPr>
            </w:pPr>
            <w:r w:rsidRPr="00597763">
              <w:rPr>
                <w:rFonts w:ascii="Arial Narrow" w:hAnsi="Arial Narrow"/>
                <w:sz w:val="20"/>
              </w:rPr>
              <w:t>77.92%</w:t>
            </w:r>
          </w:p>
          <w:p w:rsidR="007160A7" w:rsidRPr="00B13712" w:rsidRDefault="007160A7" w:rsidP="00906867">
            <w:pPr>
              <w:jc w:val="center"/>
              <w:rPr>
                <w:rFonts w:ascii="Arial Narrow" w:hAnsi="Arial Narrow"/>
                <w:i/>
                <w:sz w:val="20"/>
              </w:rPr>
            </w:pPr>
            <w:r w:rsidRPr="00B13712">
              <w:rPr>
                <w:rFonts w:ascii="Arial Narrow" w:hAnsi="Arial Narrow"/>
                <w:i/>
                <w:sz w:val="20"/>
              </w:rPr>
              <w:t>(</w:t>
            </w:r>
            <w:r>
              <w:rPr>
                <w:rFonts w:ascii="Arial Narrow" w:hAnsi="Arial Narrow"/>
                <w:i/>
                <w:sz w:val="20"/>
              </w:rPr>
              <w:t>67.51%, 85.27%</w:t>
            </w:r>
            <w:r w:rsidRPr="00B13712">
              <w:rPr>
                <w:rFonts w:ascii="Arial Narrow" w:hAnsi="Arial Narrow"/>
                <w:i/>
                <w:sz w:val="20"/>
              </w:rPr>
              <w:t>)</w:t>
            </w:r>
          </w:p>
        </w:tc>
      </w:tr>
    </w:tbl>
    <w:p w:rsidR="007160A7" w:rsidRPr="00053E65" w:rsidRDefault="007160A7" w:rsidP="00DB24A2">
      <w:pPr>
        <w:ind w:left="709"/>
        <w:rPr>
          <w:rStyle w:val="Hyperlink"/>
          <w:rFonts w:ascii="Arial Narrow" w:hAnsi="Arial Narrow"/>
          <w:i/>
          <w:color w:val="auto"/>
          <w:sz w:val="18"/>
          <w:szCs w:val="18"/>
          <w:u w:val="none"/>
        </w:rPr>
      </w:pPr>
      <w:r>
        <w:rPr>
          <w:rFonts w:ascii="Arial Narrow" w:hAnsi="Arial Narrow"/>
          <w:sz w:val="18"/>
          <w:szCs w:val="18"/>
        </w:rPr>
        <w:t>Source: Adapted from Table B.4-2 (p65</w:t>
      </w:r>
      <w:r w:rsidRPr="001F63A2">
        <w:rPr>
          <w:rFonts w:ascii="Arial Narrow" w:hAnsi="Arial Narrow"/>
          <w:sz w:val="18"/>
          <w:szCs w:val="18"/>
        </w:rPr>
        <w:t xml:space="preserve">) of the submission. </w:t>
      </w:r>
      <w:r w:rsidRPr="001F63A2">
        <w:rPr>
          <w:rFonts w:ascii="Arial Narrow" w:hAnsi="Arial Narrow"/>
          <w:i/>
          <w:sz w:val="18"/>
          <w:szCs w:val="18"/>
        </w:rPr>
        <w:t xml:space="preserve">Additional data </w:t>
      </w:r>
      <w:r>
        <w:rPr>
          <w:rFonts w:ascii="Arial Narrow" w:hAnsi="Arial Narrow"/>
          <w:i/>
          <w:sz w:val="18"/>
          <w:szCs w:val="18"/>
        </w:rPr>
        <w:t>calculated during the evaluation.</w:t>
      </w:r>
    </w:p>
    <w:p w:rsidR="007160A7" w:rsidRDefault="007160A7" w:rsidP="00DB24A2">
      <w:pPr>
        <w:ind w:left="709"/>
        <w:rPr>
          <w:rFonts w:ascii="Arial Narrow" w:hAnsi="Arial Narrow"/>
          <w:sz w:val="18"/>
          <w:szCs w:val="18"/>
        </w:rPr>
      </w:pPr>
      <w:r w:rsidRPr="001F63A2">
        <w:rPr>
          <w:rFonts w:ascii="Arial Narrow" w:hAnsi="Arial Narrow"/>
          <w:sz w:val="18"/>
          <w:szCs w:val="18"/>
        </w:rPr>
        <w:t>Abbreviations: CMG, continuous measure of medication gap; MPR, medication possession ratio; SD, standard deviation</w:t>
      </w:r>
      <w:r>
        <w:rPr>
          <w:rFonts w:ascii="Arial Narrow" w:hAnsi="Arial Narrow"/>
          <w:sz w:val="18"/>
          <w:szCs w:val="18"/>
        </w:rPr>
        <w:t xml:space="preserve">; </w:t>
      </w:r>
      <w:proofErr w:type="spellStart"/>
      <w:r>
        <w:rPr>
          <w:rFonts w:ascii="Arial Narrow" w:hAnsi="Arial Narrow"/>
          <w:sz w:val="18"/>
          <w:szCs w:val="18"/>
        </w:rPr>
        <w:t>yrs</w:t>
      </w:r>
      <w:proofErr w:type="spellEnd"/>
      <w:r>
        <w:rPr>
          <w:rFonts w:ascii="Arial Narrow" w:hAnsi="Arial Narrow"/>
          <w:sz w:val="18"/>
          <w:szCs w:val="18"/>
        </w:rPr>
        <w:t>, years</w:t>
      </w:r>
    </w:p>
    <w:p w:rsidR="007160A7" w:rsidRPr="00B45E48" w:rsidRDefault="007160A7" w:rsidP="00DB24A2">
      <w:pPr>
        <w:ind w:left="709"/>
        <w:rPr>
          <w:rFonts w:ascii="Arial Narrow" w:hAnsi="Arial Narrow"/>
          <w:i/>
          <w:sz w:val="20"/>
        </w:rPr>
      </w:pPr>
      <w:proofErr w:type="spellStart"/>
      <w:proofErr w:type="gramStart"/>
      <w:r>
        <w:rPr>
          <w:rFonts w:ascii="Arial Narrow" w:hAnsi="Arial Narrow"/>
          <w:i/>
          <w:sz w:val="20"/>
          <w:vertAlign w:val="superscript"/>
        </w:rPr>
        <w:t>a</w:t>
      </w:r>
      <w:proofErr w:type="spellEnd"/>
      <w:proofErr w:type="gramEnd"/>
      <w:r>
        <w:rPr>
          <w:rFonts w:ascii="Arial Narrow" w:hAnsi="Arial Narrow"/>
          <w:i/>
          <w:sz w:val="20"/>
        </w:rPr>
        <w:t xml:space="preserve"> </w:t>
      </w:r>
      <w:r>
        <w:rPr>
          <w:rFonts w:ascii="Arial Narrow" w:hAnsi="Arial Narrow"/>
          <w:i/>
          <w:sz w:val="18"/>
          <w:szCs w:val="18"/>
        </w:rPr>
        <w:t>The duration of medication supplied and length of period were not defined. The length of period was calculated using the column for length of pre-period and post-period+30 days during the evaluation.</w:t>
      </w:r>
    </w:p>
    <w:p w:rsidR="0020608C" w:rsidRPr="00053E65" w:rsidRDefault="0020608C" w:rsidP="00053E65">
      <w:pPr>
        <w:rPr>
          <w:szCs w:val="22"/>
        </w:rPr>
      </w:pPr>
    </w:p>
    <w:p w:rsidR="00BD2E1B" w:rsidRPr="00BD2E1B" w:rsidRDefault="00BD2E1B" w:rsidP="00BD2E1B">
      <w:pPr>
        <w:pStyle w:val="ListParagraph"/>
        <w:numPr>
          <w:ilvl w:val="1"/>
          <w:numId w:val="3"/>
        </w:numPr>
        <w:rPr>
          <w:szCs w:val="22"/>
        </w:rPr>
      </w:pPr>
      <w:r w:rsidRPr="00BD2E1B">
        <w:rPr>
          <w:szCs w:val="22"/>
        </w:rPr>
        <w:t>The submission claimed that based on the differences in mean CMG in the 500</w:t>
      </w:r>
      <w:r w:rsidR="00DB24A2">
        <w:rPr>
          <w:szCs w:val="22"/>
        </w:rPr>
        <w:t> </w:t>
      </w:r>
      <w:r w:rsidRPr="00BD2E1B">
        <w:rPr>
          <w:szCs w:val="22"/>
        </w:rPr>
        <w:t xml:space="preserve">patient CMG </w:t>
      </w:r>
      <w:proofErr w:type="gramStart"/>
      <w:r w:rsidRPr="00BD2E1B">
        <w:rPr>
          <w:szCs w:val="22"/>
        </w:rPr>
        <w:t>cohort</w:t>
      </w:r>
      <w:proofErr w:type="gramEnd"/>
      <w:r w:rsidRPr="00BD2E1B">
        <w:rPr>
          <w:szCs w:val="22"/>
        </w:rPr>
        <w:t xml:space="preserve">, patients switching from concomitant therapy to </w:t>
      </w:r>
      <w:proofErr w:type="spellStart"/>
      <w:r w:rsidRPr="00BD2E1B">
        <w:rPr>
          <w:szCs w:val="22"/>
        </w:rPr>
        <w:t>Vytorin</w:t>
      </w:r>
      <w:proofErr w:type="spellEnd"/>
      <w:r w:rsidRPr="00BD2E1B">
        <w:rPr>
          <w:szCs w:val="22"/>
        </w:rPr>
        <w:t xml:space="preserve"> experienced an 11% improvement in CMG versus the statin component and a 4% improvement versus the ezetimibe component. Similarly, the evaluation considered that the larger improvement in CMG versus the statin component was likely to be driven by the selection of sub-optimally compliant patients to the statin component.</w:t>
      </w:r>
    </w:p>
    <w:p w:rsidR="00BD2E1B" w:rsidRPr="00053E65" w:rsidRDefault="00BD2E1B" w:rsidP="00BD2E1B">
      <w:pPr>
        <w:rPr>
          <w:szCs w:val="22"/>
        </w:rPr>
      </w:pPr>
    </w:p>
    <w:p w:rsidR="009F3EFB" w:rsidRPr="009F3EFB" w:rsidRDefault="009F3EFB" w:rsidP="009F3EFB">
      <w:pPr>
        <w:pStyle w:val="ListParagraph"/>
        <w:numPr>
          <w:ilvl w:val="1"/>
          <w:numId w:val="3"/>
        </w:numPr>
        <w:rPr>
          <w:szCs w:val="22"/>
        </w:rPr>
      </w:pPr>
      <w:r w:rsidRPr="0073595A">
        <w:rPr>
          <w:szCs w:val="22"/>
        </w:rPr>
        <w:t>When ana</w:t>
      </w:r>
      <w:r>
        <w:rPr>
          <w:szCs w:val="22"/>
        </w:rPr>
        <w:t>lysing CMG the submission claimed</w:t>
      </w:r>
      <w:r w:rsidRPr="0073595A">
        <w:rPr>
          <w:szCs w:val="22"/>
        </w:rPr>
        <w:t xml:space="preserve"> ‘that the patient cohort experienced a mean gain in both statin and ezetimibe. Half of patients aged 65 and over, showed an improved statin CMG of &gt;10%’. DUSC reiterated its concern that the cohorts for measuring CMG and MPR were different and therefore the benefit of using multiple measures of compliance </w:t>
      </w:r>
      <w:r w:rsidR="00DB24A2">
        <w:rPr>
          <w:szCs w:val="22"/>
        </w:rPr>
        <w:t>wa</w:t>
      </w:r>
      <w:r w:rsidRPr="0073595A">
        <w:rPr>
          <w:szCs w:val="22"/>
        </w:rPr>
        <w:t>s diminished.</w:t>
      </w:r>
      <w:r>
        <w:rPr>
          <w:szCs w:val="22"/>
        </w:rPr>
        <w:t xml:space="preserve"> </w:t>
      </w:r>
    </w:p>
    <w:p w:rsidR="009F3EFB" w:rsidRPr="00053E65" w:rsidRDefault="009F3EFB" w:rsidP="009F3EFB">
      <w:pPr>
        <w:rPr>
          <w:szCs w:val="22"/>
        </w:rPr>
      </w:pPr>
    </w:p>
    <w:p w:rsidR="009F3EFB" w:rsidRPr="0073595A" w:rsidRDefault="009F3EFB" w:rsidP="009F3EFB">
      <w:pPr>
        <w:pStyle w:val="ListParagraph"/>
        <w:numPr>
          <w:ilvl w:val="1"/>
          <w:numId w:val="3"/>
        </w:numPr>
        <w:rPr>
          <w:szCs w:val="22"/>
        </w:rPr>
      </w:pPr>
      <w:r w:rsidRPr="0073595A">
        <w:rPr>
          <w:szCs w:val="22"/>
        </w:rPr>
        <w:t>DUSC also noted that</w:t>
      </w:r>
      <w:r w:rsidR="00053E65">
        <w:rPr>
          <w:szCs w:val="22"/>
        </w:rPr>
        <w:t>,</w:t>
      </w:r>
      <w:r w:rsidRPr="0073595A">
        <w:rPr>
          <w:szCs w:val="22"/>
        </w:rPr>
        <w:t xml:space="preserve"> whilst there were greater improvements in MPR and CMG for the older age-groups, 19-22% of people less than 55 year</w:t>
      </w:r>
      <w:r>
        <w:rPr>
          <w:szCs w:val="22"/>
        </w:rPr>
        <w:t xml:space="preserve">s had a worse MPR (of the </w:t>
      </w:r>
      <w:r w:rsidR="006F4509">
        <w:rPr>
          <w:szCs w:val="22"/>
        </w:rPr>
        <w:t>n</w:t>
      </w:r>
      <w:r>
        <w:rPr>
          <w:szCs w:val="22"/>
        </w:rPr>
        <w:t>=304 </w:t>
      </w:r>
      <w:r w:rsidRPr="0073595A">
        <w:rPr>
          <w:szCs w:val="22"/>
        </w:rPr>
        <w:t xml:space="preserve">cohort) and 23-28% of those less than 55 years that had worse CMG (of the </w:t>
      </w:r>
      <w:r w:rsidR="006F4509" w:rsidRPr="0073595A">
        <w:rPr>
          <w:szCs w:val="22"/>
        </w:rPr>
        <w:t>n</w:t>
      </w:r>
      <w:r w:rsidRPr="0073595A">
        <w:rPr>
          <w:szCs w:val="22"/>
        </w:rPr>
        <w:t xml:space="preserve">=500 cohort). From the literature, younger patients are also the group where </w:t>
      </w:r>
      <w:r w:rsidRPr="0073595A">
        <w:rPr>
          <w:szCs w:val="22"/>
        </w:rPr>
        <w:lastRenderedPageBreak/>
        <w:t>compliance is poorer.</w:t>
      </w:r>
      <w:r>
        <w:rPr>
          <w:szCs w:val="22"/>
        </w:rPr>
        <w:t xml:space="preserve"> </w:t>
      </w:r>
    </w:p>
    <w:p w:rsidR="0073595A" w:rsidRPr="00053E65" w:rsidRDefault="0073595A" w:rsidP="0073595A">
      <w:pPr>
        <w:widowControl/>
        <w:rPr>
          <w:szCs w:val="22"/>
        </w:rPr>
      </w:pPr>
    </w:p>
    <w:p w:rsidR="00AC0AB9" w:rsidRDefault="0073595A" w:rsidP="00BD2E1B">
      <w:pPr>
        <w:pStyle w:val="ListParagraph"/>
        <w:numPr>
          <w:ilvl w:val="1"/>
          <w:numId w:val="3"/>
        </w:numPr>
        <w:rPr>
          <w:szCs w:val="22"/>
        </w:rPr>
      </w:pPr>
      <w:r w:rsidRPr="00BD2E1B">
        <w:rPr>
          <w:szCs w:val="22"/>
        </w:rPr>
        <w:t xml:space="preserve">The submission also estimated persistence in patients receiving </w:t>
      </w:r>
      <w:proofErr w:type="spellStart"/>
      <w:r w:rsidRPr="00BD2E1B">
        <w:rPr>
          <w:szCs w:val="22"/>
        </w:rPr>
        <w:t>Vytorin</w:t>
      </w:r>
      <w:proofErr w:type="spellEnd"/>
      <w:r w:rsidRPr="00BD2E1B">
        <w:rPr>
          <w:szCs w:val="22"/>
        </w:rPr>
        <w:t xml:space="preserve"> or the two pill regimen of simvastatin and ezetimibe in Cohort 2 using a Kaplan Meier analysis.</w:t>
      </w:r>
      <w:r w:rsidR="007042AA" w:rsidRPr="00BD2E1B">
        <w:rPr>
          <w:szCs w:val="22"/>
        </w:rPr>
        <w:t xml:space="preserve"> Patients were included in Cohort 2 if they were dispensed a prescription for </w:t>
      </w:r>
      <w:proofErr w:type="spellStart"/>
      <w:r w:rsidR="007042AA" w:rsidRPr="00BD2E1B">
        <w:rPr>
          <w:szCs w:val="22"/>
        </w:rPr>
        <w:t>Vytorin</w:t>
      </w:r>
      <w:proofErr w:type="spellEnd"/>
      <w:r w:rsidR="007042AA" w:rsidRPr="00BD2E1B">
        <w:rPr>
          <w:szCs w:val="22"/>
        </w:rPr>
        <w:t xml:space="preserve"> or ezetimibe as a single agent (</w:t>
      </w:r>
      <w:proofErr w:type="spellStart"/>
      <w:r w:rsidR="007042AA" w:rsidRPr="00BD2E1B">
        <w:rPr>
          <w:szCs w:val="22"/>
        </w:rPr>
        <w:t>Ezetro</w:t>
      </w:r>
      <w:r w:rsidR="00E40AD3" w:rsidRPr="00BD2E1B">
        <w:rPr>
          <w:szCs w:val="22"/>
        </w:rPr>
        <w:t>l</w:t>
      </w:r>
      <w:proofErr w:type="spellEnd"/>
      <w:r w:rsidR="007042AA" w:rsidRPr="00BD2E1B">
        <w:rPr>
          <w:szCs w:val="22"/>
        </w:rPr>
        <w:t>).</w:t>
      </w:r>
    </w:p>
    <w:p w:rsidR="00BD2E1B" w:rsidRPr="00AD0D74" w:rsidRDefault="00BD2E1B" w:rsidP="00BD2E1B">
      <w:pPr>
        <w:rPr>
          <w:szCs w:val="22"/>
        </w:rPr>
      </w:pPr>
    </w:p>
    <w:p w:rsidR="001719F7" w:rsidRDefault="001719F7" w:rsidP="00BD2E1B">
      <w:pPr>
        <w:pStyle w:val="ListParagraph"/>
        <w:rPr>
          <w:szCs w:val="22"/>
        </w:rPr>
      </w:pPr>
      <w:r>
        <w:rPr>
          <w:szCs w:val="22"/>
        </w:rPr>
        <w:t>The results of this analysis are reproduced below:</w:t>
      </w:r>
    </w:p>
    <w:p w:rsidR="001719F7" w:rsidRPr="00AD0D74" w:rsidRDefault="001719F7" w:rsidP="00AD0D74">
      <w:pPr>
        <w:rPr>
          <w:szCs w:val="22"/>
        </w:rPr>
      </w:pPr>
    </w:p>
    <w:p w:rsidR="001719F7" w:rsidRDefault="001719F7" w:rsidP="00BD2E1B">
      <w:pPr>
        <w:pStyle w:val="ListParagraph"/>
        <w:rPr>
          <w:szCs w:val="22"/>
        </w:rPr>
      </w:pPr>
      <w:r>
        <w:rPr>
          <w:noProof/>
          <w:snapToGrid/>
          <w:szCs w:val="22"/>
          <w:lang w:eastAsia="en-AU"/>
        </w:rPr>
        <w:drawing>
          <wp:inline distT="0" distB="0" distL="0" distR="0" wp14:anchorId="14E1E59C" wp14:editId="0BAE64D3">
            <wp:extent cx="5195371" cy="4029075"/>
            <wp:effectExtent l="0" t="0" r="5715" b="0"/>
            <wp:docPr id="2" name="Picture 2"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2494" cy="4026844"/>
                    </a:xfrm>
                    <a:prstGeom prst="rect">
                      <a:avLst/>
                    </a:prstGeom>
                    <a:noFill/>
                  </pic:spPr>
                </pic:pic>
              </a:graphicData>
            </a:graphic>
          </wp:inline>
        </w:drawing>
      </w:r>
    </w:p>
    <w:p w:rsidR="001719F7" w:rsidRPr="00AD0D74" w:rsidRDefault="001719F7" w:rsidP="00AD0D74">
      <w:pPr>
        <w:rPr>
          <w:szCs w:val="22"/>
        </w:rPr>
      </w:pPr>
    </w:p>
    <w:p w:rsidR="005C78EC" w:rsidRDefault="0073595A" w:rsidP="008D11C6">
      <w:pPr>
        <w:pStyle w:val="ListParagraph"/>
        <w:numPr>
          <w:ilvl w:val="1"/>
          <w:numId w:val="3"/>
        </w:numPr>
        <w:rPr>
          <w:szCs w:val="22"/>
        </w:rPr>
      </w:pPr>
      <w:r w:rsidRPr="007042AA">
        <w:rPr>
          <w:szCs w:val="22"/>
        </w:rPr>
        <w:t xml:space="preserve">The submission claimed that the ‘bottom 50% of patients, in relation to persistence, gain an additional ten months when treated with </w:t>
      </w:r>
      <w:proofErr w:type="spellStart"/>
      <w:r w:rsidRPr="007042AA">
        <w:rPr>
          <w:szCs w:val="22"/>
        </w:rPr>
        <w:t>Vytorin</w:t>
      </w:r>
      <w:proofErr w:type="spellEnd"/>
      <w:r w:rsidRPr="007042AA">
        <w:rPr>
          <w:szCs w:val="22"/>
        </w:rPr>
        <w:t xml:space="preserve"> versus concomitant ezetimibe</w:t>
      </w:r>
      <w:r w:rsidR="00AD0D74">
        <w:rPr>
          <w:szCs w:val="22"/>
        </w:rPr>
        <w:t xml:space="preserve"> and a statin’.</w:t>
      </w:r>
    </w:p>
    <w:p w:rsidR="005C78EC" w:rsidRPr="00AD0D74" w:rsidRDefault="005C78EC" w:rsidP="005C78EC">
      <w:pPr>
        <w:rPr>
          <w:szCs w:val="22"/>
        </w:rPr>
      </w:pPr>
    </w:p>
    <w:p w:rsidR="005C78EC" w:rsidRPr="005C78EC" w:rsidRDefault="005C78EC" w:rsidP="005C78EC">
      <w:pPr>
        <w:pStyle w:val="ListParagraph"/>
        <w:numPr>
          <w:ilvl w:val="1"/>
          <w:numId w:val="3"/>
        </w:numPr>
        <w:rPr>
          <w:szCs w:val="22"/>
        </w:rPr>
      </w:pPr>
      <w:r w:rsidRPr="005C78EC">
        <w:rPr>
          <w:szCs w:val="22"/>
        </w:rPr>
        <w:t xml:space="preserve">The evaluation identified limitations of the persistence analysis including that </w:t>
      </w:r>
      <w:r w:rsidRPr="002B5A26">
        <w:t>limited information was provided regarding the rules and definitions used,</w:t>
      </w:r>
      <w:r w:rsidR="00BF7D48">
        <w:t xml:space="preserve"> classification based on the last script did not allow accurate classification exposure,</w:t>
      </w:r>
      <w:r w:rsidRPr="002B5A26">
        <w:t xml:space="preserve"> </w:t>
      </w:r>
      <w:r>
        <w:t>i</w:t>
      </w:r>
      <w:r w:rsidRPr="00443103">
        <w:t xml:space="preserve">t </w:t>
      </w:r>
      <w:r>
        <w:t>wa</w:t>
      </w:r>
      <w:r w:rsidRPr="00443103">
        <w:t xml:space="preserve">s unclear whether the comparison groups </w:t>
      </w:r>
      <w:r>
        <w:t>we</w:t>
      </w:r>
      <w:r w:rsidRPr="00443103">
        <w:t>re similar due to a lack of baseline characteristics</w:t>
      </w:r>
      <w:r>
        <w:t xml:space="preserve">, </w:t>
      </w:r>
      <w:r w:rsidR="004F7E0C">
        <w:t xml:space="preserve">and </w:t>
      </w:r>
      <w:r>
        <w:t>there were no s</w:t>
      </w:r>
      <w:r w:rsidRPr="00443103">
        <w:t>tatistical test</w:t>
      </w:r>
      <w:r>
        <w:t>s</w:t>
      </w:r>
      <w:r w:rsidRPr="00443103">
        <w:t>, measures of uncertainty or sensitivity analyses presented in the submission</w:t>
      </w:r>
      <w:r w:rsidR="004F7E0C">
        <w:t>,</w:t>
      </w:r>
      <w:r>
        <w:t xml:space="preserve"> and there </w:t>
      </w:r>
      <w:r w:rsidRPr="00443103">
        <w:t>were no adjustments for confounding.</w:t>
      </w:r>
      <w:r>
        <w:t xml:space="preserve"> Further, th</w:t>
      </w:r>
      <w:r w:rsidRPr="00443103">
        <w:t>e submission d</w:t>
      </w:r>
      <w:r>
        <w:t xml:space="preserve">id </w:t>
      </w:r>
      <w:r w:rsidRPr="00443103">
        <w:t>not report the patient numbers informing the analyses. There appear</w:t>
      </w:r>
      <w:r w:rsidR="00DB24A2">
        <w:t>ed</w:t>
      </w:r>
      <w:r w:rsidRPr="00443103">
        <w:t xml:space="preserve"> to be a large difference in the number of patients whose last dispensed formulation was </w:t>
      </w:r>
      <w:proofErr w:type="spellStart"/>
      <w:r w:rsidRPr="00443103">
        <w:t>Vytorin</w:t>
      </w:r>
      <w:proofErr w:type="spellEnd"/>
      <w:r w:rsidRPr="00443103">
        <w:t xml:space="preserve"> versus ezetimibe (15,366 versus 1,228).</w:t>
      </w:r>
      <w:r>
        <w:t xml:space="preserve"> </w:t>
      </w:r>
      <w:r w:rsidRPr="00443103">
        <w:t xml:space="preserve">There </w:t>
      </w:r>
      <w:r w:rsidR="004F7E0C">
        <w:t>wa</w:t>
      </w:r>
      <w:r w:rsidRPr="00443103">
        <w:t xml:space="preserve">s a large amount of censoring in the dataset </w:t>
      </w:r>
      <w:r>
        <w:t>and the</w:t>
      </w:r>
      <w:r w:rsidRPr="00443103">
        <w:t xml:space="preserve"> reasons for censoring patients were not provided</w:t>
      </w:r>
      <w:r>
        <w:t>, and t</w:t>
      </w:r>
      <w:r w:rsidRPr="00443103">
        <w:t xml:space="preserve">here </w:t>
      </w:r>
      <w:r w:rsidR="004F7E0C">
        <w:t>we</w:t>
      </w:r>
      <w:r w:rsidRPr="00443103">
        <w:t>re apparent differences in the pattern of switching based on the starting and ending therapy</w:t>
      </w:r>
      <w:r>
        <w:t>.</w:t>
      </w:r>
    </w:p>
    <w:p w:rsidR="005C78EC" w:rsidRPr="00AD0D74" w:rsidRDefault="005C78EC" w:rsidP="005C78EC">
      <w:pPr>
        <w:rPr>
          <w:szCs w:val="22"/>
        </w:rPr>
      </w:pPr>
    </w:p>
    <w:p w:rsidR="000A2BD8" w:rsidRPr="001719F7" w:rsidRDefault="0073595A" w:rsidP="008D11C6">
      <w:pPr>
        <w:pStyle w:val="ListParagraph"/>
        <w:numPr>
          <w:ilvl w:val="1"/>
          <w:numId w:val="3"/>
        </w:numPr>
        <w:rPr>
          <w:b/>
          <w:i/>
          <w:color w:val="FF00FF"/>
          <w:szCs w:val="22"/>
        </w:rPr>
      </w:pPr>
      <w:r w:rsidRPr="001719F7">
        <w:rPr>
          <w:szCs w:val="22"/>
        </w:rPr>
        <w:t xml:space="preserve">DUSC considered this analysis was flawed because the patients were allocated to the ezetimibe or </w:t>
      </w:r>
      <w:proofErr w:type="spellStart"/>
      <w:r w:rsidRPr="001719F7">
        <w:rPr>
          <w:szCs w:val="22"/>
        </w:rPr>
        <w:t>Vytorin</w:t>
      </w:r>
      <w:proofErr w:type="spellEnd"/>
      <w:r w:rsidRPr="001719F7">
        <w:rPr>
          <w:szCs w:val="22"/>
        </w:rPr>
        <w:t xml:space="preserve"> arms based only on their last prescription dispensed. This </w:t>
      </w:r>
      <w:r w:rsidR="00DB24A2">
        <w:rPr>
          <w:szCs w:val="22"/>
        </w:rPr>
        <w:t>wa</w:t>
      </w:r>
      <w:r w:rsidRPr="001719F7">
        <w:rPr>
          <w:szCs w:val="22"/>
        </w:rPr>
        <w:t xml:space="preserve">s likely to favour </w:t>
      </w:r>
      <w:proofErr w:type="spellStart"/>
      <w:r w:rsidRPr="001719F7">
        <w:rPr>
          <w:szCs w:val="22"/>
        </w:rPr>
        <w:t>Vytorin</w:t>
      </w:r>
      <w:proofErr w:type="spellEnd"/>
      <w:r w:rsidRPr="001719F7">
        <w:rPr>
          <w:szCs w:val="22"/>
        </w:rPr>
        <w:t xml:space="preserve"> because of “survivor” bias. That is, a patient that persists is more likely to be switched from ezetimibe + any statin to </w:t>
      </w:r>
      <w:proofErr w:type="spellStart"/>
      <w:r w:rsidRPr="001719F7">
        <w:rPr>
          <w:szCs w:val="22"/>
        </w:rPr>
        <w:t>Vytorin</w:t>
      </w:r>
      <w:proofErr w:type="spellEnd"/>
      <w:r w:rsidRPr="001719F7">
        <w:rPr>
          <w:szCs w:val="22"/>
        </w:rPr>
        <w:t xml:space="preserve">, than vice versa. </w:t>
      </w:r>
    </w:p>
    <w:p w:rsidR="000A2BD8" w:rsidRPr="001719F7" w:rsidRDefault="000A2BD8" w:rsidP="000A2BD8">
      <w:pPr>
        <w:rPr>
          <w:szCs w:val="22"/>
        </w:rPr>
      </w:pPr>
    </w:p>
    <w:p w:rsidR="00AB7B6F" w:rsidRPr="00AD0D74" w:rsidRDefault="003E4653" w:rsidP="004F7E0C">
      <w:pPr>
        <w:pStyle w:val="ListParagraph"/>
        <w:numPr>
          <w:ilvl w:val="1"/>
          <w:numId w:val="3"/>
        </w:numPr>
        <w:rPr>
          <w:szCs w:val="22"/>
        </w:rPr>
      </w:pPr>
      <w:r w:rsidRPr="001719F7">
        <w:rPr>
          <w:szCs w:val="22"/>
        </w:rPr>
        <w:t xml:space="preserve">DUSC advised </w:t>
      </w:r>
      <w:r w:rsidR="00BF7D48" w:rsidRPr="001719F7">
        <w:rPr>
          <w:szCs w:val="22"/>
        </w:rPr>
        <w:t xml:space="preserve">the PBAC </w:t>
      </w:r>
      <w:r w:rsidRPr="001719F7">
        <w:rPr>
          <w:szCs w:val="22"/>
        </w:rPr>
        <w:t>that the data analys</w:t>
      </w:r>
      <w:r w:rsidR="00186D32">
        <w:rPr>
          <w:szCs w:val="22"/>
        </w:rPr>
        <w:t>e</w:t>
      </w:r>
      <w:r w:rsidRPr="001719F7">
        <w:rPr>
          <w:szCs w:val="22"/>
        </w:rPr>
        <w:t xml:space="preserve">s presented in the submission provided insufficient evidence to determine if a compliance advantage exists for </w:t>
      </w:r>
      <w:proofErr w:type="spellStart"/>
      <w:r w:rsidRPr="001719F7">
        <w:rPr>
          <w:szCs w:val="22"/>
        </w:rPr>
        <w:t>Vytorin</w:t>
      </w:r>
      <w:proofErr w:type="spellEnd"/>
      <w:r w:rsidRPr="001719F7">
        <w:rPr>
          <w:szCs w:val="22"/>
        </w:rPr>
        <w:t>.</w:t>
      </w:r>
      <w:r w:rsidRPr="00AD0D74">
        <w:rPr>
          <w:szCs w:val="22"/>
        </w:rPr>
        <w:t xml:space="preserve"> </w:t>
      </w:r>
      <w:r w:rsidR="004F7E0C">
        <w:rPr>
          <w:szCs w:val="22"/>
        </w:rPr>
        <w:t xml:space="preserve">There </w:t>
      </w:r>
      <w:r w:rsidR="00DB24A2">
        <w:rPr>
          <w:szCs w:val="22"/>
        </w:rPr>
        <w:t>we</w:t>
      </w:r>
      <w:r w:rsidR="004F7E0C">
        <w:rPr>
          <w:szCs w:val="22"/>
        </w:rPr>
        <w:t>re m</w:t>
      </w:r>
      <w:r w:rsidR="004F7E0C" w:rsidRPr="004F7E0C">
        <w:rPr>
          <w:szCs w:val="22"/>
        </w:rPr>
        <w:t>ethodological issues with the compliance analyses presented includ</w:t>
      </w:r>
      <w:r w:rsidR="004F7E0C">
        <w:rPr>
          <w:szCs w:val="22"/>
        </w:rPr>
        <w:t>ing</w:t>
      </w:r>
      <w:r w:rsidR="004F7E0C" w:rsidRPr="004F7E0C">
        <w:rPr>
          <w:szCs w:val="22"/>
        </w:rPr>
        <w:t xml:space="preserve"> time-dependent bias, possible differences in application of methods pre- and post-</w:t>
      </w:r>
      <w:proofErr w:type="spellStart"/>
      <w:r w:rsidR="004F7E0C" w:rsidRPr="004F7E0C">
        <w:rPr>
          <w:szCs w:val="22"/>
        </w:rPr>
        <w:t>Vytorin</w:t>
      </w:r>
      <w:proofErr w:type="spellEnd"/>
      <w:r w:rsidR="004F7E0C" w:rsidRPr="004F7E0C">
        <w:rPr>
          <w:szCs w:val="22"/>
        </w:rPr>
        <w:t xml:space="preserve">, and </w:t>
      </w:r>
      <w:r w:rsidR="00683A71">
        <w:rPr>
          <w:szCs w:val="22"/>
        </w:rPr>
        <w:t xml:space="preserve">that </w:t>
      </w:r>
      <w:r w:rsidR="004F7E0C" w:rsidRPr="004F7E0C">
        <w:rPr>
          <w:szCs w:val="22"/>
        </w:rPr>
        <w:t>the compliance measures were assessed in different groups</w:t>
      </w:r>
      <w:r w:rsidR="004F7E0C">
        <w:rPr>
          <w:szCs w:val="22"/>
        </w:rPr>
        <w:t xml:space="preserve">. </w:t>
      </w:r>
      <w:r w:rsidR="00AB7B6F" w:rsidRPr="001719F7">
        <w:rPr>
          <w:szCs w:val="22"/>
        </w:rPr>
        <w:t xml:space="preserve">DUSC considered that the persistence analysis did not support a claim of improved compliance because the impact of last script ascertainment on grouping was not able to be assessed. </w:t>
      </w:r>
    </w:p>
    <w:p w:rsidR="0003014E" w:rsidRPr="00AD0D74" w:rsidRDefault="0003014E" w:rsidP="00F75330">
      <w:pPr>
        <w:widowControl/>
        <w:rPr>
          <w:szCs w:val="22"/>
        </w:rPr>
      </w:pPr>
    </w:p>
    <w:p w:rsidR="004F5459" w:rsidRPr="004F5459" w:rsidRDefault="004F5459" w:rsidP="004F5459">
      <w:pPr>
        <w:ind w:left="1440" w:hanging="720"/>
        <w:rPr>
          <w:i/>
          <w:szCs w:val="22"/>
        </w:rPr>
      </w:pPr>
      <w:r w:rsidRPr="004F5459">
        <w:rPr>
          <w:i/>
          <w:szCs w:val="22"/>
        </w:rPr>
        <w:t>For more detail on PBAC’s view, see section 7 “PBAC outcome”</w:t>
      </w:r>
    </w:p>
    <w:p w:rsidR="00AF265C" w:rsidRPr="00AD0D74" w:rsidRDefault="00AF265C" w:rsidP="00F75330">
      <w:pPr>
        <w:widowControl/>
        <w:rPr>
          <w:szCs w:val="22"/>
        </w:rPr>
      </w:pPr>
    </w:p>
    <w:p w:rsidR="00F75330" w:rsidRPr="00AF265C" w:rsidRDefault="00AF265C" w:rsidP="00F75330">
      <w:pPr>
        <w:widowControl/>
        <w:rPr>
          <w:b/>
          <w:i/>
          <w:szCs w:val="22"/>
        </w:rPr>
      </w:pPr>
      <w:r w:rsidRPr="00AF265C">
        <w:rPr>
          <w:b/>
          <w:i/>
          <w:szCs w:val="22"/>
        </w:rPr>
        <w:t xml:space="preserve">Identification and review of data that supports the claim that the compliance benefit associated with </w:t>
      </w:r>
      <w:proofErr w:type="spellStart"/>
      <w:r w:rsidRPr="00AF265C">
        <w:rPr>
          <w:b/>
          <w:i/>
          <w:szCs w:val="22"/>
        </w:rPr>
        <w:t>V</w:t>
      </w:r>
      <w:r w:rsidR="009000E3">
        <w:rPr>
          <w:b/>
          <w:i/>
          <w:szCs w:val="22"/>
        </w:rPr>
        <w:t>ytorin</w:t>
      </w:r>
      <w:proofErr w:type="spellEnd"/>
      <w:r w:rsidRPr="00AF265C">
        <w:rPr>
          <w:b/>
          <w:i/>
          <w:szCs w:val="22"/>
        </w:rPr>
        <w:t xml:space="preserve"> is sufficient to affect health outcomes (e.g. MI, mortality) in the appropriate Australian patients</w:t>
      </w:r>
      <w:r w:rsidR="00DF3C3E" w:rsidRPr="00DF3C3E">
        <w:t xml:space="preserve"> </w:t>
      </w:r>
      <w:r w:rsidR="00DF3C3E" w:rsidRPr="00DF3C3E">
        <w:rPr>
          <w:b/>
          <w:i/>
          <w:szCs w:val="22"/>
        </w:rPr>
        <w:t xml:space="preserve">(Question </w:t>
      </w:r>
      <w:r w:rsidR="00DF3C3E">
        <w:rPr>
          <w:b/>
          <w:i/>
          <w:szCs w:val="22"/>
        </w:rPr>
        <w:t>5</w:t>
      </w:r>
      <w:r w:rsidR="00DF3C3E" w:rsidRPr="00DF3C3E">
        <w:rPr>
          <w:b/>
          <w:i/>
          <w:szCs w:val="22"/>
        </w:rPr>
        <w:t xml:space="preserve"> in the CMWG report)</w:t>
      </w:r>
    </w:p>
    <w:p w:rsidR="004D2CF0" w:rsidRPr="00AF265C" w:rsidRDefault="004D2CF0" w:rsidP="00AF265C">
      <w:pPr>
        <w:widowControl/>
        <w:rPr>
          <w:szCs w:val="22"/>
        </w:rPr>
      </w:pPr>
    </w:p>
    <w:p w:rsidR="00ED113D" w:rsidRPr="00843040" w:rsidRDefault="00880AC0" w:rsidP="00843040">
      <w:pPr>
        <w:pStyle w:val="ListParagraph"/>
        <w:widowControl/>
        <w:numPr>
          <w:ilvl w:val="1"/>
          <w:numId w:val="3"/>
        </w:numPr>
        <w:rPr>
          <w:szCs w:val="22"/>
        </w:rPr>
      </w:pPr>
      <w:r>
        <w:rPr>
          <w:szCs w:val="22"/>
        </w:rPr>
        <w:t>The submission stated</w:t>
      </w:r>
      <w:r w:rsidRPr="00880AC0">
        <w:rPr>
          <w:szCs w:val="22"/>
        </w:rPr>
        <w:t xml:space="preserve"> that the </w:t>
      </w:r>
      <w:r w:rsidR="00137E7A">
        <w:rPr>
          <w:szCs w:val="22"/>
        </w:rPr>
        <w:t xml:space="preserve">literature </w:t>
      </w:r>
      <w:r w:rsidRPr="00880AC0">
        <w:rPr>
          <w:szCs w:val="22"/>
        </w:rPr>
        <w:t xml:space="preserve">search for the current </w:t>
      </w:r>
      <w:r>
        <w:rPr>
          <w:szCs w:val="22"/>
        </w:rPr>
        <w:t xml:space="preserve">compliance benefit for </w:t>
      </w:r>
      <w:proofErr w:type="spellStart"/>
      <w:r>
        <w:rPr>
          <w:szCs w:val="22"/>
        </w:rPr>
        <w:t>Vytorin</w:t>
      </w:r>
      <w:proofErr w:type="spellEnd"/>
      <w:r>
        <w:rPr>
          <w:szCs w:val="22"/>
        </w:rPr>
        <w:t xml:space="preserve"> </w:t>
      </w:r>
      <w:r w:rsidRPr="00880AC0">
        <w:rPr>
          <w:szCs w:val="22"/>
        </w:rPr>
        <w:t>located only two studies that assessed complianc</w:t>
      </w:r>
      <w:r>
        <w:rPr>
          <w:szCs w:val="22"/>
        </w:rPr>
        <w:t xml:space="preserve">e to </w:t>
      </w:r>
      <w:proofErr w:type="spellStart"/>
      <w:r>
        <w:rPr>
          <w:szCs w:val="22"/>
        </w:rPr>
        <w:t>Vytorin</w:t>
      </w:r>
      <w:proofErr w:type="spellEnd"/>
      <w:r w:rsidRPr="00880AC0">
        <w:rPr>
          <w:szCs w:val="22"/>
        </w:rPr>
        <w:t>. Of these, only one study reported lipid profiles (</w:t>
      </w:r>
      <w:proofErr w:type="spellStart"/>
      <w:r w:rsidRPr="00880AC0">
        <w:rPr>
          <w:szCs w:val="22"/>
        </w:rPr>
        <w:t>Hildemann</w:t>
      </w:r>
      <w:proofErr w:type="spellEnd"/>
      <w:r w:rsidRPr="00880AC0">
        <w:rPr>
          <w:szCs w:val="22"/>
        </w:rPr>
        <w:t xml:space="preserve"> et al</w:t>
      </w:r>
      <w:r w:rsidR="00DB24A2">
        <w:rPr>
          <w:szCs w:val="22"/>
        </w:rPr>
        <w:t>.</w:t>
      </w:r>
      <w:r w:rsidRPr="00880AC0">
        <w:rPr>
          <w:szCs w:val="22"/>
        </w:rPr>
        <w:t xml:space="preserve"> 2008). Therefore, the search strategy was widened to include compliance t</w:t>
      </w:r>
      <w:r>
        <w:rPr>
          <w:szCs w:val="22"/>
        </w:rPr>
        <w:t>o statins. The submission claimed</w:t>
      </w:r>
      <w:r w:rsidRPr="00880AC0">
        <w:rPr>
          <w:szCs w:val="22"/>
        </w:rPr>
        <w:t xml:space="preserve"> that any impr</w:t>
      </w:r>
      <w:r>
        <w:rPr>
          <w:szCs w:val="22"/>
        </w:rPr>
        <w:t xml:space="preserve">ovement in adherence to </w:t>
      </w:r>
      <w:proofErr w:type="spellStart"/>
      <w:r>
        <w:rPr>
          <w:szCs w:val="22"/>
        </w:rPr>
        <w:t>Vytorin</w:t>
      </w:r>
      <w:proofErr w:type="spellEnd"/>
      <w:r w:rsidRPr="00880AC0">
        <w:rPr>
          <w:szCs w:val="22"/>
        </w:rPr>
        <w:t xml:space="preserve"> implies an improvement to the statin component. </w:t>
      </w:r>
    </w:p>
    <w:p w:rsidR="00880AC0" w:rsidRPr="00843040" w:rsidRDefault="00880AC0" w:rsidP="00843040">
      <w:pPr>
        <w:widowControl/>
        <w:rPr>
          <w:szCs w:val="22"/>
        </w:rPr>
      </w:pPr>
    </w:p>
    <w:p w:rsidR="00880AC0" w:rsidRDefault="008F16C5" w:rsidP="00880AC0">
      <w:pPr>
        <w:pStyle w:val="ListParagraph"/>
        <w:widowControl/>
        <w:numPr>
          <w:ilvl w:val="1"/>
          <w:numId w:val="3"/>
        </w:numPr>
        <w:rPr>
          <w:szCs w:val="22"/>
        </w:rPr>
      </w:pPr>
      <w:r>
        <w:rPr>
          <w:szCs w:val="22"/>
        </w:rPr>
        <w:t>In the context of</w:t>
      </w:r>
      <w:r w:rsidR="00843040">
        <w:rPr>
          <w:szCs w:val="22"/>
        </w:rPr>
        <w:t xml:space="preserve"> Question 5 of the CMWG report, t</w:t>
      </w:r>
      <w:r w:rsidR="00880AC0">
        <w:rPr>
          <w:szCs w:val="22"/>
        </w:rPr>
        <w:t>he submission included three systematic reviews</w:t>
      </w:r>
      <w:r w:rsidR="00A65D84">
        <w:rPr>
          <w:szCs w:val="22"/>
        </w:rPr>
        <w:t xml:space="preserve"> (Chowdhury et al. 2013), Gomez et al</w:t>
      </w:r>
      <w:r w:rsidR="00DB24A2">
        <w:rPr>
          <w:szCs w:val="22"/>
        </w:rPr>
        <w:t>.</w:t>
      </w:r>
      <w:r w:rsidR="00A65D84">
        <w:rPr>
          <w:szCs w:val="22"/>
        </w:rPr>
        <w:t xml:space="preserve"> (2013) and Simpson et al</w:t>
      </w:r>
      <w:r w:rsidR="00DB24A2">
        <w:rPr>
          <w:szCs w:val="22"/>
        </w:rPr>
        <w:t>.</w:t>
      </w:r>
      <w:r w:rsidR="00A65D84">
        <w:rPr>
          <w:szCs w:val="22"/>
        </w:rPr>
        <w:t xml:space="preserve"> (2010))</w:t>
      </w:r>
      <w:r w:rsidR="00880AC0">
        <w:rPr>
          <w:szCs w:val="22"/>
        </w:rPr>
        <w:t xml:space="preserve">, one </w:t>
      </w:r>
      <w:r w:rsidR="00880AC0" w:rsidRPr="00880AC0">
        <w:rPr>
          <w:szCs w:val="22"/>
        </w:rPr>
        <w:t>narrati</w:t>
      </w:r>
      <w:r w:rsidR="00880AC0">
        <w:rPr>
          <w:szCs w:val="22"/>
        </w:rPr>
        <w:t>ve review and 24 </w:t>
      </w:r>
      <w:r w:rsidR="00880AC0" w:rsidRPr="00880AC0">
        <w:rPr>
          <w:szCs w:val="22"/>
        </w:rPr>
        <w:t>observ</w:t>
      </w:r>
      <w:r w:rsidR="00880AC0">
        <w:rPr>
          <w:szCs w:val="22"/>
        </w:rPr>
        <w:t xml:space="preserve">ational studies. </w:t>
      </w:r>
      <w:r w:rsidR="00880AC0" w:rsidRPr="00880AC0">
        <w:rPr>
          <w:szCs w:val="22"/>
        </w:rPr>
        <w:t>A targeted independent search</w:t>
      </w:r>
      <w:r w:rsidR="00880AC0">
        <w:rPr>
          <w:szCs w:val="22"/>
        </w:rPr>
        <w:t xml:space="preserve"> by the evaluation</w:t>
      </w:r>
      <w:r w:rsidR="00880AC0" w:rsidRPr="00880AC0">
        <w:rPr>
          <w:szCs w:val="22"/>
        </w:rPr>
        <w:t xml:space="preserve"> located other potentially relevant studies (De Vera et al, </w:t>
      </w:r>
      <w:proofErr w:type="spellStart"/>
      <w:r w:rsidR="00880AC0" w:rsidRPr="00880AC0">
        <w:rPr>
          <w:szCs w:val="22"/>
        </w:rPr>
        <w:t>epub</w:t>
      </w:r>
      <w:proofErr w:type="spellEnd"/>
      <w:r w:rsidR="00880AC0" w:rsidRPr="00880AC0">
        <w:rPr>
          <w:szCs w:val="22"/>
        </w:rPr>
        <w:t xml:space="preserve"> 2014 </w:t>
      </w:r>
      <w:r w:rsidR="00880AC0">
        <w:rPr>
          <w:szCs w:val="22"/>
        </w:rPr>
        <w:t xml:space="preserve">was </w:t>
      </w:r>
      <w:r w:rsidR="00880AC0" w:rsidRPr="00880AC0">
        <w:rPr>
          <w:szCs w:val="22"/>
        </w:rPr>
        <w:t xml:space="preserve">included in the </w:t>
      </w:r>
      <w:r w:rsidR="000D6553">
        <w:rPr>
          <w:szCs w:val="22"/>
        </w:rPr>
        <w:t>evaluation</w:t>
      </w:r>
      <w:r w:rsidR="00880AC0" w:rsidRPr="00880AC0">
        <w:rPr>
          <w:szCs w:val="22"/>
        </w:rPr>
        <w:t xml:space="preserve"> as it is a systematic review). </w:t>
      </w:r>
    </w:p>
    <w:p w:rsidR="00880AC0" w:rsidRPr="00AD0D74" w:rsidRDefault="00880AC0" w:rsidP="00880AC0">
      <w:pPr>
        <w:widowControl/>
        <w:rPr>
          <w:szCs w:val="22"/>
        </w:rPr>
      </w:pPr>
    </w:p>
    <w:p w:rsidR="00843040" w:rsidRPr="00AD0D74" w:rsidRDefault="00843040" w:rsidP="008F16C5">
      <w:pPr>
        <w:pStyle w:val="ListParagraph"/>
        <w:widowControl/>
        <w:numPr>
          <w:ilvl w:val="1"/>
          <w:numId w:val="3"/>
        </w:numPr>
        <w:rPr>
          <w:szCs w:val="22"/>
        </w:rPr>
      </w:pPr>
      <w:r>
        <w:rPr>
          <w:szCs w:val="22"/>
        </w:rPr>
        <w:t xml:space="preserve">The submission further nominated </w:t>
      </w:r>
      <w:proofErr w:type="spellStart"/>
      <w:r w:rsidRPr="00843040">
        <w:rPr>
          <w:szCs w:val="22"/>
        </w:rPr>
        <w:t>Haukka</w:t>
      </w:r>
      <w:proofErr w:type="spellEnd"/>
      <w:r w:rsidRPr="00843040">
        <w:rPr>
          <w:szCs w:val="22"/>
        </w:rPr>
        <w:t xml:space="preserve"> et al (2012) to translate the claimed adherence benefit to clinical ou</w:t>
      </w:r>
      <w:r>
        <w:rPr>
          <w:szCs w:val="22"/>
        </w:rPr>
        <w:t>tcomes. The submission also used</w:t>
      </w:r>
      <w:r w:rsidRPr="00843040">
        <w:rPr>
          <w:szCs w:val="22"/>
        </w:rPr>
        <w:t xml:space="preserve"> another unidentified study </w:t>
      </w:r>
      <w:r>
        <w:rPr>
          <w:szCs w:val="22"/>
        </w:rPr>
        <w:t>(</w:t>
      </w:r>
      <w:r w:rsidRPr="00843040">
        <w:rPr>
          <w:szCs w:val="22"/>
        </w:rPr>
        <w:t xml:space="preserve">which may </w:t>
      </w:r>
      <w:r>
        <w:rPr>
          <w:szCs w:val="22"/>
        </w:rPr>
        <w:t xml:space="preserve">have </w:t>
      </w:r>
      <w:r w:rsidRPr="00843040">
        <w:rPr>
          <w:szCs w:val="22"/>
        </w:rPr>
        <w:t>be</w:t>
      </w:r>
      <w:r>
        <w:rPr>
          <w:szCs w:val="22"/>
        </w:rPr>
        <w:t>en</w:t>
      </w:r>
      <w:r w:rsidRPr="00843040">
        <w:rPr>
          <w:szCs w:val="22"/>
        </w:rPr>
        <w:t xml:space="preserve"> Rasmussen et al (2007)</w:t>
      </w:r>
      <w:r>
        <w:rPr>
          <w:szCs w:val="22"/>
        </w:rPr>
        <w:t xml:space="preserve">) </w:t>
      </w:r>
      <w:r w:rsidRPr="00843040">
        <w:rPr>
          <w:szCs w:val="22"/>
        </w:rPr>
        <w:t>to translat</w:t>
      </w:r>
      <w:r>
        <w:rPr>
          <w:szCs w:val="22"/>
        </w:rPr>
        <w:t>e the claimed adherence benefit</w:t>
      </w:r>
      <w:r w:rsidRPr="00843040">
        <w:rPr>
          <w:szCs w:val="22"/>
        </w:rPr>
        <w:t>.</w:t>
      </w:r>
      <w:r>
        <w:rPr>
          <w:szCs w:val="22"/>
        </w:rPr>
        <w:t xml:space="preserve"> </w:t>
      </w:r>
    </w:p>
    <w:p w:rsidR="00843040" w:rsidRPr="00AD0D74" w:rsidRDefault="00843040" w:rsidP="00843040">
      <w:pPr>
        <w:widowControl/>
        <w:rPr>
          <w:szCs w:val="22"/>
        </w:rPr>
      </w:pPr>
    </w:p>
    <w:p w:rsidR="00843040" w:rsidRPr="007740CE" w:rsidRDefault="00843040" w:rsidP="007740CE">
      <w:pPr>
        <w:pStyle w:val="ListParagraph"/>
        <w:widowControl/>
        <w:numPr>
          <w:ilvl w:val="1"/>
          <w:numId w:val="3"/>
        </w:numPr>
        <w:rPr>
          <w:szCs w:val="22"/>
        </w:rPr>
      </w:pPr>
      <w:r w:rsidRPr="007740CE">
        <w:rPr>
          <w:szCs w:val="22"/>
        </w:rPr>
        <w:t xml:space="preserve">The submission did not investigate </w:t>
      </w:r>
      <w:r w:rsidR="00137E7A">
        <w:rPr>
          <w:szCs w:val="22"/>
        </w:rPr>
        <w:t xml:space="preserve">the </w:t>
      </w:r>
      <w:r w:rsidRPr="007740CE">
        <w:rPr>
          <w:szCs w:val="22"/>
        </w:rPr>
        <w:t xml:space="preserve">compliance benefits of </w:t>
      </w:r>
      <w:proofErr w:type="spellStart"/>
      <w:r w:rsidRPr="007740CE">
        <w:rPr>
          <w:szCs w:val="22"/>
        </w:rPr>
        <w:t>Vytorin</w:t>
      </w:r>
      <w:proofErr w:type="spellEnd"/>
      <w:r w:rsidRPr="007740CE">
        <w:rPr>
          <w:szCs w:val="22"/>
        </w:rPr>
        <w:t xml:space="preserve"> versus statin monotherapy, or the compliance benefit of ezetimibe</w:t>
      </w:r>
      <w:r w:rsidR="00137E7A">
        <w:rPr>
          <w:szCs w:val="22"/>
        </w:rPr>
        <w:t>,</w:t>
      </w:r>
      <w:r w:rsidRPr="007740CE">
        <w:rPr>
          <w:szCs w:val="22"/>
        </w:rPr>
        <w:t xml:space="preserve"> on patient-relevant outcomes. </w:t>
      </w:r>
    </w:p>
    <w:p w:rsidR="00843040" w:rsidRPr="00AD0D74" w:rsidRDefault="00843040" w:rsidP="00843040">
      <w:pPr>
        <w:widowControl/>
        <w:rPr>
          <w:szCs w:val="22"/>
        </w:rPr>
      </w:pPr>
    </w:p>
    <w:p w:rsidR="00843040" w:rsidRPr="007740CE" w:rsidRDefault="00843040" w:rsidP="00843040">
      <w:pPr>
        <w:pStyle w:val="ListParagraph"/>
        <w:widowControl/>
        <w:numPr>
          <w:ilvl w:val="1"/>
          <w:numId w:val="3"/>
        </w:numPr>
        <w:rPr>
          <w:szCs w:val="22"/>
        </w:rPr>
      </w:pPr>
      <w:r>
        <w:rPr>
          <w:szCs w:val="22"/>
        </w:rPr>
        <w:t>The submission claimed</w:t>
      </w:r>
      <w:r w:rsidRPr="00843040">
        <w:rPr>
          <w:szCs w:val="22"/>
        </w:rPr>
        <w:t xml:space="preserve"> that switching patients from concomitant ezetimibe and statin to </w:t>
      </w:r>
      <w:proofErr w:type="spellStart"/>
      <w:r w:rsidRPr="00843040">
        <w:rPr>
          <w:szCs w:val="22"/>
        </w:rPr>
        <w:t>Vytorin</w:t>
      </w:r>
      <w:proofErr w:type="spellEnd"/>
      <w:r w:rsidRPr="00843040">
        <w:rPr>
          <w:szCs w:val="22"/>
        </w:rPr>
        <w:t xml:space="preserve"> results in a mean improvement in MPR from 67% to 81% based on the analyses from the </w:t>
      </w:r>
      <w:proofErr w:type="spellStart"/>
      <w:r w:rsidRPr="00843040">
        <w:rPr>
          <w:szCs w:val="22"/>
        </w:rPr>
        <w:t>Vytorin</w:t>
      </w:r>
      <w:proofErr w:type="spellEnd"/>
      <w:r w:rsidRPr="00843040">
        <w:rPr>
          <w:szCs w:val="22"/>
        </w:rPr>
        <w:t xml:space="preserve"> Compliance Study IV</w:t>
      </w:r>
      <w:r w:rsidR="00AD0D74">
        <w:rPr>
          <w:szCs w:val="22"/>
        </w:rPr>
        <w:t>,</w:t>
      </w:r>
      <w:r w:rsidRPr="00843040">
        <w:rPr>
          <w:szCs w:val="22"/>
        </w:rPr>
        <w:t xml:space="preserve"> </w:t>
      </w:r>
      <w:r w:rsidR="00137E7A">
        <w:rPr>
          <w:szCs w:val="22"/>
        </w:rPr>
        <w:t>indicating</w:t>
      </w:r>
      <w:r w:rsidRPr="00843040">
        <w:rPr>
          <w:szCs w:val="22"/>
        </w:rPr>
        <w:t xml:space="preserve"> that the average patient on </w:t>
      </w:r>
      <w:proofErr w:type="spellStart"/>
      <w:r w:rsidRPr="00843040">
        <w:rPr>
          <w:szCs w:val="22"/>
        </w:rPr>
        <w:t>Vytorin</w:t>
      </w:r>
      <w:proofErr w:type="spellEnd"/>
      <w:r w:rsidRPr="00843040">
        <w:rPr>
          <w:szCs w:val="22"/>
        </w:rPr>
        <w:t xml:space="preserve"> would have good compliance</w:t>
      </w:r>
      <w:r>
        <w:rPr>
          <w:szCs w:val="22"/>
        </w:rPr>
        <w:t>. The submission claimed</w:t>
      </w:r>
      <w:r w:rsidRPr="00843040">
        <w:rPr>
          <w:szCs w:val="22"/>
        </w:rPr>
        <w:t xml:space="preserve"> that this translates to a reduction in mortality risk of 12% in </w:t>
      </w:r>
      <w:proofErr w:type="spellStart"/>
      <w:r w:rsidRPr="00843040">
        <w:rPr>
          <w:szCs w:val="22"/>
        </w:rPr>
        <w:t>Vytorin</w:t>
      </w:r>
      <w:proofErr w:type="spellEnd"/>
      <w:r w:rsidRPr="00843040">
        <w:rPr>
          <w:szCs w:val="22"/>
        </w:rPr>
        <w:t xml:space="preserve"> treated patients compared with patients treated with concomitant ezetimibe and statin (</w:t>
      </w:r>
      <w:r w:rsidR="00137E7A" w:rsidRPr="007740CE">
        <w:rPr>
          <w:szCs w:val="22"/>
        </w:rPr>
        <w:t>appear</w:t>
      </w:r>
      <w:r w:rsidR="00DB24A2">
        <w:rPr>
          <w:szCs w:val="22"/>
        </w:rPr>
        <w:t>ed</w:t>
      </w:r>
      <w:r w:rsidR="00137E7A" w:rsidRPr="007740CE">
        <w:rPr>
          <w:szCs w:val="22"/>
        </w:rPr>
        <w:t xml:space="preserve"> </w:t>
      </w:r>
      <w:r w:rsidRPr="007740CE">
        <w:rPr>
          <w:szCs w:val="22"/>
        </w:rPr>
        <w:t>to be based on Rasmussen et al</w:t>
      </w:r>
      <w:r w:rsidR="00DB24A2">
        <w:rPr>
          <w:szCs w:val="22"/>
        </w:rPr>
        <w:t>.</w:t>
      </w:r>
      <w:r w:rsidRPr="00843040">
        <w:rPr>
          <w:i/>
          <w:szCs w:val="22"/>
        </w:rPr>
        <w:t xml:space="preserve"> </w:t>
      </w:r>
      <w:r w:rsidRPr="007740CE">
        <w:rPr>
          <w:szCs w:val="22"/>
        </w:rPr>
        <w:t>2007</w:t>
      </w:r>
      <w:r w:rsidRPr="00843040">
        <w:rPr>
          <w:szCs w:val="22"/>
        </w:rPr>
        <w:t>)</w:t>
      </w:r>
      <w:r>
        <w:rPr>
          <w:szCs w:val="22"/>
        </w:rPr>
        <w:t>. The submission argue</w:t>
      </w:r>
      <w:r w:rsidR="00DB24A2">
        <w:rPr>
          <w:szCs w:val="22"/>
        </w:rPr>
        <w:t>d</w:t>
      </w:r>
      <w:r w:rsidRPr="00843040">
        <w:rPr>
          <w:szCs w:val="22"/>
        </w:rPr>
        <w:t xml:space="preserve"> that there would also be reductions in non-fatal cardiac events and hospitalisations. The submission </w:t>
      </w:r>
      <w:r>
        <w:rPr>
          <w:szCs w:val="22"/>
        </w:rPr>
        <w:t>claimed</w:t>
      </w:r>
      <w:r w:rsidRPr="00843040">
        <w:rPr>
          <w:szCs w:val="22"/>
        </w:rPr>
        <w:t xml:space="preserve"> that similar results </w:t>
      </w:r>
      <w:r w:rsidR="00137E7A" w:rsidRPr="00843040">
        <w:rPr>
          <w:szCs w:val="22"/>
        </w:rPr>
        <w:t>w</w:t>
      </w:r>
      <w:r w:rsidR="00137E7A">
        <w:rPr>
          <w:szCs w:val="22"/>
        </w:rPr>
        <w:t>ould be</w:t>
      </w:r>
      <w:r w:rsidR="00137E7A" w:rsidRPr="00843040">
        <w:rPr>
          <w:szCs w:val="22"/>
        </w:rPr>
        <w:t xml:space="preserve"> </w:t>
      </w:r>
      <w:r w:rsidRPr="00843040">
        <w:rPr>
          <w:szCs w:val="22"/>
        </w:rPr>
        <w:t xml:space="preserve">seen if CMG was used as the measure of compliance. </w:t>
      </w:r>
    </w:p>
    <w:p w:rsidR="007740CE" w:rsidRPr="00AD0D74" w:rsidRDefault="007740CE" w:rsidP="007740CE">
      <w:pPr>
        <w:widowControl/>
        <w:rPr>
          <w:szCs w:val="22"/>
        </w:rPr>
      </w:pPr>
    </w:p>
    <w:p w:rsidR="00812EDD" w:rsidRPr="007740CE" w:rsidRDefault="007740CE" w:rsidP="007740CE">
      <w:pPr>
        <w:pStyle w:val="ListParagraph"/>
        <w:widowControl/>
        <w:numPr>
          <w:ilvl w:val="1"/>
          <w:numId w:val="3"/>
        </w:numPr>
        <w:rPr>
          <w:szCs w:val="22"/>
        </w:rPr>
      </w:pPr>
      <w:r>
        <w:rPr>
          <w:szCs w:val="22"/>
        </w:rPr>
        <w:t>The submission further claimed</w:t>
      </w:r>
      <w:r w:rsidR="00843040" w:rsidRPr="007740CE">
        <w:rPr>
          <w:szCs w:val="22"/>
        </w:rPr>
        <w:t xml:space="preserve"> that patients aged over 65 years derive the most substantial compliance benefit from being switched to </w:t>
      </w:r>
      <w:proofErr w:type="spellStart"/>
      <w:r w:rsidR="00843040" w:rsidRPr="007740CE">
        <w:rPr>
          <w:szCs w:val="22"/>
        </w:rPr>
        <w:t>Vytorin</w:t>
      </w:r>
      <w:proofErr w:type="spellEnd"/>
      <w:r w:rsidR="00B43B08">
        <w:rPr>
          <w:szCs w:val="22"/>
        </w:rPr>
        <w:t>,</w:t>
      </w:r>
      <w:r w:rsidR="00AD0D74">
        <w:rPr>
          <w:szCs w:val="22"/>
        </w:rPr>
        <w:t xml:space="preserve"> estimating that t</w:t>
      </w:r>
      <w:r w:rsidR="00137E7A">
        <w:rPr>
          <w:szCs w:val="22"/>
        </w:rPr>
        <w:t>he</w:t>
      </w:r>
      <w:r w:rsidR="00843040" w:rsidRPr="007740CE">
        <w:rPr>
          <w:szCs w:val="22"/>
        </w:rPr>
        <w:t xml:space="preserve"> </w:t>
      </w:r>
      <w:r w:rsidRPr="00184B94">
        <w:rPr>
          <w:szCs w:val="22"/>
        </w:rPr>
        <w:t>mean</w:t>
      </w:r>
      <w:r w:rsidR="00184B94">
        <w:rPr>
          <w:szCs w:val="22"/>
        </w:rPr>
        <w:t xml:space="preserve"> </w:t>
      </w:r>
      <w:r>
        <w:rPr>
          <w:szCs w:val="22"/>
        </w:rPr>
        <w:t>improvement in MPR of 27%</w:t>
      </w:r>
      <w:r w:rsidR="00184B94">
        <w:rPr>
          <w:szCs w:val="22"/>
        </w:rPr>
        <w:t xml:space="preserve"> [median not reported]</w:t>
      </w:r>
      <w:r>
        <w:rPr>
          <w:szCs w:val="22"/>
        </w:rPr>
        <w:t xml:space="preserve"> </w:t>
      </w:r>
      <w:r w:rsidR="00843040" w:rsidRPr="007740CE">
        <w:rPr>
          <w:szCs w:val="22"/>
        </w:rPr>
        <w:t xml:space="preserve">seen </w:t>
      </w:r>
      <w:r w:rsidR="003A2ED2">
        <w:rPr>
          <w:szCs w:val="22"/>
        </w:rPr>
        <w:t xml:space="preserve">in </w:t>
      </w:r>
      <w:r w:rsidR="00843040" w:rsidRPr="007740CE">
        <w:rPr>
          <w:szCs w:val="22"/>
        </w:rPr>
        <w:t>among the 73</w:t>
      </w:r>
      <w:r w:rsidR="00DB24A2">
        <w:rPr>
          <w:szCs w:val="22"/>
        </w:rPr>
        <w:t> </w:t>
      </w:r>
      <w:r w:rsidR="00843040" w:rsidRPr="007740CE">
        <w:rPr>
          <w:szCs w:val="22"/>
        </w:rPr>
        <w:t xml:space="preserve">patients aged 65 years and over with an MPR improvement of &gt;10% translates into approximately a 15% reduction </w:t>
      </w:r>
      <w:r w:rsidR="003A2ED2">
        <w:rPr>
          <w:szCs w:val="22"/>
        </w:rPr>
        <w:t xml:space="preserve">in </w:t>
      </w:r>
      <w:r w:rsidR="00843040" w:rsidRPr="007740CE">
        <w:rPr>
          <w:szCs w:val="22"/>
        </w:rPr>
        <w:t>coronary artery disease mortality (</w:t>
      </w:r>
      <w:proofErr w:type="spellStart"/>
      <w:r w:rsidR="00843040" w:rsidRPr="007740CE">
        <w:rPr>
          <w:szCs w:val="22"/>
        </w:rPr>
        <w:t>Haukka</w:t>
      </w:r>
      <w:proofErr w:type="spellEnd"/>
      <w:r w:rsidR="00843040" w:rsidRPr="007740CE">
        <w:rPr>
          <w:szCs w:val="22"/>
        </w:rPr>
        <w:t xml:space="preserve"> et al</w:t>
      </w:r>
      <w:r w:rsidR="00DB24A2">
        <w:rPr>
          <w:szCs w:val="22"/>
        </w:rPr>
        <w:t>.</w:t>
      </w:r>
      <w:r w:rsidR="003B7F6A" w:rsidRPr="003B7F6A">
        <w:rPr>
          <w:i/>
          <w:szCs w:val="22"/>
        </w:rPr>
        <w:t xml:space="preserve"> </w:t>
      </w:r>
      <w:r>
        <w:rPr>
          <w:szCs w:val="22"/>
        </w:rPr>
        <w:t>2012). The submission stated</w:t>
      </w:r>
      <w:r w:rsidR="00843040" w:rsidRPr="007740CE">
        <w:rPr>
          <w:szCs w:val="22"/>
        </w:rPr>
        <w:t xml:space="preserve"> that although the mean CMG improvement was lower (17%), this would still translate into a reduction in coronary artery disease mortality of a</w:t>
      </w:r>
      <w:r>
        <w:rPr>
          <w:szCs w:val="22"/>
        </w:rPr>
        <w:t xml:space="preserve">lmost 10%. </w:t>
      </w:r>
    </w:p>
    <w:p w:rsidR="000A5017" w:rsidRPr="00B43B08" w:rsidRDefault="000A5017" w:rsidP="000A5017">
      <w:pPr>
        <w:rPr>
          <w:szCs w:val="22"/>
        </w:rPr>
      </w:pPr>
    </w:p>
    <w:p w:rsidR="000A5017" w:rsidRPr="000A5017" w:rsidRDefault="00500D4D" w:rsidP="008D11C6">
      <w:pPr>
        <w:pStyle w:val="ListParagraph"/>
        <w:widowControl/>
        <w:numPr>
          <w:ilvl w:val="1"/>
          <w:numId w:val="3"/>
        </w:numPr>
        <w:rPr>
          <w:szCs w:val="22"/>
        </w:rPr>
      </w:pPr>
      <w:r>
        <w:rPr>
          <w:szCs w:val="22"/>
        </w:rPr>
        <w:t>The evaluation identified the following</w:t>
      </w:r>
      <w:r w:rsidR="000A5017" w:rsidRPr="000A5017">
        <w:rPr>
          <w:szCs w:val="22"/>
        </w:rPr>
        <w:t xml:space="preserve"> reasons why the </w:t>
      </w:r>
      <w:r>
        <w:rPr>
          <w:szCs w:val="22"/>
        </w:rPr>
        <w:t>submission</w:t>
      </w:r>
      <w:r w:rsidR="00B43B08">
        <w:rPr>
          <w:szCs w:val="22"/>
        </w:rPr>
        <w:t>’</w:t>
      </w:r>
      <w:r>
        <w:rPr>
          <w:szCs w:val="22"/>
        </w:rPr>
        <w:t xml:space="preserve">s </w:t>
      </w:r>
      <w:r w:rsidR="000A5017" w:rsidRPr="000A5017">
        <w:rPr>
          <w:szCs w:val="22"/>
        </w:rPr>
        <w:t>claims</w:t>
      </w:r>
      <w:r>
        <w:rPr>
          <w:szCs w:val="22"/>
        </w:rPr>
        <w:t xml:space="preserve"> with respect to a compliance benefit being sufficient to affect health outcomes may have been inadequately supported:</w:t>
      </w:r>
    </w:p>
    <w:p w:rsidR="00500D4D" w:rsidRPr="00CC7979" w:rsidRDefault="00184B94" w:rsidP="006F4509">
      <w:pPr>
        <w:pStyle w:val="ListParagraph"/>
        <w:widowControl/>
        <w:numPr>
          <w:ilvl w:val="0"/>
          <w:numId w:val="8"/>
        </w:numPr>
        <w:ind w:left="993" w:hanging="284"/>
      </w:pPr>
      <w:r>
        <w:t>The authors of the</w:t>
      </w:r>
      <w:r w:rsidR="00500D4D">
        <w:t xml:space="preserve"> </w:t>
      </w:r>
      <w:r w:rsidR="00CC7979">
        <w:t>systematic review</w:t>
      </w:r>
      <w:r w:rsidR="00500D4D">
        <w:t xml:space="preserve"> by De Ver</w:t>
      </w:r>
      <w:r w:rsidR="00CC7979">
        <w:t>a</w:t>
      </w:r>
      <w:r w:rsidR="00500D4D">
        <w:t xml:space="preserve"> et al</w:t>
      </w:r>
      <w:r w:rsidR="003B7F6A">
        <w:t>.</w:t>
      </w:r>
      <w:r w:rsidR="00500D4D">
        <w:t xml:space="preserve"> (</w:t>
      </w:r>
      <w:r w:rsidR="00500D4D" w:rsidRPr="006F4509">
        <w:rPr>
          <w:szCs w:val="22"/>
        </w:rPr>
        <w:t>2014</w:t>
      </w:r>
      <w:r w:rsidR="00500D4D">
        <w:t>),</w:t>
      </w:r>
      <w:r w:rsidR="00500D4D" w:rsidRPr="00500D4D">
        <w:t xml:space="preserve"> identified confounders and biases (including ‘healthy adherer’ bias) as limitations of the review.</w:t>
      </w:r>
      <w:r w:rsidR="00500D4D">
        <w:t xml:space="preserve"> </w:t>
      </w:r>
    </w:p>
    <w:p w:rsidR="00CC7979" w:rsidRPr="00CC7979" w:rsidRDefault="00CC7979" w:rsidP="006F4509">
      <w:pPr>
        <w:pStyle w:val="ListParagraph"/>
        <w:widowControl/>
        <w:numPr>
          <w:ilvl w:val="0"/>
          <w:numId w:val="8"/>
        </w:numPr>
        <w:ind w:left="993" w:hanging="284"/>
      </w:pPr>
      <w:r w:rsidRPr="006F4509">
        <w:rPr>
          <w:szCs w:val="22"/>
        </w:rPr>
        <w:t>Limitations</w:t>
      </w:r>
      <w:r>
        <w:t xml:space="preserve"> of the Chowdhury et al</w:t>
      </w:r>
      <w:r w:rsidR="00DB24A2">
        <w:t>.</w:t>
      </w:r>
      <w:r>
        <w:t xml:space="preserve"> (2013) systematic review included the ‘healthy adherer effect’, the inclusion of studies based on medication databases using a wide range of definitions of adherence with arbitrary thresholds to define good adherence, and heterogeneity among studies which were only partially explained by differences in location, study design and sample size. Testing for publication bias indicated a lack of smaller studies that may have identified a null or negative association between statin adherence and cardiovascular events. </w:t>
      </w:r>
      <w:r w:rsidRPr="00CC7979">
        <w:t>The high I</w:t>
      </w:r>
      <w:r w:rsidRPr="00CC7979">
        <w:rPr>
          <w:vertAlign w:val="superscript"/>
        </w:rPr>
        <w:t>2</w:t>
      </w:r>
      <w:r w:rsidRPr="00CC7979">
        <w:t xml:space="preserve"> values indicate</w:t>
      </w:r>
      <w:r>
        <w:t>d</w:t>
      </w:r>
      <w:r w:rsidRPr="00CC7979">
        <w:t xml:space="preserve"> statistically significant heterogeneity across the meta-analysed studies</w:t>
      </w:r>
      <w:r>
        <w:t xml:space="preserve"> in Chowdhury et al</w:t>
      </w:r>
      <w:r w:rsidR="00DB24A2">
        <w:t>.</w:t>
      </w:r>
      <w:r>
        <w:t xml:space="preserve"> (2013)</w:t>
      </w:r>
      <w:r w:rsidRPr="00CC7979">
        <w:t>.</w:t>
      </w:r>
      <w:r>
        <w:t xml:space="preserve"> </w:t>
      </w:r>
    </w:p>
    <w:p w:rsidR="00CC7979" w:rsidRDefault="00CC7979" w:rsidP="008D11C6">
      <w:pPr>
        <w:pStyle w:val="ListParagraph"/>
        <w:widowControl/>
        <w:numPr>
          <w:ilvl w:val="0"/>
          <w:numId w:val="1"/>
        </w:numPr>
        <w:ind w:left="993" w:hanging="284"/>
      </w:pPr>
      <w:r w:rsidRPr="00CC7979">
        <w:t xml:space="preserve">Limitations of the </w:t>
      </w:r>
      <w:r>
        <w:t>Gomez et al</w:t>
      </w:r>
      <w:r w:rsidR="00DB24A2">
        <w:t>.</w:t>
      </w:r>
      <w:r>
        <w:t xml:space="preserve"> (2011) systematic </w:t>
      </w:r>
      <w:r w:rsidRPr="00CC7979">
        <w:t>review include</w:t>
      </w:r>
      <w:r>
        <w:t>d</w:t>
      </w:r>
      <w:r w:rsidRPr="00CC7979">
        <w:t xml:space="preserve"> methodological differences across studies precluding meta-analyses and the evidence base was mostly studies using claims databases.</w:t>
      </w:r>
      <w:r w:rsidR="00A65D84">
        <w:t xml:space="preserve"> </w:t>
      </w:r>
    </w:p>
    <w:p w:rsidR="00A65D84" w:rsidRPr="00A65D84" w:rsidRDefault="00A65D84" w:rsidP="008D11C6">
      <w:pPr>
        <w:pStyle w:val="ListParagraph"/>
        <w:widowControl/>
        <w:numPr>
          <w:ilvl w:val="0"/>
          <w:numId w:val="1"/>
        </w:numPr>
        <w:ind w:left="993" w:hanging="284"/>
      </w:pPr>
      <w:r>
        <w:t>T</w:t>
      </w:r>
      <w:r w:rsidRPr="00A65D84">
        <w:t xml:space="preserve">he observational </w:t>
      </w:r>
      <w:r w:rsidR="003B5CA8">
        <w:t xml:space="preserve">study </w:t>
      </w:r>
      <w:r>
        <w:t>by</w:t>
      </w:r>
      <w:r w:rsidRPr="00A65D84">
        <w:t xml:space="preserve"> </w:t>
      </w:r>
      <w:proofErr w:type="spellStart"/>
      <w:r w:rsidRPr="00A65D84">
        <w:t>Hildemann</w:t>
      </w:r>
      <w:proofErr w:type="spellEnd"/>
      <w:r w:rsidRPr="00A65D84">
        <w:t xml:space="preserve"> et al</w:t>
      </w:r>
      <w:r w:rsidR="00DB24A2">
        <w:t>.</w:t>
      </w:r>
      <w:r w:rsidRPr="00A65D84">
        <w:t xml:space="preserve"> (2008) </w:t>
      </w:r>
      <w:r>
        <w:t>was considered by the evaluation to be</w:t>
      </w:r>
      <w:r w:rsidRPr="00A65D84">
        <w:rPr>
          <w:i/>
        </w:rPr>
        <w:t xml:space="preserve"> </w:t>
      </w:r>
      <w:r w:rsidRPr="00A65D84">
        <w:t>at high risk of bias and the results to be largely uninformative.</w:t>
      </w:r>
      <w:r>
        <w:t xml:space="preserve"> </w:t>
      </w:r>
    </w:p>
    <w:p w:rsidR="00A65D84" w:rsidRPr="00CC7979" w:rsidRDefault="00523872" w:rsidP="008D11C6">
      <w:pPr>
        <w:pStyle w:val="ListParagraph"/>
        <w:widowControl/>
        <w:numPr>
          <w:ilvl w:val="0"/>
          <w:numId w:val="1"/>
        </w:numPr>
        <w:ind w:left="993" w:hanging="284"/>
      </w:pPr>
      <w:r>
        <w:t>The submission argued</w:t>
      </w:r>
      <w:r w:rsidRPr="00523872">
        <w:t xml:space="preserve"> that LDL-C is a valid surrogate outcome, as the correlation between LDL-C level and cardiovascular events has been noted, particularly in secondary preve</w:t>
      </w:r>
      <w:r>
        <w:t>ntion. The submission referenced</w:t>
      </w:r>
      <w:r w:rsidRPr="00523872">
        <w:t xml:space="preserve"> the systematic review by Delahoy et al</w:t>
      </w:r>
      <w:r w:rsidR="00DB24A2">
        <w:t>.</w:t>
      </w:r>
      <w:r w:rsidRPr="00523872">
        <w:t xml:space="preserve"> (2009) aimed at quantifying the relationship between the reduction in LDL-C achieved by </w:t>
      </w:r>
      <w:r w:rsidRPr="00523872">
        <w:rPr>
          <w:u w:val="single"/>
        </w:rPr>
        <w:t>statin</w:t>
      </w:r>
      <w:r w:rsidRPr="00523872">
        <w:t xml:space="preserve"> treatment and reduction in cardiovascular risk. The review found a significant positive relationship between the reduction in LDL-C and reduction in the risk of major cardiovascular events. </w:t>
      </w:r>
      <w:r w:rsidRPr="00B43B08">
        <w:t xml:space="preserve"> </w:t>
      </w:r>
      <w:r w:rsidR="00A65D84">
        <w:t>However, the evaluation noted that t</w:t>
      </w:r>
      <w:r w:rsidR="00A65D84" w:rsidRPr="00A65D84">
        <w:t>he ENHANCE trial found no significant differences in the changes in intima-media thickness of the walls of the carotid and femoral arteries between concomitant ezetimibe and simvastatin versus simvastatin alone in patients with familial hypercholesterolaemia despite decreases LDL-C levels (</w:t>
      </w:r>
      <w:proofErr w:type="spellStart"/>
      <w:r w:rsidR="00A65D84" w:rsidRPr="00A65D84">
        <w:t>Kastelein</w:t>
      </w:r>
      <w:proofErr w:type="spellEnd"/>
      <w:r w:rsidR="00A65D84" w:rsidRPr="00A65D84">
        <w:t xml:space="preserve"> et al</w:t>
      </w:r>
      <w:r w:rsidR="003B7F6A">
        <w:t>.</w:t>
      </w:r>
      <w:r w:rsidR="003B7F6A" w:rsidRPr="00A65D84">
        <w:t xml:space="preserve"> </w:t>
      </w:r>
      <w:r w:rsidR="00A65D84" w:rsidRPr="00A65D84">
        <w:t>2008).</w:t>
      </w:r>
      <w:r>
        <w:t xml:space="preserve"> </w:t>
      </w:r>
    </w:p>
    <w:p w:rsidR="000A5017" w:rsidRPr="003B5CA8" w:rsidRDefault="00500D4D" w:rsidP="008D11C6">
      <w:pPr>
        <w:pStyle w:val="ListParagraph"/>
        <w:widowControl/>
        <w:numPr>
          <w:ilvl w:val="0"/>
          <w:numId w:val="1"/>
        </w:numPr>
        <w:ind w:left="993" w:hanging="284"/>
      </w:pPr>
      <w:r>
        <w:t>N</w:t>
      </w:r>
      <w:r w:rsidR="000A5017">
        <w:t>o direct evidence had</w:t>
      </w:r>
      <w:r w:rsidR="000A5017" w:rsidRPr="00443103">
        <w:t xml:space="preserve"> been provided by the submission suggesting that improved compliance to </w:t>
      </w:r>
      <w:proofErr w:type="spellStart"/>
      <w:r w:rsidR="000A5017" w:rsidRPr="00443103">
        <w:t>Vytorin</w:t>
      </w:r>
      <w:proofErr w:type="spellEnd"/>
      <w:r w:rsidR="000A5017" w:rsidRPr="00443103">
        <w:t xml:space="preserve"> is associated with improvements in cardiovascular and mortality outcomes.</w:t>
      </w:r>
      <w:r>
        <w:t xml:space="preserve"> </w:t>
      </w:r>
    </w:p>
    <w:p w:rsidR="003B5CA8" w:rsidRPr="00B43B08" w:rsidRDefault="003B5CA8" w:rsidP="003B5CA8">
      <w:pPr>
        <w:pStyle w:val="ListParagraph"/>
        <w:widowControl/>
        <w:numPr>
          <w:ilvl w:val="0"/>
          <w:numId w:val="1"/>
        </w:numPr>
        <w:ind w:left="993" w:hanging="284"/>
      </w:pPr>
      <w:r w:rsidRPr="003B5CA8">
        <w:t>The magnitude of benefit associated with increased adherence to statins appeared to differ between observational studies (which are prone to bias and unknown confounding), thus the evaluation considered that any translation of the claimed compliance benefits was highly uncertain.</w:t>
      </w:r>
      <w:r w:rsidRPr="00B43B08">
        <w:t xml:space="preserve"> </w:t>
      </w:r>
    </w:p>
    <w:p w:rsidR="00523872" w:rsidRPr="00523872" w:rsidRDefault="003B5CA8" w:rsidP="00523872">
      <w:pPr>
        <w:pStyle w:val="ListParagraph"/>
        <w:widowControl/>
        <w:numPr>
          <w:ilvl w:val="0"/>
          <w:numId w:val="1"/>
        </w:numPr>
        <w:ind w:left="993" w:hanging="284"/>
      </w:pPr>
      <w:r w:rsidRPr="003B5CA8">
        <w:lastRenderedPageBreak/>
        <w:t xml:space="preserve">Given the known heterogeneity across the compliance </w:t>
      </w:r>
      <w:proofErr w:type="gramStart"/>
      <w:r w:rsidRPr="003B5CA8">
        <w:t>studies that is</w:t>
      </w:r>
      <w:proofErr w:type="gramEnd"/>
      <w:r w:rsidRPr="003B5CA8">
        <w:t xml:space="preserve"> only partially explained by location, study design and sample size, the selection of the two studies (</w:t>
      </w:r>
      <w:proofErr w:type="spellStart"/>
      <w:r w:rsidRPr="003B5CA8">
        <w:t>Haukka</w:t>
      </w:r>
      <w:proofErr w:type="spellEnd"/>
      <w:r w:rsidRPr="003B5CA8">
        <w:t xml:space="preserve"> </w:t>
      </w:r>
      <w:r w:rsidR="003B7F6A">
        <w:t xml:space="preserve">et al. </w:t>
      </w:r>
      <w:r w:rsidRPr="003B5CA8">
        <w:t xml:space="preserve">2012 and Rasmussen </w:t>
      </w:r>
      <w:r w:rsidR="003B7F6A">
        <w:t xml:space="preserve">et al. </w:t>
      </w:r>
      <w:r w:rsidRPr="003B5CA8">
        <w:t>2007) to translate the claimed adherence benefit to clinical outcomes was considered by the evaluation to be inadequately justified</w:t>
      </w:r>
      <w:r>
        <w:t xml:space="preserve">. </w:t>
      </w:r>
      <w:r w:rsidR="00523872" w:rsidRPr="00523872">
        <w:t>The studies used different measures of adherence. Rasmussen et al</w:t>
      </w:r>
      <w:r w:rsidR="00DB24A2">
        <w:t>.</w:t>
      </w:r>
      <w:r w:rsidR="00523872" w:rsidRPr="00523872">
        <w:t xml:space="preserve"> (2007) included elderly Canadians post-acute myocardial infarction. </w:t>
      </w:r>
      <w:proofErr w:type="spellStart"/>
      <w:r w:rsidR="00523872" w:rsidRPr="00523872">
        <w:t>Haukka</w:t>
      </w:r>
      <w:proofErr w:type="spellEnd"/>
      <w:r w:rsidR="00523872" w:rsidRPr="00523872">
        <w:t xml:space="preserve"> et al</w:t>
      </w:r>
      <w:r w:rsidR="00DB24A2">
        <w:t>.</w:t>
      </w:r>
      <w:r w:rsidR="00523872" w:rsidRPr="00523872">
        <w:t xml:space="preserve"> (2012) was in Finnish patients. These studies may not be applicable to the </w:t>
      </w:r>
      <w:proofErr w:type="spellStart"/>
      <w:r w:rsidR="00523872" w:rsidRPr="00523872">
        <w:t>Vytorin</w:t>
      </w:r>
      <w:proofErr w:type="spellEnd"/>
      <w:r w:rsidR="00523872" w:rsidRPr="00523872">
        <w:t xml:space="preserve"> Compliance Study IV and the broader Australian population.</w:t>
      </w:r>
      <w:r w:rsidR="00523872">
        <w:t xml:space="preserve"> </w:t>
      </w:r>
    </w:p>
    <w:p w:rsidR="00523872" w:rsidRDefault="00523872" w:rsidP="00523872">
      <w:pPr>
        <w:pStyle w:val="ListParagraph"/>
        <w:widowControl/>
        <w:numPr>
          <w:ilvl w:val="0"/>
          <w:numId w:val="1"/>
        </w:numPr>
        <w:ind w:left="993" w:hanging="284"/>
      </w:pPr>
      <w:r w:rsidRPr="00523872">
        <w:t>Any quantification of t</w:t>
      </w:r>
      <w:r w:rsidR="00410186">
        <w:t>he claimed compliance benefits wa</w:t>
      </w:r>
      <w:r w:rsidRPr="00523872">
        <w:t>s highly uncertain, due to the use of observational studies. The submission did not indicate the use of relative measures in quantifying the claimed reduction in mortality from Rasmussen et al</w:t>
      </w:r>
      <w:r w:rsidR="00DB24A2">
        <w:t>.</w:t>
      </w:r>
      <w:r w:rsidRPr="00523872">
        <w:t xml:space="preserve"> (2007). The baseline mortality risk, and therefore the cla</w:t>
      </w:r>
      <w:r w:rsidR="00410186">
        <w:t>imed absolute risk reduction, was</w:t>
      </w:r>
      <w:r w:rsidRPr="00523872">
        <w:t xml:space="preserve"> unknown. The submission inappropriately applied population aggregate data to categories assigned to individual patients in Rasmussen et al</w:t>
      </w:r>
      <w:r w:rsidR="00DB24A2">
        <w:t>.</w:t>
      </w:r>
      <w:r w:rsidRPr="00523872">
        <w:t xml:space="preserve"> (2007). There were patients who did not achieve ‘high’ adherence on switching to </w:t>
      </w:r>
      <w:proofErr w:type="spellStart"/>
      <w:r w:rsidRPr="00523872">
        <w:t>Vytorin</w:t>
      </w:r>
      <w:proofErr w:type="spellEnd"/>
      <w:r w:rsidRPr="00523872">
        <w:t xml:space="preserve">. It was unclear whether </w:t>
      </w:r>
      <w:proofErr w:type="spellStart"/>
      <w:r w:rsidRPr="00523872">
        <w:t>Haukka</w:t>
      </w:r>
      <w:proofErr w:type="spellEnd"/>
      <w:r w:rsidRPr="00523872">
        <w:t xml:space="preserve"> et al</w:t>
      </w:r>
      <w:r w:rsidR="00DB24A2">
        <w:t>.</w:t>
      </w:r>
      <w:r w:rsidRPr="00523872">
        <w:t xml:space="preserve"> (2012) reported relative measures for the results used to translate the claimed compliance benefit.</w:t>
      </w:r>
      <w:r>
        <w:t xml:space="preserve"> </w:t>
      </w:r>
    </w:p>
    <w:p w:rsidR="003B5CA8" w:rsidRDefault="003B5CA8" w:rsidP="003B5CA8">
      <w:pPr>
        <w:widowControl/>
      </w:pPr>
    </w:p>
    <w:p w:rsidR="00523872" w:rsidRDefault="003B5CA8" w:rsidP="00523872">
      <w:pPr>
        <w:pStyle w:val="ListParagraph"/>
        <w:widowControl/>
        <w:numPr>
          <w:ilvl w:val="1"/>
          <w:numId w:val="3"/>
        </w:numPr>
      </w:pPr>
      <w:r>
        <w:t>D</w:t>
      </w:r>
      <w:r w:rsidR="00523872" w:rsidRPr="00523872">
        <w:t xml:space="preserve">USC added that the majority of observational studies assessing compliance and outcomes suffer from immortal time bias, due to the fact that participants are assessed as compliant or not compliant and then subsequently the same time period in which compliance is assessed is used to ascertain the outcome. That is those who remain compliant on therapy in the study have done so because they have not suffered from more severe disease causing them to die or be hospitalised etc. DUSC considered that this is often not well recognised in published studies. </w:t>
      </w:r>
    </w:p>
    <w:p w:rsidR="00523872" w:rsidRDefault="00523872" w:rsidP="00523872">
      <w:pPr>
        <w:widowControl/>
      </w:pPr>
    </w:p>
    <w:p w:rsidR="000A5017" w:rsidRPr="000A5017" w:rsidRDefault="00523872" w:rsidP="008D11C6">
      <w:pPr>
        <w:pStyle w:val="ListParagraph"/>
        <w:widowControl/>
        <w:numPr>
          <w:ilvl w:val="1"/>
          <w:numId w:val="3"/>
        </w:numPr>
      </w:pPr>
      <w:r>
        <w:t>D</w:t>
      </w:r>
      <w:r w:rsidR="000A5017" w:rsidRPr="000A5017">
        <w:t>USC considere</w:t>
      </w:r>
      <w:r w:rsidR="000A5017">
        <w:t>d a key issue to be that there wa</w:t>
      </w:r>
      <w:r w:rsidR="000A5017" w:rsidRPr="000A5017">
        <w:t>s no randomised controlled trial evidence to show that the addition of ezetimibe to a statin improves health outcomes.</w:t>
      </w:r>
      <w:r w:rsidR="000A5017">
        <w:t xml:space="preserve"> </w:t>
      </w:r>
    </w:p>
    <w:p w:rsidR="000A5017" w:rsidRDefault="000A5017" w:rsidP="000A5017">
      <w:pPr>
        <w:widowControl/>
      </w:pPr>
    </w:p>
    <w:p w:rsidR="006A63ED" w:rsidRPr="00070CD2" w:rsidRDefault="000A5017" w:rsidP="008D11C6">
      <w:pPr>
        <w:pStyle w:val="ListParagraph"/>
        <w:widowControl/>
        <w:numPr>
          <w:ilvl w:val="1"/>
          <w:numId w:val="3"/>
        </w:numPr>
      </w:pPr>
      <w:r w:rsidRPr="000A5017">
        <w:t xml:space="preserve">Overall, DUSC considered that the literature review in the submission provided insufficient evidence to determine if an improvement in compliance in </w:t>
      </w:r>
      <w:proofErr w:type="spellStart"/>
      <w:r w:rsidRPr="000A5017">
        <w:t>Vytorin</w:t>
      </w:r>
      <w:proofErr w:type="spellEnd"/>
      <w:r w:rsidRPr="000A5017">
        <w:t xml:space="preserve"> users of 10% or more is associated with improved health outcomes.</w:t>
      </w:r>
      <w:r>
        <w:t xml:space="preserve"> </w:t>
      </w:r>
    </w:p>
    <w:p w:rsidR="000A5017" w:rsidRDefault="000A5017" w:rsidP="00B60939">
      <w:pPr>
        <w:ind w:left="720" w:hanging="720"/>
        <w:rPr>
          <w:szCs w:val="22"/>
        </w:rPr>
      </w:pPr>
    </w:p>
    <w:p w:rsidR="004F5459" w:rsidRPr="004F5459" w:rsidRDefault="004F5459" w:rsidP="004F5459">
      <w:pPr>
        <w:ind w:left="1440" w:hanging="720"/>
        <w:rPr>
          <w:i/>
          <w:szCs w:val="22"/>
        </w:rPr>
      </w:pPr>
      <w:r w:rsidRPr="004F5459">
        <w:rPr>
          <w:i/>
          <w:szCs w:val="22"/>
        </w:rPr>
        <w:t>For more detail on PBAC’s view, see section 7 “PBAC outcome”</w:t>
      </w:r>
    </w:p>
    <w:p w:rsidR="004F5459" w:rsidRDefault="004F5459" w:rsidP="004F5459">
      <w:pPr>
        <w:rPr>
          <w:szCs w:val="22"/>
        </w:rPr>
      </w:pPr>
    </w:p>
    <w:p w:rsidR="00710B0D" w:rsidRPr="003E085A" w:rsidRDefault="008704D4" w:rsidP="004F5459">
      <w:pPr>
        <w:rPr>
          <w:b/>
          <w:i/>
          <w:szCs w:val="22"/>
        </w:rPr>
      </w:pPr>
      <w:r w:rsidRPr="003E085A">
        <w:rPr>
          <w:b/>
          <w:i/>
          <w:szCs w:val="22"/>
        </w:rPr>
        <w:t>Cost to the government of providing compliance advice over the next five years</w:t>
      </w:r>
      <w:r w:rsidR="003E085A">
        <w:rPr>
          <w:b/>
          <w:i/>
          <w:szCs w:val="22"/>
        </w:rPr>
        <w:t xml:space="preserve"> </w:t>
      </w:r>
      <w:r w:rsidRPr="003E085A">
        <w:rPr>
          <w:b/>
          <w:i/>
          <w:szCs w:val="22"/>
        </w:rPr>
        <w:t xml:space="preserve">(Question </w:t>
      </w:r>
      <w:r w:rsidR="00F34549" w:rsidRPr="003E085A">
        <w:rPr>
          <w:b/>
          <w:i/>
          <w:szCs w:val="22"/>
        </w:rPr>
        <w:t>6</w:t>
      </w:r>
      <w:r w:rsidRPr="003E085A">
        <w:rPr>
          <w:b/>
          <w:i/>
          <w:szCs w:val="22"/>
        </w:rPr>
        <w:t xml:space="preserve"> in the CMWG repor</w:t>
      </w:r>
      <w:r w:rsidR="00AD0D74">
        <w:rPr>
          <w:b/>
          <w:i/>
          <w:szCs w:val="22"/>
        </w:rPr>
        <w:t>t)</w:t>
      </w:r>
    </w:p>
    <w:p w:rsidR="0061533E" w:rsidRPr="00B43B08" w:rsidRDefault="0061533E" w:rsidP="00B43B08">
      <w:pPr>
        <w:widowControl/>
        <w:rPr>
          <w:szCs w:val="22"/>
        </w:rPr>
      </w:pPr>
    </w:p>
    <w:p w:rsidR="0061533E" w:rsidRDefault="00481283" w:rsidP="008D11C6">
      <w:pPr>
        <w:pStyle w:val="ListParagraph"/>
        <w:numPr>
          <w:ilvl w:val="1"/>
          <w:numId w:val="3"/>
        </w:numPr>
        <w:rPr>
          <w:szCs w:val="22"/>
        </w:rPr>
      </w:pPr>
      <w:proofErr w:type="spellStart"/>
      <w:r w:rsidRPr="00443103">
        <w:rPr>
          <w:szCs w:val="22"/>
        </w:rPr>
        <w:t>Vytorin</w:t>
      </w:r>
      <w:proofErr w:type="spellEnd"/>
      <w:r w:rsidR="0061533E" w:rsidRPr="00443103">
        <w:rPr>
          <w:szCs w:val="22"/>
        </w:rPr>
        <w:t xml:space="preserve"> </w:t>
      </w:r>
      <w:r w:rsidR="00710B0D">
        <w:rPr>
          <w:szCs w:val="22"/>
        </w:rPr>
        <w:t xml:space="preserve">currently </w:t>
      </w:r>
      <w:r w:rsidR="0061533E" w:rsidRPr="00443103">
        <w:rPr>
          <w:szCs w:val="22"/>
        </w:rPr>
        <w:t>cost</w:t>
      </w:r>
      <w:r w:rsidR="00EF189B" w:rsidRPr="00443103">
        <w:rPr>
          <w:szCs w:val="22"/>
        </w:rPr>
        <w:t>s</w:t>
      </w:r>
      <w:r w:rsidR="00710B0D">
        <w:rPr>
          <w:szCs w:val="22"/>
        </w:rPr>
        <w:t xml:space="preserve"> the PBS</w:t>
      </w:r>
      <w:r w:rsidR="0061533E" w:rsidRPr="00443103">
        <w:rPr>
          <w:szCs w:val="22"/>
        </w:rPr>
        <w:t xml:space="preserve"> more than the individual components given concurrently, </w:t>
      </w:r>
      <w:r w:rsidR="00B43B08">
        <w:rPr>
          <w:szCs w:val="22"/>
        </w:rPr>
        <w:t xml:space="preserve">and </w:t>
      </w:r>
      <w:r w:rsidR="0061533E" w:rsidRPr="00443103">
        <w:rPr>
          <w:szCs w:val="22"/>
        </w:rPr>
        <w:t xml:space="preserve">atorvastatin </w:t>
      </w:r>
      <w:r w:rsidR="00B43B08">
        <w:rPr>
          <w:szCs w:val="22"/>
        </w:rPr>
        <w:t>with</w:t>
      </w:r>
      <w:r w:rsidR="0061533E" w:rsidRPr="00443103">
        <w:rPr>
          <w:szCs w:val="22"/>
        </w:rPr>
        <w:t xml:space="preserve"> ezetimibe</w:t>
      </w:r>
      <w:r w:rsidR="00710B0D">
        <w:rPr>
          <w:szCs w:val="22"/>
        </w:rPr>
        <w:t>.</w:t>
      </w:r>
    </w:p>
    <w:p w:rsidR="00FD73DC" w:rsidRPr="00B43B08" w:rsidRDefault="00FD73DC" w:rsidP="00B43B08">
      <w:pPr>
        <w:pStyle w:val="PBACHeading1"/>
        <w:numPr>
          <w:ilvl w:val="0"/>
          <w:numId w:val="0"/>
        </w:numPr>
        <w:rPr>
          <w:b w:val="0"/>
        </w:rPr>
      </w:pPr>
    </w:p>
    <w:p w:rsidR="00C63A78" w:rsidRDefault="00FD73DC" w:rsidP="00C63A78">
      <w:pPr>
        <w:pStyle w:val="PBACHeading1"/>
        <w:numPr>
          <w:ilvl w:val="0"/>
          <w:numId w:val="0"/>
        </w:numPr>
        <w:ind w:left="720"/>
      </w:pPr>
      <w:r w:rsidRPr="00DB24A2">
        <w:rPr>
          <w:rFonts w:ascii="Arial Narrow" w:hAnsi="Arial Narrow"/>
          <w:noProof/>
          <w:color w:val="8064A2" w:themeColor="accent4"/>
          <w:lang w:eastAsia="en-AU"/>
        </w:rPr>
        <w:lastRenderedPageBreak/>
        <w:drawing>
          <wp:inline distT="0" distB="0" distL="0" distR="0" wp14:anchorId="2A8185CE" wp14:editId="45F6EE53">
            <wp:extent cx="5263778" cy="1346237"/>
            <wp:effectExtent l="0" t="0" r="0" b="6350"/>
            <wp:docPr id="1" name="Picture 1"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3826" cy="1351364"/>
                    </a:xfrm>
                    <a:prstGeom prst="rect">
                      <a:avLst/>
                    </a:prstGeom>
                    <a:noFill/>
                    <a:ln>
                      <a:noFill/>
                    </a:ln>
                  </pic:spPr>
                </pic:pic>
              </a:graphicData>
            </a:graphic>
          </wp:inline>
        </w:drawing>
      </w:r>
    </w:p>
    <w:p w:rsidR="00FD73DC" w:rsidRPr="00FD73DC" w:rsidRDefault="00FD73DC" w:rsidP="00FD73DC">
      <w:pPr>
        <w:pStyle w:val="PBACHeading1"/>
        <w:numPr>
          <w:ilvl w:val="0"/>
          <w:numId w:val="0"/>
        </w:numPr>
        <w:ind w:left="720"/>
        <w:rPr>
          <w:b w:val="0"/>
          <w:sz w:val="16"/>
          <w:szCs w:val="16"/>
        </w:rPr>
      </w:pPr>
      <w:proofErr w:type="gramStart"/>
      <w:r>
        <w:rPr>
          <w:b w:val="0"/>
          <w:sz w:val="16"/>
          <w:szCs w:val="16"/>
        </w:rPr>
        <w:t>P</w:t>
      </w:r>
      <w:r w:rsidR="00DC3448">
        <w:rPr>
          <w:b w:val="0"/>
          <w:sz w:val="16"/>
          <w:szCs w:val="16"/>
        </w:rPr>
        <w:t>rices current at 1 October 2014.</w:t>
      </w:r>
      <w:proofErr w:type="gramEnd"/>
      <w:r>
        <w:rPr>
          <w:b w:val="0"/>
          <w:sz w:val="16"/>
          <w:szCs w:val="16"/>
        </w:rPr>
        <w:t xml:space="preserve">  Ex-man price for ezetimibe is $54.57</w:t>
      </w:r>
      <w:r w:rsidR="00DC3448">
        <w:rPr>
          <w:b w:val="0"/>
          <w:sz w:val="16"/>
          <w:szCs w:val="16"/>
        </w:rPr>
        <w:t>.</w:t>
      </w:r>
    </w:p>
    <w:p w:rsidR="00B60939" w:rsidRPr="00DC3448" w:rsidRDefault="00B60939" w:rsidP="00B60939">
      <w:pPr>
        <w:ind w:left="720" w:hanging="720"/>
        <w:rPr>
          <w:szCs w:val="22"/>
        </w:rPr>
      </w:pPr>
    </w:p>
    <w:p w:rsidR="000A5017" w:rsidRPr="007E2503" w:rsidRDefault="00AF265C" w:rsidP="008D11C6">
      <w:pPr>
        <w:pStyle w:val="ListParagraph"/>
        <w:numPr>
          <w:ilvl w:val="1"/>
          <w:numId w:val="3"/>
        </w:numPr>
        <w:rPr>
          <w:bCs/>
          <w:szCs w:val="22"/>
        </w:rPr>
      </w:pPr>
      <w:r>
        <w:rPr>
          <w:bCs/>
          <w:szCs w:val="22"/>
        </w:rPr>
        <w:t>T</w:t>
      </w:r>
      <w:r w:rsidR="000A5017" w:rsidRPr="007E2503">
        <w:rPr>
          <w:bCs/>
          <w:szCs w:val="22"/>
        </w:rPr>
        <w:t xml:space="preserve">he submission investigated the financial impact of maintaining the current prices of </w:t>
      </w:r>
      <w:proofErr w:type="spellStart"/>
      <w:r w:rsidR="000A5017" w:rsidRPr="007E2503">
        <w:rPr>
          <w:bCs/>
          <w:szCs w:val="22"/>
        </w:rPr>
        <w:t>Vytorin</w:t>
      </w:r>
      <w:proofErr w:type="spellEnd"/>
      <w:r w:rsidR="000A5017" w:rsidRPr="007E2503">
        <w:rPr>
          <w:bCs/>
          <w:szCs w:val="22"/>
        </w:rPr>
        <w:t xml:space="preserve"> (with the price premium due to the November 2008 compliance advice) versus the potential price based on the expected prices of the individual components as of 1 October 2014. The estimates were informed by </w:t>
      </w:r>
      <w:proofErr w:type="spellStart"/>
      <w:r w:rsidR="000A5017" w:rsidRPr="007E2503">
        <w:rPr>
          <w:bCs/>
          <w:szCs w:val="22"/>
        </w:rPr>
        <w:t>Vytorin</w:t>
      </w:r>
      <w:proofErr w:type="spellEnd"/>
      <w:r w:rsidR="000A5017" w:rsidRPr="007E2503">
        <w:rPr>
          <w:bCs/>
          <w:szCs w:val="22"/>
        </w:rPr>
        <w:t xml:space="preserve"> PBS items statistics data available online, excluding RPBS prescriptions. DUSC noted that the net cost to PBS of maintaining the </w:t>
      </w:r>
      <w:proofErr w:type="spellStart"/>
      <w:r w:rsidR="000A5017" w:rsidRPr="007E2503">
        <w:rPr>
          <w:bCs/>
          <w:szCs w:val="22"/>
        </w:rPr>
        <w:t>Vytorin</w:t>
      </w:r>
      <w:proofErr w:type="spellEnd"/>
      <w:r w:rsidR="000A5017" w:rsidRPr="007E2503">
        <w:rPr>
          <w:bCs/>
          <w:szCs w:val="22"/>
        </w:rPr>
        <w:t xml:space="preserve"> price premium was estimated by the submission to be $30 million per year and $150 million over 5 years.</w:t>
      </w:r>
      <w:r w:rsidR="000A5017" w:rsidRPr="00DC3448">
        <w:rPr>
          <w:bCs/>
          <w:szCs w:val="22"/>
        </w:rPr>
        <w:t xml:space="preserve">  </w:t>
      </w:r>
      <w:r w:rsidR="000A5017" w:rsidRPr="007E2503">
        <w:rPr>
          <w:bCs/>
          <w:szCs w:val="22"/>
        </w:rPr>
        <w:t>These estimates are summarised in the table below:</w:t>
      </w:r>
      <w:r w:rsidR="00E20D9D" w:rsidRPr="007E2503">
        <w:rPr>
          <w:bCs/>
          <w:szCs w:val="22"/>
        </w:rPr>
        <w:t xml:space="preserve"> </w:t>
      </w:r>
    </w:p>
    <w:p w:rsidR="000A5017" w:rsidRPr="00DC3448" w:rsidRDefault="000A5017" w:rsidP="000A5017">
      <w:pPr>
        <w:rPr>
          <w:bCs/>
          <w:szCs w:val="22"/>
        </w:rPr>
      </w:pPr>
    </w:p>
    <w:p w:rsidR="000A5017" w:rsidRPr="000A5017" w:rsidRDefault="000A5017" w:rsidP="00E20D9D">
      <w:pPr>
        <w:keepNext/>
        <w:ind w:left="709"/>
        <w:rPr>
          <w:rFonts w:ascii="Arial Narrow" w:eastAsiaTheme="minorHAnsi" w:hAnsi="Arial Narrow"/>
          <w:b/>
          <w:snapToGrid/>
          <w:sz w:val="20"/>
        </w:rPr>
      </w:pPr>
      <w:r w:rsidRPr="000A5017">
        <w:rPr>
          <w:rFonts w:ascii="Arial Narrow" w:eastAsiaTheme="minorHAnsi" w:hAnsi="Arial Narrow"/>
          <w:b/>
          <w:snapToGrid/>
          <w:sz w:val="20"/>
        </w:rPr>
        <w:t>Estimated utilisation and cost to the PBS in the first five years of listing</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76"/>
        <w:gridCol w:w="1134"/>
        <w:gridCol w:w="1275"/>
        <w:gridCol w:w="1134"/>
        <w:gridCol w:w="1196"/>
      </w:tblGrid>
      <w:tr w:rsidR="000A5017" w:rsidRPr="000A5017" w:rsidTr="00E20D9D">
        <w:trPr>
          <w:tblHeader/>
        </w:trPr>
        <w:tc>
          <w:tcPr>
            <w:tcW w:w="2410" w:type="dxa"/>
            <w:tcBorders>
              <w:bottom w:val="single" w:sz="4" w:space="0" w:color="auto"/>
            </w:tcBorders>
            <w:shd w:val="clear" w:color="auto" w:fill="auto"/>
            <w:noWrap/>
            <w:vAlign w:val="bottom"/>
            <w:hideMark/>
          </w:tcPr>
          <w:p w:rsidR="000A5017" w:rsidRPr="000A5017" w:rsidRDefault="000A5017" w:rsidP="000A5017">
            <w:pPr>
              <w:widowControl/>
              <w:jc w:val="left"/>
              <w:rPr>
                <w:rFonts w:ascii="Arial Narrow" w:hAnsi="Arial Narrow" w:cs="Times New Roman"/>
                <w:snapToGrid/>
                <w:color w:val="000000"/>
                <w:sz w:val="20"/>
                <w:lang w:eastAsia="en-AU"/>
              </w:rPr>
            </w:pPr>
          </w:p>
        </w:tc>
        <w:tc>
          <w:tcPr>
            <w:tcW w:w="1276" w:type="dxa"/>
            <w:tcBorders>
              <w:bottom w:val="single" w:sz="4" w:space="0" w:color="auto"/>
            </w:tcBorders>
            <w:shd w:val="clear" w:color="auto" w:fill="auto"/>
            <w:noWrap/>
            <w:vAlign w:val="bottom"/>
            <w:hideMark/>
          </w:tcPr>
          <w:p w:rsidR="000A5017" w:rsidRPr="000A5017" w:rsidRDefault="000A5017" w:rsidP="000A5017">
            <w:pPr>
              <w:widowControl/>
              <w:jc w:val="center"/>
              <w:rPr>
                <w:rFonts w:ascii="Arial Narrow" w:hAnsi="Arial Narrow" w:cs="Times New Roman"/>
                <w:b/>
                <w:snapToGrid/>
                <w:color w:val="000000"/>
                <w:sz w:val="20"/>
                <w:lang w:eastAsia="en-AU"/>
              </w:rPr>
            </w:pPr>
            <w:r w:rsidRPr="000A5017">
              <w:rPr>
                <w:rFonts w:ascii="Arial Narrow" w:hAnsi="Arial Narrow" w:cs="Times New Roman"/>
                <w:b/>
                <w:snapToGrid/>
                <w:color w:val="000000"/>
                <w:sz w:val="20"/>
                <w:lang w:eastAsia="en-AU"/>
              </w:rPr>
              <w:t>2014</w:t>
            </w:r>
          </w:p>
        </w:tc>
        <w:tc>
          <w:tcPr>
            <w:tcW w:w="1134" w:type="dxa"/>
            <w:tcBorders>
              <w:bottom w:val="single" w:sz="4" w:space="0" w:color="auto"/>
            </w:tcBorders>
            <w:shd w:val="clear" w:color="auto" w:fill="auto"/>
            <w:noWrap/>
            <w:vAlign w:val="bottom"/>
            <w:hideMark/>
          </w:tcPr>
          <w:p w:rsidR="000A5017" w:rsidRPr="000A5017" w:rsidRDefault="000A5017" w:rsidP="000A5017">
            <w:pPr>
              <w:widowControl/>
              <w:jc w:val="center"/>
              <w:rPr>
                <w:rFonts w:ascii="Arial Narrow" w:hAnsi="Arial Narrow" w:cs="Times New Roman"/>
                <w:b/>
                <w:snapToGrid/>
                <w:color w:val="000000"/>
                <w:sz w:val="20"/>
                <w:lang w:eastAsia="en-AU"/>
              </w:rPr>
            </w:pPr>
            <w:r w:rsidRPr="000A5017">
              <w:rPr>
                <w:rFonts w:ascii="Arial Narrow" w:hAnsi="Arial Narrow" w:cs="Times New Roman"/>
                <w:b/>
                <w:snapToGrid/>
                <w:color w:val="000000"/>
                <w:sz w:val="20"/>
                <w:lang w:eastAsia="en-AU"/>
              </w:rPr>
              <w:t>2015</w:t>
            </w:r>
          </w:p>
        </w:tc>
        <w:tc>
          <w:tcPr>
            <w:tcW w:w="1275" w:type="dxa"/>
            <w:tcBorders>
              <w:bottom w:val="single" w:sz="4" w:space="0" w:color="auto"/>
            </w:tcBorders>
            <w:shd w:val="clear" w:color="auto" w:fill="auto"/>
            <w:noWrap/>
            <w:vAlign w:val="bottom"/>
            <w:hideMark/>
          </w:tcPr>
          <w:p w:rsidR="000A5017" w:rsidRPr="000A5017" w:rsidRDefault="000A5017" w:rsidP="000A5017">
            <w:pPr>
              <w:widowControl/>
              <w:jc w:val="center"/>
              <w:rPr>
                <w:rFonts w:ascii="Arial Narrow" w:hAnsi="Arial Narrow" w:cs="Times New Roman"/>
                <w:b/>
                <w:snapToGrid/>
                <w:color w:val="000000"/>
                <w:sz w:val="20"/>
                <w:lang w:eastAsia="en-AU"/>
              </w:rPr>
            </w:pPr>
            <w:r w:rsidRPr="000A5017">
              <w:rPr>
                <w:rFonts w:ascii="Arial Narrow" w:hAnsi="Arial Narrow" w:cs="Times New Roman"/>
                <w:b/>
                <w:snapToGrid/>
                <w:color w:val="000000"/>
                <w:sz w:val="20"/>
                <w:lang w:eastAsia="en-AU"/>
              </w:rPr>
              <w:t>2016</w:t>
            </w:r>
          </w:p>
        </w:tc>
        <w:tc>
          <w:tcPr>
            <w:tcW w:w="1134" w:type="dxa"/>
            <w:tcBorders>
              <w:bottom w:val="single" w:sz="4" w:space="0" w:color="auto"/>
            </w:tcBorders>
            <w:shd w:val="clear" w:color="auto" w:fill="auto"/>
            <w:noWrap/>
            <w:vAlign w:val="bottom"/>
            <w:hideMark/>
          </w:tcPr>
          <w:p w:rsidR="000A5017" w:rsidRPr="000A5017" w:rsidRDefault="000A5017" w:rsidP="000A5017">
            <w:pPr>
              <w:widowControl/>
              <w:jc w:val="center"/>
              <w:rPr>
                <w:rFonts w:ascii="Arial Narrow" w:hAnsi="Arial Narrow" w:cs="Times New Roman"/>
                <w:b/>
                <w:snapToGrid/>
                <w:color w:val="000000"/>
                <w:sz w:val="20"/>
                <w:lang w:eastAsia="en-AU"/>
              </w:rPr>
            </w:pPr>
            <w:r w:rsidRPr="000A5017">
              <w:rPr>
                <w:rFonts w:ascii="Arial Narrow" w:hAnsi="Arial Narrow" w:cs="Times New Roman"/>
                <w:b/>
                <w:snapToGrid/>
                <w:color w:val="000000"/>
                <w:sz w:val="20"/>
                <w:lang w:eastAsia="en-AU"/>
              </w:rPr>
              <w:t>2017</w:t>
            </w:r>
          </w:p>
        </w:tc>
        <w:tc>
          <w:tcPr>
            <w:tcW w:w="1196" w:type="dxa"/>
            <w:tcBorders>
              <w:bottom w:val="single" w:sz="4" w:space="0" w:color="auto"/>
            </w:tcBorders>
            <w:shd w:val="clear" w:color="auto" w:fill="auto"/>
            <w:noWrap/>
            <w:vAlign w:val="bottom"/>
            <w:hideMark/>
          </w:tcPr>
          <w:p w:rsidR="000A5017" w:rsidRPr="000A5017" w:rsidRDefault="000A5017" w:rsidP="000A5017">
            <w:pPr>
              <w:widowControl/>
              <w:jc w:val="center"/>
              <w:rPr>
                <w:rFonts w:ascii="Arial Narrow" w:hAnsi="Arial Narrow" w:cs="Times New Roman"/>
                <w:b/>
                <w:snapToGrid/>
                <w:color w:val="000000"/>
                <w:sz w:val="20"/>
                <w:lang w:eastAsia="en-AU"/>
              </w:rPr>
            </w:pPr>
            <w:r w:rsidRPr="000A5017">
              <w:rPr>
                <w:rFonts w:ascii="Arial Narrow" w:hAnsi="Arial Narrow" w:cs="Times New Roman"/>
                <w:b/>
                <w:snapToGrid/>
                <w:color w:val="000000"/>
                <w:sz w:val="20"/>
                <w:lang w:eastAsia="en-AU"/>
              </w:rPr>
              <w:t>2018</w:t>
            </w:r>
          </w:p>
        </w:tc>
      </w:tr>
      <w:tr w:rsidR="000A5017" w:rsidRPr="000A5017" w:rsidTr="00E20D9D">
        <w:tc>
          <w:tcPr>
            <w:tcW w:w="8425" w:type="dxa"/>
            <w:gridSpan w:val="6"/>
            <w:tcBorders>
              <w:bottom w:val="single" w:sz="4" w:space="0" w:color="auto"/>
            </w:tcBorders>
            <w:shd w:val="clear" w:color="auto" w:fill="auto"/>
            <w:noWrap/>
            <w:vAlign w:val="bottom"/>
          </w:tcPr>
          <w:p w:rsidR="000A5017" w:rsidRPr="000A5017" w:rsidRDefault="000A5017" w:rsidP="000A5017">
            <w:pPr>
              <w:widowControl/>
              <w:jc w:val="left"/>
              <w:rPr>
                <w:rFonts w:ascii="Arial Narrow" w:hAnsi="Arial Narrow" w:cs="Times New Roman"/>
                <w:b/>
                <w:snapToGrid/>
                <w:color w:val="000000"/>
                <w:sz w:val="20"/>
                <w:lang w:eastAsia="en-AU"/>
              </w:rPr>
            </w:pPr>
            <w:r w:rsidRPr="000A5017">
              <w:rPr>
                <w:rFonts w:ascii="Arial Narrow" w:hAnsi="Arial Narrow" w:cs="Times New Roman"/>
                <w:b/>
                <w:snapToGrid/>
                <w:color w:val="000000"/>
                <w:sz w:val="20"/>
                <w:lang w:eastAsia="en-AU"/>
              </w:rPr>
              <w:t xml:space="preserve">Number of items of </w:t>
            </w:r>
            <w:proofErr w:type="spellStart"/>
            <w:r w:rsidRPr="000A5017">
              <w:rPr>
                <w:rFonts w:ascii="Arial Narrow" w:hAnsi="Arial Narrow" w:cs="Times New Roman"/>
                <w:b/>
                <w:snapToGrid/>
                <w:color w:val="000000"/>
                <w:sz w:val="20"/>
                <w:lang w:eastAsia="en-AU"/>
              </w:rPr>
              <w:t>Vytorin</w:t>
            </w:r>
            <w:proofErr w:type="spellEnd"/>
            <w:r w:rsidRPr="000A5017">
              <w:rPr>
                <w:rFonts w:ascii="Arial Narrow" w:hAnsi="Arial Narrow" w:cs="Times New Roman"/>
                <w:b/>
                <w:snapToGrid/>
                <w:color w:val="000000"/>
                <w:sz w:val="20"/>
                <w:vertAlign w:val="superscript"/>
                <w:lang w:eastAsia="en-AU"/>
              </w:rPr>
              <w:t>®</w:t>
            </w:r>
            <w:r w:rsidRPr="000A5017">
              <w:rPr>
                <w:rFonts w:ascii="Arial Narrow" w:hAnsi="Arial Narrow" w:cs="Times New Roman"/>
                <w:b/>
                <w:snapToGrid/>
                <w:color w:val="000000"/>
                <w:sz w:val="20"/>
                <w:lang w:eastAsia="en-AU"/>
              </w:rPr>
              <w:t xml:space="preserve"> (Assumption 0% growth from 2013) </w:t>
            </w:r>
          </w:p>
        </w:tc>
      </w:tr>
      <w:tr w:rsidR="000A5017" w:rsidRPr="000A5017" w:rsidTr="00E20D9D">
        <w:tc>
          <w:tcPr>
            <w:tcW w:w="2410" w:type="dxa"/>
            <w:shd w:val="clear" w:color="auto" w:fill="auto"/>
            <w:noWrap/>
            <w:vAlign w:val="center"/>
          </w:tcPr>
          <w:p w:rsidR="000A5017" w:rsidRPr="000A5017" w:rsidRDefault="000A5017" w:rsidP="000A5017">
            <w:pPr>
              <w:widowControl/>
              <w:jc w:val="left"/>
              <w:rPr>
                <w:rFonts w:ascii="Arial Narrow" w:hAnsi="Arial Narrow" w:cs="Times New Roman"/>
                <w:snapToGrid/>
                <w:color w:val="000000"/>
                <w:sz w:val="20"/>
                <w:vertAlign w:val="superscript"/>
                <w:lang w:eastAsia="en-AU"/>
              </w:rPr>
            </w:pPr>
            <w:r w:rsidRPr="000A5017">
              <w:rPr>
                <w:rFonts w:ascii="Arial Narrow" w:hAnsi="Arial Narrow" w:cs="Times New Roman"/>
                <w:sz w:val="20"/>
              </w:rPr>
              <w:t>10mg – 10mg</w:t>
            </w:r>
          </w:p>
        </w:tc>
        <w:tc>
          <w:tcPr>
            <w:tcW w:w="1276" w:type="dxa"/>
            <w:tcBorders>
              <w:top w:val="single" w:sz="4" w:space="0" w:color="auto"/>
              <w:bottom w:val="single" w:sz="4" w:space="0" w:color="auto"/>
            </w:tcBorders>
            <w:shd w:val="clear" w:color="auto" w:fill="auto"/>
            <w:noWrap/>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45,438</w:t>
            </w:r>
          </w:p>
        </w:tc>
        <w:tc>
          <w:tcPr>
            <w:tcW w:w="1134" w:type="dxa"/>
            <w:tcBorders>
              <w:top w:val="single" w:sz="4" w:space="0" w:color="auto"/>
              <w:bottom w:val="single" w:sz="4" w:space="0" w:color="auto"/>
            </w:tcBorders>
            <w:shd w:val="clear" w:color="auto" w:fill="auto"/>
            <w:noWrap/>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45,438</w:t>
            </w:r>
          </w:p>
        </w:tc>
        <w:tc>
          <w:tcPr>
            <w:tcW w:w="1275" w:type="dxa"/>
            <w:tcBorders>
              <w:top w:val="single" w:sz="4" w:space="0" w:color="auto"/>
              <w:bottom w:val="single" w:sz="4" w:space="0" w:color="auto"/>
            </w:tcBorders>
            <w:shd w:val="clear" w:color="auto" w:fill="auto"/>
            <w:noWrap/>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45,438</w:t>
            </w:r>
          </w:p>
        </w:tc>
        <w:tc>
          <w:tcPr>
            <w:tcW w:w="1134" w:type="dxa"/>
            <w:tcBorders>
              <w:top w:val="single" w:sz="4" w:space="0" w:color="auto"/>
              <w:bottom w:val="single" w:sz="4" w:space="0" w:color="auto"/>
            </w:tcBorders>
            <w:shd w:val="clear" w:color="auto" w:fill="auto"/>
            <w:noWrap/>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45,438</w:t>
            </w:r>
          </w:p>
        </w:tc>
        <w:tc>
          <w:tcPr>
            <w:tcW w:w="1196" w:type="dxa"/>
            <w:tcBorders>
              <w:top w:val="single" w:sz="4" w:space="0" w:color="auto"/>
              <w:bottom w:val="single" w:sz="4" w:space="0" w:color="auto"/>
            </w:tcBorders>
            <w:shd w:val="clear" w:color="auto" w:fill="auto"/>
            <w:noWrap/>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45,438</w:t>
            </w:r>
          </w:p>
        </w:tc>
      </w:tr>
      <w:tr w:rsidR="000A5017" w:rsidRPr="000A5017" w:rsidTr="00E20D9D">
        <w:tc>
          <w:tcPr>
            <w:tcW w:w="2410" w:type="dxa"/>
            <w:shd w:val="clear" w:color="auto" w:fill="auto"/>
            <w:noWrap/>
            <w:vAlign w:val="center"/>
          </w:tcPr>
          <w:p w:rsidR="000A5017" w:rsidRPr="000A5017" w:rsidRDefault="000A5017" w:rsidP="000A5017">
            <w:pPr>
              <w:widowControl/>
              <w:jc w:val="left"/>
              <w:rPr>
                <w:rFonts w:ascii="Arial Narrow" w:hAnsi="Arial Narrow" w:cs="Times New Roman"/>
                <w:snapToGrid/>
                <w:color w:val="000000"/>
                <w:sz w:val="20"/>
                <w:lang w:eastAsia="en-AU"/>
              </w:rPr>
            </w:pPr>
            <w:r w:rsidRPr="000A5017">
              <w:rPr>
                <w:rFonts w:ascii="Arial Narrow" w:hAnsi="Arial Narrow" w:cs="Times New Roman"/>
                <w:sz w:val="20"/>
              </w:rPr>
              <w:t>10mg – 20mg</w:t>
            </w:r>
          </w:p>
        </w:tc>
        <w:tc>
          <w:tcPr>
            <w:tcW w:w="1276" w:type="dxa"/>
            <w:tcBorders>
              <w:top w:val="single" w:sz="4" w:space="0" w:color="auto"/>
              <w:bottom w:val="single" w:sz="4" w:space="0" w:color="auto"/>
            </w:tcBorders>
            <w:shd w:val="clear" w:color="auto" w:fill="auto"/>
            <w:noWrap/>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61,963</w:t>
            </w:r>
          </w:p>
        </w:tc>
        <w:tc>
          <w:tcPr>
            <w:tcW w:w="1134" w:type="dxa"/>
            <w:tcBorders>
              <w:top w:val="single" w:sz="4" w:space="0" w:color="auto"/>
              <w:bottom w:val="single" w:sz="4" w:space="0" w:color="auto"/>
            </w:tcBorders>
            <w:shd w:val="clear" w:color="auto" w:fill="auto"/>
            <w:noWrap/>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61,963</w:t>
            </w:r>
          </w:p>
        </w:tc>
        <w:tc>
          <w:tcPr>
            <w:tcW w:w="1275" w:type="dxa"/>
            <w:tcBorders>
              <w:top w:val="single" w:sz="4" w:space="0" w:color="auto"/>
              <w:bottom w:val="single" w:sz="4" w:space="0" w:color="auto"/>
            </w:tcBorders>
            <w:shd w:val="clear" w:color="auto" w:fill="auto"/>
            <w:noWrap/>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61,963</w:t>
            </w:r>
          </w:p>
        </w:tc>
        <w:tc>
          <w:tcPr>
            <w:tcW w:w="1134" w:type="dxa"/>
            <w:tcBorders>
              <w:top w:val="single" w:sz="4" w:space="0" w:color="auto"/>
              <w:bottom w:val="single" w:sz="4" w:space="0" w:color="auto"/>
            </w:tcBorders>
            <w:shd w:val="clear" w:color="auto" w:fill="auto"/>
            <w:noWrap/>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61,963</w:t>
            </w:r>
          </w:p>
        </w:tc>
        <w:tc>
          <w:tcPr>
            <w:tcW w:w="1196" w:type="dxa"/>
            <w:tcBorders>
              <w:top w:val="single" w:sz="4" w:space="0" w:color="auto"/>
              <w:bottom w:val="single" w:sz="4" w:space="0" w:color="auto"/>
            </w:tcBorders>
            <w:shd w:val="clear" w:color="auto" w:fill="auto"/>
            <w:noWrap/>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61,963</w:t>
            </w:r>
          </w:p>
        </w:tc>
      </w:tr>
      <w:tr w:rsidR="000A5017" w:rsidRPr="000A5017" w:rsidTr="00E20D9D">
        <w:tc>
          <w:tcPr>
            <w:tcW w:w="2410" w:type="dxa"/>
            <w:shd w:val="clear" w:color="auto" w:fill="auto"/>
            <w:noWrap/>
            <w:vAlign w:val="center"/>
          </w:tcPr>
          <w:p w:rsidR="000A5017" w:rsidRPr="000A5017" w:rsidRDefault="000A5017" w:rsidP="000A5017">
            <w:pPr>
              <w:widowControl/>
              <w:jc w:val="left"/>
              <w:rPr>
                <w:rFonts w:ascii="Arial Narrow" w:hAnsi="Arial Narrow" w:cs="Times New Roman"/>
                <w:snapToGrid/>
                <w:color w:val="000000"/>
                <w:sz w:val="20"/>
                <w:lang w:eastAsia="en-AU"/>
              </w:rPr>
            </w:pPr>
            <w:r w:rsidRPr="000A5017">
              <w:rPr>
                <w:rFonts w:ascii="Arial Narrow" w:hAnsi="Arial Narrow" w:cs="Times New Roman"/>
                <w:sz w:val="20"/>
              </w:rPr>
              <w:t>10mg – 40mg</w:t>
            </w:r>
          </w:p>
        </w:tc>
        <w:tc>
          <w:tcPr>
            <w:tcW w:w="1276" w:type="dxa"/>
            <w:tcBorders>
              <w:top w:val="single" w:sz="4" w:space="0" w:color="auto"/>
              <w:bottom w:val="single" w:sz="4" w:space="0" w:color="auto"/>
            </w:tcBorders>
            <w:shd w:val="clear" w:color="auto" w:fill="auto"/>
            <w:noWrap/>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368,726</w:t>
            </w:r>
          </w:p>
        </w:tc>
        <w:tc>
          <w:tcPr>
            <w:tcW w:w="1134" w:type="dxa"/>
            <w:tcBorders>
              <w:top w:val="single" w:sz="4" w:space="0" w:color="auto"/>
              <w:bottom w:val="single" w:sz="4" w:space="0" w:color="auto"/>
            </w:tcBorders>
            <w:shd w:val="clear" w:color="auto" w:fill="auto"/>
            <w:noWrap/>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368,726</w:t>
            </w:r>
          </w:p>
        </w:tc>
        <w:tc>
          <w:tcPr>
            <w:tcW w:w="1275" w:type="dxa"/>
            <w:tcBorders>
              <w:top w:val="single" w:sz="4" w:space="0" w:color="auto"/>
              <w:bottom w:val="single" w:sz="4" w:space="0" w:color="auto"/>
            </w:tcBorders>
            <w:shd w:val="clear" w:color="auto" w:fill="auto"/>
            <w:noWrap/>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368,726</w:t>
            </w:r>
          </w:p>
        </w:tc>
        <w:tc>
          <w:tcPr>
            <w:tcW w:w="1134" w:type="dxa"/>
            <w:tcBorders>
              <w:top w:val="single" w:sz="4" w:space="0" w:color="auto"/>
              <w:bottom w:val="single" w:sz="4" w:space="0" w:color="auto"/>
            </w:tcBorders>
            <w:shd w:val="clear" w:color="auto" w:fill="auto"/>
            <w:noWrap/>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368,726</w:t>
            </w:r>
          </w:p>
        </w:tc>
        <w:tc>
          <w:tcPr>
            <w:tcW w:w="1196" w:type="dxa"/>
            <w:tcBorders>
              <w:top w:val="single" w:sz="4" w:space="0" w:color="auto"/>
              <w:bottom w:val="single" w:sz="4" w:space="0" w:color="auto"/>
            </w:tcBorders>
            <w:shd w:val="clear" w:color="auto" w:fill="auto"/>
            <w:noWrap/>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368,726</w:t>
            </w:r>
          </w:p>
        </w:tc>
      </w:tr>
      <w:tr w:rsidR="000A5017" w:rsidRPr="000A5017" w:rsidTr="00E20D9D">
        <w:tc>
          <w:tcPr>
            <w:tcW w:w="2410" w:type="dxa"/>
            <w:shd w:val="clear" w:color="auto" w:fill="auto"/>
            <w:noWrap/>
            <w:vAlign w:val="center"/>
          </w:tcPr>
          <w:p w:rsidR="000A5017" w:rsidRPr="000A5017" w:rsidRDefault="000A5017" w:rsidP="000A5017">
            <w:pPr>
              <w:widowControl/>
              <w:jc w:val="left"/>
              <w:rPr>
                <w:rFonts w:ascii="Arial Narrow" w:hAnsi="Arial Narrow" w:cs="Times New Roman"/>
                <w:snapToGrid/>
                <w:color w:val="000000"/>
                <w:sz w:val="20"/>
                <w:lang w:eastAsia="en-AU"/>
              </w:rPr>
            </w:pPr>
            <w:r w:rsidRPr="000A5017">
              <w:rPr>
                <w:rFonts w:ascii="Arial Narrow" w:hAnsi="Arial Narrow" w:cs="Times New Roman"/>
                <w:sz w:val="20"/>
              </w:rPr>
              <w:t>10mg – 80mg</w:t>
            </w:r>
          </w:p>
        </w:tc>
        <w:tc>
          <w:tcPr>
            <w:tcW w:w="1276" w:type="dxa"/>
            <w:tcBorders>
              <w:top w:val="single" w:sz="4" w:space="0" w:color="auto"/>
              <w:bottom w:val="single" w:sz="4" w:space="0" w:color="auto"/>
            </w:tcBorders>
            <w:shd w:val="clear" w:color="auto" w:fill="auto"/>
            <w:noWrap/>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330,244</w:t>
            </w:r>
          </w:p>
        </w:tc>
        <w:tc>
          <w:tcPr>
            <w:tcW w:w="1134" w:type="dxa"/>
            <w:tcBorders>
              <w:top w:val="single" w:sz="4" w:space="0" w:color="auto"/>
              <w:bottom w:val="single" w:sz="4" w:space="0" w:color="auto"/>
            </w:tcBorders>
            <w:shd w:val="clear" w:color="auto" w:fill="auto"/>
            <w:noWrap/>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330,244</w:t>
            </w:r>
          </w:p>
        </w:tc>
        <w:tc>
          <w:tcPr>
            <w:tcW w:w="1275" w:type="dxa"/>
            <w:tcBorders>
              <w:top w:val="single" w:sz="4" w:space="0" w:color="auto"/>
              <w:bottom w:val="single" w:sz="4" w:space="0" w:color="auto"/>
            </w:tcBorders>
            <w:shd w:val="clear" w:color="auto" w:fill="auto"/>
            <w:noWrap/>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330,244</w:t>
            </w:r>
          </w:p>
        </w:tc>
        <w:tc>
          <w:tcPr>
            <w:tcW w:w="1134" w:type="dxa"/>
            <w:tcBorders>
              <w:top w:val="single" w:sz="4" w:space="0" w:color="auto"/>
              <w:bottom w:val="single" w:sz="4" w:space="0" w:color="auto"/>
            </w:tcBorders>
            <w:shd w:val="clear" w:color="auto" w:fill="auto"/>
            <w:noWrap/>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330,244</w:t>
            </w:r>
          </w:p>
        </w:tc>
        <w:tc>
          <w:tcPr>
            <w:tcW w:w="1196" w:type="dxa"/>
            <w:tcBorders>
              <w:top w:val="single" w:sz="4" w:space="0" w:color="auto"/>
              <w:bottom w:val="single" w:sz="4" w:space="0" w:color="auto"/>
            </w:tcBorders>
            <w:shd w:val="clear" w:color="auto" w:fill="auto"/>
            <w:noWrap/>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330,244</w:t>
            </w:r>
          </w:p>
        </w:tc>
      </w:tr>
      <w:tr w:rsidR="000A5017" w:rsidRPr="000A5017" w:rsidTr="00E20D9D">
        <w:tc>
          <w:tcPr>
            <w:tcW w:w="2410" w:type="dxa"/>
            <w:tcBorders>
              <w:bottom w:val="single" w:sz="4" w:space="0" w:color="auto"/>
            </w:tcBorders>
            <w:shd w:val="clear" w:color="auto" w:fill="auto"/>
            <w:noWrap/>
            <w:vAlign w:val="bottom"/>
          </w:tcPr>
          <w:p w:rsidR="000A5017" w:rsidRPr="000A5017" w:rsidRDefault="000A5017" w:rsidP="000A5017">
            <w:pPr>
              <w:widowControl/>
              <w:jc w:val="left"/>
              <w:rPr>
                <w:rFonts w:ascii="Arial Narrow" w:hAnsi="Arial Narrow" w:cs="Times New Roman"/>
                <w:snapToGrid/>
                <w:color w:val="000000"/>
                <w:sz w:val="20"/>
                <w:vertAlign w:val="superscript"/>
                <w:lang w:eastAsia="en-AU"/>
              </w:rPr>
            </w:pPr>
            <w:r w:rsidRPr="000A5017">
              <w:rPr>
                <w:rFonts w:ascii="Arial Narrow" w:hAnsi="Arial Narrow" w:cs="Times New Roman"/>
                <w:snapToGrid/>
                <w:color w:val="000000"/>
                <w:sz w:val="20"/>
                <w:lang w:eastAsia="en-AU"/>
              </w:rPr>
              <w:t>Total</w:t>
            </w:r>
          </w:p>
        </w:tc>
        <w:tc>
          <w:tcPr>
            <w:tcW w:w="1276" w:type="dxa"/>
            <w:tcBorders>
              <w:top w:val="single" w:sz="4" w:space="0" w:color="auto"/>
              <w:bottom w:val="single" w:sz="4" w:space="0" w:color="auto"/>
            </w:tcBorders>
            <w:shd w:val="clear" w:color="auto" w:fill="auto"/>
            <w:noWrap/>
            <w:vAlign w:val="bottom"/>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napToGrid/>
                <w:color w:val="000000"/>
                <w:sz w:val="20"/>
                <w:lang w:eastAsia="en-AU"/>
              </w:rPr>
              <w:t>806,371</w:t>
            </w:r>
          </w:p>
        </w:tc>
        <w:tc>
          <w:tcPr>
            <w:tcW w:w="1134" w:type="dxa"/>
            <w:tcBorders>
              <w:top w:val="single" w:sz="4" w:space="0" w:color="auto"/>
              <w:bottom w:val="single" w:sz="4" w:space="0" w:color="auto"/>
            </w:tcBorders>
            <w:shd w:val="clear" w:color="auto" w:fill="auto"/>
            <w:noWrap/>
            <w:vAlign w:val="bottom"/>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napToGrid/>
                <w:color w:val="000000"/>
                <w:sz w:val="20"/>
                <w:lang w:eastAsia="en-AU"/>
              </w:rPr>
              <w:t>806,371</w:t>
            </w:r>
          </w:p>
        </w:tc>
        <w:tc>
          <w:tcPr>
            <w:tcW w:w="1275" w:type="dxa"/>
            <w:tcBorders>
              <w:top w:val="single" w:sz="4" w:space="0" w:color="auto"/>
              <w:bottom w:val="single" w:sz="4" w:space="0" w:color="auto"/>
            </w:tcBorders>
            <w:shd w:val="clear" w:color="auto" w:fill="auto"/>
            <w:noWrap/>
            <w:vAlign w:val="bottom"/>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napToGrid/>
                <w:color w:val="000000"/>
                <w:sz w:val="20"/>
                <w:lang w:eastAsia="en-AU"/>
              </w:rPr>
              <w:t>806,371</w:t>
            </w:r>
          </w:p>
        </w:tc>
        <w:tc>
          <w:tcPr>
            <w:tcW w:w="1134" w:type="dxa"/>
            <w:tcBorders>
              <w:top w:val="single" w:sz="4" w:space="0" w:color="auto"/>
              <w:bottom w:val="single" w:sz="4" w:space="0" w:color="auto"/>
            </w:tcBorders>
            <w:shd w:val="clear" w:color="auto" w:fill="auto"/>
            <w:noWrap/>
            <w:vAlign w:val="bottom"/>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napToGrid/>
                <w:color w:val="000000"/>
                <w:sz w:val="20"/>
                <w:lang w:eastAsia="en-AU"/>
              </w:rPr>
              <w:t>806,371</w:t>
            </w:r>
          </w:p>
        </w:tc>
        <w:tc>
          <w:tcPr>
            <w:tcW w:w="1196" w:type="dxa"/>
            <w:tcBorders>
              <w:top w:val="single" w:sz="4" w:space="0" w:color="auto"/>
              <w:bottom w:val="single" w:sz="4" w:space="0" w:color="auto"/>
            </w:tcBorders>
            <w:shd w:val="clear" w:color="auto" w:fill="auto"/>
            <w:noWrap/>
            <w:vAlign w:val="bottom"/>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napToGrid/>
                <w:color w:val="000000"/>
                <w:sz w:val="20"/>
                <w:lang w:eastAsia="en-AU"/>
              </w:rPr>
              <w:t>806,371</w:t>
            </w:r>
          </w:p>
        </w:tc>
      </w:tr>
      <w:tr w:rsidR="000A5017" w:rsidRPr="000A5017" w:rsidTr="00E20D9D">
        <w:tc>
          <w:tcPr>
            <w:tcW w:w="8425" w:type="dxa"/>
            <w:gridSpan w:val="6"/>
            <w:tcBorders>
              <w:top w:val="single" w:sz="4" w:space="0" w:color="auto"/>
              <w:bottom w:val="single" w:sz="4" w:space="0" w:color="auto"/>
            </w:tcBorders>
            <w:shd w:val="clear" w:color="auto" w:fill="auto"/>
            <w:noWrap/>
            <w:vAlign w:val="center"/>
          </w:tcPr>
          <w:p w:rsidR="000A5017" w:rsidRPr="000A5017" w:rsidRDefault="000A5017" w:rsidP="000A5017">
            <w:pPr>
              <w:widowControl/>
              <w:jc w:val="left"/>
              <w:rPr>
                <w:rFonts w:ascii="Arial Narrow" w:hAnsi="Arial Narrow" w:cs="Times New Roman"/>
                <w:snapToGrid/>
                <w:color w:val="000000"/>
                <w:sz w:val="20"/>
                <w:lang w:eastAsia="en-AU"/>
              </w:rPr>
            </w:pPr>
            <w:r w:rsidRPr="000A5017">
              <w:rPr>
                <w:rFonts w:ascii="Arial Narrow" w:hAnsi="Arial Narrow" w:cs="Times New Roman"/>
                <w:b/>
                <w:snapToGrid/>
                <w:color w:val="000000"/>
                <w:sz w:val="20"/>
                <w:lang w:eastAsia="en-AU"/>
              </w:rPr>
              <w:t xml:space="preserve">Cost to PBS of </w:t>
            </w:r>
            <w:proofErr w:type="spellStart"/>
            <w:r w:rsidRPr="000A5017">
              <w:rPr>
                <w:rFonts w:ascii="Arial Narrow" w:hAnsi="Arial Narrow" w:cs="Times New Roman"/>
                <w:b/>
                <w:snapToGrid/>
                <w:color w:val="000000"/>
                <w:sz w:val="20"/>
                <w:lang w:eastAsia="en-AU"/>
              </w:rPr>
              <w:t>Vytorin</w:t>
            </w:r>
            <w:proofErr w:type="spellEnd"/>
            <w:r w:rsidRPr="000A5017">
              <w:rPr>
                <w:rFonts w:ascii="Arial Narrow" w:hAnsi="Arial Narrow" w:cs="Times New Roman"/>
                <w:b/>
                <w:snapToGrid/>
                <w:color w:val="000000"/>
                <w:sz w:val="20"/>
                <w:vertAlign w:val="superscript"/>
                <w:lang w:eastAsia="en-AU"/>
              </w:rPr>
              <w:t>®</w:t>
            </w:r>
            <w:r w:rsidRPr="000A5017">
              <w:rPr>
                <w:rFonts w:ascii="Arial Narrow" w:hAnsi="Arial Narrow" w:cs="Times New Roman"/>
                <w:b/>
                <w:snapToGrid/>
                <w:color w:val="000000"/>
                <w:sz w:val="20"/>
                <w:lang w:eastAsia="en-AU"/>
              </w:rPr>
              <w:t xml:space="preserve"> if compliance advice is maintained </w:t>
            </w:r>
          </w:p>
        </w:tc>
      </w:tr>
      <w:tr w:rsidR="000A5017" w:rsidRPr="000A5017" w:rsidTr="00E20D9D">
        <w:tc>
          <w:tcPr>
            <w:tcW w:w="2410"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left"/>
              <w:rPr>
                <w:rFonts w:ascii="Arial Narrow" w:hAnsi="Arial Narrow" w:cs="Times New Roman"/>
                <w:i/>
                <w:snapToGrid/>
                <w:color w:val="000000"/>
                <w:sz w:val="20"/>
                <w:lang w:eastAsia="en-AU"/>
              </w:rPr>
            </w:pPr>
            <w:r w:rsidRPr="000A5017">
              <w:rPr>
                <w:rFonts w:ascii="Arial Narrow" w:hAnsi="Arial Narrow" w:cs="Times New Roman"/>
                <w:sz w:val="20"/>
              </w:rPr>
              <w:t>10mg – 10mg ($15.85/</w:t>
            </w:r>
            <w:proofErr w:type="spellStart"/>
            <w:r w:rsidRPr="000A5017">
              <w:rPr>
                <w:rFonts w:ascii="Arial Narrow" w:hAnsi="Arial Narrow" w:cs="Times New Roman"/>
                <w:sz w:val="20"/>
              </w:rPr>
              <w:t>item</w:t>
            </w:r>
            <w:r w:rsidRPr="000A5017">
              <w:rPr>
                <w:rFonts w:ascii="Arial Narrow" w:hAnsi="Arial Narrow" w:cs="Times New Roman"/>
                <w:sz w:val="20"/>
                <w:vertAlign w:val="superscript"/>
              </w:rPr>
              <w:t>a</w:t>
            </w:r>
            <w:proofErr w:type="spellEnd"/>
            <w:r w:rsidRPr="000A5017">
              <w:rPr>
                <w:rFonts w:ascii="Arial Narrow" w:hAnsi="Arial Narrow" w:cs="Times New Roman"/>
                <w:sz w:val="20"/>
              </w:rPr>
              <w:t>)</w:t>
            </w:r>
          </w:p>
        </w:tc>
        <w:tc>
          <w:tcPr>
            <w:tcW w:w="1276"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center"/>
              <w:rPr>
                <w:rFonts w:ascii="Arial Narrow" w:hAnsi="Arial Narrow" w:cs="Times New Roman"/>
                <w:i/>
                <w:snapToGrid/>
                <w:color w:val="000000"/>
                <w:sz w:val="20"/>
                <w:lang w:eastAsia="en-AU"/>
              </w:rPr>
            </w:pPr>
            <w:r w:rsidRPr="000A5017">
              <w:rPr>
                <w:rFonts w:ascii="Arial Narrow" w:hAnsi="Arial Narrow" w:cs="Times New Roman"/>
                <w:sz w:val="20"/>
              </w:rPr>
              <w:t>$720,192</w:t>
            </w:r>
          </w:p>
        </w:tc>
        <w:tc>
          <w:tcPr>
            <w:tcW w:w="1134"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center"/>
              <w:rPr>
                <w:rFonts w:ascii="Arial Narrow" w:hAnsi="Arial Narrow" w:cs="Times New Roman"/>
                <w:i/>
                <w:snapToGrid/>
                <w:color w:val="000000"/>
                <w:sz w:val="20"/>
                <w:lang w:eastAsia="en-AU"/>
              </w:rPr>
            </w:pPr>
            <w:r w:rsidRPr="000A5017">
              <w:rPr>
                <w:rFonts w:ascii="Arial Narrow" w:hAnsi="Arial Narrow" w:cs="Times New Roman"/>
                <w:sz w:val="20"/>
              </w:rPr>
              <w:t>$720,192</w:t>
            </w:r>
          </w:p>
        </w:tc>
        <w:tc>
          <w:tcPr>
            <w:tcW w:w="1275"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center"/>
              <w:rPr>
                <w:rFonts w:ascii="Arial Narrow" w:hAnsi="Arial Narrow" w:cs="Times New Roman"/>
                <w:i/>
                <w:snapToGrid/>
                <w:color w:val="000000"/>
                <w:sz w:val="20"/>
                <w:lang w:eastAsia="en-AU"/>
              </w:rPr>
            </w:pPr>
            <w:r w:rsidRPr="000A5017">
              <w:rPr>
                <w:rFonts w:ascii="Arial Narrow" w:hAnsi="Arial Narrow" w:cs="Times New Roman"/>
                <w:sz w:val="20"/>
              </w:rPr>
              <w:t>$720,192</w:t>
            </w:r>
          </w:p>
        </w:tc>
        <w:tc>
          <w:tcPr>
            <w:tcW w:w="1134"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center"/>
              <w:rPr>
                <w:rFonts w:ascii="Arial Narrow" w:hAnsi="Arial Narrow" w:cs="Times New Roman"/>
                <w:i/>
                <w:snapToGrid/>
                <w:color w:val="000000"/>
                <w:sz w:val="20"/>
                <w:lang w:eastAsia="en-AU"/>
              </w:rPr>
            </w:pPr>
            <w:r w:rsidRPr="000A5017">
              <w:rPr>
                <w:rFonts w:ascii="Arial Narrow" w:hAnsi="Arial Narrow" w:cs="Times New Roman"/>
                <w:sz w:val="20"/>
              </w:rPr>
              <w:t>$720,192</w:t>
            </w:r>
          </w:p>
        </w:tc>
        <w:tc>
          <w:tcPr>
            <w:tcW w:w="1196"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center"/>
              <w:rPr>
                <w:rFonts w:ascii="Arial Narrow" w:hAnsi="Arial Narrow" w:cs="Times New Roman"/>
                <w:i/>
                <w:snapToGrid/>
                <w:color w:val="000000"/>
                <w:sz w:val="20"/>
                <w:lang w:eastAsia="en-AU"/>
              </w:rPr>
            </w:pPr>
            <w:r w:rsidRPr="000A5017">
              <w:rPr>
                <w:rFonts w:ascii="Arial Narrow" w:hAnsi="Arial Narrow" w:cs="Times New Roman"/>
                <w:sz w:val="20"/>
              </w:rPr>
              <w:t>$720,192</w:t>
            </w:r>
          </w:p>
        </w:tc>
      </w:tr>
      <w:tr w:rsidR="000A5017" w:rsidRPr="000A5017" w:rsidTr="00E20D9D">
        <w:tc>
          <w:tcPr>
            <w:tcW w:w="2410"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left"/>
              <w:rPr>
                <w:rFonts w:ascii="Arial Narrow" w:hAnsi="Arial Narrow" w:cs="Times New Roman"/>
                <w:snapToGrid/>
                <w:color w:val="000000"/>
                <w:sz w:val="20"/>
                <w:lang w:eastAsia="en-AU"/>
              </w:rPr>
            </w:pPr>
            <w:r w:rsidRPr="000A5017">
              <w:rPr>
                <w:rFonts w:ascii="Arial Narrow" w:hAnsi="Arial Narrow" w:cs="Times New Roman"/>
                <w:sz w:val="20"/>
              </w:rPr>
              <w:t>10mg – 20mg ($22.72/</w:t>
            </w:r>
            <w:proofErr w:type="spellStart"/>
            <w:r w:rsidRPr="000A5017">
              <w:rPr>
                <w:rFonts w:ascii="Arial Narrow" w:hAnsi="Arial Narrow" w:cs="Times New Roman"/>
                <w:sz w:val="20"/>
              </w:rPr>
              <w:t>item</w:t>
            </w:r>
            <w:r w:rsidRPr="000A5017">
              <w:rPr>
                <w:rFonts w:ascii="Arial Narrow" w:hAnsi="Arial Narrow" w:cs="Times New Roman"/>
                <w:sz w:val="20"/>
                <w:vertAlign w:val="superscript"/>
              </w:rPr>
              <w:t>a</w:t>
            </w:r>
            <w:proofErr w:type="spellEnd"/>
            <w:r w:rsidRPr="000A5017">
              <w:rPr>
                <w:rFonts w:ascii="Arial Narrow" w:hAnsi="Arial Narrow" w:cs="Times New Roman"/>
                <w:sz w:val="20"/>
              </w:rPr>
              <w:t>)</w:t>
            </w:r>
          </w:p>
        </w:tc>
        <w:tc>
          <w:tcPr>
            <w:tcW w:w="1276"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$1,407,799</w:t>
            </w:r>
          </w:p>
        </w:tc>
        <w:tc>
          <w:tcPr>
            <w:tcW w:w="1134"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$1,407,799</w:t>
            </w:r>
          </w:p>
        </w:tc>
        <w:tc>
          <w:tcPr>
            <w:tcW w:w="1275"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$1,407,799</w:t>
            </w:r>
          </w:p>
        </w:tc>
        <w:tc>
          <w:tcPr>
            <w:tcW w:w="1134"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$1,407,799</w:t>
            </w:r>
          </w:p>
        </w:tc>
        <w:tc>
          <w:tcPr>
            <w:tcW w:w="1196"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$1,407,799</w:t>
            </w:r>
          </w:p>
        </w:tc>
      </w:tr>
      <w:tr w:rsidR="000A5017" w:rsidRPr="000A5017" w:rsidTr="00E20D9D">
        <w:tc>
          <w:tcPr>
            <w:tcW w:w="2410"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left"/>
              <w:rPr>
                <w:rFonts w:ascii="Arial Narrow" w:hAnsi="Arial Narrow" w:cs="Times New Roman"/>
                <w:snapToGrid/>
                <w:color w:val="000000"/>
                <w:sz w:val="20"/>
                <w:vertAlign w:val="superscript"/>
                <w:lang w:eastAsia="en-AU"/>
              </w:rPr>
            </w:pPr>
            <w:r w:rsidRPr="000A5017">
              <w:rPr>
                <w:rFonts w:ascii="Arial Narrow" w:hAnsi="Arial Narrow" w:cs="Times New Roman"/>
                <w:sz w:val="20"/>
              </w:rPr>
              <w:t>10mg – 40mg ($32.66/</w:t>
            </w:r>
            <w:proofErr w:type="spellStart"/>
            <w:r w:rsidRPr="000A5017">
              <w:rPr>
                <w:rFonts w:ascii="Arial Narrow" w:hAnsi="Arial Narrow" w:cs="Times New Roman"/>
                <w:sz w:val="20"/>
              </w:rPr>
              <w:t>item</w:t>
            </w:r>
            <w:r w:rsidRPr="000A5017">
              <w:rPr>
                <w:rFonts w:ascii="Arial Narrow" w:hAnsi="Arial Narrow" w:cs="Times New Roman"/>
                <w:sz w:val="20"/>
                <w:vertAlign w:val="superscript"/>
              </w:rPr>
              <w:t>a</w:t>
            </w:r>
            <w:proofErr w:type="spellEnd"/>
            <w:r w:rsidRPr="000A5017">
              <w:rPr>
                <w:rFonts w:ascii="Arial Narrow" w:hAnsi="Arial Narrow" w:cs="Times New Roman"/>
                <w:sz w:val="20"/>
              </w:rPr>
              <w:t>)</w:t>
            </w:r>
          </w:p>
        </w:tc>
        <w:tc>
          <w:tcPr>
            <w:tcW w:w="1276"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$12,042,591</w:t>
            </w:r>
          </w:p>
        </w:tc>
        <w:tc>
          <w:tcPr>
            <w:tcW w:w="1134"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$12,042,591</w:t>
            </w:r>
          </w:p>
        </w:tc>
        <w:tc>
          <w:tcPr>
            <w:tcW w:w="1275"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$12,042,591</w:t>
            </w:r>
          </w:p>
        </w:tc>
        <w:tc>
          <w:tcPr>
            <w:tcW w:w="1134"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$12,042,591</w:t>
            </w:r>
          </w:p>
        </w:tc>
        <w:tc>
          <w:tcPr>
            <w:tcW w:w="1196"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$12,042,591</w:t>
            </w:r>
          </w:p>
        </w:tc>
      </w:tr>
      <w:tr w:rsidR="000A5017" w:rsidRPr="000A5017" w:rsidTr="00E20D9D">
        <w:tc>
          <w:tcPr>
            <w:tcW w:w="2410"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left"/>
              <w:rPr>
                <w:rFonts w:ascii="Arial Narrow" w:hAnsi="Arial Narrow" w:cs="Times New Roman"/>
                <w:snapToGrid/>
                <w:color w:val="000000"/>
                <w:sz w:val="20"/>
                <w:lang w:eastAsia="en-AU"/>
              </w:rPr>
            </w:pPr>
            <w:r w:rsidRPr="000A5017">
              <w:rPr>
                <w:rFonts w:ascii="Arial Narrow" w:hAnsi="Arial Narrow" w:cs="Times New Roman"/>
                <w:sz w:val="20"/>
              </w:rPr>
              <w:t>10mg – 80mg</w:t>
            </w:r>
            <w:r w:rsidR="00E20D9D">
              <w:rPr>
                <w:rFonts w:ascii="Arial Narrow" w:hAnsi="Arial Narrow" w:cs="Times New Roman"/>
                <w:sz w:val="20"/>
              </w:rPr>
              <w:t xml:space="preserve"> </w:t>
            </w:r>
            <w:r w:rsidRPr="000A5017">
              <w:rPr>
                <w:rFonts w:ascii="Arial Narrow" w:hAnsi="Arial Narrow" w:cs="Times New Roman"/>
                <w:sz w:val="20"/>
              </w:rPr>
              <w:t>($46.88/</w:t>
            </w:r>
            <w:proofErr w:type="spellStart"/>
            <w:r w:rsidRPr="000A5017">
              <w:rPr>
                <w:rFonts w:ascii="Arial Narrow" w:hAnsi="Arial Narrow" w:cs="Times New Roman"/>
                <w:sz w:val="20"/>
              </w:rPr>
              <w:t>item</w:t>
            </w:r>
            <w:r w:rsidRPr="000A5017">
              <w:rPr>
                <w:rFonts w:ascii="Arial Narrow" w:hAnsi="Arial Narrow" w:cs="Times New Roman"/>
                <w:sz w:val="20"/>
                <w:vertAlign w:val="superscript"/>
              </w:rPr>
              <w:t>a</w:t>
            </w:r>
            <w:proofErr w:type="spellEnd"/>
            <w:r w:rsidRPr="000A5017">
              <w:rPr>
                <w:rFonts w:ascii="Arial Narrow" w:hAnsi="Arial Narrow" w:cs="Times New Roman"/>
                <w:sz w:val="20"/>
              </w:rPr>
              <w:t>)</w:t>
            </w:r>
          </w:p>
        </w:tc>
        <w:tc>
          <w:tcPr>
            <w:tcW w:w="1276"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$15,481,839</w:t>
            </w:r>
          </w:p>
        </w:tc>
        <w:tc>
          <w:tcPr>
            <w:tcW w:w="1134"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$15,481,839</w:t>
            </w:r>
          </w:p>
        </w:tc>
        <w:tc>
          <w:tcPr>
            <w:tcW w:w="1275"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$15,481,839</w:t>
            </w:r>
          </w:p>
        </w:tc>
        <w:tc>
          <w:tcPr>
            <w:tcW w:w="1134"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$15,481,839</w:t>
            </w:r>
          </w:p>
        </w:tc>
        <w:tc>
          <w:tcPr>
            <w:tcW w:w="1196" w:type="dxa"/>
            <w:tcBorders>
              <w:top w:val="single" w:sz="4" w:space="0" w:color="auto"/>
              <w:bottom w:val="single" w:sz="4" w:space="0" w:color="auto"/>
            </w:tcBorders>
            <w:shd w:val="clear" w:color="auto" w:fill="auto"/>
            <w:noWrap/>
            <w:vAlign w:val="center"/>
          </w:tcPr>
          <w:p w:rsidR="000A5017" w:rsidRPr="000A5017" w:rsidRDefault="000A5017" w:rsidP="000A5017">
            <w:pPr>
              <w:widowControl/>
              <w:jc w:val="center"/>
              <w:rPr>
                <w:rFonts w:ascii="Arial Narrow" w:hAnsi="Arial Narrow" w:cs="Times New Roman"/>
                <w:snapToGrid/>
                <w:color w:val="000000"/>
                <w:sz w:val="20"/>
                <w:lang w:eastAsia="en-AU"/>
              </w:rPr>
            </w:pPr>
            <w:r w:rsidRPr="000A5017">
              <w:rPr>
                <w:rFonts w:ascii="Arial Narrow" w:hAnsi="Arial Narrow" w:cs="Times New Roman"/>
                <w:sz w:val="20"/>
              </w:rPr>
              <w:t>$15,481,839</w:t>
            </w:r>
          </w:p>
        </w:tc>
      </w:tr>
      <w:tr w:rsidR="000A5017" w:rsidRPr="000A5017" w:rsidTr="00E20D9D">
        <w:tc>
          <w:tcPr>
            <w:tcW w:w="2410" w:type="dxa"/>
            <w:shd w:val="clear" w:color="auto" w:fill="auto"/>
            <w:vAlign w:val="center"/>
            <w:hideMark/>
          </w:tcPr>
          <w:p w:rsidR="000A5017" w:rsidRPr="000A5017" w:rsidRDefault="000A5017" w:rsidP="000A5017">
            <w:pPr>
              <w:widowControl/>
              <w:jc w:val="left"/>
              <w:rPr>
                <w:rFonts w:ascii="Arial Narrow" w:hAnsi="Arial Narrow" w:cs="Times New Roman"/>
                <w:b/>
                <w:bCs/>
                <w:snapToGrid/>
                <w:sz w:val="20"/>
                <w:lang w:eastAsia="en-AU"/>
              </w:rPr>
            </w:pPr>
            <w:r w:rsidRPr="000A5017">
              <w:rPr>
                <w:rFonts w:ascii="Arial Narrow" w:hAnsi="Arial Narrow" w:cs="Times New Roman"/>
                <w:b/>
                <w:bCs/>
                <w:snapToGrid/>
                <w:sz w:val="20"/>
                <w:lang w:eastAsia="en-AU"/>
              </w:rPr>
              <w:t>Overall net cost to PBS</w:t>
            </w:r>
          </w:p>
        </w:tc>
        <w:tc>
          <w:tcPr>
            <w:tcW w:w="1276" w:type="dxa"/>
            <w:shd w:val="clear" w:color="auto" w:fill="auto"/>
            <w:noWrap/>
            <w:vAlign w:val="center"/>
          </w:tcPr>
          <w:p w:rsidR="000A5017" w:rsidRPr="000A5017" w:rsidRDefault="000A5017" w:rsidP="000A5017">
            <w:pPr>
              <w:widowControl/>
              <w:jc w:val="center"/>
              <w:rPr>
                <w:rFonts w:ascii="Arial Narrow" w:hAnsi="Arial Narrow" w:cs="Times New Roman"/>
                <w:b/>
                <w:bCs/>
                <w:snapToGrid/>
                <w:sz w:val="20"/>
                <w:lang w:eastAsia="en-AU"/>
              </w:rPr>
            </w:pPr>
            <w:r w:rsidRPr="000A5017">
              <w:rPr>
                <w:rFonts w:ascii="Arial Narrow" w:hAnsi="Arial Narrow" w:cs="Times New Roman"/>
                <w:b/>
                <w:sz w:val="20"/>
              </w:rPr>
              <w:t>$29,652,422</w:t>
            </w:r>
          </w:p>
        </w:tc>
        <w:tc>
          <w:tcPr>
            <w:tcW w:w="1134" w:type="dxa"/>
            <w:shd w:val="clear" w:color="auto" w:fill="auto"/>
            <w:noWrap/>
            <w:vAlign w:val="center"/>
          </w:tcPr>
          <w:p w:rsidR="000A5017" w:rsidRPr="000A5017" w:rsidRDefault="000A5017" w:rsidP="000A5017">
            <w:pPr>
              <w:widowControl/>
              <w:jc w:val="center"/>
              <w:rPr>
                <w:rFonts w:ascii="Arial Narrow" w:hAnsi="Arial Narrow" w:cs="Times New Roman"/>
                <w:b/>
                <w:bCs/>
                <w:snapToGrid/>
                <w:sz w:val="20"/>
                <w:lang w:eastAsia="en-AU"/>
              </w:rPr>
            </w:pPr>
            <w:r w:rsidRPr="000A5017">
              <w:rPr>
                <w:rFonts w:ascii="Arial Narrow" w:hAnsi="Arial Narrow" w:cs="Times New Roman"/>
                <w:b/>
                <w:sz w:val="20"/>
              </w:rPr>
              <w:t>$29,652,422</w:t>
            </w:r>
          </w:p>
        </w:tc>
        <w:tc>
          <w:tcPr>
            <w:tcW w:w="1275" w:type="dxa"/>
            <w:shd w:val="clear" w:color="auto" w:fill="auto"/>
            <w:noWrap/>
            <w:vAlign w:val="center"/>
          </w:tcPr>
          <w:p w:rsidR="000A5017" w:rsidRPr="000A5017" w:rsidRDefault="000A5017" w:rsidP="000A5017">
            <w:pPr>
              <w:widowControl/>
              <w:jc w:val="center"/>
              <w:rPr>
                <w:rFonts w:ascii="Arial Narrow" w:hAnsi="Arial Narrow" w:cs="Times New Roman"/>
                <w:b/>
                <w:bCs/>
                <w:snapToGrid/>
                <w:sz w:val="20"/>
                <w:lang w:eastAsia="en-AU"/>
              </w:rPr>
            </w:pPr>
            <w:r w:rsidRPr="000A5017">
              <w:rPr>
                <w:rFonts w:ascii="Arial Narrow" w:hAnsi="Arial Narrow" w:cs="Times New Roman"/>
                <w:b/>
                <w:sz w:val="20"/>
              </w:rPr>
              <w:t>$29,652,422</w:t>
            </w:r>
          </w:p>
        </w:tc>
        <w:tc>
          <w:tcPr>
            <w:tcW w:w="1134" w:type="dxa"/>
            <w:shd w:val="clear" w:color="auto" w:fill="auto"/>
            <w:noWrap/>
            <w:vAlign w:val="center"/>
          </w:tcPr>
          <w:p w:rsidR="000A5017" w:rsidRPr="000A5017" w:rsidRDefault="000A5017" w:rsidP="000A5017">
            <w:pPr>
              <w:widowControl/>
              <w:jc w:val="center"/>
              <w:rPr>
                <w:rFonts w:ascii="Arial Narrow" w:hAnsi="Arial Narrow" w:cs="Times New Roman"/>
                <w:b/>
                <w:bCs/>
                <w:snapToGrid/>
                <w:sz w:val="20"/>
                <w:lang w:eastAsia="en-AU"/>
              </w:rPr>
            </w:pPr>
            <w:r w:rsidRPr="000A5017">
              <w:rPr>
                <w:rFonts w:ascii="Arial Narrow" w:hAnsi="Arial Narrow" w:cs="Times New Roman"/>
                <w:b/>
                <w:sz w:val="20"/>
              </w:rPr>
              <w:t>$29,652,422</w:t>
            </w:r>
          </w:p>
        </w:tc>
        <w:tc>
          <w:tcPr>
            <w:tcW w:w="1196" w:type="dxa"/>
            <w:shd w:val="clear" w:color="auto" w:fill="auto"/>
            <w:noWrap/>
            <w:vAlign w:val="center"/>
          </w:tcPr>
          <w:p w:rsidR="000A5017" w:rsidRPr="000A5017" w:rsidRDefault="000A5017" w:rsidP="000A5017">
            <w:pPr>
              <w:widowControl/>
              <w:jc w:val="center"/>
              <w:rPr>
                <w:rFonts w:ascii="Arial Narrow" w:hAnsi="Arial Narrow" w:cs="Times New Roman"/>
                <w:b/>
                <w:bCs/>
                <w:snapToGrid/>
                <w:sz w:val="20"/>
                <w:lang w:eastAsia="en-AU"/>
              </w:rPr>
            </w:pPr>
            <w:r w:rsidRPr="000A5017">
              <w:rPr>
                <w:rFonts w:ascii="Arial Narrow" w:hAnsi="Arial Narrow" w:cs="Times New Roman"/>
                <w:b/>
                <w:sz w:val="20"/>
              </w:rPr>
              <w:t>$29,652,422</w:t>
            </w:r>
          </w:p>
        </w:tc>
      </w:tr>
    </w:tbl>
    <w:p w:rsidR="000A5017" w:rsidRPr="000A5017" w:rsidRDefault="000A5017" w:rsidP="00E20D9D">
      <w:pPr>
        <w:ind w:left="709"/>
        <w:rPr>
          <w:rFonts w:ascii="Arial Narrow" w:eastAsiaTheme="minorHAnsi" w:hAnsi="Arial Narrow"/>
          <w:snapToGrid/>
          <w:sz w:val="18"/>
        </w:rPr>
      </w:pPr>
      <w:r w:rsidRPr="000A5017">
        <w:rPr>
          <w:rFonts w:ascii="Arial Narrow" w:eastAsiaTheme="minorHAnsi" w:hAnsi="Arial Narrow"/>
          <w:snapToGrid/>
          <w:sz w:val="18"/>
        </w:rPr>
        <w:t xml:space="preserve">Source: </w:t>
      </w:r>
      <w:r w:rsidR="000D6553">
        <w:rPr>
          <w:rFonts w:ascii="Arial Narrow" w:eastAsiaTheme="minorHAnsi" w:hAnsi="Arial Narrow"/>
          <w:snapToGrid/>
          <w:sz w:val="18"/>
        </w:rPr>
        <w:t>Evaluation</w:t>
      </w:r>
      <w:r w:rsidRPr="000A5017">
        <w:rPr>
          <w:rFonts w:ascii="Arial Narrow" w:eastAsiaTheme="minorHAnsi" w:hAnsi="Arial Narrow"/>
          <w:snapToGrid/>
          <w:sz w:val="18"/>
        </w:rPr>
        <w:t xml:space="preserve"> Table E.2.2 (p64) based on Submission Tables B.6-1 (p104), B.6-4 (p106) and B.6-5 (p106)</w:t>
      </w:r>
    </w:p>
    <w:p w:rsidR="000A5017" w:rsidRDefault="000A5017" w:rsidP="00E20D9D">
      <w:pPr>
        <w:ind w:left="709"/>
        <w:rPr>
          <w:rFonts w:ascii="Arial Narrow" w:eastAsiaTheme="minorHAnsi" w:hAnsi="Arial Narrow"/>
          <w:snapToGrid/>
          <w:sz w:val="18"/>
        </w:rPr>
      </w:pPr>
      <w:proofErr w:type="gramStart"/>
      <w:r w:rsidRPr="000A5017">
        <w:rPr>
          <w:rFonts w:ascii="Arial Narrow" w:eastAsiaTheme="minorHAnsi" w:hAnsi="Arial Narrow"/>
          <w:snapToGrid/>
          <w:sz w:val="18"/>
          <w:vertAlign w:val="superscript"/>
        </w:rPr>
        <w:t>a</w:t>
      </w:r>
      <w:proofErr w:type="gramEnd"/>
      <w:r w:rsidRPr="000A5017">
        <w:rPr>
          <w:rFonts w:ascii="Arial Narrow" w:eastAsiaTheme="minorHAnsi" w:hAnsi="Arial Narrow"/>
          <w:snapToGrid/>
          <w:sz w:val="18"/>
        </w:rPr>
        <w:t xml:space="preserve"> calculated using current DPMQ of the FDC for each strength less co-payment ($14.07) minus potential DPMQ of the FDC for each strength should the compliance advice be reversed less co-payment ($14.07).</w:t>
      </w:r>
    </w:p>
    <w:p w:rsidR="002239A8" w:rsidRPr="00DC3448" w:rsidRDefault="002239A8" w:rsidP="00DC3448">
      <w:pPr>
        <w:rPr>
          <w:rFonts w:eastAsiaTheme="minorHAnsi"/>
          <w:snapToGrid/>
          <w:szCs w:val="22"/>
        </w:rPr>
      </w:pPr>
    </w:p>
    <w:p w:rsidR="00E20D9D" w:rsidRPr="00E20D9D" w:rsidRDefault="00E20D9D" w:rsidP="008D11C6">
      <w:pPr>
        <w:pStyle w:val="ListParagraph"/>
        <w:numPr>
          <w:ilvl w:val="1"/>
          <w:numId w:val="3"/>
        </w:numPr>
        <w:rPr>
          <w:szCs w:val="22"/>
        </w:rPr>
      </w:pPr>
      <w:r w:rsidRPr="00E20D9D">
        <w:rPr>
          <w:szCs w:val="22"/>
        </w:rPr>
        <w:t xml:space="preserve">The issues identified in the </w:t>
      </w:r>
      <w:r w:rsidR="008B30D2">
        <w:rPr>
          <w:szCs w:val="22"/>
        </w:rPr>
        <w:t>e</w:t>
      </w:r>
      <w:r w:rsidR="000D6553">
        <w:rPr>
          <w:szCs w:val="22"/>
        </w:rPr>
        <w:t>valuation</w:t>
      </w:r>
      <w:r w:rsidRPr="00E20D9D">
        <w:rPr>
          <w:szCs w:val="22"/>
        </w:rPr>
        <w:t xml:space="preserve"> with the financial estimates include</w:t>
      </w:r>
      <w:r>
        <w:rPr>
          <w:szCs w:val="22"/>
        </w:rPr>
        <w:t>d:</w:t>
      </w:r>
    </w:p>
    <w:p w:rsidR="00E20D9D" w:rsidRPr="00E20D9D" w:rsidRDefault="00193333" w:rsidP="006F4509">
      <w:pPr>
        <w:pStyle w:val="ListParagraph"/>
        <w:widowControl/>
        <w:numPr>
          <w:ilvl w:val="0"/>
          <w:numId w:val="8"/>
        </w:numPr>
        <w:ind w:left="993" w:hanging="284"/>
        <w:rPr>
          <w:szCs w:val="22"/>
        </w:rPr>
      </w:pPr>
      <w:r>
        <w:rPr>
          <w:szCs w:val="22"/>
        </w:rPr>
        <w:t>T</w:t>
      </w:r>
      <w:r w:rsidR="00E20D9D" w:rsidRPr="00E20D9D">
        <w:rPr>
          <w:szCs w:val="22"/>
        </w:rPr>
        <w:t>he lack of justification in removing RPBS p</w:t>
      </w:r>
      <w:r w:rsidR="00AF265C">
        <w:rPr>
          <w:szCs w:val="22"/>
        </w:rPr>
        <w:t>rescriptions from the estimates;</w:t>
      </w:r>
    </w:p>
    <w:p w:rsidR="00E20D9D" w:rsidRPr="00E20D9D" w:rsidRDefault="00193333" w:rsidP="006F4509">
      <w:pPr>
        <w:pStyle w:val="ListParagraph"/>
        <w:widowControl/>
        <w:numPr>
          <w:ilvl w:val="0"/>
          <w:numId w:val="8"/>
        </w:numPr>
        <w:ind w:left="993" w:hanging="284"/>
        <w:rPr>
          <w:szCs w:val="22"/>
        </w:rPr>
      </w:pPr>
      <w:r>
        <w:rPr>
          <w:szCs w:val="22"/>
        </w:rPr>
        <w:t>D</w:t>
      </w:r>
      <w:r w:rsidR="00E20D9D" w:rsidRPr="00E20D9D">
        <w:rPr>
          <w:szCs w:val="22"/>
        </w:rPr>
        <w:t>eficiencies in the date-of-processing PBS items statistics data in late 2013 which may have resulted in an underestimate of the baseline prescriptions and subsequent market growth, and</w:t>
      </w:r>
    </w:p>
    <w:p w:rsidR="00576972" w:rsidRPr="00E20D9D" w:rsidRDefault="00193333" w:rsidP="006F4509">
      <w:pPr>
        <w:pStyle w:val="ListParagraph"/>
        <w:widowControl/>
        <w:numPr>
          <w:ilvl w:val="0"/>
          <w:numId w:val="8"/>
        </w:numPr>
        <w:ind w:left="993" w:hanging="284"/>
        <w:rPr>
          <w:szCs w:val="22"/>
        </w:rPr>
      </w:pPr>
      <w:r>
        <w:rPr>
          <w:szCs w:val="22"/>
        </w:rPr>
        <w:t>T</w:t>
      </w:r>
      <w:r w:rsidR="00E20D9D" w:rsidRPr="00E20D9D">
        <w:rPr>
          <w:szCs w:val="22"/>
        </w:rPr>
        <w:t>he lack of consideration of the market dynamics given the recent and future PBS-listings of other ezetimibe with statin combination products.</w:t>
      </w:r>
      <w:r w:rsidR="00E20D9D">
        <w:rPr>
          <w:szCs w:val="22"/>
        </w:rPr>
        <w:t xml:space="preserve"> </w:t>
      </w:r>
    </w:p>
    <w:p w:rsidR="00E20D9D" w:rsidRPr="00E20D9D" w:rsidRDefault="00E20D9D" w:rsidP="00E20D9D">
      <w:pPr>
        <w:widowControl/>
        <w:rPr>
          <w:szCs w:val="22"/>
        </w:rPr>
      </w:pPr>
    </w:p>
    <w:p w:rsidR="000A5017" w:rsidRPr="00DC3448" w:rsidRDefault="00E20D9D" w:rsidP="008D11C6">
      <w:pPr>
        <w:pStyle w:val="ListParagraph"/>
        <w:numPr>
          <w:ilvl w:val="1"/>
          <w:numId w:val="3"/>
        </w:numPr>
        <w:rPr>
          <w:szCs w:val="22"/>
        </w:rPr>
      </w:pPr>
      <w:r w:rsidRPr="00E20D9D">
        <w:rPr>
          <w:szCs w:val="22"/>
        </w:rPr>
        <w:t xml:space="preserve">The </w:t>
      </w:r>
      <w:r w:rsidR="008B30D2">
        <w:rPr>
          <w:szCs w:val="22"/>
        </w:rPr>
        <w:t>e</w:t>
      </w:r>
      <w:r w:rsidR="000D6553">
        <w:rPr>
          <w:szCs w:val="22"/>
        </w:rPr>
        <w:t>valuation</w:t>
      </w:r>
      <w:r w:rsidRPr="00E20D9D">
        <w:rPr>
          <w:szCs w:val="22"/>
        </w:rPr>
        <w:t xml:space="preserve"> considered t</w:t>
      </w:r>
      <w:r>
        <w:rPr>
          <w:szCs w:val="22"/>
        </w:rPr>
        <w:t>he presented estimates we</w:t>
      </w:r>
      <w:r w:rsidRPr="00E20D9D">
        <w:rPr>
          <w:szCs w:val="22"/>
        </w:rPr>
        <w:t xml:space="preserve">re potentially an underestimate of the cost to government if the compliance advice is maintained and the cost of alternative therapies continue to fall due to PBS price disclosure polices. </w:t>
      </w:r>
      <w:r>
        <w:rPr>
          <w:szCs w:val="22"/>
        </w:rPr>
        <w:t xml:space="preserve">DUSC agreed with the </w:t>
      </w:r>
      <w:r w:rsidR="008B30D2">
        <w:rPr>
          <w:szCs w:val="22"/>
        </w:rPr>
        <w:t>e</w:t>
      </w:r>
      <w:r w:rsidR="000D6553">
        <w:rPr>
          <w:szCs w:val="22"/>
        </w:rPr>
        <w:t>valuation</w:t>
      </w:r>
      <w:r w:rsidRPr="00E20D9D">
        <w:rPr>
          <w:szCs w:val="22"/>
        </w:rPr>
        <w:t xml:space="preserve"> that the cost difference between </w:t>
      </w:r>
      <w:proofErr w:type="spellStart"/>
      <w:r w:rsidRPr="00E20D9D">
        <w:rPr>
          <w:szCs w:val="22"/>
        </w:rPr>
        <w:t>Vytorin</w:t>
      </w:r>
      <w:proofErr w:type="spellEnd"/>
      <w:r w:rsidRPr="00E20D9D">
        <w:rPr>
          <w:szCs w:val="22"/>
        </w:rPr>
        <w:t xml:space="preserve"> and the concomitant therapies or other statin plus ezetimibe combinations may be an underestimate due to the effects of price reductions that may apply to the alternate therapies over the forward estimates. However, DUSC also considered the market </w:t>
      </w:r>
      <w:r w:rsidRPr="00E20D9D">
        <w:rPr>
          <w:szCs w:val="22"/>
        </w:rPr>
        <w:lastRenderedPageBreak/>
        <w:t xml:space="preserve">share for </w:t>
      </w:r>
      <w:proofErr w:type="spellStart"/>
      <w:r w:rsidRPr="00E20D9D">
        <w:rPr>
          <w:szCs w:val="22"/>
        </w:rPr>
        <w:t>Vytorin</w:t>
      </w:r>
      <w:proofErr w:type="spellEnd"/>
      <w:r w:rsidRPr="00E20D9D">
        <w:rPr>
          <w:szCs w:val="22"/>
        </w:rPr>
        <w:t xml:space="preserve"> is a likely overestimate if ezetimibe + atorvastatin or ezetimibe + rosuvastatin combinations become preferred treatments to </w:t>
      </w:r>
      <w:proofErr w:type="spellStart"/>
      <w:r w:rsidRPr="00E20D9D">
        <w:rPr>
          <w:szCs w:val="22"/>
        </w:rPr>
        <w:t>Vytorin</w:t>
      </w:r>
      <w:proofErr w:type="spellEnd"/>
      <w:r w:rsidRPr="00E20D9D">
        <w:rPr>
          <w:szCs w:val="22"/>
        </w:rPr>
        <w:t>.</w:t>
      </w:r>
      <w:r w:rsidRPr="00E20D9D">
        <w:rPr>
          <w:i/>
          <w:szCs w:val="22"/>
        </w:rPr>
        <w:t xml:space="preserve"> </w:t>
      </w:r>
    </w:p>
    <w:p w:rsidR="00E20D9D" w:rsidRPr="00DC3448" w:rsidRDefault="00E20D9D" w:rsidP="00E20D9D">
      <w:pPr>
        <w:widowControl/>
        <w:rPr>
          <w:szCs w:val="22"/>
        </w:rPr>
      </w:pPr>
    </w:p>
    <w:p w:rsidR="003E085A" w:rsidRPr="003E085A" w:rsidRDefault="00023B82" w:rsidP="003E085A">
      <w:pPr>
        <w:pStyle w:val="ListParagraph"/>
        <w:numPr>
          <w:ilvl w:val="1"/>
          <w:numId w:val="3"/>
        </w:numPr>
      </w:pPr>
      <w:r w:rsidRPr="003E085A">
        <w:rPr>
          <w:szCs w:val="22"/>
        </w:rPr>
        <w:t xml:space="preserve">DUSC considered that the overall size of the market for ezetimibe in combination with a statin will ultimately be dependent on the results of the </w:t>
      </w:r>
      <w:r w:rsidR="002D6F5A" w:rsidRPr="003E085A">
        <w:rPr>
          <w:szCs w:val="22"/>
        </w:rPr>
        <w:t>IMPROVE</w:t>
      </w:r>
      <w:r w:rsidRPr="003E085A">
        <w:rPr>
          <w:szCs w:val="22"/>
        </w:rPr>
        <w:t xml:space="preserve">-IT trial which is investigating clinical outcomes of patients taking </w:t>
      </w:r>
      <w:proofErr w:type="spellStart"/>
      <w:r w:rsidRPr="003E085A">
        <w:rPr>
          <w:szCs w:val="22"/>
        </w:rPr>
        <w:t>Vytorin</w:t>
      </w:r>
      <w:proofErr w:type="spellEnd"/>
      <w:r w:rsidRPr="003E085A">
        <w:rPr>
          <w:szCs w:val="22"/>
        </w:rPr>
        <w:t xml:space="preserve"> versus the equivalent dose of simvastatin post-acute coronary syndrome. If the study findings support the addition of ezetimibe to simvastatin, use</w:t>
      </w:r>
      <w:r w:rsidR="00DC3448">
        <w:rPr>
          <w:szCs w:val="22"/>
        </w:rPr>
        <w:t xml:space="preserve"> of </w:t>
      </w:r>
      <w:proofErr w:type="spellStart"/>
      <w:r w:rsidR="00DC3448">
        <w:rPr>
          <w:szCs w:val="22"/>
        </w:rPr>
        <w:t>Vytorin</w:t>
      </w:r>
      <w:proofErr w:type="spellEnd"/>
      <w:r w:rsidR="00DC3448">
        <w:rPr>
          <w:szCs w:val="22"/>
        </w:rPr>
        <w:t xml:space="preserve"> and other ezetimibe</w:t>
      </w:r>
      <w:r w:rsidRPr="003E085A">
        <w:rPr>
          <w:szCs w:val="22"/>
        </w:rPr>
        <w:t xml:space="preserve">/statin combinations could grow faster than the current trend, thus underestimating the financial impact of </w:t>
      </w:r>
      <w:proofErr w:type="spellStart"/>
      <w:r w:rsidRPr="003E085A">
        <w:rPr>
          <w:szCs w:val="22"/>
        </w:rPr>
        <w:t>Vytorin</w:t>
      </w:r>
      <w:proofErr w:type="spellEnd"/>
      <w:r w:rsidRPr="003E085A">
        <w:rPr>
          <w:szCs w:val="22"/>
        </w:rPr>
        <w:t xml:space="preserve"> maintaining a price premium. Conversely, if the results are negative, then, costs will be overestimated. </w:t>
      </w:r>
    </w:p>
    <w:p w:rsidR="003E085A" w:rsidRPr="00DC3448" w:rsidRDefault="003E085A" w:rsidP="00DC3448">
      <w:pPr>
        <w:pStyle w:val="PBACHeading1"/>
        <w:numPr>
          <w:ilvl w:val="0"/>
          <w:numId w:val="0"/>
        </w:numPr>
        <w:jc w:val="both"/>
        <w:rPr>
          <w:b w:val="0"/>
        </w:rPr>
      </w:pPr>
    </w:p>
    <w:p w:rsidR="003E085A" w:rsidRDefault="00206CC2" w:rsidP="00DC3448">
      <w:pPr>
        <w:pStyle w:val="PBACHeading1"/>
        <w:numPr>
          <w:ilvl w:val="1"/>
          <w:numId w:val="3"/>
        </w:numPr>
        <w:jc w:val="both"/>
        <w:rPr>
          <w:b w:val="0"/>
        </w:rPr>
      </w:pPr>
      <w:r>
        <w:rPr>
          <w:b w:val="0"/>
        </w:rPr>
        <w:t>T</w:t>
      </w:r>
      <w:r w:rsidR="008A6690">
        <w:rPr>
          <w:b w:val="0"/>
        </w:rPr>
        <w:t xml:space="preserve">he </w:t>
      </w:r>
      <w:r w:rsidR="003E085A">
        <w:rPr>
          <w:b w:val="0"/>
        </w:rPr>
        <w:t>pre-PBAC response, whilst maintaining that “</w:t>
      </w:r>
      <w:proofErr w:type="spellStart"/>
      <w:r w:rsidR="003E085A">
        <w:rPr>
          <w:b w:val="0"/>
        </w:rPr>
        <w:t>Vytorin</w:t>
      </w:r>
      <w:proofErr w:type="spellEnd"/>
      <w:r w:rsidR="003E085A">
        <w:rPr>
          <w:b w:val="0"/>
        </w:rPr>
        <w:t xml:space="preserve">, when used for the treatment of hypercholesterolaemia, provides “… a significant improvement in compliance for the combination item over its alternative therapies for some patients”, </w:t>
      </w:r>
      <w:r w:rsidR="0098742B">
        <w:rPr>
          <w:b w:val="0"/>
        </w:rPr>
        <w:t xml:space="preserve">requested </w:t>
      </w:r>
      <w:r w:rsidR="00DC3448">
        <w:rPr>
          <w:b w:val="0"/>
        </w:rPr>
        <w:t xml:space="preserve">new lower prices for </w:t>
      </w:r>
      <w:proofErr w:type="spellStart"/>
      <w:r w:rsidR="00DC3448">
        <w:rPr>
          <w:b w:val="0"/>
        </w:rPr>
        <w:t>Vytorin</w:t>
      </w:r>
      <w:proofErr w:type="spellEnd"/>
      <w:r w:rsidR="00DC3448">
        <w:rPr>
          <w:b w:val="0"/>
        </w:rPr>
        <w:t>.</w:t>
      </w:r>
    </w:p>
    <w:p w:rsidR="003E085A" w:rsidRPr="00DC3448" w:rsidRDefault="003E085A" w:rsidP="003E085A"/>
    <w:p w:rsidR="003E085A" w:rsidRDefault="003E085A" w:rsidP="0098742B">
      <w:pPr>
        <w:pStyle w:val="PBACHeading1"/>
        <w:numPr>
          <w:ilvl w:val="1"/>
          <w:numId w:val="3"/>
        </w:numPr>
        <w:jc w:val="both"/>
        <w:rPr>
          <w:b w:val="0"/>
        </w:rPr>
      </w:pPr>
      <w:r>
        <w:rPr>
          <w:b w:val="0"/>
        </w:rPr>
        <w:t xml:space="preserve">The new </w:t>
      </w:r>
      <w:r w:rsidR="0098742B">
        <w:rPr>
          <w:b w:val="0"/>
        </w:rPr>
        <w:t xml:space="preserve">requested lower </w:t>
      </w:r>
      <w:r>
        <w:rPr>
          <w:b w:val="0"/>
        </w:rPr>
        <w:t>prices and the sponsor</w:t>
      </w:r>
      <w:r w:rsidR="00DC3448">
        <w:rPr>
          <w:b w:val="0"/>
        </w:rPr>
        <w:t>’</w:t>
      </w:r>
      <w:r>
        <w:rPr>
          <w:b w:val="0"/>
        </w:rPr>
        <w:t>s revised estimated cost to Government of maintaining the compliance advice</w:t>
      </w:r>
      <w:r w:rsidR="0098742B">
        <w:rPr>
          <w:b w:val="0"/>
        </w:rPr>
        <w:t xml:space="preserve"> </w:t>
      </w:r>
      <w:r w:rsidR="0098742B" w:rsidRPr="0098742B">
        <w:rPr>
          <w:b w:val="0"/>
        </w:rPr>
        <w:t xml:space="preserve">(and as a consequence maintaining a higher price for </w:t>
      </w:r>
      <w:proofErr w:type="spellStart"/>
      <w:r w:rsidR="0098742B" w:rsidRPr="0098742B">
        <w:rPr>
          <w:b w:val="0"/>
        </w:rPr>
        <w:t>Vytorin</w:t>
      </w:r>
      <w:proofErr w:type="spellEnd"/>
      <w:r w:rsidR="0098742B" w:rsidRPr="0098742B">
        <w:rPr>
          <w:b w:val="0"/>
        </w:rPr>
        <w:t>, than the sum of its component products),</w:t>
      </w:r>
      <w:r>
        <w:rPr>
          <w:b w:val="0"/>
        </w:rPr>
        <w:t xml:space="preserve"> </w:t>
      </w:r>
      <w:r w:rsidR="008A6690">
        <w:rPr>
          <w:b w:val="0"/>
        </w:rPr>
        <w:t>a</w:t>
      </w:r>
      <w:r>
        <w:rPr>
          <w:b w:val="0"/>
        </w:rPr>
        <w:t>re provided in the table below.</w:t>
      </w:r>
    </w:p>
    <w:p w:rsidR="003E085A" w:rsidRPr="00DC3448" w:rsidRDefault="003E085A" w:rsidP="00DC3448">
      <w:pPr>
        <w:pStyle w:val="PBACHeading1"/>
        <w:numPr>
          <w:ilvl w:val="0"/>
          <w:numId w:val="0"/>
        </w:numPr>
        <w:jc w:val="both"/>
        <w:rPr>
          <w:b w:val="0"/>
        </w:rPr>
      </w:pPr>
    </w:p>
    <w:p w:rsidR="009022A0" w:rsidRPr="009022A0" w:rsidRDefault="003E085A" w:rsidP="009022A0">
      <w:pPr>
        <w:pStyle w:val="PBACHeading1"/>
        <w:numPr>
          <w:ilvl w:val="0"/>
          <w:numId w:val="0"/>
        </w:numPr>
        <w:ind w:left="720"/>
        <w:rPr>
          <w:rFonts w:ascii="Arial Narrow" w:hAnsi="Arial Narrow"/>
          <w:sz w:val="20"/>
          <w:szCs w:val="20"/>
        </w:rPr>
      </w:pPr>
      <w:r w:rsidRPr="009022A0">
        <w:rPr>
          <w:rFonts w:ascii="Arial Narrow" w:hAnsi="Arial Narrow"/>
          <w:sz w:val="20"/>
          <w:szCs w:val="20"/>
        </w:rPr>
        <w:t xml:space="preserve">MSD proposed new prices for </w:t>
      </w:r>
      <w:proofErr w:type="spellStart"/>
      <w:r w:rsidRPr="009022A0">
        <w:rPr>
          <w:rFonts w:ascii="Arial Narrow" w:hAnsi="Arial Narrow"/>
          <w:sz w:val="20"/>
          <w:szCs w:val="20"/>
        </w:rPr>
        <w:t>Vytorin</w:t>
      </w:r>
      <w:proofErr w:type="spellEnd"/>
      <w:r w:rsidRPr="009022A0">
        <w:rPr>
          <w:rFonts w:ascii="Arial Narrow" w:hAnsi="Arial Narrow"/>
          <w:sz w:val="20"/>
          <w:szCs w:val="20"/>
        </w:rPr>
        <w:t xml:space="preserve"> with estimated Government savings</w:t>
      </w:r>
    </w:p>
    <w:tbl>
      <w:tblPr>
        <w:tblStyle w:val="TableGrid"/>
        <w:tblW w:w="8427" w:type="dxa"/>
        <w:tblInd w:w="817" w:type="dxa"/>
        <w:tblLook w:val="04A0" w:firstRow="1" w:lastRow="0" w:firstColumn="1" w:lastColumn="0" w:noHBand="0" w:noVBand="1"/>
        <w:tblDescription w:val="MSD proposed new prices for Vytorin with estimated Government savings"/>
      </w:tblPr>
      <w:tblGrid>
        <w:gridCol w:w="1111"/>
        <w:gridCol w:w="1227"/>
        <w:gridCol w:w="1072"/>
        <w:gridCol w:w="1147"/>
        <w:gridCol w:w="1240"/>
        <w:gridCol w:w="1484"/>
        <w:gridCol w:w="1146"/>
      </w:tblGrid>
      <w:tr w:rsidR="009022A0" w:rsidTr="009022A0">
        <w:tc>
          <w:tcPr>
            <w:tcW w:w="1124" w:type="dxa"/>
          </w:tcPr>
          <w:p w:rsidR="009022A0" w:rsidRPr="009022A0" w:rsidRDefault="009022A0" w:rsidP="000C549E">
            <w:pPr>
              <w:pStyle w:val="PBACHeading1"/>
              <w:numPr>
                <w:ilvl w:val="0"/>
                <w:numId w:val="0"/>
              </w:numPr>
              <w:rPr>
                <w:rFonts w:ascii="Arial Narrow" w:hAnsi="Arial Narrow"/>
                <w:sz w:val="20"/>
                <w:szCs w:val="20"/>
              </w:rPr>
            </w:pPr>
            <w:r w:rsidRPr="009022A0">
              <w:rPr>
                <w:rFonts w:ascii="Arial Narrow" w:hAnsi="Arial Narrow"/>
                <w:sz w:val="20"/>
                <w:szCs w:val="20"/>
              </w:rPr>
              <w:t>Strength</w:t>
            </w:r>
          </w:p>
          <w:p w:rsidR="009022A0" w:rsidRPr="009022A0" w:rsidRDefault="009022A0" w:rsidP="000C549E">
            <w:pPr>
              <w:pStyle w:val="PBACHeading1"/>
              <w:numPr>
                <w:ilvl w:val="0"/>
                <w:numId w:val="0"/>
              </w:numPr>
              <w:rPr>
                <w:rFonts w:ascii="Arial Narrow" w:hAnsi="Arial Narrow"/>
                <w:sz w:val="20"/>
                <w:szCs w:val="20"/>
              </w:rPr>
            </w:pPr>
            <w:r w:rsidRPr="009022A0">
              <w:rPr>
                <w:rFonts w:ascii="Arial Narrow" w:hAnsi="Arial Narrow"/>
                <w:sz w:val="20"/>
                <w:szCs w:val="20"/>
              </w:rPr>
              <w:t>(</w:t>
            </w:r>
            <w:proofErr w:type="spellStart"/>
            <w:r w:rsidRPr="009022A0">
              <w:rPr>
                <w:rFonts w:ascii="Arial Narrow" w:hAnsi="Arial Narrow"/>
                <w:sz w:val="20"/>
                <w:szCs w:val="20"/>
              </w:rPr>
              <w:t>eze-simva</w:t>
            </w:r>
            <w:proofErr w:type="spellEnd"/>
            <w:r w:rsidRPr="009022A0">
              <w:rPr>
                <w:rFonts w:ascii="Arial Narrow" w:hAnsi="Arial Narrow"/>
                <w:sz w:val="20"/>
                <w:szCs w:val="20"/>
              </w:rPr>
              <w:t>)</w:t>
            </w:r>
          </w:p>
        </w:tc>
        <w:tc>
          <w:tcPr>
            <w:tcW w:w="1232" w:type="dxa"/>
          </w:tcPr>
          <w:p w:rsidR="009022A0" w:rsidRPr="009022A0" w:rsidRDefault="009022A0" w:rsidP="000C549E">
            <w:pPr>
              <w:pStyle w:val="PBACHeading1"/>
              <w:numPr>
                <w:ilvl w:val="0"/>
                <w:numId w:val="0"/>
              </w:numPr>
              <w:rPr>
                <w:rFonts w:ascii="Arial Narrow" w:hAnsi="Arial Narrow"/>
                <w:sz w:val="20"/>
                <w:szCs w:val="20"/>
              </w:rPr>
            </w:pPr>
            <w:r w:rsidRPr="009022A0">
              <w:rPr>
                <w:rFonts w:ascii="Arial Narrow" w:hAnsi="Arial Narrow"/>
                <w:sz w:val="20"/>
                <w:szCs w:val="20"/>
              </w:rPr>
              <w:t>Sum of Component prices</w:t>
            </w:r>
          </w:p>
        </w:tc>
        <w:tc>
          <w:tcPr>
            <w:tcW w:w="1086" w:type="dxa"/>
          </w:tcPr>
          <w:p w:rsidR="009022A0" w:rsidRPr="009022A0" w:rsidRDefault="009022A0" w:rsidP="000C549E">
            <w:pPr>
              <w:pStyle w:val="PBACHeading1"/>
              <w:numPr>
                <w:ilvl w:val="0"/>
                <w:numId w:val="0"/>
              </w:numPr>
              <w:rPr>
                <w:rFonts w:ascii="Arial Narrow" w:hAnsi="Arial Narrow"/>
                <w:sz w:val="20"/>
                <w:szCs w:val="20"/>
              </w:rPr>
            </w:pPr>
            <w:r w:rsidRPr="009022A0">
              <w:rPr>
                <w:rFonts w:ascii="Arial Narrow" w:hAnsi="Arial Narrow"/>
                <w:sz w:val="20"/>
                <w:szCs w:val="20"/>
              </w:rPr>
              <w:t xml:space="preserve">Current </w:t>
            </w:r>
            <w:proofErr w:type="spellStart"/>
            <w:r w:rsidRPr="009022A0">
              <w:rPr>
                <w:rFonts w:ascii="Arial Narrow" w:hAnsi="Arial Narrow"/>
                <w:sz w:val="20"/>
                <w:szCs w:val="20"/>
              </w:rPr>
              <w:t>Vytorin</w:t>
            </w:r>
            <w:proofErr w:type="spellEnd"/>
            <w:r w:rsidRPr="009022A0">
              <w:rPr>
                <w:rFonts w:ascii="Arial Narrow" w:hAnsi="Arial Narrow"/>
                <w:sz w:val="20"/>
                <w:szCs w:val="20"/>
              </w:rPr>
              <w:t xml:space="preserve"> Price (Ex man)</w:t>
            </w:r>
          </w:p>
        </w:tc>
        <w:tc>
          <w:tcPr>
            <w:tcW w:w="1157" w:type="dxa"/>
          </w:tcPr>
          <w:p w:rsidR="009022A0" w:rsidRPr="009022A0" w:rsidRDefault="009022A0" w:rsidP="000C549E">
            <w:pPr>
              <w:pStyle w:val="PBACHeading1"/>
              <w:numPr>
                <w:ilvl w:val="0"/>
                <w:numId w:val="0"/>
              </w:numPr>
              <w:rPr>
                <w:rFonts w:ascii="Arial Narrow" w:hAnsi="Arial Narrow"/>
                <w:sz w:val="20"/>
                <w:szCs w:val="20"/>
              </w:rPr>
            </w:pPr>
            <w:r w:rsidRPr="009022A0">
              <w:rPr>
                <w:rFonts w:ascii="Arial Narrow" w:hAnsi="Arial Narrow"/>
                <w:sz w:val="20"/>
                <w:szCs w:val="20"/>
              </w:rPr>
              <w:t xml:space="preserve">New proposed </w:t>
            </w:r>
            <w:proofErr w:type="spellStart"/>
            <w:r w:rsidRPr="009022A0">
              <w:rPr>
                <w:rFonts w:ascii="Arial Narrow" w:hAnsi="Arial Narrow"/>
                <w:sz w:val="20"/>
                <w:szCs w:val="20"/>
              </w:rPr>
              <w:t>Vytorin</w:t>
            </w:r>
            <w:proofErr w:type="spellEnd"/>
            <w:r w:rsidRPr="009022A0">
              <w:rPr>
                <w:rFonts w:ascii="Arial Narrow" w:hAnsi="Arial Narrow"/>
                <w:sz w:val="20"/>
                <w:szCs w:val="20"/>
              </w:rPr>
              <w:t xml:space="preserve"> Price (</w:t>
            </w:r>
            <w:proofErr w:type="spellStart"/>
            <w:r w:rsidRPr="009022A0">
              <w:rPr>
                <w:rFonts w:ascii="Arial Narrow" w:hAnsi="Arial Narrow"/>
                <w:sz w:val="20"/>
                <w:szCs w:val="20"/>
              </w:rPr>
              <w:t>ex man</w:t>
            </w:r>
            <w:proofErr w:type="spellEnd"/>
            <w:r w:rsidRPr="009022A0">
              <w:rPr>
                <w:rFonts w:ascii="Arial Narrow" w:hAnsi="Arial Narrow"/>
                <w:sz w:val="20"/>
                <w:szCs w:val="20"/>
              </w:rPr>
              <w:t>)</w:t>
            </w:r>
          </w:p>
        </w:tc>
        <w:tc>
          <w:tcPr>
            <w:tcW w:w="1245" w:type="dxa"/>
          </w:tcPr>
          <w:p w:rsidR="009022A0" w:rsidRPr="009022A0" w:rsidRDefault="009022A0" w:rsidP="000C549E">
            <w:pPr>
              <w:pStyle w:val="PBACHeading1"/>
              <w:numPr>
                <w:ilvl w:val="0"/>
                <w:numId w:val="0"/>
              </w:numPr>
              <w:rPr>
                <w:rFonts w:ascii="Arial Narrow" w:hAnsi="Arial Narrow"/>
                <w:sz w:val="20"/>
                <w:szCs w:val="20"/>
              </w:rPr>
            </w:pPr>
            <w:r w:rsidRPr="009022A0">
              <w:rPr>
                <w:rFonts w:ascii="Arial Narrow" w:hAnsi="Arial Narrow"/>
                <w:sz w:val="20"/>
                <w:szCs w:val="20"/>
              </w:rPr>
              <w:t>Scripts/year</w:t>
            </w:r>
          </w:p>
        </w:tc>
        <w:tc>
          <w:tcPr>
            <w:tcW w:w="1437" w:type="dxa"/>
          </w:tcPr>
          <w:p w:rsidR="009022A0" w:rsidRPr="009022A0" w:rsidRDefault="009022A0" w:rsidP="000C549E">
            <w:pPr>
              <w:pStyle w:val="PBACHeading1"/>
              <w:numPr>
                <w:ilvl w:val="0"/>
                <w:numId w:val="0"/>
              </w:numPr>
              <w:rPr>
                <w:rFonts w:ascii="Arial Narrow" w:hAnsi="Arial Narrow"/>
                <w:sz w:val="20"/>
                <w:szCs w:val="20"/>
              </w:rPr>
            </w:pPr>
            <w:r w:rsidRPr="009022A0">
              <w:rPr>
                <w:rFonts w:ascii="Arial Narrow" w:hAnsi="Arial Narrow"/>
                <w:sz w:val="20"/>
                <w:szCs w:val="20"/>
              </w:rPr>
              <w:t>Estimated Commonwealth s</w:t>
            </w:r>
            <w:r w:rsidR="00631540">
              <w:rPr>
                <w:rFonts w:ascii="Arial Narrow" w:hAnsi="Arial Narrow"/>
                <w:sz w:val="20"/>
                <w:szCs w:val="20"/>
              </w:rPr>
              <w:t>avings of compliance advice (</w:t>
            </w:r>
            <w:proofErr w:type="spellStart"/>
            <w:r w:rsidR="00631540">
              <w:rPr>
                <w:rFonts w:ascii="Arial Narrow" w:hAnsi="Arial Narrow"/>
                <w:sz w:val="20"/>
                <w:szCs w:val="20"/>
              </w:rPr>
              <w:t xml:space="preserve">ex </w:t>
            </w:r>
            <w:r w:rsidRPr="009022A0">
              <w:rPr>
                <w:rFonts w:ascii="Arial Narrow" w:hAnsi="Arial Narrow"/>
                <w:sz w:val="20"/>
                <w:szCs w:val="20"/>
              </w:rPr>
              <w:t>man</w:t>
            </w:r>
            <w:proofErr w:type="spellEnd"/>
            <w:r w:rsidRPr="009022A0">
              <w:rPr>
                <w:rFonts w:ascii="Arial Narrow" w:hAnsi="Arial Narrow"/>
                <w:sz w:val="20"/>
                <w:szCs w:val="20"/>
              </w:rPr>
              <w:t>)</w:t>
            </w:r>
          </w:p>
        </w:tc>
        <w:tc>
          <w:tcPr>
            <w:tcW w:w="1146" w:type="dxa"/>
          </w:tcPr>
          <w:p w:rsidR="009022A0" w:rsidRPr="009022A0" w:rsidRDefault="009022A0" w:rsidP="000C549E">
            <w:pPr>
              <w:pStyle w:val="PBACHeading1"/>
              <w:numPr>
                <w:ilvl w:val="0"/>
                <w:numId w:val="0"/>
              </w:numPr>
              <w:rPr>
                <w:rFonts w:ascii="Arial Narrow" w:hAnsi="Arial Narrow"/>
                <w:sz w:val="20"/>
                <w:szCs w:val="20"/>
              </w:rPr>
            </w:pPr>
            <w:r w:rsidRPr="009022A0">
              <w:rPr>
                <w:rFonts w:ascii="Arial Narrow" w:hAnsi="Arial Narrow"/>
                <w:sz w:val="20"/>
                <w:szCs w:val="20"/>
              </w:rPr>
              <w:t>Cost of Maintaining Compliance Advice</w:t>
            </w:r>
          </w:p>
        </w:tc>
        <w:bookmarkStart w:id="9" w:name="_GoBack"/>
        <w:bookmarkEnd w:id="9"/>
      </w:tr>
      <w:tr w:rsidR="009022A0" w:rsidTr="009022A0">
        <w:tc>
          <w:tcPr>
            <w:tcW w:w="1124" w:type="dxa"/>
          </w:tcPr>
          <w:p w:rsidR="009022A0" w:rsidRPr="009022A0" w:rsidRDefault="009022A0" w:rsidP="000C549E">
            <w:pPr>
              <w:pStyle w:val="PBACHeading1"/>
              <w:numPr>
                <w:ilvl w:val="0"/>
                <w:numId w:val="0"/>
              </w:numPr>
              <w:rPr>
                <w:rFonts w:ascii="Arial Narrow" w:hAnsi="Arial Narrow"/>
                <w:b w:val="0"/>
                <w:sz w:val="20"/>
                <w:szCs w:val="20"/>
              </w:rPr>
            </w:pPr>
            <w:r w:rsidRPr="009022A0">
              <w:rPr>
                <w:rFonts w:ascii="Arial Narrow" w:hAnsi="Arial Narrow"/>
                <w:b w:val="0"/>
                <w:sz w:val="20"/>
                <w:szCs w:val="20"/>
              </w:rPr>
              <w:t>10- 10</w:t>
            </w:r>
          </w:p>
        </w:tc>
        <w:tc>
          <w:tcPr>
            <w:tcW w:w="1232"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1086"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1157"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1245"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1437"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1146"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r>
      <w:tr w:rsidR="009022A0" w:rsidTr="009022A0">
        <w:tc>
          <w:tcPr>
            <w:tcW w:w="1124" w:type="dxa"/>
          </w:tcPr>
          <w:p w:rsidR="009022A0" w:rsidRPr="009022A0" w:rsidRDefault="009022A0" w:rsidP="000C549E">
            <w:pPr>
              <w:pStyle w:val="PBACHeading1"/>
              <w:numPr>
                <w:ilvl w:val="0"/>
                <w:numId w:val="0"/>
              </w:numPr>
              <w:rPr>
                <w:rFonts w:ascii="Arial Narrow" w:hAnsi="Arial Narrow"/>
                <w:b w:val="0"/>
                <w:sz w:val="20"/>
                <w:szCs w:val="20"/>
              </w:rPr>
            </w:pPr>
            <w:r w:rsidRPr="009022A0">
              <w:rPr>
                <w:rFonts w:ascii="Arial Narrow" w:hAnsi="Arial Narrow"/>
                <w:b w:val="0"/>
                <w:sz w:val="20"/>
                <w:szCs w:val="20"/>
              </w:rPr>
              <w:t>10- 20</w:t>
            </w:r>
          </w:p>
        </w:tc>
        <w:tc>
          <w:tcPr>
            <w:tcW w:w="1232"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1086"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1157"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1245"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1437"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1146"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r>
      <w:tr w:rsidR="009022A0" w:rsidTr="009022A0">
        <w:tc>
          <w:tcPr>
            <w:tcW w:w="1124" w:type="dxa"/>
          </w:tcPr>
          <w:p w:rsidR="009022A0" w:rsidRPr="009022A0" w:rsidRDefault="009022A0" w:rsidP="000C549E">
            <w:pPr>
              <w:pStyle w:val="PBACHeading1"/>
              <w:numPr>
                <w:ilvl w:val="0"/>
                <w:numId w:val="0"/>
              </w:numPr>
              <w:rPr>
                <w:rFonts w:ascii="Arial Narrow" w:hAnsi="Arial Narrow"/>
                <w:b w:val="0"/>
                <w:sz w:val="20"/>
                <w:szCs w:val="20"/>
              </w:rPr>
            </w:pPr>
            <w:r w:rsidRPr="009022A0">
              <w:rPr>
                <w:rFonts w:ascii="Arial Narrow" w:hAnsi="Arial Narrow"/>
                <w:b w:val="0"/>
                <w:sz w:val="20"/>
                <w:szCs w:val="20"/>
              </w:rPr>
              <w:t>10- 40</w:t>
            </w:r>
          </w:p>
        </w:tc>
        <w:tc>
          <w:tcPr>
            <w:tcW w:w="1232"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1086"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1157"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1245"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1437"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1146"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r>
      <w:tr w:rsidR="009022A0" w:rsidTr="009022A0">
        <w:tc>
          <w:tcPr>
            <w:tcW w:w="1124" w:type="dxa"/>
          </w:tcPr>
          <w:p w:rsidR="009022A0" w:rsidRPr="009022A0" w:rsidRDefault="009022A0" w:rsidP="000C549E">
            <w:pPr>
              <w:pStyle w:val="PBACHeading1"/>
              <w:numPr>
                <w:ilvl w:val="0"/>
                <w:numId w:val="0"/>
              </w:numPr>
              <w:rPr>
                <w:rFonts w:ascii="Arial Narrow" w:hAnsi="Arial Narrow"/>
                <w:b w:val="0"/>
                <w:sz w:val="20"/>
                <w:szCs w:val="20"/>
              </w:rPr>
            </w:pPr>
            <w:r w:rsidRPr="009022A0">
              <w:rPr>
                <w:rFonts w:ascii="Arial Narrow" w:hAnsi="Arial Narrow"/>
                <w:b w:val="0"/>
                <w:sz w:val="20"/>
                <w:szCs w:val="20"/>
              </w:rPr>
              <w:t>10- 80</w:t>
            </w:r>
          </w:p>
        </w:tc>
        <w:tc>
          <w:tcPr>
            <w:tcW w:w="1232"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1086"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1157"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1245"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1437"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1146" w:type="dxa"/>
          </w:tcPr>
          <w:p w:rsidR="009022A0" w:rsidRPr="008E5255" w:rsidRDefault="008E5255" w:rsidP="000C549E">
            <w:pPr>
              <w:pStyle w:val="PBACHeading1"/>
              <w:numPr>
                <w:ilvl w:val="0"/>
                <w:numId w:val="0"/>
              </w:numPr>
              <w:rPr>
                <w:rFonts w:ascii="Arial Narrow" w:hAnsi="Arial Narrow"/>
                <w:b w:val="0"/>
                <w:sz w:val="20"/>
                <w:szCs w:val="20"/>
                <w:highlight w:val="black"/>
              </w:rPr>
            </w:pPr>
            <w:r>
              <w:rPr>
                <w:rFonts w:ascii="Arial Narrow" w:hAnsi="Arial Narrow"/>
                <w:b w:val="0"/>
                <w:noProof/>
                <w:color w:val="000000"/>
                <w:sz w:val="20"/>
                <w:szCs w:val="20"/>
                <w:highlight w:val="black"/>
              </w:rPr>
              <w:t>'''''''''''''''''''''''''''''</w:t>
            </w:r>
          </w:p>
        </w:tc>
      </w:tr>
      <w:tr w:rsidR="009022A0" w:rsidTr="009022A0">
        <w:tc>
          <w:tcPr>
            <w:tcW w:w="1124" w:type="dxa"/>
          </w:tcPr>
          <w:p w:rsidR="009022A0" w:rsidRPr="009022A0" w:rsidRDefault="009022A0" w:rsidP="000C549E">
            <w:pPr>
              <w:pStyle w:val="PBACHeading1"/>
              <w:numPr>
                <w:ilvl w:val="0"/>
                <w:numId w:val="0"/>
              </w:numPr>
              <w:rPr>
                <w:rFonts w:ascii="Arial Narrow" w:hAnsi="Arial Narrow"/>
                <w:sz w:val="20"/>
                <w:szCs w:val="20"/>
              </w:rPr>
            </w:pPr>
          </w:p>
        </w:tc>
        <w:tc>
          <w:tcPr>
            <w:tcW w:w="1232" w:type="dxa"/>
          </w:tcPr>
          <w:p w:rsidR="009022A0" w:rsidRPr="009022A0" w:rsidRDefault="009022A0" w:rsidP="000C549E">
            <w:pPr>
              <w:pStyle w:val="PBACHeading1"/>
              <w:numPr>
                <w:ilvl w:val="0"/>
                <w:numId w:val="0"/>
              </w:numPr>
              <w:rPr>
                <w:rFonts w:ascii="Arial Narrow" w:hAnsi="Arial Narrow"/>
                <w:sz w:val="20"/>
                <w:szCs w:val="20"/>
              </w:rPr>
            </w:pPr>
          </w:p>
        </w:tc>
        <w:tc>
          <w:tcPr>
            <w:tcW w:w="1086" w:type="dxa"/>
          </w:tcPr>
          <w:p w:rsidR="009022A0" w:rsidRPr="009022A0" w:rsidRDefault="009022A0" w:rsidP="000C549E">
            <w:pPr>
              <w:pStyle w:val="PBACHeading1"/>
              <w:numPr>
                <w:ilvl w:val="0"/>
                <w:numId w:val="0"/>
              </w:numPr>
              <w:rPr>
                <w:rFonts w:ascii="Arial Narrow" w:hAnsi="Arial Narrow"/>
                <w:sz w:val="20"/>
                <w:szCs w:val="20"/>
              </w:rPr>
            </w:pPr>
          </w:p>
        </w:tc>
        <w:tc>
          <w:tcPr>
            <w:tcW w:w="1157" w:type="dxa"/>
          </w:tcPr>
          <w:p w:rsidR="009022A0" w:rsidRPr="009022A0" w:rsidRDefault="009022A0" w:rsidP="000C549E">
            <w:pPr>
              <w:pStyle w:val="PBACHeading1"/>
              <w:numPr>
                <w:ilvl w:val="0"/>
                <w:numId w:val="0"/>
              </w:numPr>
              <w:rPr>
                <w:rFonts w:ascii="Arial Narrow" w:hAnsi="Arial Narrow"/>
                <w:sz w:val="20"/>
                <w:szCs w:val="20"/>
              </w:rPr>
            </w:pPr>
          </w:p>
        </w:tc>
        <w:tc>
          <w:tcPr>
            <w:tcW w:w="1245" w:type="dxa"/>
          </w:tcPr>
          <w:p w:rsidR="009022A0" w:rsidRPr="009022A0" w:rsidRDefault="009022A0" w:rsidP="000C549E">
            <w:pPr>
              <w:pStyle w:val="PBACHeading1"/>
              <w:numPr>
                <w:ilvl w:val="0"/>
                <w:numId w:val="0"/>
              </w:numPr>
              <w:rPr>
                <w:rFonts w:ascii="Arial Narrow" w:hAnsi="Arial Narrow"/>
                <w:sz w:val="20"/>
                <w:szCs w:val="20"/>
              </w:rPr>
            </w:pPr>
            <w:r w:rsidRPr="009022A0">
              <w:rPr>
                <w:rFonts w:ascii="Arial Narrow" w:hAnsi="Arial Narrow"/>
                <w:sz w:val="20"/>
                <w:szCs w:val="20"/>
              </w:rPr>
              <w:t>Total</w:t>
            </w:r>
          </w:p>
        </w:tc>
        <w:tc>
          <w:tcPr>
            <w:tcW w:w="1437" w:type="dxa"/>
          </w:tcPr>
          <w:p w:rsidR="009022A0" w:rsidRPr="009022A0" w:rsidRDefault="00664491" w:rsidP="00664491">
            <w:pPr>
              <w:pStyle w:val="PBACHeading1"/>
              <w:numPr>
                <w:ilvl w:val="0"/>
                <w:numId w:val="0"/>
              </w:numPr>
              <w:rPr>
                <w:rFonts w:ascii="Arial Narrow" w:hAnsi="Arial Narrow"/>
                <w:sz w:val="20"/>
                <w:szCs w:val="20"/>
              </w:rPr>
            </w:pPr>
            <w:r w:rsidRPr="00664491">
              <w:rPr>
                <w:rFonts w:ascii="Arial Narrow" w:hAnsi="Arial Narrow"/>
                <w:sz w:val="20"/>
                <w:szCs w:val="20"/>
              </w:rPr>
              <w:t>$</w:t>
            </w:r>
            <w:r>
              <w:rPr>
                <w:rFonts w:ascii="Arial Narrow" w:hAnsi="Arial Narrow"/>
                <w:sz w:val="20"/>
                <w:szCs w:val="20"/>
              </w:rPr>
              <w:t>10 </w:t>
            </w:r>
            <w:r>
              <w:rPr>
                <w:rFonts w:ascii="Arial Narrow" w:hAnsi="Arial Narrow"/>
                <w:sz w:val="20"/>
                <w:szCs w:val="20"/>
              </w:rPr>
              <w:noBreakHyphen/>
              <w:t> $20 </w:t>
            </w:r>
            <w:r w:rsidRPr="00664491">
              <w:rPr>
                <w:rFonts w:ascii="Arial Narrow" w:hAnsi="Arial Narrow"/>
                <w:sz w:val="20"/>
                <w:szCs w:val="20"/>
              </w:rPr>
              <w:t>million</w:t>
            </w:r>
          </w:p>
        </w:tc>
        <w:tc>
          <w:tcPr>
            <w:tcW w:w="1146" w:type="dxa"/>
          </w:tcPr>
          <w:p w:rsidR="009022A0" w:rsidRPr="009022A0" w:rsidRDefault="00664491" w:rsidP="000C549E">
            <w:pPr>
              <w:pStyle w:val="PBACHeading1"/>
              <w:numPr>
                <w:ilvl w:val="0"/>
                <w:numId w:val="0"/>
              </w:numPr>
              <w:rPr>
                <w:rFonts w:ascii="Arial Narrow" w:hAnsi="Arial Narrow"/>
                <w:b w:val="0"/>
                <w:sz w:val="20"/>
                <w:szCs w:val="20"/>
              </w:rPr>
            </w:pPr>
            <w:r>
              <w:rPr>
                <w:rFonts w:ascii="Arial Narrow" w:hAnsi="Arial Narrow"/>
                <w:b w:val="0"/>
                <w:sz w:val="20"/>
                <w:szCs w:val="20"/>
              </w:rPr>
              <w:t>Less than $10 million</w:t>
            </w:r>
          </w:p>
        </w:tc>
      </w:tr>
    </w:tbl>
    <w:p w:rsidR="003E085A" w:rsidRPr="00443103" w:rsidRDefault="003E085A" w:rsidP="003E085A">
      <w:pPr>
        <w:widowControl/>
        <w:rPr>
          <w:szCs w:val="22"/>
        </w:rPr>
      </w:pPr>
    </w:p>
    <w:p w:rsidR="00D47321" w:rsidRPr="00DC3448" w:rsidRDefault="00D47321" w:rsidP="00D47321">
      <w:pPr>
        <w:widowControl/>
        <w:rPr>
          <w:rFonts w:cs="Times New Roman"/>
          <w:snapToGrid/>
          <w:szCs w:val="22"/>
          <w:lang w:eastAsia="en-AU"/>
        </w:rPr>
      </w:pPr>
    </w:p>
    <w:p w:rsidR="00D47321" w:rsidRDefault="00D47321" w:rsidP="00D47321">
      <w:pPr>
        <w:pStyle w:val="PBACHeading1"/>
        <w:rPr>
          <w:rFonts w:cs="Times New Roman"/>
          <w:snapToGrid/>
          <w:lang w:eastAsia="en-AU"/>
        </w:rPr>
      </w:pPr>
      <w:r>
        <w:rPr>
          <w:rFonts w:cs="Times New Roman"/>
          <w:snapToGrid/>
          <w:lang w:eastAsia="en-AU"/>
        </w:rPr>
        <w:t>PBAC Outcome</w:t>
      </w:r>
    </w:p>
    <w:p w:rsidR="00D47321" w:rsidRPr="00DC3448" w:rsidRDefault="00D47321" w:rsidP="00DC3448">
      <w:pPr>
        <w:pStyle w:val="PBACHeading1"/>
        <w:numPr>
          <w:ilvl w:val="0"/>
          <w:numId w:val="0"/>
        </w:numPr>
        <w:rPr>
          <w:rFonts w:cs="Times New Roman"/>
          <w:b w:val="0"/>
          <w:snapToGrid/>
          <w:lang w:eastAsia="en-AU"/>
        </w:rPr>
      </w:pPr>
    </w:p>
    <w:p w:rsidR="00E20C5E" w:rsidRPr="00E20C5E" w:rsidRDefault="00334F08" w:rsidP="0005352F">
      <w:pPr>
        <w:pStyle w:val="ListParagraph"/>
        <w:widowControl/>
        <w:numPr>
          <w:ilvl w:val="1"/>
          <w:numId w:val="3"/>
        </w:numPr>
      </w:pPr>
      <w:r>
        <w:t>In considering this matter, t</w:t>
      </w:r>
      <w:r w:rsidR="0005352F">
        <w:t xml:space="preserve">he PBAC noted that since it gave </w:t>
      </w:r>
      <w:r w:rsidR="00310A64">
        <w:t>a</w:t>
      </w:r>
      <w:r w:rsidR="0005352F">
        <w:t xml:space="preserve">dvice </w:t>
      </w:r>
      <w:r w:rsidR="00310A64">
        <w:t xml:space="preserve">for </w:t>
      </w:r>
      <w:proofErr w:type="spellStart"/>
      <w:r w:rsidR="00310A64">
        <w:t>Vytorin</w:t>
      </w:r>
      <w:proofErr w:type="spellEnd"/>
      <w:r w:rsidR="00310A64">
        <w:t xml:space="preserve"> under subsection 101(4AC) of the Act </w:t>
      </w:r>
      <w:r w:rsidR="0005352F">
        <w:t xml:space="preserve">in 2008, </w:t>
      </w:r>
      <w:r w:rsidR="00310A64">
        <w:t xml:space="preserve">potential </w:t>
      </w:r>
      <w:r w:rsidR="0005352F">
        <w:t xml:space="preserve">new alternative therapies to </w:t>
      </w:r>
      <w:proofErr w:type="spellStart"/>
      <w:r w:rsidR="0005352F">
        <w:t>Vytorin</w:t>
      </w:r>
      <w:proofErr w:type="spellEnd"/>
      <w:r w:rsidR="0005352F">
        <w:t xml:space="preserve"> have been PBS listed, or been recommended for listing</w:t>
      </w:r>
      <w:r w:rsidR="009109E7">
        <w:t xml:space="preserve"> and</w:t>
      </w:r>
      <w:r w:rsidR="0005352F">
        <w:t xml:space="preserve"> </w:t>
      </w:r>
      <w:r w:rsidR="0005352F" w:rsidRPr="0005352F">
        <w:t>the CMWG report has become available</w:t>
      </w:r>
      <w:r w:rsidR="009109E7">
        <w:t>.</w:t>
      </w:r>
      <w:r w:rsidR="0005352F" w:rsidRPr="0005352F">
        <w:t xml:space="preserve"> </w:t>
      </w:r>
      <w:r w:rsidR="009109E7">
        <w:t>A</w:t>
      </w:r>
      <w:r w:rsidR="0005352F">
        <w:t>dditional</w:t>
      </w:r>
      <w:r w:rsidR="009109E7">
        <w:t xml:space="preserve">ly, </w:t>
      </w:r>
      <w:r w:rsidR="00310A64">
        <w:t>new</w:t>
      </w:r>
      <w:r w:rsidR="0005352F">
        <w:t xml:space="preserve"> information </w:t>
      </w:r>
      <w:r w:rsidR="00DC3448">
        <w:t>has</w:t>
      </w:r>
      <w:r w:rsidR="00310A64">
        <w:t xml:space="preserve"> </w:t>
      </w:r>
      <w:r w:rsidR="0005352F">
        <w:t xml:space="preserve">become available </w:t>
      </w:r>
      <w:r w:rsidR="00310A64">
        <w:t>that</w:t>
      </w:r>
      <w:r w:rsidR="0005352F">
        <w:t xml:space="preserve"> inform</w:t>
      </w:r>
      <w:r w:rsidR="00310A64">
        <w:t>s</w:t>
      </w:r>
      <w:r w:rsidR="0005352F">
        <w:t xml:space="preserve"> the clinical importance of any difference </w:t>
      </w:r>
      <w:r w:rsidR="00310A64">
        <w:t>in compliance, which was a key area of uncertainty for the PBAC in 2008</w:t>
      </w:r>
      <w:r w:rsidR="000C549E">
        <w:t xml:space="preserve"> and which is required to be addressed under Question 5 in the methodology developed by the CMWG</w:t>
      </w:r>
      <w:r w:rsidR="00DC3448">
        <w:t>.</w:t>
      </w:r>
    </w:p>
    <w:p w:rsidR="00263627" w:rsidRPr="00E86B6C" w:rsidRDefault="00263627" w:rsidP="00263627">
      <w:pPr>
        <w:widowControl/>
      </w:pPr>
    </w:p>
    <w:p w:rsidR="00A06E1E" w:rsidRDefault="0005352F" w:rsidP="00081883">
      <w:pPr>
        <w:pStyle w:val="ListParagraph"/>
        <w:widowControl/>
        <w:numPr>
          <w:ilvl w:val="1"/>
          <w:numId w:val="3"/>
        </w:numPr>
      </w:pPr>
      <w:r>
        <w:rPr>
          <w:rFonts w:cs="Times New Roman"/>
          <w:snapToGrid/>
          <w:szCs w:val="22"/>
          <w:lang w:eastAsia="en-AU"/>
        </w:rPr>
        <w:t>T</w:t>
      </w:r>
      <w:r w:rsidR="00263627">
        <w:rPr>
          <w:rFonts w:cs="Times New Roman"/>
          <w:snapToGrid/>
          <w:szCs w:val="22"/>
          <w:lang w:eastAsia="en-AU"/>
        </w:rPr>
        <w:t xml:space="preserve">he PBAC </w:t>
      </w:r>
      <w:r w:rsidR="00081883">
        <w:rPr>
          <w:rFonts w:cs="Times New Roman"/>
          <w:snapToGrid/>
          <w:szCs w:val="22"/>
          <w:lang w:eastAsia="en-AU"/>
        </w:rPr>
        <w:t xml:space="preserve">agreed </w:t>
      </w:r>
      <w:r w:rsidR="00334F08">
        <w:rPr>
          <w:rFonts w:cs="Times New Roman"/>
          <w:snapToGrid/>
          <w:szCs w:val="22"/>
          <w:lang w:eastAsia="en-AU"/>
        </w:rPr>
        <w:t xml:space="preserve">with the submission </w:t>
      </w:r>
      <w:r w:rsidR="00081883">
        <w:rPr>
          <w:rFonts w:cs="Times New Roman"/>
          <w:snapToGrid/>
          <w:szCs w:val="22"/>
          <w:lang w:eastAsia="en-AU"/>
        </w:rPr>
        <w:t>that</w:t>
      </w:r>
      <w:r w:rsidRPr="0005352F">
        <w:rPr>
          <w:rFonts w:cs="Times New Roman"/>
          <w:snapToGrid/>
          <w:szCs w:val="22"/>
          <w:lang w:eastAsia="en-AU"/>
        </w:rPr>
        <w:t xml:space="preserve"> ezetimibe taken concomitantly with a statin</w:t>
      </w:r>
      <w:r w:rsidR="00081883">
        <w:rPr>
          <w:rFonts w:cs="Times New Roman"/>
          <w:snapToGrid/>
          <w:szCs w:val="22"/>
          <w:lang w:eastAsia="en-AU"/>
        </w:rPr>
        <w:t xml:space="preserve"> is an alternative</w:t>
      </w:r>
      <w:r w:rsidRPr="0005352F">
        <w:rPr>
          <w:rFonts w:cs="Times New Roman"/>
          <w:snapToGrid/>
          <w:szCs w:val="22"/>
          <w:lang w:eastAsia="en-AU"/>
        </w:rPr>
        <w:t xml:space="preserve"> therapy</w:t>
      </w:r>
      <w:r w:rsidR="00081883">
        <w:rPr>
          <w:rFonts w:cs="Times New Roman"/>
          <w:snapToGrid/>
          <w:szCs w:val="22"/>
          <w:lang w:eastAsia="en-AU"/>
        </w:rPr>
        <w:t xml:space="preserve"> to </w:t>
      </w:r>
      <w:proofErr w:type="spellStart"/>
      <w:r w:rsidR="00081883">
        <w:rPr>
          <w:rFonts w:cs="Times New Roman"/>
          <w:snapToGrid/>
          <w:szCs w:val="22"/>
          <w:lang w:eastAsia="en-AU"/>
        </w:rPr>
        <w:t>Vytorin</w:t>
      </w:r>
      <w:proofErr w:type="spellEnd"/>
      <w:r w:rsidR="00081883">
        <w:rPr>
          <w:rFonts w:cs="Times New Roman"/>
          <w:snapToGrid/>
          <w:szCs w:val="22"/>
          <w:lang w:eastAsia="en-AU"/>
        </w:rPr>
        <w:t xml:space="preserve">. The PBAC </w:t>
      </w:r>
      <w:r w:rsidR="00FD5BC1">
        <w:rPr>
          <w:rFonts w:cs="Times New Roman"/>
          <w:snapToGrid/>
          <w:szCs w:val="22"/>
          <w:lang w:eastAsia="en-AU"/>
        </w:rPr>
        <w:t xml:space="preserve">also </w:t>
      </w:r>
      <w:r w:rsidR="00081883">
        <w:rPr>
          <w:rFonts w:cs="Times New Roman"/>
          <w:snapToGrid/>
          <w:szCs w:val="22"/>
          <w:lang w:eastAsia="en-AU"/>
        </w:rPr>
        <w:t xml:space="preserve">considered that </w:t>
      </w:r>
      <w:r>
        <w:rPr>
          <w:rFonts w:cs="Times New Roman"/>
          <w:snapToGrid/>
          <w:szCs w:val="22"/>
          <w:lang w:eastAsia="en-AU"/>
        </w:rPr>
        <w:t>pharmaceutical items containing the drugs:</w:t>
      </w:r>
      <w:r w:rsidR="00263627">
        <w:rPr>
          <w:rFonts w:cs="Times New Roman"/>
          <w:snapToGrid/>
          <w:szCs w:val="22"/>
          <w:lang w:eastAsia="en-AU"/>
        </w:rPr>
        <w:t xml:space="preserve"> </w:t>
      </w:r>
      <w:r w:rsidR="00263627">
        <w:t>a</w:t>
      </w:r>
      <w:r w:rsidR="00263627" w:rsidRPr="000638F1">
        <w:t>torvastatin with ezetimibe and</w:t>
      </w:r>
      <w:r w:rsidR="00DC3448">
        <w:t xml:space="preserve"> </w:t>
      </w:r>
      <w:r w:rsidR="00263627" w:rsidRPr="000638F1">
        <w:t xml:space="preserve">ezetimibe with rosuvastatin </w:t>
      </w:r>
      <w:r w:rsidR="00DC3448">
        <w:t xml:space="preserve">also </w:t>
      </w:r>
      <w:r w:rsidR="00263627">
        <w:t xml:space="preserve">constitute </w:t>
      </w:r>
      <w:r w:rsidR="00FD5BC1">
        <w:t xml:space="preserve">relevant </w:t>
      </w:r>
      <w:r w:rsidR="00263627">
        <w:t>alternative therap</w:t>
      </w:r>
      <w:r w:rsidR="00E20C5E">
        <w:t>ies</w:t>
      </w:r>
      <w:r w:rsidR="00FD5BC1">
        <w:t>,</w:t>
      </w:r>
      <w:r w:rsidR="00263627">
        <w:t xml:space="preserve"> as these products contain ezetimibe in combination with a </w:t>
      </w:r>
      <w:proofErr w:type="spellStart"/>
      <w:r w:rsidR="00263627">
        <w:t>HmG</w:t>
      </w:r>
      <w:proofErr w:type="spellEnd"/>
      <w:r w:rsidR="00263627">
        <w:t xml:space="preserve"> Co-A reductase inhibitor</w:t>
      </w:r>
      <w:r w:rsidR="00E20C5E">
        <w:t xml:space="preserve"> (statin)</w:t>
      </w:r>
      <w:r w:rsidR="00DC3448">
        <w:t xml:space="preserve">. </w:t>
      </w:r>
      <w:r w:rsidR="00263627">
        <w:t>Both the 10% Medicare sample analyses and the commissioned market survey</w:t>
      </w:r>
      <w:r w:rsidR="000C549E">
        <w:t xml:space="preserve"> included in </w:t>
      </w:r>
      <w:r w:rsidR="000C549E">
        <w:lastRenderedPageBreak/>
        <w:t>the sponsor’s submission</w:t>
      </w:r>
      <w:r w:rsidR="00263627">
        <w:t xml:space="preserve"> suggest that patients switch to </w:t>
      </w:r>
      <w:proofErr w:type="spellStart"/>
      <w:r w:rsidR="00263627">
        <w:t>Vytorin</w:t>
      </w:r>
      <w:proofErr w:type="spellEnd"/>
      <w:r w:rsidR="00263627">
        <w:t xml:space="preserve"> from statins other than simvastatin, with the most frequently reported statin being atorvastatin. This suggests that prescribers are willing to consider switching between statins. It appears likely that patients, especially those with previous experience on atorvastatin, would be switched to </w:t>
      </w:r>
      <w:r w:rsidR="00FD5BC1">
        <w:t xml:space="preserve">the </w:t>
      </w:r>
      <w:r w:rsidR="00263627">
        <w:t xml:space="preserve">atorvastatin and ezetimibe </w:t>
      </w:r>
      <w:r w:rsidR="00FD5BC1">
        <w:t>combination</w:t>
      </w:r>
      <w:r w:rsidR="00263627">
        <w:t xml:space="preserve"> should </w:t>
      </w:r>
      <w:proofErr w:type="spellStart"/>
      <w:r w:rsidR="00263627">
        <w:t>Vytorin</w:t>
      </w:r>
      <w:proofErr w:type="spellEnd"/>
      <w:r w:rsidR="00263627">
        <w:t xml:space="preserve"> be delisted (particularly given the saving of one co-payment). This observation </w:t>
      </w:r>
      <w:r w:rsidR="00E20C5E">
        <w:t xml:space="preserve">is </w:t>
      </w:r>
      <w:r w:rsidR="00081883">
        <w:t xml:space="preserve">also </w:t>
      </w:r>
      <w:r w:rsidR="00263627">
        <w:t>consistent with past PBAC views on the interchangeability o</w:t>
      </w:r>
      <w:r w:rsidR="00FD5BC1">
        <w:t>f</w:t>
      </w:r>
      <w:r w:rsidR="00263627">
        <w:t xml:space="preserve"> </w:t>
      </w:r>
      <w:r w:rsidR="00E20C5E">
        <w:t>the three ezet</w:t>
      </w:r>
      <w:r w:rsidR="00DC3448">
        <w:t>imibe-statin combination drugs.</w:t>
      </w:r>
    </w:p>
    <w:p w:rsidR="00A06E1E" w:rsidRPr="00A06E1E" w:rsidRDefault="00A06E1E" w:rsidP="00A06E1E">
      <w:pPr>
        <w:widowControl/>
      </w:pPr>
    </w:p>
    <w:p w:rsidR="00263627" w:rsidRPr="00FF2706" w:rsidRDefault="00EA4212" w:rsidP="008D11C6">
      <w:pPr>
        <w:pStyle w:val="ListParagraph"/>
        <w:widowControl/>
        <w:numPr>
          <w:ilvl w:val="1"/>
          <w:numId w:val="3"/>
        </w:numPr>
        <w:rPr>
          <w:rFonts w:cs="Times New Roman"/>
          <w:snapToGrid/>
          <w:szCs w:val="22"/>
          <w:lang w:eastAsia="en-AU"/>
        </w:rPr>
      </w:pPr>
      <w:r w:rsidRPr="00FF2706">
        <w:t>The</w:t>
      </w:r>
      <w:r w:rsidR="00A06E1E" w:rsidRPr="00FF2706">
        <w:t xml:space="preserve"> PBAC acknowledged the</w:t>
      </w:r>
      <w:r w:rsidRPr="00FF2706">
        <w:t xml:space="preserve"> </w:t>
      </w:r>
      <w:r w:rsidR="00263627" w:rsidRPr="00FF2706">
        <w:t>PSCR comment that it is not possible to conduct adherence and persistence studies on the PBS data available for the recently listed atorvastatin</w:t>
      </w:r>
      <w:r w:rsidR="000C549E" w:rsidRPr="00FF2706">
        <w:t xml:space="preserve"> with ezetimibe</w:t>
      </w:r>
      <w:r w:rsidR="00263627" w:rsidRPr="00FF2706">
        <w:t xml:space="preserve"> combination product</w:t>
      </w:r>
      <w:r w:rsidR="00FD5BC1" w:rsidRPr="00FF2706">
        <w:t>s</w:t>
      </w:r>
      <w:r w:rsidR="00263627" w:rsidRPr="00FF2706">
        <w:t xml:space="preserve"> due to the limited time that these products have been available</w:t>
      </w:r>
      <w:r w:rsidR="000C549E" w:rsidRPr="00FF2706">
        <w:t xml:space="preserve">, and that the rosuvastatin with ezetimibe combination products will only be PBS listed in early 2015. </w:t>
      </w:r>
      <w:r w:rsidR="00263627" w:rsidRPr="00FF2706">
        <w:t xml:space="preserve">However, the PBAC considered that the availability of these combination products on the PBS did mean that in the future </w:t>
      </w:r>
      <w:proofErr w:type="spellStart"/>
      <w:r w:rsidR="00263627" w:rsidRPr="00FF2706">
        <w:t>Vytorin</w:t>
      </w:r>
      <w:proofErr w:type="spellEnd"/>
      <w:r w:rsidR="00263627" w:rsidRPr="00FF2706">
        <w:t xml:space="preserve"> users could switch to these products, particularly </w:t>
      </w:r>
      <w:r w:rsidR="000C549E" w:rsidRPr="00FF2706">
        <w:t xml:space="preserve">those </w:t>
      </w:r>
      <w:r w:rsidR="00263627" w:rsidRPr="00FF2706">
        <w:t>who are concerned about the cost of an additional co-payment and/or have prior experience with other statins.</w:t>
      </w:r>
    </w:p>
    <w:p w:rsidR="00A06E1E" w:rsidRPr="00ED1B4B" w:rsidRDefault="00A06E1E" w:rsidP="00A06E1E">
      <w:pPr>
        <w:widowControl/>
        <w:rPr>
          <w:rFonts w:cs="Times New Roman"/>
          <w:snapToGrid/>
          <w:szCs w:val="22"/>
          <w:lang w:eastAsia="en-AU"/>
        </w:rPr>
      </w:pPr>
    </w:p>
    <w:p w:rsidR="00A06E1E" w:rsidRPr="00A06E1E" w:rsidRDefault="00A06E1E" w:rsidP="00A06E1E">
      <w:pPr>
        <w:pStyle w:val="ListParagraph"/>
        <w:numPr>
          <w:ilvl w:val="1"/>
          <w:numId w:val="3"/>
        </w:numPr>
        <w:rPr>
          <w:rFonts w:cs="Times New Roman"/>
          <w:snapToGrid/>
          <w:szCs w:val="22"/>
          <w:lang w:eastAsia="en-AU"/>
        </w:rPr>
      </w:pPr>
      <w:r w:rsidRPr="00A06E1E">
        <w:rPr>
          <w:rFonts w:cs="Times New Roman"/>
          <w:snapToGrid/>
          <w:szCs w:val="22"/>
          <w:lang w:eastAsia="en-AU"/>
        </w:rPr>
        <w:t>The PBAC accepted that statin monotherapy is not an alternative therapy.</w:t>
      </w:r>
    </w:p>
    <w:p w:rsidR="00263627" w:rsidRPr="00A06E1E" w:rsidRDefault="00263627" w:rsidP="00263627">
      <w:pPr>
        <w:rPr>
          <w:szCs w:val="22"/>
        </w:rPr>
      </w:pPr>
    </w:p>
    <w:p w:rsidR="00262488" w:rsidRDefault="00E413DE" w:rsidP="00262488">
      <w:pPr>
        <w:pStyle w:val="ListParagraph"/>
        <w:widowControl/>
        <w:numPr>
          <w:ilvl w:val="1"/>
          <w:numId w:val="3"/>
        </w:numPr>
        <w:rPr>
          <w:szCs w:val="22"/>
        </w:rPr>
      </w:pPr>
      <w:r w:rsidRPr="005F1264">
        <w:rPr>
          <w:szCs w:val="22"/>
        </w:rPr>
        <w:t>The PBAC noted that the submission claimed that</w:t>
      </w:r>
      <w:r w:rsidR="00070A77" w:rsidRPr="005F1264">
        <w:rPr>
          <w:szCs w:val="22"/>
        </w:rPr>
        <w:t>, based on the 304</w:t>
      </w:r>
      <w:r w:rsidR="00ED1B4B">
        <w:rPr>
          <w:szCs w:val="22"/>
        </w:rPr>
        <w:t>-</w:t>
      </w:r>
      <w:r w:rsidR="00070A77" w:rsidRPr="005F1264">
        <w:rPr>
          <w:szCs w:val="22"/>
        </w:rPr>
        <w:t>patient MPR subgroup of Cohort 1</w:t>
      </w:r>
      <w:r w:rsidR="00ED1B4B">
        <w:rPr>
          <w:szCs w:val="22"/>
        </w:rPr>
        <w:t xml:space="preserve"> of the </w:t>
      </w:r>
      <w:proofErr w:type="spellStart"/>
      <w:r w:rsidR="00ED1B4B">
        <w:rPr>
          <w:szCs w:val="22"/>
        </w:rPr>
        <w:t>Vytorin</w:t>
      </w:r>
      <w:proofErr w:type="spellEnd"/>
      <w:r w:rsidR="00ED1B4B">
        <w:rPr>
          <w:szCs w:val="22"/>
        </w:rPr>
        <w:t xml:space="preserve"> Compliance Study IV</w:t>
      </w:r>
      <w:r w:rsidR="00070A77" w:rsidRPr="005F1264">
        <w:rPr>
          <w:szCs w:val="22"/>
        </w:rPr>
        <w:t>,</w:t>
      </w:r>
      <w:r w:rsidRPr="005F1264">
        <w:rPr>
          <w:szCs w:val="22"/>
        </w:rPr>
        <w:t xml:space="preserve"> patients switching from concomitant therapy</w:t>
      </w:r>
      <w:r w:rsidR="00FD5BC1" w:rsidRPr="005F1264">
        <w:rPr>
          <w:szCs w:val="22"/>
        </w:rPr>
        <w:t xml:space="preserve"> </w:t>
      </w:r>
      <w:r w:rsidR="000C549E" w:rsidRPr="005F1264">
        <w:rPr>
          <w:szCs w:val="22"/>
        </w:rPr>
        <w:t xml:space="preserve">with </w:t>
      </w:r>
      <w:r w:rsidR="00FD5BC1" w:rsidRPr="005F1264">
        <w:rPr>
          <w:szCs w:val="22"/>
        </w:rPr>
        <w:t>ezetimibe and a statin</w:t>
      </w:r>
      <w:r w:rsidRPr="005F1264">
        <w:rPr>
          <w:szCs w:val="22"/>
        </w:rPr>
        <w:t xml:space="preserve"> to </w:t>
      </w:r>
      <w:proofErr w:type="spellStart"/>
      <w:r w:rsidRPr="005F1264">
        <w:rPr>
          <w:szCs w:val="22"/>
        </w:rPr>
        <w:t>Vytorin</w:t>
      </w:r>
      <w:proofErr w:type="spellEnd"/>
      <w:r w:rsidR="00070A77" w:rsidRPr="005F1264">
        <w:rPr>
          <w:szCs w:val="22"/>
          <w:vertAlign w:val="superscript"/>
        </w:rPr>
        <w:t xml:space="preserve"> </w:t>
      </w:r>
      <w:r w:rsidRPr="005F1264">
        <w:rPr>
          <w:szCs w:val="22"/>
        </w:rPr>
        <w:t>experienced a 14% improvement in MPR versus the statin component and a 6% improvement versus the ezetimibe component, based on the differences in mean MPRs.</w:t>
      </w:r>
      <w:r w:rsidR="00263627" w:rsidRPr="005F1264">
        <w:rPr>
          <w:szCs w:val="22"/>
        </w:rPr>
        <w:t xml:space="preserve"> </w:t>
      </w:r>
      <w:r w:rsidR="00FF2706">
        <w:rPr>
          <w:szCs w:val="22"/>
        </w:rPr>
        <w:t>O</w:t>
      </w:r>
      <w:r w:rsidR="005F1264">
        <w:rPr>
          <w:szCs w:val="22"/>
        </w:rPr>
        <w:t>f the 304 patients in this subgroup, 51%</w:t>
      </w:r>
      <w:r w:rsidR="00FF2706">
        <w:rPr>
          <w:szCs w:val="22"/>
        </w:rPr>
        <w:t xml:space="preserve"> (156 patients)</w:t>
      </w:r>
      <w:r w:rsidR="005F1264">
        <w:rPr>
          <w:szCs w:val="22"/>
        </w:rPr>
        <w:t xml:space="preserve"> were claimed to have experienced an improvement in MPR of greater than 10%. </w:t>
      </w:r>
      <w:r w:rsidRPr="005F1264">
        <w:rPr>
          <w:szCs w:val="22"/>
        </w:rPr>
        <w:t>Further, a larger improvement among p</w:t>
      </w:r>
      <w:r w:rsidR="00435675" w:rsidRPr="005F1264">
        <w:rPr>
          <w:szCs w:val="22"/>
        </w:rPr>
        <w:t>atients aged 65 years and older was claimed, with 63%</w:t>
      </w:r>
      <w:r w:rsidR="00A43060">
        <w:rPr>
          <w:szCs w:val="22"/>
        </w:rPr>
        <w:t xml:space="preserve"> (73 patients)</w:t>
      </w:r>
      <w:r w:rsidR="00435675" w:rsidRPr="005F1264">
        <w:rPr>
          <w:szCs w:val="22"/>
        </w:rPr>
        <w:t xml:space="preserve"> of these older patients experiencing an improvement of greater than 10% </w:t>
      </w:r>
      <w:r w:rsidR="000C549E" w:rsidRPr="005F1264">
        <w:rPr>
          <w:szCs w:val="22"/>
        </w:rPr>
        <w:t xml:space="preserve">in MPR </w:t>
      </w:r>
      <w:r w:rsidR="00435675" w:rsidRPr="005F1264">
        <w:rPr>
          <w:szCs w:val="22"/>
        </w:rPr>
        <w:t xml:space="preserve">after switching </w:t>
      </w:r>
      <w:r w:rsidR="00262488" w:rsidRPr="005F1264">
        <w:rPr>
          <w:szCs w:val="22"/>
        </w:rPr>
        <w:t xml:space="preserve">from concomitant therapy </w:t>
      </w:r>
      <w:r w:rsidR="00435675" w:rsidRPr="005F1264">
        <w:rPr>
          <w:szCs w:val="22"/>
        </w:rPr>
        <w:t xml:space="preserve">to </w:t>
      </w:r>
      <w:proofErr w:type="spellStart"/>
      <w:r w:rsidR="00435675" w:rsidRPr="005F1264">
        <w:rPr>
          <w:szCs w:val="22"/>
        </w:rPr>
        <w:t>Vytorin</w:t>
      </w:r>
      <w:proofErr w:type="spellEnd"/>
      <w:r w:rsidR="00435675" w:rsidRPr="005F1264">
        <w:rPr>
          <w:szCs w:val="22"/>
        </w:rPr>
        <w:t>.</w:t>
      </w:r>
      <w:r w:rsidRPr="005F1264">
        <w:rPr>
          <w:szCs w:val="22"/>
        </w:rPr>
        <w:t xml:space="preserve"> </w:t>
      </w:r>
      <w:r w:rsidR="00262488" w:rsidRPr="005F1264">
        <w:rPr>
          <w:szCs w:val="22"/>
        </w:rPr>
        <w:t>The submission claimed that w</w:t>
      </w:r>
      <w:r w:rsidR="00435675" w:rsidRPr="005F1264">
        <w:rPr>
          <w:szCs w:val="22"/>
        </w:rPr>
        <w:t>hen compliance was</w:t>
      </w:r>
      <w:r w:rsidR="00D014A8" w:rsidRPr="005F1264">
        <w:rPr>
          <w:szCs w:val="22"/>
        </w:rPr>
        <w:t xml:space="preserve"> </w:t>
      </w:r>
      <w:r w:rsidR="0037440B">
        <w:rPr>
          <w:szCs w:val="22"/>
        </w:rPr>
        <w:t xml:space="preserve">further </w:t>
      </w:r>
      <w:r w:rsidR="00D014A8" w:rsidRPr="005F1264">
        <w:rPr>
          <w:szCs w:val="22"/>
        </w:rPr>
        <w:t>examined by</w:t>
      </w:r>
      <w:r w:rsidR="00435675" w:rsidRPr="005F1264">
        <w:rPr>
          <w:szCs w:val="22"/>
        </w:rPr>
        <w:t xml:space="preserve"> measur</w:t>
      </w:r>
      <w:r w:rsidR="00D014A8" w:rsidRPr="005F1264">
        <w:rPr>
          <w:szCs w:val="22"/>
        </w:rPr>
        <w:t xml:space="preserve">ing the </w:t>
      </w:r>
      <w:r w:rsidR="00435675" w:rsidRPr="005F1264">
        <w:rPr>
          <w:szCs w:val="22"/>
        </w:rPr>
        <w:t>differences in mean CMG</w:t>
      </w:r>
      <w:r w:rsidR="00070A77" w:rsidRPr="005F1264">
        <w:rPr>
          <w:szCs w:val="22"/>
        </w:rPr>
        <w:t xml:space="preserve"> in a 500</w:t>
      </w:r>
      <w:r w:rsidR="00ED1B4B">
        <w:rPr>
          <w:szCs w:val="22"/>
        </w:rPr>
        <w:t>-</w:t>
      </w:r>
      <w:r w:rsidR="00070A77" w:rsidRPr="005F1264">
        <w:rPr>
          <w:szCs w:val="22"/>
        </w:rPr>
        <w:t>patient subgroup of Cohort 1</w:t>
      </w:r>
      <w:r w:rsidR="00435675" w:rsidRPr="005F1264">
        <w:rPr>
          <w:szCs w:val="22"/>
        </w:rPr>
        <w:t xml:space="preserve">, patients switching from concomitant therapy to </w:t>
      </w:r>
      <w:proofErr w:type="spellStart"/>
      <w:r w:rsidR="00435675" w:rsidRPr="005F1264">
        <w:rPr>
          <w:szCs w:val="22"/>
        </w:rPr>
        <w:t>Vytorin</w:t>
      </w:r>
      <w:proofErr w:type="spellEnd"/>
      <w:r w:rsidR="00435675" w:rsidRPr="005F1264">
        <w:rPr>
          <w:szCs w:val="22"/>
          <w:vertAlign w:val="superscript"/>
        </w:rPr>
        <w:t xml:space="preserve"> </w:t>
      </w:r>
      <w:r w:rsidR="00435675" w:rsidRPr="005F1264">
        <w:rPr>
          <w:szCs w:val="22"/>
        </w:rPr>
        <w:t xml:space="preserve">experienced an 11% improvement in CMG versus the statin component and a 4% improvement </w:t>
      </w:r>
      <w:r w:rsidR="00ED1B4B">
        <w:rPr>
          <w:szCs w:val="22"/>
        </w:rPr>
        <w:t>versus the ezetimibe component.</w:t>
      </w:r>
    </w:p>
    <w:p w:rsidR="005F1264" w:rsidRPr="00ED1B4B" w:rsidRDefault="005F1264" w:rsidP="005F1264">
      <w:pPr>
        <w:widowControl/>
        <w:rPr>
          <w:szCs w:val="22"/>
        </w:rPr>
      </w:pPr>
    </w:p>
    <w:p w:rsidR="002B5137" w:rsidRPr="009F7295" w:rsidRDefault="002B5137" w:rsidP="00262488">
      <w:pPr>
        <w:pStyle w:val="ListParagraph"/>
        <w:widowControl/>
        <w:numPr>
          <w:ilvl w:val="1"/>
          <w:numId w:val="3"/>
        </w:numPr>
        <w:rPr>
          <w:szCs w:val="22"/>
        </w:rPr>
      </w:pPr>
      <w:r w:rsidRPr="009F7295">
        <w:rPr>
          <w:szCs w:val="22"/>
        </w:rPr>
        <w:t>The PBAC further noted the submission’s claim that the demonstration of an improvement in compliance in 156 patients in the 304</w:t>
      </w:r>
      <w:r w:rsidR="00ED1B4B" w:rsidRPr="009F7295">
        <w:rPr>
          <w:szCs w:val="22"/>
        </w:rPr>
        <w:t>-</w:t>
      </w:r>
      <w:r w:rsidRPr="009F7295">
        <w:rPr>
          <w:szCs w:val="22"/>
        </w:rPr>
        <w:t xml:space="preserve">patient subgroup of </w:t>
      </w:r>
      <w:r w:rsidR="00053E65" w:rsidRPr="009F7295">
        <w:rPr>
          <w:szCs w:val="22"/>
        </w:rPr>
        <w:t>C</w:t>
      </w:r>
      <w:r w:rsidRPr="009F7295">
        <w:rPr>
          <w:szCs w:val="22"/>
        </w:rPr>
        <w:t>ohort 1 met the requirement in subsection 101(4A</w:t>
      </w:r>
      <w:r w:rsidR="00262488" w:rsidRPr="009F7295">
        <w:rPr>
          <w:szCs w:val="22"/>
        </w:rPr>
        <w:t>C</w:t>
      </w:r>
      <w:r w:rsidRPr="009F7295">
        <w:rPr>
          <w:szCs w:val="22"/>
        </w:rPr>
        <w:t xml:space="preserve">) of an improvement in compliance in </w:t>
      </w:r>
      <w:r w:rsidRPr="009F7295">
        <w:rPr>
          <w:szCs w:val="22"/>
          <w:u w:val="single"/>
        </w:rPr>
        <w:t>some</w:t>
      </w:r>
      <w:r w:rsidRPr="009F7295">
        <w:rPr>
          <w:szCs w:val="22"/>
        </w:rPr>
        <w:t xml:space="preserve"> patients. The PBAC noted that, were it to accept this claim, then the 156</w:t>
      </w:r>
      <w:r w:rsidR="00193333">
        <w:rPr>
          <w:szCs w:val="22"/>
        </w:rPr>
        <w:t> </w:t>
      </w:r>
      <w:r w:rsidRPr="009F7295">
        <w:rPr>
          <w:szCs w:val="22"/>
        </w:rPr>
        <w:t>patients represented around 1% of the total number of patients</w:t>
      </w:r>
      <w:r w:rsidR="0018007C" w:rsidRPr="009F7295">
        <w:rPr>
          <w:szCs w:val="22"/>
        </w:rPr>
        <w:t xml:space="preserve"> who were dispensed </w:t>
      </w:r>
      <w:proofErr w:type="spellStart"/>
      <w:r w:rsidR="0018007C" w:rsidRPr="009F7295">
        <w:rPr>
          <w:szCs w:val="22"/>
        </w:rPr>
        <w:t>Vytorin</w:t>
      </w:r>
      <w:proofErr w:type="spellEnd"/>
      <w:r w:rsidR="0018007C" w:rsidRPr="009F7295">
        <w:rPr>
          <w:szCs w:val="22"/>
        </w:rPr>
        <w:t xml:space="preserve"> </w:t>
      </w:r>
      <w:r w:rsidR="0037440B" w:rsidRPr="009F7295">
        <w:rPr>
          <w:szCs w:val="22"/>
        </w:rPr>
        <w:t>(</w:t>
      </w:r>
      <w:r w:rsidR="0018007C" w:rsidRPr="009F7295">
        <w:rPr>
          <w:szCs w:val="22"/>
        </w:rPr>
        <w:t>at start or finish</w:t>
      </w:r>
      <w:r w:rsidR="0037440B" w:rsidRPr="009F7295">
        <w:rPr>
          <w:szCs w:val="22"/>
        </w:rPr>
        <w:t>)</w:t>
      </w:r>
      <w:r w:rsidR="0018007C" w:rsidRPr="009F7295">
        <w:rPr>
          <w:szCs w:val="22"/>
        </w:rPr>
        <w:t xml:space="preserve"> in Cohort 2</w:t>
      </w:r>
      <w:r w:rsidR="005F1264" w:rsidRPr="009F7295">
        <w:rPr>
          <w:szCs w:val="22"/>
        </w:rPr>
        <w:t xml:space="preserve"> (n=1</w:t>
      </w:r>
      <w:r w:rsidR="0018007C" w:rsidRPr="009F7295">
        <w:rPr>
          <w:szCs w:val="22"/>
        </w:rPr>
        <w:t>5</w:t>
      </w:r>
      <w:r w:rsidR="005F1264" w:rsidRPr="009F7295">
        <w:rPr>
          <w:szCs w:val="22"/>
        </w:rPr>
        <w:t>,</w:t>
      </w:r>
      <w:r w:rsidR="0018007C" w:rsidRPr="009F7295">
        <w:rPr>
          <w:szCs w:val="22"/>
        </w:rPr>
        <w:t>830</w:t>
      </w:r>
      <w:r w:rsidR="005F1264" w:rsidRPr="009F7295">
        <w:rPr>
          <w:szCs w:val="22"/>
        </w:rPr>
        <w:t>)</w:t>
      </w:r>
      <w:r w:rsidRPr="009F7295">
        <w:rPr>
          <w:szCs w:val="22"/>
        </w:rPr>
        <w:t xml:space="preserve"> </w:t>
      </w:r>
      <w:r w:rsidR="0018007C" w:rsidRPr="009F7295">
        <w:rPr>
          <w:szCs w:val="22"/>
        </w:rPr>
        <w:t xml:space="preserve">of </w:t>
      </w:r>
      <w:r w:rsidRPr="009F7295">
        <w:rPr>
          <w:szCs w:val="22"/>
        </w:rPr>
        <w:t xml:space="preserve">the </w:t>
      </w:r>
      <w:r w:rsidR="00262488" w:rsidRPr="009F7295">
        <w:rPr>
          <w:szCs w:val="22"/>
        </w:rPr>
        <w:t xml:space="preserve">10% </w:t>
      </w:r>
      <w:r w:rsidRPr="009F7295">
        <w:rPr>
          <w:szCs w:val="22"/>
        </w:rPr>
        <w:t>Medicare sample.</w:t>
      </w:r>
    </w:p>
    <w:p w:rsidR="00C141FE" w:rsidRPr="009F7295" w:rsidRDefault="00C141FE" w:rsidP="00C141FE">
      <w:pPr>
        <w:rPr>
          <w:szCs w:val="22"/>
        </w:rPr>
      </w:pPr>
    </w:p>
    <w:p w:rsidR="00C141FE" w:rsidRDefault="002B5137" w:rsidP="00DC3448">
      <w:pPr>
        <w:pStyle w:val="PBACHeading1"/>
        <w:numPr>
          <w:ilvl w:val="1"/>
          <w:numId w:val="3"/>
        </w:numPr>
        <w:jc w:val="both"/>
        <w:rPr>
          <w:b w:val="0"/>
        </w:rPr>
      </w:pPr>
      <w:r w:rsidRPr="009F7295">
        <w:rPr>
          <w:b w:val="0"/>
        </w:rPr>
        <w:t xml:space="preserve">However the methodological concerns </w:t>
      </w:r>
      <w:r w:rsidR="005F1264" w:rsidRPr="009F7295">
        <w:rPr>
          <w:b w:val="0"/>
        </w:rPr>
        <w:t xml:space="preserve">highlighted </w:t>
      </w:r>
      <w:r w:rsidRPr="009F7295">
        <w:rPr>
          <w:b w:val="0"/>
        </w:rPr>
        <w:t>during the evaluation and by</w:t>
      </w:r>
      <w:r w:rsidRPr="0055198E">
        <w:rPr>
          <w:b w:val="0"/>
        </w:rPr>
        <w:t xml:space="preserve"> DUSC meant that PBAC </w:t>
      </w:r>
      <w:r w:rsidR="005F1264">
        <w:rPr>
          <w:b w:val="0"/>
        </w:rPr>
        <w:t xml:space="preserve">could </w:t>
      </w:r>
      <w:r w:rsidRPr="0055198E">
        <w:rPr>
          <w:b w:val="0"/>
        </w:rPr>
        <w:t>not</w:t>
      </w:r>
      <w:r w:rsidR="005F1264">
        <w:rPr>
          <w:b w:val="0"/>
        </w:rPr>
        <w:t xml:space="preserve"> be</w:t>
      </w:r>
      <w:r w:rsidRPr="0055198E">
        <w:rPr>
          <w:b w:val="0"/>
        </w:rPr>
        <w:t xml:space="preserve"> satisfied that the analyses presented by the submission were sufficiently robust to provide a reliable basis for the PBAC to </w:t>
      </w:r>
      <w:r w:rsidR="0055198E">
        <w:rPr>
          <w:b w:val="0"/>
        </w:rPr>
        <w:t xml:space="preserve">accept </w:t>
      </w:r>
      <w:r w:rsidRPr="0055198E">
        <w:rPr>
          <w:b w:val="0"/>
        </w:rPr>
        <w:t>th</w:t>
      </w:r>
      <w:r w:rsidR="00262488">
        <w:rPr>
          <w:b w:val="0"/>
        </w:rPr>
        <w:t>e</w:t>
      </w:r>
      <w:r w:rsidRPr="0055198E">
        <w:rPr>
          <w:b w:val="0"/>
        </w:rPr>
        <w:t xml:space="preserve"> c</w:t>
      </w:r>
      <w:r w:rsidR="0055198E">
        <w:rPr>
          <w:b w:val="0"/>
        </w:rPr>
        <w:t>laim</w:t>
      </w:r>
      <w:r w:rsidR="00262488">
        <w:rPr>
          <w:b w:val="0"/>
        </w:rPr>
        <w:t xml:space="preserve"> of an improvement in compliance in some patients. </w:t>
      </w:r>
      <w:r w:rsidR="008B61D0" w:rsidRPr="0055198E">
        <w:rPr>
          <w:b w:val="0"/>
        </w:rPr>
        <w:t>These</w:t>
      </w:r>
      <w:r w:rsidR="00262488">
        <w:rPr>
          <w:b w:val="0"/>
        </w:rPr>
        <w:t xml:space="preserve"> methodological concerns</w:t>
      </w:r>
      <w:r w:rsidR="008B61D0" w:rsidRPr="0055198E">
        <w:rPr>
          <w:b w:val="0"/>
        </w:rPr>
        <w:t xml:space="preserve"> included time</w:t>
      </w:r>
      <w:r w:rsidR="00ED1B4B">
        <w:rPr>
          <w:b w:val="0"/>
        </w:rPr>
        <w:t>-</w:t>
      </w:r>
      <w:r w:rsidR="008B61D0" w:rsidRPr="0055198E">
        <w:rPr>
          <w:b w:val="0"/>
        </w:rPr>
        <w:t>dependent bias, possible differences in application of methods pre</w:t>
      </w:r>
      <w:r w:rsidR="000629BB">
        <w:rPr>
          <w:b w:val="0"/>
        </w:rPr>
        <w:t>-</w:t>
      </w:r>
      <w:r w:rsidR="008B61D0" w:rsidRPr="0055198E">
        <w:rPr>
          <w:b w:val="0"/>
        </w:rPr>
        <w:t xml:space="preserve"> and post</w:t>
      </w:r>
      <w:r w:rsidR="000629BB">
        <w:rPr>
          <w:b w:val="0"/>
        </w:rPr>
        <w:t>-</w:t>
      </w:r>
      <w:proofErr w:type="spellStart"/>
      <w:r w:rsidR="008B61D0" w:rsidRPr="0055198E">
        <w:rPr>
          <w:b w:val="0"/>
        </w:rPr>
        <w:t>Vytorin</w:t>
      </w:r>
      <w:proofErr w:type="spellEnd"/>
      <w:r w:rsidR="008B61D0" w:rsidRPr="0055198E">
        <w:rPr>
          <w:b w:val="0"/>
        </w:rPr>
        <w:t xml:space="preserve">, and that the compliance measures were assessed in </w:t>
      </w:r>
      <w:r w:rsidR="008B61D0" w:rsidRPr="0055198E">
        <w:rPr>
          <w:b w:val="0"/>
        </w:rPr>
        <w:lastRenderedPageBreak/>
        <w:t>different groups.</w:t>
      </w:r>
      <w:r w:rsidR="008B61D0" w:rsidRPr="0055198E">
        <w:rPr>
          <w:b w:val="0"/>
          <w:i/>
        </w:rPr>
        <w:t xml:space="preserve"> </w:t>
      </w:r>
      <w:r w:rsidRPr="0055198E">
        <w:rPr>
          <w:b w:val="0"/>
        </w:rPr>
        <w:t xml:space="preserve">These </w:t>
      </w:r>
      <w:r w:rsidR="008B61D0" w:rsidRPr="0055198E">
        <w:rPr>
          <w:b w:val="0"/>
        </w:rPr>
        <w:t xml:space="preserve">issues </w:t>
      </w:r>
      <w:r w:rsidRPr="0055198E">
        <w:rPr>
          <w:b w:val="0"/>
        </w:rPr>
        <w:t xml:space="preserve">were further exacerbated by </w:t>
      </w:r>
      <w:r w:rsidR="0055198E" w:rsidRPr="0055198E">
        <w:rPr>
          <w:b w:val="0"/>
        </w:rPr>
        <w:t>the limited statistical testing and sensitivity analyses conducted in the submission.</w:t>
      </w:r>
    </w:p>
    <w:p w:rsidR="00C141FE" w:rsidRPr="00ED1B4B" w:rsidRDefault="00C141FE" w:rsidP="00C141FE"/>
    <w:p w:rsidR="000A0697" w:rsidRPr="000A0697" w:rsidRDefault="000A0697" w:rsidP="000A0697">
      <w:pPr>
        <w:pStyle w:val="ListParagraph"/>
        <w:numPr>
          <w:ilvl w:val="1"/>
          <w:numId w:val="3"/>
        </w:numPr>
        <w:rPr>
          <w:szCs w:val="22"/>
        </w:rPr>
      </w:pPr>
      <w:r w:rsidRPr="000A0697">
        <w:rPr>
          <w:szCs w:val="22"/>
        </w:rPr>
        <w:t xml:space="preserve">The PBAC noted that the submission also estimated persistence in patients receiving </w:t>
      </w:r>
      <w:proofErr w:type="spellStart"/>
      <w:r w:rsidRPr="000A0697">
        <w:rPr>
          <w:szCs w:val="22"/>
        </w:rPr>
        <w:t>Vytorin</w:t>
      </w:r>
      <w:proofErr w:type="spellEnd"/>
      <w:r w:rsidRPr="000A0697">
        <w:rPr>
          <w:szCs w:val="22"/>
        </w:rPr>
        <w:t xml:space="preserve"> or the two pill regimen of a</w:t>
      </w:r>
      <w:r w:rsidR="0018007C">
        <w:rPr>
          <w:szCs w:val="22"/>
        </w:rPr>
        <w:t xml:space="preserve"> </w:t>
      </w:r>
      <w:r w:rsidRPr="000A0697">
        <w:rPr>
          <w:szCs w:val="22"/>
        </w:rPr>
        <w:t xml:space="preserve">statin and ezetimibe </w:t>
      </w:r>
      <w:r w:rsidRPr="00186D32">
        <w:rPr>
          <w:szCs w:val="22"/>
        </w:rPr>
        <w:t>in Cohort 2 (</w:t>
      </w:r>
      <w:r w:rsidR="006F4509" w:rsidRPr="00186D32">
        <w:rPr>
          <w:szCs w:val="22"/>
        </w:rPr>
        <w:t>n</w:t>
      </w:r>
      <w:r w:rsidRPr="00186D32">
        <w:rPr>
          <w:szCs w:val="22"/>
        </w:rPr>
        <w:t>=</w:t>
      </w:r>
      <w:r w:rsidR="0037440B" w:rsidRPr="00186D32">
        <w:rPr>
          <w:szCs w:val="22"/>
        </w:rPr>
        <w:t>16,594</w:t>
      </w:r>
      <w:r w:rsidRPr="00186D32">
        <w:rPr>
          <w:szCs w:val="22"/>
        </w:rPr>
        <w:t>) using</w:t>
      </w:r>
      <w:r w:rsidRPr="000A0697">
        <w:rPr>
          <w:szCs w:val="22"/>
        </w:rPr>
        <w:t xml:space="preserve"> a Kaplan Meier analysis. Patients were included in Cohort 2 if they were dispensed a prescription for </w:t>
      </w:r>
      <w:proofErr w:type="spellStart"/>
      <w:r w:rsidRPr="000A0697">
        <w:rPr>
          <w:szCs w:val="22"/>
        </w:rPr>
        <w:t>Vytorin</w:t>
      </w:r>
      <w:proofErr w:type="spellEnd"/>
      <w:r w:rsidRPr="000A0697">
        <w:rPr>
          <w:szCs w:val="22"/>
        </w:rPr>
        <w:t xml:space="preserve"> or ezetimibe as a single agent (</w:t>
      </w:r>
      <w:proofErr w:type="spellStart"/>
      <w:r w:rsidRPr="000A0697">
        <w:rPr>
          <w:szCs w:val="22"/>
        </w:rPr>
        <w:t>Ezetro</w:t>
      </w:r>
      <w:r w:rsidR="005F1264">
        <w:rPr>
          <w:szCs w:val="22"/>
        </w:rPr>
        <w:t>l</w:t>
      </w:r>
      <w:proofErr w:type="spellEnd"/>
      <w:r w:rsidR="00ED1B4B">
        <w:rPr>
          <w:szCs w:val="22"/>
        </w:rPr>
        <w:t xml:space="preserve">). </w:t>
      </w:r>
      <w:r w:rsidRPr="000A0697">
        <w:rPr>
          <w:szCs w:val="22"/>
        </w:rPr>
        <w:t xml:space="preserve">Based on this analysis, the </w:t>
      </w:r>
      <w:r>
        <w:rPr>
          <w:szCs w:val="22"/>
        </w:rPr>
        <w:t>s</w:t>
      </w:r>
      <w:r w:rsidRPr="000A0697">
        <w:rPr>
          <w:szCs w:val="22"/>
        </w:rPr>
        <w:t xml:space="preserve">ubmission claimed that the ‘bottom 50% of patients, in relation to persistence, gain an additional ten months when treated with </w:t>
      </w:r>
      <w:proofErr w:type="spellStart"/>
      <w:r w:rsidRPr="000A0697">
        <w:rPr>
          <w:szCs w:val="22"/>
        </w:rPr>
        <w:t>Vytorin</w:t>
      </w:r>
      <w:proofErr w:type="spellEnd"/>
      <w:r w:rsidRPr="000A0697">
        <w:rPr>
          <w:szCs w:val="22"/>
        </w:rPr>
        <w:t xml:space="preserve"> versus a conco</w:t>
      </w:r>
      <w:r w:rsidR="00ED1B4B">
        <w:rPr>
          <w:szCs w:val="22"/>
        </w:rPr>
        <w:t>mitant ezetimibe and a statin’.</w:t>
      </w:r>
    </w:p>
    <w:p w:rsidR="000A0697" w:rsidRPr="00ED1B4B" w:rsidRDefault="000A0697" w:rsidP="000A0697">
      <w:pPr>
        <w:rPr>
          <w:szCs w:val="22"/>
        </w:rPr>
      </w:pPr>
    </w:p>
    <w:p w:rsidR="00710B0D" w:rsidRPr="00797DC2" w:rsidRDefault="000A0697" w:rsidP="00710B0D">
      <w:pPr>
        <w:pStyle w:val="ListParagraph"/>
        <w:numPr>
          <w:ilvl w:val="1"/>
          <w:numId w:val="3"/>
        </w:numPr>
        <w:rPr>
          <w:szCs w:val="22"/>
        </w:rPr>
      </w:pPr>
      <w:r w:rsidRPr="00797DC2">
        <w:rPr>
          <w:szCs w:val="22"/>
        </w:rPr>
        <w:t>The PBAC agreed with DUSC</w:t>
      </w:r>
      <w:r w:rsidR="00C141FE" w:rsidRPr="00797DC2">
        <w:rPr>
          <w:szCs w:val="22"/>
        </w:rPr>
        <w:t xml:space="preserve"> </w:t>
      </w:r>
      <w:r w:rsidRPr="00797DC2">
        <w:rPr>
          <w:szCs w:val="22"/>
        </w:rPr>
        <w:t>that the persistence analysis</w:t>
      </w:r>
      <w:r w:rsidR="00710B0D" w:rsidRPr="00797DC2">
        <w:rPr>
          <w:szCs w:val="22"/>
        </w:rPr>
        <w:t xml:space="preserve"> which was</w:t>
      </w:r>
      <w:r w:rsidRPr="00797DC2">
        <w:rPr>
          <w:szCs w:val="22"/>
        </w:rPr>
        <w:t xml:space="preserve"> </w:t>
      </w:r>
      <w:r w:rsidR="00710B0D" w:rsidRPr="00797DC2">
        <w:rPr>
          <w:szCs w:val="22"/>
        </w:rPr>
        <w:t xml:space="preserve">undertaken where patients </w:t>
      </w:r>
      <w:r w:rsidR="00AB525A">
        <w:rPr>
          <w:szCs w:val="22"/>
        </w:rPr>
        <w:t>were</w:t>
      </w:r>
      <w:r w:rsidR="00AB525A" w:rsidRPr="00797DC2">
        <w:rPr>
          <w:szCs w:val="22"/>
        </w:rPr>
        <w:t xml:space="preserve"> </w:t>
      </w:r>
      <w:r w:rsidR="00710B0D" w:rsidRPr="00797DC2">
        <w:rPr>
          <w:szCs w:val="22"/>
        </w:rPr>
        <w:t xml:space="preserve">allocated to groups according to whether their last prescription was for </w:t>
      </w:r>
      <w:proofErr w:type="spellStart"/>
      <w:r w:rsidR="00710B0D" w:rsidRPr="00797DC2">
        <w:rPr>
          <w:szCs w:val="22"/>
        </w:rPr>
        <w:t>Vytorin</w:t>
      </w:r>
      <w:proofErr w:type="spellEnd"/>
      <w:r w:rsidR="00710B0D" w:rsidRPr="00797DC2">
        <w:rPr>
          <w:szCs w:val="22"/>
        </w:rPr>
        <w:t xml:space="preserve"> or concomitant ezetimibe and statin, is likely to be subject to survivor bias favouring </w:t>
      </w:r>
      <w:proofErr w:type="spellStart"/>
      <w:r w:rsidR="00710B0D" w:rsidRPr="00797DC2">
        <w:rPr>
          <w:szCs w:val="22"/>
        </w:rPr>
        <w:t>Vytorin</w:t>
      </w:r>
      <w:proofErr w:type="spellEnd"/>
      <w:r w:rsidR="00710B0D" w:rsidRPr="00797DC2">
        <w:rPr>
          <w:szCs w:val="22"/>
        </w:rPr>
        <w:t xml:space="preserve">. As the extent of this bias cannot be assessed from the submission, the PBAC agreed with DUSC that the analysis cannot be relied upon </w:t>
      </w:r>
      <w:r w:rsidR="00ED1B4B" w:rsidRPr="00797DC2">
        <w:rPr>
          <w:szCs w:val="22"/>
        </w:rPr>
        <w:t>to inform the compliance claim.</w:t>
      </w:r>
    </w:p>
    <w:p w:rsidR="00262488" w:rsidRPr="00797DC2" w:rsidRDefault="00262488" w:rsidP="00ED1B4B">
      <w:pPr>
        <w:pStyle w:val="PBACHeading1"/>
        <w:numPr>
          <w:ilvl w:val="0"/>
          <w:numId w:val="0"/>
        </w:numPr>
        <w:rPr>
          <w:b w:val="0"/>
        </w:rPr>
      </w:pPr>
    </w:p>
    <w:p w:rsidR="007D6A40" w:rsidRPr="00797DC2" w:rsidRDefault="00262488" w:rsidP="007D6A40">
      <w:pPr>
        <w:pStyle w:val="ListParagraph"/>
        <w:widowControl/>
        <w:numPr>
          <w:ilvl w:val="1"/>
          <w:numId w:val="3"/>
        </w:numPr>
        <w:rPr>
          <w:szCs w:val="22"/>
        </w:rPr>
      </w:pPr>
      <w:r w:rsidRPr="00797DC2">
        <w:rPr>
          <w:szCs w:val="22"/>
        </w:rPr>
        <w:t xml:space="preserve">The PBAC </w:t>
      </w:r>
      <w:r w:rsidR="000A0697" w:rsidRPr="00797DC2">
        <w:rPr>
          <w:szCs w:val="22"/>
        </w:rPr>
        <w:t xml:space="preserve">considered the evidence provided by the submission in response to </w:t>
      </w:r>
      <w:r w:rsidR="00AD0D74" w:rsidRPr="00797DC2">
        <w:rPr>
          <w:szCs w:val="22"/>
        </w:rPr>
        <w:t>Q</w:t>
      </w:r>
      <w:r w:rsidRPr="00797DC2">
        <w:rPr>
          <w:szCs w:val="22"/>
        </w:rPr>
        <w:t>uestion 5 of the CMWG framework</w:t>
      </w:r>
      <w:r w:rsidR="00FF7136" w:rsidRPr="00797DC2">
        <w:t xml:space="preserve">, </w:t>
      </w:r>
      <w:r w:rsidR="000A0697" w:rsidRPr="00797DC2">
        <w:t xml:space="preserve">namely </w:t>
      </w:r>
      <w:r w:rsidR="00FF7136" w:rsidRPr="00797DC2">
        <w:t xml:space="preserve">whether </w:t>
      </w:r>
      <w:r w:rsidR="000A0697" w:rsidRPr="00797DC2">
        <w:rPr>
          <w:szCs w:val="22"/>
        </w:rPr>
        <w:t>any</w:t>
      </w:r>
      <w:r w:rsidR="00FF7136" w:rsidRPr="00797DC2">
        <w:rPr>
          <w:szCs w:val="22"/>
        </w:rPr>
        <w:t xml:space="preserve"> compliance benefit associated with </w:t>
      </w:r>
      <w:proofErr w:type="spellStart"/>
      <w:r w:rsidR="00FF7136" w:rsidRPr="00797DC2">
        <w:rPr>
          <w:szCs w:val="22"/>
        </w:rPr>
        <w:t>Vytorin</w:t>
      </w:r>
      <w:proofErr w:type="spellEnd"/>
      <w:r w:rsidR="00FF7136" w:rsidRPr="00797DC2">
        <w:rPr>
          <w:szCs w:val="22"/>
        </w:rPr>
        <w:t xml:space="preserve"> is sufficient to affect health outcomes (e.g. MI, mortality) in the appropriate Australian patients</w:t>
      </w:r>
      <w:r w:rsidRPr="00797DC2">
        <w:rPr>
          <w:szCs w:val="22"/>
        </w:rPr>
        <w:t xml:space="preserve">. </w:t>
      </w:r>
      <w:r w:rsidR="007D6A40" w:rsidRPr="00797DC2">
        <w:rPr>
          <w:szCs w:val="22"/>
        </w:rPr>
        <w:t xml:space="preserve">The PBAC noted that, in measuring the effect of compliance on health outcomes, the key points made in </w:t>
      </w:r>
      <w:r w:rsidR="00C907A6" w:rsidRPr="00797DC2">
        <w:rPr>
          <w:szCs w:val="22"/>
        </w:rPr>
        <w:t xml:space="preserve">the </w:t>
      </w:r>
      <w:r w:rsidR="007D6A40" w:rsidRPr="00797DC2">
        <w:rPr>
          <w:szCs w:val="22"/>
        </w:rPr>
        <w:t>CMWG report are that</w:t>
      </w:r>
      <w:r w:rsidR="00C907A6" w:rsidRPr="00797DC2">
        <w:rPr>
          <w:szCs w:val="22"/>
        </w:rPr>
        <w:t>:</w:t>
      </w:r>
      <w:r w:rsidR="007D6A40" w:rsidRPr="00797DC2">
        <w:rPr>
          <w:szCs w:val="22"/>
        </w:rPr>
        <w:t xml:space="preserve"> ideally studies should include both measures of compliance and health outcomes; the association between  compliance and a medicine (claiming superior compliance) must be established before any effect on clinical outcomes can be directly attributed to that particular form of medicine; and the quality of the measurement of compliance affects the estimate of the association between compliance and treatment o</w:t>
      </w:r>
      <w:r w:rsidR="00253F3E">
        <w:rPr>
          <w:szCs w:val="22"/>
        </w:rPr>
        <w:t>n</w:t>
      </w:r>
      <w:r w:rsidR="007D6A40" w:rsidRPr="00797DC2">
        <w:rPr>
          <w:szCs w:val="22"/>
        </w:rPr>
        <w:t xml:space="preserve"> health outcomes.</w:t>
      </w:r>
    </w:p>
    <w:p w:rsidR="009651CD" w:rsidRPr="00797DC2" w:rsidRDefault="009651CD" w:rsidP="009651CD">
      <w:pPr>
        <w:rPr>
          <w:szCs w:val="22"/>
        </w:rPr>
      </w:pPr>
    </w:p>
    <w:p w:rsidR="00C5709E" w:rsidRDefault="00C5709E" w:rsidP="00C5709E">
      <w:pPr>
        <w:pStyle w:val="ListParagraph"/>
        <w:widowControl/>
        <w:numPr>
          <w:ilvl w:val="1"/>
          <w:numId w:val="3"/>
        </w:numPr>
      </w:pPr>
      <w:r w:rsidRPr="00797DC2">
        <w:t xml:space="preserve">The PBAC was not satisfied that there was a significant </w:t>
      </w:r>
      <w:r w:rsidR="00D53C22" w:rsidRPr="00797DC2">
        <w:t>i</w:t>
      </w:r>
      <w:r w:rsidR="00D53C22">
        <w:t>mprovement</w:t>
      </w:r>
      <w:r w:rsidR="00D53C22" w:rsidRPr="00797DC2">
        <w:t xml:space="preserve"> </w:t>
      </w:r>
      <w:r w:rsidRPr="00797DC2">
        <w:t>in compliance that could translate to a significant (clinically relevant) increase in health outcomes</w:t>
      </w:r>
      <w:r>
        <w:t xml:space="preserve"> because:</w:t>
      </w:r>
    </w:p>
    <w:p w:rsidR="00C5709E" w:rsidRPr="00A43060" w:rsidRDefault="00C5709E" w:rsidP="00186D32">
      <w:pPr>
        <w:pStyle w:val="ListParagraph"/>
        <w:numPr>
          <w:ilvl w:val="0"/>
          <w:numId w:val="23"/>
        </w:numPr>
        <w:ind w:left="1134" w:hanging="425"/>
      </w:pPr>
      <w:r w:rsidRPr="00A43060">
        <w:t xml:space="preserve">The PBAC was not satisfied that there is a significant </w:t>
      </w:r>
      <w:r w:rsidR="00D53C22">
        <w:t>improvement</w:t>
      </w:r>
      <w:r w:rsidR="00D53C22" w:rsidRPr="00A43060">
        <w:t xml:space="preserve"> </w:t>
      </w:r>
      <w:r w:rsidRPr="00A43060">
        <w:t>in compliance in some patients that can be attributed to the combination item</w:t>
      </w:r>
      <w:r w:rsidR="00C907A6" w:rsidRPr="00A43060">
        <w:t>s of</w:t>
      </w:r>
      <w:r w:rsidRPr="00A43060">
        <w:t xml:space="preserve"> </w:t>
      </w:r>
      <w:proofErr w:type="spellStart"/>
      <w:r w:rsidRPr="00A43060">
        <w:t>Vytorin</w:t>
      </w:r>
      <w:proofErr w:type="spellEnd"/>
      <w:r w:rsidRPr="00A43060">
        <w:t xml:space="preserve"> over </w:t>
      </w:r>
      <w:r w:rsidR="00C907A6" w:rsidRPr="00A43060">
        <w:t>their</w:t>
      </w:r>
      <w:r w:rsidRPr="00A43060">
        <w:t xml:space="preserve"> alternative therapies because of methodological concerns raised above. The CMWG report notes that an association between compliance and an intervention must be shown before any effect on clinical outcomes can be attributed to the intervention.</w:t>
      </w:r>
    </w:p>
    <w:p w:rsidR="00C5709E" w:rsidRPr="00C5709E" w:rsidRDefault="009D2D88" w:rsidP="00186D32">
      <w:pPr>
        <w:pStyle w:val="ListParagraph"/>
        <w:numPr>
          <w:ilvl w:val="0"/>
          <w:numId w:val="23"/>
        </w:numPr>
        <w:ind w:left="1134" w:hanging="425"/>
      </w:pPr>
      <w:r>
        <w:t>T</w:t>
      </w:r>
      <w:r w:rsidR="00C5709E" w:rsidRPr="00C5709E">
        <w:t xml:space="preserve">he submission does not provide evidence to verify the claim that that MPR &gt;80% </w:t>
      </w:r>
      <w:r w:rsidR="00F51366">
        <w:t xml:space="preserve">for </w:t>
      </w:r>
      <w:proofErr w:type="spellStart"/>
      <w:r w:rsidR="00F51366">
        <w:t>Vytorin</w:t>
      </w:r>
      <w:proofErr w:type="spellEnd"/>
      <w:r w:rsidR="00F51366">
        <w:t xml:space="preserve"> </w:t>
      </w:r>
      <w:r w:rsidR="00C5709E" w:rsidRPr="00C5709E">
        <w:t>is associated with significantly greater reduction in LDL and reduced cardiovascular events compared to an MPR &lt;80%, so the selection of this cut-off for inclusion in the MPR and CMG subgroup analyses is arbitrary.</w:t>
      </w:r>
    </w:p>
    <w:p w:rsidR="00CB7117" w:rsidRDefault="00CB7117" w:rsidP="009F7295">
      <w:pPr>
        <w:pStyle w:val="ListParagraph"/>
        <w:numPr>
          <w:ilvl w:val="0"/>
          <w:numId w:val="23"/>
        </w:numPr>
        <w:ind w:left="1134" w:hanging="425"/>
      </w:pPr>
      <w:r>
        <w:t>The clinical significance of an improvement in MPR &gt;10% has not been established.</w:t>
      </w:r>
    </w:p>
    <w:p w:rsidR="00C5709E" w:rsidRDefault="00C5709E" w:rsidP="00186D32">
      <w:pPr>
        <w:pStyle w:val="ListParagraph"/>
        <w:numPr>
          <w:ilvl w:val="0"/>
          <w:numId w:val="23"/>
        </w:numPr>
        <w:ind w:left="1134" w:hanging="425"/>
      </w:pPr>
      <w:r>
        <w:t xml:space="preserve">No evidence is presented in the submission measuring health outcomes for the </w:t>
      </w:r>
      <w:proofErr w:type="spellStart"/>
      <w:r>
        <w:t>Vytorin</w:t>
      </w:r>
      <w:proofErr w:type="spellEnd"/>
      <w:r>
        <w:t xml:space="preserve"> or for the </w:t>
      </w:r>
      <w:r w:rsidR="00C907A6">
        <w:t xml:space="preserve">nominated </w:t>
      </w:r>
      <w:r>
        <w:t xml:space="preserve">alternative therapies (ezetimibe and a statin). The information presented in the submission is limited to the association between statin compliance and health outcomes. The PBAC noted that the </w:t>
      </w:r>
      <w:r w:rsidR="002D6F5A">
        <w:t>IMPROVE</w:t>
      </w:r>
      <w:r>
        <w:t xml:space="preserve">-IT trial is due to report in 2014. This trial investigates health outcomes for </w:t>
      </w:r>
      <w:proofErr w:type="spellStart"/>
      <w:r>
        <w:t>Vytorin</w:t>
      </w:r>
      <w:proofErr w:type="spellEnd"/>
      <w:r>
        <w:t xml:space="preserve"> over statin monotherapy.</w:t>
      </w:r>
    </w:p>
    <w:p w:rsidR="000A0697" w:rsidRPr="00C907A6" w:rsidRDefault="000A0697" w:rsidP="00C907A6">
      <w:pPr>
        <w:widowControl/>
        <w:rPr>
          <w:szCs w:val="22"/>
        </w:rPr>
      </w:pPr>
    </w:p>
    <w:p w:rsidR="00D53C22" w:rsidRPr="00D53C22" w:rsidRDefault="00D53C22" w:rsidP="00193333">
      <w:pPr>
        <w:pStyle w:val="ListParagraph"/>
        <w:numPr>
          <w:ilvl w:val="1"/>
          <w:numId w:val="3"/>
        </w:numPr>
        <w:rPr>
          <w:szCs w:val="22"/>
        </w:rPr>
      </w:pPr>
      <w:r w:rsidRPr="00D53C22">
        <w:rPr>
          <w:szCs w:val="22"/>
        </w:rPr>
        <w:t xml:space="preserve">Overall, the PBAC concluded on the basis of all the information available to it that it was no longer satisfied that the combination item </w:t>
      </w:r>
      <w:proofErr w:type="spellStart"/>
      <w:r w:rsidRPr="00D53C22">
        <w:rPr>
          <w:szCs w:val="22"/>
        </w:rPr>
        <w:t>Vytorin</w:t>
      </w:r>
      <w:proofErr w:type="spellEnd"/>
      <w:r w:rsidRPr="00D53C22">
        <w:rPr>
          <w:szCs w:val="22"/>
        </w:rPr>
        <w:t xml:space="preserve"> provides for some patients a significant improvement in patient compliance over the alternative therapy of concomitant ezetimibe with a statin.  </w:t>
      </w:r>
    </w:p>
    <w:p w:rsidR="003E085A" w:rsidRPr="003E085A" w:rsidRDefault="003E085A" w:rsidP="00193333">
      <w:pPr>
        <w:pStyle w:val="ListParagraph"/>
        <w:rPr>
          <w:szCs w:val="22"/>
        </w:rPr>
      </w:pPr>
    </w:p>
    <w:p w:rsidR="00327CDE" w:rsidRDefault="00327CDE" w:rsidP="00A52533">
      <w:pPr>
        <w:pStyle w:val="ListParagraph"/>
        <w:numPr>
          <w:ilvl w:val="1"/>
          <w:numId w:val="3"/>
        </w:numPr>
        <w:rPr>
          <w:b/>
        </w:rPr>
      </w:pPr>
      <w:r w:rsidRPr="003E085A">
        <w:t xml:space="preserve">Additionally, as </w:t>
      </w:r>
      <w:r>
        <w:t xml:space="preserve">no </w:t>
      </w:r>
      <w:r w:rsidRPr="003E085A">
        <w:t>evidence was</w:t>
      </w:r>
      <w:r>
        <w:t xml:space="preserve"> </w:t>
      </w:r>
      <w:r w:rsidRPr="003E085A">
        <w:t xml:space="preserve">presented to establish improved compliance with </w:t>
      </w:r>
      <w:proofErr w:type="spellStart"/>
      <w:r w:rsidRPr="003E085A">
        <w:t>Vytorin</w:t>
      </w:r>
      <w:proofErr w:type="spellEnd"/>
      <w:r w:rsidRPr="003E085A">
        <w:t xml:space="preserve"> compared to atorvastatin with ezetimibe or ezetimibe with rosuvastatin, the PBAC was not satisfied that </w:t>
      </w:r>
      <w:proofErr w:type="spellStart"/>
      <w:r w:rsidRPr="003E085A">
        <w:t>Vytorin</w:t>
      </w:r>
      <w:proofErr w:type="spellEnd"/>
      <w:r w:rsidRPr="003E085A">
        <w:t xml:space="preserve"> provides a significant improvement </w:t>
      </w:r>
      <w:r>
        <w:t xml:space="preserve">for some patients </w:t>
      </w:r>
      <w:r w:rsidRPr="003E085A">
        <w:t xml:space="preserve">in </w:t>
      </w:r>
      <w:r>
        <w:t xml:space="preserve">patient </w:t>
      </w:r>
      <w:r w:rsidRPr="003E085A">
        <w:t xml:space="preserve">compliance over </w:t>
      </w:r>
      <w:r>
        <w:t xml:space="preserve">those </w:t>
      </w:r>
      <w:r w:rsidRPr="003E085A">
        <w:t xml:space="preserve">alternative therapies. </w:t>
      </w:r>
    </w:p>
    <w:p w:rsidR="00327CDE" w:rsidRDefault="00327CDE" w:rsidP="00193333">
      <w:pPr>
        <w:pStyle w:val="PBACHeading1"/>
        <w:numPr>
          <w:ilvl w:val="0"/>
          <w:numId w:val="0"/>
        </w:numPr>
        <w:ind w:left="720" w:hanging="720"/>
        <w:jc w:val="both"/>
        <w:rPr>
          <w:b w:val="0"/>
        </w:rPr>
      </w:pPr>
    </w:p>
    <w:p w:rsidR="00327CDE" w:rsidRPr="008058E3" w:rsidRDefault="00AB525A" w:rsidP="00A52533">
      <w:pPr>
        <w:pStyle w:val="ListParagraph"/>
        <w:numPr>
          <w:ilvl w:val="1"/>
          <w:numId w:val="3"/>
        </w:numPr>
        <w:rPr>
          <w:b/>
        </w:rPr>
      </w:pPr>
      <w:r>
        <w:t xml:space="preserve">The submission did not contend </w:t>
      </w:r>
      <w:r w:rsidR="00327CDE" w:rsidRPr="008058E3">
        <w:t xml:space="preserve">and the PBAC was not satisfied, that therapy involving </w:t>
      </w:r>
      <w:proofErr w:type="spellStart"/>
      <w:r w:rsidR="00327CDE" w:rsidRPr="008058E3">
        <w:t>Vytorin</w:t>
      </w:r>
      <w:proofErr w:type="spellEnd"/>
      <w:r w:rsidR="00327CDE" w:rsidRPr="008058E3">
        <w:t xml:space="preserve"> provides, for some patients, as significant improvement in efficacy, or reduction in toxicity, over alternative therapies.   </w:t>
      </w:r>
    </w:p>
    <w:p w:rsidR="00327CDE" w:rsidRPr="008058E3" w:rsidRDefault="00327CDE" w:rsidP="00193333">
      <w:pPr>
        <w:pStyle w:val="PBACHeading1"/>
        <w:numPr>
          <w:ilvl w:val="0"/>
          <w:numId w:val="0"/>
        </w:numPr>
        <w:ind w:left="720" w:hanging="720"/>
        <w:jc w:val="both"/>
        <w:rPr>
          <w:b w:val="0"/>
        </w:rPr>
      </w:pPr>
    </w:p>
    <w:p w:rsidR="00327CDE" w:rsidRPr="008058E3" w:rsidRDefault="00327CDE" w:rsidP="00A52533">
      <w:pPr>
        <w:pStyle w:val="ListParagraph"/>
        <w:numPr>
          <w:ilvl w:val="1"/>
          <w:numId w:val="3"/>
        </w:numPr>
        <w:rPr>
          <w:b/>
        </w:rPr>
      </w:pPr>
      <w:r w:rsidRPr="008058E3">
        <w:t xml:space="preserve">The PBAC noted the sponsor’s requested lower prices in the pre-PBAC response, but considered that the negotiation of an appropriate price for </w:t>
      </w:r>
      <w:proofErr w:type="spellStart"/>
      <w:r w:rsidRPr="008058E3">
        <w:t>Vytorin</w:t>
      </w:r>
      <w:proofErr w:type="spellEnd"/>
      <w:r w:rsidRPr="008058E3">
        <w:t xml:space="preserve"> following PBAC’s consideration of this submission was a matter for the Minister. </w:t>
      </w:r>
    </w:p>
    <w:p w:rsidR="00327CDE" w:rsidRDefault="00327CDE" w:rsidP="00327CDE">
      <w:pPr>
        <w:widowControl/>
        <w:rPr>
          <w:rFonts w:cs="Times New Roman"/>
          <w:b/>
          <w:snapToGrid/>
          <w:szCs w:val="22"/>
          <w:lang w:eastAsia="en-AU"/>
        </w:rPr>
      </w:pPr>
    </w:p>
    <w:p w:rsidR="00416BBF" w:rsidRPr="008058E3" w:rsidRDefault="00416BBF" w:rsidP="00327CDE">
      <w:pPr>
        <w:widowControl/>
        <w:rPr>
          <w:rFonts w:cs="Times New Roman"/>
          <w:b/>
          <w:snapToGrid/>
          <w:szCs w:val="22"/>
          <w:lang w:eastAsia="en-AU"/>
        </w:rPr>
      </w:pPr>
    </w:p>
    <w:p w:rsidR="00327CDE" w:rsidRPr="008058E3" w:rsidRDefault="00327CDE" w:rsidP="00327CDE">
      <w:pPr>
        <w:widowControl/>
        <w:rPr>
          <w:rFonts w:cs="Times New Roman"/>
          <w:b/>
          <w:snapToGrid/>
          <w:szCs w:val="22"/>
          <w:lang w:eastAsia="en-AU"/>
        </w:rPr>
      </w:pPr>
      <w:r w:rsidRPr="008058E3">
        <w:rPr>
          <w:rFonts w:cs="Times New Roman"/>
          <w:b/>
          <w:snapToGrid/>
          <w:szCs w:val="22"/>
          <w:lang w:eastAsia="en-AU"/>
        </w:rPr>
        <w:t>Outcome:</w:t>
      </w:r>
    </w:p>
    <w:p w:rsidR="003D40CD" w:rsidRDefault="00327CDE" w:rsidP="00576972">
      <w:pPr>
        <w:widowControl/>
        <w:rPr>
          <w:rFonts w:cs="Times New Roman"/>
          <w:snapToGrid/>
          <w:szCs w:val="22"/>
          <w:lang w:eastAsia="en-AU"/>
        </w:rPr>
      </w:pPr>
      <w:r w:rsidRPr="008058E3">
        <w:rPr>
          <w:rFonts w:cs="Times New Roman"/>
          <w:snapToGrid/>
          <w:szCs w:val="22"/>
          <w:lang w:eastAsia="en-AU"/>
        </w:rPr>
        <w:t>The PBAC advised the Minister that it was no longer satisfied as to the matters required by subsection 101(4AC) of the Act in relation to the following combination items: ezetimibe with simvastatin, tablets, 10 mg – 10 mg, 10 mg – 20 mg, 10 mg – 40 mg and 10 mg – 80 mg, oral.</w:t>
      </w:r>
    </w:p>
    <w:p w:rsidR="009A2506" w:rsidRDefault="009A2506" w:rsidP="00576972">
      <w:pPr>
        <w:widowControl/>
        <w:rPr>
          <w:rFonts w:cs="Times New Roman"/>
          <w:snapToGrid/>
          <w:szCs w:val="22"/>
          <w:lang w:eastAsia="en-AU"/>
        </w:rPr>
      </w:pPr>
    </w:p>
    <w:p w:rsidR="00B9132F" w:rsidRDefault="00B9132F" w:rsidP="00576972">
      <w:pPr>
        <w:widowControl/>
        <w:rPr>
          <w:rFonts w:cs="Times New Roman"/>
          <w:snapToGrid/>
          <w:szCs w:val="22"/>
          <w:lang w:eastAsia="en-AU"/>
        </w:rPr>
      </w:pPr>
    </w:p>
    <w:p w:rsidR="009A2506" w:rsidRDefault="009A2506" w:rsidP="009A2506">
      <w:pPr>
        <w:pStyle w:val="ListParagraph"/>
        <w:widowControl/>
        <w:numPr>
          <w:ilvl w:val="0"/>
          <w:numId w:val="3"/>
        </w:numPr>
        <w:rPr>
          <w:b/>
        </w:rPr>
      </w:pPr>
      <w:r w:rsidRPr="00D4420F">
        <w:rPr>
          <w:b/>
        </w:rPr>
        <w:t>Context for Decision</w:t>
      </w:r>
    </w:p>
    <w:p w:rsidR="009A2506" w:rsidRPr="00D4420F" w:rsidRDefault="009A2506" w:rsidP="009A2506">
      <w:pPr>
        <w:pStyle w:val="ListParagraph"/>
        <w:rPr>
          <w:b/>
        </w:rPr>
      </w:pPr>
    </w:p>
    <w:p w:rsidR="009A2506" w:rsidRPr="00D4420F" w:rsidRDefault="009A2506" w:rsidP="009A2506">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A2506" w:rsidRDefault="009A2506" w:rsidP="009A2506"/>
    <w:p w:rsidR="00B9132F" w:rsidRPr="00D4420F" w:rsidRDefault="00B9132F" w:rsidP="009A2506"/>
    <w:p w:rsidR="009A2506" w:rsidRDefault="009A2506" w:rsidP="009A2506">
      <w:pPr>
        <w:pStyle w:val="ListParagraph"/>
        <w:widowControl/>
        <w:numPr>
          <w:ilvl w:val="0"/>
          <w:numId w:val="3"/>
        </w:numPr>
        <w:rPr>
          <w:b/>
        </w:rPr>
      </w:pPr>
      <w:r w:rsidRPr="00D4420F">
        <w:rPr>
          <w:b/>
        </w:rPr>
        <w:t>Sponsor’s Comment</w:t>
      </w:r>
    </w:p>
    <w:p w:rsidR="00572B48" w:rsidRPr="00572B48" w:rsidRDefault="00572B48" w:rsidP="00572B48">
      <w:pPr>
        <w:widowControl/>
      </w:pPr>
    </w:p>
    <w:p w:rsidR="00572B48" w:rsidRPr="00572B48" w:rsidRDefault="00572B48" w:rsidP="00572B48">
      <w:pPr>
        <w:widowControl/>
        <w:ind w:left="720"/>
      </w:pPr>
      <w:r w:rsidRPr="00572B48">
        <w:t xml:space="preserve">The sponsor disagrees with the decision from the PBAC. The sponsor believes that the submission provides the best possible evidence available to meet the CMWG and </w:t>
      </w:r>
      <w:proofErr w:type="gramStart"/>
      <w:r w:rsidRPr="00572B48">
        <w:t>s101(</w:t>
      </w:r>
      <w:proofErr w:type="gramEnd"/>
      <w:r w:rsidRPr="00572B48">
        <w:t xml:space="preserve">4AC)requirements i.e. MSD believes that </w:t>
      </w:r>
      <w:proofErr w:type="spellStart"/>
      <w:r w:rsidRPr="00572B48">
        <w:t>Vytorin</w:t>
      </w:r>
      <w:proofErr w:type="spellEnd"/>
      <w:r w:rsidRPr="00572B48">
        <w:t xml:space="preserve"> provides, for some patients, a significant improvement in patient compliance over alternate therapies. MSD does not believe there is sufficient evidence to overturn the PBAC’s previous decision.</w:t>
      </w:r>
    </w:p>
    <w:p w:rsidR="009A2506" w:rsidRPr="00443103" w:rsidRDefault="009A2506" w:rsidP="00576972">
      <w:pPr>
        <w:widowControl/>
        <w:rPr>
          <w:szCs w:val="22"/>
        </w:rPr>
      </w:pPr>
    </w:p>
    <w:sectPr w:rsidR="009A2506" w:rsidRPr="00443103" w:rsidSect="00A06E1E">
      <w:headerReference w:type="default" r:id="rId11"/>
      <w:footerReference w:type="default" r:id="rId12"/>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255" w:rsidRDefault="008E5255" w:rsidP="00124A51">
      <w:r>
        <w:separator/>
      </w:r>
    </w:p>
    <w:p w:rsidR="008E5255" w:rsidRDefault="008E5255"/>
  </w:endnote>
  <w:endnote w:type="continuationSeparator" w:id="0">
    <w:p w:rsidR="008E5255" w:rsidRDefault="008E5255" w:rsidP="00124A51">
      <w:r>
        <w:continuationSeparator/>
      </w:r>
    </w:p>
    <w:p w:rsidR="008E5255" w:rsidRDefault="008E5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349012"/>
      <w:docPartObj>
        <w:docPartGallery w:val="Page Numbers (Bottom of Page)"/>
        <w:docPartUnique/>
      </w:docPartObj>
    </w:sdtPr>
    <w:sdtEndPr>
      <w:rPr>
        <w:noProof/>
      </w:rPr>
    </w:sdtEndPr>
    <w:sdtContent>
      <w:p w:rsidR="009022A0" w:rsidRDefault="009022A0">
        <w:pPr>
          <w:pStyle w:val="Footer"/>
          <w:jc w:val="center"/>
        </w:pPr>
      </w:p>
      <w:p w:rsidR="009022A0" w:rsidRDefault="009022A0">
        <w:pPr>
          <w:pStyle w:val="Footer"/>
          <w:jc w:val="center"/>
        </w:pPr>
        <w:r>
          <w:fldChar w:fldCharType="begin"/>
        </w:r>
        <w:r>
          <w:instrText xml:space="preserve"> PAGE   \* MERGEFORMAT </w:instrText>
        </w:r>
        <w:r>
          <w:fldChar w:fldCharType="separate"/>
        </w:r>
        <w:r w:rsidR="00EE4003">
          <w:rPr>
            <w:noProof/>
          </w:rPr>
          <w:t>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255" w:rsidRDefault="008E5255" w:rsidP="00124A51">
      <w:r>
        <w:separator/>
      </w:r>
    </w:p>
    <w:p w:rsidR="008E5255" w:rsidRDefault="008E5255"/>
  </w:footnote>
  <w:footnote w:type="continuationSeparator" w:id="0">
    <w:p w:rsidR="008E5255" w:rsidRDefault="008E5255" w:rsidP="00124A51">
      <w:r>
        <w:continuationSeparator/>
      </w:r>
    </w:p>
    <w:p w:rsidR="008E5255" w:rsidRDefault="008E5255"/>
  </w:footnote>
  <w:footnote w:id="1">
    <w:p w:rsidR="009022A0" w:rsidRPr="009F7C5B" w:rsidRDefault="009022A0" w:rsidP="0003014E">
      <w:pPr>
        <w:pStyle w:val="FootnoteText"/>
        <w:rPr>
          <w:sz w:val="17"/>
          <w:szCs w:val="17"/>
        </w:rPr>
      </w:pPr>
      <w:r w:rsidRPr="009F7C5B">
        <w:rPr>
          <w:rStyle w:val="FootnoteReference"/>
          <w:sz w:val="17"/>
          <w:szCs w:val="17"/>
        </w:rPr>
        <w:footnoteRef/>
      </w:r>
      <w:r w:rsidRPr="009F7C5B">
        <w:rPr>
          <w:sz w:val="17"/>
          <w:szCs w:val="17"/>
        </w:rPr>
        <w:t xml:space="preserve"> Warren JR, Falster MO, Fox D, </w:t>
      </w:r>
      <w:proofErr w:type="spellStart"/>
      <w:r w:rsidRPr="009F7C5B">
        <w:rPr>
          <w:sz w:val="17"/>
          <w:szCs w:val="17"/>
        </w:rPr>
        <w:t>Jorm</w:t>
      </w:r>
      <w:proofErr w:type="spellEnd"/>
      <w:r w:rsidRPr="009F7C5B">
        <w:rPr>
          <w:sz w:val="17"/>
          <w:szCs w:val="17"/>
        </w:rPr>
        <w:t xml:space="preserve"> L. </w:t>
      </w:r>
      <w:proofErr w:type="gramStart"/>
      <w:r w:rsidRPr="009F7C5B">
        <w:rPr>
          <w:sz w:val="17"/>
          <w:szCs w:val="17"/>
        </w:rPr>
        <w:t>Factors</w:t>
      </w:r>
      <w:proofErr w:type="gramEnd"/>
      <w:r w:rsidRPr="009F7C5B">
        <w:rPr>
          <w:sz w:val="17"/>
          <w:szCs w:val="17"/>
        </w:rPr>
        <w:t xml:space="preserve"> influencing adherence in long-term use of statins. </w:t>
      </w:r>
      <w:proofErr w:type="spellStart"/>
      <w:r w:rsidRPr="009F7C5B">
        <w:rPr>
          <w:sz w:val="17"/>
          <w:szCs w:val="17"/>
        </w:rPr>
        <w:t>Pharmacoepidemiol</w:t>
      </w:r>
      <w:proofErr w:type="spellEnd"/>
      <w:r w:rsidRPr="009F7C5B">
        <w:rPr>
          <w:sz w:val="17"/>
          <w:szCs w:val="17"/>
        </w:rPr>
        <w:t xml:space="preserve"> Drug </w:t>
      </w:r>
      <w:proofErr w:type="spellStart"/>
      <w:r w:rsidRPr="009F7C5B">
        <w:rPr>
          <w:sz w:val="17"/>
          <w:szCs w:val="17"/>
        </w:rPr>
        <w:t>Saf</w:t>
      </w:r>
      <w:proofErr w:type="spellEnd"/>
      <w:r w:rsidRPr="009F7C5B">
        <w:rPr>
          <w:sz w:val="17"/>
          <w:szCs w:val="17"/>
        </w:rPr>
        <w:t xml:space="preserve"> 2013; 22(12):1298-1307.</w:t>
      </w:r>
    </w:p>
  </w:footnote>
  <w:footnote w:id="2">
    <w:p w:rsidR="009022A0" w:rsidRPr="009F7C5B" w:rsidRDefault="009022A0" w:rsidP="0003014E">
      <w:pPr>
        <w:pStyle w:val="FootnoteText"/>
        <w:rPr>
          <w:sz w:val="17"/>
          <w:szCs w:val="17"/>
          <w:lang w:val="en-US"/>
        </w:rPr>
      </w:pPr>
      <w:r w:rsidRPr="009F7C5B">
        <w:rPr>
          <w:rStyle w:val="FootnoteReference"/>
          <w:sz w:val="17"/>
          <w:szCs w:val="17"/>
        </w:rPr>
        <w:footnoteRef/>
      </w:r>
      <w:r w:rsidRPr="009F7C5B">
        <w:rPr>
          <w:sz w:val="17"/>
          <w:szCs w:val="17"/>
        </w:rPr>
        <w:t xml:space="preserve"> www.pbs.gov.au/info/industry/listing/elements/pbac-meetings/psd/2012-07/review-of-statin-therapies</w:t>
      </w:r>
    </w:p>
  </w:footnote>
  <w:footnote w:id="3">
    <w:p w:rsidR="009022A0" w:rsidRPr="009F7C5B" w:rsidRDefault="009022A0" w:rsidP="009F7C5B">
      <w:pPr>
        <w:jc w:val="left"/>
        <w:rPr>
          <w:sz w:val="17"/>
          <w:szCs w:val="17"/>
        </w:rPr>
      </w:pPr>
      <w:r w:rsidRPr="009F7C5B">
        <w:rPr>
          <w:rStyle w:val="FootnoteReference"/>
          <w:sz w:val="17"/>
          <w:szCs w:val="17"/>
        </w:rPr>
        <w:footnoteRef/>
      </w:r>
      <w:r w:rsidRPr="009F7C5B">
        <w:rPr>
          <w:sz w:val="17"/>
          <w:szCs w:val="17"/>
        </w:rPr>
        <w:t xml:space="preserve"> Zuckerman IH, Sato M, </w:t>
      </w:r>
      <w:proofErr w:type="spellStart"/>
      <w:r w:rsidRPr="009F7C5B">
        <w:rPr>
          <w:sz w:val="17"/>
          <w:szCs w:val="17"/>
        </w:rPr>
        <w:t>Rattinger</w:t>
      </w:r>
      <w:proofErr w:type="spellEnd"/>
      <w:r w:rsidRPr="009F7C5B">
        <w:rPr>
          <w:sz w:val="17"/>
          <w:szCs w:val="17"/>
        </w:rPr>
        <w:t xml:space="preserve"> GB, et al. Does an increase in non-antihypertensive pill burden reduce adherence with antihypertensive drug therapy? </w:t>
      </w:r>
      <w:proofErr w:type="gramStart"/>
      <w:r w:rsidRPr="009F7C5B">
        <w:rPr>
          <w:sz w:val="17"/>
          <w:szCs w:val="17"/>
        </w:rPr>
        <w:t>Journal of Pharmaceutical Health Services Research.</w:t>
      </w:r>
      <w:proofErr w:type="gramEnd"/>
      <w:r w:rsidRPr="009F7C5B">
        <w:rPr>
          <w:sz w:val="17"/>
          <w:szCs w:val="17"/>
        </w:rPr>
        <w:t xml:space="preserve"> 2012</w:t>
      </w:r>
      <w:proofErr w:type="gramStart"/>
      <w:r w:rsidRPr="009F7C5B">
        <w:rPr>
          <w:sz w:val="17"/>
          <w:szCs w:val="17"/>
        </w:rPr>
        <w:t>;3</w:t>
      </w:r>
      <w:proofErr w:type="gramEnd"/>
      <w:r w:rsidRPr="009F7C5B">
        <w:rPr>
          <w:sz w:val="17"/>
          <w:szCs w:val="17"/>
        </w:rPr>
        <w:t>(3):135-9.</w:t>
      </w:r>
    </w:p>
  </w:footnote>
  <w:footnote w:id="4">
    <w:p w:rsidR="009022A0" w:rsidRPr="009F7C5B" w:rsidRDefault="009022A0" w:rsidP="00B46B79">
      <w:pPr>
        <w:pStyle w:val="FootnoteText"/>
        <w:rPr>
          <w:sz w:val="17"/>
          <w:szCs w:val="17"/>
        </w:rPr>
      </w:pPr>
      <w:r w:rsidRPr="009F7C5B">
        <w:rPr>
          <w:rStyle w:val="FootnoteReference"/>
          <w:sz w:val="17"/>
          <w:szCs w:val="17"/>
        </w:rPr>
        <w:footnoteRef/>
      </w:r>
      <w:r w:rsidRPr="009F7C5B">
        <w:rPr>
          <w:sz w:val="17"/>
          <w:szCs w:val="17"/>
        </w:rPr>
        <w:t xml:space="preserve"> </w:t>
      </w:r>
      <w:proofErr w:type="spellStart"/>
      <w:proofErr w:type="gramStart"/>
      <w:r w:rsidRPr="009F7C5B">
        <w:rPr>
          <w:sz w:val="17"/>
          <w:szCs w:val="17"/>
        </w:rPr>
        <w:t>Shalansky</w:t>
      </w:r>
      <w:proofErr w:type="spellEnd"/>
      <w:r w:rsidRPr="009F7C5B">
        <w:rPr>
          <w:sz w:val="17"/>
          <w:szCs w:val="17"/>
        </w:rPr>
        <w:t xml:space="preserve"> S, Levy A. Effect of number of medications on cardiovascular therapy adherence.</w:t>
      </w:r>
      <w:proofErr w:type="gramEnd"/>
      <w:r w:rsidRPr="009F7C5B">
        <w:rPr>
          <w:sz w:val="17"/>
          <w:szCs w:val="17"/>
        </w:rPr>
        <w:t xml:space="preserve"> </w:t>
      </w:r>
      <w:proofErr w:type="gramStart"/>
      <w:r w:rsidRPr="009F7C5B">
        <w:rPr>
          <w:sz w:val="17"/>
          <w:szCs w:val="17"/>
        </w:rPr>
        <w:t>The Annals of pharmacotherapy.</w:t>
      </w:r>
      <w:proofErr w:type="gramEnd"/>
      <w:r w:rsidRPr="009F7C5B">
        <w:rPr>
          <w:sz w:val="17"/>
          <w:szCs w:val="17"/>
        </w:rPr>
        <w:t xml:space="preserve"> 2002</w:t>
      </w:r>
      <w:proofErr w:type="gramStart"/>
      <w:r w:rsidRPr="009F7C5B">
        <w:rPr>
          <w:sz w:val="17"/>
          <w:szCs w:val="17"/>
        </w:rPr>
        <w:t>;36</w:t>
      </w:r>
      <w:proofErr w:type="gramEnd"/>
      <w:r w:rsidRPr="009F7C5B">
        <w:rPr>
          <w:sz w:val="17"/>
          <w:szCs w:val="17"/>
        </w:rPr>
        <w:t>(10):1532.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2A0" w:rsidRPr="00DF4674" w:rsidRDefault="009022A0" w:rsidP="003B7F6A">
    <w:pPr>
      <w:tabs>
        <w:tab w:val="left" w:pos="142"/>
        <w:tab w:val="right" w:pos="9027"/>
      </w:tabs>
      <w:jc w:val="center"/>
      <w:rPr>
        <w:i/>
        <w:color w:val="A6A6A6" w:themeColor="background1" w:themeShade="A6"/>
      </w:rPr>
    </w:pPr>
    <w:r>
      <w:rPr>
        <w:i/>
        <w:color w:val="A6A6A6" w:themeColor="background1" w:themeShade="A6"/>
      </w:rPr>
      <w:t>Public Summary Document</w:t>
    </w:r>
    <w:r w:rsidRPr="00DF4674">
      <w:rPr>
        <w:i/>
        <w:color w:val="A6A6A6" w:themeColor="background1" w:themeShade="A6"/>
      </w:rPr>
      <w:t xml:space="preserve"> – November 2014 PBAC Meeting</w:t>
    </w:r>
  </w:p>
  <w:p w:rsidR="009022A0" w:rsidRPr="00D47321" w:rsidRDefault="009022A0" w:rsidP="003B7F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3EC5"/>
    <w:multiLevelType w:val="hybridMultilevel"/>
    <w:tmpl w:val="773006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475FB"/>
    <w:multiLevelType w:val="hybridMultilevel"/>
    <w:tmpl w:val="D3B088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19CF62F3"/>
    <w:multiLevelType w:val="multilevel"/>
    <w:tmpl w:val="C11AAC52"/>
    <w:lvl w:ilvl="0">
      <w:start w:val="1"/>
      <w:numFmt w:val="decimal"/>
      <w:lvlText w:val="%1"/>
      <w:lvlJc w:val="left"/>
      <w:pPr>
        <w:ind w:left="720" w:hanging="720"/>
      </w:pPr>
      <w:rPr>
        <w:rFonts w:hint="default"/>
        <w:b/>
        <w:u w:val="non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4">
    <w:nsid w:val="1C15791C"/>
    <w:multiLevelType w:val="hybridMultilevel"/>
    <w:tmpl w:val="ECCC0C4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1D544A84"/>
    <w:multiLevelType w:val="hybridMultilevel"/>
    <w:tmpl w:val="F54884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21F14C1F"/>
    <w:multiLevelType w:val="hybridMultilevel"/>
    <w:tmpl w:val="3FD05F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7CF6E29"/>
    <w:multiLevelType w:val="hybridMultilevel"/>
    <w:tmpl w:val="DE2CD9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087716C"/>
    <w:multiLevelType w:val="hybridMultilevel"/>
    <w:tmpl w:val="C082AFFE"/>
    <w:lvl w:ilvl="0" w:tplc="5C407034">
      <w:start w:val="1"/>
      <w:numFmt w:val="lowerLetter"/>
      <w:lvlText w:val="(%1)"/>
      <w:lvlJc w:val="left"/>
      <w:pPr>
        <w:ind w:left="2595" w:hanging="1155"/>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nsid w:val="3B7C34E2"/>
    <w:multiLevelType w:val="hybridMultilevel"/>
    <w:tmpl w:val="F6A249C4"/>
    <w:lvl w:ilvl="0" w:tplc="6300639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F4E672B"/>
    <w:multiLevelType w:val="hybridMultilevel"/>
    <w:tmpl w:val="6AF6EC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45D12EE7"/>
    <w:multiLevelType w:val="hybridMultilevel"/>
    <w:tmpl w:val="6868CF3A"/>
    <w:lvl w:ilvl="0" w:tplc="06DC90FA">
      <w:start w:val="12"/>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45D3606F"/>
    <w:multiLevelType w:val="hybridMultilevel"/>
    <w:tmpl w:val="D9C2A164"/>
    <w:lvl w:ilvl="0" w:tplc="16D419D2">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EAA1FFF"/>
    <w:multiLevelType w:val="hybridMultilevel"/>
    <w:tmpl w:val="7F58B1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51FA2474"/>
    <w:multiLevelType w:val="hybridMultilevel"/>
    <w:tmpl w:val="793C61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634C332E"/>
    <w:multiLevelType w:val="hybridMultilevel"/>
    <w:tmpl w:val="523C1A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6A51769E"/>
    <w:multiLevelType w:val="hybridMultilevel"/>
    <w:tmpl w:val="D286162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nsid w:val="784D033C"/>
    <w:multiLevelType w:val="multilevel"/>
    <w:tmpl w:val="5E4E640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ACF2EC8"/>
    <w:multiLevelType w:val="hybridMultilevel"/>
    <w:tmpl w:val="DBD880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7BB515F7"/>
    <w:multiLevelType w:val="hybridMultilevel"/>
    <w:tmpl w:val="9668BA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7C2025D3"/>
    <w:multiLevelType w:val="hybridMultilevel"/>
    <w:tmpl w:val="7AFA659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9"/>
  </w:num>
  <w:num w:numId="2">
    <w:abstractNumId w:val="1"/>
  </w:num>
  <w:num w:numId="3">
    <w:abstractNumId w:val="17"/>
  </w:num>
  <w:num w:numId="4">
    <w:abstractNumId w:val="11"/>
  </w:num>
  <w:num w:numId="5">
    <w:abstractNumId w:val="10"/>
  </w:num>
  <w:num w:numId="6">
    <w:abstractNumId w:val="13"/>
  </w:num>
  <w:num w:numId="7">
    <w:abstractNumId w:val="5"/>
  </w:num>
  <w:num w:numId="8">
    <w:abstractNumId w:val="0"/>
  </w:num>
  <w:num w:numId="9">
    <w:abstractNumId w:val="19"/>
  </w:num>
  <w:num w:numId="10">
    <w:abstractNumId w:val="18"/>
  </w:num>
  <w:num w:numId="11">
    <w:abstractNumId w:val="2"/>
  </w:num>
  <w:num w:numId="12">
    <w:abstractNumId w:val="7"/>
  </w:num>
  <w:num w:numId="13">
    <w:abstractNumId w:val="15"/>
  </w:num>
  <w:num w:numId="14">
    <w:abstractNumId w:val="14"/>
  </w:num>
  <w:num w:numId="15">
    <w:abstractNumId w:val="3"/>
  </w:num>
  <w:num w:numId="16">
    <w:abstractNumId w:val="12"/>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4"/>
  </w:num>
  <w:num w:numId="21">
    <w:abstractNumId w:val="6"/>
  </w:num>
  <w:num w:numId="22">
    <w:abstractNumId w:val="20"/>
  </w:num>
  <w:num w:numId="23">
    <w:abstractNumId w:val="8"/>
  </w:num>
  <w:num w:numId="24">
    <w:abstractNumId w:val="17"/>
  </w:num>
  <w:num w:numId="2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02B"/>
    <w:rsid w:val="000002DD"/>
    <w:rsid w:val="00000470"/>
    <w:rsid w:val="0000048B"/>
    <w:rsid w:val="00000790"/>
    <w:rsid w:val="000008BF"/>
    <w:rsid w:val="000009A0"/>
    <w:rsid w:val="000009AC"/>
    <w:rsid w:val="00000A76"/>
    <w:rsid w:val="00000D77"/>
    <w:rsid w:val="0000110B"/>
    <w:rsid w:val="000015AC"/>
    <w:rsid w:val="0000184A"/>
    <w:rsid w:val="00001A45"/>
    <w:rsid w:val="00001BA9"/>
    <w:rsid w:val="00001D4C"/>
    <w:rsid w:val="00002062"/>
    <w:rsid w:val="000020E5"/>
    <w:rsid w:val="0000264D"/>
    <w:rsid w:val="000026C7"/>
    <w:rsid w:val="00002764"/>
    <w:rsid w:val="000027D4"/>
    <w:rsid w:val="0000287F"/>
    <w:rsid w:val="0000297B"/>
    <w:rsid w:val="0000299F"/>
    <w:rsid w:val="00002A52"/>
    <w:rsid w:val="00002D4C"/>
    <w:rsid w:val="00003499"/>
    <w:rsid w:val="000034C2"/>
    <w:rsid w:val="000034FA"/>
    <w:rsid w:val="00003A9B"/>
    <w:rsid w:val="00003C7E"/>
    <w:rsid w:val="00003DAC"/>
    <w:rsid w:val="00004285"/>
    <w:rsid w:val="00004343"/>
    <w:rsid w:val="00004517"/>
    <w:rsid w:val="00004685"/>
    <w:rsid w:val="000047B9"/>
    <w:rsid w:val="000047FF"/>
    <w:rsid w:val="00004D4D"/>
    <w:rsid w:val="00004F1E"/>
    <w:rsid w:val="0000508D"/>
    <w:rsid w:val="000052B2"/>
    <w:rsid w:val="00005BB4"/>
    <w:rsid w:val="00005C34"/>
    <w:rsid w:val="00005FCA"/>
    <w:rsid w:val="00006044"/>
    <w:rsid w:val="000063F1"/>
    <w:rsid w:val="000068B0"/>
    <w:rsid w:val="0000692E"/>
    <w:rsid w:val="00006F9E"/>
    <w:rsid w:val="00007034"/>
    <w:rsid w:val="000072AA"/>
    <w:rsid w:val="0000758B"/>
    <w:rsid w:val="000079E1"/>
    <w:rsid w:val="00007CDE"/>
    <w:rsid w:val="00010157"/>
    <w:rsid w:val="00010170"/>
    <w:rsid w:val="000102BE"/>
    <w:rsid w:val="000104CD"/>
    <w:rsid w:val="000104ED"/>
    <w:rsid w:val="000106C4"/>
    <w:rsid w:val="000107B3"/>
    <w:rsid w:val="00010A80"/>
    <w:rsid w:val="00010F64"/>
    <w:rsid w:val="00011205"/>
    <w:rsid w:val="000114CB"/>
    <w:rsid w:val="00011532"/>
    <w:rsid w:val="0001161F"/>
    <w:rsid w:val="00011C4A"/>
    <w:rsid w:val="00011E51"/>
    <w:rsid w:val="00011F64"/>
    <w:rsid w:val="00011F67"/>
    <w:rsid w:val="000120FD"/>
    <w:rsid w:val="000121A1"/>
    <w:rsid w:val="00012533"/>
    <w:rsid w:val="00012E42"/>
    <w:rsid w:val="00012E86"/>
    <w:rsid w:val="00013247"/>
    <w:rsid w:val="0001336B"/>
    <w:rsid w:val="00013934"/>
    <w:rsid w:val="00013A5B"/>
    <w:rsid w:val="00013AD8"/>
    <w:rsid w:val="00013C55"/>
    <w:rsid w:val="000140F7"/>
    <w:rsid w:val="000142BE"/>
    <w:rsid w:val="00014523"/>
    <w:rsid w:val="0001454C"/>
    <w:rsid w:val="00014968"/>
    <w:rsid w:val="00014E11"/>
    <w:rsid w:val="00014FB6"/>
    <w:rsid w:val="00015771"/>
    <w:rsid w:val="00015886"/>
    <w:rsid w:val="000158BA"/>
    <w:rsid w:val="00015991"/>
    <w:rsid w:val="000159FA"/>
    <w:rsid w:val="00015A26"/>
    <w:rsid w:val="00015C11"/>
    <w:rsid w:val="000161F0"/>
    <w:rsid w:val="000162A6"/>
    <w:rsid w:val="000162EF"/>
    <w:rsid w:val="00016520"/>
    <w:rsid w:val="00016535"/>
    <w:rsid w:val="000168D7"/>
    <w:rsid w:val="000169C5"/>
    <w:rsid w:val="000169EC"/>
    <w:rsid w:val="00016C34"/>
    <w:rsid w:val="00016C7C"/>
    <w:rsid w:val="00016DC0"/>
    <w:rsid w:val="000171B5"/>
    <w:rsid w:val="000176EC"/>
    <w:rsid w:val="00017D12"/>
    <w:rsid w:val="000201B1"/>
    <w:rsid w:val="00020200"/>
    <w:rsid w:val="00020524"/>
    <w:rsid w:val="0002098E"/>
    <w:rsid w:val="00020A26"/>
    <w:rsid w:val="00020ABD"/>
    <w:rsid w:val="00020EC8"/>
    <w:rsid w:val="000211EC"/>
    <w:rsid w:val="000214B4"/>
    <w:rsid w:val="00021509"/>
    <w:rsid w:val="0002161D"/>
    <w:rsid w:val="00021ADA"/>
    <w:rsid w:val="00021E08"/>
    <w:rsid w:val="00021E61"/>
    <w:rsid w:val="000221AA"/>
    <w:rsid w:val="0002223A"/>
    <w:rsid w:val="0002225F"/>
    <w:rsid w:val="000225A5"/>
    <w:rsid w:val="000225B2"/>
    <w:rsid w:val="000225F8"/>
    <w:rsid w:val="00022691"/>
    <w:rsid w:val="000232DF"/>
    <w:rsid w:val="00023621"/>
    <w:rsid w:val="00023763"/>
    <w:rsid w:val="00023865"/>
    <w:rsid w:val="00023B82"/>
    <w:rsid w:val="00023C56"/>
    <w:rsid w:val="00023FB5"/>
    <w:rsid w:val="0002451F"/>
    <w:rsid w:val="000245E2"/>
    <w:rsid w:val="000247B8"/>
    <w:rsid w:val="000248C1"/>
    <w:rsid w:val="00024983"/>
    <w:rsid w:val="00025433"/>
    <w:rsid w:val="00025A7B"/>
    <w:rsid w:val="00025B07"/>
    <w:rsid w:val="000263FA"/>
    <w:rsid w:val="0002696F"/>
    <w:rsid w:val="00026A1C"/>
    <w:rsid w:val="00026C2F"/>
    <w:rsid w:val="00026CF1"/>
    <w:rsid w:val="00026EAA"/>
    <w:rsid w:val="0002707A"/>
    <w:rsid w:val="00027468"/>
    <w:rsid w:val="000274E6"/>
    <w:rsid w:val="00027BD6"/>
    <w:rsid w:val="00027E87"/>
    <w:rsid w:val="0003014E"/>
    <w:rsid w:val="0003015F"/>
    <w:rsid w:val="0003030A"/>
    <w:rsid w:val="00030360"/>
    <w:rsid w:val="00030774"/>
    <w:rsid w:val="0003095C"/>
    <w:rsid w:val="00030B62"/>
    <w:rsid w:val="00030D5C"/>
    <w:rsid w:val="00030DD3"/>
    <w:rsid w:val="00031045"/>
    <w:rsid w:val="0003121A"/>
    <w:rsid w:val="000316BA"/>
    <w:rsid w:val="00031877"/>
    <w:rsid w:val="00031AD5"/>
    <w:rsid w:val="00031BFC"/>
    <w:rsid w:val="00031DFF"/>
    <w:rsid w:val="00032947"/>
    <w:rsid w:val="00032B15"/>
    <w:rsid w:val="00032B19"/>
    <w:rsid w:val="00032B8A"/>
    <w:rsid w:val="000330A5"/>
    <w:rsid w:val="000331C2"/>
    <w:rsid w:val="000331C6"/>
    <w:rsid w:val="000334B6"/>
    <w:rsid w:val="0003368C"/>
    <w:rsid w:val="0003377F"/>
    <w:rsid w:val="00033A99"/>
    <w:rsid w:val="00033C34"/>
    <w:rsid w:val="00033F50"/>
    <w:rsid w:val="0003443E"/>
    <w:rsid w:val="000346D2"/>
    <w:rsid w:val="0003478D"/>
    <w:rsid w:val="000348DB"/>
    <w:rsid w:val="0003491F"/>
    <w:rsid w:val="00034BF0"/>
    <w:rsid w:val="0003507E"/>
    <w:rsid w:val="000355E1"/>
    <w:rsid w:val="00035907"/>
    <w:rsid w:val="000362A0"/>
    <w:rsid w:val="00036854"/>
    <w:rsid w:val="00036989"/>
    <w:rsid w:val="000369F1"/>
    <w:rsid w:val="00036B00"/>
    <w:rsid w:val="00036BD0"/>
    <w:rsid w:val="00036E23"/>
    <w:rsid w:val="00037063"/>
    <w:rsid w:val="0003737C"/>
    <w:rsid w:val="000379BA"/>
    <w:rsid w:val="00037A36"/>
    <w:rsid w:val="00037C8E"/>
    <w:rsid w:val="00040895"/>
    <w:rsid w:val="00040B76"/>
    <w:rsid w:val="00040F11"/>
    <w:rsid w:val="00040FB4"/>
    <w:rsid w:val="0004129E"/>
    <w:rsid w:val="00041317"/>
    <w:rsid w:val="000414FB"/>
    <w:rsid w:val="00041517"/>
    <w:rsid w:val="000415D5"/>
    <w:rsid w:val="00042074"/>
    <w:rsid w:val="00042578"/>
    <w:rsid w:val="00042601"/>
    <w:rsid w:val="000426F6"/>
    <w:rsid w:val="000430B0"/>
    <w:rsid w:val="0004334E"/>
    <w:rsid w:val="000435AE"/>
    <w:rsid w:val="00043670"/>
    <w:rsid w:val="000439EC"/>
    <w:rsid w:val="00043B82"/>
    <w:rsid w:val="00043C37"/>
    <w:rsid w:val="00043DF3"/>
    <w:rsid w:val="00044586"/>
    <w:rsid w:val="0004475E"/>
    <w:rsid w:val="000447A3"/>
    <w:rsid w:val="00044AE5"/>
    <w:rsid w:val="00044CE8"/>
    <w:rsid w:val="00044F75"/>
    <w:rsid w:val="00045405"/>
    <w:rsid w:val="000456B1"/>
    <w:rsid w:val="000458CB"/>
    <w:rsid w:val="000458EA"/>
    <w:rsid w:val="00045978"/>
    <w:rsid w:val="00045E34"/>
    <w:rsid w:val="00046000"/>
    <w:rsid w:val="00046654"/>
    <w:rsid w:val="00046734"/>
    <w:rsid w:val="000467D1"/>
    <w:rsid w:val="00046A99"/>
    <w:rsid w:val="00046DC3"/>
    <w:rsid w:val="00046E65"/>
    <w:rsid w:val="00046F5B"/>
    <w:rsid w:val="00047568"/>
    <w:rsid w:val="000477C6"/>
    <w:rsid w:val="000478D3"/>
    <w:rsid w:val="00047B28"/>
    <w:rsid w:val="00047B41"/>
    <w:rsid w:val="00047E5B"/>
    <w:rsid w:val="00047F92"/>
    <w:rsid w:val="000501E1"/>
    <w:rsid w:val="000501F8"/>
    <w:rsid w:val="00050851"/>
    <w:rsid w:val="00050AF0"/>
    <w:rsid w:val="00050B8F"/>
    <w:rsid w:val="00050BE3"/>
    <w:rsid w:val="00050C34"/>
    <w:rsid w:val="00050CD6"/>
    <w:rsid w:val="000510A1"/>
    <w:rsid w:val="00051144"/>
    <w:rsid w:val="00051259"/>
    <w:rsid w:val="0005134D"/>
    <w:rsid w:val="0005136D"/>
    <w:rsid w:val="00051B3D"/>
    <w:rsid w:val="00051F0E"/>
    <w:rsid w:val="00051F27"/>
    <w:rsid w:val="0005204F"/>
    <w:rsid w:val="000520BA"/>
    <w:rsid w:val="000520CB"/>
    <w:rsid w:val="00052143"/>
    <w:rsid w:val="000524D6"/>
    <w:rsid w:val="000524E5"/>
    <w:rsid w:val="00052A04"/>
    <w:rsid w:val="00052B4F"/>
    <w:rsid w:val="00052B6E"/>
    <w:rsid w:val="00052FC6"/>
    <w:rsid w:val="0005352F"/>
    <w:rsid w:val="000539A7"/>
    <w:rsid w:val="00053CD3"/>
    <w:rsid w:val="00053D6C"/>
    <w:rsid w:val="00053E65"/>
    <w:rsid w:val="0005402B"/>
    <w:rsid w:val="00054443"/>
    <w:rsid w:val="000546D7"/>
    <w:rsid w:val="0005477E"/>
    <w:rsid w:val="00054D2C"/>
    <w:rsid w:val="00054DB9"/>
    <w:rsid w:val="00054E0F"/>
    <w:rsid w:val="00054F62"/>
    <w:rsid w:val="000550B4"/>
    <w:rsid w:val="00055284"/>
    <w:rsid w:val="000556FF"/>
    <w:rsid w:val="0005585C"/>
    <w:rsid w:val="000558F5"/>
    <w:rsid w:val="00055B68"/>
    <w:rsid w:val="00056383"/>
    <w:rsid w:val="000563F7"/>
    <w:rsid w:val="00056931"/>
    <w:rsid w:val="00056C05"/>
    <w:rsid w:val="00056CA9"/>
    <w:rsid w:val="00056D65"/>
    <w:rsid w:val="00057246"/>
    <w:rsid w:val="000573EB"/>
    <w:rsid w:val="00057515"/>
    <w:rsid w:val="0005762D"/>
    <w:rsid w:val="00057959"/>
    <w:rsid w:val="00057B6F"/>
    <w:rsid w:val="000606AC"/>
    <w:rsid w:val="00060813"/>
    <w:rsid w:val="000609DE"/>
    <w:rsid w:val="00060A6A"/>
    <w:rsid w:val="00060D4D"/>
    <w:rsid w:val="000610AB"/>
    <w:rsid w:val="00061158"/>
    <w:rsid w:val="000612D8"/>
    <w:rsid w:val="000613D3"/>
    <w:rsid w:val="00061793"/>
    <w:rsid w:val="000617AA"/>
    <w:rsid w:val="00061B51"/>
    <w:rsid w:val="00061BAC"/>
    <w:rsid w:val="000620DA"/>
    <w:rsid w:val="000628BD"/>
    <w:rsid w:val="000629BB"/>
    <w:rsid w:val="000632E6"/>
    <w:rsid w:val="00063306"/>
    <w:rsid w:val="000636A9"/>
    <w:rsid w:val="000638F1"/>
    <w:rsid w:val="0006397A"/>
    <w:rsid w:val="00063ECA"/>
    <w:rsid w:val="00064134"/>
    <w:rsid w:val="00064541"/>
    <w:rsid w:val="00064612"/>
    <w:rsid w:val="00064A51"/>
    <w:rsid w:val="0006504F"/>
    <w:rsid w:val="00065108"/>
    <w:rsid w:val="000651B2"/>
    <w:rsid w:val="00065946"/>
    <w:rsid w:val="0006598B"/>
    <w:rsid w:val="00065CE9"/>
    <w:rsid w:val="00065F50"/>
    <w:rsid w:val="00066025"/>
    <w:rsid w:val="0006611A"/>
    <w:rsid w:val="00066902"/>
    <w:rsid w:val="00066966"/>
    <w:rsid w:val="00066E0B"/>
    <w:rsid w:val="00066E3F"/>
    <w:rsid w:val="0006715F"/>
    <w:rsid w:val="00067333"/>
    <w:rsid w:val="00067A52"/>
    <w:rsid w:val="00067C24"/>
    <w:rsid w:val="00067C7B"/>
    <w:rsid w:val="000702A9"/>
    <w:rsid w:val="00070664"/>
    <w:rsid w:val="000707F9"/>
    <w:rsid w:val="00070909"/>
    <w:rsid w:val="00070A73"/>
    <w:rsid w:val="00070A77"/>
    <w:rsid w:val="00070CD2"/>
    <w:rsid w:val="00071066"/>
    <w:rsid w:val="00071213"/>
    <w:rsid w:val="0007122F"/>
    <w:rsid w:val="00071248"/>
    <w:rsid w:val="00071767"/>
    <w:rsid w:val="000718EC"/>
    <w:rsid w:val="00071BE9"/>
    <w:rsid w:val="000720B9"/>
    <w:rsid w:val="000720D5"/>
    <w:rsid w:val="0007250A"/>
    <w:rsid w:val="00072581"/>
    <w:rsid w:val="00072975"/>
    <w:rsid w:val="00072D16"/>
    <w:rsid w:val="000730F6"/>
    <w:rsid w:val="000732E9"/>
    <w:rsid w:val="000732FD"/>
    <w:rsid w:val="00073360"/>
    <w:rsid w:val="00073407"/>
    <w:rsid w:val="00073791"/>
    <w:rsid w:val="000739EB"/>
    <w:rsid w:val="00073C33"/>
    <w:rsid w:val="00073C5D"/>
    <w:rsid w:val="000743CB"/>
    <w:rsid w:val="000747D7"/>
    <w:rsid w:val="0007488B"/>
    <w:rsid w:val="000748AF"/>
    <w:rsid w:val="00074AE3"/>
    <w:rsid w:val="00074B7D"/>
    <w:rsid w:val="00074C32"/>
    <w:rsid w:val="00074DEC"/>
    <w:rsid w:val="00074EC8"/>
    <w:rsid w:val="00075082"/>
    <w:rsid w:val="0007511B"/>
    <w:rsid w:val="0007562B"/>
    <w:rsid w:val="00075BC3"/>
    <w:rsid w:val="00075E96"/>
    <w:rsid w:val="0007602F"/>
    <w:rsid w:val="0007612B"/>
    <w:rsid w:val="000761D6"/>
    <w:rsid w:val="00076635"/>
    <w:rsid w:val="0007670D"/>
    <w:rsid w:val="00076841"/>
    <w:rsid w:val="00076846"/>
    <w:rsid w:val="00076B92"/>
    <w:rsid w:val="00076DC5"/>
    <w:rsid w:val="000771D6"/>
    <w:rsid w:val="00077241"/>
    <w:rsid w:val="000775BF"/>
    <w:rsid w:val="000777A7"/>
    <w:rsid w:val="00077AA9"/>
    <w:rsid w:val="00077FD1"/>
    <w:rsid w:val="000801B4"/>
    <w:rsid w:val="00080540"/>
    <w:rsid w:val="00080EDB"/>
    <w:rsid w:val="000812CA"/>
    <w:rsid w:val="000812FE"/>
    <w:rsid w:val="000813F3"/>
    <w:rsid w:val="00081883"/>
    <w:rsid w:val="00081A1C"/>
    <w:rsid w:val="00081D01"/>
    <w:rsid w:val="00081DC5"/>
    <w:rsid w:val="00081EEE"/>
    <w:rsid w:val="00081F3C"/>
    <w:rsid w:val="000822F2"/>
    <w:rsid w:val="00082828"/>
    <w:rsid w:val="00082CB2"/>
    <w:rsid w:val="000830BA"/>
    <w:rsid w:val="00083577"/>
    <w:rsid w:val="000837EC"/>
    <w:rsid w:val="00083CBF"/>
    <w:rsid w:val="00083E76"/>
    <w:rsid w:val="0008414C"/>
    <w:rsid w:val="00084234"/>
    <w:rsid w:val="000845BE"/>
    <w:rsid w:val="00084D4E"/>
    <w:rsid w:val="0008502B"/>
    <w:rsid w:val="0008510A"/>
    <w:rsid w:val="0008511F"/>
    <w:rsid w:val="000854F6"/>
    <w:rsid w:val="000856AA"/>
    <w:rsid w:val="00085A78"/>
    <w:rsid w:val="00085B80"/>
    <w:rsid w:val="00085D35"/>
    <w:rsid w:val="00085D3D"/>
    <w:rsid w:val="00085D63"/>
    <w:rsid w:val="00085DF9"/>
    <w:rsid w:val="00085FE1"/>
    <w:rsid w:val="00086830"/>
    <w:rsid w:val="00086B99"/>
    <w:rsid w:val="00086C71"/>
    <w:rsid w:val="00086E92"/>
    <w:rsid w:val="0008758A"/>
    <w:rsid w:val="000875AF"/>
    <w:rsid w:val="00087853"/>
    <w:rsid w:val="00087E09"/>
    <w:rsid w:val="00087EEE"/>
    <w:rsid w:val="00090029"/>
    <w:rsid w:val="0009009B"/>
    <w:rsid w:val="000901C2"/>
    <w:rsid w:val="0009046E"/>
    <w:rsid w:val="00090606"/>
    <w:rsid w:val="00090617"/>
    <w:rsid w:val="000907E7"/>
    <w:rsid w:val="000907ED"/>
    <w:rsid w:val="000908E0"/>
    <w:rsid w:val="00090A17"/>
    <w:rsid w:val="00090C7E"/>
    <w:rsid w:val="00090FF5"/>
    <w:rsid w:val="00091532"/>
    <w:rsid w:val="000916F0"/>
    <w:rsid w:val="000920D1"/>
    <w:rsid w:val="00092398"/>
    <w:rsid w:val="00092AA6"/>
    <w:rsid w:val="00092D28"/>
    <w:rsid w:val="00092D81"/>
    <w:rsid w:val="00093045"/>
    <w:rsid w:val="0009304D"/>
    <w:rsid w:val="0009305C"/>
    <w:rsid w:val="00093192"/>
    <w:rsid w:val="0009323C"/>
    <w:rsid w:val="00093243"/>
    <w:rsid w:val="0009336B"/>
    <w:rsid w:val="00093493"/>
    <w:rsid w:val="000939D7"/>
    <w:rsid w:val="0009441B"/>
    <w:rsid w:val="00094B69"/>
    <w:rsid w:val="00094EBA"/>
    <w:rsid w:val="00094ED2"/>
    <w:rsid w:val="00095300"/>
    <w:rsid w:val="00095733"/>
    <w:rsid w:val="000957F0"/>
    <w:rsid w:val="00095998"/>
    <w:rsid w:val="00095D1A"/>
    <w:rsid w:val="00095D66"/>
    <w:rsid w:val="00095F64"/>
    <w:rsid w:val="00096672"/>
    <w:rsid w:val="000966F0"/>
    <w:rsid w:val="00096996"/>
    <w:rsid w:val="00096C01"/>
    <w:rsid w:val="00096DBA"/>
    <w:rsid w:val="0009763D"/>
    <w:rsid w:val="00097786"/>
    <w:rsid w:val="000977BA"/>
    <w:rsid w:val="000977C2"/>
    <w:rsid w:val="00097848"/>
    <w:rsid w:val="00097C04"/>
    <w:rsid w:val="000A0121"/>
    <w:rsid w:val="000A0697"/>
    <w:rsid w:val="000A0A20"/>
    <w:rsid w:val="000A0A42"/>
    <w:rsid w:val="000A0E28"/>
    <w:rsid w:val="000A0F87"/>
    <w:rsid w:val="000A17FE"/>
    <w:rsid w:val="000A1C9F"/>
    <w:rsid w:val="000A1F8B"/>
    <w:rsid w:val="000A2008"/>
    <w:rsid w:val="000A20EC"/>
    <w:rsid w:val="000A2671"/>
    <w:rsid w:val="000A2BD8"/>
    <w:rsid w:val="000A308C"/>
    <w:rsid w:val="000A31DB"/>
    <w:rsid w:val="000A3281"/>
    <w:rsid w:val="000A3561"/>
    <w:rsid w:val="000A4042"/>
    <w:rsid w:val="000A43DA"/>
    <w:rsid w:val="000A49E8"/>
    <w:rsid w:val="000A4B8E"/>
    <w:rsid w:val="000A4DC5"/>
    <w:rsid w:val="000A5017"/>
    <w:rsid w:val="000A51C0"/>
    <w:rsid w:val="000A55B2"/>
    <w:rsid w:val="000A567E"/>
    <w:rsid w:val="000A568A"/>
    <w:rsid w:val="000A57DE"/>
    <w:rsid w:val="000A5C86"/>
    <w:rsid w:val="000A6119"/>
    <w:rsid w:val="000A61E2"/>
    <w:rsid w:val="000A631D"/>
    <w:rsid w:val="000A63A4"/>
    <w:rsid w:val="000A63A9"/>
    <w:rsid w:val="000A6618"/>
    <w:rsid w:val="000A734C"/>
    <w:rsid w:val="000A7536"/>
    <w:rsid w:val="000A776F"/>
    <w:rsid w:val="000A78F1"/>
    <w:rsid w:val="000A7B42"/>
    <w:rsid w:val="000A7F0E"/>
    <w:rsid w:val="000A7F1C"/>
    <w:rsid w:val="000A7FA0"/>
    <w:rsid w:val="000B09FD"/>
    <w:rsid w:val="000B0F0E"/>
    <w:rsid w:val="000B0F6C"/>
    <w:rsid w:val="000B0FCD"/>
    <w:rsid w:val="000B102E"/>
    <w:rsid w:val="000B1192"/>
    <w:rsid w:val="000B14E5"/>
    <w:rsid w:val="000B1867"/>
    <w:rsid w:val="000B1C33"/>
    <w:rsid w:val="000B1C87"/>
    <w:rsid w:val="000B1FC0"/>
    <w:rsid w:val="000B21B8"/>
    <w:rsid w:val="000B2260"/>
    <w:rsid w:val="000B23F8"/>
    <w:rsid w:val="000B2471"/>
    <w:rsid w:val="000B25BB"/>
    <w:rsid w:val="000B2977"/>
    <w:rsid w:val="000B2988"/>
    <w:rsid w:val="000B2CE8"/>
    <w:rsid w:val="000B310F"/>
    <w:rsid w:val="000B3268"/>
    <w:rsid w:val="000B3687"/>
    <w:rsid w:val="000B38B3"/>
    <w:rsid w:val="000B3A6C"/>
    <w:rsid w:val="000B3AA6"/>
    <w:rsid w:val="000B3B3A"/>
    <w:rsid w:val="000B40FF"/>
    <w:rsid w:val="000B4680"/>
    <w:rsid w:val="000B46D7"/>
    <w:rsid w:val="000B48A5"/>
    <w:rsid w:val="000B4A3C"/>
    <w:rsid w:val="000B4AB3"/>
    <w:rsid w:val="000B52C8"/>
    <w:rsid w:val="000B552B"/>
    <w:rsid w:val="000B56A3"/>
    <w:rsid w:val="000B5ACB"/>
    <w:rsid w:val="000B5BE6"/>
    <w:rsid w:val="000B6000"/>
    <w:rsid w:val="000B64E2"/>
    <w:rsid w:val="000B6585"/>
    <w:rsid w:val="000B65CB"/>
    <w:rsid w:val="000B6897"/>
    <w:rsid w:val="000B6A52"/>
    <w:rsid w:val="000B6D64"/>
    <w:rsid w:val="000B6F40"/>
    <w:rsid w:val="000B716F"/>
    <w:rsid w:val="000B71AD"/>
    <w:rsid w:val="000B7370"/>
    <w:rsid w:val="000B74CA"/>
    <w:rsid w:val="000B76C0"/>
    <w:rsid w:val="000B79C4"/>
    <w:rsid w:val="000B79D7"/>
    <w:rsid w:val="000B7B7E"/>
    <w:rsid w:val="000B7C26"/>
    <w:rsid w:val="000B7D1E"/>
    <w:rsid w:val="000B7E0A"/>
    <w:rsid w:val="000B7FC8"/>
    <w:rsid w:val="000C01DD"/>
    <w:rsid w:val="000C0490"/>
    <w:rsid w:val="000C0614"/>
    <w:rsid w:val="000C0840"/>
    <w:rsid w:val="000C08CB"/>
    <w:rsid w:val="000C0ED6"/>
    <w:rsid w:val="000C0EF7"/>
    <w:rsid w:val="000C1111"/>
    <w:rsid w:val="000C13A3"/>
    <w:rsid w:val="000C1494"/>
    <w:rsid w:val="000C1782"/>
    <w:rsid w:val="000C1D0D"/>
    <w:rsid w:val="000C203D"/>
    <w:rsid w:val="000C2283"/>
    <w:rsid w:val="000C2CC9"/>
    <w:rsid w:val="000C3229"/>
    <w:rsid w:val="000C3480"/>
    <w:rsid w:val="000C34C3"/>
    <w:rsid w:val="000C353A"/>
    <w:rsid w:val="000C35CE"/>
    <w:rsid w:val="000C3667"/>
    <w:rsid w:val="000C36BA"/>
    <w:rsid w:val="000C378F"/>
    <w:rsid w:val="000C3894"/>
    <w:rsid w:val="000C3A4F"/>
    <w:rsid w:val="000C3C1E"/>
    <w:rsid w:val="000C3DFA"/>
    <w:rsid w:val="000C42E0"/>
    <w:rsid w:val="000C43CE"/>
    <w:rsid w:val="000C441A"/>
    <w:rsid w:val="000C45A6"/>
    <w:rsid w:val="000C45E9"/>
    <w:rsid w:val="000C477D"/>
    <w:rsid w:val="000C4820"/>
    <w:rsid w:val="000C4A61"/>
    <w:rsid w:val="000C5295"/>
    <w:rsid w:val="000C549E"/>
    <w:rsid w:val="000C54B7"/>
    <w:rsid w:val="000C5519"/>
    <w:rsid w:val="000C5934"/>
    <w:rsid w:val="000C59B6"/>
    <w:rsid w:val="000C5A92"/>
    <w:rsid w:val="000C5B15"/>
    <w:rsid w:val="000C5B9B"/>
    <w:rsid w:val="000C61A5"/>
    <w:rsid w:val="000C633F"/>
    <w:rsid w:val="000C64B3"/>
    <w:rsid w:val="000C6650"/>
    <w:rsid w:val="000C67AF"/>
    <w:rsid w:val="000C6D5D"/>
    <w:rsid w:val="000C7157"/>
    <w:rsid w:val="000C73C4"/>
    <w:rsid w:val="000C74D0"/>
    <w:rsid w:val="000C75B8"/>
    <w:rsid w:val="000D0242"/>
    <w:rsid w:val="000D0276"/>
    <w:rsid w:val="000D0894"/>
    <w:rsid w:val="000D0D66"/>
    <w:rsid w:val="000D0FD6"/>
    <w:rsid w:val="000D1102"/>
    <w:rsid w:val="000D112F"/>
    <w:rsid w:val="000D139D"/>
    <w:rsid w:val="000D1418"/>
    <w:rsid w:val="000D14FB"/>
    <w:rsid w:val="000D19DC"/>
    <w:rsid w:val="000D1B0E"/>
    <w:rsid w:val="000D1BFC"/>
    <w:rsid w:val="000D21F1"/>
    <w:rsid w:val="000D2234"/>
    <w:rsid w:val="000D2386"/>
    <w:rsid w:val="000D24A8"/>
    <w:rsid w:val="000D28BB"/>
    <w:rsid w:val="000D2AAC"/>
    <w:rsid w:val="000D2AEB"/>
    <w:rsid w:val="000D3CC6"/>
    <w:rsid w:val="000D4168"/>
    <w:rsid w:val="000D41B3"/>
    <w:rsid w:val="000D4641"/>
    <w:rsid w:val="000D4695"/>
    <w:rsid w:val="000D50C3"/>
    <w:rsid w:val="000D535B"/>
    <w:rsid w:val="000D55FE"/>
    <w:rsid w:val="000D563F"/>
    <w:rsid w:val="000D5991"/>
    <w:rsid w:val="000D5AC2"/>
    <w:rsid w:val="000D5CC3"/>
    <w:rsid w:val="000D5CD7"/>
    <w:rsid w:val="000D6553"/>
    <w:rsid w:val="000D65AF"/>
    <w:rsid w:val="000D669D"/>
    <w:rsid w:val="000D68A6"/>
    <w:rsid w:val="000D6A34"/>
    <w:rsid w:val="000D6AFF"/>
    <w:rsid w:val="000D7045"/>
    <w:rsid w:val="000D7079"/>
    <w:rsid w:val="000D7135"/>
    <w:rsid w:val="000D7296"/>
    <w:rsid w:val="000D73BB"/>
    <w:rsid w:val="000D7432"/>
    <w:rsid w:val="000D7639"/>
    <w:rsid w:val="000D7797"/>
    <w:rsid w:val="000D7E51"/>
    <w:rsid w:val="000E014C"/>
    <w:rsid w:val="000E061A"/>
    <w:rsid w:val="000E0852"/>
    <w:rsid w:val="000E0D73"/>
    <w:rsid w:val="000E11DA"/>
    <w:rsid w:val="000E1375"/>
    <w:rsid w:val="000E1580"/>
    <w:rsid w:val="000E15D6"/>
    <w:rsid w:val="000E1AAD"/>
    <w:rsid w:val="000E1C1C"/>
    <w:rsid w:val="000E1D37"/>
    <w:rsid w:val="000E1E65"/>
    <w:rsid w:val="000E20AF"/>
    <w:rsid w:val="000E21BA"/>
    <w:rsid w:val="000E247D"/>
    <w:rsid w:val="000E29AD"/>
    <w:rsid w:val="000E2B7D"/>
    <w:rsid w:val="000E2E32"/>
    <w:rsid w:val="000E300D"/>
    <w:rsid w:val="000E3644"/>
    <w:rsid w:val="000E3813"/>
    <w:rsid w:val="000E3A14"/>
    <w:rsid w:val="000E3A3B"/>
    <w:rsid w:val="000E3A7D"/>
    <w:rsid w:val="000E3E8E"/>
    <w:rsid w:val="000E4167"/>
    <w:rsid w:val="000E4B6A"/>
    <w:rsid w:val="000E4D99"/>
    <w:rsid w:val="000E5070"/>
    <w:rsid w:val="000E51D3"/>
    <w:rsid w:val="000E5274"/>
    <w:rsid w:val="000E52FC"/>
    <w:rsid w:val="000E54A1"/>
    <w:rsid w:val="000E54C8"/>
    <w:rsid w:val="000E5885"/>
    <w:rsid w:val="000E590C"/>
    <w:rsid w:val="000E5C9D"/>
    <w:rsid w:val="000E5CCB"/>
    <w:rsid w:val="000E5E5C"/>
    <w:rsid w:val="000E60B9"/>
    <w:rsid w:val="000E615D"/>
    <w:rsid w:val="000E62E9"/>
    <w:rsid w:val="000E6612"/>
    <w:rsid w:val="000E68C5"/>
    <w:rsid w:val="000E6CDB"/>
    <w:rsid w:val="000E74AC"/>
    <w:rsid w:val="000E758D"/>
    <w:rsid w:val="000E797F"/>
    <w:rsid w:val="000E7BC9"/>
    <w:rsid w:val="000E7EF1"/>
    <w:rsid w:val="000F043F"/>
    <w:rsid w:val="000F0B4A"/>
    <w:rsid w:val="000F1181"/>
    <w:rsid w:val="000F157F"/>
    <w:rsid w:val="000F18F7"/>
    <w:rsid w:val="000F1C42"/>
    <w:rsid w:val="000F1DAF"/>
    <w:rsid w:val="000F2222"/>
    <w:rsid w:val="000F2296"/>
    <w:rsid w:val="000F235C"/>
    <w:rsid w:val="000F23D1"/>
    <w:rsid w:val="000F246E"/>
    <w:rsid w:val="000F2736"/>
    <w:rsid w:val="000F274B"/>
    <w:rsid w:val="000F2892"/>
    <w:rsid w:val="000F2CB6"/>
    <w:rsid w:val="000F2D2F"/>
    <w:rsid w:val="000F304A"/>
    <w:rsid w:val="000F34B4"/>
    <w:rsid w:val="000F3647"/>
    <w:rsid w:val="000F36BB"/>
    <w:rsid w:val="000F36CA"/>
    <w:rsid w:val="000F3921"/>
    <w:rsid w:val="000F39E8"/>
    <w:rsid w:val="000F3A34"/>
    <w:rsid w:val="000F3C02"/>
    <w:rsid w:val="000F3CC3"/>
    <w:rsid w:val="000F3F35"/>
    <w:rsid w:val="000F4370"/>
    <w:rsid w:val="000F4407"/>
    <w:rsid w:val="000F4493"/>
    <w:rsid w:val="000F4BB8"/>
    <w:rsid w:val="000F4C16"/>
    <w:rsid w:val="000F4CE7"/>
    <w:rsid w:val="000F551D"/>
    <w:rsid w:val="000F5A03"/>
    <w:rsid w:val="000F5BCE"/>
    <w:rsid w:val="000F5D59"/>
    <w:rsid w:val="000F5E82"/>
    <w:rsid w:val="000F5F6E"/>
    <w:rsid w:val="000F61DF"/>
    <w:rsid w:val="000F651F"/>
    <w:rsid w:val="000F6521"/>
    <w:rsid w:val="000F65B3"/>
    <w:rsid w:val="000F6890"/>
    <w:rsid w:val="000F6A12"/>
    <w:rsid w:val="000F6D08"/>
    <w:rsid w:val="000F7036"/>
    <w:rsid w:val="000F70EB"/>
    <w:rsid w:val="000F7127"/>
    <w:rsid w:val="000F73C2"/>
    <w:rsid w:val="000F7476"/>
    <w:rsid w:val="000F798B"/>
    <w:rsid w:val="00100181"/>
    <w:rsid w:val="001002D0"/>
    <w:rsid w:val="00100405"/>
    <w:rsid w:val="0010042D"/>
    <w:rsid w:val="00100549"/>
    <w:rsid w:val="00100958"/>
    <w:rsid w:val="0010098F"/>
    <w:rsid w:val="00100BB4"/>
    <w:rsid w:val="00100F8A"/>
    <w:rsid w:val="001013F3"/>
    <w:rsid w:val="00101445"/>
    <w:rsid w:val="001014C0"/>
    <w:rsid w:val="00101CCD"/>
    <w:rsid w:val="00101D2E"/>
    <w:rsid w:val="0010212B"/>
    <w:rsid w:val="001027F3"/>
    <w:rsid w:val="00102DBD"/>
    <w:rsid w:val="00102F8C"/>
    <w:rsid w:val="001032E4"/>
    <w:rsid w:val="00103373"/>
    <w:rsid w:val="00103BBB"/>
    <w:rsid w:val="00103D40"/>
    <w:rsid w:val="001046F5"/>
    <w:rsid w:val="001047F2"/>
    <w:rsid w:val="0010483A"/>
    <w:rsid w:val="00104B34"/>
    <w:rsid w:val="00104C04"/>
    <w:rsid w:val="00104C16"/>
    <w:rsid w:val="00104CA7"/>
    <w:rsid w:val="00104CD0"/>
    <w:rsid w:val="00104ECB"/>
    <w:rsid w:val="00104F95"/>
    <w:rsid w:val="00105B0C"/>
    <w:rsid w:val="00105F49"/>
    <w:rsid w:val="00106246"/>
    <w:rsid w:val="00106966"/>
    <w:rsid w:val="00106CF1"/>
    <w:rsid w:val="00106D19"/>
    <w:rsid w:val="001071A7"/>
    <w:rsid w:val="00107479"/>
    <w:rsid w:val="001076BD"/>
    <w:rsid w:val="00107730"/>
    <w:rsid w:val="00107D95"/>
    <w:rsid w:val="00107E4F"/>
    <w:rsid w:val="00107ECD"/>
    <w:rsid w:val="00110158"/>
    <w:rsid w:val="0011032E"/>
    <w:rsid w:val="00110DF7"/>
    <w:rsid w:val="00110E52"/>
    <w:rsid w:val="00111095"/>
    <w:rsid w:val="0011169C"/>
    <w:rsid w:val="0011185A"/>
    <w:rsid w:val="0011190D"/>
    <w:rsid w:val="001119E5"/>
    <w:rsid w:val="00111CEF"/>
    <w:rsid w:val="00111D92"/>
    <w:rsid w:val="00111F88"/>
    <w:rsid w:val="00112332"/>
    <w:rsid w:val="0011244A"/>
    <w:rsid w:val="00112679"/>
    <w:rsid w:val="001126B5"/>
    <w:rsid w:val="001127DD"/>
    <w:rsid w:val="00112B0F"/>
    <w:rsid w:val="00112D56"/>
    <w:rsid w:val="00112EE8"/>
    <w:rsid w:val="00113177"/>
    <w:rsid w:val="0011321A"/>
    <w:rsid w:val="0011348B"/>
    <w:rsid w:val="001136A4"/>
    <w:rsid w:val="00113965"/>
    <w:rsid w:val="00113B1F"/>
    <w:rsid w:val="00113C37"/>
    <w:rsid w:val="00113C3E"/>
    <w:rsid w:val="00113C56"/>
    <w:rsid w:val="0011409A"/>
    <w:rsid w:val="001140C7"/>
    <w:rsid w:val="001142CF"/>
    <w:rsid w:val="001143DF"/>
    <w:rsid w:val="0011456E"/>
    <w:rsid w:val="0011463F"/>
    <w:rsid w:val="001148E1"/>
    <w:rsid w:val="001149A6"/>
    <w:rsid w:val="00114A67"/>
    <w:rsid w:val="0011513A"/>
    <w:rsid w:val="00115385"/>
    <w:rsid w:val="00115526"/>
    <w:rsid w:val="00115632"/>
    <w:rsid w:val="001156D7"/>
    <w:rsid w:val="00115D44"/>
    <w:rsid w:val="00115F5E"/>
    <w:rsid w:val="0011602C"/>
    <w:rsid w:val="00116171"/>
    <w:rsid w:val="00116224"/>
    <w:rsid w:val="00116347"/>
    <w:rsid w:val="001170D9"/>
    <w:rsid w:val="0011717B"/>
    <w:rsid w:val="00117181"/>
    <w:rsid w:val="0011730A"/>
    <w:rsid w:val="001174A3"/>
    <w:rsid w:val="00117567"/>
    <w:rsid w:val="00117680"/>
    <w:rsid w:val="00117C59"/>
    <w:rsid w:val="00117CF7"/>
    <w:rsid w:val="001200DD"/>
    <w:rsid w:val="00120515"/>
    <w:rsid w:val="00120A2B"/>
    <w:rsid w:val="0012120C"/>
    <w:rsid w:val="00121799"/>
    <w:rsid w:val="0012179E"/>
    <w:rsid w:val="00121E0B"/>
    <w:rsid w:val="001222AB"/>
    <w:rsid w:val="001222FC"/>
    <w:rsid w:val="00122520"/>
    <w:rsid w:val="00122DC8"/>
    <w:rsid w:val="00122E04"/>
    <w:rsid w:val="00123333"/>
    <w:rsid w:val="001235DF"/>
    <w:rsid w:val="001236F7"/>
    <w:rsid w:val="00123C70"/>
    <w:rsid w:val="00123F0F"/>
    <w:rsid w:val="00124110"/>
    <w:rsid w:val="001243A8"/>
    <w:rsid w:val="00124779"/>
    <w:rsid w:val="00124A51"/>
    <w:rsid w:val="00124C4B"/>
    <w:rsid w:val="00124CB1"/>
    <w:rsid w:val="0012524A"/>
    <w:rsid w:val="00125403"/>
    <w:rsid w:val="0012552E"/>
    <w:rsid w:val="00125CDB"/>
    <w:rsid w:val="00125D08"/>
    <w:rsid w:val="00125EF1"/>
    <w:rsid w:val="001261C0"/>
    <w:rsid w:val="00126299"/>
    <w:rsid w:val="001263A2"/>
    <w:rsid w:val="001264D6"/>
    <w:rsid w:val="00126621"/>
    <w:rsid w:val="00126624"/>
    <w:rsid w:val="001267AD"/>
    <w:rsid w:val="001267CA"/>
    <w:rsid w:val="001267CD"/>
    <w:rsid w:val="0012691B"/>
    <w:rsid w:val="00126B34"/>
    <w:rsid w:val="00126B75"/>
    <w:rsid w:val="00126E17"/>
    <w:rsid w:val="001274C4"/>
    <w:rsid w:val="00127953"/>
    <w:rsid w:val="0013005A"/>
    <w:rsid w:val="001301E9"/>
    <w:rsid w:val="0013046A"/>
    <w:rsid w:val="00130562"/>
    <w:rsid w:val="00130A6F"/>
    <w:rsid w:val="00130BCE"/>
    <w:rsid w:val="00130BDB"/>
    <w:rsid w:val="00130DE6"/>
    <w:rsid w:val="00131104"/>
    <w:rsid w:val="00131327"/>
    <w:rsid w:val="0013164E"/>
    <w:rsid w:val="00131740"/>
    <w:rsid w:val="00131842"/>
    <w:rsid w:val="0013189B"/>
    <w:rsid w:val="00131EC7"/>
    <w:rsid w:val="001322BC"/>
    <w:rsid w:val="001325C1"/>
    <w:rsid w:val="001325EF"/>
    <w:rsid w:val="001326F9"/>
    <w:rsid w:val="00132747"/>
    <w:rsid w:val="0013295B"/>
    <w:rsid w:val="00132A7F"/>
    <w:rsid w:val="00132B99"/>
    <w:rsid w:val="001334AC"/>
    <w:rsid w:val="00133540"/>
    <w:rsid w:val="00133E1B"/>
    <w:rsid w:val="00133E6C"/>
    <w:rsid w:val="00133F60"/>
    <w:rsid w:val="001341F0"/>
    <w:rsid w:val="00134A54"/>
    <w:rsid w:val="00134C57"/>
    <w:rsid w:val="00134DF7"/>
    <w:rsid w:val="00134FEE"/>
    <w:rsid w:val="00135475"/>
    <w:rsid w:val="0013574F"/>
    <w:rsid w:val="00135F21"/>
    <w:rsid w:val="001360B4"/>
    <w:rsid w:val="00136786"/>
    <w:rsid w:val="001369C3"/>
    <w:rsid w:val="00136EC2"/>
    <w:rsid w:val="00136F27"/>
    <w:rsid w:val="00137021"/>
    <w:rsid w:val="001371E6"/>
    <w:rsid w:val="0013730A"/>
    <w:rsid w:val="00137645"/>
    <w:rsid w:val="00137C62"/>
    <w:rsid w:val="00137E7A"/>
    <w:rsid w:val="0014011A"/>
    <w:rsid w:val="0014015A"/>
    <w:rsid w:val="00140170"/>
    <w:rsid w:val="00140216"/>
    <w:rsid w:val="001402BF"/>
    <w:rsid w:val="00140978"/>
    <w:rsid w:val="00140AE4"/>
    <w:rsid w:val="00140E49"/>
    <w:rsid w:val="00140E99"/>
    <w:rsid w:val="00140F20"/>
    <w:rsid w:val="001410F8"/>
    <w:rsid w:val="00141B14"/>
    <w:rsid w:val="0014206B"/>
    <w:rsid w:val="001423DD"/>
    <w:rsid w:val="001426CE"/>
    <w:rsid w:val="0014276D"/>
    <w:rsid w:val="00142D86"/>
    <w:rsid w:val="00143085"/>
    <w:rsid w:val="0014340A"/>
    <w:rsid w:val="00143AA4"/>
    <w:rsid w:val="00144569"/>
    <w:rsid w:val="001446F0"/>
    <w:rsid w:val="00144751"/>
    <w:rsid w:val="00144A07"/>
    <w:rsid w:val="00144E4B"/>
    <w:rsid w:val="00144F8A"/>
    <w:rsid w:val="00145110"/>
    <w:rsid w:val="00145524"/>
    <w:rsid w:val="00145540"/>
    <w:rsid w:val="001456B0"/>
    <w:rsid w:val="001456C6"/>
    <w:rsid w:val="00145CA4"/>
    <w:rsid w:val="00146132"/>
    <w:rsid w:val="00146229"/>
    <w:rsid w:val="001464B4"/>
    <w:rsid w:val="001465F1"/>
    <w:rsid w:val="0014692D"/>
    <w:rsid w:val="00147155"/>
    <w:rsid w:val="0014723D"/>
    <w:rsid w:val="001472E8"/>
    <w:rsid w:val="001473E5"/>
    <w:rsid w:val="001477A8"/>
    <w:rsid w:val="00147882"/>
    <w:rsid w:val="00147890"/>
    <w:rsid w:val="00147986"/>
    <w:rsid w:val="001479CA"/>
    <w:rsid w:val="00147A38"/>
    <w:rsid w:val="00147D84"/>
    <w:rsid w:val="00147D95"/>
    <w:rsid w:val="00147DAE"/>
    <w:rsid w:val="00150142"/>
    <w:rsid w:val="00150395"/>
    <w:rsid w:val="00150666"/>
    <w:rsid w:val="001508BC"/>
    <w:rsid w:val="001508FB"/>
    <w:rsid w:val="00150983"/>
    <w:rsid w:val="00150A4C"/>
    <w:rsid w:val="00150A6D"/>
    <w:rsid w:val="00150EAD"/>
    <w:rsid w:val="00151387"/>
    <w:rsid w:val="001514CB"/>
    <w:rsid w:val="001516C0"/>
    <w:rsid w:val="0015189C"/>
    <w:rsid w:val="00151E2F"/>
    <w:rsid w:val="00151FC4"/>
    <w:rsid w:val="0015228E"/>
    <w:rsid w:val="001522A0"/>
    <w:rsid w:val="001524AB"/>
    <w:rsid w:val="00152B2C"/>
    <w:rsid w:val="00152CDB"/>
    <w:rsid w:val="00152D7B"/>
    <w:rsid w:val="00152D88"/>
    <w:rsid w:val="00153151"/>
    <w:rsid w:val="001534DF"/>
    <w:rsid w:val="001534FE"/>
    <w:rsid w:val="00153605"/>
    <w:rsid w:val="0015378F"/>
    <w:rsid w:val="00153938"/>
    <w:rsid w:val="00153A63"/>
    <w:rsid w:val="00153CE9"/>
    <w:rsid w:val="00153D94"/>
    <w:rsid w:val="00153DC6"/>
    <w:rsid w:val="001547C7"/>
    <w:rsid w:val="00154B1A"/>
    <w:rsid w:val="00154B55"/>
    <w:rsid w:val="00154E9A"/>
    <w:rsid w:val="001551D5"/>
    <w:rsid w:val="001553E6"/>
    <w:rsid w:val="00155484"/>
    <w:rsid w:val="0015583E"/>
    <w:rsid w:val="001559F3"/>
    <w:rsid w:val="00155D55"/>
    <w:rsid w:val="00155DD7"/>
    <w:rsid w:val="00155F0A"/>
    <w:rsid w:val="00156054"/>
    <w:rsid w:val="00156209"/>
    <w:rsid w:val="001563A1"/>
    <w:rsid w:val="001566ED"/>
    <w:rsid w:val="00156770"/>
    <w:rsid w:val="001567AE"/>
    <w:rsid w:val="00156859"/>
    <w:rsid w:val="00156878"/>
    <w:rsid w:val="001568A2"/>
    <w:rsid w:val="00156BC1"/>
    <w:rsid w:val="00157130"/>
    <w:rsid w:val="0015713E"/>
    <w:rsid w:val="0015721B"/>
    <w:rsid w:val="0015746C"/>
    <w:rsid w:val="00157905"/>
    <w:rsid w:val="00157A90"/>
    <w:rsid w:val="00157A9E"/>
    <w:rsid w:val="00157EB5"/>
    <w:rsid w:val="00160032"/>
    <w:rsid w:val="001600A7"/>
    <w:rsid w:val="00160191"/>
    <w:rsid w:val="0016035A"/>
    <w:rsid w:val="001603D8"/>
    <w:rsid w:val="0016058E"/>
    <w:rsid w:val="00160AC9"/>
    <w:rsid w:val="00160E3F"/>
    <w:rsid w:val="00160E6C"/>
    <w:rsid w:val="00161002"/>
    <w:rsid w:val="00161725"/>
    <w:rsid w:val="00161890"/>
    <w:rsid w:val="001619DB"/>
    <w:rsid w:val="00161B10"/>
    <w:rsid w:val="00161E38"/>
    <w:rsid w:val="00161EA4"/>
    <w:rsid w:val="001620C1"/>
    <w:rsid w:val="0016218F"/>
    <w:rsid w:val="0016236C"/>
    <w:rsid w:val="00162512"/>
    <w:rsid w:val="001627A4"/>
    <w:rsid w:val="00162913"/>
    <w:rsid w:val="00162972"/>
    <w:rsid w:val="00163462"/>
    <w:rsid w:val="00163633"/>
    <w:rsid w:val="00163C4A"/>
    <w:rsid w:val="00163CB6"/>
    <w:rsid w:val="00163EFF"/>
    <w:rsid w:val="00163F16"/>
    <w:rsid w:val="0016494F"/>
    <w:rsid w:val="00164F28"/>
    <w:rsid w:val="001654C4"/>
    <w:rsid w:val="00165C9C"/>
    <w:rsid w:val="001661FB"/>
    <w:rsid w:val="001662A5"/>
    <w:rsid w:val="0016678D"/>
    <w:rsid w:val="00166798"/>
    <w:rsid w:val="00166804"/>
    <w:rsid w:val="00166894"/>
    <w:rsid w:val="001672D1"/>
    <w:rsid w:val="001676A4"/>
    <w:rsid w:val="00167880"/>
    <w:rsid w:val="001678A1"/>
    <w:rsid w:val="00167B37"/>
    <w:rsid w:val="00167BC1"/>
    <w:rsid w:val="00167C79"/>
    <w:rsid w:val="00167CD6"/>
    <w:rsid w:val="00167DE5"/>
    <w:rsid w:val="00167E44"/>
    <w:rsid w:val="00167F03"/>
    <w:rsid w:val="001702D2"/>
    <w:rsid w:val="00170309"/>
    <w:rsid w:val="00170541"/>
    <w:rsid w:val="001705FD"/>
    <w:rsid w:val="00170879"/>
    <w:rsid w:val="00170A0C"/>
    <w:rsid w:val="00170DC2"/>
    <w:rsid w:val="00171125"/>
    <w:rsid w:val="00171213"/>
    <w:rsid w:val="001712AB"/>
    <w:rsid w:val="0017198A"/>
    <w:rsid w:val="001719F7"/>
    <w:rsid w:val="00171D25"/>
    <w:rsid w:val="0017221B"/>
    <w:rsid w:val="0017226F"/>
    <w:rsid w:val="001723D3"/>
    <w:rsid w:val="00172502"/>
    <w:rsid w:val="00172633"/>
    <w:rsid w:val="00172690"/>
    <w:rsid w:val="00172A04"/>
    <w:rsid w:val="00172F4A"/>
    <w:rsid w:val="001730EC"/>
    <w:rsid w:val="00173113"/>
    <w:rsid w:val="00173292"/>
    <w:rsid w:val="001735A1"/>
    <w:rsid w:val="001739E7"/>
    <w:rsid w:val="00173AE1"/>
    <w:rsid w:val="00173AF1"/>
    <w:rsid w:val="00173E00"/>
    <w:rsid w:val="00173E31"/>
    <w:rsid w:val="00173EDD"/>
    <w:rsid w:val="00173FD6"/>
    <w:rsid w:val="001741E2"/>
    <w:rsid w:val="001741F8"/>
    <w:rsid w:val="00174311"/>
    <w:rsid w:val="0017432F"/>
    <w:rsid w:val="00174BC8"/>
    <w:rsid w:val="00174DCD"/>
    <w:rsid w:val="00174FDA"/>
    <w:rsid w:val="0017533B"/>
    <w:rsid w:val="00175664"/>
    <w:rsid w:val="00175815"/>
    <w:rsid w:val="00176099"/>
    <w:rsid w:val="001764D6"/>
    <w:rsid w:val="00176542"/>
    <w:rsid w:val="00176821"/>
    <w:rsid w:val="00176B2C"/>
    <w:rsid w:val="00176FA2"/>
    <w:rsid w:val="001772F1"/>
    <w:rsid w:val="00177886"/>
    <w:rsid w:val="00177A1C"/>
    <w:rsid w:val="00177A3A"/>
    <w:rsid w:val="00177A67"/>
    <w:rsid w:val="00180030"/>
    <w:rsid w:val="0018007C"/>
    <w:rsid w:val="001806CD"/>
    <w:rsid w:val="00180711"/>
    <w:rsid w:val="00180F47"/>
    <w:rsid w:val="001812A9"/>
    <w:rsid w:val="00181A20"/>
    <w:rsid w:val="00181F7F"/>
    <w:rsid w:val="0018237F"/>
    <w:rsid w:val="00182574"/>
    <w:rsid w:val="0018268C"/>
    <w:rsid w:val="001827FB"/>
    <w:rsid w:val="00182A47"/>
    <w:rsid w:val="00182A48"/>
    <w:rsid w:val="00182B88"/>
    <w:rsid w:val="00182D77"/>
    <w:rsid w:val="00182E88"/>
    <w:rsid w:val="00182F41"/>
    <w:rsid w:val="001834FC"/>
    <w:rsid w:val="0018376B"/>
    <w:rsid w:val="001838D9"/>
    <w:rsid w:val="00183B10"/>
    <w:rsid w:val="00183C8F"/>
    <w:rsid w:val="00183D88"/>
    <w:rsid w:val="00183E27"/>
    <w:rsid w:val="0018420A"/>
    <w:rsid w:val="001842EE"/>
    <w:rsid w:val="0018439F"/>
    <w:rsid w:val="00184755"/>
    <w:rsid w:val="00184932"/>
    <w:rsid w:val="00184AD2"/>
    <w:rsid w:val="00184B94"/>
    <w:rsid w:val="00184E81"/>
    <w:rsid w:val="00185172"/>
    <w:rsid w:val="001851E7"/>
    <w:rsid w:val="00185218"/>
    <w:rsid w:val="00185850"/>
    <w:rsid w:val="001858EA"/>
    <w:rsid w:val="00185CAE"/>
    <w:rsid w:val="00185D0D"/>
    <w:rsid w:val="00185E68"/>
    <w:rsid w:val="0018607C"/>
    <w:rsid w:val="0018610E"/>
    <w:rsid w:val="00186179"/>
    <w:rsid w:val="0018676B"/>
    <w:rsid w:val="00186BAE"/>
    <w:rsid w:val="00186D32"/>
    <w:rsid w:val="00186F32"/>
    <w:rsid w:val="001871E5"/>
    <w:rsid w:val="0018752F"/>
    <w:rsid w:val="00187766"/>
    <w:rsid w:val="00187CEF"/>
    <w:rsid w:val="00187DAA"/>
    <w:rsid w:val="001904A5"/>
    <w:rsid w:val="001904BE"/>
    <w:rsid w:val="00190713"/>
    <w:rsid w:val="001909CC"/>
    <w:rsid w:val="00190B35"/>
    <w:rsid w:val="00190E21"/>
    <w:rsid w:val="00190E44"/>
    <w:rsid w:val="00191792"/>
    <w:rsid w:val="00191A76"/>
    <w:rsid w:val="00191E6C"/>
    <w:rsid w:val="001922A7"/>
    <w:rsid w:val="001925C0"/>
    <w:rsid w:val="00192884"/>
    <w:rsid w:val="00192887"/>
    <w:rsid w:val="0019289C"/>
    <w:rsid w:val="00192998"/>
    <w:rsid w:val="00192DD3"/>
    <w:rsid w:val="0019316C"/>
    <w:rsid w:val="00193333"/>
    <w:rsid w:val="00193362"/>
    <w:rsid w:val="00193428"/>
    <w:rsid w:val="00193A38"/>
    <w:rsid w:val="00193A77"/>
    <w:rsid w:val="00193C27"/>
    <w:rsid w:val="00193DDC"/>
    <w:rsid w:val="00193FC6"/>
    <w:rsid w:val="00194242"/>
    <w:rsid w:val="001942A5"/>
    <w:rsid w:val="00194370"/>
    <w:rsid w:val="001946B0"/>
    <w:rsid w:val="001949A7"/>
    <w:rsid w:val="00194B20"/>
    <w:rsid w:val="00194F16"/>
    <w:rsid w:val="00194FB8"/>
    <w:rsid w:val="00195222"/>
    <w:rsid w:val="0019567E"/>
    <w:rsid w:val="001957A9"/>
    <w:rsid w:val="001958AB"/>
    <w:rsid w:val="001959BB"/>
    <w:rsid w:val="00195B85"/>
    <w:rsid w:val="00195CF1"/>
    <w:rsid w:val="00195FCC"/>
    <w:rsid w:val="001962F7"/>
    <w:rsid w:val="00196413"/>
    <w:rsid w:val="001966B6"/>
    <w:rsid w:val="00196B3E"/>
    <w:rsid w:val="00196B5D"/>
    <w:rsid w:val="00196E7C"/>
    <w:rsid w:val="00197212"/>
    <w:rsid w:val="001975B3"/>
    <w:rsid w:val="001975D8"/>
    <w:rsid w:val="001975DF"/>
    <w:rsid w:val="00197CB1"/>
    <w:rsid w:val="00197CE2"/>
    <w:rsid w:val="001A0D21"/>
    <w:rsid w:val="001A1044"/>
    <w:rsid w:val="001A1639"/>
    <w:rsid w:val="001A1990"/>
    <w:rsid w:val="001A1E0F"/>
    <w:rsid w:val="001A1F06"/>
    <w:rsid w:val="001A1FF2"/>
    <w:rsid w:val="001A2395"/>
    <w:rsid w:val="001A24D0"/>
    <w:rsid w:val="001A250B"/>
    <w:rsid w:val="001A2656"/>
    <w:rsid w:val="001A2B1A"/>
    <w:rsid w:val="001A2E60"/>
    <w:rsid w:val="001A2FBB"/>
    <w:rsid w:val="001A3425"/>
    <w:rsid w:val="001A38C3"/>
    <w:rsid w:val="001A39F3"/>
    <w:rsid w:val="001A3C49"/>
    <w:rsid w:val="001A3EC3"/>
    <w:rsid w:val="001A3EE2"/>
    <w:rsid w:val="001A453A"/>
    <w:rsid w:val="001A471B"/>
    <w:rsid w:val="001A4731"/>
    <w:rsid w:val="001A51DE"/>
    <w:rsid w:val="001A5561"/>
    <w:rsid w:val="001A55DA"/>
    <w:rsid w:val="001A58E1"/>
    <w:rsid w:val="001A58F4"/>
    <w:rsid w:val="001A590D"/>
    <w:rsid w:val="001A598D"/>
    <w:rsid w:val="001A5C86"/>
    <w:rsid w:val="001A6194"/>
    <w:rsid w:val="001A62C8"/>
    <w:rsid w:val="001A6797"/>
    <w:rsid w:val="001A689E"/>
    <w:rsid w:val="001A693B"/>
    <w:rsid w:val="001A6953"/>
    <w:rsid w:val="001A69CB"/>
    <w:rsid w:val="001A7109"/>
    <w:rsid w:val="001A712F"/>
    <w:rsid w:val="001A736D"/>
    <w:rsid w:val="001B0325"/>
    <w:rsid w:val="001B0487"/>
    <w:rsid w:val="001B1360"/>
    <w:rsid w:val="001B139D"/>
    <w:rsid w:val="001B16D4"/>
    <w:rsid w:val="001B1831"/>
    <w:rsid w:val="001B20F9"/>
    <w:rsid w:val="001B288C"/>
    <w:rsid w:val="001B2B2C"/>
    <w:rsid w:val="001B2C45"/>
    <w:rsid w:val="001B2E08"/>
    <w:rsid w:val="001B3107"/>
    <w:rsid w:val="001B3140"/>
    <w:rsid w:val="001B3159"/>
    <w:rsid w:val="001B32F1"/>
    <w:rsid w:val="001B33FF"/>
    <w:rsid w:val="001B3443"/>
    <w:rsid w:val="001B350B"/>
    <w:rsid w:val="001B3980"/>
    <w:rsid w:val="001B3C10"/>
    <w:rsid w:val="001B3F21"/>
    <w:rsid w:val="001B42AD"/>
    <w:rsid w:val="001B4480"/>
    <w:rsid w:val="001B487F"/>
    <w:rsid w:val="001B4A2A"/>
    <w:rsid w:val="001B4AF6"/>
    <w:rsid w:val="001B4BA5"/>
    <w:rsid w:val="001B4CB0"/>
    <w:rsid w:val="001B51F8"/>
    <w:rsid w:val="001B5676"/>
    <w:rsid w:val="001B57FF"/>
    <w:rsid w:val="001B5B4C"/>
    <w:rsid w:val="001B615D"/>
    <w:rsid w:val="001B66CC"/>
    <w:rsid w:val="001B68AB"/>
    <w:rsid w:val="001B6D55"/>
    <w:rsid w:val="001B6E15"/>
    <w:rsid w:val="001B6E42"/>
    <w:rsid w:val="001B6F94"/>
    <w:rsid w:val="001B7682"/>
    <w:rsid w:val="001B7797"/>
    <w:rsid w:val="001B78C5"/>
    <w:rsid w:val="001B7F05"/>
    <w:rsid w:val="001B7F41"/>
    <w:rsid w:val="001B7F6B"/>
    <w:rsid w:val="001B7F9B"/>
    <w:rsid w:val="001C0078"/>
    <w:rsid w:val="001C02B2"/>
    <w:rsid w:val="001C0531"/>
    <w:rsid w:val="001C0A73"/>
    <w:rsid w:val="001C0C1C"/>
    <w:rsid w:val="001C1506"/>
    <w:rsid w:val="001C1B53"/>
    <w:rsid w:val="001C1B78"/>
    <w:rsid w:val="001C1B84"/>
    <w:rsid w:val="001C1BD9"/>
    <w:rsid w:val="001C1D0B"/>
    <w:rsid w:val="001C2571"/>
    <w:rsid w:val="001C2699"/>
    <w:rsid w:val="001C2D16"/>
    <w:rsid w:val="001C2D7B"/>
    <w:rsid w:val="001C3644"/>
    <w:rsid w:val="001C36F0"/>
    <w:rsid w:val="001C3B70"/>
    <w:rsid w:val="001C3EC1"/>
    <w:rsid w:val="001C3EEC"/>
    <w:rsid w:val="001C3FEF"/>
    <w:rsid w:val="001C40AD"/>
    <w:rsid w:val="001C4161"/>
    <w:rsid w:val="001C4265"/>
    <w:rsid w:val="001C4C0F"/>
    <w:rsid w:val="001C4DB2"/>
    <w:rsid w:val="001C4FC1"/>
    <w:rsid w:val="001C5788"/>
    <w:rsid w:val="001C5B6C"/>
    <w:rsid w:val="001C5C4C"/>
    <w:rsid w:val="001C5D6C"/>
    <w:rsid w:val="001C5E83"/>
    <w:rsid w:val="001C6324"/>
    <w:rsid w:val="001C6450"/>
    <w:rsid w:val="001C67F1"/>
    <w:rsid w:val="001C68BE"/>
    <w:rsid w:val="001C6BD2"/>
    <w:rsid w:val="001C6C3F"/>
    <w:rsid w:val="001C6D0B"/>
    <w:rsid w:val="001C6D61"/>
    <w:rsid w:val="001C6DAA"/>
    <w:rsid w:val="001C6E66"/>
    <w:rsid w:val="001C7080"/>
    <w:rsid w:val="001C7660"/>
    <w:rsid w:val="001C7E9B"/>
    <w:rsid w:val="001D0133"/>
    <w:rsid w:val="001D02A9"/>
    <w:rsid w:val="001D033D"/>
    <w:rsid w:val="001D0532"/>
    <w:rsid w:val="001D055E"/>
    <w:rsid w:val="001D072B"/>
    <w:rsid w:val="001D096E"/>
    <w:rsid w:val="001D0C8B"/>
    <w:rsid w:val="001D11A9"/>
    <w:rsid w:val="001D11F1"/>
    <w:rsid w:val="001D11F5"/>
    <w:rsid w:val="001D1407"/>
    <w:rsid w:val="001D156E"/>
    <w:rsid w:val="001D16B8"/>
    <w:rsid w:val="001D1889"/>
    <w:rsid w:val="001D1B98"/>
    <w:rsid w:val="001D1C4F"/>
    <w:rsid w:val="001D1CB3"/>
    <w:rsid w:val="001D1CE6"/>
    <w:rsid w:val="001D1DDB"/>
    <w:rsid w:val="001D1EEA"/>
    <w:rsid w:val="001D2001"/>
    <w:rsid w:val="001D2468"/>
    <w:rsid w:val="001D2609"/>
    <w:rsid w:val="001D26A6"/>
    <w:rsid w:val="001D2712"/>
    <w:rsid w:val="001D2BE5"/>
    <w:rsid w:val="001D2C40"/>
    <w:rsid w:val="001D2CD3"/>
    <w:rsid w:val="001D310E"/>
    <w:rsid w:val="001D331B"/>
    <w:rsid w:val="001D376B"/>
    <w:rsid w:val="001D3A21"/>
    <w:rsid w:val="001D3BA0"/>
    <w:rsid w:val="001D3D9C"/>
    <w:rsid w:val="001D4155"/>
    <w:rsid w:val="001D4B49"/>
    <w:rsid w:val="001D4BC4"/>
    <w:rsid w:val="001D4C45"/>
    <w:rsid w:val="001D4CAF"/>
    <w:rsid w:val="001D536C"/>
    <w:rsid w:val="001D5AAD"/>
    <w:rsid w:val="001D5AF9"/>
    <w:rsid w:val="001D5E27"/>
    <w:rsid w:val="001D5F19"/>
    <w:rsid w:val="001D6026"/>
    <w:rsid w:val="001D611F"/>
    <w:rsid w:val="001D63CD"/>
    <w:rsid w:val="001D6717"/>
    <w:rsid w:val="001D67C7"/>
    <w:rsid w:val="001D6B1A"/>
    <w:rsid w:val="001D6CC7"/>
    <w:rsid w:val="001D6EB5"/>
    <w:rsid w:val="001D7161"/>
    <w:rsid w:val="001D75D0"/>
    <w:rsid w:val="001D77BA"/>
    <w:rsid w:val="001D7A97"/>
    <w:rsid w:val="001D7C34"/>
    <w:rsid w:val="001D7C4F"/>
    <w:rsid w:val="001E00B2"/>
    <w:rsid w:val="001E03ED"/>
    <w:rsid w:val="001E043F"/>
    <w:rsid w:val="001E0569"/>
    <w:rsid w:val="001E0A4C"/>
    <w:rsid w:val="001E0B90"/>
    <w:rsid w:val="001E1117"/>
    <w:rsid w:val="001E16EA"/>
    <w:rsid w:val="001E1A4C"/>
    <w:rsid w:val="001E1FB6"/>
    <w:rsid w:val="001E2122"/>
    <w:rsid w:val="001E2355"/>
    <w:rsid w:val="001E238E"/>
    <w:rsid w:val="001E2501"/>
    <w:rsid w:val="001E2934"/>
    <w:rsid w:val="001E295E"/>
    <w:rsid w:val="001E2A14"/>
    <w:rsid w:val="001E2A34"/>
    <w:rsid w:val="001E2B1E"/>
    <w:rsid w:val="001E2BAA"/>
    <w:rsid w:val="001E32C2"/>
    <w:rsid w:val="001E3390"/>
    <w:rsid w:val="001E35EA"/>
    <w:rsid w:val="001E36DF"/>
    <w:rsid w:val="001E3A5C"/>
    <w:rsid w:val="001E3A61"/>
    <w:rsid w:val="001E3A6B"/>
    <w:rsid w:val="001E438C"/>
    <w:rsid w:val="001E4D08"/>
    <w:rsid w:val="001E4DEC"/>
    <w:rsid w:val="001E4F75"/>
    <w:rsid w:val="001E524A"/>
    <w:rsid w:val="001E52EB"/>
    <w:rsid w:val="001E5599"/>
    <w:rsid w:val="001E574A"/>
    <w:rsid w:val="001E58E5"/>
    <w:rsid w:val="001E5E2D"/>
    <w:rsid w:val="001E602B"/>
    <w:rsid w:val="001E6166"/>
    <w:rsid w:val="001E6210"/>
    <w:rsid w:val="001E64A3"/>
    <w:rsid w:val="001E64FE"/>
    <w:rsid w:val="001E663C"/>
    <w:rsid w:val="001E68B5"/>
    <w:rsid w:val="001E68B9"/>
    <w:rsid w:val="001E6B36"/>
    <w:rsid w:val="001E740C"/>
    <w:rsid w:val="001E7737"/>
    <w:rsid w:val="001E78FE"/>
    <w:rsid w:val="001E7989"/>
    <w:rsid w:val="001E7CB0"/>
    <w:rsid w:val="001E7E9E"/>
    <w:rsid w:val="001E7EB1"/>
    <w:rsid w:val="001F00E8"/>
    <w:rsid w:val="001F0452"/>
    <w:rsid w:val="001F04CA"/>
    <w:rsid w:val="001F04FA"/>
    <w:rsid w:val="001F0843"/>
    <w:rsid w:val="001F0872"/>
    <w:rsid w:val="001F1041"/>
    <w:rsid w:val="001F1235"/>
    <w:rsid w:val="001F12D7"/>
    <w:rsid w:val="001F14A5"/>
    <w:rsid w:val="001F1CB3"/>
    <w:rsid w:val="001F1EE9"/>
    <w:rsid w:val="001F1FA1"/>
    <w:rsid w:val="001F22E7"/>
    <w:rsid w:val="001F23F9"/>
    <w:rsid w:val="001F2694"/>
    <w:rsid w:val="001F2706"/>
    <w:rsid w:val="001F2DFA"/>
    <w:rsid w:val="001F2F0F"/>
    <w:rsid w:val="001F3448"/>
    <w:rsid w:val="001F359B"/>
    <w:rsid w:val="001F37C6"/>
    <w:rsid w:val="001F3BEC"/>
    <w:rsid w:val="001F3E69"/>
    <w:rsid w:val="001F3ED9"/>
    <w:rsid w:val="001F3FD7"/>
    <w:rsid w:val="001F4069"/>
    <w:rsid w:val="001F4257"/>
    <w:rsid w:val="001F43F6"/>
    <w:rsid w:val="001F4A04"/>
    <w:rsid w:val="001F4A3B"/>
    <w:rsid w:val="001F5076"/>
    <w:rsid w:val="001F5C2E"/>
    <w:rsid w:val="001F5F3B"/>
    <w:rsid w:val="001F60D8"/>
    <w:rsid w:val="001F62A4"/>
    <w:rsid w:val="001F63A2"/>
    <w:rsid w:val="001F6679"/>
    <w:rsid w:val="001F689B"/>
    <w:rsid w:val="001F6950"/>
    <w:rsid w:val="001F6BB2"/>
    <w:rsid w:val="001F6C92"/>
    <w:rsid w:val="001F6CA6"/>
    <w:rsid w:val="001F7031"/>
    <w:rsid w:val="001F7096"/>
    <w:rsid w:val="001F726D"/>
    <w:rsid w:val="001F7361"/>
    <w:rsid w:val="001F7402"/>
    <w:rsid w:val="001F75F4"/>
    <w:rsid w:val="001F75F9"/>
    <w:rsid w:val="001F7804"/>
    <w:rsid w:val="001F7866"/>
    <w:rsid w:val="001F7F25"/>
    <w:rsid w:val="001F7FE5"/>
    <w:rsid w:val="00200457"/>
    <w:rsid w:val="002007F8"/>
    <w:rsid w:val="00200845"/>
    <w:rsid w:val="00200985"/>
    <w:rsid w:val="00200B21"/>
    <w:rsid w:val="002011E6"/>
    <w:rsid w:val="002012E4"/>
    <w:rsid w:val="002012FB"/>
    <w:rsid w:val="00201347"/>
    <w:rsid w:val="00201378"/>
    <w:rsid w:val="00201634"/>
    <w:rsid w:val="002019D2"/>
    <w:rsid w:val="00201A05"/>
    <w:rsid w:val="00201BC5"/>
    <w:rsid w:val="00201CA2"/>
    <w:rsid w:val="00201EA7"/>
    <w:rsid w:val="00201EBE"/>
    <w:rsid w:val="0020221A"/>
    <w:rsid w:val="00202344"/>
    <w:rsid w:val="0020243E"/>
    <w:rsid w:val="0020280D"/>
    <w:rsid w:val="00202A23"/>
    <w:rsid w:val="00202A77"/>
    <w:rsid w:val="00202BE7"/>
    <w:rsid w:val="00202E5F"/>
    <w:rsid w:val="00202EE1"/>
    <w:rsid w:val="00202F71"/>
    <w:rsid w:val="00203009"/>
    <w:rsid w:val="00203113"/>
    <w:rsid w:val="00203172"/>
    <w:rsid w:val="0020385F"/>
    <w:rsid w:val="002038BE"/>
    <w:rsid w:val="00203CE5"/>
    <w:rsid w:val="00203E5D"/>
    <w:rsid w:val="00203F1E"/>
    <w:rsid w:val="00204063"/>
    <w:rsid w:val="0020436B"/>
    <w:rsid w:val="00204774"/>
    <w:rsid w:val="00204830"/>
    <w:rsid w:val="00204D57"/>
    <w:rsid w:val="002051BF"/>
    <w:rsid w:val="0020533B"/>
    <w:rsid w:val="002053FE"/>
    <w:rsid w:val="002057E6"/>
    <w:rsid w:val="00205C38"/>
    <w:rsid w:val="00205D63"/>
    <w:rsid w:val="0020608C"/>
    <w:rsid w:val="002060A0"/>
    <w:rsid w:val="002060AA"/>
    <w:rsid w:val="00206202"/>
    <w:rsid w:val="00206379"/>
    <w:rsid w:val="00206464"/>
    <w:rsid w:val="00206867"/>
    <w:rsid w:val="00206990"/>
    <w:rsid w:val="00206A0B"/>
    <w:rsid w:val="00206A4B"/>
    <w:rsid w:val="00206C17"/>
    <w:rsid w:val="00206CC2"/>
    <w:rsid w:val="00207021"/>
    <w:rsid w:val="00207162"/>
    <w:rsid w:val="0020717D"/>
    <w:rsid w:val="0020731B"/>
    <w:rsid w:val="002073DE"/>
    <w:rsid w:val="00207918"/>
    <w:rsid w:val="00207B45"/>
    <w:rsid w:val="00207BD5"/>
    <w:rsid w:val="00207CC0"/>
    <w:rsid w:val="00207CEE"/>
    <w:rsid w:val="00207D00"/>
    <w:rsid w:val="00207E2B"/>
    <w:rsid w:val="00207F63"/>
    <w:rsid w:val="00207FBF"/>
    <w:rsid w:val="002102EA"/>
    <w:rsid w:val="002105C1"/>
    <w:rsid w:val="002105CC"/>
    <w:rsid w:val="00210C57"/>
    <w:rsid w:val="00210D88"/>
    <w:rsid w:val="00210E1C"/>
    <w:rsid w:val="00210F43"/>
    <w:rsid w:val="00211084"/>
    <w:rsid w:val="0021116B"/>
    <w:rsid w:val="00211556"/>
    <w:rsid w:val="002121CC"/>
    <w:rsid w:val="0021235E"/>
    <w:rsid w:val="002126CE"/>
    <w:rsid w:val="0021281F"/>
    <w:rsid w:val="00212995"/>
    <w:rsid w:val="00212B79"/>
    <w:rsid w:val="00212D9B"/>
    <w:rsid w:val="00213595"/>
    <w:rsid w:val="00213666"/>
    <w:rsid w:val="00213954"/>
    <w:rsid w:val="00213CE9"/>
    <w:rsid w:val="00213D4E"/>
    <w:rsid w:val="00213E35"/>
    <w:rsid w:val="00214335"/>
    <w:rsid w:val="002143F7"/>
    <w:rsid w:val="00214406"/>
    <w:rsid w:val="00214576"/>
    <w:rsid w:val="00214607"/>
    <w:rsid w:val="0021477A"/>
    <w:rsid w:val="00214867"/>
    <w:rsid w:val="00214A6D"/>
    <w:rsid w:val="00215064"/>
    <w:rsid w:val="0021522B"/>
    <w:rsid w:val="002154F0"/>
    <w:rsid w:val="00215F98"/>
    <w:rsid w:val="002162D8"/>
    <w:rsid w:val="00216575"/>
    <w:rsid w:val="0021659F"/>
    <w:rsid w:val="002166D1"/>
    <w:rsid w:val="002166D6"/>
    <w:rsid w:val="00216831"/>
    <w:rsid w:val="002169DB"/>
    <w:rsid w:val="00216D52"/>
    <w:rsid w:val="00216F22"/>
    <w:rsid w:val="002170AD"/>
    <w:rsid w:val="00217351"/>
    <w:rsid w:val="00217F4D"/>
    <w:rsid w:val="0022029C"/>
    <w:rsid w:val="002202EA"/>
    <w:rsid w:val="002204EC"/>
    <w:rsid w:val="002208B0"/>
    <w:rsid w:val="00220943"/>
    <w:rsid w:val="00220C2B"/>
    <w:rsid w:val="00220DB0"/>
    <w:rsid w:val="00220ECB"/>
    <w:rsid w:val="00221001"/>
    <w:rsid w:val="00221185"/>
    <w:rsid w:val="002213DC"/>
    <w:rsid w:val="0022157F"/>
    <w:rsid w:val="0022175A"/>
    <w:rsid w:val="0022175D"/>
    <w:rsid w:val="00221D6C"/>
    <w:rsid w:val="00221F3A"/>
    <w:rsid w:val="00221FAF"/>
    <w:rsid w:val="00222310"/>
    <w:rsid w:val="00222C33"/>
    <w:rsid w:val="0022335E"/>
    <w:rsid w:val="002237E6"/>
    <w:rsid w:val="002239A8"/>
    <w:rsid w:val="00223B49"/>
    <w:rsid w:val="00223DF4"/>
    <w:rsid w:val="002241FB"/>
    <w:rsid w:val="002245B7"/>
    <w:rsid w:val="00224671"/>
    <w:rsid w:val="00224DD4"/>
    <w:rsid w:val="00224EBA"/>
    <w:rsid w:val="002252F7"/>
    <w:rsid w:val="00225300"/>
    <w:rsid w:val="0022563C"/>
    <w:rsid w:val="0022568C"/>
    <w:rsid w:val="0022584B"/>
    <w:rsid w:val="00225CA3"/>
    <w:rsid w:val="00225F47"/>
    <w:rsid w:val="00226021"/>
    <w:rsid w:val="00226611"/>
    <w:rsid w:val="00226B5E"/>
    <w:rsid w:val="00226BBC"/>
    <w:rsid w:val="002273CB"/>
    <w:rsid w:val="00227DD3"/>
    <w:rsid w:val="00227EBD"/>
    <w:rsid w:val="00230201"/>
    <w:rsid w:val="00230428"/>
    <w:rsid w:val="002309CC"/>
    <w:rsid w:val="00230A9D"/>
    <w:rsid w:val="00230E66"/>
    <w:rsid w:val="00230E6B"/>
    <w:rsid w:val="00230FD6"/>
    <w:rsid w:val="00231680"/>
    <w:rsid w:val="00231733"/>
    <w:rsid w:val="00231AAA"/>
    <w:rsid w:val="00231D3B"/>
    <w:rsid w:val="00232061"/>
    <w:rsid w:val="00232540"/>
    <w:rsid w:val="00232700"/>
    <w:rsid w:val="00232BD6"/>
    <w:rsid w:val="00232C0B"/>
    <w:rsid w:val="00232F8E"/>
    <w:rsid w:val="002339D4"/>
    <w:rsid w:val="00233B8C"/>
    <w:rsid w:val="0023458D"/>
    <w:rsid w:val="0023464E"/>
    <w:rsid w:val="0023469E"/>
    <w:rsid w:val="0023531A"/>
    <w:rsid w:val="00235371"/>
    <w:rsid w:val="00235817"/>
    <w:rsid w:val="00235992"/>
    <w:rsid w:val="00235C31"/>
    <w:rsid w:val="00235E73"/>
    <w:rsid w:val="00236278"/>
    <w:rsid w:val="0023646C"/>
    <w:rsid w:val="002366CB"/>
    <w:rsid w:val="002367E8"/>
    <w:rsid w:val="00236957"/>
    <w:rsid w:val="00236C23"/>
    <w:rsid w:val="00236DBA"/>
    <w:rsid w:val="002373A3"/>
    <w:rsid w:val="002373C2"/>
    <w:rsid w:val="002374F8"/>
    <w:rsid w:val="002377C9"/>
    <w:rsid w:val="00237815"/>
    <w:rsid w:val="00237AEE"/>
    <w:rsid w:val="00237E82"/>
    <w:rsid w:val="00237E9A"/>
    <w:rsid w:val="0024004E"/>
    <w:rsid w:val="00240458"/>
    <w:rsid w:val="002404D7"/>
    <w:rsid w:val="00240602"/>
    <w:rsid w:val="002406AA"/>
    <w:rsid w:val="00240DDF"/>
    <w:rsid w:val="0024123A"/>
    <w:rsid w:val="00241273"/>
    <w:rsid w:val="0024140A"/>
    <w:rsid w:val="002415A8"/>
    <w:rsid w:val="00241659"/>
    <w:rsid w:val="002417EA"/>
    <w:rsid w:val="00241969"/>
    <w:rsid w:val="002419C9"/>
    <w:rsid w:val="00241DFB"/>
    <w:rsid w:val="00241E0D"/>
    <w:rsid w:val="00241E26"/>
    <w:rsid w:val="0024206E"/>
    <w:rsid w:val="00242BB3"/>
    <w:rsid w:val="00243D3C"/>
    <w:rsid w:val="0024421C"/>
    <w:rsid w:val="0024434E"/>
    <w:rsid w:val="00244451"/>
    <w:rsid w:val="0024460E"/>
    <w:rsid w:val="002447C3"/>
    <w:rsid w:val="0024485C"/>
    <w:rsid w:val="002448BB"/>
    <w:rsid w:val="00244F32"/>
    <w:rsid w:val="002450ED"/>
    <w:rsid w:val="002451CA"/>
    <w:rsid w:val="00245203"/>
    <w:rsid w:val="00245724"/>
    <w:rsid w:val="002458F8"/>
    <w:rsid w:val="00246278"/>
    <w:rsid w:val="00246419"/>
    <w:rsid w:val="00246630"/>
    <w:rsid w:val="00246952"/>
    <w:rsid w:val="0024699E"/>
    <w:rsid w:val="00246BB4"/>
    <w:rsid w:val="00246F63"/>
    <w:rsid w:val="0024709F"/>
    <w:rsid w:val="002478F4"/>
    <w:rsid w:val="00247B0E"/>
    <w:rsid w:val="00247EBA"/>
    <w:rsid w:val="00247F07"/>
    <w:rsid w:val="00250097"/>
    <w:rsid w:val="00250624"/>
    <w:rsid w:val="00250B90"/>
    <w:rsid w:val="00250BE0"/>
    <w:rsid w:val="00250EAC"/>
    <w:rsid w:val="00251022"/>
    <w:rsid w:val="00251473"/>
    <w:rsid w:val="002515A6"/>
    <w:rsid w:val="002519C2"/>
    <w:rsid w:val="00251DF3"/>
    <w:rsid w:val="00251E00"/>
    <w:rsid w:val="00252158"/>
    <w:rsid w:val="0025251D"/>
    <w:rsid w:val="0025285B"/>
    <w:rsid w:val="00252899"/>
    <w:rsid w:val="00252BFE"/>
    <w:rsid w:val="00252D35"/>
    <w:rsid w:val="0025398B"/>
    <w:rsid w:val="0025398D"/>
    <w:rsid w:val="00253B21"/>
    <w:rsid w:val="00253DC6"/>
    <w:rsid w:val="00253E5B"/>
    <w:rsid w:val="00253EDC"/>
    <w:rsid w:val="00253F12"/>
    <w:rsid w:val="00253F3E"/>
    <w:rsid w:val="002540E5"/>
    <w:rsid w:val="00254177"/>
    <w:rsid w:val="00254413"/>
    <w:rsid w:val="00254643"/>
    <w:rsid w:val="00254A1E"/>
    <w:rsid w:val="00254DCF"/>
    <w:rsid w:val="002550CC"/>
    <w:rsid w:val="002550E9"/>
    <w:rsid w:val="002551D2"/>
    <w:rsid w:val="0025534B"/>
    <w:rsid w:val="002556DB"/>
    <w:rsid w:val="00255BB7"/>
    <w:rsid w:val="00255E5F"/>
    <w:rsid w:val="00255F6C"/>
    <w:rsid w:val="00256287"/>
    <w:rsid w:val="00256290"/>
    <w:rsid w:val="002566FC"/>
    <w:rsid w:val="00256766"/>
    <w:rsid w:val="002568B2"/>
    <w:rsid w:val="00257092"/>
    <w:rsid w:val="0025713F"/>
    <w:rsid w:val="0025730A"/>
    <w:rsid w:val="00257752"/>
    <w:rsid w:val="00257825"/>
    <w:rsid w:val="00257A28"/>
    <w:rsid w:val="00257AE4"/>
    <w:rsid w:val="00260055"/>
    <w:rsid w:val="002607F4"/>
    <w:rsid w:val="00260830"/>
    <w:rsid w:val="00260C5C"/>
    <w:rsid w:val="00260CC8"/>
    <w:rsid w:val="00260CE1"/>
    <w:rsid w:val="00261019"/>
    <w:rsid w:val="00261077"/>
    <w:rsid w:val="002614B7"/>
    <w:rsid w:val="00261551"/>
    <w:rsid w:val="00261791"/>
    <w:rsid w:val="00261DF0"/>
    <w:rsid w:val="00261E52"/>
    <w:rsid w:val="00261E9B"/>
    <w:rsid w:val="00261F49"/>
    <w:rsid w:val="00262488"/>
    <w:rsid w:val="00262863"/>
    <w:rsid w:val="002629AD"/>
    <w:rsid w:val="00262A87"/>
    <w:rsid w:val="00262B21"/>
    <w:rsid w:val="00262E08"/>
    <w:rsid w:val="00262FB8"/>
    <w:rsid w:val="0026332D"/>
    <w:rsid w:val="00263361"/>
    <w:rsid w:val="002634B7"/>
    <w:rsid w:val="00263627"/>
    <w:rsid w:val="002636BD"/>
    <w:rsid w:val="0026374C"/>
    <w:rsid w:val="0026399C"/>
    <w:rsid w:val="00263C45"/>
    <w:rsid w:val="00264080"/>
    <w:rsid w:val="002645F2"/>
    <w:rsid w:val="00264638"/>
    <w:rsid w:val="00264E9D"/>
    <w:rsid w:val="00264F95"/>
    <w:rsid w:val="002650CB"/>
    <w:rsid w:val="00265406"/>
    <w:rsid w:val="00265421"/>
    <w:rsid w:val="002655F8"/>
    <w:rsid w:val="00265626"/>
    <w:rsid w:val="00265BF1"/>
    <w:rsid w:val="00265D77"/>
    <w:rsid w:val="002660B3"/>
    <w:rsid w:val="002660C9"/>
    <w:rsid w:val="00266568"/>
    <w:rsid w:val="002665B6"/>
    <w:rsid w:val="0026662E"/>
    <w:rsid w:val="002666E9"/>
    <w:rsid w:val="00266DA4"/>
    <w:rsid w:val="002670DB"/>
    <w:rsid w:val="002671EA"/>
    <w:rsid w:val="00267225"/>
    <w:rsid w:val="00267488"/>
    <w:rsid w:val="00267994"/>
    <w:rsid w:val="00267A16"/>
    <w:rsid w:val="00267BBB"/>
    <w:rsid w:val="002700A3"/>
    <w:rsid w:val="00270105"/>
    <w:rsid w:val="002702AB"/>
    <w:rsid w:val="00270383"/>
    <w:rsid w:val="002708C3"/>
    <w:rsid w:val="002709E7"/>
    <w:rsid w:val="0027115B"/>
    <w:rsid w:val="00271556"/>
    <w:rsid w:val="002719DC"/>
    <w:rsid w:val="0027204E"/>
    <w:rsid w:val="0027204F"/>
    <w:rsid w:val="00272186"/>
    <w:rsid w:val="00272682"/>
    <w:rsid w:val="002727F5"/>
    <w:rsid w:val="00272992"/>
    <w:rsid w:val="00272E2E"/>
    <w:rsid w:val="00273034"/>
    <w:rsid w:val="00273A13"/>
    <w:rsid w:val="00273E83"/>
    <w:rsid w:val="0027416E"/>
    <w:rsid w:val="0027418F"/>
    <w:rsid w:val="00274897"/>
    <w:rsid w:val="00274983"/>
    <w:rsid w:val="002749CB"/>
    <w:rsid w:val="00274A8C"/>
    <w:rsid w:val="00274CC0"/>
    <w:rsid w:val="00274CC2"/>
    <w:rsid w:val="00274DE4"/>
    <w:rsid w:val="00274F3F"/>
    <w:rsid w:val="002752A1"/>
    <w:rsid w:val="00275370"/>
    <w:rsid w:val="00275B1D"/>
    <w:rsid w:val="00275BF4"/>
    <w:rsid w:val="00275C42"/>
    <w:rsid w:val="00275C5A"/>
    <w:rsid w:val="00275F8B"/>
    <w:rsid w:val="0027600E"/>
    <w:rsid w:val="00276457"/>
    <w:rsid w:val="00276543"/>
    <w:rsid w:val="0027687D"/>
    <w:rsid w:val="00276AA9"/>
    <w:rsid w:val="00276D18"/>
    <w:rsid w:val="0027701B"/>
    <w:rsid w:val="0027713D"/>
    <w:rsid w:val="0027740D"/>
    <w:rsid w:val="00277AE9"/>
    <w:rsid w:val="00277C79"/>
    <w:rsid w:val="00277CCE"/>
    <w:rsid w:val="0028017C"/>
    <w:rsid w:val="0028029F"/>
    <w:rsid w:val="002803FF"/>
    <w:rsid w:val="002804CA"/>
    <w:rsid w:val="002805F0"/>
    <w:rsid w:val="002805F1"/>
    <w:rsid w:val="00280868"/>
    <w:rsid w:val="00280B72"/>
    <w:rsid w:val="00280D6E"/>
    <w:rsid w:val="00280E93"/>
    <w:rsid w:val="00281014"/>
    <w:rsid w:val="00281052"/>
    <w:rsid w:val="00281198"/>
    <w:rsid w:val="002814CA"/>
    <w:rsid w:val="00281592"/>
    <w:rsid w:val="00281836"/>
    <w:rsid w:val="002819F5"/>
    <w:rsid w:val="00281D93"/>
    <w:rsid w:val="00282255"/>
    <w:rsid w:val="002822FF"/>
    <w:rsid w:val="00282526"/>
    <w:rsid w:val="00282E15"/>
    <w:rsid w:val="00282F3D"/>
    <w:rsid w:val="00283003"/>
    <w:rsid w:val="00283613"/>
    <w:rsid w:val="00283850"/>
    <w:rsid w:val="00283B7C"/>
    <w:rsid w:val="00283E49"/>
    <w:rsid w:val="00284003"/>
    <w:rsid w:val="002845AC"/>
    <w:rsid w:val="00284E40"/>
    <w:rsid w:val="0028505D"/>
    <w:rsid w:val="00285060"/>
    <w:rsid w:val="002856D0"/>
    <w:rsid w:val="0028592D"/>
    <w:rsid w:val="00285B65"/>
    <w:rsid w:val="00285BDC"/>
    <w:rsid w:val="00285E25"/>
    <w:rsid w:val="00285F0E"/>
    <w:rsid w:val="00286025"/>
    <w:rsid w:val="00286360"/>
    <w:rsid w:val="00286622"/>
    <w:rsid w:val="002873F0"/>
    <w:rsid w:val="0028745A"/>
    <w:rsid w:val="002879D3"/>
    <w:rsid w:val="00287ACA"/>
    <w:rsid w:val="00287B61"/>
    <w:rsid w:val="00287D3C"/>
    <w:rsid w:val="002900AC"/>
    <w:rsid w:val="002903E9"/>
    <w:rsid w:val="0029057B"/>
    <w:rsid w:val="00290895"/>
    <w:rsid w:val="002909CD"/>
    <w:rsid w:val="00290AFB"/>
    <w:rsid w:val="0029102B"/>
    <w:rsid w:val="00291372"/>
    <w:rsid w:val="0029146E"/>
    <w:rsid w:val="0029171E"/>
    <w:rsid w:val="00291989"/>
    <w:rsid w:val="00291A19"/>
    <w:rsid w:val="00291B43"/>
    <w:rsid w:val="00291BB7"/>
    <w:rsid w:val="00291CD5"/>
    <w:rsid w:val="00291E58"/>
    <w:rsid w:val="00291E8E"/>
    <w:rsid w:val="00291E9F"/>
    <w:rsid w:val="0029217E"/>
    <w:rsid w:val="00292332"/>
    <w:rsid w:val="0029286D"/>
    <w:rsid w:val="0029290B"/>
    <w:rsid w:val="00292B91"/>
    <w:rsid w:val="00292BB8"/>
    <w:rsid w:val="00292BDA"/>
    <w:rsid w:val="00292D8A"/>
    <w:rsid w:val="00294012"/>
    <w:rsid w:val="00294086"/>
    <w:rsid w:val="00294728"/>
    <w:rsid w:val="00294AD6"/>
    <w:rsid w:val="00294B90"/>
    <w:rsid w:val="00294E1C"/>
    <w:rsid w:val="0029572C"/>
    <w:rsid w:val="00295804"/>
    <w:rsid w:val="00295CB2"/>
    <w:rsid w:val="00295D9B"/>
    <w:rsid w:val="002963CA"/>
    <w:rsid w:val="002965A1"/>
    <w:rsid w:val="00296A8A"/>
    <w:rsid w:val="00296ADE"/>
    <w:rsid w:val="00296C60"/>
    <w:rsid w:val="00297356"/>
    <w:rsid w:val="002974ED"/>
    <w:rsid w:val="002978FE"/>
    <w:rsid w:val="00297AB3"/>
    <w:rsid w:val="00297CE6"/>
    <w:rsid w:val="00297F88"/>
    <w:rsid w:val="002A02A1"/>
    <w:rsid w:val="002A03ED"/>
    <w:rsid w:val="002A0498"/>
    <w:rsid w:val="002A05A5"/>
    <w:rsid w:val="002A091E"/>
    <w:rsid w:val="002A09CE"/>
    <w:rsid w:val="002A0A2D"/>
    <w:rsid w:val="002A0EE6"/>
    <w:rsid w:val="002A116D"/>
    <w:rsid w:val="002A11C3"/>
    <w:rsid w:val="002A14AB"/>
    <w:rsid w:val="002A165C"/>
    <w:rsid w:val="002A197F"/>
    <w:rsid w:val="002A1A0A"/>
    <w:rsid w:val="002A1BE4"/>
    <w:rsid w:val="002A1E0C"/>
    <w:rsid w:val="002A1EDB"/>
    <w:rsid w:val="002A213A"/>
    <w:rsid w:val="002A2343"/>
    <w:rsid w:val="002A2683"/>
    <w:rsid w:val="002A2A59"/>
    <w:rsid w:val="002A2C4B"/>
    <w:rsid w:val="002A2D7F"/>
    <w:rsid w:val="002A2E82"/>
    <w:rsid w:val="002A38D2"/>
    <w:rsid w:val="002A3DE9"/>
    <w:rsid w:val="002A3F53"/>
    <w:rsid w:val="002A3F87"/>
    <w:rsid w:val="002A407E"/>
    <w:rsid w:val="002A41B8"/>
    <w:rsid w:val="002A4442"/>
    <w:rsid w:val="002A48A4"/>
    <w:rsid w:val="002A4A79"/>
    <w:rsid w:val="002A4D23"/>
    <w:rsid w:val="002A4EA0"/>
    <w:rsid w:val="002A5119"/>
    <w:rsid w:val="002A520E"/>
    <w:rsid w:val="002A56EB"/>
    <w:rsid w:val="002A5AEF"/>
    <w:rsid w:val="002A5E88"/>
    <w:rsid w:val="002A5F5E"/>
    <w:rsid w:val="002A608C"/>
    <w:rsid w:val="002A6134"/>
    <w:rsid w:val="002A63E3"/>
    <w:rsid w:val="002A67BB"/>
    <w:rsid w:val="002A6854"/>
    <w:rsid w:val="002A6ADC"/>
    <w:rsid w:val="002A6F1F"/>
    <w:rsid w:val="002A7629"/>
    <w:rsid w:val="002A798E"/>
    <w:rsid w:val="002A7B78"/>
    <w:rsid w:val="002A7DF2"/>
    <w:rsid w:val="002B00B8"/>
    <w:rsid w:val="002B0543"/>
    <w:rsid w:val="002B0738"/>
    <w:rsid w:val="002B08EF"/>
    <w:rsid w:val="002B0E9D"/>
    <w:rsid w:val="002B15AF"/>
    <w:rsid w:val="002B17D7"/>
    <w:rsid w:val="002B1AA0"/>
    <w:rsid w:val="002B1B7E"/>
    <w:rsid w:val="002B1C1F"/>
    <w:rsid w:val="002B1E3C"/>
    <w:rsid w:val="002B1EE8"/>
    <w:rsid w:val="002B2343"/>
    <w:rsid w:val="002B2577"/>
    <w:rsid w:val="002B293C"/>
    <w:rsid w:val="002B3153"/>
    <w:rsid w:val="002B316B"/>
    <w:rsid w:val="002B31C9"/>
    <w:rsid w:val="002B39C2"/>
    <w:rsid w:val="002B42AB"/>
    <w:rsid w:val="002B432F"/>
    <w:rsid w:val="002B4488"/>
    <w:rsid w:val="002B4547"/>
    <w:rsid w:val="002B4B76"/>
    <w:rsid w:val="002B5137"/>
    <w:rsid w:val="002B5298"/>
    <w:rsid w:val="002B52E3"/>
    <w:rsid w:val="002B5469"/>
    <w:rsid w:val="002B54D0"/>
    <w:rsid w:val="002B5A26"/>
    <w:rsid w:val="002B667C"/>
    <w:rsid w:val="002B66C6"/>
    <w:rsid w:val="002B6910"/>
    <w:rsid w:val="002B6936"/>
    <w:rsid w:val="002B6C52"/>
    <w:rsid w:val="002B6CCE"/>
    <w:rsid w:val="002B6CEB"/>
    <w:rsid w:val="002B7101"/>
    <w:rsid w:val="002B728B"/>
    <w:rsid w:val="002B7697"/>
    <w:rsid w:val="002B7799"/>
    <w:rsid w:val="002C02CC"/>
    <w:rsid w:val="002C02D0"/>
    <w:rsid w:val="002C08D0"/>
    <w:rsid w:val="002C0963"/>
    <w:rsid w:val="002C0D37"/>
    <w:rsid w:val="002C0F23"/>
    <w:rsid w:val="002C0F41"/>
    <w:rsid w:val="002C12B7"/>
    <w:rsid w:val="002C1373"/>
    <w:rsid w:val="002C1857"/>
    <w:rsid w:val="002C1DF9"/>
    <w:rsid w:val="002C1FDF"/>
    <w:rsid w:val="002C2006"/>
    <w:rsid w:val="002C213F"/>
    <w:rsid w:val="002C22B9"/>
    <w:rsid w:val="002C25BA"/>
    <w:rsid w:val="002C260A"/>
    <w:rsid w:val="002C2640"/>
    <w:rsid w:val="002C2655"/>
    <w:rsid w:val="002C2775"/>
    <w:rsid w:val="002C2791"/>
    <w:rsid w:val="002C27C1"/>
    <w:rsid w:val="002C282F"/>
    <w:rsid w:val="002C2AA3"/>
    <w:rsid w:val="002C2ABB"/>
    <w:rsid w:val="002C3105"/>
    <w:rsid w:val="002C3843"/>
    <w:rsid w:val="002C3E73"/>
    <w:rsid w:val="002C4064"/>
    <w:rsid w:val="002C4130"/>
    <w:rsid w:val="002C43E8"/>
    <w:rsid w:val="002C4738"/>
    <w:rsid w:val="002C4795"/>
    <w:rsid w:val="002C4C54"/>
    <w:rsid w:val="002C4E54"/>
    <w:rsid w:val="002C52B7"/>
    <w:rsid w:val="002C5613"/>
    <w:rsid w:val="002C5733"/>
    <w:rsid w:val="002C591B"/>
    <w:rsid w:val="002C5982"/>
    <w:rsid w:val="002C5C24"/>
    <w:rsid w:val="002C5C2B"/>
    <w:rsid w:val="002C5C2F"/>
    <w:rsid w:val="002C5F05"/>
    <w:rsid w:val="002C643F"/>
    <w:rsid w:val="002C6C9D"/>
    <w:rsid w:val="002C6D96"/>
    <w:rsid w:val="002C77A6"/>
    <w:rsid w:val="002C79CF"/>
    <w:rsid w:val="002C7E5E"/>
    <w:rsid w:val="002D00E0"/>
    <w:rsid w:val="002D01A9"/>
    <w:rsid w:val="002D0424"/>
    <w:rsid w:val="002D04D5"/>
    <w:rsid w:val="002D06D6"/>
    <w:rsid w:val="002D0ABB"/>
    <w:rsid w:val="002D0BE6"/>
    <w:rsid w:val="002D0C3E"/>
    <w:rsid w:val="002D0D4D"/>
    <w:rsid w:val="002D0FC0"/>
    <w:rsid w:val="002D1049"/>
    <w:rsid w:val="002D105B"/>
    <w:rsid w:val="002D1080"/>
    <w:rsid w:val="002D1274"/>
    <w:rsid w:val="002D1CED"/>
    <w:rsid w:val="002D1E48"/>
    <w:rsid w:val="002D2036"/>
    <w:rsid w:val="002D22A9"/>
    <w:rsid w:val="002D2712"/>
    <w:rsid w:val="002D2741"/>
    <w:rsid w:val="002D28C8"/>
    <w:rsid w:val="002D2A0F"/>
    <w:rsid w:val="002D2C16"/>
    <w:rsid w:val="002D2C4F"/>
    <w:rsid w:val="002D2FAC"/>
    <w:rsid w:val="002D315A"/>
    <w:rsid w:val="002D3264"/>
    <w:rsid w:val="002D32C3"/>
    <w:rsid w:val="002D3895"/>
    <w:rsid w:val="002D3CA4"/>
    <w:rsid w:val="002D3EBE"/>
    <w:rsid w:val="002D3F27"/>
    <w:rsid w:val="002D3F61"/>
    <w:rsid w:val="002D4094"/>
    <w:rsid w:val="002D4139"/>
    <w:rsid w:val="002D426B"/>
    <w:rsid w:val="002D4422"/>
    <w:rsid w:val="002D4477"/>
    <w:rsid w:val="002D4884"/>
    <w:rsid w:val="002D48BC"/>
    <w:rsid w:val="002D5994"/>
    <w:rsid w:val="002D5DA9"/>
    <w:rsid w:val="002D5EB9"/>
    <w:rsid w:val="002D6024"/>
    <w:rsid w:val="002D63C1"/>
    <w:rsid w:val="002D66D4"/>
    <w:rsid w:val="002D680E"/>
    <w:rsid w:val="002D6F5A"/>
    <w:rsid w:val="002D77D3"/>
    <w:rsid w:val="002D7822"/>
    <w:rsid w:val="002D7B1E"/>
    <w:rsid w:val="002D7F00"/>
    <w:rsid w:val="002D7F05"/>
    <w:rsid w:val="002E007B"/>
    <w:rsid w:val="002E00C0"/>
    <w:rsid w:val="002E00D1"/>
    <w:rsid w:val="002E0171"/>
    <w:rsid w:val="002E038D"/>
    <w:rsid w:val="002E062E"/>
    <w:rsid w:val="002E0708"/>
    <w:rsid w:val="002E09B4"/>
    <w:rsid w:val="002E09EA"/>
    <w:rsid w:val="002E11FB"/>
    <w:rsid w:val="002E1513"/>
    <w:rsid w:val="002E1621"/>
    <w:rsid w:val="002E17E4"/>
    <w:rsid w:val="002E1849"/>
    <w:rsid w:val="002E19DB"/>
    <w:rsid w:val="002E1E04"/>
    <w:rsid w:val="002E25E1"/>
    <w:rsid w:val="002E28C5"/>
    <w:rsid w:val="002E2A66"/>
    <w:rsid w:val="002E2A72"/>
    <w:rsid w:val="002E2AB3"/>
    <w:rsid w:val="002E2C29"/>
    <w:rsid w:val="002E326A"/>
    <w:rsid w:val="002E3385"/>
    <w:rsid w:val="002E3393"/>
    <w:rsid w:val="002E3944"/>
    <w:rsid w:val="002E3A17"/>
    <w:rsid w:val="002E4059"/>
    <w:rsid w:val="002E4140"/>
    <w:rsid w:val="002E465F"/>
    <w:rsid w:val="002E4CB2"/>
    <w:rsid w:val="002E504F"/>
    <w:rsid w:val="002E51D1"/>
    <w:rsid w:val="002E51F9"/>
    <w:rsid w:val="002E525D"/>
    <w:rsid w:val="002E53E5"/>
    <w:rsid w:val="002E5561"/>
    <w:rsid w:val="002E560E"/>
    <w:rsid w:val="002E5A3D"/>
    <w:rsid w:val="002E5A9F"/>
    <w:rsid w:val="002E5C10"/>
    <w:rsid w:val="002E60DC"/>
    <w:rsid w:val="002E615B"/>
    <w:rsid w:val="002E66F9"/>
    <w:rsid w:val="002E6792"/>
    <w:rsid w:val="002E69DE"/>
    <w:rsid w:val="002E6B7C"/>
    <w:rsid w:val="002E6EE2"/>
    <w:rsid w:val="002E7009"/>
    <w:rsid w:val="002E7304"/>
    <w:rsid w:val="002E73EA"/>
    <w:rsid w:val="002E7458"/>
    <w:rsid w:val="002E75E5"/>
    <w:rsid w:val="002E7A70"/>
    <w:rsid w:val="002E7D75"/>
    <w:rsid w:val="002F090C"/>
    <w:rsid w:val="002F0A8D"/>
    <w:rsid w:val="002F0C07"/>
    <w:rsid w:val="002F0E20"/>
    <w:rsid w:val="002F1439"/>
    <w:rsid w:val="002F1D59"/>
    <w:rsid w:val="002F1DB7"/>
    <w:rsid w:val="002F1E7D"/>
    <w:rsid w:val="002F1F5B"/>
    <w:rsid w:val="002F20B9"/>
    <w:rsid w:val="002F20E6"/>
    <w:rsid w:val="002F2387"/>
    <w:rsid w:val="002F24DB"/>
    <w:rsid w:val="002F2C7F"/>
    <w:rsid w:val="002F391D"/>
    <w:rsid w:val="002F393C"/>
    <w:rsid w:val="002F3A42"/>
    <w:rsid w:val="002F3BEB"/>
    <w:rsid w:val="002F3C31"/>
    <w:rsid w:val="002F3FA2"/>
    <w:rsid w:val="002F4109"/>
    <w:rsid w:val="002F41AD"/>
    <w:rsid w:val="002F44AD"/>
    <w:rsid w:val="002F459C"/>
    <w:rsid w:val="002F4660"/>
    <w:rsid w:val="002F4897"/>
    <w:rsid w:val="002F4ED0"/>
    <w:rsid w:val="002F4F88"/>
    <w:rsid w:val="002F5324"/>
    <w:rsid w:val="002F5710"/>
    <w:rsid w:val="002F5746"/>
    <w:rsid w:val="002F57DA"/>
    <w:rsid w:val="002F5B40"/>
    <w:rsid w:val="002F5B79"/>
    <w:rsid w:val="002F5CF0"/>
    <w:rsid w:val="002F65CA"/>
    <w:rsid w:val="002F67B1"/>
    <w:rsid w:val="002F6922"/>
    <w:rsid w:val="002F6E25"/>
    <w:rsid w:val="002F7052"/>
    <w:rsid w:val="002F71CF"/>
    <w:rsid w:val="002F727E"/>
    <w:rsid w:val="002F7B36"/>
    <w:rsid w:val="002F7B3C"/>
    <w:rsid w:val="00300A73"/>
    <w:rsid w:val="00300B19"/>
    <w:rsid w:val="00300D79"/>
    <w:rsid w:val="00300ED1"/>
    <w:rsid w:val="0030100C"/>
    <w:rsid w:val="00301017"/>
    <w:rsid w:val="003010E0"/>
    <w:rsid w:val="00301317"/>
    <w:rsid w:val="00301336"/>
    <w:rsid w:val="00301401"/>
    <w:rsid w:val="0030145C"/>
    <w:rsid w:val="00301544"/>
    <w:rsid w:val="003016D7"/>
    <w:rsid w:val="00301D1F"/>
    <w:rsid w:val="00301DB1"/>
    <w:rsid w:val="0030210A"/>
    <w:rsid w:val="00302213"/>
    <w:rsid w:val="00302763"/>
    <w:rsid w:val="00302984"/>
    <w:rsid w:val="00302DE7"/>
    <w:rsid w:val="00302FB7"/>
    <w:rsid w:val="0030320C"/>
    <w:rsid w:val="00303439"/>
    <w:rsid w:val="00303462"/>
    <w:rsid w:val="00303753"/>
    <w:rsid w:val="00303A87"/>
    <w:rsid w:val="003044E6"/>
    <w:rsid w:val="0030484E"/>
    <w:rsid w:val="003049D7"/>
    <w:rsid w:val="00304B8D"/>
    <w:rsid w:val="0030523E"/>
    <w:rsid w:val="003056BC"/>
    <w:rsid w:val="003056C3"/>
    <w:rsid w:val="003056CC"/>
    <w:rsid w:val="00305847"/>
    <w:rsid w:val="0030589A"/>
    <w:rsid w:val="003059F2"/>
    <w:rsid w:val="00305B34"/>
    <w:rsid w:val="00305FC1"/>
    <w:rsid w:val="003060E0"/>
    <w:rsid w:val="003064BE"/>
    <w:rsid w:val="00306792"/>
    <w:rsid w:val="003069BA"/>
    <w:rsid w:val="00306BAA"/>
    <w:rsid w:val="00306F8D"/>
    <w:rsid w:val="00307177"/>
    <w:rsid w:val="00307352"/>
    <w:rsid w:val="003073E0"/>
    <w:rsid w:val="003076C5"/>
    <w:rsid w:val="0030786C"/>
    <w:rsid w:val="003078D3"/>
    <w:rsid w:val="0030799A"/>
    <w:rsid w:val="00307AF1"/>
    <w:rsid w:val="00307CBE"/>
    <w:rsid w:val="0031014A"/>
    <w:rsid w:val="0031017C"/>
    <w:rsid w:val="0031031A"/>
    <w:rsid w:val="003104B4"/>
    <w:rsid w:val="00310981"/>
    <w:rsid w:val="00310A64"/>
    <w:rsid w:val="00310E2E"/>
    <w:rsid w:val="003111D7"/>
    <w:rsid w:val="003112D4"/>
    <w:rsid w:val="0031135E"/>
    <w:rsid w:val="003116C8"/>
    <w:rsid w:val="0031191F"/>
    <w:rsid w:val="00311AEA"/>
    <w:rsid w:val="00311FC9"/>
    <w:rsid w:val="003120D4"/>
    <w:rsid w:val="003122CE"/>
    <w:rsid w:val="0031252A"/>
    <w:rsid w:val="0031284A"/>
    <w:rsid w:val="003129BB"/>
    <w:rsid w:val="00312C43"/>
    <w:rsid w:val="00312ECE"/>
    <w:rsid w:val="00312F5D"/>
    <w:rsid w:val="0031340B"/>
    <w:rsid w:val="00313695"/>
    <w:rsid w:val="0031392C"/>
    <w:rsid w:val="00313A41"/>
    <w:rsid w:val="00313C41"/>
    <w:rsid w:val="00313CC8"/>
    <w:rsid w:val="00313F6E"/>
    <w:rsid w:val="0031428B"/>
    <w:rsid w:val="003142D7"/>
    <w:rsid w:val="00314389"/>
    <w:rsid w:val="003144E3"/>
    <w:rsid w:val="00314AF7"/>
    <w:rsid w:val="00314F48"/>
    <w:rsid w:val="0031518B"/>
    <w:rsid w:val="00315477"/>
    <w:rsid w:val="00315498"/>
    <w:rsid w:val="003154A0"/>
    <w:rsid w:val="0031553F"/>
    <w:rsid w:val="00315991"/>
    <w:rsid w:val="00315DE2"/>
    <w:rsid w:val="00315FF7"/>
    <w:rsid w:val="0031683F"/>
    <w:rsid w:val="0031696D"/>
    <w:rsid w:val="003169CC"/>
    <w:rsid w:val="00317173"/>
    <w:rsid w:val="003175B4"/>
    <w:rsid w:val="0031777A"/>
    <w:rsid w:val="003178A0"/>
    <w:rsid w:val="003179E0"/>
    <w:rsid w:val="00317B5B"/>
    <w:rsid w:val="00317B6E"/>
    <w:rsid w:val="0032025F"/>
    <w:rsid w:val="0032064C"/>
    <w:rsid w:val="00320831"/>
    <w:rsid w:val="00320AC4"/>
    <w:rsid w:val="00320B5B"/>
    <w:rsid w:val="00320E09"/>
    <w:rsid w:val="00320E76"/>
    <w:rsid w:val="0032144C"/>
    <w:rsid w:val="003214C8"/>
    <w:rsid w:val="003218FC"/>
    <w:rsid w:val="003219A5"/>
    <w:rsid w:val="00321C02"/>
    <w:rsid w:val="00321DD2"/>
    <w:rsid w:val="00322278"/>
    <w:rsid w:val="00322352"/>
    <w:rsid w:val="003223C2"/>
    <w:rsid w:val="00322577"/>
    <w:rsid w:val="00322641"/>
    <w:rsid w:val="00322778"/>
    <w:rsid w:val="003229C9"/>
    <w:rsid w:val="00323266"/>
    <w:rsid w:val="003232B2"/>
    <w:rsid w:val="00323930"/>
    <w:rsid w:val="00323B1F"/>
    <w:rsid w:val="00323B54"/>
    <w:rsid w:val="00323CDC"/>
    <w:rsid w:val="00323EB0"/>
    <w:rsid w:val="00324180"/>
    <w:rsid w:val="00324380"/>
    <w:rsid w:val="00324383"/>
    <w:rsid w:val="00324571"/>
    <w:rsid w:val="00324F0C"/>
    <w:rsid w:val="00325516"/>
    <w:rsid w:val="00325642"/>
    <w:rsid w:val="00325773"/>
    <w:rsid w:val="003257D0"/>
    <w:rsid w:val="00325A48"/>
    <w:rsid w:val="00325F32"/>
    <w:rsid w:val="00326090"/>
    <w:rsid w:val="00326129"/>
    <w:rsid w:val="0032615B"/>
    <w:rsid w:val="00326AEA"/>
    <w:rsid w:val="00326B89"/>
    <w:rsid w:val="00326BAF"/>
    <w:rsid w:val="00326CC1"/>
    <w:rsid w:val="00326DB9"/>
    <w:rsid w:val="00326ECB"/>
    <w:rsid w:val="0032700A"/>
    <w:rsid w:val="00327134"/>
    <w:rsid w:val="003273C9"/>
    <w:rsid w:val="003273E2"/>
    <w:rsid w:val="003274B4"/>
    <w:rsid w:val="00327731"/>
    <w:rsid w:val="00327A25"/>
    <w:rsid w:val="00327CDE"/>
    <w:rsid w:val="00327F2A"/>
    <w:rsid w:val="003303CC"/>
    <w:rsid w:val="0033056D"/>
    <w:rsid w:val="00330B27"/>
    <w:rsid w:val="00330B59"/>
    <w:rsid w:val="00330C1E"/>
    <w:rsid w:val="00330C29"/>
    <w:rsid w:val="00330E95"/>
    <w:rsid w:val="003312F4"/>
    <w:rsid w:val="003315DD"/>
    <w:rsid w:val="0033163B"/>
    <w:rsid w:val="00332068"/>
    <w:rsid w:val="00332181"/>
    <w:rsid w:val="003322DC"/>
    <w:rsid w:val="003324D3"/>
    <w:rsid w:val="0033252A"/>
    <w:rsid w:val="00332D54"/>
    <w:rsid w:val="00332D9F"/>
    <w:rsid w:val="00332EF3"/>
    <w:rsid w:val="00332F09"/>
    <w:rsid w:val="00333061"/>
    <w:rsid w:val="003334E1"/>
    <w:rsid w:val="00333F09"/>
    <w:rsid w:val="00334108"/>
    <w:rsid w:val="00334F08"/>
    <w:rsid w:val="00335065"/>
    <w:rsid w:val="00335893"/>
    <w:rsid w:val="00335B54"/>
    <w:rsid w:val="00335E4A"/>
    <w:rsid w:val="00335E72"/>
    <w:rsid w:val="00336004"/>
    <w:rsid w:val="00336229"/>
    <w:rsid w:val="003365FD"/>
    <w:rsid w:val="003366C9"/>
    <w:rsid w:val="00336814"/>
    <w:rsid w:val="003369B4"/>
    <w:rsid w:val="00336A28"/>
    <w:rsid w:val="00336C44"/>
    <w:rsid w:val="00336C95"/>
    <w:rsid w:val="003370C6"/>
    <w:rsid w:val="003371B0"/>
    <w:rsid w:val="00337362"/>
    <w:rsid w:val="003373E5"/>
    <w:rsid w:val="003375F8"/>
    <w:rsid w:val="00337995"/>
    <w:rsid w:val="003403F1"/>
    <w:rsid w:val="00340F63"/>
    <w:rsid w:val="003411A1"/>
    <w:rsid w:val="0034126E"/>
    <w:rsid w:val="003413D3"/>
    <w:rsid w:val="00341611"/>
    <w:rsid w:val="003417B6"/>
    <w:rsid w:val="00341A13"/>
    <w:rsid w:val="00341B29"/>
    <w:rsid w:val="00341D8F"/>
    <w:rsid w:val="00342457"/>
    <w:rsid w:val="00342504"/>
    <w:rsid w:val="00342584"/>
    <w:rsid w:val="0034294B"/>
    <w:rsid w:val="00342FBB"/>
    <w:rsid w:val="00343390"/>
    <w:rsid w:val="00343575"/>
    <w:rsid w:val="003436E8"/>
    <w:rsid w:val="00343B09"/>
    <w:rsid w:val="00343F54"/>
    <w:rsid w:val="00344046"/>
    <w:rsid w:val="00344176"/>
    <w:rsid w:val="0034446F"/>
    <w:rsid w:val="00344742"/>
    <w:rsid w:val="003449C5"/>
    <w:rsid w:val="003451B4"/>
    <w:rsid w:val="00345432"/>
    <w:rsid w:val="00345483"/>
    <w:rsid w:val="0034551C"/>
    <w:rsid w:val="003458E5"/>
    <w:rsid w:val="00345A00"/>
    <w:rsid w:val="003461BF"/>
    <w:rsid w:val="00346855"/>
    <w:rsid w:val="00346865"/>
    <w:rsid w:val="0034690F"/>
    <w:rsid w:val="003471E2"/>
    <w:rsid w:val="003471E6"/>
    <w:rsid w:val="003471EA"/>
    <w:rsid w:val="003474EB"/>
    <w:rsid w:val="00347720"/>
    <w:rsid w:val="00347E0A"/>
    <w:rsid w:val="0035025A"/>
    <w:rsid w:val="00350283"/>
    <w:rsid w:val="003503A7"/>
    <w:rsid w:val="003504DD"/>
    <w:rsid w:val="00350AA6"/>
    <w:rsid w:val="00350DD2"/>
    <w:rsid w:val="00350DF3"/>
    <w:rsid w:val="003511FE"/>
    <w:rsid w:val="003513AA"/>
    <w:rsid w:val="003514A9"/>
    <w:rsid w:val="003514D0"/>
    <w:rsid w:val="003515D3"/>
    <w:rsid w:val="00351AF9"/>
    <w:rsid w:val="00351FAD"/>
    <w:rsid w:val="00352590"/>
    <w:rsid w:val="00352745"/>
    <w:rsid w:val="00352B10"/>
    <w:rsid w:val="00352BB0"/>
    <w:rsid w:val="00352D41"/>
    <w:rsid w:val="003530AE"/>
    <w:rsid w:val="003531E4"/>
    <w:rsid w:val="0035390B"/>
    <w:rsid w:val="00353AB8"/>
    <w:rsid w:val="00353DC6"/>
    <w:rsid w:val="00353E23"/>
    <w:rsid w:val="003544D1"/>
    <w:rsid w:val="00354580"/>
    <w:rsid w:val="00354A9F"/>
    <w:rsid w:val="00354AB1"/>
    <w:rsid w:val="00354DDE"/>
    <w:rsid w:val="00354E25"/>
    <w:rsid w:val="003555D3"/>
    <w:rsid w:val="00355AE9"/>
    <w:rsid w:val="00355F0C"/>
    <w:rsid w:val="00356196"/>
    <w:rsid w:val="0035620E"/>
    <w:rsid w:val="0035650A"/>
    <w:rsid w:val="00356692"/>
    <w:rsid w:val="00356788"/>
    <w:rsid w:val="0035688E"/>
    <w:rsid w:val="00356F00"/>
    <w:rsid w:val="00356FF6"/>
    <w:rsid w:val="00357163"/>
    <w:rsid w:val="003572B8"/>
    <w:rsid w:val="0035759D"/>
    <w:rsid w:val="0035775E"/>
    <w:rsid w:val="0035784D"/>
    <w:rsid w:val="0035792A"/>
    <w:rsid w:val="00357AC7"/>
    <w:rsid w:val="00357ED9"/>
    <w:rsid w:val="003602F0"/>
    <w:rsid w:val="00360437"/>
    <w:rsid w:val="00360947"/>
    <w:rsid w:val="00360EA2"/>
    <w:rsid w:val="00360EB6"/>
    <w:rsid w:val="00361246"/>
    <w:rsid w:val="00361B03"/>
    <w:rsid w:val="00361B27"/>
    <w:rsid w:val="00361D1D"/>
    <w:rsid w:val="00361D25"/>
    <w:rsid w:val="0036224D"/>
    <w:rsid w:val="003622E1"/>
    <w:rsid w:val="00362511"/>
    <w:rsid w:val="00362A65"/>
    <w:rsid w:val="00362DE1"/>
    <w:rsid w:val="003632A3"/>
    <w:rsid w:val="00363375"/>
    <w:rsid w:val="00363D19"/>
    <w:rsid w:val="00363E3E"/>
    <w:rsid w:val="00363EE0"/>
    <w:rsid w:val="00363F3D"/>
    <w:rsid w:val="003643AE"/>
    <w:rsid w:val="00364521"/>
    <w:rsid w:val="003645FB"/>
    <w:rsid w:val="0036471F"/>
    <w:rsid w:val="003647D1"/>
    <w:rsid w:val="00364DCE"/>
    <w:rsid w:val="003651A8"/>
    <w:rsid w:val="00365BAF"/>
    <w:rsid w:val="00365FED"/>
    <w:rsid w:val="00366035"/>
    <w:rsid w:val="0036628C"/>
    <w:rsid w:val="00366313"/>
    <w:rsid w:val="00366334"/>
    <w:rsid w:val="00366583"/>
    <w:rsid w:val="003665B9"/>
    <w:rsid w:val="00366A04"/>
    <w:rsid w:val="00367140"/>
    <w:rsid w:val="00367198"/>
    <w:rsid w:val="00367583"/>
    <w:rsid w:val="003676FA"/>
    <w:rsid w:val="00367C65"/>
    <w:rsid w:val="00370099"/>
    <w:rsid w:val="0037038B"/>
    <w:rsid w:val="003703ED"/>
    <w:rsid w:val="00370563"/>
    <w:rsid w:val="00370C72"/>
    <w:rsid w:val="0037100D"/>
    <w:rsid w:val="0037111A"/>
    <w:rsid w:val="003715F2"/>
    <w:rsid w:val="00371960"/>
    <w:rsid w:val="00371C3E"/>
    <w:rsid w:val="00371E21"/>
    <w:rsid w:val="00372108"/>
    <w:rsid w:val="00372405"/>
    <w:rsid w:val="003724F7"/>
    <w:rsid w:val="0037264F"/>
    <w:rsid w:val="00372A35"/>
    <w:rsid w:val="00372CAB"/>
    <w:rsid w:val="00372D56"/>
    <w:rsid w:val="00372E24"/>
    <w:rsid w:val="00372EC3"/>
    <w:rsid w:val="00373038"/>
    <w:rsid w:val="00373ABF"/>
    <w:rsid w:val="00373AEF"/>
    <w:rsid w:val="00373EA9"/>
    <w:rsid w:val="003740A9"/>
    <w:rsid w:val="0037414D"/>
    <w:rsid w:val="003742A9"/>
    <w:rsid w:val="0037440B"/>
    <w:rsid w:val="003744B4"/>
    <w:rsid w:val="003744F8"/>
    <w:rsid w:val="0037466F"/>
    <w:rsid w:val="003746D2"/>
    <w:rsid w:val="00374B4D"/>
    <w:rsid w:val="00374C73"/>
    <w:rsid w:val="00374E68"/>
    <w:rsid w:val="0037523D"/>
    <w:rsid w:val="0037539F"/>
    <w:rsid w:val="003753BE"/>
    <w:rsid w:val="00375537"/>
    <w:rsid w:val="00375587"/>
    <w:rsid w:val="00375608"/>
    <w:rsid w:val="00375860"/>
    <w:rsid w:val="003758A0"/>
    <w:rsid w:val="003758E6"/>
    <w:rsid w:val="00375B7A"/>
    <w:rsid w:val="00375CAF"/>
    <w:rsid w:val="00376278"/>
    <w:rsid w:val="0037632D"/>
    <w:rsid w:val="00376504"/>
    <w:rsid w:val="00376670"/>
    <w:rsid w:val="00376728"/>
    <w:rsid w:val="00376946"/>
    <w:rsid w:val="00376A97"/>
    <w:rsid w:val="00376B52"/>
    <w:rsid w:val="00376DAC"/>
    <w:rsid w:val="00376E44"/>
    <w:rsid w:val="003771F0"/>
    <w:rsid w:val="003773FD"/>
    <w:rsid w:val="00377C89"/>
    <w:rsid w:val="003802AA"/>
    <w:rsid w:val="00380349"/>
    <w:rsid w:val="0038077B"/>
    <w:rsid w:val="003807B6"/>
    <w:rsid w:val="00380C95"/>
    <w:rsid w:val="00380E39"/>
    <w:rsid w:val="00381059"/>
    <w:rsid w:val="00381243"/>
    <w:rsid w:val="003817E4"/>
    <w:rsid w:val="00381AFF"/>
    <w:rsid w:val="00381F39"/>
    <w:rsid w:val="003822C8"/>
    <w:rsid w:val="00382A27"/>
    <w:rsid w:val="00382F7C"/>
    <w:rsid w:val="0038304F"/>
    <w:rsid w:val="00383083"/>
    <w:rsid w:val="00383440"/>
    <w:rsid w:val="0038365C"/>
    <w:rsid w:val="00384106"/>
    <w:rsid w:val="003842EC"/>
    <w:rsid w:val="0038466A"/>
    <w:rsid w:val="00384ADF"/>
    <w:rsid w:val="00384D35"/>
    <w:rsid w:val="00384FA7"/>
    <w:rsid w:val="0038500D"/>
    <w:rsid w:val="00385438"/>
    <w:rsid w:val="00385488"/>
    <w:rsid w:val="0038550E"/>
    <w:rsid w:val="00385714"/>
    <w:rsid w:val="00385FC4"/>
    <w:rsid w:val="003862BD"/>
    <w:rsid w:val="00386329"/>
    <w:rsid w:val="003863C9"/>
    <w:rsid w:val="00386478"/>
    <w:rsid w:val="00386570"/>
    <w:rsid w:val="0038662D"/>
    <w:rsid w:val="003867BB"/>
    <w:rsid w:val="00386883"/>
    <w:rsid w:val="00386FB6"/>
    <w:rsid w:val="0038713B"/>
    <w:rsid w:val="00387219"/>
    <w:rsid w:val="003874AE"/>
    <w:rsid w:val="003874BB"/>
    <w:rsid w:val="00387E8C"/>
    <w:rsid w:val="00390083"/>
    <w:rsid w:val="003903D0"/>
    <w:rsid w:val="003905D1"/>
    <w:rsid w:val="003908B3"/>
    <w:rsid w:val="00390B81"/>
    <w:rsid w:val="00390F67"/>
    <w:rsid w:val="0039184B"/>
    <w:rsid w:val="00391EC5"/>
    <w:rsid w:val="003920E1"/>
    <w:rsid w:val="00392837"/>
    <w:rsid w:val="00392840"/>
    <w:rsid w:val="00392BAF"/>
    <w:rsid w:val="00392C02"/>
    <w:rsid w:val="00392C37"/>
    <w:rsid w:val="00392FB9"/>
    <w:rsid w:val="003939C0"/>
    <w:rsid w:val="00393FD6"/>
    <w:rsid w:val="0039403F"/>
    <w:rsid w:val="0039430E"/>
    <w:rsid w:val="00394BCF"/>
    <w:rsid w:val="00394CAA"/>
    <w:rsid w:val="00394DFC"/>
    <w:rsid w:val="00394EE8"/>
    <w:rsid w:val="003955CB"/>
    <w:rsid w:val="00395875"/>
    <w:rsid w:val="00395942"/>
    <w:rsid w:val="00395AFF"/>
    <w:rsid w:val="00395C78"/>
    <w:rsid w:val="00395D0C"/>
    <w:rsid w:val="00395D8F"/>
    <w:rsid w:val="00396C02"/>
    <w:rsid w:val="00396C60"/>
    <w:rsid w:val="00396FD0"/>
    <w:rsid w:val="003970A3"/>
    <w:rsid w:val="003974C5"/>
    <w:rsid w:val="003976C2"/>
    <w:rsid w:val="003979A0"/>
    <w:rsid w:val="00397AB5"/>
    <w:rsid w:val="00397B84"/>
    <w:rsid w:val="00397E23"/>
    <w:rsid w:val="003A0443"/>
    <w:rsid w:val="003A0A64"/>
    <w:rsid w:val="003A0E6C"/>
    <w:rsid w:val="003A0EC8"/>
    <w:rsid w:val="003A143B"/>
    <w:rsid w:val="003A154C"/>
    <w:rsid w:val="003A158A"/>
    <w:rsid w:val="003A161A"/>
    <w:rsid w:val="003A18D0"/>
    <w:rsid w:val="003A1A7A"/>
    <w:rsid w:val="003A1DE2"/>
    <w:rsid w:val="003A1E92"/>
    <w:rsid w:val="003A2082"/>
    <w:rsid w:val="003A22A3"/>
    <w:rsid w:val="003A22D3"/>
    <w:rsid w:val="003A2645"/>
    <w:rsid w:val="003A2659"/>
    <w:rsid w:val="003A2681"/>
    <w:rsid w:val="003A26CF"/>
    <w:rsid w:val="003A28B2"/>
    <w:rsid w:val="003A2A8A"/>
    <w:rsid w:val="003A2AD4"/>
    <w:rsid w:val="003A2BE7"/>
    <w:rsid w:val="003A2ED2"/>
    <w:rsid w:val="003A3189"/>
    <w:rsid w:val="003A3302"/>
    <w:rsid w:val="003A3467"/>
    <w:rsid w:val="003A3663"/>
    <w:rsid w:val="003A36C1"/>
    <w:rsid w:val="003A3990"/>
    <w:rsid w:val="003A39C9"/>
    <w:rsid w:val="003A3D1C"/>
    <w:rsid w:val="003A3D4F"/>
    <w:rsid w:val="003A3EE6"/>
    <w:rsid w:val="003A4364"/>
    <w:rsid w:val="003A443A"/>
    <w:rsid w:val="003A451E"/>
    <w:rsid w:val="003A49B6"/>
    <w:rsid w:val="003A4C52"/>
    <w:rsid w:val="003A4EE5"/>
    <w:rsid w:val="003A5094"/>
    <w:rsid w:val="003A52EB"/>
    <w:rsid w:val="003A574B"/>
    <w:rsid w:val="003A58C4"/>
    <w:rsid w:val="003A5BED"/>
    <w:rsid w:val="003A6024"/>
    <w:rsid w:val="003A61BE"/>
    <w:rsid w:val="003A64BF"/>
    <w:rsid w:val="003A6AA3"/>
    <w:rsid w:val="003A6E28"/>
    <w:rsid w:val="003A7103"/>
    <w:rsid w:val="003A725E"/>
    <w:rsid w:val="003A72D6"/>
    <w:rsid w:val="003A7331"/>
    <w:rsid w:val="003A78C6"/>
    <w:rsid w:val="003A7EF1"/>
    <w:rsid w:val="003B03C5"/>
    <w:rsid w:val="003B0A4F"/>
    <w:rsid w:val="003B0CDB"/>
    <w:rsid w:val="003B0D79"/>
    <w:rsid w:val="003B1629"/>
    <w:rsid w:val="003B17BF"/>
    <w:rsid w:val="003B217F"/>
    <w:rsid w:val="003B22F3"/>
    <w:rsid w:val="003B2337"/>
    <w:rsid w:val="003B2382"/>
    <w:rsid w:val="003B23CF"/>
    <w:rsid w:val="003B2722"/>
    <w:rsid w:val="003B2791"/>
    <w:rsid w:val="003B2C5E"/>
    <w:rsid w:val="003B2E26"/>
    <w:rsid w:val="003B2F18"/>
    <w:rsid w:val="003B308C"/>
    <w:rsid w:val="003B30F5"/>
    <w:rsid w:val="003B319E"/>
    <w:rsid w:val="003B31A5"/>
    <w:rsid w:val="003B3AA4"/>
    <w:rsid w:val="003B41BF"/>
    <w:rsid w:val="003B4465"/>
    <w:rsid w:val="003B4886"/>
    <w:rsid w:val="003B4A5C"/>
    <w:rsid w:val="003B4C54"/>
    <w:rsid w:val="003B50D6"/>
    <w:rsid w:val="003B51BE"/>
    <w:rsid w:val="003B5281"/>
    <w:rsid w:val="003B537A"/>
    <w:rsid w:val="003B56C7"/>
    <w:rsid w:val="003B58FB"/>
    <w:rsid w:val="003B5923"/>
    <w:rsid w:val="003B5A09"/>
    <w:rsid w:val="003B5AE9"/>
    <w:rsid w:val="003B5C9C"/>
    <w:rsid w:val="003B5CA8"/>
    <w:rsid w:val="003B5CC6"/>
    <w:rsid w:val="003B5E25"/>
    <w:rsid w:val="003B5EA0"/>
    <w:rsid w:val="003B612E"/>
    <w:rsid w:val="003B641C"/>
    <w:rsid w:val="003B672C"/>
    <w:rsid w:val="003B69B2"/>
    <w:rsid w:val="003B6A65"/>
    <w:rsid w:val="003B6CF5"/>
    <w:rsid w:val="003B7270"/>
    <w:rsid w:val="003B7694"/>
    <w:rsid w:val="003B7874"/>
    <w:rsid w:val="003B788D"/>
    <w:rsid w:val="003B7897"/>
    <w:rsid w:val="003B7A0F"/>
    <w:rsid w:val="003B7A40"/>
    <w:rsid w:val="003B7B86"/>
    <w:rsid w:val="003B7E4B"/>
    <w:rsid w:val="003B7EB7"/>
    <w:rsid w:val="003B7F6A"/>
    <w:rsid w:val="003C02DA"/>
    <w:rsid w:val="003C06BA"/>
    <w:rsid w:val="003C06E0"/>
    <w:rsid w:val="003C0833"/>
    <w:rsid w:val="003C08D9"/>
    <w:rsid w:val="003C0C09"/>
    <w:rsid w:val="003C137F"/>
    <w:rsid w:val="003C1587"/>
    <w:rsid w:val="003C15F8"/>
    <w:rsid w:val="003C1802"/>
    <w:rsid w:val="003C1A90"/>
    <w:rsid w:val="003C1DD0"/>
    <w:rsid w:val="003C1F89"/>
    <w:rsid w:val="003C23FB"/>
    <w:rsid w:val="003C245C"/>
    <w:rsid w:val="003C2B22"/>
    <w:rsid w:val="003C2BB1"/>
    <w:rsid w:val="003C2BBF"/>
    <w:rsid w:val="003C2E68"/>
    <w:rsid w:val="003C2FDF"/>
    <w:rsid w:val="003C4083"/>
    <w:rsid w:val="003C435A"/>
    <w:rsid w:val="003C46CD"/>
    <w:rsid w:val="003C4C2E"/>
    <w:rsid w:val="003C4E93"/>
    <w:rsid w:val="003C4ECB"/>
    <w:rsid w:val="003C4F53"/>
    <w:rsid w:val="003C5994"/>
    <w:rsid w:val="003C5DDC"/>
    <w:rsid w:val="003C5E99"/>
    <w:rsid w:val="003C60CA"/>
    <w:rsid w:val="003C61D8"/>
    <w:rsid w:val="003C63D5"/>
    <w:rsid w:val="003C672E"/>
    <w:rsid w:val="003C67CC"/>
    <w:rsid w:val="003C6834"/>
    <w:rsid w:val="003C6884"/>
    <w:rsid w:val="003C6BB6"/>
    <w:rsid w:val="003C7023"/>
    <w:rsid w:val="003C72B9"/>
    <w:rsid w:val="003C73FA"/>
    <w:rsid w:val="003C7408"/>
    <w:rsid w:val="003C7729"/>
    <w:rsid w:val="003C79C5"/>
    <w:rsid w:val="003C7A39"/>
    <w:rsid w:val="003C7BC6"/>
    <w:rsid w:val="003C7BCE"/>
    <w:rsid w:val="003C7D11"/>
    <w:rsid w:val="003C7D34"/>
    <w:rsid w:val="003C7E1F"/>
    <w:rsid w:val="003C7EB9"/>
    <w:rsid w:val="003D010D"/>
    <w:rsid w:val="003D08C2"/>
    <w:rsid w:val="003D150B"/>
    <w:rsid w:val="003D17DC"/>
    <w:rsid w:val="003D1828"/>
    <w:rsid w:val="003D1BA7"/>
    <w:rsid w:val="003D1E28"/>
    <w:rsid w:val="003D2422"/>
    <w:rsid w:val="003D2759"/>
    <w:rsid w:val="003D2EED"/>
    <w:rsid w:val="003D3053"/>
    <w:rsid w:val="003D3938"/>
    <w:rsid w:val="003D39A5"/>
    <w:rsid w:val="003D3CEA"/>
    <w:rsid w:val="003D3D17"/>
    <w:rsid w:val="003D3EE3"/>
    <w:rsid w:val="003D40CD"/>
    <w:rsid w:val="003D47BD"/>
    <w:rsid w:val="003D4BF3"/>
    <w:rsid w:val="003D4D00"/>
    <w:rsid w:val="003D4DC4"/>
    <w:rsid w:val="003D51A4"/>
    <w:rsid w:val="003D5222"/>
    <w:rsid w:val="003D5722"/>
    <w:rsid w:val="003D5B30"/>
    <w:rsid w:val="003D5F41"/>
    <w:rsid w:val="003D6272"/>
    <w:rsid w:val="003D6533"/>
    <w:rsid w:val="003D6692"/>
    <w:rsid w:val="003D69D5"/>
    <w:rsid w:val="003D6B2E"/>
    <w:rsid w:val="003D6CA4"/>
    <w:rsid w:val="003D716A"/>
    <w:rsid w:val="003D7A78"/>
    <w:rsid w:val="003D7A99"/>
    <w:rsid w:val="003D7E14"/>
    <w:rsid w:val="003D7F22"/>
    <w:rsid w:val="003E00C1"/>
    <w:rsid w:val="003E0295"/>
    <w:rsid w:val="003E085A"/>
    <w:rsid w:val="003E0B69"/>
    <w:rsid w:val="003E0B70"/>
    <w:rsid w:val="003E0C88"/>
    <w:rsid w:val="003E0C9A"/>
    <w:rsid w:val="003E0D30"/>
    <w:rsid w:val="003E0DA0"/>
    <w:rsid w:val="003E0EE8"/>
    <w:rsid w:val="003E1229"/>
    <w:rsid w:val="003E15D4"/>
    <w:rsid w:val="003E16D8"/>
    <w:rsid w:val="003E16F7"/>
    <w:rsid w:val="003E1725"/>
    <w:rsid w:val="003E1813"/>
    <w:rsid w:val="003E1C76"/>
    <w:rsid w:val="003E1C8C"/>
    <w:rsid w:val="003E1CEB"/>
    <w:rsid w:val="003E1EFD"/>
    <w:rsid w:val="003E1F85"/>
    <w:rsid w:val="003E2028"/>
    <w:rsid w:val="003E2431"/>
    <w:rsid w:val="003E2975"/>
    <w:rsid w:val="003E2BA2"/>
    <w:rsid w:val="003E32E3"/>
    <w:rsid w:val="003E3404"/>
    <w:rsid w:val="003E3619"/>
    <w:rsid w:val="003E3785"/>
    <w:rsid w:val="003E38B4"/>
    <w:rsid w:val="003E38DD"/>
    <w:rsid w:val="003E3A50"/>
    <w:rsid w:val="003E43B4"/>
    <w:rsid w:val="003E4507"/>
    <w:rsid w:val="003E45D1"/>
    <w:rsid w:val="003E4653"/>
    <w:rsid w:val="003E4773"/>
    <w:rsid w:val="003E4960"/>
    <w:rsid w:val="003E5191"/>
    <w:rsid w:val="003E51F9"/>
    <w:rsid w:val="003E536A"/>
    <w:rsid w:val="003E59A8"/>
    <w:rsid w:val="003E5E2F"/>
    <w:rsid w:val="003E607D"/>
    <w:rsid w:val="003E6204"/>
    <w:rsid w:val="003E6245"/>
    <w:rsid w:val="003E652A"/>
    <w:rsid w:val="003E67D6"/>
    <w:rsid w:val="003E6B1E"/>
    <w:rsid w:val="003E6EAD"/>
    <w:rsid w:val="003E73FB"/>
    <w:rsid w:val="003E7922"/>
    <w:rsid w:val="003E7D9E"/>
    <w:rsid w:val="003E7EB2"/>
    <w:rsid w:val="003E7FAF"/>
    <w:rsid w:val="003F0204"/>
    <w:rsid w:val="003F0897"/>
    <w:rsid w:val="003F08DE"/>
    <w:rsid w:val="003F0F3F"/>
    <w:rsid w:val="003F0F71"/>
    <w:rsid w:val="003F101C"/>
    <w:rsid w:val="003F101D"/>
    <w:rsid w:val="003F1412"/>
    <w:rsid w:val="003F15EA"/>
    <w:rsid w:val="003F161B"/>
    <w:rsid w:val="003F1727"/>
    <w:rsid w:val="003F1A6C"/>
    <w:rsid w:val="003F1C21"/>
    <w:rsid w:val="003F1DF2"/>
    <w:rsid w:val="003F20DA"/>
    <w:rsid w:val="003F2250"/>
    <w:rsid w:val="003F226F"/>
    <w:rsid w:val="003F2B00"/>
    <w:rsid w:val="003F2D8D"/>
    <w:rsid w:val="003F2F1C"/>
    <w:rsid w:val="003F2F38"/>
    <w:rsid w:val="003F3218"/>
    <w:rsid w:val="003F3611"/>
    <w:rsid w:val="003F3952"/>
    <w:rsid w:val="003F3A9E"/>
    <w:rsid w:val="003F3C4A"/>
    <w:rsid w:val="003F3D95"/>
    <w:rsid w:val="003F408F"/>
    <w:rsid w:val="003F4156"/>
    <w:rsid w:val="003F458C"/>
    <w:rsid w:val="003F47BF"/>
    <w:rsid w:val="003F4B00"/>
    <w:rsid w:val="003F4B8A"/>
    <w:rsid w:val="003F4F72"/>
    <w:rsid w:val="003F5803"/>
    <w:rsid w:val="003F5979"/>
    <w:rsid w:val="003F5E19"/>
    <w:rsid w:val="003F623C"/>
    <w:rsid w:val="003F623E"/>
    <w:rsid w:val="003F631C"/>
    <w:rsid w:val="003F684F"/>
    <w:rsid w:val="003F6B08"/>
    <w:rsid w:val="003F6B23"/>
    <w:rsid w:val="003F6EB3"/>
    <w:rsid w:val="003F7493"/>
    <w:rsid w:val="003F789F"/>
    <w:rsid w:val="003F7930"/>
    <w:rsid w:val="003F79B4"/>
    <w:rsid w:val="003F7C92"/>
    <w:rsid w:val="003F7D51"/>
    <w:rsid w:val="004001C6"/>
    <w:rsid w:val="004003F8"/>
    <w:rsid w:val="00400570"/>
    <w:rsid w:val="004007E8"/>
    <w:rsid w:val="004007F2"/>
    <w:rsid w:val="00400C45"/>
    <w:rsid w:val="00400D1D"/>
    <w:rsid w:val="00400D81"/>
    <w:rsid w:val="004011D2"/>
    <w:rsid w:val="00401307"/>
    <w:rsid w:val="00401404"/>
    <w:rsid w:val="00401548"/>
    <w:rsid w:val="004017CE"/>
    <w:rsid w:val="004017EE"/>
    <w:rsid w:val="004028A1"/>
    <w:rsid w:val="00402C5A"/>
    <w:rsid w:val="00402F4C"/>
    <w:rsid w:val="004033E5"/>
    <w:rsid w:val="00403A46"/>
    <w:rsid w:val="00403A6F"/>
    <w:rsid w:val="00403D8D"/>
    <w:rsid w:val="004043E6"/>
    <w:rsid w:val="00404491"/>
    <w:rsid w:val="0040457A"/>
    <w:rsid w:val="00404E46"/>
    <w:rsid w:val="00405047"/>
    <w:rsid w:val="004052EA"/>
    <w:rsid w:val="004053BC"/>
    <w:rsid w:val="0040540E"/>
    <w:rsid w:val="004054F4"/>
    <w:rsid w:val="00405728"/>
    <w:rsid w:val="00405A68"/>
    <w:rsid w:val="00405E73"/>
    <w:rsid w:val="00405EA3"/>
    <w:rsid w:val="004061F0"/>
    <w:rsid w:val="00406412"/>
    <w:rsid w:val="004065BE"/>
    <w:rsid w:val="00406A4C"/>
    <w:rsid w:val="00406BD3"/>
    <w:rsid w:val="004070EF"/>
    <w:rsid w:val="00407287"/>
    <w:rsid w:val="00407CB8"/>
    <w:rsid w:val="00407DF7"/>
    <w:rsid w:val="00407EBC"/>
    <w:rsid w:val="00407F5E"/>
    <w:rsid w:val="00410156"/>
    <w:rsid w:val="00410186"/>
    <w:rsid w:val="0041022C"/>
    <w:rsid w:val="00410599"/>
    <w:rsid w:val="004106C6"/>
    <w:rsid w:val="00410708"/>
    <w:rsid w:val="00410759"/>
    <w:rsid w:val="00410984"/>
    <w:rsid w:val="00410CF5"/>
    <w:rsid w:val="00410EC7"/>
    <w:rsid w:val="004113ED"/>
    <w:rsid w:val="00411863"/>
    <w:rsid w:val="00411D61"/>
    <w:rsid w:val="004124DC"/>
    <w:rsid w:val="00412681"/>
    <w:rsid w:val="004129C8"/>
    <w:rsid w:val="00412BED"/>
    <w:rsid w:val="00412D14"/>
    <w:rsid w:val="00412F24"/>
    <w:rsid w:val="0041306B"/>
    <w:rsid w:val="004130C5"/>
    <w:rsid w:val="004135B2"/>
    <w:rsid w:val="0041368F"/>
    <w:rsid w:val="004137AD"/>
    <w:rsid w:val="00413832"/>
    <w:rsid w:val="0041395A"/>
    <w:rsid w:val="00413BE2"/>
    <w:rsid w:val="00413E37"/>
    <w:rsid w:val="00414152"/>
    <w:rsid w:val="0041435B"/>
    <w:rsid w:val="00414476"/>
    <w:rsid w:val="00414490"/>
    <w:rsid w:val="00414600"/>
    <w:rsid w:val="00414882"/>
    <w:rsid w:val="00414A39"/>
    <w:rsid w:val="00414B8E"/>
    <w:rsid w:val="00415309"/>
    <w:rsid w:val="0041552D"/>
    <w:rsid w:val="004155D8"/>
    <w:rsid w:val="0041590C"/>
    <w:rsid w:val="00415DB0"/>
    <w:rsid w:val="00415E94"/>
    <w:rsid w:val="00416414"/>
    <w:rsid w:val="00416699"/>
    <w:rsid w:val="004166C5"/>
    <w:rsid w:val="004168F2"/>
    <w:rsid w:val="00416967"/>
    <w:rsid w:val="004169B0"/>
    <w:rsid w:val="00416BBF"/>
    <w:rsid w:val="00416BDD"/>
    <w:rsid w:val="00416D00"/>
    <w:rsid w:val="00416DE9"/>
    <w:rsid w:val="00416EF6"/>
    <w:rsid w:val="00416F60"/>
    <w:rsid w:val="00417497"/>
    <w:rsid w:val="00417573"/>
    <w:rsid w:val="004175A0"/>
    <w:rsid w:val="00417B3E"/>
    <w:rsid w:val="00417E76"/>
    <w:rsid w:val="004200A5"/>
    <w:rsid w:val="004203A8"/>
    <w:rsid w:val="00420840"/>
    <w:rsid w:val="0042088E"/>
    <w:rsid w:val="00420B9F"/>
    <w:rsid w:val="00420BC2"/>
    <w:rsid w:val="00420BF4"/>
    <w:rsid w:val="00420CED"/>
    <w:rsid w:val="00420E5F"/>
    <w:rsid w:val="0042122A"/>
    <w:rsid w:val="00421882"/>
    <w:rsid w:val="00421DA9"/>
    <w:rsid w:val="00421EA2"/>
    <w:rsid w:val="004222CD"/>
    <w:rsid w:val="0042236F"/>
    <w:rsid w:val="00422624"/>
    <w:rsid w:val="00422890"/>
    <w:rsid w:val="00422EC8"/>
    <w:rsid w:val="0042361D"/>
    <w:rsid w:val="004237C5"/>
    <w:rsid w:val="004246F6"/>
    <w:rsid w:val="00424AA0"/>
    <w:rsid w:val="00425156"/>
    <w:rsid w:val="00425347"/>
    <w:rsid w:val="0042544D"/>
    <w:rsid w:val="004254D1"/>
    <w:rsid w:val="00425845"/>
    <w:rsid w:val="0042604C"/>
    <w:rsid w:val="0042606B"/>
    <w:rsid w:val="0042634B"/>
    <w:rsid w:val="0042662D"/>
    <w:rsid w:val="00426777"/>
    <w:rsid w:val="00426BF5"/>
    <w:rsid w:val="00426D07"/>
    <w:rsid w:val="00426E7F"/>
    <w:rsid w:val="00427055"/>
    <w:rsid w:val="004272D6"/>
    <w:rsid w:val="00427497"/>
    <w:rsid w:val="00427511"/>
    <w:rsid w:val="00427852"/>
    <w:rsid w:val="00427894"/>
    <w:rsid w:val="00427B5E"/>
    <w:rsid w:val="00427D67"/>
    <w:rsid w:val="00427E5C"/>
    <w:rsid w:val="004301CE"/>
    <w:rsid w:val="00430205"/>
    <w:rsid w:val="004306A1"/>
    <w:rsid w:val="004306C0"/>
    <w:rsid w:val="0043071C"/>
    <w:rsid w:val="004309F0"/>
    <w:rsid w:val="00430B65"/>
    <w:rsid w:val="00430DB5"/>
    <w:rsid w:val="00430E6C"/>
    <w:rsid w:val="004313AC"/>
    <w:rsid w:val="004313CB"/>
    <w:rsid w:val="004319F8"/>
    <w:rsid w:val="00431F19"/>
    <w:rsid w:val="00431FDB"/>
    <w:rsid w:val="0043221B"/>
    <w:rsid w:val="0043227D"/>
    <w:rsid w:val="004323DD"/>
    <w:rsid w:val="004328C8"/>
    <w:rsid w:val="00432D91"/>
    <w:rsid w:val="00432FE0"/>
    <w:rsid w:val="00433044"/>
    <w:rsid w:val="00433215"/>
    <w:rsid w:val="004335B3"/>
    <w:rsid w:val="004337A2"/>
    <w:rsid w:val="00433B2A"/>
    <w:rsid w:val="00433CEF"/>
    <w:rsid w:val="0043401C"/>
    <w:rsid w:val="004340F5"/>
    <w:rsid w:val="00434439"/>
    <w:rsid w:val="00434492"/>
    <w:rsid w:val="004344E7"/>
    <w:rsid w:val="004345AE"/>
    <w:rsid w:val="004345D1"/>
    <w:rsid w:val="00434ADC"/>
    <w:rsid w:val="00434AF9"/>
    <w:rsid w:val="00435675"/>
    <w:rsid w:val="004356F9"/>
    <w:rsid w:val="004357F1"/>
    <w:rsid w:val="004359F2"/>
    <w:rsid w:val="00435A24"/>
    <w:rsid w:val="00436763"/>
    <w:rsid w:val="00436A26"/>
    <w:rsid w:val="00437408"/>
    <w:rsid w:val="00437684"/>
    <w:rsid w:val="00437871"/>
    <w:rsid w:val="00437A32"/>
    <w:rsid w:val="00437A78"/>
    <w:rsid w:val="00437D5E"/>
    <w:rsid w:val="00437DAA"/>
    <w:rsid w:val="00437E3E"/>
    <w:rsid w:val="00440CC6"/>
    <w:rsid w:val="00440CD0"/>
    <w:rsid w:val="00441006"/>
    <w:rsid w:val="00441160"/>
    <w:rsid w:val="0044125D"/>
    <w:rsid w:val="0044137C"/>
    <w:rsid w:val="00441809"/>
    <w:rsid w:val="004419A7"/>
    <w:rsid w:val="00441C27"/>
    <w:rsid w:val="00441D45"/>
    <w:rsid w:val="00441D7E"/>
    <w:rsid w:val="00442049"/>
    <w:rsid w:val="00442152"/>
    <w:rsid w:val="004421EC"/>
    <w:rsid w:val="004423AF"/>
    <w:rsid w:val="00442407"/>
    <w:rsid w:val="004425F7"/>
    <w:rsid w:val="00442A91"/>
    <w:rsid w:val="00442D8E"/>
    <w:rsid w:val="00443103"/>
    <w:rsid w:val="00443770"/>
    <w:rsid w:val="004438CC"/>
    <w:rsid w:val="004439D6"/>
    <w:rsid w:val="00443CDC"/>
    <w:rsid w:val="00443E1A"/>
    <w:rsid w:val="00443FCA"/>
    <w:rsid w:val="004441B3"/>
    <w:rsid w:val="004443A7"/>
    <w:rsid w:val="00444484"/>
    <w:rsid w:val="00444773"/>
    <w:rsid w:val="00444886"/>
    <w:rsid w:val="00444AC0"/>
    <w:rsid w:val="00444CD9"/>
    <w:rsid w:val="00444F5D"/>
    <w:rsid w:val="0044517F"/>
    <w:rsid w:val="0044543B"/>
    <w:rsid w:val="004459E5"/>
    <w:rsid w:val="00445A1A"/>
    <w:rsid w:val="00445AE5"/>
    <w:rsid w:val="00446041"/>
    <w:rsid w:val="004464EB"/>
    <w:rsid w:val="0044662C"/>
    <w:rsid w:val="00446CCE"/>
    <w:rsid w:val="00446E96"/>
    <w:rsid w:val="00446EE4"/>
    <w:rsid w:val="0044720F"/>
    <w:rsid w:val="00447565"/>
    <w:rsid w:val="00447696"/>
    <w:rsid w:val="00447B11"/>
    <w:rsid w:val="00447B28"/>
    <w:rsid w:val="00447D2A"/>
    <w:rsid w:val="004500DB"/>
    <w:rsid w:val="00450583"/>
    <w:rsid w:val="004509B5"/>
    <w:rsid w:val="00450ABC"/>
    <w:rsid w:val="00450CBC"/>
    <w:rsid w:val="00450E46"/>
    <w:rsid w:val="0045158B"/>
    <w:rsid w:val="004518F5"/>
    <w:rsid w:val="0045198B"/>
    <w:rsid w:val="00451CBF"/>
    <w:rsid w:val="004522A2"/>
    <w:rsid w:val="00452387"/>
    <w:rsid w:val="0045239E"/>
    <w:rsid w:val="00452BD4"/>
    <w:rsid w:val="00452C17"/>
    <w:rsid w:val="00453867"/>
    <w:rsid w:val="00454797"/>
    <w:rsid w:val="00454979"/>
    <w:rsid w:val="00454994"/>
    <w:rsid w:val="00454D64"/>
    <w:rsid w:val="00454F44"/>
    <w:rsid w:val="00455322"/>
    <w:rsid w:val="004553E7"/>
    <w:rsid w:val="0045553D"/>
    <w:rsid w:val="004555FA"/>
    <w:rsid w:val="00455613"/>
    <w:rsid w:val="004556C9"/>
    <w:rsid w:val="0045574E"/>
    <w:rsid w:val="00455961"/>
    <w:rsid w:val="004559FB"/>
    <w:rsid w:val="00455BCB"/>
    <w:rsid w:val="00455D45"/>
    <w:rsid w:val="00455D72"/>
    <w:rsid w:val="00455E69"/>
    <w:rsid w:val="0045625D"/>
    <w:rsid w:val="004564A4"/>
    <w:rsid w:val="00456A51"/>
    <w:rsid w:val="00456D72"/>
    <w:rsid w:val="00456D9B"/>
    <w:rsid w:val="00456FB5"/>
    <w:rsid w:val="004572EB"/>
    <w:rsid w:val="00457349"/>
    <w:rsid w:val="004573E5"/>
    <w:rsid w:val="00457573"/>
    <w:rsid w:val="00457737"/>
    <w:rsid w:val="00457B3E"/>
    <w:rsid w:val="00457B4C"/>
    <w:rsid w:val="004600C4"/>
    <w:rsid w:val="004605DD"/>
    <w:rsid w:val="0046076D"/>
    <w:rsid w:val="00460870"/>
    <w:rsid w:val="00461376"/>
    <w:rsid w:val="004614AC"/>
    <w:rsid w:val="00461A84"/>
    <w:rsid w:val="00461F82"/>
    <w:rsid w:val="004622F0"/>
    <w:rsid w:val="0046290F"/>
    <w:rsid w:val="0046299B"/>
    <w:rsid w:val="00462BFD"/>
    <w:rsid w:val="00462CEA"/>
    <w:rsid w:val="004633F1"/>
    <w:rsid w:val="00463746"/>
    <w:rsid w:val="00463A6E"/>
    <w:rsid w:val="00463C3E"/>
    <w:rsid w:val="00463FE8"/>
    <w:rsid w:val="00464098"/>
    <w:rsid w:val="0046434E"/>
    <w:rsid w:val="0046438F"/>
    <w:rsid w:val="004644E4"/>
    <w:rsid w:val="00464595"/>
    <w:rsid w:val="004648DF"/>
    <w:rsid w:val="00464A4B"/>
    <w:rsid w:val="00464D08"/>
    <w:rsid w:val="00464E3F"/>
    <w:rsid w:val="00465165"/>
    <w:rsid w:val="004652C5"/>
    <w:rsid w:val="00465A75"/>
    <w:rsid w:val="00465D6B"/>
    <w:rsid w:val="0046616B"/>
    <w:rsid w:val="004663C9"/>
    <w:rsid w:val="00466616"/>
    <w:rsid w:val="004666C2"/>
    <w:rsid w:val="00466D65"/>
    <w:rsid w:val="00467202"/>
    <w:rsid w:val="0046739E"/>
    <w:rsid w:val="00467748"/>
    <w:rsid w:val="00467803"/>
    <w:rsid w:val="00467895"/>
    <w:rsid w:val="004678EC"/>
    <w:rsid w:val="00467F96"/>
    <w:rsid w:val="00470680"/>
    <w:rsid w:val="00470A2A"/>
    <w:rsid w:val="00470A7B"/>
    <w:rsid w:val="00470CA0"/>
    <w:rsid w:val="00470FD3"/>
    <w:rsid w:val="0047111C"/>
    <w:rsid w:val="00471354"/>
    <w:rsid w:val="00471429"/>
    <w:rsid w:val="00471666"/>
    <w:rsid w:val="0047222E"/>
    <w:rsid w:val="00472385"/>
    <w:rsid w:val="00472741"/>
    <w:rsid w:val="0047276A"/>
    <w:rsid w:val="00472D66"/>
    <w:rsid w:val="00472F90"/>
    <w:rsid w:val="00472FA3"/>
    <w:rsid w:val="00473506"/>
    <w:rsid w:val="004735DC"/>
    <w:rsid w:val="004735F6"/>
    <w:rsid w:val="00473761"/>
    <w:rsid w:val="00473855"/>
    <w:rsid w:val="00473A77"/>
    <w:rsid w:val="00473AAA"/>
    <w:rsid w:val="00473CF3"/>
    <w:rsid w:val="00473F5B"/>
    <w:rsid w:val="00473FC1"/>
    <w:rsid w:val="004740D9"/>
    <w:rsid w:val="004741FE"/>
    <w:rsid w:val="00474326"/>
    <w:rsid w:val="00474357"/>
    <w:rsid w:val="00474543"/>
    <w:rsid w:val="00474689"/>
    <w:rsid w:val="00474868"/>
    <w:rsid w:val="004748CE"/>
    <w:rsid w:val="00474B96"/>
    <w:rsid w:val="004756B9"/>
    <w:rsid w:val="004757A7"/>
    <w:rsid w:val="00475822"/>
    <w:rsid w:val="00475A0C"/>
    <w:rsid w:val="004761B6"/>
    <w:rsid w:val="00476530"/>
    <w:rsid w:val="0047667E"/>
    <w:rsid w:val="00476733"/>
    <w:rsid w:val="00476BC0"/>
    <w:rsid w:val="00476BF6"/>
    <w:rsid w:val="00476DC6"/>
    <w:rsid w:val="00477403"/>
    <w:rsid w:val="00477584"/>
    <w:rsid w:val="004775E2"/>
    <w:rsid w:val="004777AC"/>
    <w:rsid w:val="00477E0C"/>
    <w:rsid w:val="004800FA"/>
    <w:rsid w:val="00480687"/>
    <w:rsid w:val="004806D1"/>
    <w:rsid w:val="00480A20"/>
    <w:rsid w:val="00480BBE"/>
    <w:rsid w:val="00480D33"/>
    <w:rsid w:val="00480D65"/>
    <w:rsid w:val="00480E26"/>
    <w:rsid w:val="00480F23"/>
    <w:rsid w:val="00481177"/>
    <w:rsid w:val="00481194"/>
    <w:rsid w:val="00481283"/>
    <w:rsid w:val="00481BF2"/>
    <w:rsid w:val="00481C25"/>
    <w:rsid w:val="0048247B"/>
    <w:rsid w:val="004828AE"/>
    <w:rsid w:val="00482943"/>
    <w:rsid w:val="00482A20"/>
    <w:rsid w:val="00482C4A"/>
    <w:rsid w:val="00482FD1"/>
    <w:rsid w:val="0048324A"/>
    <w:rsid w:val="00483959"/>
    <w:rsid w:val="00483986"/>
    <w:rsid w:val="00483C7E"/>
    <w:rsid w:val="00484338"/>
    <w:rsid w:val="00484A4C"/>
    <w:rsid w:val="00484B62"/>
    <w:rsid w:val="00484CE9"/>
    <w:rsid w:val="004850AA"/>
    <w:rsid w:val="00485316"/>
    <w:rsid w:val="00485B20"/>
    <w:rsid w:val="0048650F"/>
    <w:rsid w:val="0048660C"/>
    <w:rsid w:val="0048666F"/>
    <w:rsid w:val="00486693"/>
    <w:rsid w:val="004867E2"/>
    <w:rsid w:val="004868A9"/>
    <w:rsid w:val="00486A85"/>
    <w:rsid w:val="00486CFB"/>
    <w:rsid w:val="00486D67"/>
    <w:rsid w:val="00487152"/>
    <w:rsid w:val="0048720D"/>
    <w:rsid w:val="00487260"/>
    <w:rsid w:val="0048754A"/>
    <w:rsid w:val="00487951"/>
    <w:rsid w:val="00487A13"/>
    <w:rsid w:val="00487A56"/>
    <w:rsid w:val="00487BAB"/>
    <w:rsid w:val="00487E3E"/>
    <w:rsid w:val="00487E95"/>
    <w:rsid w:val="00487F9F"/>
    <w:rsid w:val="00487FA7"/>
    <w:rsid w:val="00490136"/>
    <w:rsid w:val="004901F0"/>
    <w:rsid w:val="0049023D"/>
    <w:rsid w:val="004902AD"/>
    <w:rsid w:val="004904C3"/>
    <w:rsid w:val="0049093D"/>
    <w:rsid w:val="00490974"/>
    <w:rsid w:val="00490C9C"/>
    <w:rsid w:val="00490D45"/>
    <w:rsid w:val="00491108"/>
    <w:rsid w:val="00491114"/>
    <w:rsid w:val="004915A7"/>
    <w:rsid w:val="00491682"/>
    <w:rsid w:val="00491867"/>
    <w:rsid w:val="00491B3A"/>
    <w:rsid w:val="00492149"/>
    <w:rsid w:val="004924B7"/>
    <w:rsid w:val="004926CA"/>
    <w:rsid w:val="004928DD"/>
    <w:rsid w:val="0049293A"/>
    <w:rsid w:val="00492CFD"/>
    <w:rsid w:val="00492DD9"/>
    <w:rsid w:val="00492E1A"/>
    <w:rsid w:val="00493018"/>
    <w:rsid w:val="00493764"/>
    <w:rsid w:val="004937B8"/>
    <w:rsid w:val="004937EE"/>
    <w:rsid w:val="00493A69"/>
    <w:rsid w:val="00493CF4"/>
    <w:rsid w:val="00493DD1"/>
    <w:rsid w:val="00494177"/>
    <w:rsid w:val="004943CA"/>
    <w:rsid w:val="00494EFC"/>
    <w:rsid w:val="00494F41"/>
    <w:rsid w:val="00495323"/>
    <w:rsid w:val="004953A5"/>
    <w:rsid w:val="00495849"/>
    <w:rsid w:val="004959E8"/>
    <w:rsid w:val="00495F50"/>
    <w:rsid w:val="004962D2"/>
    <w:rsid w:val="004963B5"/>
    <w:rsid w:val="004964CD"/>
    <w:rsid w:val="00496806"/>
    <w:rsid w:val="0049699E"/>
    <w:rsid w:val="00496DE0"/>
    <w:rsid w:val="00496EB4"/>
    <w:rsid w:val="00497204"/>
    <w:rsid w:val="00497249"/>
    <w:rsid w:val="004975B0"/>
    <w:rsid w:val="004975CF"/>
    <w:rsid w:val="0049775D"/>
    <w:rsid w:val="004978CA"/>
    <w:rsid w:val="00497A90"/>
    <w:rsid w:val="00497B94"/>
    <w:rsid w:val="00497C55"/>
    <w:rsid w:val="00497D35"/>
    <w:rsid w:val="00497ED5"/>
    <w:rsid w:val="004A0062"/>
    <w:rsid w:val="004A0092"/>
    <w:rsid w:val="004A021D"/>
    <w:rsid w:val="004A042B"/>
    <w:rsid w:val="004A047E"/>
    <w:rsid w:val="004A0686"/>
    <w:rsid w:val="004A06CB"/>
    <w:rsid w:val="004A0771"/>
    <w:rsid w:val="004A0DA1"/>
    <w:rsid w:val="004A0F0A"/>
    <w:rsid w:val="004A0F11"/>
    <w:rsid w:val="004A15EE"/>
    <w:rsid w:val="004A15FF"/>
    <w:rsid w:val="004A1C97"/>
    <w:rsid w:val="004A1D78"/>
    <w:rsid w:val="004A1D7E"/>
    <w:rsid w:val="004A1E6B"/>
    <w:rsid w:val="004A271A"/>
    <w:rsid w:val="004A27DF"/>
    <w:rsid w:val="004A27E5"/>
    <w:rsid w:val="004A281D"/>
    <w:rsid w:val="004A2F5C"/>
    <w:rsid w:val="004A2FC6"/>
    <w:rsid w:val="004A2FD0"/>
    <w:rsid w:val="004A32E6"/>
    <w:rsid w:val="004A378D"/>
    <w:rsid w:val="004A3D25"/>
    <w:rsid w:val="004A3D6A"/>
    <w:rsid w:val="004A4B2A"/>
    <w:rsid w:val="004A4D94"/>
    <w:rsid w:val="004A4DF7"/>
    <w:rsid w:val="004A501A"/>
    <w:rsid w:val="004A5420"/>
    <w:rsid w:val="004A55E8"/>
    <w:rsid w:val="004A60BA"/>
    <w:rsid w:val="004A64B9"/>
    <w:rsid w:val="004A6597"/>
    <w:rsid w:val="004A660A"/>
    <w:rsid w:val="004A6763"/>
    <w:rsid w:val="004A6824"/>
    <w:rsid w:val="004A688A"/>
    <w:rsid w:val="004A6C39"/>
    <w:rsid w:val="004A7291"/>
    <w:rsid w:val="004A7340"/>
    <w:rsid w:val="004A76AB"/>
    <w:rsid w:val="004A7A45"/>
    <w:rsid w:val="004A7A7E"/>
    <w:rsid w:val="004A7D68"/>
    <w:rsid w:val="004A7E91"/>
    <w:rsid w:val="004A7F19"/>
    <w:rsid w:val="004A7F49"/>
    <w:rsid w:val="004B00E5"/>
    <w:rsid w:val="004B0198"/>
    <w:rsid w:val="004B0469"/>
    <w:rsid w:val="004B04B5"/>
    <w:rsid w:val="004B0A4B"/>
    <w:rsid w:val="004B0D65"/>
    <w:rsid w:val="004B11E2"/>
    <w:rsid w:val="004B12E0"/>
    <w:rsid w:val="004B1490"/>
    <w:rsid w:val="004B152C"/>
    <w:rsid w:val="004B15C5"/>
    <w:rsid w:val="004B1A6B"/>
    <w:rsid w:val="004B1A88"/>
    <w:rsid w:val="004B1CB4"/>
    <w:rsid w:val="004B1D1E"/>
    <w:rsid w:val="004B1F4A"/>
    <w:rsid w:val="004B2118"/>
    <w:rsid w:val="004B23ED"/>
    <w:rsid w:val="004B282D"/>
    <w:rsid w:val="004B2B78"/>
    <w:rsid w:val="004B2F18"/>
    <w:rsid w:val="004B2F93"/>
    <w:rsid w:val="004B2FA6"/>
    <w:rsid w:val="004B33F3"/>
    <w:rsid w:val="004B367B"/>
    <w:rsid w:val="004B37BA"/>
    <w:rsid w:val="004B3DDB"/>
    <w:rsid w:val="004B3E3F"/>
    <w:rsid w:val="004B3E4B"/>
    <w:rsid w:val="004B44DB"/>
    <w:rsid w:val="004B44FD"/>
    <w:rsid w:val="004B4723"/>
    <w:rsid w:val="004B4ABD"/>
    <w:rsid w:val="004B4F7D"/>
    <w:rsid w:val="004B57A4"/>
    <w:rsid w:val="004B5C74"/>
    <w:rsid w:val="004B5CFC"/>
    <w:rsid w:val="004B5D6F"/>
    <w:rsid w:val="004B6072"/>
    <w:rsid w:val="004B628C"/>
    <w:rsid w:val="004B6585"/>
    <w:rsid w:val="004B69DE"/>
    <w:rsid w:val="004B757A"/>
    <w:rsid w:val="004B7824"/>
    <w:rsid w:val="004B7B9F"/>
    <w:rsid w:val="004C027F"/>
    <w:rsid w:val="004C02FD"/>
    <w:rsid w:val="004C0475"/>
    <w:rsid w:val="004C04F6"/>
    <w:rsid w:val="004C0986"/>
    <w:rsid w:val="004C0EB1"/>
    <w:rsid w:val="004C11E0"/>
    <w:rsid w:val="004C12E8"/>
    <w:rsid w:val="004C15AE"/>
    <w:rsid w:val="004C1A14"/>
    <w:rsid w:val="004C1AC0"/>
    <w:rsid w:val="004C1B19"/>
    <w:rsid w:val="004C1BBB"/>
    <w:rsid w:val="004C1BDF"/>
    <w:rsid w:val="004C1E0B"/>
    <w:rsid w:val="004C25DA"/>
    <w:rsid w:val="004C2772"/>
    <w:rsid w:val="004C2CF6"/>
    <w:rsid w:val="004C2DB8"/>
    <w:rsid w:val="004C2DBB"/>
    <w:rsid w:val="004C2F51"/>
    <w:rsid w:val="004C3207"/>
    <w:rsid w:val="004C3461"/>
    <w:rsid w:val="004C3718"/>
    <w:rsid w:val="004C385A"/>
    <w:rsid w:val="004C3EC7"/>
    <w:rsid w:val="004C3FD3"/>
    <w:rsid w:val="004C3FF4"/>
    <w:rsid w:val="004C41DF"/>
    <w:rsid w:val="004C4AED"/>
    <w:rsid w:val="004C50B4"/>
    <w:rsid w:val="004C5115"/>
    <w:rsid w:val="004C5322"/>
    <w:rsid w:val="004C562D"/>
    <w:rsid w:val="004C570D"/>
    <w:rsid w:val="004C5924"/>
    <w:rsid w:val="004C5A91"/>
    <w:rsid w:val="004C5B6B"/>
    <w:rsid w:val="004C5CD3"/>
    <w:rsid w:val="004C5E88"/>
    <w:rsid w:val="004C5F4D"/>
    <w:rsid w:val="004C6030"/>
    <w:rsid w:val="004C606A"/>
    <w:rsid w:val="004C6127"/>
    <w:rsid w:val="004C62EA"/>
    <w:rsid w:val="004C6351"/>
    <w:rsid w:val="004C67B6"/>
    <w:rsid w:val="004C6AD2"/>
    <w:rsid w:val="004C6AFE"/>
    <w:rsid w:val="004C708D"/>
    <w:rsid w:val="004C716A"/>
    <w:rsid w:val="004C74BC"/>
    <w:rsid w:val="004C795C"/>
    <w:rsid w:val="004C7966"/>
    <w:rsid w:val="004C7DF2"/>
    <w:rsid w:val="004C7F41"/>
    <w:rsid w:val="004D0242"/>
    <w:rsid w:val="004D036D"/>
    <w:rsid w:val="004D0573"/>
    <w:rsid w:val="004D07F3"/>
    <w:rsid w:val="004D0991"/>
    <w:rsid w:val="004D0BC2"/>
    <w:rsid w:val="004D0BD4"/>
    <w:rsid w:val="004D0CAE"/>
    <w:rsid w:val="004D0DBB"/>
    <w:rsid w:val="004D118F"/>
    <w:rsid w:val="004D11AF"/>
    <w:rsid w:val="004D19AD"/>
    <w:rsid w:val="004D1AAE"/>
    <w:rsid w:val="004D1C80"/>
    <w:rsid w:val="004D1DC7"/>
    <w:rsid w:val="004D1DE4"/>
    <w:rsid w:val="004D203C"/>
    <w:rsid w:val="004D2062"/>
    <w:rsid w:val="004D2300"/>
    <w:rsid w:val="004D2768"/>
    <w:rsid w:val="004D27C2"/>
    <w:rsid w:val="004D2C02"/>
    <w:rsid w:val="004D2CF0"/>
    <w:rsid w:val="004D2D18"/>
    <w:rsid w:val="004D2D5A"/>
    <w:rsid w:val="004D33C1"/>
    <w:rsid w:val="004D349E"/>
    <w:rsid w:val="004D355E"/>
    <w:rsid w:val="004D39C2"/>
    <w:rsid w:val="004D3A47"/>
    <w:rsid w:val="004D3B83"/>
    <w:rsid w:val="004D3D1C"/>
    <w:rsid w:val="004D3D59"/>
    <w:rsid w:val="004D42D8"/>
    <w:rsid w:val="004D4424"/>
    <w:rsid w:val="004D4687"/>
    <w:rsid w:val="004D46CE"/>
    <w:rsid w:val="004D48E4"/>
    <w:rsid w:val="004D4917"/>
    <w:rsid w:val="004D4E79"/>
    <w:rsid w:val="004D53DF"/>
    <w:rsid w:val="004D5670"/>
    <w:rsid w:val="004D5AF1"/>
    <w:rsid w:val="004D5DD6"/>
    <w:rsid w:val="004D5FF7"/>
    <w:rsid w:val="004D60E2"/>
    <w:rsid w:val="004D67DF"/>
    <w:rsid w:val="004D68CF"/>
    <w:rsid w:val="004D6A95"/>
    <w:rsid w:val="004D712C"/>
    <w:rsid w:val="004D72EB"/>
    <w:rsid w:val="004D74E3"/>
    <w:rsid w:val="004D7A8F"/>
    <w:rsid w:val="004D7CA9"/>
    <w:rsid w:val="004D7ED6"/>
    <w:rsid w:val="004E0105"/>
    <w:rsid w:val="004E0779"/>
    <w:rsid w:val="004E093E"/>
    <w:rsid w:val="004E0A72"/>
    <w:rsid w:val="004E0EB8"/>
    <w:rsid w:val="004E14FD"/>
    <w:rsid w:val="004E155D"/>
    <w:rsid w:val="004E1669"/>
    <w:rsid w:val="004E1B1E"/>
    <w:rsid w:val="004E1CAA"/>
    <w:rsid w:val="004E1EAF"/>
    <w:rsid w:val="004E2201"/>
    <w:rsid w:val="004E2314"/>
    <w:rsid w:val="004E2813"/>
    <w:rsid w:val="004E2A00"/>
    <w:rsid w:val="004E2ADC"/>
    <w:rsid w:val="004E2C97"/>
    <w:rsid w:val="004E2EB5"/>
    <w:rsid w:val="004E2EB6"/>
    <w:rsid w:val="004E304B"/>
    <w:rsid w:val="004E34A4"/>
    <w:rsid w:val="004E37CD"/>
    <w:rsid w:val="004E3977"/>
    <w:rsid w:val="004E3CFE"/>
    <w:rsid w:val="004E3F61"/>
    <w:rsid w:val="004E406A"/>
    <w:rsid w:val="004E427D"/>
    <w:rsid w:val="004E43B2"/>
    <w:rsid w:val="004E46F6"/>
    <w:rsid w:val="004E4824"/>
    <w:rsid w:val="004E489F"/>
    <w:rsid w:val="004E4A51"/>
    <w:rsid w:val="004E4DC2"/>
    <w:rsid w:val="004E4E3B"/>
    <w:rsid w:val="004E4F3A"/>
    <w:rsid w:val="004E5444"/>
    <w:rsid w:val="004E561A"/>
    <w:rsid w:val="004E5A2A"/>
    <w:rsid w:val="004E5F23"/>
    <w:rsid w:val="004E608A"/>
    <w:rsid w:val="004E61BA"/>
    <w:rsid w:val="004E6416"/>
    <w:rsid w:val="004E65BD"/>
    <w:rsid w:val="004E68CE"/>
    <w:rsid w:val="004E6A58"/>
    <w:rsid w:val="004E6B3B"/>
    <w:rsid w:val="004E6BC4"/>
    <w:rsid w:val="004E6C46"/>
    <w:rsid w:val="004E6D13"/>
    <w:rsid w:val="004E6E47"/>
    <w:rsid w:val="004E7328"/>
    <w:rsid w:val="004E73E8"/>
    <w:rsid w:val="004E7571"/>
    <w:rsid w:val="004E7EC7"/>
    <w:rsid w:val="004F01D6"/>
    <w:rsid w:val="004F0261"/>
    <w:rsid w:val="004F0366"/>
    <w:rsid w:val="004F0436"/>
    <w:rsid w:val="004F092C"/>
    <w:rsid w:val="004F09A5"/>
    <w:rsid w:val="004F0A75"/>
    <w:rsid w:val="004F0AC8"/>
    <w:rsid w:val="004F14C2"/>
    <w:rsid w:val="004F1607"/>
    <w:rsid w:val="004F1CEC"/>
    <w:rsid w:val="004F1D02"/>
    <w:rsid w:val="004F1DBD"/>
    <w:rsid w:val="004F20A6"/>
    <w:rsid w:val="004F22D2"/>
    <w:rsid w:val="004F22FA"/>
    <w:rsid w:val="004F2328"/>
    <w:rsid w:val="004F2372"/>
    <w:rsid w:val="004F2679"/>
    <w:rsid w:val="004F2A71"/>
    <w:rsid w:val="004F2BF7"/>
    <w:rsid w:val="004F2D6B"/>
    <w:rsid w:val="004F2E96"/>
    <w:rsid w:val="004F2E9B"/>
    <w:rsid w:val="004F2FAB"/>
    <w:rsid w:val="004F3021"/>
    <w:rsid w:val="004F31B8"/>
    <w:rsid w:val="004F35DF"/>
    <w:rsid w:val="004F3694"/>
    <w:rsid w:val="004F3873"/>
    <w:rsid w:val="004F3AE4"/>
    <w:rsid w:val="004F3CDB"/>
    <w:rsid w:val="004F402F"/>
    <w:rsid w:val="004F41E2"/>
    <w:rsid w:val="004F4546"/>
    <w:rsid w:val="004F46FC"/>
    <w:rsid w:val="004F4767"/>
    <w:rsid w:val="004F4852"/>
    <w:rsid w:val="004F4A67"/>
    <w:rsid w:val="004F4B27"/>
    <w:rsid w:val="004F4CAD"/>
    <w:rsid w:val="004F509F"/>
    <w:rsid w:val="004F53A3"/>
    <w:rsid w:val="004F5459"/>
    <w:rsid w:val="004F5711"/>
    <w:rsid w:val="004F572F"/>
    <w:rsid w:val="004F577A"/>
    <w:rsid w:val="004F5A9B"/>
    <w:rsid w:val="004F5CD6"/>
    <w:rsid w:val="004F60C9"/>
    <w:rsid w:val="004F644D"/>
    <w:rsid w:val="004F652A"/>
    <w:rsid w:val="004F65C9"/>
    <w:rsid w:val="004F6818"/>
    <w:rsid w:val="004F68F8"/>
    <w:rsid w:val="004F6F3E"/>
    <w:rsid w:val="004F7865"/>
    <w:rsid w:val="004F799B"/>
    <w:rsid w:val="004F7B06"/>
    <w:rsid w:val="004F7D99"/>
    <w:rsid w:val="004F7E0C"/>
    <w:rsid w:val="00500077"/>
    <w:rsid w:val="005002F7"/>
    <w:rsid w:val="0050047A"/>
    <w:rsid w:val="00500D4D"/>
    <w:rsid w:val="00500D7E"/>
    <w:rsid w:val="00500F5E"/>
    <w:rsid w:val="00501044"/>
    <w:rsid w:val="005011EC"/>
    <w:rsid w:val="00501217"/>
    <w:rsid w:val="00501226"/>
    <w:rsid w:val="0050148F"/>
    <w:rsid w:val="00501543"/>
    <w:rsid w:val="00501778"/>
    <w:rsid w:val="00501A2A"/>
    <w:rsid w:val="00501C5F"/>
    <w:rsid w:val="00501CD7"/>
    <w:rsid w:val="00501E8E"/>
    <w:rsid w:val="0050223D"/>
    <w:rsid w:val="0050238B"/>
    <w:rsid w:val="005024B7"/>
    <w:rsid w:val="005025D2"/>
    <w:rsid w:val="00502A77"/>
    <w:rsid w:val="00502EC2"/>
    <w:rsid w:val="00503EE5"/>
    <w:rsid w:val="00504168"/>
    <w:rsid w:val="005048E9"/>
    <w:rsid w:val="00504930"/>
    <w:rsid w:val="00504933"/>
    <w:rsid w:val="00504E48"/>
    <w:rsid w:val="00504EAD"/>
    <w:rsid w:val="005050C9"/>
    <w:rsid w:val="005050D3"/>
    <w:rsid w:val="005051E4"/>
    <w:rsid w:val="00505B12"/>
    <w:rsid w:val="0050639F"/>
    <w:rsid w:val="0050663F"/>
    <w:rsid w:val="005068D6"/>
    <w:rsid w:val="00506928"/>
    <w:rsid w:val="00506A98"/>
    <w:rsid w:val="00506E44"/>
    <w:rsid w:val="0050776C"/>
    <w:rsid w:val="00507794"/>
    <w:rsid w:val="00507CFD"/>
    <w:rsid w:val="00510226"/>
    <w:rsid w:val="005102ED"/>
    <w:rsid w:val="0051050B"/>
    <w:rsid w:val="00510550"/>
    <w:rsid w:val="005105FF"/>
    <w:rsid w:val="00510903"/>
    <w:rsid w:val="00510B3D"/>
    <w:rsid w:val="0051110E"/>
    <w:rsid w:val="00511566"/>
    <w:rsid w:val="005115DB"/>
    <w:rsid w:val="005117B0"/>
    <w:rsid w:val="00511D01"/>
    <w:rsid w:val="00511DA5"/>
    <w:rsid w:val="005122FB"/>
    <w:rsid w:val="00512373"/>
    <w:rsid w:val="00512441"/>
    <w:rsid w:val="005126A8"/>
    <w:rsid w:val="005128CF"/>
    <w:rsid w:val="00512BDE"/>
    <w:rsid w:val="00512CDA"/>
    <w:rsid w:val="00512F36"/>
    <w:rsid w:val="005132D1"/>
    <w:rsid w:val="00513EBD"/>
    <w:rsid w:val="00514023"/>
    <w:rsid w:val="00514408"/>
    <w:rsid w:val="00514805"/>
    <w:rsid w:val="005148DA"/>
    <w:rsid w:val="005148F5"/>
    <w:rsid w:val="00514A2D"/>
    <w:rsid w:val="00514E46"/>
    <w:rsid w:val="00514F19"/>
    <w:rsid w:val="005152B5"/>
    <w:rsid w:val="0051564E"/>
    <w:rsid w:val="00515765"/>
    <w:rsid w:val="00515DC1"/>
    <w:rsid w:val="00515DEE"/>
    <w:rsid w:val="0051609C"/>
    <w:rsid w:val="005163FB"/>
    <w:rsid w:val="00516531"/>
    <w:rsid w:val="0051659C"/>
    <w:rsid w:val="00516754"/>
    <w:rsid w:val="0051687B"/>
    <w:rsid w:val="00516B27"/>
    <w:rsid w:val="00516B49"/>
    <w:rsid w:val="00516C61"/>
    <w:rsid w:val="00516FE8"/>
    <w:rsid w:val="00517884"/>
    <w:rsid w:val="00517947"/>
    <w:rsid w:val="00517B79"/>
    <w:rsid w:val="005200D1"/>
    <w:rsid w:val="005206CD"/>
    <w:rsid w:val="0052073F"/>
    <w:rsid w:val="005208BB"/>
    <w:rsid w:val="00520995"/>
    <w:rsid w:val="00520B84"/>
    <w:rsid w:val="00520C6C"/>
    <w:rsid w:val="00521319"/>
    <w:rsid w:val="0052143C"/>
    <w:rsid w:val="00521A23"/>
    <w:rsid w:val="00521CB7"/>
    <w:rsid w:val="005220DD"/>
    <w:rsid w:val="00522397"/>
    <w:rsid w:val="005224D8"/>
    <w:rsid w:val="00522802"/>
    <w:rsid w:val="00522A3E"/>
    <w:rsid w:val="00522B94"/>
    <w:rsid w:val="00522BAD"/>
    <w:rsid w:val="00522EC4"/>
    <w:rsid w:val="00523031"/>
    <w:rsid w:val="005231A0"/>
    <w:rsid w:val="00523872"/>
    <w:rsid w:val="00523B0A"/>
    <w:rsid w:val="00523C28"/>
    <w:rsid w:val="005240D3"/>
    <w:rsid w:val="00524576"/>
    <w:rsid w:val="005245FA"/>
    <w:rsid w:val="00524C52"/>
    <w:rsid w:val="00524FB8"/>
    <w:rsid w:val="00525131"/>
    <w:rsid w:val="00525996"/>
    <w:rsid w:val="00525C02"/>
    <w:rsid w:val="00525D60"/>
    <w:rsid w:val="00525D9E"/>
    <w:rsid w:val="00525E2A"/>
    <w:rsid w:val="005265A1"/>
    <w:rsid w:val="00526625"/>
    <w:rsid w:val="00526B5E"/>
    <w:rsid w:val="00526E97"/>
    <w:rsid w:val="00526EF7"/>
    <w:rsid w:val="005271A6"/>
    <w:rsid w:val="005276CD"/>
    <w:rsid w:val="00527767"/>
    <w:rsid w:val="0052780C"/>
    <w:rsid w:val="00527C37"/>
    <w:rsid w:val="00527CAE"/>
    <w:rsid w:val="00527EF2"/>
    <w:rsid w:val="005302FF"/>
    <w:rsid w:val="00530324"/>
    <w:rsid w:val="005303AC"/>
    <w:rsid w:val="00530456"/>
    <w:rsid w:val="005304DF"/>
    <w:rsid w:val="0053059F"/>
    <w:rsid w:val="00530892"/>
    <w:rsid w:val="005308E6"/>
    <w:rsid w:val="00530C5A"/>
    <w:rsid w:val="00530E26"/>
    <w:rsid w:val="00530E5E"/>
    <w:rsid w:val="005314D7"/>
    <w:rsid w:val="0053166C"/>
    <w:rsid w:val="0053178E"/>
    <w:rsid w:val="00531A6F"/>
    <w:rsid w:val="00531AFE"/>
    <w:rsid w:val="00531D8C"/>
    <w:rsid w:val="00531F15"/>
    <w:rsid w:val="005321CA"/>
    <w:rsid w:val="00532409"/>
    <w:rsid w:val="00532502"/>
    <w:rsid w:val="00532995"/>
    <w:rsid w:val="00532D7F"/>
    <w:rsid w:val="00532F38"/>
    <w:rsid w:val="005330E9"/>
    <w:rsid w:val="005331D6"/>
    <w:rsid w:val="0053324D"/>
    <w:rsid w:val="00533465"/>
    <w:rsid w:val="00533E89"/>
    <w:rsid w:val="00533EBD"/>
    <w:rsid w:val="00533F6B"/>
    <w:rsid w:val="00533F8A"/>
    <w:rsid w:val="00534AC7"/>
    <w:rsid w:val="005351CF"/>
    <w:rsid w:val="00535508"/>
    <w:rsid w:val="00535772"/>
    <w:rsid w:val="0053579A"/>
    <w:rsid w:val="00535853"/>
    <w:rsid w:val="005359E3"/>
    <w:rsid w:val="00536079"/>
    <w:rsid w:val="00536223"/>
    <w:rsid w:val="00536598"/>
    <w:rsid w:val="00536741"/>
    <w:rsid w:val="00536852"/>
    <w:rsid w:val="00536B0E"/>
    <w:rsid w:val="00536F24"/>
    <w:rsid w:val="00536F3E"/>
    <w:rsid w:val="00537090"/>
    <w:rsid w:val="005372BB"/>
    <w:rsid w:val="005377AB"/>
    <w:rsid w:val="005378F8"/>
    <w:rsid w:val="00537B28"/>
    <w:rsid w:val="00537BDF"/>
    <w:rsid w:val="00537DD1"/>
    <w:rsid w:val="005401D8"/>
    <w:rsid w:val="0054039B"/>
    <w:rsid w:val="00540468"/>
    <w:rsid w:val="00540A85"/>
    <w:rsid w:val="0054149A"/>
    <w:rsid w:val="005414C5"/>
    <w:rsid w:val="00541CF0"/>
    <w:rsid w:val="00542342"/>
    <w:rsid w:val="0054248D"/>
    <w:rsid w:val="0054256D"/>
    <w:rsid w:val="00542DBA"/>
    <w:rsid w:val="00542F43"/>
    <w:rsid w:val="005431A6"/>
    <w:rsid w:val="00543381"/>
    <w:rsid w:val="005435BD"/>
    <w:rsid w:val="00543605"/>
    <w:rsid w:val="0054392E"/>
    <w:rsid w:val="00543A80"/>
    <w:rsid w:val="00543CD1"/>
    <w:rsid w:val="00543CEE"/>
    <w:rsid w:val="00543D2D"/>
    <w:rsid w:val="00543F84"/>
    <w:rsid w:val="00544060"/>
    <w:rsid w:val="005440A4"/>
    <w:rsid w:val="0054413F"/>
    <w:rsid w:val="005442BD"/>
    <w:rsid w:val="0054457B"/>
    <w:rsid w:val="00544A87"/>
    <w:rsid w:val="00544B7D"/>
    <w:rsid w:val="00544D88"/>
    <w:rsid w:val="00545444"/>
    <w:rsid w:val="00545536"/>
    <w:rsid w:val="005455F5"/>
    <w:rsid w:val="0054572A"/>
    <w:rsid w:val="00545B18"/>
    <w:rsid w:val="00545DDC"/>
    <w:rsid w:val="005461D0"/>
    <w:rsid w:val="005462B1"/>
    <w:rsid w:val="005462FA"/>
    <w:rsid w:val="00546858"/>
    <w:rsid w:val="005468F0"/>
    <w:rsid w:val="00546EF4"/>
    <w:rsid w:val="00546FE2"/>
    <w:rsid w:val="00547010"/>
    <w:rsid w:val="0054706D"/>
    <w:rsid w:val="005474EE"/>
    <w:rsid w:val="0054767C"/>
    <w:rsid w:val="00547F49"/>
    <w:rsid w:val="00550003"/>
    <w:rsid w:val="005506CB"/>
    <w:rsid w:val="00550739"/>
    <w:rsid w:val="005507BC"/>
    <w:rsid w:val="00550885"/>
    <w:rsid w:val="0055092F"/>
    <w:rsid w:val="00551690"/>
    <w:rsid w:val="0055198E"/>
    <w:rsid w:val="00552440"/>
    <w:rsid w:val="005527AE"/>
    <w:rsid w:val="00552BD3"/>
    <w:rsid w:val="00553010"/>
    <w:rsid w:val="005530AC"/>
    <w:rsid w:val="005531BE"/>
    <w:rsid w:val="005533A6"/>
    <w:rsid w:val="005534B1"/>
    <w:rsid w:val="005534B2"/>
    <w:rsid w:val="00553673"/>
    <w:rsid w:val="005538CE"/>
    <w:rsid w:val="00553EFC"/>
    <w:rsid w:val="0055414F"/>
    <w:rsid w:val="00554444"/>
    <w:rsid w:val="005545E8"/>
    <w:rsid w:val="00554AED"/>
    <w:rsid w:val="00554EC2"/>
    <w:rsid w:val="00555109"/>
    <w:rsid w:val="005555EF"/>
    <w:rsid w:val="0055563E"/>
    <w:rsid w:val="005556D6"/>
    <w:rsid w:val="005559A0"/>
    <w:rsid w:val="00555AB1"/>
    <w:rsid w:val="005563D7"/>
    <w:rsid w:val="005563E9"/>
    <w:rsid w:val="005564D6"/>
    <w:rsid w:val="00556A58"/>
    <w:rsid w:val="0055737D"/>
    <w:rsid w:val="0055795E"/>
    <w:rsid w:val="00557960"/>
    <w:rsid w:val="00557AF8"/>
    <w:rsid w:val="00557BF0"/>
    <w:rsid w:val="00557E49"/>
    <w:rsid w:val="00560376"/>
    <w:rsid w:val="00560377"/>
    <w:rsid w:val="00560434"/>
    <w:rsid w:val="0056089D"/>
    <w:rsid w:val="00560DFA"/>
    <w:rsid w:val="00561A79"/>
    <w:rsid w:val="00561B3D"/>
    <w:rsid w:val="00561F8E"/>
    <w:rsid w:val="005622D2"/>
    <w:rsid w:val="0056242D"/>
    <w:rsid w:val="00562619"/>
    <w:rsid w:val="0056271F"/>
    <w:rsid w:val="00562C1B"/>
    <w:rsid w:val="00562EA8"/>
    <w:rsid w:val="00562F78"/>
    <w:rsid w:val="00562FE6"/>
    <w:rsid w:val="0056324E"/>
    <w:rsid w:val="00563311"/>
    <w:rsid w:val="0056359B"/>
    <w:rsid w:val="005638CA"/>
    <w:rsid w:val="00563D2D"/>
    <w:rsid w:val="00564313"/>
    <w:rsid w:val="0056435E"/>
    <w:rsid w:val="00564440"/>
    <w:rsid w:val="00564778"/>
    <w:rsid w:val="00564A0F"/>
    <w:rsid w:val="00564B0C"/>
    <w:rsid w:val="00565753"/>
    <w:rsid w:val="00565A70"/>
    <w:rsid w:val="00565AC2"/>
    <w:rsid w:val="00565FF9"/>
    <w:rsid w:val="00566135"/>
    <w:rsid w:val="00566333"/>
    <w:rsid w:val="005664FC"/>
    <w:rsid w:val="00566669"/>
    <w:rsid w:val="00566703"/>
    <w:rsid w:val="0056696F"/>
    <w:rsid w:val="00566D87"/>
    <w:rsid w:val="00567393"/>
    <w:rsid w:val="005673C2"/>
    <w:rsid w:val="00567438"/>
    <w:rsid w:val="005674CC"/>
    <w:rsid w:val="005676F1"/>
    <w:rsid w:val="00567832"/>
    <w:rsid w:val="00567AD8"/>
    <w:rsid w:val="00567E12"/>
    <w:rsid w:val="00570420"/>
    <w:rsid w:val="00570480"/>
    <w:rsid w:val="00570647"/>
    <w:rsid w:val="00570C2A"/>
    <w:rsid w:val="005711A3"/>
    <w:rsid w:val="00571600"/>
    <w:rsid w:val="005718FB"/>
    <w:rsid w:val="0057195A"/>
    <w:rsid w:val="00571AEB"/>
    <w:rsid w:val="00571E1C"/>
    <w:rsid w:val="00572659"/>
    <w:rsid w:val="00572670"/>
    <w:rsid w:val="00572B48"/>
    <w:rsid w:val="00572BE8"/>
    <w:rsid w:val="00572D19"/>
    <w:rsid w:val="00572D47"/>
    <w:rsid w:val="00572FC1"/>
    <w:rsid w:val="00572FE4"/>
    <w:rsid w:val="0057312F"/>
    <w:rsid w:val="00573577"/>
    <w:rsid w:val="00573590"/>
    <w:rsid w:val="005735AA"/>
    <w:rsid w:val="0057385A"/>
    <w:rsid w:val="00573ECC"/>
    <w:rsid w:val="005741EC"/>
    <w:rsid w:val="00574381"/>
    <w:rsid w:val="0057473E"/>
    <w:rsid w:val="005748E3"/>
    <w:rsid w:val="00574A69"/>
    <w:rsid w:val="00574C41"/>
    <w:rsid w:val="00574E4B"/>
    <w:rsid w:val="005753A8"/>
    <w:rsid w:val="00575650"/>
    <w:rsid w:val="0057597A"/>
    <w:rsid w:val="00575C61"/>
    <w:rsid w:val="00575D8D"/>
    <w:rsid w:val="00575F2F"/>
    <w:rsid w:val="00576152"/>
    <w:rsid w:val="00576211"/>
    <w:rsid w:val="00576232"/>
    <w:rsid w:val="00576299"/>
    <w:rsid w:val="0057671C"/>
    <w:rsid w:val="00576768"/>
    <w:rsid w:val="0057678E"/>
    <w:rsid w:val="00576972"/>
    <w:rsid w:val="00576E50"/>
    <w:rsid w:val="0057730A"/>
    <w:rsid w:val="005773A3"/>
    <w:rsid w:val="005774B4"/>
    <w:rsid w:val="0057794F"/>
    <w:rsid w:val="00577C5D"/>
    <w:rsid w:val="00577C97"/>
    <w:rsid w:val="00577F47"/>
    <w:rsid w:val="005800F5"/>
    <w:rsid w:val="005801BA"/>
    <w:rsid w:val="005801D5"/>
    <w:rsid w:val="005804CD"/>
    <w:rsid w:val="00580530"/>
    <w:rsid w:val="005805AA"/>
    <w:rsid w:val="005809DB"/>
    <w:rsid w:val="005809E6"/>
    <w:rsid w:val="00580CE9"/>
    <w:rsid w:val="0058129B"/>
    <w:rsid w:val="00581338"/>
    <w:rsid w:val="00581602"/>
    <w:rsid w:val="00581659"/>
    <w:rsid w:val="005817A7"/>
    <w:rsid w:val="0058195A"/>
    <w:rsid w:val="00581FA0"/>
    <w:rsid w:val="0058218A"/>
    <w:rsid w:val="00582248"/>
    <w:rsid w:val="00582551"/>
    <w:rsid w:val="005825DD"/>
    <w:rsid w:val="0058289D"/>
    <w:rsid w:val="00582971"/>
    <w:rsid w:val="00582B40"/>
    <w:rsid w:val="00582DDD"/>
    <w:rsid w:val="00583296"/>
    <w:rsid w:val="00583699"/>
    <w:rsid w:val="00583BDF"/>
    <w:rsid w:val="00583BF0"/>
    <w:rsid w:val="00583D86"/>
    <w:rsid w:val="00583E0D"/>
    <w:rsid w:val="00583E38"/>
    <w:rsid w:val="00583EFC"/>
    <w:rsid w:val="0058424B"/>
    <w:rsid w:val="005842F3"/>
    <w:rsid w:val="0058439B"/>
    <w:rsid w:val="00584A37"/>
    <w:rsid w:val="00584A77"/>
    <w:rsid w:val="00584B84"/>
    <w:rsid w:val="00584E42"/>
    <w:rsid w:val="00584F11"/>
    <w:rsid w:val="00584F9B"/>
    <w:rsid w:val="00585212"/>
    <w:rsid w:val="005859FC"/>
    <w:rsid w:val="00585B5A"/>
    <w:rsid w:val="00585BA7"/>
    <w:rsid w:val="00585D5F"/>
    <w:rsid w:val="0058600E"/>
    <w:rsid w:val="005865E6"/>
    <w:rsid w:val="0058676F"/>
    <w:rsid w:val="005867EE"/>
    <w:rsid w:val="00586A84"/>
    <w:rsid w:val="00586AA8"/>
    <w:rsid w:val="00586E2B"/>
    <w:rsid w:val="0058739F"/>
    <w:rsid w:val="005873F4"/>
    <w:rsid w:val="0058771F"/>
    <w:rsid w:val="00587806"/>
    <w:rsid w:val="00587924"/>
    <w:rsid w:val="0058797E"/>
    <w:rsid w:val="00587E37"/>
    <w:rsid w:val="00587ED4"/>
    <w:rsid w:val="005900A2"/>
    <w:rsid w:val="00590495"/>
    <w:rsid w:val="005906C9"/>
    <w:rsid w:val="00590767"/>
    <w:rsid w:val="00590AB8"/>
    <w:rsid w:val="00590C5E"/>
    <w:rsid w:val="00590EE6"/>
    <w:rsid w:val="00590FB2"/>
    <w:rsid w:val="00591293"/>
    <w:rsid w:val="005915F9"/>
    <w:rsid w:val="005920C7"/>
    <w:rsid w:val="00592266"/>
    <w:rsid w:val="0059254F"/>
    <w:rsid w:val="00592C05"/>
    <w:rsid w:val="00592FF6"/>
    <w:rsid w:val="0059307C"/>
    <w:rsid w:val="00593748"/>
    <w:rsid w:val="00593E84"/>
    <w:rsid w:val="00593F09"/>
    <w:rsid w:val="00594150"/>
    <w:rsid w:val="0059422A"/>
    <w:rsid w:val="00594C9D"/>
    <w:rsid w:val="00595070"/>
    <w:rsid w:val="005952D1"/>
    <w:rsid w:val="00595A41"/>
    <w:rsid w:val="00596175"/>
    <w:rsid w:val="005961F7"/>
    <w:rsid w:val="005967F2"/>
    <w:rsid w:val="005969F8"/>
    <w:rsid w:val="00596C28"/>
    <w:rsid w:val="005972F0"/>
    <w:rsid w:val="00597630"/>
    <w:rsid w:val="005976A3"/>
    <w:rsid w:val="00597763"/>
    <w:rsid w:val="00597C5F"/>
    <w:rsid w:val="00597F4E"/>
    <w:rsid w:val="005A056D"/>
    <w:rsid w:val="005A0791"/>
    <w:rsid w:val="005A0ACD"/>
    <w:rsid w:val="005A0CAD"/>
    <w:rsid w:val="005A0E82"/>
    <w:rsid w:val="005A0FFB"/>
    <w:rsid w:val="005A1447"/>
    <w:rsid w:val="005A187E"/>
    <w:rsid w:val="005A1B68"/>
    <w:rsid w:val="005A1FFC"/>
    <w:rsid w:val="005A218D"/>
    <w:rsid w:val="005A275D"/>
    <w:rsid w:val="005A278A"/>
    <w:rsid w:val="005A2AC5"/>
    <w:rsid w:val="005A2B71"/>
    <w:rsid w:val="005A2CEF"/>
    <w:rsid w:val="005A2FB8"/>
    <w:rsid w:val="005A36A4"/>
    <w:rsid w:val="005A3A9F"/>
    <w:rsid w:val="005A3B28"/>
    <w:rsid w:val="005A41CC"/>
    <w:rsid w:val="005A433D"/>
    <w:rsid w:val="005A45DA"/>
    <w:rsid w:val="005A4A70"/>
    <w:rsid w:val="005A4B1C"/>
    <w:rsid w:val="005A5432"/>
    <w:rsid w:val="005A549B"/>
    <w:rsid w:val="005A57ED"/>
    <w:rsid w:val="005A5937"/>
    <w:rsid w:val="005A59AA"/>
    <w:rsid w:val="005A5A22"/>
    <w:rsid w:val="005A5B17"/>
    <w:rsid w:val="005A5BB3"/>
    <w:rsid w:val="005A5E0A"/>
    <w:rsid w:val="005A5F69"/>
    <w:rsid w:val="005A60DF"/>
    <w:rsid w:val="005A619D"/>
    <w:rsid w:val="005A62B4"/>
    <w:rsid w:val="005A635E"/>
    <w:rsid w:val="005A6754"/>
    <w:rsid w:val="005A682C"/>
    <w:rsid w:val="005A6B00"/>
    <w:rsid w:val="005A6F36"/>
    <w:rsid w:val="005A702A"/>
    <w:rsid w:val="005A7228"/>
    <w:rsid w:val="005A72F3"/>
    <w:rsid w:val="005A7867"/>
    <w:rsid w:val="005A78A1"/>
    <w:rsid w:val="005A78AB"/>
    <w:rsid w:val="005A7ADB"/>
    <w:rsid w:val="005A7FC9"/>
    <w:rsid w:val="005B00A8"/>
    <w:rsid w:val="005B0564"/>
    <w:rsid w:val="005B0575"/>
    <w:rsid w:val="005B05D5"/>
    <w:rsid w:val="005B0618"/>
    <w:rsid w:val="005B0D9A"/>
    <w:rsid w:val="005B0EA9"/>
    <w:rsid w:val="005B101F"/>
    <w:rsid w:val="005B1059"/>
    <w:rsid w:val="005B113C"/>
    <w:rsid w:val="005B1201"/>
    <w:rsid w:val="005B1390"/>
    <w:rsid w:val="005B17CA"/>
    <w:rsid w:val="005B191B"/>
    <w:rsid w:val="005B19DB"/>
    <w:rsid w:val="005B1A0E"/>
    <w:rsid w:val="005B1E16"/>
    <w:rsid w:val="005B1FD2"/>
    <w:rsid w:val="005B200E"/>
    <w:rsid w:val="005B244B"/>
    <w:rsid w:val="005B251A"/>
    <w:rsid w:val="005B2A2F"/>
    <w:rsid w:val="005B2B9D"/>
    <w:rsid w:val="005B2C23"/>
    <w:rsid w:val="005B2D73"/>
    <w:rsid w:val="005B2E14"/>
    <w:rsid w:val="005B2EE5"/>
    <w:rsid w:val="005B2EFE"/>
    <w:rsid w:val="005B2F5E"/>
    <w:rsid w:val="005B303F"/>
    <w:rsid w:val="005B305C"/>
    <w:rsid w:val="005B39E4"/>
    <w:rsid w:val="005B3B3E"/>
    <w:rsid w:val="005B3F62"/>
    <w:rsid w:val="005B3F87"/>
    <w:rsid w:val="005B3FF6"/>
    <w:rsid w:val="005B415D"/>
    <w:rsid w:val="005B41DE"/>
    <w:rsid w:val="005B4363"/>
    <w:rsid w:val="005B437B"/>
    <w:rsid w:val="005B4465"/>
    <w:rsid w:val="005B4585"/>
    <w:rsid w:val="005B47A0"/>
    <w:rsid w:val="005B493F"/>
    <w:rsid w:val="005B50C8"/>
    <w:rsid w:val="005B5139"/>
    <w:rsid w:val="005B52EE"/>
    <w:rsid w:val="005B5857"/>
    <w:rsid w:val="005B5D3D"/>
    <w:rsid w:val="005B5F2F"/>
    <w:rsid w:val="005B607C"/>
    <w:rsid w:val="005B6147"/>
    <w:rsid w:val="005B6419"/>
    <w:rsid w:val="005B6766"/>
    <w:rsid w:val="005B6CBC"/>
    <w:rsid w:val="005B71B9"/>
    <w:rsid w:val="005B7209"/>
    <w:rsid w:val="005B7493"/>
    <w:rsid w:val="005B7A26"/>
    <w:rsid w:val="005B7AE0"/>
    <w:rsid w:val="005B7AF2"/>
    <w:rsid w:val="005B7E97"/>
    <w:rsid w:val="005C02C4"/>
    <w:rsid w:val="005C05E7"/>
    <w:rsid w:val="005C0603"/>
    <w:rsid w:val="005C0B01"/>
    <w:rsid w:val="005C0F1F"/>
    <w:rsid w:val="005C0F6F"/>
    <w:rsid w:val="005C101E"/>
    <w:rsid w:val="005C103D"/>
    <w:rsid w:val="005C10E2"/>
    <w:rsid w:val="005C136D"/>
    <w:rsid w:val="005C1457"/>
    <w:rsid w:val="005C19AD"/>
    <w:rsid w:val="005C1B83"/>
    <w:rsid w:val="005C1B93"/>
    <w:rsid w:val="005C1E63"/>
    <w:rsid w:val="005C20B2"/>
    <w:rsid w:val="005C2169"/>
    <w:rsid w:val="005C2277"/>
    <w:rsid w:val="005C2B7B"/>
    <w:rsid w:val="005C2BFC"/>
    <w:rsid w:val="005C2DCD"/>
    <w:rsid w:val="005C346B"/>
    <w:rsid w:val="005C34D0"/>
    <w:rsid w:val="005C3551"/>
    <w:rsid w:val="005C3856"/>
    <w:rsid w:val="005C399B"/>
    <w:rsid w:val="005C4042"/>
    <w:rsid w:val="005C40B0"/>
    <w:rsid w:val="005C4413"/>
    <w:rsid w:val="005C44A5"/>
    <w:rsid w:val="005C45C3"/>
    <w:rsid w:val="005C4F13"/>
    <w:rsid w:val="005C4FB7"/>
    <w:rsid w:val="005C515A"/>
    <w:rsid w:val="005C517C"/>
    <w:rsid w:val="005C53BF"/>
    <w:rsid w:val="005C5589"/>
    <w:rsid w:val="005C5961"/>
    <w:rsid w:val="005C618A"/>
    <w:rsid w:val="005C6199"/>
    <w:rsid w:val="005C64D5"/>
    <w:rsid w:val="005C6687"/>
    <w:rsid w:val="005C67AE"/>
    <w:rsid w:val="005C6E10"/>
    <w:rsid w:val="005C6F24"/>
    <w:rsid w:val="005C7708"/>
    <w:rsid w:val="005C772C"/>
    <w:rsid w:val="005C787B"/>
    <w:rsid w:val="005C78EC"/>
    <w:rsid w:val="005C7931"/>
    <w:rsid w:val="005C7B13"/>
    <w:rsid w:val="005C7D1D"/>
    <w:rsid w:val="005C7DD2"/>
    <w:rsid w:val="005C7FB8"/>
    <w:rsid w:val="005D044D"/>
    <w:rsid w:val="005D04B4"/>
    <w:rsid w:val="005D0972"/>
    <w:rsid w:val="005D0D1C"/>
    <w:rsid w:val="005D0DEB"/>
    <w:rsid w:val="005D15E5"/>
    <w:rsid w:val="005D17CE"/>
    <w:rsid w:val="005D18AD"/>
    <w:rsid w:val="005D18EF"/>
    <w:rsid w:val="005D1DF7"/>
    <w:rsid w:val="005D1F8A"/>
    <w:rsid w:val="005D2158"/>
    <w:rsid w:val="005D26D9"/>
    <w:rsid w:val="005D275D"/>
    <w:rsid w:val="005D3076"/>
    <w:rsid w:val="005D3093"/>
    <w:rsid w:val="005D30CF"/>
    <w:rsid w:val="005D322E"/>
    <w:rsid w:val="005D334B"/>
    <w:rsid w:val="005D34AE"/>
    <w:rsid w:val="005D3653"/>
    <w:rsid w:val="005D3933"/>
    <w:rsid w:val="005D3DB0"/>
    <w:rsid w:val="005D3DD8"/>
    <w:rsid w:val="005D3EB1"/>
    <w:rsid w:val="005D3F98"/>
    <w:rsid w:val="005D3FAB"/>
    <w:rsid w:val="005D4282"/>
    <w:rsid w:val="005D441A"/>
    <w:rsid w:val="005D44A2"/>
    <w:rsid w:val="005D4A55"/>
    <w:rsid w:val="005D4E33"/>
    <w:rsid w:val="005D4EA6"/>
    <w:rsid w:val="005D4EE2"/>
    <w:rsid w:val="005D5141"/>
    <w:rsid w:val="005D520A"/>
    <w:rsid w:val="005D5214"/>
    <w:rsid w:val="005D523B"/>
    <w:rsid w:val="005D52B3"/>
    <w:rsid w:val="005D55EE"/>
    <w:rsid w:val="005D5653"/>
    <w:rsid w:val="005D5865"/>
    <w:rsid w:val="005D5D41"/>
    <w:rsid w:val="005D5FE4"/>
    <w:rsid w:val="005D6066"/>
    <w:rsid w:val="005D6354"/>
    <w:rsid w:val="005D6621"/>
    <w:rsid w:val="005D6920"/>
    <w:rsid w:val="005D699D"/>
    <w:rsid w:val="005D6CD8"/>
    <w:rsid w:val="005D6EA0"/>
    <w:rsid w:val="005D6EAA"/>
    <w:rsid w:val="005D7138"/>
    <w:rsid w:val="005D71B2"/>
    <w:rsid w:val="005D7458"/>
    <w:rsid w:val="005D762B"/>
    <w:rsid w:val="005D7DC1"/>
    <w:rsid w:val="005E00A6"/>
    <w:rsid w:val="005E0165"/>
    <w:rsid w:val="005E046A"/>
    <w:rsid w:val="005E0902"/>
    <w:rsid w:val="005E0CF0"/>
    <w:rsid w:val="005E0D75"/>
    <w:rsid w:val="005E0F5E"/>
    <w:rsid w:val="005E0F6E"/>
    <w:rsid w:val="005E1021"/>
    <w:rsid w:val="005E10B4"/>
    <w:rsid w:val="005E1148"/>
    <w:rsid w:val="005E1610"/>
    <w:rsid w:val="005E1749"/>
    <w:rsid w:val="005E1968"/>
    <w:rsid w:val="005E22E8"/>
    <w:rsid w:val="005E23BC"/>
    <w:rsid w:val="005E25E8"/>
    <w:rsid w:val="005E287B"/>
    <w:rsid w:val="005E29F6"/>
    <w:rsid w:val="005E2EC2"/>
    <w:rsid w:val="005E2F58"/>
    <w:rsid w:val="005E353B"/>
    <w:rsid w:val="005E3588"/>
    <w:rsid w:val="005E363B"/>
    <w:rsid w:val="005E3B31"/>
    <w:rsid w:val="005E3B58"/>
    <w:rsid w:val="005E3B6D"/>
    <w:rsid w:val="005E3D6D"/>
    <w:rsid w:val="005E3E12"/>
    <w:rsid w:val="005E40F5"/>
    <w:rsid w:val="005E4178"/>
    <w:rsid w:val="005E4277"/>
    <w:rsid w:val="005E4478"/>
    <w:rsid w:val="005E4674"/>
    <w:rsid w:val="005E467B"/>
    <w:rsid w:val="005E49D2"/>
    <w:rsid w:val="005E4C07"/>
    <w:rsid w:val="005E4DAB"/>
    <w:rsid w:val="005E506A"/>
    <w:rsid w:val="005E515C"/>
    <w:rsid w:val="005E51BD"/>
    <w:rsid w:val="005E525F"/>
    <w:rsid w:val="005E546E"/>
    <w:rsid w:val="005E56E5"/>
    <w:rsid w:val="005E5D52"/>
    <w:rsid w:val="005E5DC1"/>
    <w:rsid w:val="005E5FC6"/>
    <w:rsid w:val="005E60ED"/>
    <w:rsid w:val="005E644B"/>
    <w:rsid w:val="005E64C6"/>
    <w:rsid w:val="005E6AD3"/>
    <w:rsid w:val="005E6BA4"/>
    <w:rsid w:val="005E6F8B"/>
    <w:rsid w:val="005E73C0"/>
    <w:rsid w:val="005E7401"/>
    <w:rsid w:val="005E75EE"/>
    <w:rsid w:val="005E77B0"/>
    <w:rsid w:val="005E7827"/>
    <w:rsid w:val="005E791D"/>
    <w:rsid w:val="005E79D7"/>
    <w:rsid w:val="005E7AD7"/>
    <w:rsid w:val="005E7AF1"/>
    <w:rsid w:val="005F040F"/>
    <w:rsid w:val="005F068D"/>
    <w:rsid w:val="005F0D93"/>
    <w:rsid w:val="005F1264"/>
    <w:rsid w:val="005F16FD"/>
    <w:rsid w:val="005F1899"/>
    <w:rsid w:val="005F1FF9"/>
    <w:rsid w:val="005F20CE"/>
    <w:rsid w:val="005F259D"/>
    <w:rsid w:val="005F2706"/>
    <w:rsid w:val="005F283E"/>
    <w:rsid w:val="005F290C"/>
    <w:rsid w:val="005F2C19"/>
    <w:rsid w:val="005F30D2"/>
    <w:rsid w:val="005F344F"/>
    <w:rsid w:val="005F3E91"/>
    <w:rsid w:val="005F4088"/>
    <w:rsid w:val="005F4489"/>
    <w:rsid w:val="005F4854"/>
    <w:rsid w:val="005F4859"/>
    <w:rsid w:val="005F4912"/>
    <w:rsid w:val="005F4F08"/>
    <w:rsid w:val="005F500B"/>
    <w:rsid w:val="005F5616"/>
    <w:rsid w:val="005F56AA"/>
    <w:rsid w:val="005F58E9"/>
    <w:rsid w:val="005F58FA"/>
    <w:rsid w:val="005F5B2E"/>
    <w:rsid w:val="005F5F7F"/>
    <w:rsid w:val="005F6117"/>
    <w:rsid w:val="005F6A80"/>
    <w:rsid w:val="005F6A8F"/>
    <w:rsid w:val="005F6CFF"/>
    <w:rsid w:val="005F6E8A"/>
    <w:rsid w:val="005F6FDB"/>
    <w:rsid w:val="005F7045"/>
    <w:rsid w:val="005F78FF"/>
    <w:rsid w:val="005F7940"/>
    <w:rsid w:val="005F7BE7"/>
    <w:rsid w:val="005F7CDB"/>
    <w:rsid w:val="00600077"/>
    <w:rsid w:val="0060049C"/>
    <w:rsid w:val="00600644"/>
    <w:rsid w:val="00600694"/>
    <w:rsid w:val="006007CC"/>
    <w:rsid w:val="00600EED"/>
    <w:rsid w:val="006010C2"/>
    <w:rsid w:val="0060111D"/>
    <w:rsid w:val="00601194"/>
    <w:rsid w:val="006012E0"/>
    <w:rsid w:val="006013EA"/>
    <w:rsid w:val="0060167A"/>
    <w:rsid w:val="00601DC7"/>
    <w:rsid w:val="00602DEB"/>
    <w:rsid w:val="0060316B"/>
    <w:rsid w:val="006032E4"/>
    <w:rsid w:val="0060333E"/>
    <w:rsid w:val="006037D4"/>
    <w:rsid w:val="00604044"/>
    <w:rsid w:val="00604178"/>
    <w:rsid w:val="0060423B"/>
    <w:rsid w:val="00604681"/>
    <w:rsid w:val="006049EB"/>
    <w:rsid w:val="00604CC6"/>
    <w:rsid w:val="006056FF"/>
    <w:rsid w:val="006058A4"/>
    <w:rsid w:val="00605AA8"/>
    <w:rsid w:val="00605DC8"/>
    <w:rsid w:val="00605F70"/>
    <w:rsid w:val="006062C5"/>
    <w:rsid w:val="00606474"/>
    <w:rsid w:val="006065E5"/>
    <w:rsid w:val="006066D3"/>
    <w:rsid w:val="00606AB8"/>
    <w:rsid w:val="00606CB3"/>
    <w:rsid w:val="00606D56"/>
    <w:rsid w:val="00607176"/>
    <w:rsid w:val="006072FC"/>
    <w:rsid w:val="00607669"/>
    <w:rsid w:val="00607838"/>
    <w:rsid w:val="006078EB"/>
    <w:rsid w:val="00607A47"/>
    <w:rsid w:val="00607B2E"/>
    <w:rsid w:val="00607CCD"/>
    <w:rsid w:val="00607D6B"/>
    <w:rsid w:val="00607F1B"/>
    <w:rsid w:val="00610B5C"/>
    <w:rsid w:val="00610D41"/>
    <w:rsid w:val="00610F6F"/>
    <w:rsid w:val="006113A9"/>
    <w:rsid w:val="00611921"/>
    <w:rsid w:val="00611BD1"/>
    <w:rsid w:val="00612017"/>
    <w:rsid w:val="0061222A"/>
    <w:rsid w:val="00612368"/>
    <w:rsid w:val="006125B9"/>
    <w:rsid w:val="00612D90"/>
    <w:rsid w:val="00612E90"/>
    <w:rsid w:val="00612F97"/>
    <w:rsid w:val="00613261"/>
    <w:rsid w:val="00613D1E"/>
    <w:rsid w:val="006140A0"/>
    <w:rsid w:val="006142E6"/>
    <w:rsid w:val="0061430D"/>
    <w:rsid w:val="006146B1"/>
    <w:rsid w:val="0061488E"/>
    <w:rsid w:val="006148CB"/>
    <w:rsid w:val="00614939"/>
    <w:rsid w:val="006149AE"/>
    <w:rsid w:val="0061533E"/>
    <w:rsid w:val="0061574C"/>
    <w:rsid w:val="006157E1"/>
    <w:rsid w:val="00615D30"/>
    <w:rsid w:val="00615D63"/>
    <w:rsid w:val="0061641A"/>
    <w:rsid w:val="00616439"/>
    <w:rsid w:val="006164F3"/>
    <w:rsid w:val="00616770"/>
    <w:rsid w:val="006167C6"/>
    <w:rsid w:val="00616802"/>
    <w:rsid w:val="006169EF"/>
    <w:rsid w:val="00616E86"/>
    <w:rsid w:val="00617032"/>
    <w:rsid w:val="00617335"/>
    <w:rsid w:val="006174F7"/>
    <w:rsid w:val="00617916"/>
    <w:rsid w:val="00617B2A"/>
    <w:rsid w:val="00617E12"/>
    <w:rsid w:val="0062093D"/>
    <w:rsid w:val="0062100F"/>
    <w:rsid w:val="006212C0"/>
    <w:rsid w:val="006213BA"/>
    <w:rsid w:val="00621477"/>
    <w:rsid w:val="00621540"/>
    <w:rsid w:val="00621563"/>
    <w:rsid w:val="00621700"/>
    <w:rsid w:val="00621E41"/>
    <w:rsid w:val="0062204C"/>
    <w:rsid w:val="00622667"/>
    <w:rsid w:val="00622690"/>
    <w:rsid w:val="00622C42"/>
    <w:rsid w:val="00622D3C"/>
    <w:rsid w:val="00622F25"/>
    <w:rsid w:val="006230AD"/>
    <w:rsid w:val="00623399"/>
    <w:rsid w:val="006236E2"/>
    <w:rsid w:val="0062372C"/>
    <w:rsid w:val="006237DC"/>
    <w:rsid w:val="00623A36"/>
    <w:rsid w:val="00623D11"/>
    <w:rsid w:val="00623F48"/>
    <w:rsid w:val="00624310"/>
    <w:rsid w:val="006245BD"/>
    <w:rsid w:val="006247ED"/>
    <w:rsid w:val="00624959"/>
    <w:rsid w:val="00624ADC"/>
    <w:rsid w:val="00624F27"/>
    <w:rsid w:val="00625023"/>
    <w:rsid w:val="006250C3"/>
    <w:rsid w:val="00625297"/>
    <w:rsid w:val="006254C3"/>
    <w:rsid w:val="00625666"/>
    <w:rsid w:val="00625C1B"/>
    <w:rsid w:val="00625E56"/>
    <w:rsid w:val="00626238"/>
    <w:rsid w:val="00626556"/>
    <w:rsid w:val="00626587"/>
    <w:rsid w:val="0062688F"/>
    <w:rsid w:val="00626BA3"/>
    <w:rsid w:val="00626D83"/>
    <w:rsid w:val="00627283"/>
    <w:rsid w:val="006274A9"/>
    <w:rsid w:val="0062756F"/>
    <w:rsid w:val="00627662"/>
    <w:rsid w:val="006277A2"/>
    <w:rsid w:val="006277FC"/>
    <w:rsid w:val="00627A80"/>
    <w:rsid w:val="00627B19"/>
    <w:rsid w:val="00627C58"/>
    <w:rsid w:val="00627DD8"/>
    <w:rsid w:val="0063032F"/>
    <w:rsid w:val="006303A4"/>
    <w:rsid w:val="00630419"/>
    <w:rsid w:val="00630535"/>
    <w:rsid w:val="0063076A"/>
    <w:rsid w:val="006308CD"/>
    <w:rsid w:val="00630AF4"/>
    <w:rsid w:val="00630D0B"/>
    <w:rsid w:val="00630E1A"/>
    <w:rsid w:val="006312E7"/>
    <w:rsid w:val="00631540"/>
    <w:rsid w:val="00631737"/>
    <w:rsid w:val="00631D6B"/>
    <w:rsid w:val="00632899"/>
    <w:rsid w:val="006333A9"/>
    <w:rsid w:val="0063363A"/>
    <w:rsid w:val="00633B42"/>
    <w:rsid w:val="0063430A"/>
    <w:rsid w:val="0063433C"/>
    <w:rsid w:val="0063479F"/>
    <w:rsid w:val="0063480A"/>
    <w:rsid w:val="00634E56"/>
    <w:rsid w:val="0063503E"/>
    <w:rsid w:val="006358CE"/>
    <w:rsid w:val="006358F5"/>
    <w:rsid w:val="0063592A"/>
    <w:rsid w:val="006359C8"/>
    <w:rsid w:val="00635E2B"/>
    <w:rsid w:val="00635FF7"/>
    <w:rsid w:val="0063625B"/>
    <w:rsid w:val="00636365"/>
    <w:rsid w:val="006364A1"/>
    <w:rsid w:val="00636981"/>
    <w:rsid w:val="00636A2C"/>
    <w:rsid w:val="00636E03"/>
    <w:rsid w:val="00636E70"/>
    <w:rsid w:val="00637069"/>
    <w:rsid w:val="00637596"/>
    <w:rsid w:val="006377B5"/>
    <w:rsid w:val="00637909"/>
    <w:rsid w:val="00637A8D"/>
    <w:rsid w:val="00637BFD"/>
    <w:rsid w:val="0064083C"/>
    <w:rsid w:val="00641AC7"/>
    <w:rsid w:val="00641C4A"/>
    <w:rsid w:val="00641F40"/>
    <w:rsid w:val="006420E4"/>
    <w:rsid w:val="00642570"/>
    <w:rsid w:val="006427D8"/>
    <w:rsid w:val="0064280F"/>
    <w:rsid w:val="00642A20"/>
    <w:rsid w:val="00642A56"/>
    <w:rsid w:val="00642EC0"/>
    <w:rsid w:val="006433ED"/>
    <w:rsid w:val="00643A3B"/>
    <w:rsid w:val="00643A7C"/>
    <w:rsid w:val="00643B44"/>
    <w:rsid w:val="00643D9B"/>
    <w:rsid w:val="00643F18"/>
    <w:rsid w:val="00644362"/>
    <w:rsid w:val="0064441E"/>
    <w:rsid w:val="00644463"/>
    <w:rsid w:val="006445C9"/>
    <w:rsid w:val="006447E0"/>
    <w:rsid w:val="00644908"/>
    <w:rsid w:val="00644A3C"/>
    <w:rsid w:val="00644EEC"/>
    <w:rsid w:val="00645345"/>
    <w:rsid w:val="006455BC"/>
    <w:rsid w:val="00645CE0"/>
    <w:rsid w:val="00646342"/>
    <w:rsid w:val="00646457"/>
    <w:rsid w:val="00646BE2"/>
    <w:rsid w:val="00646C95"/>
    <w:rsid w:val="00646E9A"/>
    <w:rsid w:val="00646EB1"/>
    <w:rsid w:val="00646F5E"/>
    <w:rsid w:val="006471CC"/>
    <w:rsid w:val="006472DE"/>
    <w:rsid w:val="006473B6"/>
    <w:rsid w:val="00647608"/>
    <w:rsid w:val="006476C7"/>
    <w:rsid w:val="00647B95"/>
    <w:rsid w:val="00647C65"/>
    <w:rsid w:val="00647FB4"/>
    <w:rsid w:val="0065020C"/>
    <w:rsid w:val="0065079F"/>
    <w:rsid w:val="00650E3C"/>
    <w:rsid w:val="00650FBB"/>
    <w:rsid w:val="0065124F"/>
    <w:rsid w:val="006519E2"/>
    <w:rsid w:val="00651C50"/>
    <w:rsid w:val="00651EBF"/>
    <w:rsid w:val="00651FF3"/>
    <w:rsid w:val="0065236E"/>
    <w:rsid w:val="00652CB3"/>
    <w:rsid w:val="00652CB8"/>
    <w:rsid w:val="00652DEE"/>
    <w:rsid w:val="006537F2"/>
    <w:rsid w:val="0065386B"/>
    <w:rsid w:val="006539C8"/>
    <w:rsid w:val="00653B52"/>
    <w:rsid w:val="00653B87"/>
    <w:rsid w:val="00653EAB"/>
    <w:rsid w:val="0065466D"/>
    <w:rsid w:val="006546EB"/>
    <w:rsid w:val="0065472B"/>
    <w:rsid w:val="00654835"/>
    <w:rsid w:val="0065527A"/>
    <w:rsid w:val="00655386"/>
    <w:rsid w:val="00655C27"/>
    <w:rsid w:val="00656368"/>
    <w:rsid w:val="00656561"/>
    <w:rsid w:val="00656B63"/>
    <w:rsid w:val="00656DE9"/>
    <w:rsid w:val="00656F32"/>
    <w:rsid w:val="00656F4A"/>
    <w:rsid w:val="00656FCD"/>
    <w:rsid w:val="0065706C"/>
    <w:rsid w:val="00657608"/>
    <w:rsid w:val="0065795D"/>
    <w:rsid w:val="00657A41"/>
    <w:rsid w:val="00657A50"/>
    <w:rsid w:val="00657E6D"/>
    <w:rsid w:val="00657E9B"/>
    <w:rsid w:val="00660149"/>
    <w:rsid w:val="0066040A"/>
    <w:rsid w:val="006604F1"/>
    <w:rsid w:val="006605C6"/>
    <w:rsid w:val="0066064C"/>
    <w:rsid w:val="0066078D"/>
    <w:rsid w:val="006607BC"/>
    <w:rsid w:val="00660B4D"/>
    <w:rsid w:val="00660CF9"/>
    <w:rsid w:val="00660F54"/>
    <w:rsid w:val="006614A6"/>
    <w:rsid w:val="00661539"/>
    <w:rsid w:val="00661831"/>
    <w:rsid w:val="00661A4C"/>
    <w:rsid w:val="00661FF9"/>
    <w:rsid w:val="006629A5"/>
    <w:rsid w:val="00662AF8"/>
    <w:rsid w:val="00662C48"/>
    <w:rsid w:val="00662C88"/>
    <w:rsid w:val="0066327E"/>
    <w:rsid w:val="0066367D"/>
    <w:rsid w:val="006637E4"/>
    <w:rsid w:val="00663A5F"/>
    <w:rsid w:val="00663A78"/>
    <w:rsid w:val="00663C2F"/>
    <w:rsid w:val="00663C58"/>
    <w:rsid w:val="0066401C"/>
    <w:rsid w:val="00664491"/>
    <w:rsid w:val="0066459C"/>
    <w:rsid w:val="00664BEC"/>
    <w:rsid w:val="0066501D"/>
    <w:rsid w:val="00665389"/>
    <w:rsid w:val="00665B2E"/>
    <w:rsid w:val="00665D77"/>
    <w:rsid w:val="00666008"/>
    <w:rsid w:val="00666784"/>
    <w:rsid w:val="00666BC0"/>
    <w:rsid w:val="00666C14"/>
    <w:rsid w:val="006670B0"/>
    <w:rsid w:val="0066731D"/>
    <w:rsid w:val="00667641"/>
    <w:rsid w:val="00667CC6"/>
    <w:rsid w:val="006703A7"/>
    <w:rsid w:val="0067059D"/>
    <w:rsid w:val="00670B3B"/>
    <w:rsid w:val="00670C01"/>
    <w:rsid w:val="00670DEB"/>
    <w:rsid w:val="0067154A"/>
    <w:rsid w:val="00671C1E"/>
    <w:rsid w:val="0067275C"/>
    <w:rsid w:val="006735F4"/>
    <w:rsid w:val="0067386C"/>
    <w:rsid w:val="00673CDB"/>
    <w:rsid w:val="0067401F"/>
    <w:rsid w:val="00674277"/>
    <w:rsid w:val="0067440C"/>
    <w:rsid w:val="00674749"/>
    <w:rsid w:val="00674B58"/>
    <w:rsid w:val="00674CD1"/>
    <w:rsid w:val="00674E28"/>
    <w:rsid w:val="00674E42"/>
    <w:rsid w:val="00674F77"/>
    <w:rsid w:val="0067535E"/>
    <w:rsid w:val="0067565D"/>
    <w:rsid w:val="00675806"/>
    <w:rsid w:val="006759D1"/>
    <w:rsid w:val="00676ACE"/>
    <w:rsid w:val="00676E87"/>
    <w:rsid w:val="006771C9"/>
    <w:rsid w:val="0067740E"/>
    <w:rsid w:val="006779EA"/>
    <w:rsid w:val="00677ACE"/>
    <w:rsid w:val="00677DFF"/>
    <w:rsid w:val="00677F39"/>
    <w:rsid w:val="006804AF"/>
    <w:rsid w:val="006809A3"/>
    <w:rsid w:val="00681262"/>
    <w:rsid w:val="00681AC5"/>
    <w:rsid w:val="00682112"/>
    <w:rsid w:val="00682643"/>
    <w:rsid w:val="006829D1"/>
    <w:rsid w:val="00682A38"/>
    <w:rsid w:val="00682E32"/>
    <w:rsid w:val="00683519"/>
    <w:rsid w:val="00683A71"/>
    <w:rsid w:val="00683F1F"/>
    <w:rsid w:val="00684080"/>
    <w:rsid w:val="0068412D"/>
    <w:rsid w:val="00684804"/>
    <w:rsid w:val="00684B74"/>
    <w:rsid w:val="006851D9"/>
    <w:rsid w:val="006854D7"/>
    <w:rsid w:val="00685BF0"/>
    <w:rsid w:val="00686183"/>
    <w:rsid w:val="00686A04"/>
    <w:rsid w:val="00686C4F"/>
    <w:rsid w:val="0068707B"/>
    <w:rsid w:val="006870B2"/>
    <w:rsid w:val="006872BA"/>
    <w:rsid w:val="0068745E"/>
    <w:rsid w:val="0068754C"/>
    <w:rsid w:val="00687771"/>
    <w:rsid w:val="006879FE"/>
    <w:rsid w:val="00687FC9"/>
    <w:rsid w:val="00690590"/>
    <w:rsid w:val="00690A60"/>
    <w:rsid w:val="00690ABD"/>
    <w:rsid w:val="00690B20"/>
    <w:rsid w:val="00690B5A"/>
    <w:rsid w:val="00690EC8"/>
    <w:rsid w:val="006910F5"/>
    <w:rsid w:val="006912C0"/>
    <w:rsid w:val="006917D7"/>
    <w:rsid w:val="00691A27"/>
    <w:rsid w:val="00691F0B"/>
    <w:rsid w:val="00692645"/>
    <w:rsid w:val="006927C0"/>
    <w:rsid w:val="00692803"/>
    <w:rsid w:val="00692805"/>
    <w:rsid w:val="00692BA3"/>
    <w:rsid w:val="006933FC"/>
    <w:rsid w:val="006935A1"/>
    <w:rsid w:val="0069397D"/>
    <w:rsid w:val="00694127"/>
    <w:rsid w:val="006942F6"/>
    <w:rsid w:val="00694427"/>
    <w:rsid w:val="00694557"/>
    <w:rsid w:val="006946F2"/>
    <w:rsid w:val="00694789"/>
    <w:rsid w:val="006948F4"/>
    <w:rsid w:val="00694997"/>
    <w:rsid w:val="00694F44"/>
    <w:rsid w:val="006950AD"/>
    <w:rsid w:val="0069535A"/>
    <w:rsid w:val="00695408"/>
    <w:rsid w:val="006954E8"/>
    <w:rsid w:val="00695618"/>
    <w:rsid w:val="00695637"/>
    <w:rsid w:val="00695771"/>
    <w:rsid w:val="00695992"/>
    <w:rsid w:val="00695BFD"/>
    <w:rsid w:val="00695C00"/>
    <w:rsid w:val="00696016"/>
    <w:rsid w:val="006961FC"/>
    <w:rsid w:val="00696294"/>
    <w:rsid w:val="006963EA"/>
    <w:rsid w:val="00696438"/>
    <w:rsid w:val="006964A3"/>
    <w:rsid w:val="00696ABB"/>
    <w:rsid w:val="00696DC3"/>
    <w:rsid w:val="0069719B"/>
    <w:rsid w:val="00697338"/>
    <w:rsid w:val="00697521"/>
    <w:rsid w:val="0069799C"/>
    <w:rsid w:val="00697A57"/>
    <w:rsid w:val="00697C05"/>
    <w:rsid w:val="006A0154"/>
    <w:rsid w:val="006A02B0"/>
    <w:rsid w:val="006A040F"/>
    <w:rsid w:val="006A056B"/>
    <w:rsid w:val="006A07D9"/>
    <w:rsid w:val="006A0975"/>
    <w:rsid w:val="006A09A1"/>
    <w:rsid w:val="006A0D9F"/>
    <w:rsid w:val="006A0EBB"/>
    <w:rsid w:val="006A1598"/>
    <w:rsid w:val="006A1C32"/>
    <w:rsid w:val="006A1E0D"/>
    <w:rsid w:val="006A1EF5"/>
    <w:rsid w:val="006A238E"/>
    <w:rsid w:val="006A254A"/>
    <w:rsid w:val="006A25F2"/>
    <w:rsid w:val="006A28F7"/>
    <w:rsid w:val="006A2B1D"/>
    <w:rsid w:val="006A2B82"/>
    <w:rsid w:val="006A2E42"/>
    <w:rsid w:val="006A2E60"/>
    <w:rsid w:val="006A2EF9"/>
    <w:rsid w:val="006A2F50"/>
    <w:rsid w:val="006A2F62"/>
    <w:rsid w:val="006A2F6E"/>
    <w:rsid w:val="006A307A"/>
    <w:rsid w:val="006A3086"/>
    <w:rsid w:val="006A3185"/>
    <w:rsid w:val="006A3263"/>
    <w:rsid w:val="006A352B"/>
    <w:rsid w:val="006A3AAE"/>
    <w:rsid w:val="006A3B84"/>
    <w:rsid w:val="006A3C89"/>
    <w:rsid w:val="006A3DF9"/>
    <w:rsid w:val="006A3EE3"/>
    <w:rsid w:val="006A3FB1"/>
    <w:rsid w:val="006A4399"/>
    <w:rsid w:val="006A464D"/>
    <w:rsid w:val="006A48D7"/>
    <w:rsid w:val="006A4A1C"/>
    <w:rsid w:val="006A4BF9"/>
    <w:rsid w:val="006A5215"/>
    <w:rsid w:val="006A5453"/>
    <w:rsid w:val="006A59EF"/>
    <w:rsid w:val="006A5DDA"/>
    <w:rsid w:val="006A6043"/>
    <w:rsid w:val="006A619F"/>
    <w:rsid w:val="006A63D5"/>
    <w:rsid w:val="006A63ED"/>
    <w:rsid w:val="006A64D6"/>
    <w:rsid w:val="006A650B"/>
    <w:rsid w:val="006A6A5B"/>
    <w:rsid w:val="006A6E37"/>
    <w:rsid w:val="006A7410"/>
    <w:rsid w:val="006A79D2"/>
    <w:rsid w:val="006A7B39"/>
    <w:rsid w:val="006A7CCC"/>
    <w:rsid w:val="006A7DB8"/>
    <w:rsid w:val="006A7E56"/>
    <w:rsid w:val="006B01FE"/>
    <w:rsid w:val="006B03E9"/>
    <w:rsid w:val="006B0590"/>
    <w:rsid w:val="006B0ACB"/>
    <w:rsid w:val="006B0C7A"/>
    <w:rsid w:val="006B0F5C"/>
    <w:rsid w:val="006B1099"/>
    <w:rsid w:val="006B1288"/>
    <w:rsid w:val="006B140C"/>
    <w:rsid w:val="006B1AE3"/>
    <w:rsid w:val="006B1B8F"/>
    <w:rsid w:val="006B203C"/>
    <w:rsid w:val="006B276B"/>
    <w:rsid w:val="006B2875"/>
    <w:rsid w:val="006B28C6"/>
    <w:rsid w:val="006B2AFE"/>
    <w:rsid w:val="006B2BB9"/>
    <w:rsid w:val="006B2CA1"/>
    <w:rsid w:val="006B2DA9"/>
    <w:rsid w:val="006B2DE8"/>
    <w:rsid w:val="006B3003"/>
    <w:rsid w:val="006B3006"/>
    <w:rsid w:val="006B30B8"/>
    <w:rsid w:val="006B32C8"/>
    <w:rsid w:val="006B3371"/>
    <w:rsid w:val="006B374A"/>
    <w:rsid w:val="006B39BE"/>
    <w:rsid w:val="006B4078"/>
    <w:rsid w:val="006B4086"/>
    <w:rsid w:val="006B42A0"/>
    <w:rsid w:val="006B48CE"/>
    <w:rsid w:val="006B4931"/>
    <w:rsid w:val="006B4942"/>
    <w:rsid w:val="006B4B4B"/>
    <w:rsid w:val="006B4B88"/>
    <w:rsid w:val="006B5122"/>
    <w:rsid w:val="006B543F"/>
    <w:rsid w:val="006B5459"/>
    <w:rsid w:val="006B54D9"/>
    <w:rsid w:val="006B606C"/>
    <w:rsid w:val="006B62FC"/>
    <w:rsid w:val="006B6473"/>
    <w:rsid w:val="006B6BA8"/>
    <w:rsid w:val="006B6CDA"/>
    <w:rsid w:val="006B6E4B"/>
    <w:rsid w:val="006B736B"/>
    <w:rsid w:val="006B742F"/>
    <w:rsid w:val="006B7779"/>
    <w:rsid w:val="006B7970"/>
    <w:rsid w:val="006B7B1C"/>
    <w:rsid w:val="006C0B12"/>
    <w:rsid w:val="006C0CA6"/>
    <w:rsid w:val="006C0E3E"/>
    <w:rsid w:val="006C0E63"/>
    <w:rsid w:val="006C1027"/>
    <w:rsid w:val="006C139B"/>
    <w:rsid w:val="006C1433"/>
    <w:rsid w:val="006C151C"/>
    <w:rsid w:val="006C1A79"/>
    <w:rsid w:val="006C208C"/>
    <w:rsid w:val="006C211C"/>
    <w:rsid w:val="006C249F"/>
    <w:rsid w:val="006C24B4"/>
    <w:rsid w:val="006C27A4"/>
    <w:rsid w:val="006C2A8E"/>
    <w:rsid w:val="006C2B2A"/>
    <w:rsid w:val="006C2EA5"/>
    <w:rsid w:val="006C3040"/>
    <w:rsid w:val="006C323E"/>
    <w:rsid w:val="006C33A2"/>
    <w:rsid w:val="006C364D"/>
    <w:rsid w:val="006C37FB"/>
    <w:rsid w:val="006C3DB2"/>
    <w:rsid w:val="006C3DE8"/>
    <w:rsid w:val="006C40A7"/>
    <w:rsid w:val="006C40BC"/>
    <w:rsid w:val="006C476D"/>
    <w:rsid w:val="006C4867"/>
    <w:rsid w:val="006C49DA"/>
    <w:rsid w:val="006C4BAD"/>
    <w:rsid w:val="006C4C3A"/>
    <w:rsid w:val="006C4EA7"/>
    <w:rsid w:val="006C4F8E"/>
    <w:rsid w:val="006C4FCA"/>
    <w:rsid w:val="006C509A"/>
    <w:rsid w:val="006C520F"/>
    <w:rsid w:val="006C5221"/>
    <w:rsid w:val="006C5439"/>
    <w:rsid w:val="006C56CD"/>
    <w:rsid w:val="006C5BD4"/>
    <w:rsid w:val="006C61AE"/>
    <w:rsid w:val="006C6867"/>
    <w:rsid w:val="006C6878"/>
    <w:rsid w:val="006C68FC"/>
    <w:rsid w:val="006C6937"/>
    <w:rsid w:val="006C69AA"/>
    <w:rsid w:val="006C6A32"/>
    <w:rsid w:val="006C6D6F"/>
    <w:rsid w:val="006C7184"/>
    <w:rsid w:val="006C742E"/>
    <w:rsid w:val="006C74C2"/>
    <w:rsid w:val="006C798A"/>
    <w:rsid w:val="006C7CF2"/>
    <w:rsid w:val="006C7ED0"/>
    <w:rsid w:val="006D02D7"/>
    <w:rsid w:val="006D02F2"/>
    <w:rsid w:val="006D04F8"/>
    <w:rsid w:val="006D0528"/>
    <w:rsid w:val="006D068B"/>
    <w:rsid w:val="006D078A"/>
    <w:rsid w:val="006D0971"/>
    <w:rsid w:val="006D0B09"/>
    <w:rsid w:val="006D0B0C"/>
    <w:rsid w:val="006D0C15"/>
    <w:rsid w:val="006D0E93"/>
    <w:rsid w:val="006D1185"/>
    <w:rsid w:val="006D11BC"/>
    <w:rsid w:val="006D1600"/>
    <w:rsid w:val="006D16B6"/>
    <w:rsid w:val="006D16F6"/>
    <w:rsid w:val="006D1857"/>
    <w:rsid w:val="006D1D45"/>
    <w:rsid w:val="006D1E39"/>
    <w:rsid w:val="006D2196"/>
    <w:rsid w:val="006D2407"/>
    <w:rsid w:val="006D2616"/>
    <w:rsid w:val="006D2BF1"/>
    <w:rsid w:val="006D2C17"/>
    <w:rsid w:val="006D2C93"/>
    <w:rsid w:val="006D2DDE"/>
    <w:rsid w:val="006D2FC7"/>
    <w:rsid w:val="006D3308"/>
    <w:rsid w:val="006D344D"/>
    <w:rsid w:val="006D3625"/>
    <w:rsid w:val="006D386B"/>
    <w:rsid w:val="006D38B0"/>
    <w:rsid w:val="006D3C7D"/>
    <w:rsid w:val="006D431C"/>
    <w:rsid w:val="006D43BF"/>
    <w:rsid w:val="006D4469"/>
    <w:rsid w:val="006D44FD"/>
    <w:rsid w:val="006D472F"/>
    <w:rsid w:val="006D47C9"/>
    <w:rsid w:val="006D4F5E"/>
    <w:rsid w:val="006D518A"/>
    <w:rsid w:val="006D58D5"/>
    <w:rsid w:val="006D59D0"/>
    <w:rsid w:val="006D5A13"/>
    <w:rsid w:val="006D5A54"/>
    <w:rsid w:val="006D5AE1"/>
    <w:rsid w:val="006D5D5F"/>
    <w:rsid w:val="006D6156"/>
    <w:rsid w:val="006D6381"/>
    <w:rsid w:val="006D66BC"/>
    <w:rsid w:val="006D69B1"/>
    <w:rsid w:val="006D69CB"/>
    <w:rsid w:val="006D6A4D"/>
    <w:rsid w:val="006D6BDE"/>
    <w:rsid w:val="006D6C94"/>
    <w:rsid w:val="006D6D5D"/>
    <w:rsid w:val="006D6DAB"/>
    <w:rsid w:val="006D716D"/>
    <w:rsid w:val="006D79CF"/>
    <w:rsid w:val="006D7CFD"/>
    <w:rsid w:val="006D7D40"/>
    <w:rsid w:val="006E070B"/>
    <w:rsid w:val="006E091D"/>
    <w:rsid w:val="006E0E23"/>
    <w:rsid w:val="006E0EF3"/>
    <w:rsid w:val="006E10D4"/>
    <w:rsid w:val="006E15D2"/>
    <w:rsid w:val="006E1B8D"/>
    <w:rsid w:val="006E1E12"/>
    <w:rsid w:val="006E21BC"/>
    <w:rsid w:val="006E29FC"/>
    <w:rsid w:val="006E2CE1"/>
    <w:rsid w:val="006E2EAE"/>
    <w:rsid w:val="006E316E"/>
    <w:rsid w:val="006E327F"/>
    <w:rsid w:val="006E35C3"/>
    <w:rsid w:val="006E367E"/>
    <w:rsid w:val="006E3828"/>
    <w:rsid w:val="006E3EF1"/>
    <w:rsid w:val="006E3FDF"/>
    <w:rsid w:val="006E485E"/>
    <w:rsid w:val="006E48A9"/>
    <w:rsid w:val="006E4E96"/>
    <w:rsid w:val="006E50E6"/>
    <w:rsid w:val="006E510B"/>
    <w:rsid w:val="006E52C7"/>
    <w:rsid w:val="006E5751"/>
    <w:rsid w:val="006E5BBB"/>
    <w:rsid w:val="006E5CD6"/>
    <w:rsid w:val="006E5DBD"/>
    <w:rsid w:val="006E602D"/>
    <w:rsid w:val="006E6224"/>
    <w:rsid w:val="006E63DA"/>
    <w:rsid w:val="006E65F1"/>
    <w:rsid w:val="006E69FF"/>
    <w:rsid w:val="006E6BF2"/>
    <w:rsid w:val="006E7282"/>
    <w:rsid w:val="006E751E"/>
    <w:rsid w:val="006E7865"/>
    <w:rsid w:val="006E79B1"/>
    <w:rsid w:val="006E7E45"/>
    <w:rsid w:val="006F00BE"/>
    <w:rsid w:val="006F07DD"/>
    <w:rsid w:val="006F0817"/>
    <w:rsid w:val="006F0BA4"/>
    <w:rsid w:val="006F127F"/>
    <w:rsid w:val="006F1442"/>
    <w:rsid w:val="006F15E5"/>
    <w:rsid w:val="006F1A80"/>
    <w:rsid w:val="006F1BE4"/>
    <w:rsid w:val="006F201D"/>
    <w:rsid w:val="006F2955"/>
    <w:rsid w:val="006F2A32"/>
    <w:rsid w:val="006F2D02"/>
    <w:rsid w:val="006F30ED"/>
    <w:rsid w:val="006F325F"/>
    <w:rsid w:val="006F3314"/>
    <w:rsid w:val="006F391A"/>
    <w:rsid w:val="006F3A4D"/>
    <w:rsid w:val="006F3ADA"/>
    <w:rsid w:val="006F3B64"/>
    <w:rsid w:val="006F4509"/>
    <w:rsid w:val="006F4965"/>
    <w:rsid w:val="006F4ADB"/>
    <w:rsid w:val="006F4DE9"/>
    <w:rsid w:val="006F5682"/>
    <w:rsid w:val="006F579A"/>
    <w:rsid w:val="006F5AA1"/>
    <w:rsid w:val="006F5B87"/>
    <w:rsid w:val="006F5CCF"/>
    <w:rsid w:val="006F6228"/>
    <w:rsid w:val="006F63A5"/>
    <w:rsid w:val="006F77FC"/>
    <w:rsid w:val="006F7B47"/>
    <w:rsid w:val="006F7C8E"/>
    <w:rsid w:val="0070010B"/>
    <w:rsid w:val="00700286"/>
    <w:rsid w:val="0070043E"/>
    <w:rsid w:val="007006E1"/>
    <w:rsid w:val="00701152"/>
    <w:rsid w:val="007011E1"/>
    <w:rsid w:val="00701363"/>
    <w:rsid w:val="00701A99"/>
    <w:rsid w:val="00701F94"/>
    <w:rsid w:val="007023DB"/>
    <w:rsid w:val="007024FC"/>
    <w:rsid w:val="0070276E"/>
    <w:rsid w:val="00702BDC"/>
    <w:rsid w:val="00702E07"/>
    <w:rsid w:val="00702F8F"/>
    <w:rsid w:val="00703907"/>
    <w:rsid w:val="00703B1A"/>
    <w:rsid w:val="00703B44"/>
    <w:rsid w:val="00703CED"/>
    <w:rsid w:val="00703D0C"/>
    <w:rsid w:val="007042AA"/>
    <w:rsid w:val="007049A2"/>
    <w:rsid w:val="00704AB9"/>
    <w:rsid w:val="00704BAA"/>
    <w:rsid w:val="00704E82"/>
    <w:rsid w:val="007055A1"/>
    <w:rsid w:val="00705774"/>
    <w:rsid w:val="007057AA"/>
    <w:rsid w:val="007057F7"/>
    <w:rsid w:val="00705956"/>
    <w:rsid w:val="00706070"/>
    <w:rsid w:val="007060D6"/>
    <w:rsid w:val="00706134"/>
    <w:rsid w:val="00706139"/>
    <w:rsid w:val="007063A2"/>
    <w:rsid w:val="007064D3"/>
    <w:rsid w:val="00706537"/>
    <w:rsid w:val="00706873"/>
    <w:rsid w:val="00706912"/>
    <w:rsid w:val="00706A48"/>
    <w:rsid w:val="00706D2F"/>
    <w:rsid w:val="00707237"/>
    <w:rsid w:val="007077AE"/>
    <w:rsid w:val="007078E9"/>
    <w:rsid w:val="00707C87"/>
    <w:rsid w:val="00707D13"/>
    <w:rsid w:val="00707F1E"/>
    <w:rsid w:val="007103E8"/>
    <w:rsid w:val="007103F7"/>
    <w:rsid w:val="00710668"/>
    <w:rsid w:val="00710876"/>
    <w:rsid w:val="00710B0D"/>
    <w:rsid w:val="00710DE0"/>
    <w:rsid w:val="00710E0D"/>
    <w:rsid w:val="00710F99"/>
    <w:rsid w:val="0071108A"/>
    <w:rsid w:val="007110FC"/>
    <w:rsid w:val="00711131"/>
    <w:rsid w:val="00711539"/>
    <w:rsid w:val="00711A36"/>
    <w:rsid w:val="00712110"/>
    <w:rsid w:val="00712187"/>
    <w:rsid w:val="0071219A"/>
    <w:rsid w:val="00712709"/>
    <w:rsid w:val="00712A0A"/>
    <w:rsid w:val="007134A1"/>
    <w:rsid w:val="00713A91"/>
    <w:rsid w:val="00713F4B"/>
    <w:rsid w:val="0071492D"/>
    <w:rsid w:val="00714BD0"/>
    <w:rsid w:val="00714C5F"/>
    <w:rsid w:val="00714C73"/>
    <w:rsid w:val="00714E8C"/>
    <w:rsid w:val="00714EC7"/>
    <w:rsid w:val="00715280"/>
    <w:rsid w:val="007154D6"/>
    <w:rsid w:val="0071553E"/>
    <w:rsid w:val="0071573F"/>
    <w:rsid w:val="00715777"/>
    <w:rsid w:val="007157EB"/>
    <w:rsid w:val="00715BE9"/>
    <w:rsid w:val="00716045"/>
    <w:rsid w:val="007160A7"/>
    <w:rsid w:val="00716155"/>
    <w:rsid w:val="007166C5"/>
    <w:rsid w:val="00716706"/>
    <w:rsid w:val="007167E5"/>
    <w:rsid w:val="00716CE2"/>
    <w:rsid w:val="00716DE0"/>
    <w:rsid w:val="00716F35"/>
    <w:rsid w:val="0071705B"/>
    <w:rsid w:val="007172AD"/>
    <w:rsid w:val="00717329"/>
    <w:rsid w:val="00717863"/>
    <w:rsid w:val="00717888"/>
    <w:rsid w:val="007178CD"/>
    <w:rsid w:val="00717977"/>
    <w:rsid w:val="00717B38"/>
    <w:rsid w:val="00717D74"/>
    <w:rsid w:val="00720355"/>
    <w:rsid w:val="00720447"/>
    <w:rsid w:val="0072063C"/>
    <w:rsid w:val="00720741"/>
    <w:rsid w:val="007207CC"/>
    <w:rsid w:val="00720B27"/>
    <w:rsid w:val="00720C20"/>
    <w:rsid w:val="00720E19"/>
    <w:rsid w:val="00720E44"/>
    <w:rsid w:val="00720F5C"/>
    <w:rsid w:val="00721036"/>
    <w:rsid w:val="00721146"/>
    <w:rsid w:val="007212C5"/>
    <w:rsid w:val="007216ED"/>
    <w:rsid w:val="00721829"/>
    <w:rsid w:val="0072211D"/>
    <w:rsid w:val="0072232E"/>
    <w:rsid w:val="0072248F"/>
    <w:rsid w:val="00722BFF"/>
    <w:rsid w:val="00722DAB"/>
    <w:rsid w:val="00722EC1"/>
    <w:rsid w:val="00722ED0"/>
    <w:rsid w:val="00722F0D"/>
    <w:rsid w:val="00722F24"/>
    <w:rsid w:val="00723213"/>
    <w:rsid w:val="0072328B"/>
    <w:rsid w:val="007232C4"/>
    <w:rsid w:val="0072335E"/>
    <w:rsid w:val="00723514"/>
    <w:rsid w:val="007235F8"/>
    <w:rsid w:val="00723C09"/>
    <w:rsid w:val="00723DAB"/>
    <w:rsid w:val="00723DCF"/>
    <w:rsid w:val="00723F30"/>
    <w:rsid w:val="0072416F"/>
    <w:rsid w:val="00724258"/>
    <w:rsid w:val="0072443B"/>
    <w:rsid w:val="007248B0"/>
    <w:rsid w:val="00724AB0"/>
    <w:rsid w:val="00725674"/>
    <w:rsid w:val="00725992"/>
    <w:rsid w:val="00725DCF"/>
    <w:rsid w:val="0072613F"/>
    <w:rsid w:val="00726316"/>
    <w:rsid w:val="007263EE"/>
    <w:rsid w:val="00726798"/>
    <w:rsid w:val="00726912"/>
    <w:rsid w:val="00726A3A"/>
    <w:rsid w:val="00726BAD"/>
    <w:rsid w:val="00726FD0"/>
    <w:rsid w:val="00727602"/>
    <w:rsid w:val="0072788A"/>
    <w:rsid w:val="007279EC"/>
    <w:rsid w:val="00727BCA"/>
    <w:rsid w:val="00727C23"/>
    <w:rsid w:val="00727C5C"/>
    <w:rsid w:val="00727F6C"/>
    <w:rsid w:val="0073004D"/>
    <w:rsid w:val="007300D2"/>
    <w:rsid w:val="0073037D"/>
    <w:rsid w:val="0073040A"/>
    <w:rsid w:val="00730584"/>
    <w:rsid w:val="00730729"/>
    <w:rsid w:val="0073116B"/>
    <w:rsid w:val="00731262"/>
    <w:rsid w:val="007315A0"/>
    <w:rsid w:val="007315C3"/>
    <w:rsid w:val="007316A4"/>
    <w:rsid w:val="00731759"/>
    <w:rsid w:val="00731C00"/>
    <w:rsid w:val="00732393"/>
    <w:rsid w:val="0073259E"/>
    <w:rsid w:val="00732911"/>
    <w:rsid w:val="00732CA8"/>
    <w:rsid w:val="00732D0B"/>
    <w:rsid w:val="00733058"/>
    <w:rsid w:val="00733164"/>
    <w:rsid w:val="00733253"/>
    <w:rsid w:val="00733354"/>
    <w:rsid w:val="007336A7"/>
    <w:rsid w:val="00733EB3"/>
    <w:rsid w:val="00734227"/>
    <w:rsid w:val="00734529"/>
    <w:rsid w:val="00734893"/>
    <w:rsid w:val="00734C0C"/>
    <w:rsid w:val="00735124"/>
    <w:rsid w:val="00735328"/>
    <w:rsid w:val="00735334"/>
    <w:rsid w:val="0073595A"/>
    <w:rsid w:val="00735B60"/>
    <w:rsid w:val="00735B62"/>
    <w:rsid w:val="00735CEF"/>
    <w:rsid w:val="00735DED"/>
    <w:rsid w:val="00736074"/>
    <w:rsid w:val="007361CA"/>
    <w:rsid w:val="00736378"/>
    <w:rsid w:val="00736439"/>
    <w:rsid w:val="0073685B"/>
    <w:rsid w:val="00736C8B"/>
    <w:rsid w:val="00736EB9"/>
    <w:rsid w:val="00737045"/>
    <w:rsid w:val="007373BE"/>
    <w:rsid w:val="00737786"/>
    <w:rsid w:val="00737885"/>
    <w:rsid w:val="00737C53"/>
    <w:rsid w:val="00737E94"/>
    <w:rsid w:val="00737EA2"/>
    <w:rsid w:val="00737F52"/>
    <w:rsid w:val="007401E0"/>
    <w:rsid w:val="00740566"/>
    <w:rsid w:val="007405EF"/>
    <w:rsid w:val="0074097B"/>
    <w:rsid w:val="00740B50"/>
    <w:rsid w:val="00740D3D"/>
    <w:rsid w:val="00741541"/>
    <w:rsid w:val="00741752"/>
    <w:rsid w:val="00741867"/>
    <w:rsid w:val="00741992"/>
    <w:rsid w:val="00741B37"/>
    <w:rsid w:val="00741C25"/>
    <w:rsid w:val="00741C8A"/>
    <w:rsid w:val="00741CB1"/>
    <w:rsid w:val="00741D53"/>
    <w:rsid w:val="007420FC"/>
    <w:rsid w:val="00742210"/>
    <w:rsid w:val="007422A9"/>
    <w:rsid w:val="0074248D"/>
    <w:rsid w:val="007426E4"/>
    <w:rsid w:val="00742732"/>
    <w:rsid w:val="007427A9"/>
    <w:rsid w:val="0074281F"/>
    <w:rsid w:val="00742A7E"/>
    <w:rsid w:val="00742C0F"/>
    <w:rsid w:val="00742C3C"/>
    <w:rsid w:val="00742D0D"/>
    <w:rsid w:val="00742D2D"/>
    <w:rsid w:val="0074339F"/>
    <w:rsid w:val="0074354C"/>
    <w:rsid w:val="00743565"/>
    <w:rsid w:val="007435A3"/>
    <w:rsid w:val="007435D6"/>
    <w:rsid w:val="007435E4"/>
    <w:rsid w:val="00743CDF"/>
    <w:rsid w:val="00744C57"/>
    <w:rsid w:val="00744CB1"/>
    <w:rsid w:val="00744E08"/>
    <w:rsid w:val="00744EEE"/>
    <w:rsid w:val="00745371"/>
    <w:rsid w:val="00745651"/>
    <w:rsid w:val="0074585A"/>
    <w:rsid w:val="007461A1"/>
    <w:rsid w:val="0074659A"/>
    <w:rsid w:val="00746CB4"/>
    <w:rsid w:val="00747000"/>
    <w:rsid w:val="00747359"/>
    <w:rsid w:val="00747BF1"/>
    <w:rsid w:val="00747D60"/>
    <w:rsid w:val="00747E52"/>
    <w:rsid w:val="007501C9"/>
    <w:rsid w:val="0075021F"/>
    <w:rsid w:val="007504D5"/>
    <w:rsid w:val="0075065A"/>
    <w:rsid w:val="00750E36"/>
    <w:rsid w:val="00750EDA"/>
    <w:rsid w:val="00750F20"/>
    <w:rsid w:val="00750FAF"/>
    <w:rsid w:val="00751030"/>
    <w:rsid w:val="00751082"/>
    <w:rsid w:val="00751248"/>
    <w:rsid w:val="007513F9"/>
    <w:rsid w:val="0075184B"/>
    <w:rsid w:val="00751ECF"/>
    <w:rsid w:val="00751FE5"/>
    <w:rsid w:val="00752211"/>
    <w:rsid w:val="0075268F"/>
    <w:rsid w:val="00752877"/>
    <w:rsid w:val="00753038"/>
    <w:rsid w:val="0075320F"/>
    <w:rsid w:val="00753343"/>
    <w:rsid w:val="00753454"/>
    <w:rsid w:val="00753648"/>
    <w:rsid w:val="0075380A"/>
    <w:rsid w:val="00753825"/>
    <w:rsid w:val="00753923"/>
    <w:rsid w:val="007539F1"/>
    <w:rsid w:val="00753DB8"/>
    <w:rsid w:val="00753DEB"/>
    <w:rsid w:val="00753FA2"/>
    <w:rsid w:val="007541AB"/>
    <w:rsid w:val="00754803"/>
    <w:rsid w:val="00754C12"/>
    <w:rsid w:val="00754CAB"/>
    <w:rsid w:val="00754E47"/>
    <w:rsid w:val="00755012"/>
    <w:rsid w:val="0075504F"/>
    <w:rsid w:val="00755087"/>
    <w:rsid w:val="007552C7"/>
    <w:rsid w:val="0075546A"/>
    <w:rsid w:val="00755712"/>
    <w:rsid w:val="007557FD"/>
    <w:rsid w:val="0075583B"/>
    <w:rsid w:val="00755C02"/>
    <w:rsid w:val="007560B9"/>
    <w:rsid w:val="0075613E"/>
    <w:rsid w:val="007561F8"/>
    <w:rsid w:val="0075623A"/>
    <w:rsid w:val="007566BC"/>
    <w:rsid w:val="00756E48"/>
    <w:rsid w:val="00756EC7"/>
    <w:rsid w:val="00757133"/>
    <w:rsid w:val="0075732B"/>
    <w:rsid w:val="00757528"/>
    <w:rsid w:val="00757562"/>
    <w:rsid w:val="007575CA"/>
    <w:rsid w:val="007576F2"/>
    <w:rsid w:val="00757876"/>
    <w:rsid w:val="007579C6"/>
    <w:rsid w:val="007579DB"/>
    <w:rsid w:val="00757AF3"/>
    <w:rsid w:val="00757CCB"/>
    <w:rsid w:val="00760309"/>
    <w:rsid w:val="0076031A"/>
    <w:rsid w:val="00760430"/>
    <w:rsid w:val="007607A2"/>
    <w:rsid w:val="007607EF"/>
    <w:rsid w:val="00760F8C"/>
    <w:rsid w:val="00760FE3"/>
    <w:rsid w:val="00761196"/>
    <w:rsid w:val="00761514"/>
    <w:rsid w:val="00761635"/>
    <w:rsid w:val="00761758"/>
    <w:rsid w:val="00761786"/>
    <w:rsid w:val="0076178D"/>
    <w:rsid w:val="00761B63"/>
    <w:rsid w:val="00761D94"/>
    <w:rsid w:val="00762079"/>
    <w:rsid w:val="0076276B"/>
    <w:rsid w:val="00762A38"/>
    <w:rsid w:val="00762DF6"/>
    <w:rsid w:val="00762F3E"/>
    <w:rsid w:val="007632BE"/>
    <w:rsid w:val="0076372E"/>
    <w:rsid w:val="007637C2"/>
    <w:rsid w:val="00763838"/>
    <w:rsid w:val="007649B7"/>
    <w:rsid w:val="00764A47"/>
    <w:rsid w:val="00764F3E"/>
    <w:rsid w:val="0076515E"/>
    <w:rsid w:val="007652FE"/>
    <w:rsid w:val="0076542E"/>
    <w:rsid w:val="00766503"/>
    <w:rsid w:val="007667E1"/>
    <w:rsid w:val="00766DBD"/>
    <w:rsid w:val="00766E8A"/>
    <w:rsid w:val="007673EB"/>
    <w:rsid w:val="0076774D"/>
    <w:rsid w:val="00767AE0"/>
    <w:rsid w:val="00767BAE"/>
    <w:rsid w:val="00767E22"/>
    <w:rsid w:val="00767F3C"/>
    <w:rsid w:val="00770011"/>
    <w:rsid w:val="0077014C"/>
    <w:rsid w:val="0077018A"/>
    <w:rsid w:val="00770209"/>
    <w:rsid w:val="00770380"/>
    <w:rsid w:val="00770637"/>
    <w:rsid w:val="00770781"/>
    <w:rsid w:val="00770A98"/>
    <w:rsid w:val="00770FA7"/>
    <w:rsid w:val="00771945"/>
    <w:rsid w:val="00771AA1"/>
    <w:rsid w:val="00771BAD"/>
    <w:rsid w:val="00771C20"/>
    <w:rsid w:val="00771E53"/>
    <w:rsid w:val="00771FE7"/>
    <w:rsid w:val="00772521"/>
    <w:rsid w:val="00772541"/>
    <w:rsid w:val="007728BD"/>
    <w:rsid w:val="00772915"/>
    <w:rsid w:val="00772ACB"/>
    <w:rsid w:val="00772F05"/>
    <w:rsid w:val="00772FA5"/>
    <w:rsid w:val="0077317E"/>
    <w:rsid w:val="0077330A"/>
    <w:rsid w:val="00773317"/>
    <w:rsid w:val="00773445"/>
    <w:rsid w:val="007735FC"/>
    <w:rsid w:val="007737BD"/>
    <w:rsid w:val="007737DE"/>
    <w:rsid w:val="00773A19"/>
    <w:rsid w:val="00773A80"/>
    <w:rsid w:val="00773E08"/>
    <w:rsid w:val="00774001"/>
    <w:rsid w:val="007740A6"/>
    <w:rsid w:val="007740CE"/>
    <w:rsid w:val="00774120"/>
    <w:rsid w:val="007749AF"/>
    <w:rsid w:val="00774DF7"/>
    <w:rsid w:val="00774EC4"/>
    <w:rsid w:val="00774ED2"/>
    <w:rsid w:val="007750B9"/>
    <w:rsid w:val="0077525E"/>
    <w:rsid w:val="00775294"/>
    <w:rsid w:val="007754C7"/>
    <w:rsid w:val="0077604D"/>
    <w:rsid w:val="007761BB"/>
    <w:rsid w:val="007761F9"/>
    <w:rsid w:val="00776396"/>
    <w:rsid w:val="007768E7"/>
    <w:rsid w:val="0077697B"/>
    <w:rsid w:val="00776C76"/>
    <w:rsid w:val="00777360"/>
    <w:rsid w:val="007777F4"/>
    <w:rsid w:val="0077786C"/>
    <w:rsid w:val="00777C1D"/>
    <w:rsid w:val="00777D1F"/>
    <w:rsid w:val="00777E58"/>
    <w:rsid w:val="00777EBC"/>
    <w:rsid w:val="00777EE6"/>
    <w:rsid w:val="007800D2"/>
    <w:rsid w:val="007801E8"/>
    <w:rsid w:val="00780217"/>
    <w:rsid w:val="00780279"/>
    <w:rsid w:val="007802B8"/>
    <w:rsid w:val="0078054E"/>
    <w:rsid w:val="0078057A"/>
    <w:rsid w:val="0078083E"/>
    <w:rsid w:val="00781181"/>
    <w:rsid w:val="00781C18"/>
    <w:rsid w:val="00782AF0"/>
    <w:rsid w:val="00782B26"/>
    <w:rsid w:val="00782BE0"/>
    <w:rsid w:val="00782F6A"/>
    <w:rsid w:val="0078338D"/>
    <w:rsid w:val="0078347C"/>
    <w:rsid w:val="00783975"/>
    <w:rsid w:val="00783BAA"/>
    <w:rsid w:val="0078404C"/>
    <w:rsid w:val="00784089"/>
    <w:rsid w:val="00784109"/>
    <w:rsid w:val="0078455A"/>
    <w:rsid w:val="0078488B"/>
    <w:rsid w:val="00784A38"/>
    <w:rsid w:val="00784A85"/>
    <w:rsid w:val="00784CD1"/>
    <w:rsid w:val="00784E36"/>
    <w:rsid w:val="007851A5"/>
    <w:rsid w:val="00785657"/>
    <w:rsid w:val="00785711"/>
    <w:rsid w:val="00785758"/>
    <w:rsid w:val="0078591A"/>
    <w:rsid w:val="00785AD9"/>
    <w:rsid w:val="00785EA5"/>
    <w:rsid w:val="00785F4A"/>
    <w:rsid w:val="007860A5"/>
    <w:rsid w:val="007867CA"/>
    <w:rsid w:val="00787230"/>
    <w:rsid w:val="0078728A"/>
    <w:rsid w:val="007872D6"/>
    <w:rsid w:val="007879A7"/>
    <w:rsid w:val="00787C43"/>
    <w:rsid w:val="00787CF1"/>
    <w:rsid w:val="007900BE"/>
    <w:rsid w:val="00790416"/>
    <w:rsid w:val="007908FA"/>
    <w:rsid w:val="007909A6"/>
    <w:rsid w:val="00790C54"/>
    <w:rsid w:val="00790FE1"/>
    <w:rsid w:val="00791492"/>
    <w:rsid w:val="00791560"/>
    <w:rsid w:val="007915BB"/>
    <w:rsid w:val="007917AC"/>
    <w:rsid w:val="00791A2B"/>
    <w:rsid w:val="00791A7D"/>
    <w:rsid w:val="00791AE3"/>
    <w:rsid w:val="00791BD7"/>
    <w:rsid w:val="00791CE2"/>
    <w:rsid w:val="00791DD8"/>
    <w:rsid w:val="00791EBF"/>
    <w:rsid w:val="00792343"/>
    <w:rsid w:val="00792521"/>
    <w:rsid w:val="00792947"/>
    <w:rsid w:val="00792A19"/>
    <w:rsid w:val="00792C22"/>
    <w:rsid w:val="00792C49"/>
    <w:rsid w:val="00792DFA"/>
    <w:rsid w:val="00792E39"/>
    <w:rsid w:val="00792E46"/>
    <w:rsid w:val="00792F37"/>
    <w:rsid w:val="007932A4"/>
    <w:rsid w:val="007933CE"/>
    <w:rsid w:val="00793AF3"/>
    <w:rsid w:val="00793CE3"/>
    <w:rsid w:val="00793FEF"/>
    <w:rsid w:val="0079425D"/>
    <w:rsid w:val="007945DF"/>
    <w:rsid w:val="007947A5"/>
    <w:rsid w:val="0079484E"/>
    <w:rsid w:val="00794A30"/>
    <w:rsid w:val="00794DC9"/>
    <w:rsid w:val="00794FA7"/>
    <w:rsid w:val="0079557A"/>
    <w:rsid w:val="0079571C"/>
    <w:rsid w:val="007958B1"/>
    <w:rsid w:val="00795938"/>
    <w:rsid w:val="00795BA9"/>
    <w:rsid w:val="00795E2B"/>
    <w:rsid w:val="007961BF"/>
    <w:rsid w:val="00796D14"/>
    <w:rsid w:val="00796E9C"/>
    <w:rsid w:val="00796ED9"/>
    <w:rsid w:val="00796FDF"/>
    <w:rsid w:val="007978B1"/>
    <w:rsid w:val="00797A13"/>
    <w:rsid w:val="00797CFC"/>
    <w:rsid w:val="00797D4D"/>
    <w:rsid w:val="00797DC2"/>
    <w:rsid w:val="007A013A"/>
    <w:rsid w:val="007A0A12"/>
    <w:rsid w:val="007A0A70"/>
    <w:rsid w:val="007A0C44"/>
    <w:rsid w:val="007A0D22"/>
    <w:rsid w:val="007A0EB5"/>
    <w:rsid w:val="007A172A"/>
    <w:rsid w:val="007A197A"/>
    <w:rsid w:val="007A1C5B"/>
    <w:rsid w:val="007A227F"/>
    <w:rsid w:val="007A236C"/>
    <w:rsid w:val="007A2468"/>
    <w:rsid w:val="007A24E8"/>
    <w:rsid w:val="007A2621"/>
    <w:rsid w:val="007A2BEA"/>
    <w:rsid w:val="007A2ECD"/>
    <w:rsid w:val="007A3121"/>
    <w:rsid w:val="007A3499"/>
    <w:rsid w:val="007A3587"/>
    <w:rsid w:val="007A3674"/>
    <w:rsid w:val="007A36BB"/>
    <w:rsid w:val="007A3701"/>
    <w:rsid w:val="007A3FD2"/>
    <w:rsid w:val="007A40E0"/>
    <w:rsid w:val="007A4A8D"/>
    <w:rsid w:val="007A4B2F"/>
    <w:rsid w:val="007A4C5D"/>
    <w:rsid w:val="007A4DEA"/>
    <w:rsid w:val="007A52AF"/>
    <w:rsid w:val="007A550D"/>
    <w:rsid w:val="007A5663"/>
    <w:rsid w:val="007A5C8D"/>
    <w:rsid w:val="007A5CA0"/>
    <w:rsid w:val="007A5EB7"/>
    <w:rsid w:val="007A5EB8"/>
    <w:rsid w:val="007A6024"/>
    <w:rsid w:val="007A63FD"/>
    <w:rsid w:val="007A66D0"/>
    <w:rsid w:val="007A66FB"/>
    <w:rsid w:val="007A6987"/>
    <w:rsid w:val="007A6AF0"/>
    <w:rsid w:val="007A7087"/>
    <w:rsid w:val="007A73D4"/>
    <w:rsid w:val="007A764B"/>
    <w:rsid w:val="007A7837"/>
    <w:rsid w:val="007A787F"/>
    <w:rsid w:val="007B0332"/>
    <w:rsid w:val="007B08DA"/>
    <w:rsid w:val="007B09E9"/>
    <w:rsid w:val="007B0CEA"/>
    <w:rsid w:val="007B12CC"/>
    <w:rsid w:val="007B16B2"/>
    <w:rsid w:val="007B16D4"/>
    <w:rsid w:val="007B16F1"/>
    <w:rsid w:val="007B239C"/>
    <w:rsid w:val="007B251D"/>
    <w:rsid w:val="007B2C30"/>
    <w:rsid w:val="007B2C78"/>
    <w:rsid w:val="007B2FC5"/>
    <w:rsid w:val="007B30E4"/>
    <w:rsid w:val="007B32B9"/>
    <w:rsid w:val="007B3416"/>
    <w:rsid w:val="007B3C1E"/>
    <w:rsid w:val="007B3D27"/>
    <w:rsid w:val="007B3E8D"/>
    <w:rsid w:val="007B42C7"/>
    <w:rsid w:val="007B4508"/>
    <w:rsid w:val="007B465F"/>
    <w:rsid w:val="007B478E"/>
    <w:rsid w:val="007B507E"/>
    <w:rsid w:val="007B528D"/>
    <w:rsid w:val="007B534B"/>
    <w:rsid w:val="007B5956"/>
    <w:rsid w:val="007B5DA1"/>
    <w:rsid w:val="007B5FDB"/>
    <w:rsid w:val="007B6564"/>
    <w:rsid w:val="007B6826"/>
    <w:rsid w:val="007B6F8B"/>
    <w:rsid w:val="007B7451"/>
    <w:rsid w:val="007B75B5"/>
    <w:rsid w:val="007B76ED"/>
    <w:rsid w:val="007B77D1"/>
    <w:rsid w:val="007B793D"/>
    <w:rsid w:val="007B7A67"/>
    <w:rsid w:val="007B7DE4"/>
    <w:rsid w:val="007B7E59"/>
    <w:rsid w:val="007C00C5"/>
    <w:rsid w:val="007C0219"/>
    <w:rsid w:val="007C0575"/>
    <w:rsid w:val="007C083B"/>
    <w:rsid w:val="007C0A5F"/>
    <w:rsid w:val="007C10B9"/>
    <w:rsid w:val="007C15E6"/>
    <w:rsid w:val="007C180A"/>
    <w:rsid w:val="007C1882"/>
    <w:rsid w:val="007C1A21"/>
    <w:rsid w:val="007C1E30"/>
    <w:rsid w:val="007C1F9B"/>
    <w:rsid w:val="007C20B7"/>
    <w:rsid w:val="007C2441"/>
    <w:rsid w:val="007C264A"/>
    <w:rsid w:val="007C2677"/>
    <w:rsid w:val="007C2AF8"/>
    <w:rsid w:val="007C2BC9"/>
    <w:rsid w:val="007C2BDE"/>
    <w:rsid w:val="007C2BF9"/>
    <w:rsid w:val="007C2C2A"/>
    <w:rsid w:val="007C2FC4"/>
    <w:rsid w:val="007C361D"/>
    <w:rsid w:val="007C37CC"/>
    <w:rsid w:val="007C38E9"/>
    <w:rsid w:val="007C38F8"/>
    <w:rsid w:val="007C3BCF"/>
    <w:rsid w:val="007C41A7"/>
    <w:rsid w:val="007C41AA"/>
    <w:rsid w:val="007C42B2"/>
    <w:rsid w:val="007C437E"/>
    <w:rsid w:val="007C462F"/>
    <w:rsid w:val="007C4868"/>
    <w:rsid w:val="007C4D20"/>
    <w:rsid w:val="007C4E04"/>
    <w:rsid w:val="007C525C"/>
    <w:rsid w:val="007C5631"/>
    <w:rsid w:val="007C59EE"/>
    <w:rsid w:val="007C5C91"/>
    <w:rsid w:val="007C5FB2"/>
    <w:rsid w:val="007C65CD"/>
    <w:rsid w:val="007C66BD"/>
    <w:rsid w:val="007C6917"/>
    <w:rsid w:val="007C6B10"/>
    <w:rsid w:val="007C6B50"/>
    <w:rsid w:val="007C6BC4"/>
    <w:rsid w:val="007C6FE5"/>
    <w:rsid w:val="007C7213"/>
    <w:rsid w:val="007C729E"/>
    <w:rsid w:val="007C7605"/>
    <w:rsid w:val="007C7935"/>
    <w:rsid w:val="007C7A9D"/>
    <w:rsid w:val="007D028A"/>
    <w:rsid w:val="007D042D"/>
    <w:rsid w:val="007D063A"/>
    <w:rsid w:val="007D0AE0"/>
    <w:rsid w:val="007D0B38"/>
    <w:rsid w:val="007D0BD7"/>
    <w:rsid w:val="007D0E9C"/>
    <w:rsid w:val="007D0F64"/>
    <w:rsid w:val="007D1093"/>
    <w:rsid w:val="007D125A"/>
    <w:rsid w:val="007D135A"/>
    <w:rsid w:val="007D190D"/>
    <w:rsid w:val="007D1B54"/>
    <w:rsid w:val="007D1BE2"/>
    <w:rsid w:val="007D1D9C"/>
    <w:rsid w:val="007D1F58"/>
    <w:rsid w:val="007D1F83"/>
    <w:rsid w:val="007D2119"/>
    <w:rsid w:val="007D2149"/>
    <w:rsid w:val="007D214F"/>
    <w:rsid w:val="007D221D"/>
    <w:rsid w:val="007D23E4"/>
    <w:rsid w:val="007D24CF"/>
    <w:rsid w:val="007D2763"/>
    <w:rsid w:val="007D2799"/>
    <w:rsid w:val="007D27E3"/>
    <w:rsid w:val="007D2BF0"/>
    <w:rsid w:val="007D2D08"/>
    <w:rsid w:val="007D2DCE"/>
    <w:rsid w:val="007D3271"/>
    <w:rsid w:val="007D388B"/>
    <w:rsid w:val="007D396A"/>
    <w:rsid w:val="007D3C3F"/>
    <w:rsid w:val="007D4274"/>
    <w:rsid w:val="007D4321"/>
    <w:rsid w:val="007D4453"/>
    <w:rsid w:val="007D45BB"/>
    <w:rsid w:val="007D4815"/>
    <w:rsid w:val="007D49C9"/>
    <w:rsid w:val="007D4BE8"/>
    <w:rsid w:val="007D4DBD"/>
    <w:rsid w:val="007D4FB9"/>
    <w:rsid w:val="007D506C"/>
    <w:rsid w:val="007D5298"/>
    <w:rsid w:val="007D539E"/>
    <w:rsid w:val="007D57F5"/>
    <w:rsid w:val="007D589D"/>
    <w:rsid w:val="007D5907"/>
    <w:rsid w:val="007D5B09"/>
    <w:rsid w:val="007D6081"/>
    <w:rsid w:val="007D6194"/>
    <w:rsid w:val="007D61D8"/>
    <w:rsid w:val="007D67A6"/>
    <w:rsid w:val="007D690B"/>
    <w:rsid w:val="007D6A40"/>
    <w:rsid w:val="007D6AC8"/>
    <w:rsid w:val="007D6CA1"/>
    <w:rsid w:val="007D71E8"/>
    <w:rsid w:val="007D7624"/>
    <w:rsid w:val="007D764B"/>
    <w:rsid w:val="007D768D"/>
    <w:rsid w:val="007D78E5"/>
    <w:rsid w:val="007D798A"/>
    <w:rsid w:val="007D79FE"/>
    <w:rsid w:val="007D7BC5"/>
    <w:rsid w:val="007E000E"/>
    <w:rsid w:val="007E0325"/>
    <w:rsid w:val="007E0A7F"/>
    <w:rsid w:val="007E0D72"/>
    <w:rsid w:val="007E111C"/>
    <w:rsid w:val="007E128E"/>
    <w:rsid w:val="007E135B"/>
    <w:rsid w:val="007E1405"/>
    <w:rsid w:val="007E1424"/>
    <w:rsid w:val="007E1CCC"/>
    <w:rsid w:val="007E1F6A"/>
    <w:rsid w:val="007E2195"/>
    <w:rsid w:val="007E220A"/>
    <w:rsid w:val="007E2420"/>
    <w:rsid w:val="007E2503"/>
    <w:rsid w:val="007E26D7"/>
    <w:rsid w:val="007E2B3C"/>
    <w:rsid w:val="007E2DE2"/>
    <w:rsid w:val="007E2EB4"/>
    <w:rsid w:val="007E35F5"/>
    <w:rsid w:val="007E37D7"/>
    <w:rsid w:val="007E3960"/>
    <w:rsid w:val="007E3D3A"/>
    <w:rsid w:val="007E3E41"/>
    <w:rsid w:val="007E3F9C"/>
    <w:rsid w:val="007E446A"/>
    <w:rsid w:val="007E4B2E"/>
    <w:rsid w:val="007E4D4C"/>
    <w:rsid w:val="007E529E"/>
    <w:rsid w:val="007E57A4"/>
    <w:rsid w:val="007E61DD"/>
    <w:rsid w:val="007E64CC"/>
    <w:rsid w:val="007E6DA4"/>
    <w:rsid w:val="007E6F51"/>
    <w:rsid w:val="007E7670"/>
    <w:rsid w:val="007E7680"/>
    <w:rsid w:val="007E775A"/>
    <w:rsid w:val="007E7839"/>
    <w:rsid w:val="007E7A25"/>
    <w:rsid w:val="007E7C4C"/>
    <w:rsid w:val="007F03FD"/>
    <w:rsid w:val="007F050F"/>
    <w:rsid w:val="007F08FE"/>
    <w:rsid w:val="007F0C8A"/>
    <w:rsid w:val="007F0CB7"/>
    <w:rsid w:val="007F0D7F"/>
    <w:rsid w:val="007F0E4F"/>
    <w:rsid w:val="007F1017"/>
    <w:rsid w:val="007F1255"/>
    <w:rsid w:val="007F13E0"/>
    <w:rsid w:val="007F15C4"/>
    <w:rsid w:val="007F1665"/>
    <w:rsid w:val="007F17E8"/>
    <w:rsid w:val="007F19C0"/>
    <w:rsid w:val="007F1A76"/>
    <w:rsid w:val="007F1D6B"/>
    <w:rsid w:val="007F1EC9"/>
    <w:rsid w:val="007F20C7"/>
    <w:rsid w:val="007F21DB"/>
    <w:rsid w:val="007F238A"/>
    <w:rsid w:val="007F2424"/>
    <w:rsid w:val="007F266E"/>
    <w:rsid w:val="007F2676"/>
    <w:rsid w:val="007F2B62"/>
    <w:rsid w:val="007F301E"/>
    <w:rsid w:val="007F305C"/>
    <w:rsid w:val="007F3266"/>
    <w:rsid w:val="007F3552"/>
    <w:rsid w:val="007F35A1"/>
    <w:rsid w:val="007F3800"/>
    <w:rsid w:val="007F3F74"/>
    <w:rsid w:val="007F4022"/>
    <w:rsid w:val="007F4391"/>
    <w:rsid w:val="007F4552"/>
    <w:rsid w:val="007F4703"/>
    <w:rsid w:val="007F493F"/>
    <w:rsid w:val="007F4A3F"/>
    <w:rsid w:val="007F5046"/>
    <w:rsid w:val="007F5369"/>
    <w:rsid w:val="007F5A0F"/>
    <w:rsid w:val="007F5A1D"/>
    <w:rsid w:val="007F5DC8"/>
    <w:rsid w:val="007F6203"/>
    <w:rsid w:val="007F623B"/>
    <w:rsid w:val="007F6C8E"/>
    <w:rsid w:val="007F6D91"/>
    <w:rsid w:val="007F6E65"/>
    <w:rsid w:val="007F70E5"/>
    <w:rsid w:val="007F71F7"/>
    <w:rsid w:val="007F736F"/>
    <w:rsid w:val="0080010A"/>
    <w:rsid w:val="00800274"/>
    <w:rsid w:val="00800559"/>
    <w:rsid w:val="00800853"/>
    <w:rsid w:val="00800C28"/>
    <w:rsid w:val="00800E39"/>
    <w:rsid w:val="00800E44"/>
    <w:rsid w:val="00801926"/>
    <w:rsid w:val="00801DD1"/>
    <w:rsid w:val="00801E09"/>
    <w:rsid w:val="00802132"/>
    <w:rsid w:val="008023E5"/>
    <w:rsid w:val="008028D4"/>
    <w:rsid w:val="00803189"/>
    <w:rsid w:val="008033F9"/>
    <w:rsid w:val="008036E6"/>
    <w:rsid w:val="00803D03"/>
    <w:rsid w:val="00803FD6"/>
    <w:rsid w:val="008040BF"/>
    <w:rsid w:val="00804235"/>
    <w:rsid w:val="0080424B"/>
    <w:rsid w:val="00804338"/>
    <w:rsid w:val="00804429"/>
    <w:rsid w:val="00804514"/>
    <w:rsid w:val="00804845"/>
    <w:rsid w:val="00804BA3"/>
    <w:rsid w:val="00804BA6"/>
    <w:rsid w:val="00804CCC"/>
    <w:rsid w:val="00805142"/>
    <w:rsid w:val="00805170"/>
    <w:rsid w:val="008053C5"/>
    <w:rsid w:val="008053ED"/>
    <w:rsid w:val="0080540B"/>
    <w:rsid w:val="00805424"/>
    <w:rsid w:val="008055EF"/>
    <w:rsid w:val="00805F85"/>
    <w:rsid w:val="00806017"/>
    <w:rsid w:val="008061FF"/>
    <w:rsid w:val="0080620F"/>
    <w:rsid w:val="008062D1"/>
    <w:rsid w:val="00806732"/>
    <w:rsid w:val="00806AE0"/>
    <w:rsid w:val="00806DA0"/>
    <w:rsid w:val="00806E49"/>
    <w:rsid w:val="0080708E"/>
    <w:rsid w:val="00807120"/>
    <w:rsid w:val="0080753B"/>
    <w:rsid w:val="008076FB"/>
    <w:rsid w:val="00807A8B"/>
    <w:rsid w:val="00807BB3"/>
    <w:rsid w:val="00807F95"/>
    <w:rsid w:val="00810010"/>
    <w:rsid w:val="00810052"/>
    <w:rsid w:val="00810499"/>
    <w:rsid w:val="00810809"/>
    <w:rsid w:val="0081089B"/>
    <w:rsid w:val="008108FF"/>
    <w:rsid w:val="00810A6D"/>
    <w:rsid w:val="00810EB8"/>
    <w:rsid w:val="00810EBE"/>
    <w:rsid w:val="008111C4"/>
    <w:rsid w:val="008117FA"/>
    <w:rsid w:val="00811A6A"/>
    <w:rsid w:val="008120BB"/>
    <w:rsid w:val="008120D1"/>
    <w:rsid w:val="00812106"/>
    <w:rsid w:val="00812149"/>
    <w:rsid w:val="00812179"/>
    <w:rsid w:val="00812189"/>
    <w:rsid w:val="008121BD"/>
    <w:rsid w:val="00812227"/>
    <w:rsid w:val="0081226F"/>
    <w:rsid w:val="008127BF"/>
    <w:rsid w:val="00812EDD"/>
    <w:rsid w:val="0081310E"/>
    <w:rsid w:val="008131C7"/>
    <w:rsid w:val="0081344D"/>
    <w:rsid w:val="00813957"/>
    <w:rsid w:val="00813E2B"/>
    <w:rsid w:val="00813F7E"/>
    <w:rsid w:val="00814FC1"/>
    <w:rsid w:val="0081503C"/>
    <w:rsid w:val="00815417"/>
    <w:rsid w:val="00815468"/>
    <w:rsid w:val="00815803"/>
    <w:rsid w:val="008158EC"/>
    <w:rsid w:val="00816000"/>
    <w:rsid w:val="0081600F"/>
    <w:rsid w:val="00816364"/>
    <w:rsid w:val="008165AF"/>
    <w:rsid w:val="008166EF"/>
    <w:rsid w:val="00816A54"/>
    <w:rsid w:val="0081700F"/>
    <w:rsid w:val="008170CB"/>
    <w:rsid w:val="0081714A"/>
    <w:rsid w:val="00817DA3"/>
    <w:rsid w:val="00817DC8"/>
    <w:rsid w:val="00817F7C"/>
    <w:rsid w:val="00817FA4"/>
    <w:rsid w:val="00820287"/>
    <w:rsid w:val="0082044A"/>
    <w:rsid w:val="008206B5"/>
    <w:rsid w:val="00820CA3"/>
    <w:rsid w:val="00820F0B"/>
    <w:rsid w:val="00821162"/>
    <w:rsid w:val="00821676"/>
    <w:rsid w:val="008218F3"/>
    <w:rsid w:val="00821F74"/>
    <w:rsid w:val="00822194"/>
    <w:rsid w:val="008228C0"/>
    <w:rsid w:val="00822C5D"/>
    <w:rsid w:val="0082304E"/>
    <w:rsid w:val="008230FF"/>
    <w:rsid w:val="0082315F"/>
    <w:rsid w:val="008234C2"/>
    <w:rsid w:val="00823A51"/>
    <w:rsid w:val="008242B0"/>
    <w:rsid w:val="008243DA"/>
    <w:rsid w:val="00824561"/>
    <w:rsid w:val="00824A92"/>
    <w:rsid w:val="00824B99"/>
    <w:rsid w:val="00824C0F"/>
    <w:rsid w:val="008250BB"/>
    <w:rsid w:val="00825339"/>
    <w:rsid w:val="0082533F"/>
    <w:rsid w:val="0082580C"/>
    <w:rsid w:val="008258B8"/>
    <w:rsid w:val="008258DA"/>
    <w:rsid w:val="00825A6E"/>
    <w:rsid w:val="00825BE7"/>
    <w:rsid w:val="00825E0A"/>
    <w:rsid w:val="00825EC6"/>
    <w:rsid w:val="008260D8"/>
    <w:rsid w:val="008264EB"/>
    <w:rsid w:val="00826933"/>
    <w:rsid w:val="00826B70"/>
    <w:rsid w:val="00826EBD"/>
    <w:rsid w:val="008270FE"/>
    <w:rsid w:val="008275F2"/>
    <w:rsid w:val="00827A25"/>
    <w:rsid w:val="00827F59"/>
    <w:rsid w:val="0083003A"/>
    <w:rsid w:val="008301CB"/>
    <w:rsid w:val="0083030F"/>
    <w:rsid w:val="00830B26"/>
    <w:rsid w:val="00830E87"/>
    <w:rsid w:val="008310EF"/>
    <w:rsid w:val="00831185"/>
    <w:rsid w:val="00831495"/>
    <w:rsid w:val="008316D1"/>
    <w:rsid w:val="008318FD"/>
    <w:rsid w:val="00832052"/>
    <w:rsid w:val="00832356"/>
    <w:rsid w:val="00832CB0"/>
    <w:rsid w:val="00832CEA"/>
    <w:rsid w:val="00832D72"/>
    <w:rsid w:val="00832FB3"/>
    <w:rsid w:val="008330F7"/>
    <w:rsid w:val="0083349B"/>
    <w:rsid w:val="0083356D"/>
    <w:rsid w:val="0083384A"/>
    <w:rsid w:val="00833B05"/>
    <w:rsid w:val="00833B5C"/>
    <w:rsid w:val="00833CBF"/>
    <w:rsid w:val="00833EF9"/>
    <w:rsid w:val="00833EFC"/>
    <w:rsid w:val="00834418"/>
    <w:rsid w:val="00834850"/>
    <w:rsid w:val="00834C33"/>
    <w:rsid w:val="00834C7B"/>
    <w:rsid w:val="00834CD8"/>
    <w:rsid w:val="008350E1"/>
    <w:rsid w:val="0083531C"/>
    <w:rsid w:val="00835359"/>
    <w:rsid w:val="008355CC"/>
    <w:rsid w:val="00835658"/>
    <w:rsid w:val="00835A4F"/>
    <w:rsid w:val="00835C94"/>
    <w:rsid w:val="00835E1B"/>
    <w:rsid w:val="00836132"/>
    <w:rsid w:val="00836193"/>
    <w:rsid w:val="0083635B"/>
    <w:rsid w:val="00836BC6"/>
    <w:rsid w:val="00836D60"/>
    <w:rsid w:val="00836F57"/>
    <w:rsid w:val="008379FE"/>
    <w:rsid w:val="00837B20"/>
    <w:rsid w:val="00837D1A"/>
    <w:rsid w:val="008405A7"/>
    <w:rsid w:val="008406E0"/>
    <w:rsid w:val="00840711"/>
    <w:rsid w:val="008408E0"/>
    <w:rsid w:val="00840BE0"/>
    <w:rsid w:val="00840CA2"/>
    <w:rsid w:val="00840E1D"/>
    <w:rsid w:val="0084117E"/>
    <w:rsid w:val="008413D9"/>
    <w:rsid w:val="008414EB"/>
    <w:rsid w:val="00841720"/>
    <w:rsid w:val="00842718"/>
    <w:rsid w:val="00842B3A"/>
    <w:rsid w:val="00842F03"/>
    <w:rsid w:val="00843040"/>
    <w:rsid w:val="00843074"/>
    <w:rsid w:val="00843109"/>
    <w:rsid w:val="0084318F"/>
    <w:rsid w:val="00843287"/>
    <w:rsid w:val="008432D3"/>
    <w:rsid w:val="008433A6"/>
    <w:rsid w:val="0084350A"/>
    <w:rsid w:val="008438CB"/>
    <w:rsid w:val="00843B29"/>
    <w:rsid w:val="0084406A"/>
    <w:rsid w:val="008440DD"/>
    <w:rsid w:val="00844187"/>
    <w:rsid w:val="00844837"/>
    <w:rsid w:val="0084496E"/>
    <w:rsid w:val="00844EA1"/>
    <w:rsid w:val="0084505F"/>
    <w:rsid w:val="00845379"/>
    <w:rsid w:val="0084584F"/>
    <w:rsid w:val="00846451"/>
    <w:rsid w:val="0084697F"/>
    <w:rsid w:val="00846C4E"/>
    <w:rsid w:val="00847075"/>
    <w:rsid w:val="00847C0A"/>
    <w:rsid w:val="00847CF0"/>
    <w:rsid w:val="00847EDB"/>
    <w:rsid w:val="008503B9"/>
    <w:rsid w:val="00850E75"/>
    <w:rsid w:val="00851158"/>
    <w:rsid w:val="008511E4"/>
    <w:rsid w:val="0085133A"/>
    <w:rsid w:val="0085170A"/>
    <w:rsid w:val="0085184D"/>
    <w:rsid w:val="00851899"/>
    <w:rsid w:val="00851FC2"/>
    <w:rsid w:val="00852223"/>
    <w:rsid w:val="008524DB"/>
    <w:rsid w:val="00852E30"/>
    <w:rsid w:val="00853241"/>
    <w:rsid w:val="00853325"/>
    <w:rsid w:val="0085354B"/>
    <w:rsid w:val="00853561"/>
    <w:rsid w:val="00853983"/>
    <w:rsid w:val="00853D75"/>
    <w:rsid w:val="00853DAD"/>
    <w:rsid w:val="00853DF5"/>
    <w:rsid w:val="00853E0F"/>
    <w:rsid w:val="00853FFD"/>
    <w:rsid w:val="008540AC"/>
    <w:rsid w:val="008540EC"/>
    <w:rsid w:val="00854134"/>
    <w:rsid w:val="00854432"/>
    <w:rsid w:val="008547B9"/>
    <w:rsid w:val="00855245"/>
    <w:rsid w:val="0085528B"/>
    <w:rsid w:val="0085537C"/>
    <w:rsid w:val="00855390"/>
    <w:rsid w:val="008554ED"/>
    <w:rsid w:val="00855DBB"/>
    <w:rsid w:val="00855E89"/>
    <w:rsid w:val="0085615B"/>
    <w:rsid w:val="00856393"/>
    <w:rsid w:val="00856E9A"/>
    <w:rsid w:val="0085705D"/>
    <w:rsid w:val="00857120"/>
    <w:rsid w:val="00857361"/>
    <w:rsid w:val="008574DA"/>
    <w:rsid w:val="0085773E"/>
    <w:rsid w:val="00857A99"/>
    <w:rsid w:val="00860036"/>
    <w:rsid w:val="0086015D"/>
    <w:rsid w:val="00860347"/>
    <w:rsid w:val="0086036F"/>
    <w:rsid w:val="00860467"/>
    <w:rsid w:val="00860596"/>
    <w:rsid w:val="008605B5"/>
    <w:rsid w:val="008606EF"/>
    <w:rsid w:val="00860A93"/>
    <w:rsid w:val="00860CF0"/>
    <w:rsid w:val="008610E7"/>
    <w:rsid w:val="0086154C"/>
    <w:rsid w:val="008616D1"/>
    <w:rsid w:val="00861B2C"/>
    <w:rsid w:val="00861C6F"/>
    <w:rsid w:val="00861CFF"/>
    <w:rsid w:val="00861E8B"/>
    <w:rsid w:val="00862483"/>
    <w:rsid w:val="00862502"/>
    <w:rsid w:val="008626C4"/>
    <w:rsid w:val="00862768"/>
    <w:rsid w:val="00862C48"/>
    <w:rsid w:val="008634DE"/>
    <w:rsid w:val="00863A57"/>
    <w:rsid w:val="00863C47"/>
    <w:rsid w:val="00863CDF"/>
    <w:rsid w:val="008645A2"/>
    <w:rsid w:val="00864971"/>
    <w:rsid w:val="00864DE0"/>
    <w:rsid w:val="00864E80"/>
    <w:rsid w:val="00864F2A"/>
    <w:rsid w:val="0086561D"/>
    <w:rsid w:val="00865695"/>
    <w:rsid w:val="0086597C"/>
    <w:rsid w:val="008659B5"/>
    <w:rsid w:val="00866477"/>
    <w:rsid w:val="00866566"/>
    <w:rsid w:val="0086656F"/>
    <w:rsid w:val="0086662F"/>
    <w:rsid w:val="008668EA"/>
    <w:rsid w:val="00866AD8"/>
    <w:rsid w:val="00866CD1"/>
    <w:rsid w:val="00866DC3"/>
    <w:rsid w:val="008672C1"/>
    <w:rsid w:val="008673DD"/>
    <w:rsid w:val="00867796"/>
    <w:rsid w:val="008678D2"/>
    <w:rsid w:val="00867942"/>
    <w:rsid w:val="00867AEC"/>
    <w:rsid w:val="00867B36"/>
    <w:rsid w:val="00867CE2"/>
    <w:rsid w:val="00867DA3"/>
    <w:rsid w:val="00867E38"/>
    <w:rsid w:val="008700C9"/>
    <w:rsid w:val="008703CD"/>
    <w:rsid w:val="008704D4"/>
    <w:rsid w:val="0087067B"/>
    <w:rsid w:val="00870D58"/>
    <w:rsid w:val="00870D87"/>
    <w:rsid w:val="0087122B"/>
    <w:rsid w:val="00871245"/>
    <w:rsid w:val="0087152A"/>
    <w:rsid w:val="008715D3"/>
    <w:rsid w:val="00871813"/>
    <w:rsid w:val="0087184F"/>
    <w:rsid w:val="00871D2C"/>
    <w:rsid w:val="00871F4B"/>
    <w:rsid w:val="00871FF8"/>
    <w:rsid w:val="008724D6"/>
    <w:rsid w:val="00873030"/>
    <w:rsid w:val="00873124"/>
    <w:rsid w:val="008736AD"/>
    <w:rsid w:val="00873926"/>
    <w:rsid w:val="00873A25"/>
    <w:rsid w:val="00873FE0"/>
    <w:rsid w:val="00874B7C"/>
    <w:rsid w:val="00874B81"/>
    <w:rsid w:val="00874B8A"/>
    <w:rsid w:val="00874C65"/>
    <w:rsid w:val="00874D62"/>
    <w:rsid w:val="00874E8F"/>
    <w:rsid w:val="00875920"/>
    <w:rsid w:val="00875A2A"/>
    <w:rsid w:val="00875DAD"/>
    <w:rsid w:val="008760DD"/>
    <w:rsid w:val="00876377"/>
    <w:rsid w:val="0087706F"/>
    <w:rsid w:val="008771BA"/>
    <w:rsid w:val="00877575"/>
    <w:rsid w:val="008776A7"/>
    <w:rsid w:val="00877ADF"/>
    <w:rsid w:val="00877F00"/>
    <w:rsid w:val="00880584"/>
    <w:rsid w:val="0088084B"/>
    <w:rsid w:val="008808A1"/>
    <w:rsid w:val="00880AC0"/>
    <w:rsid w:val="00880D39"/>
    <w:rsid w:val="00880F08"/>
    <w:rsid w:val="00881163"/>
    <w:rsid w:val="00881283"/>
    <w:rsid w:val="008812AF"/>
    <w:rsid w:val="008813B9"/>
    <w:rsid w:val="0088192F"/>
    <w:rsid w:val="00881B02"/>
    <w:rsid w:val="00881B49"/>
    <w:rsid w:val="00881CD8"/>
    <w:rsid w:val="00881EE4"/>
    <w:rsid w:val="00881F67"/>
    <w:rsid w:val="0088201C"/>
    <w:rsid w:val="0088223F"/>
    <w:rsid w:val="0088268D"/>
    <w:rsid w:val="00882874"/>
    <w:rsid w:val="00882B2D"/>
    <w:rsid w:val="00882BEE"/>
    <w:rsid w:val="00882F73"/>
    <w:rsid w:val="00882F99"/>
    <w:rsid w:val="008831EA"/>
    <w:rsid w:val="0088344D"/>
    <w:rsid w:val="00883540"/>
    <w:rsid w:val="008836C0"/>
    <w:rsid w:val="00883787"/>
    <w:rsid w:val="00883878"/>
    <w:rsid w:val="00883E2C"/>
    <w:rsid w:val="00883F84"/>
    <w:rsid w:val="008842C7"/>
    <w:rsid w:val="0088435A"/>
    <w:rsid w:val="00884844"/>
    <w:rsid w:val="008848BA"/>
    <w:rsid w:val="00884918"/>
    <w:rsid w:val="008849FA"/>
    <w:rsid w:val="00884B4B"/>
    <w:rsid w:val="00884BA7"/>
    <w:rsid w:val="00884FA5"/>
    <w:rsid w:val="008852B3"/>
    <w:rsid w:val="00885468"/>
    <w:rsid w:val="00885EC6"/>
    <w:rsid w:val="00885F13"/>
    <w:rsid w:val="008860AD"/>
    <w:rsid w:val="0088612D"/>
    <w:rsid w:val="0088634A"/>
    <w:rsid w:val="00886376"/>
    <w:rsid w:val="008863F9"/>
    <w:rsid w:val="00886524"/>
    <w:rsid w:val="008869AE"/>
    <w:rsid w:val="00886D4E"/>
    <w:rsid w:val="00886F68"/>
    <w:rsid w:val="00887315"/>
    <w:rsid w:val="00887424"/>
    <w:rsid w:val="0088775A"/>
    <w:rsid w:val="008879A9"/>
    <w:rsid w:val="00887E5A"/>
    <w:rsid w:val="00890254"/>
    <w:rsid w:val="00890472"/>
    <w:rsid w:val="0089077F"/>
    <w:rsid w:val="0089078B"/>
    <w:rsid w:val="008908BA"/>
    <w:rsid w:val="008908E0"/>
    <w:rsid w:val="00890B57"/>
    <w:rsid w:val="00890CC0"/>
    <w:rsid w:val="0089127B"/>
    <w:rsid w:val="008913B9"/>
    <w:rsid w:val="008913CB"/>
    <w:rsid w:val="00891541"/>
    <w:rsid w:val="008916E8"/>
    <w:rsid w:val="008919A2"/>
    <w:rsid w:val="00891F58"/>
    <w:rsid w:val="00892170"/>
    <w:rsid w:val="008927F4"/>
    <w:rsid w:val="00892B20"/>
    <w:rsid w:val="00892DDB"/>
    <w:rsid w:val="0089311B"/>
    <w:rsid w:val="008938D9"/>
    <w:rsid w:val="00893AAC"/>
    <w:rsid w:val="00893BD3"/>
    <w:rsid w:val="008941A9"/>
    <w:rsid w:val="00894437"/>
    <w:rsid w:val="00894489"/>
    <w:rsid w:val="008946A4"/>
    <w:rsid w:val="00894771"/>
    <w:rsid w:val="00894DF6"/>
    <w:rsid w:val="00894E3E"/>
    <w:rsid w:val="00894FF9"/>
    <w:rsid w:val="00895199"/>
    <w:rsid w:val="00895360"/>
    <w:rsid w:val="0089568A"/>
    <w:rsid w:val="008956F7"/>
    <w:rsid w:val="008959B1"/>
    <w:rsid w:val="00895BA3"/>
    <w:rsid w:val="00895E10"/>
    <w:rsid w:val="00895E23"/>
    <w:rsid w:val="008961B7"/>
    <w:rsid w:val="008963A5"/>
    <w:rsid w:val="00896862"/>
    <w:rsid w:val="00896C10"/>
    <w:rsid w:val="00896F8F"/>
    <w:rsid w:val="0089728D"/>
    <w:rsid w:val="008973AA"/>
    <w:rsid w:val="00897B9D"/>
    <w:rsid w:val="008A06F7"/>
    <w:rsid w:val="008A0865"/>
    <w:rsid w:val="008A0CA2"/>
    <w:rsid w:val="008A0FA5"/>
    <w:rsid w:val="008A1278"/>
    <w:rsid w:val="008A18E3"/>
    <w:rsid w:val="008A1ACA"/>
    <w:rsid w:val="008A1ADB"/>
    <w:rsid w:val="008A1C9F"/>
    <w:rsid w:val="008A1DD6"/>
    <w:rsid w:val="008A23E6"/>
    <w:rsid w:val="008A31D9"/>
    <w:rsid w:val="008A355D"/>
    <w:rsid w:val="008A3705"/>
    <w:rsid w:val="008A3B49"/>
    <w:rsid w:val="008A3C3E"/>
    <w:rsid w:val="008A3D72"/>
    <w:rsid w:val="008A4B21"/>
    <w:rsid w:val="008A4C6E"/>
    <w:rsid w:val="008A4CCE"/>
    <w:rsid w:val="008A4EF5"/>
    <w:rsid w:val="008A4F7E"/>
    <w:rsid w:val="008A5770"/>
    <w:rsid w:val="008A5982"/>
    <w:rsid w:val="008A5A87"/>
    <w:rsid w:val="008A6238"/>
    <w:rsid w:val="008A62BB"/>
    <w:rsid w:val="008A6378"/>
    <w:rsid w:val="008A63F6"/>
    <w:rsid w:val="008A64C8"/>
    <w:rsid w:val="008A6690"/>
    <w:rsid w:val="008A68D9"/>
    <w:rsid w:val="008A6928"/>
    <w:rsid w:val="008A70B6"/>
    <w:rsid w:val="008A7367"/>
    <w:rsid w:val="008A7536"/>
    <w:rsid w:val="008A756E"/>
    <w:rsid w:val="008A7981"/>
    <w:rsid w:val="008A79DE"/>
    <w:rsid w:val="008A7BB7"/>
    <w:rsid w:val="008B021A"/>
    <w:rsid w:val="008B037B"/>
    <w:rsid w:val="008B04C5"/>
    <w:rsid w:val="008B0691"/>
    <w:rsid w:val="008B077B"/>
    <w:rsid w:val="008B0989"/>
    <w:rsid w:val="008B1222"/>
    <w:rsid w:val="008B1938"/>
    <w:rsid w:val="008B1A6E"/>
    <w:rsid w:val="008B1B29"/>
    <w:rsid w:val="008B1C2B"/>
    <w:rsid w:val="008B1D3D"/>
    <w:rsid w:val="008B2323"/>
    <w:rsid w:val="008B2553"/>
    <w:rsid w:val="008B2680"/>
    <w:rsid w:val="008B28CA"/>
    <w:rsid w:val="008B28D3"/>
    <w:rsid w:val="008B29F1"/>
    <w:rsid w:val="008B2C6B"/>
    <w:rsid w:val="008B2FA5"/>
    <w:rsid w:val="008B2FEF"/>
    <w:rsid w:val="008B3017"/>
    <w:rsid w:val="008B30D2"/>
    <w:rsid w:val="008B31C9"/>
    <w:rsid w:val="008B33D4"/>
    <w:rsid w:val="008B36FD"/>
    <w:rsid w:val="008B37B8"/>
    <w:rsid w:val="008B3823"/>
    <w:rsid w:val="008B3DD6"/>
    <w:rsid w:val="008B42E9"/>
    <w:rsid w:val="008B4571"/>
    <w:rsid w:val="008B4623"/>
    <w:rsid w:val="008B48A4"/>
    <w:rsid w:val="008B495B"/>
    <w:rsid w:val="008B4F69"/>
    <w:rsid w:val="008B509B"/>
    <w:rsid w:val="008B5179"/>
    <w:rsid w:val="008B54CD"/>
    <w:rsid w:val="008B562A"/>
    <w:rsid w:val="008B5909"/>
    <w:rsid w:val="008B5B10"/>
    <w:rsid w:val="008B5F3D"/>
    <w:rsid w:val="008B6153"/>
    <w:rsid w:val="008B6169"/>
    <w:rsid w:val="008B61D0"/>
    <w:rsid w:val="008B65D4"/>
    <w:rsid w:val="008B6766"/>
    <w:rsid w:val="008B680B"/>
    <w:rsid w:val="008B69D3"/>
    <w:rsid w:val="008B6E5A"/>
    <w:rsid w:val="008B6F4B"/>
    <w:rsid w:val="008B6FC3"/>
    <w:rsid w:val="008B7967"/>
    <w:rsid w:val="008B7D6F"/>
    <w:rsid w:val="008B7D7E"/>
    <w:rsid w:val="008B7F31"/>
    <w:rsid w:val="008C0075"/>
    <w:rsid w:val="008C028C"/>
    <w:rsid w:val="008C05DE"/>
    <w:rsid w:val="008C0739"/>
    <w:rsid w:val="008C0775"/>
    <w:rsid w:val="008C0A0E"/>
    <w:rsid w:val="008C0D0A"/>
    <w:rsid w:val="008C0FBA"/>
    <w:rsid w:val="008C1337"/>
    <w:rsid w:val="008C1830"/>
    <w:rsid w:val="008C196C"/>
    <w:rsid w:val="008C1993"/>
    <w:rsid w:val="008C19D7"/>
    <w:rsid w:val="008C1BB3"/>
    <w:rsid w:val="008C1D25"/>
    <w:rsid w:val="008C2306"/>
    <w:rsid w:val="008C2384"/>
    <w:rsid w:val="008C2587"/>
    <w:rsid w:val="008C3063"/>
    <w:rsid w:val="008C3378"/>
    <w:rsid w:val="008C3619"/>
    <w:rsid w:val="008C37FE"/>
    <w:rsid w:val="008C3A75"/>
    <w:rsid w:val="008C3BF2"/>
    <w:rsid w:val="008C3FE5"/>
    <w:rsid w:val="008C40AB"/>
    <w:rsid w:val="008C4103"/>
    <w:rsid w:val="008C445F"/>
    <w:rsid w:val="008C44A5"/>
    <w:rsid w:val="008C459A"/>
    <w:rsid w:val="008C4B61"/>
    <w:rsid w:val="008C4BDB"/>
    <w:rsid w:val="008C51AE"/>
    <w:rsid w:val="008C54E0"/>
    <w:rsid w:val="008C576A"/>
    <w:rsid w:val="008C5989"/>
    <w:rsid w:val="008C5A66"/>
    <w:rsid w:val="008C5BCD"/>
    <w:rsid w:val="008C5E57"/>
    <w:rsid w:val="008C5F5A"/>
    <w:rsid w:val="008C6825"/>
    <w:rsid w:val="008C6887"/>
    <w:rsid w:val="008C6C40"/>
    <w:rsid w:val="008C721D"/>
    <w:rsid w:val="008C74BD"/>
    <w:rsid w:val="008C7588"/>
    <w:rsid w:val="008C7834"/>
    <w:rsid w:val="008C7891"/>
    <w:rsid w:val="008C7B16"/>
    <w:rsid w:val="008C7B93"/>
    <w:rsid w:val="008C7EBD"/>
    <w:rsid w:val="008C7ECB"/>
    <w:rsid w:val="008D03B1"/>
    <w:rsid w:val="008D0674"/>
    <w:rsid w:val="008D0B31"/>
    <w:rsid w:val="008D0C1C"/>
    <w:rsid w:val="008D0CF9"/>
    <w:rsid w:val="008D0FD7"/>
    <w:rsid w:val="008D11C6"/>
    <w:rsid w:val="008D1247"/>
    <w:rsid w:val="008D1594"/>
    <w:rsid w:val="008D1D13"/>
    <w:rsid w:val="008D1DBD"/>
    <w:rsid w:val="008D1DD2"/>
    <w:rsid w:val="008D1EA3"/>
    <w:rsid w:val="008D1EB2"/>
    <w:rsid w:val="008D1F01"/>
    <w:rsid w:val="008D2436"/>
    <w:rsid w:val="008D259D"/>
    <w:rsid w:val="008D27FB"/>
    <w:rsid w:val="008D28E1"/>
    <w:rsid w:val="008D2946"/>
    <w:rsid w:val="008D2B56"/>
    <w:rsid w:val="008D2B75"/>
    <w:rsid w:val="008D2BE1"/>
    <w:rsid w:val="008D2E0C"/>
    <w:rsid w:val="008D2EE3"/>
    <w:rsid w:val="008D2FE6"/>
    <w:rsid w:val="008D3760"/>
    <w:rsid w:val="008D3A3B"/>
    <w:rsid w:val="008D3CCB"/>
    <w:rsid w:val="008D3EE2"/>
    <w:rsid w:val="008D41EE"/>
    <w:rsid w:val="008D4A69"/>
    <w:rsid w:val="008D4F99"/>
    <w:rsid w:val="008D50DA"/>
    <w:rsid w:val="008D52DA"/>
    <w:rsid w:val="008D5335"/>
    <w:rsid w:val="008D5548"/>
    <w:rsid w:val="008D58FF"/>
    <w:rsid w:val="008D590F"/>
    <w:rsid w:val="008D5B95"/>
    <w:rsid w:val="008D5FBE"/>
    <w:rsid w:val="008D5FDE"/>
    <w:rsid w:val="008D60B5"/>
    <w:rsid w:val="008D6230"/>
    <w:rsid w:val="008D63EE"/>
    <w:rsid w:val="008D653A"/>
    <w:rsid w:val="008D655F"/>
    <w:rsid w:val="008D65B9"/>
    <w:rsid w:val="008D68D1"/>
    <w:rsid w:val="008D71B3"/>
    <w:rsid w:val="008D768D"/>
    <w:rsid w:val="008E0171"/>
    <w:rsid w:val="008E01EB"/>
    <w:rsid w:val="008E02EC"/>
    <w:rsid w:val="008E0674"/>
    <w:rsid w:val="008E070F"/>
    <w:rsid w:val="008E09B5"/>
    <w:rsid w:val="008E0A56"/>
    <w:rsid w:val="008E0BE6"/>
    <w:rsid w:val="008E0C1D"/>
    <w:rsid w:val="008E0D15"/>
    <w:rsid w:val="008E0EA3"/>
    <w:rsid w:val="008E1088"/>
    <w:rsid w:val="008E1278"/>
    <w:rsid w:val="008E1A85"/>
    <w:rsid w:val="008E1B9E"/>
    <w:rsid w:val="008E1E20"/>
    <w:rsid w:val="008E24BD"/>
    <w:rsid w:val="008E2743"/>
    <w:rsid w:val="008E27F3"/>
    <w:rsid w:val="008E282E"/>
    <w:rsid w:val="008E2936"/>
    <w:rsid w:val="008E313E"/>
    <w:rsid w:val="008E314A"/>
    <w:rsid w:val="008E3194"/>
    <w:rsid w:val="008E335F"/>
    <w:rsid w:val="008E357E"/>
    <w:rsid w:val="008E35E3"/>
    <w:rsid w:val="008E3953"/>
    <w:rsid w:val="008E3C83"/>
    <w:rsid w:val="008E3F3F"/>
    <w:rsid w:val="008E4420"/>
    <w:rsid w:val="008E4566"/>
    <w:rsid w:val="008E4CA0"/>
    <w:rsid w:val="008E4D2B"/>
    <w:rsid w:val="008E4FED"/>
    <w:rsid w:val="008E5255"/>
    <w:rsid w:val="008E52E3"/>
    <w:rsid w:val="008E5431"/>
    <w:rsid w:val="008E5737"/>
    <w:rsid w:val="008E593D"/>
    <w:rsid w:val="008E5DC2"/>
    <w:rsid w:val="008E6156"/>
    <w:rsid w:val="008E66AF"/>
    <w:rsid w:val="008E6A70"/>
    <w:rsid w:val="008E6BB0"/>
    <w:rsid w:val="008E6DDA"/>
    <w:rsid w:val="008E6DE5"/>
    <w:rsid w:val="008E6E7D"/>
    <w:rsid w:val="008E6FBB"/>
    <w:rsid w:val="008E7279"/>
    <w:rsid w:val="008E73C0"/>
    <w:rsid w:val="008E7A82"/>
    <w:rsid w:val="008E7E7A"/>
    <w:rsid w:val="008F0234"/>
    <w:rsid w:val="008F076E"/>
    <w:rsid w:val="008F0993"/>
    <w:rsid w:val="008F09CD"/>
    <w:rsid w:val="008F0C22"/>
    <w:rsid w:val="008F0FE6"/>
    <w:rsid w:val="008F120A"/>
    <w:rsid w:val="008F123C"/>
    <w:rsid w:val="008F14B4"/>
    <w:rsid w:val="008F16C5"/>
    <w:rsid w:val="008F192A"/>
    <w:rsid w:val="008F1AEB"/>
    <w:rsid w:val="008F1B21"/>
    <w:rsid w:val="008F1B4E"/>
    <w:rsid w:val="008F2293"/>
    <w:rsid w:val="008F22F1"/>
    <w:rsid w:val="008F2380"/>
    <w:rsid w:val="008F239E"/>
    <w:rsid w:val="008F256F"/>
    <w:rsid w:val="008F2681"/>
    <w:rsid w:val="008F26C7"/>
    <w:rsid w:val="008F2793"/>
    <w:rsid w:val="008F2C41"/>
    <w:rsid w:val="008F2DB7"/>
    <w:rsid w:val="008F2DFA"/>
    <w:rsid w:val="008F31AB"/>
    <w:rsid w:val="008F3BAB"/>
    <w:rsid w:val="008F3DEB"/>
    <w:rsid w:val="008F3EAB"/>
    <w:rsid w:val="008F3F18"/>
    <w:rsid w:val="008F4214"/>
    <w:rsid w:val="008F42D7"/>
    <w:rsid w:val="008F471E"/>
    <w:rsid w:val="008F4734"/>
    <w:rsid w:val="008F488F"/>
    <w:rsid w:val="008F48EB"/>
    <w:rsid w:val="008F4B94"/>
    <w:rsid w:val="008F4E17"/>
    <w:rsid w:val="008F4EAF"/>
    <w:rsid w:val="008F4F0B"/>
    <w:rsid w:val="008F4F1E"/>
    <w:rsid w:val="008F5228"/>
    <w:rsid w:val="008F5EA5"/>
    <w:rsid w:val="008F60A8"/>
    <w:rsid w:val="008F610E"/>
    <w:rsid w:val="008F63E6"/>
    <w:rsid w:val="008F641A"/>
    <w:rsid w:val="008F6420"/>
    <w:rsid w:val="008F688B"/>
    <w:rsid w:val="008F6A16"/>
    <w:rsid w:val="008F6B3F"/>
    <w:rsid w:val="008F6B43"/>
    <w:rsid w:val="008F6CC4"/>
    <w:rsid w:val="008F6D15"/>
    <w:rsid w:val="008F71DC"/>
    <w:rsid w:val="008F738A"/>
    <w:rsid w:val="008F7429"/>
    <w:rsid w:val="009000E3"/>
    <w:rsid w:val="009003AF"/>
    <w:rsid w:val="00900709"/>
    <w:rsid w:val="009009AB"/>
    <w:rsid w:val="00900C52"/>
    <w:rsid w:val="00900DBC"/>
    <w:rsid w:val="00900E4A"/>
    <w:rsid w:val="00900E84"/>
    <w:rsid w:val="009012DE"/>
    <w:rsid w:val="00901450"/>
    <w:rsid w:val="00901B62"/>
    <w:rsid w:val="00901D21"/>
    <w:rsid w:val="00901D66"/>
    <w:rsid w:val="00902023"/>
    <w:rsid w:val="0090211B"/>
    <w:rsid w:val="009022A0"/>
    <w:rsid w:val="009024F1"/>
    <w:rsid w:val="009026DD"/>
    <w:rsid w:val="00902A9D"/>
    <w:rsid w:val="00902BFF"/>
    <w:rsid w:val="00902D8E"/>
    <w:rsid w:val="009030CC"/>
    <w:rsid w:val="00903734"/>
    <w:rsid w:val="00903A16"/>
    <w:rsid w:val="00903A25"/>
    <w:rsid w:val="00903A32"/>
    <w:rsid w:val="00903B1F"/>
    <w:rsid w:val="00903C0E"/>
    <w:rsid w:val="00903F6E"/>
    <w:rsid w:val="00904978"/>
    <w:rsid w:val="00904A36"/>
    <w:rsid w:val="00905292"/>
    <w:rsid w:val="009053B0"/>
    <w:rsid w:val="00905BDC"/>
    <w:rsid w:val="00905C9E"/>
    <w:rsid w:val="0090616E"/>
    <w:rsid w:val="009062A5"/>
    <w:rsid w:val="0090661A"/>
    <w:rsid w:val="00906867"/>
    <w:rsid w:val="00906E67"/>
    <w:rsid w:val="00906F06"/>
    <w:rsid w:val="009073C7"/>
    <w:rsid w:val="009077EB"/>
    <w:rsid w:val="009079F2"/>
    <w:rsid w:val="00907A29"/>
    <w:rsid w:val="00907B5C"/>
    <w:rsid w:val="00907D53"/>
    <w:rsid w:val="0091000F"/>
    <w:rsid w:val="0091042E"/>
    <w:rsid w:val="009105EF"/>
    <w:rsid w:val="0091096E"/>
    <w:rsid w:val="00910996"/>
    <w:rsid w:val="009109E7"/>
    <w:rsid w:val="00910CDA"/>
    <w:rsid w:val="00910DA4"/>
    <w:rsid w:val="00910DBB"/>
    <w:rsid w:val="00910EF0"/>
    <w:rsid w:val="00910F52"/>
    <w:rsid w:val="00910F68"/>
    <w:rsid w:val="00910FD8"/>
    <w:rsid w:val="00911272"/>
    <w:rsid w:val="009113F8"/>
    <w:rsid w:val="009114F5"/>
    <w:rsid w:val="00911870"/>
    <w:rsid w:val="00911BA3"/>
    <w:rsid w:val="00911D2A"/>
    <w:rsid w:val="009123ED"/>
    <w:rsid w:val="009124E3"/>
    <w:rsid w:val="0091263A"/>
    <w:rsid w:val="009126E2"/>
    <w:rsid w:val="0091296E"/>
    <w:rsid w:val="00912A1B"/>
    <w:rsid w:val="00912A78"/>
    <w:rsid w:val="00913187"/>
    <w:rsid w:val="00913279"/>
    <w:rsid w:val="009138B4"/>
    <w:rsid w:val="00914317"/>
    <w:rsid w:val="009144CB"/>
    <w:rsid w:val="0091484C"/>
    <w:rsid w:val="00914866"/>
    <w:rsid w:val="00914978"/>
    <w:rsid w:val="00914B14"/>
    <w:rsid w:val="00914E38"/>
    <w:rsid w:val="00914F32"/>
    <w:rsid w:val="00914FF6"/>
    <w:rsid w:val="00915192"/>
    <w:rsid w:val="009155EF"/>
    <w:rsid w:val="00915D3A"/>
    <w:rsid w:val="00915FD3"/>
    <w:rsid w:val="009161EF"/>
    <w:rsid w:val="009166ED"/>
    <w:rsid w:val="00916AB1"/>
    <w:rsid w:val="00916FAE"/>
    <w:rsid w:val="009171A4"/>
    <w:rsid w:val="0091740B"/>
    <w:rsid w:val="00917514"/>
    <w:rsid w:val="0091763C"/>
    <w:rsid w:val="00920270"/>
    <w:rsid w:val="00920D4A"/>
    <w:rsid w:val="00920F18"/>
    <w:rsid w:val="00921268"/>
    <w:rsid w:val="0092148B"/>
    <w:rsid w:val="0092164D"/>
    <w:rsid w:val="00921A12"/>
    <w:rsid w:val="00921A50"/>
    <w:rsid w:val="00921E1C"/>
    <w:rsid w:val="00921F76"/>
    <w:rsid w:val="0092228F"/>
    <w:rsid w:val="009222E6"/>
    <w:rsid w:val="009224CD"/>
    <w:rsid w:val="0092262E"/>
    <w:rsid w:val="00922B88"/>
    <w:rsid w:val="00922C52"/>
    <w:rsid w:val="00922FD5"/>
    <w:rsid w:val="00922FE9"/>
    <w:rsid w:val="00923168"/>
    <w:rsid w:val="00923334"/>
    <w:rsid w:val="00923694"/>
    <w:rsid w:val="00923710"/>
    <w:rsid w:val="009238A9"/>
    <w:rsid w:val="00923CE6"/>
    <w:rsid w:val="00923D79"/>
    <w:rsid w:val="00923DCC"/>
    <w:rsid w:val="0092412B"/>
    <w:rsid w:val="00924764"/>
    <w:rsid w:val="009247A8"/>
    <w:rsid w:val="00924BAF"/>
    <w:rsid w:val="00924BFA"/>
    <w:rsid w:val="00924CEE"/>
    <w:rsid w:val="00925095"/>
    <w:rsid w:val="0092538E"/>
    <w:rsid w:val="009253BB"/>
    <w:rsid w:val="009255A0"/>
    <w:rsid w:val="00925851"/>
    <w:rsid w:val="0092595A"/>
    <w:rsid w:val="00925D1C"/>
    <w:rsid w:val="00925DA1"/>
    <w:rsid w:val="00925E87"/>
    <w:rsid w:val="009260D8"/>
    <w:rsid w:val="00926874"/>
    <w:rsid w:val="00926A40"/>
    <w:rsid w:val="00926D86"/>
    <w:rsid w:val="00927227"/>
    <w:rsid w:val="00927231"/>
    <w:rsid w:val="0092760D"/>
    <w:rsid w:val="0092797A"/>
    <w:rsid w:val="009279BE"/>
    <w:rsid w:val="009279CD"/>
    <w:rsid w:val="00927D60"/>
    <w:rsid w:val="0093005B"/>
    <w:rsid w:val="0093081F"/>
    <w:rsid w:val="00930A1A"/>
    <w:rsid w:val="00930D6D"/>
    <w:rsid w:val="00931001"/>
    <w:rsid w:val="009313DD"/>
    <w:rsid w:val="00931512"/>
    <w:rsid w:val="0093186C"/>
    <w:rsid w:val="009318F9"/>
    <w:rsid w:val="00931FE0"/>
    <w:rsid w:val="00932351"/>
    <w:rsid w:val="009327B4"/>
    <w:rsid w:val="00932969"/>
    <w:rsid w:val="00932C29"/>
    <w:rsid w:val="00932F83"/>
    <w:rsid w:val="00933013"/>
    <w:rsid w:val="0093310D"/>
    <w:rsid w:val="00933818"/>
    <w:rsid w:val="0093398E"/>
    <w:rsid w:val="00933AAA"/>
    <w:rsid w:val="00933AE8"/>
    <w:rsid w:val="00933B29"/>
    <w:rsid w:val="00933C9B"/>
    <w:rsid w:val="00933F22"/>
    <w:rsid w:val="0093424B"/>
    <w:rsid w:val="009344AD"/>
    <w:rsid w:val="009344C9"/>
    <w:rsid w:val="00934BD2"/>
    <w:rsid w:val="0093513D"/>
    <w:rsid w:val="00935161"/>
    <w:rsid w:val="00935167"/>
    <w:rsid w:val="009352BB"/>
    <w:rsid w:val="0093543B"/>
    <w:rsid w:val="009354C7"/>
    <w:rsid w:val="00935818"/>
    <w:rsid w:val="00935D21"/>
    <w:rsid w:val="00935D5C"/>
    <w:rsid w:val="00935F16"/>
    <w:rsid w:val="009360A7"/>
    <w:rsid w:val="009360C4"/>
    <w:rsid w:val="009362AB"/>
    <w:rsid w:val="0093668D"/>
    <w:rsid w:val="009368A6"/>
    <w:rsid w:val="009368EA"/>
    <w:rsid w:val="0093690E"/>
    <w:rsid w:val="00936A00"/>
    <w:rsid w:val="00936C45"/>
    <w:rsid w:val="00936F9E"/>
    <w:rsid w:val="0093710B"/>
    <w:rsid w:val="0093727C"/>
    <w:rsid w:val="00937311"/>
    <w:rsid w:val="00937348"/>
    <w:rsid w:val="0093769B"/>
    <w:rsid w:val="00937ED7"/>
    <w:rsid w:val="0094006A"/>
    <w:rsid w:val="0094124F"/>
    <w:rsid w:val="00941478"/>
    <w:rsid w:val="00941B07"/>
    <w:rsid w:val="00941BD8"/>
    <w:rsid w:val="00941DA8"/>
    <w:rsid w:val="00941F5E"/>
    <w:rsid w:val="009424BE"/>
    <w:rsid w:val="00942757"/>
    <w:rsid w:val="00942870"/>
    <w:rsid w:val="00942ABA"/>
    <w:rsid w:val="00942E95"/>
    <w:rsid w:val="00942FDA"/>
    <w:rsid w:val="00944092"/>
    <w:rsid w:val="00944167"/>
    <w:rsid w:val="00944C09"/>
    <w:rsid w:val="00944EB6"/>
    <w:rsid w:val="009451BE"/>
    <w:rsid w:val="009455A8"/>
    <w:rsid w:val="009456F4"/>
    <w:rsid w:val="00945968"/>
    <w:rsid w:val="00945AEE"/>
    <w:rsid w:val="00945B28"/>
    <w:rsid w:val="00945BCD"/>
    <w:rsid w:val="00945FA5"/>
    <w:rsid w:val="00946759"/>
    <w:rsid w:val="00946918"/>
    <w:rsid w:val="00946CD3"/>
    <w:rsid w:val="0094701A"/>
    <w:rsid w:val="00947266"/>
    <w:rsid w:val="00947332"/>
    <w:rsid w:val="0094736B"/>
    <w:rsid w:val="009477EC"/>
    <w:rsid w:val="00947857"/>
    <w:rsid w:val="0095045A"/>
    <w:rsid w:val="00950623"/>
    <w:rsid w:val="00950665"/>
    <w:rsid w:val="0095082E"/>
    <w:rsid w:val="00950840"/>
    <w:rsid w:val="00950B64"/>
    <w:rsid w:val="009510E2"/>
    <w:rsid w:val="0095117C"/>
    <w:rsid w:val="009516DD"/>
    <w:rsid w:val="00952288"/>
    <w:rsid w:val="0095284E"/>
    <w:rsid w:val="00952BC0"/>
    <w:rsid w:val="00952D88"/>
    <w:rsid w:val="00952E6C"/>
    <w:rsid w:val="009531BA"/>
    <w:rsid w:val="00953479"/>
    <w:rsid w:val="00953D89"/>
    <w:rsid w:val="00953EF5"/>
    <w:rsid w:val="009542F2"/>
    <w:rsid w:val="0095434B"/>
    <w:rsid w:val="00954389"/>
    <w:rsid w:val="009543F5"/>
    <w:rsid w:val="00954A56"/>
    <w:rsid w:val="009556DF"/>
    <w:rsid w:val="00955707"/>
    <w:rsid w:val="00955841"/>
    <w:rsid w:val="00955C25"/>
    <w:rsid w:val="00955D69"/>
    <w:rsid w:val="00955F03"/>
    <w:rsid w:val="00955F60"/>
    <w:rsid w:val="009567F2"/>
    <w:rsid w:val="0095680D"/>
    <w:rsid w:val="00956E2A"/>
    <w:rsid w:val="00956E8A"/>
    <w:rsid w:val="0095738A"/>
    <w:rsid w:val="009573F9"/>
    <w:rsid w:val="00957599"/>
    <w:rsid w:val="00957694"/>
    <w:rsid w:val="009577C2"/>
    <w:rsid w:val="00957901"/>
    <w:rsid w:val="00957E0B"/>
    <w:rsid w:val="00957F9A"/>
    <w:rsid w:val="009601C7"/>
    <w:rsid w:val="00960212"/>
    <w:rsid w:val="00960540"/>
    <w:rsid w:val="009605FF"/>
    <w:rsid w:val="0096065C"/>
    <w:rsid w:val="009607AE"/>
    <w:rsid w:val="00960B19"/>
    <w:rsid w:val="00960BAB"/>
    <w:rsid w:val="00960CDE"/>
    <w:rsid w:val="00960D03"/>
    <w:rsid w:val="00961026"/>
    <w:rsid w:val="00961239"/>
    <w:rsid w:val="009612F8"/>
    <w:rsid w:val="009614AC"/>
    <w:rsid w:val="00962356"/>
    <w:rsid w:val="0096236D"/>
    <w:rsid w:val="0096280A"/>
    <w:rsid w:val="009629B9"/>
    <w:rsid w:val="00962B0A"/>
    <w:rsid w:val="00962B43"/>
    <w:rsid w:val="00962CB9"/>
    <w:rsid w:val="00963794"/>
    <w:rsid w:val="009637C2"/>
    <w:rsid w:val="0096394E"/>
    <w:rsid w:val="0096397F"/>
    <w:rsid w:val="009639E1"/>
    <w:rsid w:val="00963B3C"/>
    <w:rsid w:val="00963D62"/>
    <w:rsid w:val="00964312"/>
    <w:rsid w:val="00964781"/>
    <w:rsid w:val="00964A86"/>
    <w:rsid w:val="00964AF7"/>
    <w:rsid w:val="00964D05"/>
    <w:rsid w:val="00964E94"/>
    <w:rsid w:val="00964ED1"/>
    <w:rsid w:val="009650F7"/>
    <w:rsid w:val="00965101"/>
    <w:rsid w:val="009651CD"/>
    <w:rsid w:val="0096539D"/>
    <w:rsid w:val="0096562C"/>
    <w:rsid w:val="009658BA"/>
    <w:rsid w:val="00965B30"/>
    <w:rsid w:val="00965D2E"/>
    <w:rsid w:val="00965E1E"/>
    <w:rsid w:val="00966104"/>
    <w:rsid w:val="009668E7"/>
    <w:rsid w:val="0096700B"/>
    <w:rsid w:val="009675B5"/>
    <w:rsid w:val="009676A6"/>
    <w:rsid w:val="00967C71"/>
    <w:rsid w:val="00970359"/>
    <w:rsid w:val="009708D6"/>
    <w:rsid w:val="00970BB9"/>
    <w:rsid w:val="0097125E"/>
    <w:rsid w:val="009713C0"/>
    <w:rsid w:val="0097163B"/>
    <w:rsid w:val="0097197C"/>
    <w:rsid w:val="00971C21"/>
    <w:rsid w:val="00971D55"/>
    <w:rsid w:val="00971D89"/>
    <w:rsid w:val="0097204C"/>
    <w:rsid w:val="0097226A"/>
    <w:rsid w:val="009722A9"/>
    <w:rsid w:val="00972632"/>
    <w:rsid w:val="009727CB"/>
    <w:rsid w:val="00972866"/>
    <w:rsid w:val="009728EF"/>
    <w:rsid w:val="009728FF"/>
    <w:rsid w:val="00972900"/>
    <w:rsid w:val="00972930"/>
    <w:rsid w:val="00972D33"/>
    <w:rsid w:val="0097310F"/>
    <w:rsid w:val="0097314D"/>
    <w:rsid w:val="0097316A"/>
    <w:rsid w:val="00973540"/>
    <w:rsid w:val="00973556"/>
    <w:rsid w:val="009735CC"/>
    <w:rsid w:val="0097394D"/>
    <w:rsid w:val="00973EFB"/>
    <w:rsid w:val="00973FEA"/>
    <w:rsid w:val="00974129"/>
    <w:rsid w:val="0097443F"/>
    <w:rsid w:val="00974482"/>
    <w:rsid w:val="009745AB"/>
    <w:rsid w:val="00974A1D"/>
    <w:rsid w:val="00974A64"/>
    <w:rsid w:val="00974D4A"/>
    <w:rsid w:val="00974E26"/>
    <w:rsid w:val="00974F83"/>
    <w:rsid w:val="00975CFF"/>
    <w:rsid w:val="00975D6B"/>
    <w:rsid w:val="00976132"/>
    <w:rsid w:val="009763BA"/>
    <w:rsid w:val="0097674B"/>
    <w:rsid w:val="00976905"/>
    <w:rsid w:val="00976A92"/>
    <w:rsid w:val="00976AB2"/>
    <w:rsid w:val="00976AF6"/>
    <w:rsid w:val="00976B10"/>
    <w:rsid w:val="00976B27"/>
    <w:rsid w:val="00976C9D"/>
    <w:rsid w:val="0097727B"/>
    <w:rsid w:val="00977401"/>
    <w:rsid w:val="00977D75"/>
    <w:rsid w:val="00980305"/>
    <w:rsid w:val="00980307"/>
    <w:rsid w:val="009805D7"/>
    <w:rsid w:val="00980814"/>
    <w:rsid w:val="00980B81"/>
    <w:rsid w:val="00980C63"/>
    <w:rsid w:val="00980DB9"/>
    <w:rsid w:val="00981066"/>
    <w:rsid w:val="00981234"/>
    <w:rsid w:val="00981894"/>
    <w:rsid w:val="0098208D"/>
    <w:rsid w:val="009821CB"/>
    <w:rsid w:val="00982689"/>
    <w:rsid w:val="009826E2"/>
    <w:rsid w:val="00982769"/>
    <w:rsid w:val="00982D89"/>
    <w:rsid w:val="00982E30"/>
    <w:rsid w:val="00982F99"/>
    <w:rsid w:val="00983365"/>
    <w:rsid w:val="00983520"/>
    <w:rsid w:val="009836B4"/>
    <w:rsid w:val="00983795"/>
    <w:rsid w:val="00983DE0"/>
    <w:rsid w:val="00983E57"/>
    <w:rsid w:val="00983F05"/>
    <w:rsid w:val="00984041"/>
    <w:rsid w:val="00984793"/>
    <w:rsid w:val="00984B87"/>
    <w:rsid w:val="00984D57"/>
    <w:rsid w:val="00984F48"/>
    <w:rsid w:val="00985056"/>
    <w:rsid w:val="009852CE"/>
    <w:rsid w:val="00985621"/>
    <w:rsid w:val="00985B7E"/>
    <w:rsid w:val="00985BD9"/>
    <w:rsid w:val="009860A1"/>
    <w:rsid w:val="00986180"/>
    <w:rsid w:val="0098650B"/>
    <w:rsid w:val="00986620"/>
    <w:rsid w:val="00986B7A"/>
    <w:rsid w:val="00986E23"/>
    <w:rsid w:val="00987120"/>
    <w:rsid w:val="00987371"/>
    <w:rsid w:val="0098742B"/>
    <w:rsid w:val="009874F4"/>
    <w:rsid w:val="009875F2"/>
    <w:rsid w:val="00987659"/>
    <w:rsid w:val="00987710"/>
    <w:rsid w:val="00987BA8"/>
    <w:rsid w:val="00987D6C"/>
    <w:rsid w:val="00987EC0"/>
    <w:rsid w:val="0099023C"/>
    <w:rsid w:val="009904CF"/>
    <w:rsid w:val="00990A77"/>
    <w:rsid w:val="00990B7C"/>
    <w:rsid w:val="00990D14"/>
    <w:rsid w:val="00990DBE"/>
    <w:rsid w:val="00991236"/>
    <w:rsid w:val="009912AE"/>
    <w:rsid w:val="00991317"/>
    <w:rsid w:val="009916AF"/>
    <w:rsid w:val="00991A3F"/>
    <w:rsid w:val="00991C45"/>
    <w:rsid w:val="00991FBC"/>
    <w:rsid w:val="0099249A"/>
    <w:rsid w:val="009927AD"/>
    <w:rsid w:val="00992999"/>
    <w:rsid w:val="00992B9E"/>
    <w:rsid w:val="00992E84"/>
    <w:rsid w:val="009932A9"/>
    <w:rsid w:val="00993A2C"/>
    <w:rsid w:val="00993C7F"/>
    <w:rsid w:val="00993C83"/>
    <w:rsid w:val="00993E51"/>
    <w:rsid w:val="00994268"/>
    <w:rsid w:val="009943E1"/>
    <w:rsid w:val="009949B0"/>
    <w:rsid w:val="00994BCD"/>
    <w:rsid w:val="00994F5B"/>
    <w:rsid w:val="0099501B"/>
    <w:rsid w:val="0099505C"/>
    <w:rsid w:val="00995075"/>
    <w:rsid w:val="0099534D"/>
    <w:rsid w:val="009953D2"/>
    <w:rsid w:val="00995673"/>
    <w:rsid w:val="00995BC6"/>
    <w:rsid w:val="00995DF5"/>
    <w:rsid w:val="00996196"/>
    <w:rsid w:val="009964C5"/>
    <w:rsid w:val="00996639"/>
    <w:rsid w:val="00996B1A"/>
    <w:rsid w:val="00996BF4"/>
    <w:rsid w:val="0099704A"/>
    <w:rsid w:val="009973FD"/>
    <w:rsid w:val="00997444"/>
    <w:rsid w:val="0099759A"/>
    <w:rsid w:val="009975FF"/>
    <w:rsid w:val="00997679"/>
    <w:rsid w:val="009977E8"/>
    <w:rsid w:val="00997B3F"/>
    <w:rsid w:val="00997E3B"/>
    <w:rsid w:val="009A0456"/>
    <w:rsid w:val="009A06C2"/>
    <w:rsid w:val="009A0867"/>
    <w:rsid w:val="009A0BE6"/>
    <w:rsid w:val="009A0D68"/>
    <w:rsid w:val="009A11C7"/>
    <w:rsid w:val="009A12C4"/>
    <w:rsid w:val="009A132C"/>
    <w:rsid w:val="009A136D"/>
    <w:rsid w:val="009A1488"/>
    <w:rsid w:val="009A1753"/>
    <w:rsid w:val="009A177B"/>
    <w:rsid w:val="009A17E1"/>
    <w:rsid w:val="009A1D0E"/>
    <w:rsid w:val="009A1D25"/>
    <w:rsid w:val="009A1E8F"/>
    <w:rsid w:val="009A2124"/>
    <w:rsid w:val="009A2215"/>
    <w:rsid w:val="009A2293"/>
    <w:rsid w:val="009A2496"/>
    <w:rsid w:val="009A2506"/>
    <w:rsid w:val="009A2D11"/>
    <w:rsid w:val="009A2ED5"/>
    <w:rsid w:val="009A31D5"/>
    <w:rsid w:val="009A3358"/>
    <w:rsid w:val="009A353B"/>
    <w:rsid w:val="009A3C11"/>
    <w:rsid w:val="009A3CFB"/>
    <w:rsid w:val="009A488E"/>
    <w:rsid w:val="009A48EA"/>
    <w:rsid w:val="009A4B5A"/>
    <w:rsid w:val="009A4BAC"/>
    <w:rsid w:val="009A4C3A"/>
    <w:rsid w:val="009A4F84"/>
    <w:rsid w:val="009A5065"/>
    <w:rsid w:val="009A52DD"/>
    <w:rsid w:val="009A5615"/>
    <w:rsid w:val="009A5712"/>
    <w:rsid w:val="009A5EB3"/>
    <w:rsid w:val="009A5EF6"/>
    <w:rsid w:val="009A62D5"/>
    <w:rsid w:val="009A6608"/>
    <w:rsid w:val="009A711B"/>
    <w:rsid w:val="009A72D5"/>
    <w:rsid w:val="009A73CC"/>
    <w:rsid w:val="009A7456"/>
    <w:rsid w:val="009A7668"/>
    <w:rsid w:val="009A7F37"/>
    <w:rsid w:val="009B002A"/>
    <w:rsid w:val="009B01CF"/>
    <w:rsid w:val="009B05D0"/>
    <w:rsid w:val="009B0659"/>
    <w:rsid w:val="009B0804"/>
    <w:rsid w:val="009B08FE"/>
    <w:rsid w:val="009B09FC"/>
    <w:rsid w:val="009B0AB9"/>
    <w:rsid w:val="009B0F73"/>
    <w:rsid w:val="009B0FBA"/>
    <w:rsid w:val="009B1002"/>
    <w:rsid w:val="009B1811"/>
    <w:rsid w:val="009B1CDF"/>
    <w:rsid w:val="009B1E9A"/>
    <w:rsid w:val="009B1EB6"/>
    <w:rsid w:val="009B2408"/>
    <w:rsid w:val="009B244A"/>
    <w:rsid w:val="009B28D0"/>
    <w:rsid w:val="009B2978"/>
    <w:rsid w:val="009B2D72"/>
    <w:rsid w:val="009B341C"/>
    <w:rsid w:val="009B35DB"/>
    <w:rsid w:val="009B3D33"/>
    <w:rsid w:val="009B3E26"/>
    <w:rsid w:val="009B43BE"/>
    <w:rsid w:val="009B44B0"/>
    <w:rsid w:val="009B4640"/>
    <w:rsid w:val="009B4C95"/>
    <w:rsid w:val="009B4D2F"/>
    <w:rsid w:val="009B4E9F"/>
    <w:rsid w:val="009B5435"/>
    <w:rsid w:val="009B5AD9"/>
    <w:rsid w:val="009B5BF1"/>
    <w:rsid w:val="009B6591"/>
    <w:rsid w:val="009B66A2"/>
    <w:rsid w:val="009B66AA"/>
    <w:rsid w:val="009B6778"/>
    <w:rsid w:val="009B68FE"/>
    <w:rsid w:val="009B6926"/>
    <w:rsid w:val="009B69DC"/>
    <w:rsid w:val="009B6BBB"/>
    <w:rsid w:val="009B6E19"/>
    <w:rsid w:val="009B6E59"/>
    <w:rsid w:val="009B6FD9"/>
    <w:rsid w:val="009B7471"/>
    <w:rsid w:val="009B788F"/>
    <w:rsid w:val="009B7E88"/>
    <w:rsid w:val="009C00CA"/>
    <w:rsid w:val="009C0122"/>
    <w:rsid w:val="009C0339"/>
    <w:rsid w:val="009C051E"/>
    <w:rsid w:val="009C0633"/>
    <w:rsid w:val="009C0DCB"/>
    <w:rsid w:val="009C1061"/>
    <w:rsid w:val="009C1D37"/>
    <w:rsid w:val="009C1DFE"/>
    <w:rsid w:val="009C1E0F"/>
    <w:rsid w:val="009C213E"/>
    <w:rsid w:val="009C227C"/>
    <w:rsid w:val="009C2361"/>
    <w:rsid w:val="009C237A"/>
    <w:rsid w:val="009C29EC"/>
    <w:rsid w:val="009C2D4D"/>
    <w:rsid w:val="009C2D86"/>
    <w:rsid w:val="009C3278"/>
    <w:rsid w:val="009C32C7"/>
    <w:rsid w:val="009C32D0"/>
    <w:rsid w:val="009C37DF"/>
    <w:rsid w:val="009C3B49"/>
    <w:rsid w:val="009C3BA8"/>
    <w:rsid w:val="009C3ED7"/>
    <w:rsid w:val="009C4195"/>
    <w:rsid w:val="009C4A17"/>
    <w:rsid w:val="009C4B05"/>
    <w:rsid w:val="009C4C85"/>
    <w:rsid w:val="009C4E46"/>
    <w:rsid w:val="009C4E88"/>
    <w:rsid w:val="009C507B"/>
    <w:rsid w:val="009C542B"/>
    <w:rsid w:val="009C58E2"/>
    <w:rsid w:val="009C59BC"/>
    <w:rsid w:val="009C5CEE"/>
    <w:rsid w:val="009C5E32"/>
    <w:rsid w:val="009C5ECC"/>
    <w:rsid w:val="009C5EE3"/>
    <w:rsid w:val="009C611C"/>
    <w:rsid w:val="009C62EB"/>
    <w:rsid w:val="009C62FA"/>
    <w:rsid w:val="009C648E"/>
    <w:rsid w:val="009C6660"/>
    <w:rsid w:val="009C6C36"/>
    <w:rsid w:val="009C6DAE"/>
    <w:rsid w:val="009C71E7"/>
    <w:rsid w:val="009C7409"/>
    <w:rsid w:val="009C74C3"/>
    <w:rsid w:val="009C7765"/>
    <w:rsid w:val="009C77F0"/>
    <w:rsid w:val="009C78B0"/>
    <w:rsid w:val="009C7C87"/>
    <w:rsid w:val="009D0240"/>
    <w:rsid w:val="009D0349"/>
    <w:rsid w:val="009D064F"/>
    <w:rsid w:val="009D1091"/>
    <w:rsid w:val="009D1300"/>
    <w:rsid w:val="009D185C"/>
    <w:rsid w:val="009D1945"/>
    <w:rsid w:val="009D2038"/>
    <w:rsid w:val="009D2485"/>
    <w:rsid w:val="009D254C"/>
    <w:rsid w:val="009D258E"/>
    <w:rsid w:val="009D25B7"/>
    <w:rsid w:val="009D2AAF"/>
    <w:rsid w:val="009D2D88"/>
    <w:rsid w:val="009D30F0"/>
    <w:rsid w:val="009D31AF"/>
    <w:rsid w:val="009D37E0"/>
    <w:rsid w:val="009D3ACA"/>
    <w:rsid w:val="009D3CB4"/>
    <w:rsid w:val="009D3FE0"/>
    <w:rsid w:val="009D4086"/>
    <w:rsid w:val="009D42D1"/>
    <w:rsid w:val="009D42E0"/>
    <w:rsid w:val="009D45C1"/>
    <w:rsid w:val="009D4668"/>
    <w:rsid w:val="009D4B51"/>
    <w:rsid w:val="009D4E1D"/>
    <w:rsid w:val="009D5573"/>
    <w:rsid w:val="009D568A"/>
    <w:rsid w:val="009D5776"/>
    <w:rsid w:val="009D5B91"/>
    <w:rsid w:val="009D62B9"/>
    <w:rsid w:val="009D6385"/>
    <w:rsid w:val="009D6561"/>
    <w:rsid w:val="009D6763"/>
    <w:rsid w:val="009D68A1"/>
    <w:rsid w:val="009D6C0F"/>
    <w:rsid w:val="009D72D9"/>
    <w:rsid w:val="009D77A3"/>
    <w:rsid w:val="009D7EDF"/>
    <w:rsid w:val="009D7F09"/>
    <w:rsid w:val="009E02FD"/>
    <w:rsid w:val="009E07A4"/>
    <w:rsid w:val="009E0863"/>
    <w:rsid w:val="009E0C9C"/>
    <w:rsid w:val="009E0D74"/>
    <w:rsid w:val="009E11D9"/>
    <w:rsid w:val="009E1330"/>
    <w:rsid w:val="009E144A"/>
    <w:rsid w:val="009E156B"/>
    <w:rsid w:val="009E1878"/>
    <w:rsid w:val="009E1A58"/>
    <w:rsid w:val="009E1B15"/>
    <w:rsid w:val="009E1C7C"/>
    <w:rsid w:val="009E1D40"/>
    <w:rsid w:val="009E1D4D"/>
    <w:rsid w:val="009E2108"/>
    <w:rsid w:val="009E2725"/>
    <w:rsid w:val="009E2859"/>
    <w:rsid w:val="009E287F"/>
    <w:rsid w:val="009E2BA3"/>
    <w:rsid w:val="009E2BCD"/>
    <w:rsid w:val="009E2E16"/>
    <w:rsid w:val="009E2FC0"/>
    <w:rsid w:val="009E3534"/>
    <w:rsid w:val="009E3599"/>
    <w:rsid w:val="009E3A6C"/>
    <w:rsid w:val="009E3BE0"/>
    <w:rsid w:val="009E3C26"/>
    <w:rsid w:val="009E3C69"/>
    <w:rsid w:val="009E423E"/>
    <w:rsid w:val="009E4C07"/>
    <w:rsid w:val="009E4CEF"/>
    <w:rsid w:val="009E506D"/>
    <w:rsid w:val="009E51AE"/>
    <w:rsid w:val="009E537A"/>
    <w:rsid w:val="009E54C3"/>
    <w:rsid w:val="009E54E1"/>
    <w:rsid w:val="009E5882"/>
    <w:rsid w:val="009E5899"/>
    <w:rsid w:val="009E5B55"/>
    <w:rsid w:val="009E61B4"/>
    <w:rsid w:val="009E679F"/>
    <w:rsid w:val="009E69B7"/>
    <w:rsid w:val="009E6D0F"/>
    <w:rsid w:val="009E6E0F"/>
    <w:rsid w:val="009E7064"/>
    <w:rsid w:val="009E73C4"/>
    <w:rsid w:val="009E74BF"/>
    <w:rsid w:val="009E7587"/>
    <w:rsid w:val="009E77AC"/>
    <w:rsid w:val="009E7E01"/>
    <w:rsid w:val="009E7FA7"/>
    <w:rsid w:val="009F01FE"/>
    <w:rsid w:val="009F03E9"/>
    <w:rsid w:val="009F04AD"/>
    <w:rsid w:val="009F0E95"/>
    <w:rsid w:val="009F10D6"/>
    <w:rsid w:val="009F1940"/>
    <w:rsid w:val="009F19DF"/>
    <w:rsid w:val="009F1B17"/>
    <w:rsid w:val="009F20BA"/>
    <w:rsid w:val="009F2260"/>
    <w:rsid w:val="009F240C"/>
    <w:rsid w:val="009F2A67"/>
    <w:rsid w:val="009F2B09"/>
    <w:rsid w:val="009F2F93"/>
    <w:rsid w:val="009F3326"/>
    <w:rsid w:val="009F33F0"/>
    <w:rsid w:val="009F35EE"/>
    <w:rsid w:val="009F3712"/>
    <w:rsid w:val="009F371D"/>
    <w:rsid w:val="009F3872"/>
    <w:rsid w:val="009F3D9D"/>
    <w:rsid w:val="009F3E05"/>
    <w:rsid w:val="009F3EFB"/>
    <w:rsid w:val="009F3F67"/>
    <w:rsid w:val="009F433D"/>
    <w:rsid w:val="009F5092"/>
    <w:rsid w:val="009F519C"/>
    <w:rsid w:val="009F52E7"/>
    <w:rsid w:val="009F5332"/>
    <w:rsid w:val="009F5987"/>
    <w:rsid w:val="009F632E"/>
    <w:rsid w:val="009F63C3"/>
    <w:rsid w:val="009F6738"/>
    <w:rsid w:val="009F71C0"/>
    <w:rsid w:val="009F7295"/>
    <w:rsid w:val="009F74B2"/>
    <w:rsid w:val="009F76B5"/>
    <w:rsid w:val="009F7C5B"/>
    <w:rsid w:val="009F7EC6"/>
    <w:rsid w:val="00A006E3"/>
    <w:rsid w:val="00A00A8D"/>
    <w:rsid w:val="00A00BC7"/>
    <w:rsid w:val="00A00C8F"/>
    <w:rsid w:val="00A00CD2"/>
    <w:rsid w:val="00A00D04"/>
    <w:rsid w:val="00A00D28"/>
    <w:rsid w:val="00A00E77"/>
    <w:rsid w:val="00A00F11"/>
    <w:rsid w:val="00A0146C"/>
    <w:rsid w:val="00A014C5"/>
    <w:rsid w:val="00A01C67"/>
    <w:rsid w:val="00A01D50"/>
    <w:rsid w:val="00A01FA0"/>
    <w:rsid w:val="00A026EF"/>
    <w:rsid w:val="00A0285B"/>
    <w:rsid w:val="00A02927"/>
    <w:rsid w:val="00A029D5"/>
    <w:rsid w:val="00A02C50"/>
    <w:rsid w:val="00A02D4B"/>
    <w:rsid w:val="00A03385"/>
    <w:rsid w:val="00A035CB"/>
    <w:rsid w:val="00A03974"/>
    <w:rsid w:val="00A03AF8"/>
    <w:rsid w:val="00A03D43"/>
    <w:rsid w:val="00A04323"/>
    <w:rsid w:val="00A04380"/>
    <w:rsid w:val="00A04437"/>
    <w:rsid w:val="00A0487F"/>
    <w:rsid w:val="00A04A22"/>
    <w:rsid w:val="00A04BEF"/>
    <w:rsid w:val="00A05343"/>
    <w:rsid w:val="00A054AA"/>
    <w:rsid w:val="00A05540"/>
    <w:rsid w:val="00A05633"/>
    <w:rsid w:val="00A05997"/>
    <w:rsid w:val="00A05F10"/>
    <w:rsid w:val="00A060E8"/>
    <w:rsid w:val="00A0619E"/>
    <w:rsid w:val="00A061AF"/>
    <w:rsid w:val="00A0648F"/>
    <w:rsid w:val="00A068E2"/>
    <w:rsid w:val="00A06E1E"/>
    <w:rsid w:val="00A071B1"/>
    <w:rsid w:val="00A07704"/>
    <w:rsid w:val="00A07C0F"/>
    <w:rsid w:val="00A07E57"/>
    <w:rsid w:val="00A10100"/>
    <w:rsid w:val="00A1047E"/>
    <w:rsid w:val="00A10942"/>
    <w:rsid w:val="00A1098F"/>
    <w:rsid w:val="00A10A2F"/>
    <w:rsid w:val="00A10ADC"/>
    <w:rsid w:val="00A10CC5"/>
    <w:rsid w:val="00A10CF5"/>
    <w:rsid w:val="00A10FDC"/>
    <w:rsid w:val="00A11252"/>
    <w:rsid w:val="00A113E6"/>
    <w:rsid w:val="00A114E6"/>
    <w:rsid w:val="00A1154B"/>
    <w:rsid w:val="00A117C5"/>
    <w:rsid w:val="00A117DA"/>
    <w:rsid w:val="00A11D33"/>
    <w:rsid w:val="00A12267"/>
    <w:rsid w:val="00A126D5"/>
    <w:rsid w:val="00A12774"/>
    <w:rsid w:val="00A12970"/>
    <w:rsid w:val="00A12A95"/>
    <w:rsid w:val="00A12E98"/>
    <w:rsid w:val="00A12EA7"/>
    <w:rsid w:val="00A12F69"/>
    <w:rsid w:val="00A12FEA"/>
    <w:rsid w:val="00A134AD"/>
    <w:rsid w:val="00A137A3"/>
    <w:rsid w:val="00A13842"/>
    <w:rsid w:val="00A13948"/>
    <w:rsid w:val="00A13D5A"/>
    <w:rsid w:val="00A13DB9"/>
    <w:rsid w:val="00A13E7D"/>
    <w:rsid w:val="00A140D5"/>
    <w:rsid w:val="00A1414B"/>
    <w:rsid w:val="00A143C6"/>
    <w:rsid w:val="00A14914"/>
    <w:rsid w:val="00A14BC0"/>
    <w:rsid w:val="00A14D7A"/>
    <w:rsid w:val="00A1588D"/>
    <w:rsid w:val="00A1619B"/>
    <w:rsid w:val="00A164FE"/>
    <w:rsid w:val="00A16966"/>
    <w:rsid w:val="00A169C1"/>
    <w:rsid w:val="00A16AD3"/>
    <w:rsid w:val="00A16B4D"/>
    <w:rsid w:val="00A16CA2"/>
    <w:rsid w:val="00A16CD1"/>
    <w:rsid w:val="00A16EC1"/>
    <w:rsid w:val="00A16FE2"/>
    <w:rsid w:val="00A1706D"/>
    <w:rsid w:val="00A17354"/>
    <w:rsid w:val="00A178D1"/>
    <w:rsid w:val="00A17E07"/>
    <w:rsid w:val="00A17ED7"/>
    <w:rsid w:val="00A205D6"/>
    <w:rsid w:val="00A20B98"/>
    <w:rsid w:val="00A20DBC"/>
    <w:rsid w:val="00A211D1"/>
    <w:rsid w:val="00A212A0"/>
    <w:rsid w:val="00A214EC"/>
    <w:rsid w:val="00A2187F"/>
    <w:rsid w:val="00A21CD8"/>
    <w:rsid w:val="00A21F25"/>
    <w:rsid w:val="00A221F1"/>
    <w:rsid w:val="00A225F1"/>
    <w:rsid w:val="00A2297D"/>
    <w:rsid w:val="00A22AA1"/>
    <w:rsid w:val="00A22DC8"/>
    <w:rsid w:val="00A22FD6"/>
    <w:rsid w:val="00A2358B"/>
    <w:rsid w:val="00A23A49"/>
    <w:rsid w:val="00A23E94"/>
    <w:rsid w:val="00A23F3C"/>
    <w:rsid w:val="00A24462"/>
    <w:rsid w:val="00A24631"/>
    <w:rsid w:val="00A24CC1"/>
    <w:rsid w:val="00A24DA6"/>
    <w:rsid w:val="00A24DB6"/>
    <w:rsid w:val="00A24EB3"/>
    <w:rsid w:val="00A25083"/>
    <w:rsid w:val="00A25AE9"/>
    <w:rsid w:val="00A2606A"/>
    <w:rsid w:val="00A26142"/>
    <w:rsid w:val="00A263C6"/>
    <w:rsid w:val="00A264F3"/>
    <w:rsid w:val="00A26729"/>
    <w:rsid w:val="00A2688C"/>
    <w:rsid w:val="00A26C06"/>
    <w:rsid w:val="00A26EB1"/>
    <w:rsid w:val="00A26F40"/>
    <w:rsid w:val="00A274A4"/>
    <w:rsid w:val="00A2762E"/>
    <w:rsid w:val="00A277CB"/>
    <w:rsid w:val="00A279F2"/>
    <w:rsid w:val="00A27AEC"/>
    <w:rsid w:val="00A30040"/>
    <w:rsid w:val="00A30058"/>
    <w:rsid w:val="00A30137"/>
    <w:rsid w:val="00A301D4"/>
    <w:rsid w:val="00A30363"/>
    <w:rsid w:val="00A3086D"/>
    <w:rsid w:val="00A30B7F"/>
    <w:rsid w:val="00A313A7"/>
    <w:rsid w:val="00A313B3"/>
    <w:rsid w:val="00A313F9"/>
    <w:rsid w:val="00A3147A"/>
    <w:rsid w:val="00A31F3A"/>
    <w:rsid w:val="00A322ED"/>
    <w:rsid w:val="00A323D8"/>
    <w:rsid w:val="00A329E0"/>
    <w:rsid w:val="00A32AD4"/>
    <w:rsid w:val="00A32DE8"/>
    <w:rsid w:val="00A334D6"/>
    <w:rsid w:val="00A337C3"/>
    <w:rsid w:val="00A3394A"/>
    <w:rsid w:val="00A342B6"/>
    <w:rsid w:val="00A34351"/>
    <w:rsid w:val="00A345AD"/>
    <w:rsid w:val="00A34805"/>
    <w:rsid w:val="00A34E45"/>
    <w:rsid w:val="00A351F9"/>
    <w:rsid w:val="00A35378"/>
    <w:rsid w:val="00A35854"/>
    <w:rsid w:val="00A35B81"/>
    <w:rsid w:val="00A35CB3"/>
    <w:rsid w:val="00A35D16"/>
    <w:rsid w:val="00A36062"/>
    <w:rsid w:val="00A362CF"/>
    <w:rsid w:val="00A3632D"/>
    <w:rsid w:val="00A36382"/>
    <w:rsid w:val="00A365A5"/>
    <w:rsid w:val="00A36681"/>
    <w:rsid w:val="00A36B71"/>
    <w:rsid w:val="00A36D60"/>
    <w:rsid w:val="00A36E52"/>
    <w:rsid w:val="00A371F6"/>
    <w:rsid w:val="00A3723D"/>
    <w:rsid w:val="00A372D2"/>
    <w:rsid w:val="00A378BD"/>
    <w:rsid w:val="00A407AE"/>
    <w:rsid w:val="00A40C78"/>
    <w:rsid w:val="00A40D77"/>
    <w:rsid w:val="00A40D7B"/>
    <w:rsid w:val="00A40E8B"/>
    <w:rsid w:val="00A40EDA"/>
    <w:rsid w:val="00A410AD"/>
    <w:rsid w:val="00A410B9"/>
    <w:rsid w:val="00A41832"/>
    <w:rsid w:val="00A41860"/>
    <w:rsid w:val="00A418EC"/>
    <w:rsid w:val="00A41AE0"/>
    <w:rsid w:val="00A41C8A"/>
    <w:rsid w:val="00A41D50"/>
    <w:rsid w:val="00A42038"/>
    <w:rsid w:val="00A42469"/>
    <w:rsid w:val="00A43060"/>
    <w:rsid w:val="00A43078"/>
    <w:rsid w:val="00A4311D"/>
    <w:rsid w:val="00A4329B"/>
    <w:rsid w:val="00A439E2"/>
    <w:rsid w:val="00A43A80"/>
    <w:rsid w:val="00A43C59"/>
    <w:rsid w:val="00A43F42"/>
    <w:rsid w:val="00A44166"/>
    <w:rsid w:val="00A443AC"/>
    <w:rsid w:val="00A449EE"/>
    <w:rsid w:val="00A44CB6"/>
    <w:rsid w:val="00A452E6"/>
    <w:rsid w:val="00A452EE"/>
    <w:rsid w:val="00A45C65"/>
    <w:rsid w:val="00A45D6C"/>
    <w:rsid w:val="00A466C6"/>
    <w:rsid w:val="00A46855"/>
    <w:rsid w:val="00A46A3F"/>
    <w:rsid w:val="00A46B1B"/>
    <w:rsid w:val="00A46D23"/>
    <w:rsid w:val="00A46DF2"/>
    <w:rsid w:val="00A46E15"/>
    <w:rsid w:val="00A472C7"/>
    <w:rsid w:val="00A477EF"/>
    <w:rsid w:val="00A47AAE"/>
    <w:rsid w:val="00A47CD0"/>
    <w:rsid w:val="00A47D73"/>
    <w:rsid w:val="00A47EC7"/>
    <w:rsid w:val="00A504A2"/>
    <w:rsid w:val="00A50E14"/>
    <w:rsid w:val="00A50ECD"/>
    <w:rsid w:val="00A52533"/>
    <w:rsid w:val="00A5268E"/>
    <w:rsid w:val="00A526CD"/>
    <w:rsid w:val="00A52729"/>
    <w:rsid w:val="00A52D92"/>
    <w:rsid w:val="00A5339E"/>
    <w:rsid w:val="00A533E4"/>
    <w:rsid w:val="00A5351D"/>
    <w:rsid w:val="00A5352B"/>
    <w:rsid w:val="00A53675"/>
    <w:rsid w:val="00A53781"/>
    <w:rsid w:val="00A539F4"/>
    <w:rsid w:val="00A53D4B"/>
    <w:rsid w:val="00A541CB"/>
    <w:rsid w:val="00A5463A"/>
    <w:rsid w:val="00A548B8"/>
    <w:rsid w:val="00A54B0E"/>
    <w:rsid w:val="00A54C2B"/>
    <w:rsid w:val="00A54D51"/>
    <w:rsid w:val="00A54DA3"/>
    <w:rsid w:val="00A54DBD"/>
    <w:rsid w:val="00A55219"/>
    <w:rsid w:val="00A55F4F"/>
    <w:rsid w:val="00A561CA"/>
    <w:rsid w:val="00A566E2"/>
    <w:rsid w:val="00A5675E"/>
    <w:rsid w:val="00A567CD"/>
    <w:rsid w:val="00A56AA1"/>
    <w:rsid w:val="00A56B6A"/>
    <w:rsid w:val="00A56C16"/>
    <w:rsid w:val="00A56F7F"/>
    <w:rsid w:val="00A5702A"/>
    <w:rsid w:val="00A57107"/>
    <w:rsid w:val="00A578DC"/>
    <w:rsid w:val="00A5793D"/>
    <w:rsid w:val="00A57988"/>
    <w:rsid w:val="00A57B6E"/>
    <w:rsid w:val="00A57ED8"/>
    <w:rsid w:val="00A57F04"/>
    <w:rsid w:val="00A6024B"/>
    <w:rsid w:val="00A6049B"/>
    <w:rsid w:val="00A605E9"/>
    <w:rsid w:val="00A6060F"/>
    <w:rsid w:val="00A606B6"/>
    <w:rsid w:val="00A60832"/>
    <w:rsid w:val="00A610B6"/>
    <w:rsid w:val="00A614D6"/>
    <w:rsid w:val="00A6163E"/>
    <w:rsid w:val="00A62490"/>
    <w:rsid w:val="00A6251F"/>
    <w:rsid w:val="00A626C9"/>
    <w:rsid w:val="00A627E2"/>
    <w:rsid w:val="00A62CA9"/>
    <w:rsid w:val="00A6324F"/>
    <w:rsid w:val="00A6365F"/>
    <w:rsid w:val="00A63880"/>
    <w:rsid w:val="00A63DE4"/>
    <w:rsid w:val="00A63F32"/>
    <w:rsid w:val="00A6426E"/>
    <w:rsid w:val="00A64592"/>
    <w:rsid w:val="00A6478F"/>
    <w:rsid w:val="00A64DEE"/>
    <w:rsid w:val="00A650C5"/>
    <w:rsid w:val="00A654CC"/>
    <w:rsid w:val="00A65D73"/>
    <w:rsid w:val="00A65D84"/>
    <w:rsid w:val="00A65E84"/>
    <w:rsid w:val="00A65F2E"/>
    <w:rsid w:val="00A66101"/>
    <w:rsid w:val="00A665E0"/>
    <w:rsid w:val="00A66721"/>
    <w:rsid w:val="00A66A47"/>
    <w:rsid w:val="00A66AD3"/>
    <w:rsid w:val="00A66B87"/>
    <w:rsid w:val="00A66D07"/>
    <w:rsid w:val="00A66D10"/>
    <w:rsid w:val="00A66FB4"/>
    <w:rsid w:val="00A6725B"/>
    <w:rsid w:val="00A6735B"/>
    <w:rsid w:val="00A67366"/>
    <w:rsid w:val="00A67408"/>
    <w:rsid w:val="00A67502"/>
    <w:rsid w:val="00A67D49"/>
    <w:rsid w:val="00A67D6D"/>
    <w:rsid w:val="00A70BB9"/>
    <w:rsid w:val="00A710CF"/>
    <w:rsid w:val="00A7136D"/>
    <w:rsid w:val="00A715EC"/>
    <w:rsid w:val="00A71903"/>
    <w:rsid w:val="00A71A78"/>
    <w:rsid w:val="00A71AE3"/>
    <w:rsid w:val="00A71B3D"/>
    <w:rsid w:val="00A72288"/>
    <w:rsid w:val="00A72315"/>
    <w:rsid w:val="00A72801"/>
    <w:rsid w:val="00A7287C"/>
    <w:rsid w:val="00A72C07"/>
    <w:rsid w:val="00A72C9D"/>
    <w:rsid w:val="00A730F1"/>
    <w:rsid w:val="00A7349F"/>
    <w:rsid w:val="00A73534"/>
    <w:rsid w:val="00A735CF"/>
    <w:rsid w:val="00A7387F"/>
    <w:rsid w:val="00A73B96"/>
    <w:rsid w:val="00A73C8A"/>
    <w:rsid w:val="00A73D69"/>
    <w:rsid w:val="00A73DB2"/>
    <w:rsid w:val="00A740D8"/>
    <w:rsid w:val="00A74B7C"/>
    <w:rsid w:val="00A74BC9"/>
    <w:rsid w:val="00A74BED"/>
    <w:rsid w:val="00A74DDD"/>
    <w:rsid w:val="00A74E60"/>
    <w:rsid w:val="00A75711"/>
    <w:rsid w:val="00A75847"/>
    <w:rsid w:val="00A75911"/>
    <w:rsid w:val="00A75D43"/>
    <w:rsid w:val="00A7621E"/>
    <w:rsid w:val="00A766F1"/>
    <w:rsid w:val="00A768CC"/>
    <w:rsid w:val="00A76BD5"/>
    <w:rsid w:val="00A76D6B"/>
    <w:rsid w:val="00A77378"/>
    <w:rsid w:val="00A774F4"/>
    <w:rsid w:val="00A7751B"/>
    <w:rsid w:val="00A7768D"/>
    <w:rsid w:val="00A779F7"/>
    <w:rsid w:val="00A77A0D"/>
    <w:rsid w:val="00A77A16"/>
    <w:rsid w:val="00A77CEE"/>
    <w:rsid w:val="00A77ED6"/>
    <w:rsid w:val="00A8021A"/>
    <w:rsid w:val="00A802EC"/>
    <w:rsid w:val="00A8084A"/>
    <w:rsid w:val="00A81109"/>
    <w:rsid w:val="00A811D9"/>
    <w:rsid w:val="00A8137C"/>
    <w:rsid w:val="00A813D6"/>
    <w:rsid w:val="00A8151E"/>
    <w:rsid w:val="00A81646"/>
    <w:rsid w:val="00A816F1"/>
    <w:rsid w:val="00A817D6"/>
    <w:rsid w:val="00A8186F"/>
    <w:rsid w:val="00A81B81"/>
    <w:rsid w:val="00A81CE6"/>
    <w:rsid w:val="00A81D0A"/>
    <w:rsid w:val="00A8297D"/>
    <w:rsid w:val="00A82A25"/>
    <w:rsid w:val="00A82CDD"/>
    <w:rsid w:val="00A82D33"/>
    <w:rsid w:val="00A82E34"/>
    <w:rsid w:val="00A83033"/>
    <w:rsid w:val="00A830B1"/>
    <w:rsid w:val="00A8353B"/>
    <w:rsid w:val="00A83935"/>
    <w:rsid w:val="00A83C7C"/>
    <w:rsid w:val="00A83C92"/>
    <w:rsid w:val="00A83ED0"/>
    <w:rsid w:val="00A845C0"/>
    <w:rsid w:val="00A8461C"/>
    <w:rsid w:val="00A84692"/>
    <w:rsid w:val="00A8477F"/>
    <w:rsid w:val="00A84853"/>
    <w:rsid w:val="00A8497F"/>
    <w:rsid w:val="00A84E76"/>
    <w:rsid w:val="00A84EC7"/>
    <w:rsid w:val="00A85007"/>
    <w:rsid w:val="00A851C1"/>
    <w:rsid w:val="00A8533D"/>
    <w:rsid w:val="00A85409"/>
    <w:rsid w:val="00A85475"/>
    <w:rsid w:val="00A85562"/>
    <w:rsid w:val="00A858B3"/>
    <w:rsid w:val="00A85C75"/>
    <w:rsid w:val="00A85F48"/>
    <w:rsid w:val="00A8623A"/>
    <w:rsid w:val="00A8638F"/>
    <w:rsid w:val="00A86613"/>
    <w:rsid w:val="00A86AC6"/>
    <w:rsid w:val="00A86BEC"/>
    <w:rsid w:val="00A86DB9"/>
    <w:rsid w:val="00A86E8B"/>
    <w:rsid w:val="00A86FA0"/>
    <w:rsid w:val="00A8701C"/>
    <w:rsid w:val="00A8703C"/>
    <w:rsid w:val="00A87288"/>
    <w:rsid w:val="00A87509"/>
    <w:rsid w:val="00A87B17"/>
    <w:rsid w:val="00A87B1E"/>
    <w:rsid w:val="00A87C05"/>
    <w:rsid w:val="00A87CD7"/>
    <w:rsid w:val="00A87EEA"/>
    <w:rsid w:val="00A87F52"/>
    <w:rsid w:val="00A9040E"/>
    <w:rsid w:val="00A9081F"/>
    <w:rsid w:val="00A90924"/>
    <w:rsid w:val="00A90A5D"/>
    <w:rsid w:val="00A90DD2"/>
    <w:rsid w:val="00A90EF6"/>
    <w:rsid w:val="00A9135A"/>
    <w:rsid w:val="00A91F9D"/>
    <w:rsid w:val="00A92258"/>
    <w:rsid w:val="00A923C1"/>
    <w:rsid w:val="00A925EB"/>
    <w:rsid w:val="00A92738"/>
    <w:rsid w:val="00A928B3"/>
    <w:rsid w:val="00A92984"/>
    <w:rsid w:val="00A93072"/>
    <w:rsid w:val="00A9312C"/>
    <w:rsid w:val="00A93148"/>
    <w:rsid w:val="00A93657"/>
    <w:rsid w:val="00A9367F"/>
    <w:rsid w:val="00A93839"/>
    <w:rsid w:val="00A93876"/>
    <w:rsid w:val="00A9387E"/>
    <w:rsid w:val="00A939A0"/>
    <w:rsid w:val="00A93AC3"/>
    <w:rsid w:val="00A941A5"/>
    <w:rsid w:val="00A9443F"/>
    <w:rsid w:val="00A944D6"/>
    <w:rsid w:val="00A94554"/>
    <w:rsid w:val="00A94C81"/>
    <w:rsid w:val="00A94CE9"/>
    <w:rsid w:val="00A94ECF"/>
    <w:rsid w:val="00A951EE"/>
    <w:rsid w:val="00A955E8"/>
    <w:rsid w:val="00A95730"/>
    <w:rsid w:val="00A959D8"/>
    <w:rsid w:val="00A95A4C"/>
    <w:rsid w:val="00A95D26"/>
    <w:rsid w:val="00A96114"/>
    <w:rsid w:val="00A961BB"/>
    <w:rsid w:val="00A96500"/>
    <w:rsid w:val="00A9662A"/>
    <w:rsid w:val="00A96854"/>
    <w:rsid w:val="00A9697F"/>
    <w:rsid w:val="00A96C75"/>
    <w:rsid w:val="00A96F44"/>
    <w:rsid w:val="00A97231"/>
    <w:rsid w:val="00A973D4"/>
    <w:rsid w:val="00A9748D"/>
    <w:rsid w:val="00A974C1"/>
    <w:rsid w:val="00A9753D"/>
    <w:rsid w:val="00A97A2A"/>
    <w:rsid w:val="00A97C5B"/>
    <w:rsid w:val="00A97CE3"/>
    <w:rsid w:val="00AA01DF"/>
    <w:rsid w:val="00AA0200"/>
    <w:rsid w:val="00AA0231"/>
    <w:rsid w:val="00AA03F0"/>
    <w:rsid w:val="00AA055A"/>
    <w:rsid w:val="00AA06C8"/>
    <w:rsid w:val="00AA0838"/>
    <w:rsid w:val="00AA0B68"/>
    <w:rsid w:val="00AA146F"/>
    <w:rsid w:val="00AA17E6"/>
    <w:rsid w:val="00AA1E9D"/>
    <w:rsid w:val="00AA2580"/>
    <w:rsid w:val="00AA270A"/>
    <w:rsid w:val="00AA2B9C"/>
    <w:rsid w:val="00AA3184"/>
    <w:rsid w:val="00AA31F0"/>
    <w:rsid w:val="00AA329B"/>
    <w:rsid w:val="00AA3A77"/>
    <w:rsid w:val="00AA3BFC"/>
    <w:rsid w:val="00AA3DD3"/>
    <w:rsid w:val="00AA3F88"/>
    <w:rsid w:val="00AA40D1"/>
    <w:rsid w:val="00AA467C"/>
    <w:rsid w:val="00AA4888"/>
    <w:rsid w:val="00AA4D2E"/>
    <w:rsid w:val="00AA4F10"/>
    <w:rsid w:val="00AA5183"/>
    <w:rsid w:val="00AA5395"/>
    <w:rsid w:val="00AA54BF"/>
    <w:rsid w:val="00AA5B80"/>
    <w:rsid w:val="00AA5E4E"/>
    <w:rsid w:val="00AA6194"/>
    <w:rsid w:val="00AA652C"/>
    <w:rsid w:val="00AA658F"/>
    <w:rsid w:val="00AA68D3"/>
    <w:rsid w:val="00AA6926"/>
    <w:rsid w:val="00AA6A85"/>
    <w:rsid w:val="00AA6B9F"/>
    <w:rsid w:val="00AA6C0C"/>
    <w:rsid w:val="00AA6F98"/>
    <w:rsid w:val="00AA72A7"/>
    <w:rsid w:val="00AA7638"/>
    <w:rsid w:val="00AA76FE"/>
    <w:rsid w:val="00AA7A4A"/>
    <w:rsid w:val="00AA7FE3"/>
    <w:rsid w:val="00AB042A"/>
    <w:rsid w:val="00AB0C24"/>
    <w:rsid w:val="00AB0D68"/>
    <w:rsid w:val="00AB0DC2"/>
    <w:rsid w:val="00AB1461"/>
    <w:rsid w:val="00AB1569"/>
    <w:rsid w:val="00AB1913"/>
    <w:rsid w:val="00AB1D9D"/>
    <w:rsid w:val="00AB1F36"/>
    <w:rsid w:val="00AB1FEE"/>
    <w:rsid w:val="00AB26FE"/>
    <w:rsid w:val="00AB28A0"/>
    <w:rsid w:val="00AB28E7"/>
    <w:rsid w:val="00AB29F3"/>
    <w:rsid w:val="00AB2A7B"/>
    <w:rsid w:val="00AB2BE8"/>
    <w:rsid w:val="00AB2D34"/>
    <w:rsid w:val="00AB2DFF"/>
    <w:rsid w:val="00AB2F48"/>
    <w:rsid w:val="00AB3430"/>
    <w:rsid w:val="00AB3572"/>
    <w:rsid w:val="00AB38FA"/>
    <w:rsid w:val="00AB3C1A"/>
    <w:rsid w:val="00AB3D36"/>
    <w:rsid w:val="00AB3DCF"/>
    <w:rsid w:val="00AB41C4"/>
    <w:rsid w:val="00AB4240"/>
    <w:rsid w:val="00AB42A3"/>
    <w:rsid w:val="00AB4422"/>
    <w:rsid w:val="00AB46D3"/>
    <w:rsid w:val="00AB46EC"/>
    <w:rsid w:val="00AB4796"/>
    <w:rsid w:val="00AB4ADA"/>
    <w:rsid w:val="00AB4BB5"/>
    <w:rsid w:val="00AB525A"/>
    <w:rsid w:val="00AB5531"/>
    <w:rsid w:val="00AB5A39"/>
    <w:rsid w:val="00AB5AD4"/>
    <w:rsid w:val="00AB5F92"/>
    <w:rsid w:val="00AB650C"/>
    <w:rsid w:val="00AB65D3"/>
    <w:rsid w:val="00AB6A3E"/>
    <w:rsid w:val="00AB6E38"/>
    <w:rsid w:val="00AB6F59"/>
    <w:rsid w:val="00AB6FB3"/>
    <w:rsid w:val="00AB72C2"/>
    <w:rsid w:val="00AB771F"/>
    <w:rsid w:val="00AB77C5"/>
    <w:rsid w:val="00AB7882"/>
    <w:rsid w:val="00AB7AA0"/>
    <w:rsid w:val="00AB7AC0"/>
    <w:rsid w:val="00AB7B6F"/>
    <w:rsid w:val="00AB7CFA"/>
    <w:rsid w:val="00AB7DE7"/>
    <w:rsid w:val="00AC00DC"/>
    <w:rsid w:val="00AC08E9"/>
    <w:rsid w:val="00AC0AB9"/>
    <w:rsid w:val="00AC0DAE"/>
    <w:rsid w:val="00AC0F94"/>
    <w:rsid w:val="00AC1124"/>
    <w:rsid w:val="00AC137E"/>
    <w:rsid w:val="00AC1497"/>
    <w:rsid w:val="00AC158D"/>
    <w:rsid w:val="00AC1746"/>
    <w:rsid w:val="00AC20B3"/>
    <w:rsid w:val="00AC2138"/>
    <w:rsid w:val="00AC2A5A"/>
    <w:rsid w:val="00AC2BE4"/>
    <w:rsid w:val="00AC2C94"/>
    <w:rsid w:val="00AC346A"/>
    <w:rsid w:val="00AC3548"/>
    <w:rsid w:val="00AC3932"/>
    <w:rsid w:val="00AC3B11"/>
    <w:rsid w:val="00AC3B6F"/>
    <w:rsid w:val="00AC3BB8"/>
    <w:rsid w:val="00AC3BFA"/>
    <w:rsid w:val="00AC3CCB"/>
    <w:rsid w:val="00AC3FE0"/>
    <w:rsid w:val="00AC445B"/>
    <w:rsid w:val="00AC4647"/>
    <w:rsid w:val="00AC4708"/>
    <w:rsid w:val="00AC4969"/>
    <w:rsid w:val="00AC4A70"/>
    <w:rsid w:val="00AC502C"/>
    <w:rsid w:val="00AC52B1"/>
    <w:rsid w:val="00AC53C8"/>
    <w:rsid w:val="00AC59CB"/>
    <w:rsid w:val="00AC5A35"/>
    <w:rsid w:val="00AC5BC8"/>
    <w:rsid w:val="00AC68ED"/>
    <w:rsid w:val="00AC6BC4"/>
    <w:rsid w:val="00AC6D1A"/>
    <w:rsid w:val="00AC6E1C"/>
    <w:rsid w:val="00AC6F2C"/>
    <w:rsid w:val="00AC703E"/>
    <w:rsid w:val="00AC7307"/>
    <w:rsid w:val="00AC73CF"/>
    <w:rsid w:val="00AC7F85"/>
    <w:rsid w:val="00AD03F9"/>
    <w:rsid w:val="00AD043D"/>
    <w:rsid w:val="00AD0457"/>
    <w:rsid w:val="00AD059D"/>
    <w:rsid w:val="00AD080B"/>
    <w:rsid w:val="00AD0916"/>
    <w:rsid w:val="00AD091A"/>
    <w:rsid w:val="00AD096C"/>
    <w:rsid w:val="00AD0CCF"/>
    <w:rsid w:val="00AD0D74"/>
    <w:rsid w:val="00AD1296"/>
    <w:rsid w:val="00AD132A"/>
    <w:rsid w:val="00AD1A6A"/>
    <w:rsid w:val="00AD1FFF"/>
    <w:rsid w:val="00AD2441"/>
    <w:rsid w:val="00AD2991"/>
    <w:rsid w:val="00AD2B68"/>
    <w:rsid w:val="00AD2CDC"/>
    <w:rsid w:val="00AD2D8B"/>
    <w:rsid w:val="00AD38D8"/>
    <w:rsid w:val="00AD39B4"/>
    <w:rsid w:val="00AD3B7F"/>
    <w:rsid w:val="00AD4029"/>
    <w:rsid w:val="00AD40A0"/>
    <w:rsid w:val="00AD4D6C"/>
    <w:rsid w:val="00AD4E0F"/>
    <w:rsid w:val="00AD4E5E"/>
    <w:rsid w:val="00AD4EBB"/>
    <w:rsid w:val="00AD5363"/>
    <w:rsid w:val="00AD5397"/>
    <w:rsid w:val="00AD56EF"/>
    <w:rsid w:val="00AD59F5"/>
    <w:rsid w:val="00AD5AC8"/>
    <w:rsid w:val="00AD5E74"/>
    <w:rsid w:val="00AD64EA"/>
    <w:rsid w:val="00AD6637"/>
    <w:rsid w:val="00AD67A2"/>
    <w:rsid w:val="00AD684A"/>
    <w:rsid w:val="00AD69A1"/>
    <w:rsid w:val="00AD6A1C"/>
    <w:rsid w:val="00AD6CBA"/>
    <w:rsid w:val="00AD6D0E"/>
    <w:rsid w:val="00AD6EBC"/>
    <w:rsid w:val="00AD702C"/>
    <w:rsid w:val="00AD71A4"/>
    <w:rsid w:val="00AD73F7"/>
    <w:rsid w:val="00AD78A5"/>
    <w:rsid w:val="00AD7ACB"/>
    <w:rsid w:val="00AE0328"/>
    <w:rsid w:val="00AE050C"/>
    <w:rsid w:val="00AE086C"/>
    <w:rsid w:val="00AE0937"/>
    <w:rsid w:val="00AE0EE9"/>
    <w:rsid w:val="00AE1029"/>
    <w:rsid w:val="00AE108B"/>
    <w:rsid w:val="00AE15D2"/>
    <w:rsid w:val="00AE1625"/>
    <w:rsid w:val="00AE1BBB"/>
    <w:rsid w:val="00AE1E7B"/>
    <w:rsid w:val="00AE1F01"/>
    <w:rsid w:val="00AE229E"/>
    <w:rsid w:val="00AE2526"/>
    <w:rsid w:val="00AE277A"/>
    <w:rsid w:val="00AE2A67"/>
    <w:rsid w:val="00AE3799"/>
    <w:rsid w:val="00AE39AA"/>
    <w:rsid w:val="00AE3AB6"/>
    <w:rsid w:val="00AE3AD6"/>
    <w:rsid w:val="00AE3E8F"/>
    <w:rsid w:val="00AE3EC0"/>
    <w:rsid w:val="00AE3F75"/>
    <w:rsid w:val="00AE3FD5"/>
    <w:rsid w:val="00AE4054"/>
    <w:rsid w:val="00AE4108"/>
    <w:rsid w:val="00AE4232"/>
    <w:rsid w:val="00AE431A"/>
    <w:rsid w:val="00AE43E6"/>
    <w:rsid w:val="00AE4805"/>
    <w:rsid w:val="00AE487A"/>
    <w:rsid w:val="00AE5474"/>
    <w:rsid w:val="00AE55F9"/>
    <w:rsid w:val="00AE5772"/>
    <w:rsid w:val="00AE57D2"/>
    <w:rsid w:val="00AE5968"/>
    <w:rsid w:val="00AE5A42"/>
    <w:rsid w:val="00AE5E5A"/>
    <w:rsid w:val="00AE6186"/>
    <w:rsid w:val="00AE61DF"/>
    <w:rsid w:val="00AE6263"/>
    <w:rsid w:val="00AE62E9"/>
    <w:rsid w:val="00AE69AB"/>
    <w:rsid w:val="00AE6D23"/>
    <w:rsid w:val="00AE7273"/>
    <w:rsid w:val="00AE72FF"/>
    <w:rsid w:val="00AE741F"/>
    <w:rsid w:val="00AE75A0"/>
    <w:rsid w:val="00AE78B0"/>
    <w:rsid w:val="00AE7B17"/>
    <w:rsid w:val="00AE7B96"/>
    <w:rsid w:val="00AE7BBC"/>
    <w:rsid w:val="00AF00BB"/>
    <w:rsid w:val="00AF0353"/>
    <w:rsid w:val="00AF054C"/>
    <w:rsid w:val="00AF079B"/>
    <w:rsid w:val="00AF0955"/>
    <w:rsid w:val="00AF0A31"/>
    <w:rsid w:val="00AF0B1B"/>
    <w:rsid w:val="00AF1686"/>
    <w:rsid w:val="00AF1B00"/>
    <w:rsid w:val="00AF1B47"/>
    <w:rsid w:val="00AF1ED9"/>
    <w:rsid w:val="00AF2268"/>
    <w:rsid w:val="00AF263D"/>
    <w:rsid w:val="00AF265C"/>
    <w:rsid w:val="00AF26FA"/>
    <w:rsid w:val="00AF322C"/>
    <w:rsid w:val="00AF36A4"/>
    <w:rsid w:val="00AF36AF"/>
    <w:rsid w:val="00AF3914"/>
    <w:rsid w:val="00AF4299"/>
    <w:rsid w:val="00AF44A8"/>
    <w:rsid w:val="00AF45EE"/>
    <w:rsid w:val="00AF51AE"/>
    <w:rsid w:val="00AF524C"/>
    <w:rsid w:val="00AF57FA"/>
    <w:rsid w:val="00AF5DFC"/>
    <w:rsid w:val="00AF6090"/>
    <w:rsid w:val="00AF60C9"/>
    <w:rsid w:val="00AF61A7"/>
    <w:rsid w:val="00AF6253"/>
    <w:rsid w:val="00AF628A"/>
    <w:rsid w:val="00AF63B7"/>
    <w:rsid w:val="00AF64E1"/>
    <w:rsid w:val="00AF66D0"/>
    <w:rsid w:val="00AF6769"/>
    <w:rsid w:val="00AF67FD"/>
    <w:rsid w:val="00AF6E1D"/>
    <w:rsid w:val="00AF707C"/>
    <w:rsid w:val="00AF7343"/>
    <w:rsid w:val="00AF737F"/>
    <w:rsid w:val="00AF7380"/>
    <w:rsid w:val="00AF7432"/>
    <w:rsid w:val="00AF7534"/>
    <w:rsid w:val="00AF7770"/>
    <w:rsid w:val="00AF77C0"/>
    <w:rsid w:val="00B001DE"/>
    <w:rsid w:val="00B00220"/>
    <w:rsid w:val="00B003C0"/>
    <w:rsid w:val="00B00762"/>
    <w:rsid w:val="00B00947"/>
    <w:rsid w:val="00B00C0B"/>
    <w:rsid w:val="00B00C94"/>
    <w:rsid w:val="00B00E7F"/>
    <w:rsid w:val="00B00F8C"/>
    <w:rsid w:val="00B00FC0"/>
    <w:rsid w:val="00B0123E"/>
    <w:rsid w:val="00B01533"/>
    <w:rsid w:val="00B0180E"/>
    <w:rsid w:val="00B01AC8"/>
    <w:rsid w:val="00B01FDB"/>
    <w:rsid w:val="00B0225E"/>
    <w:rsid w:val="00B022FA"/>
    <w:rsid w:val="00B029C0"/>
    <w:rsid w:val="00B02BF6"/>
    <w:rsid w:val="00B02FFC"/>
    <w:rsid w:val="00B03154"/>
    <w:rsid w:val="00B03229"/>
    <w:rsid w:val="00B03A8B"/>
    <w:rsid w:val="00B03DCA"/>
    <w:rsid w:val="00B04DA9"/>
    <w:rsid w:val="00B0505B"/>
    <w:rsid w:val="00B0506B"/>
    <w:rsid w:val="00B055A0"/>
    <w:rsid w:val="00B05648"/>
    <w:rsid w:val="00B056C9"/>
    <w:rsid w:val="00B059D5"/>
    <w:rsid w:val="00B05ADE"/>
    <w:rsid w:val="00B05B40"/>
    <w:rsid w:val="00B05B42"/>
    <w:rsid w:val="00B05C92"/>
    <w:rsid w:val="00B05DF2"/>
    <w:rsid w:val="00B05EF5"/>
    <w:rsid w:val="00B05F17"/>
    <w:rsid w:val="00B061DF"/>
    <w:rsid w:val="00B062F8"/>
    <w:rsid w:val="00B0651A"/>
    <w:rsid w:val="00B06825"/>
    <w:rsid w:val="00B069C5"/>
    <w:rsid w:val="00B06D75"/>
    <w:rsid w:val="00B06E54"/>
    <w:rsid w:val="00B06E56"/>
    <w:rsid w:val="00B0702D"/>
    <w:rsid w:val="00B070CF"/>
    <w:rsid w:val="00B07170"/>
    <w:rsid w:val="00B071EB"/>
    <w:rsid w:val="00B076A2"/>
    <w:rsid w:val="00B07748"/>
    <w:rsid w:val="00B07974"/>
    <w:rsid w:val="00B1003A"/>
    <w:rsid w:val="00B10077"/>
    <w:rsid w:val="00B101D0"/>
    <w:rsid w:val="00B10571"/>
    <w:rsid w:val="00B107DE"/>
    <w:rsid w:val="00B10C6B"/>
    <w:rsid w:val="00B10D55"/>
    <w:rsid w:val="00B10FDB"/>
    <w:rsid w:val="00B11330"/>
    <w:rsid w:val="00B114E1"/>
    <w:rsid w:val="00B114F2"/>
    <w:rsid w:val="00B1152D"/>
    <w:rsid w:val="00B11538"/>
    <w:rsid w:val="00B11801"/>
    <w:rsid w:val="00B11FDE"/>
    <w:rsid w:val="00B11FEE"/>
    <w:rsid w:val="00B12352"/>
    <w:rsid w:val="00B12833"/>
    <w:rsid w:val="00B12888"/>
    <w:rsid w:val="00B128B5"/>
    <w:rsid w:val="00B12941"/>
    <w:rsid w:val="00B1296A"/>
    <w:rsid w:val="00B12B4C"/>
    <w:rsid w:val="00B12DC7"/>
    <w:rsid w:val="00B13350"/>
    <w:rsid w:val="00B1345C"/>
    <w:rsid w:val="00B13473"/>
    <w:rsid w:val="00B13712"/>
    <w:rsid w:val="00B13791"/>
    <w:rsid w:val="00B137A8"/>
    <w:rsid w:val="00B13AA9"/>
    <w:rsid w:val="00B13E84"/>
    <w:rsid w:val="00B13F2D"/>
    <w:rsid w:val="00B14149"/>
    <w:rsid w:val="00B14437"/>
    <w:rsid w:val="00B14A2E"/>
    <w:rsid w:val="00B14B44"/>
    <w:rsid w:val="00B14CA9"/>
    <w:rsid w:val="00B14E7B"/>
    <w:rsid w:val="00B15070"/>
    <w:rsid w:val="00B1515A"/>
    <w:rsid w:val="00B15CC9"/>
    <w:rsid w:val="00B15EEC"/>
    <w:rsid w:val="00B160E8"/>
    <w:rsid w:val="00B161ED"/>
    <w:rsid w:val="00B162BD"/>
    <w:rsid w:val="00B1634C"/>
    <w:rsid w:val="00B16624"/>
    <w:rsid w:val="00B16777"/>
    <w:rsid w:val="00B169C2"/>
    <w:rsid w:val="00B169D0"/>
    <w:rsid w:val="00B16B03"/>
    <w:rsid w:val="00B17157"/>
    <w:rsid w:val="00B171E1"/>
    <w:rsid w:val="00B175EC"/>
    <w:rsid w:val="00B17A19"/>
    <w:rsid w:val="00B17BEC"/>
    <w:rsid w:val="00B17C71"/>
    <w:rsid w:val="00B17D14"/>
    <w:rsid w:val="00B17EAA"/>
    <w:rsid w:val="00B20566"/>
    <w:rsid w:val="00B20AAF"/>
    <w:rsid w:val="00B20E47"/>
    <w:rsid w:val="00B20EA4"/>
    <w:rsid w:val="00B21152"/>
    <w:rsid w:val="00B2118D"/>
    <w:rsid w:val="00B211D5"/>
    <w:rsid w:val="00B2131C"/>
    <w:rsid w:val="00B21370"/>
    <w:rsid w:val="00B2182F"/>
    <w:rsid w:val="00B21A62"/>
    <w:rsid w:val="00B21A8A"/>
    <w:rsid w:val="00B21C60"/>
    <w:rsid w:val="00B21C81"/>
    <w:rsid w:val="00B21DEB"/>
    <w:rsid w:val="00B21FAF"/>
    <w:rsid w:val="00B220ED"/>
    <w:rsid w:val="00B222FE"/>
    <w:rsid w:val="00B22700"/>
    <w:rsid w:val="00B22932"/>
    <w:rsid w:val="00B22A85"/>
    <w:rsid w:val="00B22AFD"/>
    <w:rsid w:val="00B22DC8"/>
    <w:rsid w:val="00B22EF0"/>
    <w:rsid w:val="00B231F3"/>
    <w:rsid w:val="00B23474"/>
    <w:rsid w:val="00B234FB"/>
    <w:rsid w:val="00B23FE0"/>
    <w:rsid w:val="00B2406F"/>
    <w:rsid w:val="00B240A4"/>
    <w:rsid w:val="00B2441A"/>
    <w:rsid w:val="00B244FA"/>
    <w:rsid w:val="00B245B9"/>
    <w:rsid w:val="00B24AA9"/>
    <w:rsid w:val="00B24D4E"/>
    <w:rsid w:val="00B25092"/>
    <w:rsid w:val="00B259E2"/>
    <w:rsid w:val="00B25A36"/>
    <w:rsid w:val="00B260D6"/>
    <w:rsid w:val="00B262C5"/>
    <w:rsid w:val="00B2637C"/>
    <w:rsid w:val="00B26783"/>
    <w:rsid w:val="00B269DB"/>
    <w:rsid w:val="00B26AC0"/>
    <w:rsid w:val="00B26DDD"/>
    <w:rsid w:val="00B27016"/>
    <w:rsid w:val="00B27756"/>
    <w:rsid w:val="00B27A5A"/>
    <w:rsid w:val="00B27FE4"/>
    <w:rsid w:val="00B3013F"/>
    <w:rsid w:val="00B3029D"/>
    <w:rsid w:val="00B30643"/>
    <w:rsid w:val="00B306BA"/>
    <w:rsid w:val="00B307C2"/>
    <w:rsid w:val="00B308C8"/>
    <w:rsid w:val="00B30975"/>
    <w:rsid w:val="00B30AC4"/>
    <w:rsid w:val="00B31025"/>
    <w:rsid w:val="00B314AD"/>
    <w:rsid w:val="00B31A96"/>
    <w:rsid w:val="00B31B90"/>
    <w:rsid w:val="00B31C29"/>
    <w:rsid w:val="00B322AA"/>
    <w:rsid w:val="00B32317"/>
    <w:rsid w:val="00B32625"/>
    <w:rsid w:val="00B3277A"/>
    <w:rsid w:val="00B32850"/>
    <w:rsid w:val="00B3307E"/>
    <w:rsid w:val="00B334C3"/>
    <w:rsid w:val="00B337EE"/>
    <w:rsid w:val="00B338B2"/>
    <w:rsid w:val="00B33AFE"/>
    <w:rsid w:val="00B33D0B"/>
    <w:rsid w:val="00B33D29"/>
    <w:rsid w:val="00B341E7"/>
    <w:rsid w:val="00B342E1"/>
    <w:rsid w:val="00B34544"/>
    <w:rsid w:val="00B345C6"/>
    <w:rsid w:val="00B34686"/>
    <w:rsid w:val="00B349BC"/>
    <w:rsid w:val="00B34E7A"/>
    <w:rsid w:val="00B350FE"/>
    <w:rsid w:val="00B35234"/>
    <w:rsid w:val="00B35278"/>
    <w:rsid w:val="00B355FC"/>
    <w:rsid w:val="00B3581E"/>
    <w:rsid w:val="00B358FB"/>
    <w:rsid w:val="00B35CD9"/>
    <w:rsid w:val="00B35D86"/>
    <w:rsid w:val="00B35F01"/>
    <w:rsid w:val="00B3693D"/>
    <w:rsid w:val="00B36A2F"/>
    <w:rsid w:val="00B36C44"/>
    <w:rsid w:val="00B36C86"/>
    <w:rsid w:val="00B36E8A"/>
    <w:rsid w:val="00B3730D"/>
    <w:rsid w:val="00B37E8C"/>
    <w:rsid w:val="00B37F9C"/>
    <w:rsid w:val="00B40000"/>
    <w:rsid w:val="00B40008"/>
    <w:rsid w:val="00B4008C"/>
    <w:rsid w:val="00B4017F"/>
    <w:rsid w:val="00B4058C"/>
    <w:rsid w:val="00B40CE4"/>
    <w:rsid w:val="00B4115F"/>
    <w:rsid w:val="00B4166D"/>
    <w:rsid w:val="00B419CA"/>
    <w:rsid w:val="00B41BBB"/>
    <w:rsid w:val="00B41F46"/>
    <w:rsid w:val="00B41F99"/>
    <w:rsid w:val="00B42157"/>
    <w:rsid w:val="00B422A6"/>
    <w:rsid w:val="00B423AF"/>
    <w:rsid w:val="00B4271B"/>
    <w:rsid w:val="00B42851"/>
    <w:rsid w:val="00B429F9"/>
    <w:rsid w:val="00B42BDF"/>
    <w:rsid w:val="00B42E23"/>
    <w:rsid w:val="00B430B5"/>
    <w:rsid w:val="00B43475"/>
    <w:rsid w:val="00B435E9"/>
    <w:rsid w:val="00B43752"/>
    <w:rsid w:val="00B4394F"/>
    <w:rsid w:val="00B43B08"/>
    <w:rsid w:val="00B43C61"/>
    <w:rsid w:val="00B43CD3"/>
    <w:rsid w:val="00B43DE4"/>
    <w:rsid w:val="00B43E17"/>
    <w:rsid w:val="00B43F4F"/>
    <w:rsid w:val="00B44132"/>
    <w:rsid w:val="00B44508"/>
    <w:rsid w:val="00B4461C"/>
    <w:rsid w:val="00B44779"/>
    <w:rsid w:val="00B449B0"/>
    <w:rsid w:val="00B449D3"/>
    <w:rsid w:val="00B44DC9"/>
    <w:rsid w:val="00B45468"/>
    <w:rsid w:val="00B455C9"/>
    <w:rsid w:val="00B45AED"/>
    <w:rsid w:val="00B45BB3"/>
    <w:rsid w:val="00B45E48"/>
    <w:rsid w:val="00B46309"/>
    <w:rsid w:val="00B466D2"/>
    <w:rsid w:val="00B46797"/>
    <w:rsid w:val="00B4693D"/>
    <w:rsid w:val="00B46B79"/>
    <w:rsid w:val="00B4736F"/>
    <w:rsid w:val="00B4780F"/>
    <w:rsid w:val="00B4783E"/>
    <w:rsid w:val="00B478A9"/>
    <w:rsid w:val="00B47A2F"/>
    <w:rsid w:val="00B47B49"/>
    <w:rsid w:val="00B5004D"/>
    <w:rsid w:val="00B5040F"/>
    <w:rsid w:val="00B50916"/>
    <w:rsid w:val="00B50B53"/>
    <w:rsid w:val="00B50DB8"/>
    <w:rsid w:val="00B50FC9"/>
    <w:rsid w:val="00B5114F"/>
    <w:rsid w:val="00B5171D"/>
    <w:rsid w:val="00B51999"/>
    <w:rsid w:val="00B5207A"/>
    <w:rsid w:val="00B520BD"/>
    <w:rsid w:val="00B52397"/>
    <w:rsid w:val="00B52E19"/>
    <w:rsid w:val="00B52F46"/>
    <w:rsid w:val="00B52FAD"/>
    <w:rsid w:val="00B52FDA"/>
    <w:rsid w:val="00B5300E"/>
    <w:rsid w:val="00B5310C"/>
    <w:rsid w:val="00B531B9"/>
    <w:rsid w:val="00B531E0"/>
    <w:rsid w:val="00B533E2"/>
    <w:rsid w:val="00B5356E"/>
    <w:rsid w:val="00B536EA"/>
    <w:rsid w:val="00B53849"/>
    <w:rsid w:val="00B5387D"/>
    <w:rsid w:val="00B53905"/>
    <w:rsid w:val="00B53BD7"/>
    <w:rsid w:val="00B53DF0"/>
    <w:rsid w:val="00B53E10"/>
    <w:rsid w:val="00B53EA4"/>
    <w:rsid w:val="00B53F7F"/>
    <w:rsid w:val="00B54162"/>
    <w:rsid w:val="00B541C9"/>
    <w:rsid w:val="00B54201"/>
    <w:rsid w:val="00B542E7"/>
    <w:rsid w:val="00B545D5"/>
    <w:rsid w:val="00B54A42"/>
    <w:rsid w:val="00B54A9C"/>
    <w:rsid w:val="00B54B5B"/>
    <w:rsid w:val="00B5509A"/>
    <w:rsid w:val="00B553D1"/>
    <w:rsid w:val="00B5549F"/>
    <w:rsid w:val="00B5562E"/>
    <w:rsid w:val="00B558AE"/>
    <w:rsid w:val="00B55BAB"/>
    <w:rsid w:val="00B55F46"/>
    <w:rsid w:val="00B56553"/>
    <w:rsid w:val="00B56622"/>
    <w:rsid w:val="00B5672C"/>
    <w:rsid w:val="00B568EE"/>
    <w:rsid w:val="00B56CE5"/>
    <w:rsid w:val="00B56ECC"/>
    <w:rsid w:val="00B56EEA"/>
    <w:rsid w:val="00B57000"/>
    <w:rsid w:val="00B572D0"/>
    <w:rsid w:val="00B5735A"/>
    <w:rsid w:val="00B57789"/>
    <w:rsid w:val="00B60098"/>
    <w:rsid w:val="00B60248"/>
    <w:rsid w:val="00B608E7"/>
    <w:rsid w:val="00B60939"/>
    <w:rsid w:val="00B60967"/>
    <w:rsid w:val="00B60AFD"/>
    <w:rsid w:val="00B60B7E"/>
    <w:rsid w:val="00B60E63"/>
    <w:rsid w:val="00B612CA"/>
    <w:rsid w:val="00B614A0"/>
    <w:rsid w:val="00B6169B"/>
    <w:rsid w:val="00B6171A"/>
    <w:rsid w:val="00B61B60"/>
    <w:rsid w:val="00B61E73"/>
    <w:rsid w:val="00B61EEC"/>
    <w:rsid w:val="00B622B0"/>
    <w:rsid w:val="00B622E6"/>
    <w:rsid w:val="00B622F4"/>
    <w:rsid w:val="00B623C4"/>
    <w:rsid w:val="00B623F0"/>
    <w:rsid w:val="00B62715"/>
    <w:rsid w:val="00B627D0"/>
    <w:rsid w:val="00B62908"/>
    <w:rsid w:val="00B62D26"/>
    <w:rsid w:val="00B62E8B"/>
    <w:rsid w:val="00B62F4D"/>
    <w:rsid w:val="00B6303D"/>
    <w:rsid w:val="00B632D9"/>
    <w:rsid w:val="00B63683"/>
    <w:rsid w:val="00B638B4"/>
    <w:rsid w:val="00B63C9E"/>
    <w:rsid w:val="00B6405A"/>
    <w:rsid w:val="00B64080"/>
    <w:rsid w:val="00B64241"/>
    <w:rsid w:val="00B64360"/>
    <w:rsid w:val="00B64703"/>
    <w:rsid w:val="00B64B27"/>
    <w:rsid w:val="00B64B55"/>
    <w:rsid w:val="00B64D95"/>
    <w:rsid w:val="00B64DBB"/>
    <w:rsid w:val="00B64E64"/>
    <w:rsid w:val="00B64E7E"/>
    <w:rsid w:val="00B65102"/>
    <w:rsid w:val="00B6544F"/>
    <w:rsid w:val="00B65549"/>
    <w:rsid w:val="00B65909"/>
    <w:rsid w:val="00B6592E"/>
    <w:rsid w:val="00B65F85"/>
    <w:rsid w:val="00B6638C"/>
    <w:rsid w:val="00B665FD"/>
    <w:rsid w:val="00B6669A"/>
    <w:rsid w:val="00B66A4F"/>
    <w:rsid w:val="00B66B86"/>
    <w:rsid w:val="00B6711F"/>
    <w:rsid w:val="00B671E4"/>
    <w:rsid w:val="00B6738E"/>
    <w:rsid w:val="00B67668"/>
    <w:rsid w:val="00B678DA"/>
    <w:rsid w:val="00B67A05"/>
    <w:rsid w:val="00B70280"/>
    <w:rsid w:val="00B7044B"/>
    <w:rsid w:val="00B7082E"/>
    <w:rsid w:val="00B70BC7"/>
    <w:rsid w:val="00B70E29"/>
    <w:rsid w:val="00B70FC9"/>
    <w:rsid w:val="00B712FC"/>
    <w:rsid w:val="00B71CF5"/>
    <w:rsid w:val="00B72089"/>
    <w:rsid w:val="00B72388"/>
    <w:rsid w:val="00B72928"/>
    <w:rsid w:val="00B72984"/>
    <w:rsid w:val="00B729E9"/>
    <w:rsid w:val="00B72BAA"/>
    <w:rsid w:val="00B72C77"/>
    <w:rsid w:val="00B72E3F"/>
    <w:rsid w:val="00B73008"/>
    <w:rsid w:val="00B7307C"/>
    <w:rsid w:val="00B732C1"/>
    <w:rsid w:val="00B7353E"/>
    <w:rsid w:val="00B736D1"/>
    <w:rsid w:val="00B7394D"/>
    <w:rsid w:val="00B74059"/>
    <w:rsid w:val="00B741FA"/>
    <w:rsid w:val="00B74300"/>
    <w:rsid w:val="00B74377"/>
    <w:rsid w:val="00B7456E"/>
    <w:rsid w:val="00B74ACD"/>
    <w:rsid w:val="00B74F15"/>
    <w:rsid w:val="00B74FEF"/>
    <w:rsid w:val="00B757F0"/>
    <w:rsid w:val="00B758E5"/>
    <w:rsid w:val="00B75924"/>
    <w:rsid w:val="00B75942"/>
    <w:rsid w:val="00B75E50"/>
    <w:rsid w:val="00B760E6"/>
    <w:rsid w:val="00B7620A"/>
    <w:rsid w:val="00B76943"/>
    <w:rsid w:val="00B77625"/>
    <w:rsid w:val="00B776BB"/>
    <w:rsid w:val="00B777B9"/>
    <w:rsid w:val="00B77956"/>
    <w:rsid w:val="00B779CC"/>
    <w:rsid w:val="00B77D31"/>
    <w:rsid w:val="00B77EFE"/>
    <w:rsid w:val="00B804B8"/>
    <w:rsid w:val="00B80594"/>
    <w:rsid w:val="00B808EA"/>
    <w:rsid w:val="00B8097B"/>
    <w:rsid w:val="00B80E33"/>
    <w:rsid w:val="00B810CE"/>
    <w:rsid w:val="00B81214"/>
    <w:rsid w:val="00B81289"/>
    <w:rsid w:val="00B8156C"/>
    <w:rsid w:val="00B81885"/>
    <w:rsid w:val="00B818A4"/>
    <w:rsid w:val="00B81C1C"/>
    <w:rsid w:val="00B820EE"/>
    <w:rsid w:val="00B82508"/>
    <w:rsid w:val="00B82A69"/>
    <w:rsid w:val="00B82F91"/>
    <w:rsid w:val="00B82FB0"/>
    <w:rsid w:val="00B830CA"/>
    <w:rsid w:val="00B832F3"/>
    <w:rsid w:val="00B83302"/>
    <w:rsid w:val="00B8347E"/>
    <w:rsid w:val="00B8347F"/>
    <w:rsid w:val="00B83538"/>
    <w:rsid w:val="00B8355D"/>
    <w:rsid w:val="00B83566"/>
    <w:rsid w:val="00B83665"/>
    <w:rsid w:val="00B83B41"/>
    <w:rsid w:val="00B83BD0"/>
    <w:rsid w:val="00B83D95"/>
    <w:rsid w:val="00B83D98"/>
    <w:rsid w:val="00B83EAB"/>
    <w:rsid w:val="00B8453E"/>
    <w:rsid w:val="00B846F1"/>
    <w:rsid w:val="00B84EA9"/>
    <w:rsid w:val="00B852DC"/>
    <w:rsid w:val="00B85B50"/>
    <w:rsid w:val="00B85D0B"/>
    <w:rsid w:val="00B85D1F"/>
    <w:rsid w:val="00B85F1C"/>
    <w:rsid w:val="00B8601C"/>
    <w:rsid w:val="00B86023"/>
    <w:rsid w:val="00B860AC"/>
    <w:rsid w:val="00B86162"/>
    <w:rsid w:val="00B861BA"/>
    <w:rsid w:val="00B862B9"/>
    <w:rsid w:val="00B8649C"/>
    <w:rsid w:val="00B866B5"/>
    <w:rsid w:val="00B869F1"/>
    <w:rsid w:val="00B86BC6"/>
    <w:rsid w:val="00B86CA2"/>
    <w:rsid w:val="00B8708F"/>
    <w:rsid w:val="00B870CF"/>
    <w:rsid w:val="00B872D1"/>
    <w:rsid w:val="00B87672"/>
    <w:rsid w:val="00B87AA4"/>
    <w:rsid w:val="00B87AAA"/>
    <w:rsid w:val="00B87C23"/>
    <w:rsid w:val="00B87CD6"/>
    <w:rsid w:val="00B87CE3"/>
    <w:rsid w:val="00B87E3D"/>
    <w:rsid w:val="00B90080"/>
    <w:rsid w:val="00B90627"/>
    <w:rsid w:val="00B9132F"/>
    <w:rsid w:val="00B924A8"/>
    <w:rsid w:val="00B925C0"/>
    <w:rsid w:val="00B926EB"/>
    <w:rsid w:val="00B929E2"/>
    <w:rsid w:val="00B92AEC"/>
    <w:rsid w:val="00B92D0B"/>
    <w:rsid w:val="00B932CC"/>
    <w:rsid w:val="00B93393"/>
    <w:rsid w:val="00B9349B"/>
    <w:rsid w:val="00B936C2"/>
    <w:rsid w:val="00B93732"/>
    <w:rsid w:val="00B9397D"/>
    <w:rsid w:val="00B93F21"/>
    <w:rsid w:val="00B93F47"/>
    <w:rsid w:val="00B9426E"/>
    <w:rsid w:val="00B94513"/>
    <w:rsid w:val="00B94762"/>
    <w:rsid w:val="00B948AD"/>
    <w:rsid w:val="00B94945"/>
    <w:rsid w:val="00B94B43"/>
    <w:rsid w:val="00B94D11"/>
    <w:rsid w:val="00B953F2"/>
    <w:rsid w:val="00B956D4"/>
    <w:rsid w:val="00B95750"/>
    <w:rsid w:val="00B9579A"/>
    <w:rsid w:val="00B958E5"/>
    <w:rsid w:val="00B95CAF"/>
    <w:rsid w:val="00B95E11"/>
    <w:rsid w:val="00B95F10"/>
    <w:rsid w:val="00B95FDB"/>
    <w:rsid w:val="00B96762"/>
    <w:rsid w:val="00B96927"/>
    <w:rsid w:val="00B96A50"/>
    <w:rsid w:val="00B97138"/>
    <w:rsid w:val="00B973B6"/>
    <w:rsid w:val="00B974F3"/>
    <w:rsid w:val="00B97594"/>
    <w:rsid w:val="00B9760F"/>
    <w:rsid w:val="00B97955"/>
    <w:rsid w:val="00B97BA5"/>
    <w:rsid w:val="00B97DB0"/>
    <w:rsid w:val="00BA0019"/>
    <w:rsid w:val="00BA0763"/>
    <w:rsid w:val="00BA08F5"/>
    <w:rsid w:val="00BA0976"/>
    <w:rsid w:val="00BA0A44"/>
    <w:rsid w:val="00BA0C16"/>
    <w:rsid w:val="00BA1DF1"/>
    <w:rsid w:val="00BA1E5B"/>
    <w:rsid w:val="00BA2141"/>
    <w:rsid w:val="00BA24B9"/>
    <w:rsid w:val="00BA2595"/>
    <w:rsid w:val="00BA2D72"/>
    <w:rsid w:val="00BA2EDF"/>
    <w:rsid w:val="00BA338D"/>
    <w:rsid w:val="00BA342B"/>
    <w:rsid w:val="00BA342F"/>
    <w:rsid w:val="00BA36E8"/>
    <w:rsid w:val="00BA389B"/>
    <w:rsid w:val="00BA395D"/>
    <w:rsid w:val="00BA3CCC"/>
    <w:rsid w:val="00BA3D4A"/>
    <w:rsid w:val="00BA3DC2"/>
    <w:rsid w:val="00BA448C"/>
    <w:rsid w:val="00BA4553"/>
    <w:rsid w:val="00BA4662"/>
    <w:rsid w:val="00BA46C6"/>
    <w:rsid w:val="00BA4AA0"/>
    <w:rsid w:val="00BA4C4D"/>
    <w:rsid w:val="00BA53C2"/>
    <w:rsid w:val="00BA551C"/>
    <w:rsid w:val="00BA571A"/>
    <w:rsid w:val="00BA57A4"/>
    <w:rsid w:val="00BA5F25"/>
    <w:rsid w:val="00BA5FA6"/>
    <w:rsid w:val="00BA6196"/>
    <w:rsid w:val="00BA635F"/>
    <w:rsid w:val="00BA6807"/>
    <w:rsid w:val="00BA69C0"/>
    <w:rsid w:val="00BA6B20"/>
    <w:rsid w:val="00BA7650"/>
    <w:rsid w:val="00BA78D2"/>
    <w:rsid w:val="00BB0241"/>
    <w:rsid w:val="00BB0252"/>
    <w:rsid w:val="00BB0310"/>
    <w:rsid w:val="00BB04BB"/>
    <w:rsid w:val="00BB04D9"/>
    <w:rsid w:val="00BB056B"/>
    <w:rsid w:val="00BB0919"/>
    <w:rsid w:val="00BB09E5"/>
    <w:rsid w:val="00BB12CF"/>
    <w:rsid w:val="00BB1307"/>
    <w:rsid w:val="00BB1339"/>
    <w:rsid w:val="00BB164B"/>
    <w:rsid w:val="00BB17BE"/>
    <w:rsid w:val="00BB1916"/>
    <w:rsid w:val="00BB1AFC"/>
    <w:rsid w:val="00BB1D55"/>
    <w:rsid w:val="00BB1E2A"/>
    <w:rsid w:val="00BB2187"/>
    <w:rsid w:val="00BB2406"/>
    <w:rsid w:val="00BB286E"/>
    <w:rsid w:val="00BB2FD2"/>
    <w:rsid w:val="00BB3B01"/>
    <w:rsid w:val="00BB432B"/>
    <w:rsid w:val="00BB466E"/>
    <w:rsid w:val="00BB486B"/>
    <w:rsid w:val="00BB4A12"/>
    <w:rsid w:val="00BB4BA1"/>
    <w:rsid w:val="00BB4C52"/>
    <w:rsid w:val="00BB501A"/>
    <w:rsid w:val="00BB51E1"/>
    <w:rsid w:val="00BB581A"/>
    <w:rsid w:val="00BB5C06"/>
    <w:rsid w:val="00BB5D5F"/>
    <w:rsid w:val="00BB61CC"/>
    <w:rsid w:val="00BB620F"/>
    <w:rsid w:val="00BB657B"/>
    <w:rsid w:val="00BB65A2"/>
    <w:rsid w:val="00BB7179"/>
    <w:rsid w:val="00BB733D"/>
    <w:rsid w:val="00BB73A8"/>
    <w:rsid w:val="00BB7405"/>
    <w:rsid w:val="00BB7783"/>
    <w:rsid w:val="00BB7896"/>
    <w:rsid w:val="00BB7DB6"/>
    <w:rsid w:val="00BB7FC8"/>
    <w:rsid w:val="00BC0871"/>
    <w:rsid w:val="00BC09C4"/>
    <w:rsid w:val="00BC0AAA"/>
    <w:rsid w:val="00BC0DBD"/>
    <w:rsid w:val="00BC0F26"/>
    <w:rsid w:val="00BC11D7"/>
    <w:rsid w:val="00BC1426"/>
    <w:rsid w:val="00BC15B3"/>
    <w:rsid w:val="00BC1755"/>
    <w:rsid w:val="00BC17A6"/>
    <w:rsid w:val="00BC17BA"/>
    <w:rsid w:val="00BC187A"/>
    <w:rsid w:val="00BC199C"/>
    <w:rsid w:val="00BC19BE"/>
    <w:rsid w:val="00BC1C5A"/>
    <w:rsid w:val="00BC1DA0"/>
    <w:rsid w:val="00BC1F74"/>
    <w:rsid w:val="00BC255E"/>
    <w:rsid w:val="00BC2B0F"/>
    <w:rsid w:val="00BC2C64"/>
    <w:rsid w:val="00BC2EC9"/>
    <w:rsid w:val="00BC2F5E"/>
    <w:rsid w:val="00BC2FFE"/>
    <w:rsid w:val="00BC307B"/>
    <w:rsid w:val="00BC3283"/>
    <w:rsid w:val="00BC328E"/>
    <w:rsid w:val="00BC3345"/>
    <w:rsid w:val="00BC351E"/>
    <w:rsid w:val="00BC37BB"/>
    <w:rsid w:val="00BC3DCD"/>
    <w:rsid w:val="00BC3DDA"/>
    <w:rsid w:val="00BC43F2"/>
    <w:rsid w:val="00BC4559"/>
    <w:rsid w:val="00BC476B"/>
    <w:rsid w:val="00BC4884"/>
    <w:rsid w:val="00BC4C0F"/>
    <w:rsid w:val="00BC4CAB"/>
    <w:rsid w:val="00BC4CB9"/>
    <w:rsid w:val="00BC4D04"/>
    <w:rsid w:val="00BC4F6A"/>
    <w:rsid w:val="00BC4FE6"/>
    <w:rsid w:val="00BC5074"/>
    <w:rsid w:val="00BC57BD"/>
    <w:rsid w:val="00BC5837"/>
    <w:rsid w:val="00BC5A0C"/>
    <w:rsid w:val="00BC5AF7"/>
    <w:rsid w:val="00BC5C4A"/>
    <w:rsid w:val="00BC5E98"/>
    <w:rsid w:val="00BC5EF8"/>
    <w:rsid w:val="00BC626E"/>
    <w:rsid w:val="00BC6ED1"/>
    <w:rsid w:val="00BC74EC"/>
    <w:rsid w:val="00BC75FF"/>
    <w:rsid w:val="00BC78E7"/>
    <w:rsid w:val="00BC79A7"/>
    <w:rsid w:val="00BD001D"/>
    <w:rsid w:val="00BD0109"/>
    <w:rsid w:val="00BD073D"/>
    <w:rsid w:val="00BD0903"/>
    <w:rsid w:val="00BD091F"/>
    <w:rsid w:val="00BD0C43"/>
    <w:rsid w:val="00BD12A5"/>
    <w:rsid w:val="00BD12DB"/>
    <w:rsid w:val="00BD1490"/>
    <w:rsid w:val="00BD15EC"/>
    <w:rsid w:val="00BD1623"/>
    <w:rsid w:val="00BD1A37"/>
    <w:rsid w:val="00BD1AE7"/>
    <w:rsid w:val="00BD1D8D"/>
    <w:rsid w:val="00BD218D"/>
    <w:rsid w:val="00BD22AC"/>
    <w:rsid w:val="00BD22B2"/>
    <w:rsid w:val="00BD2749"/>
    <w:rsid w:val="00BD274C"/>
    <w:rsid w:val="00BD29F3"/>
    <w:rsid w:val="00BD2C1E"/>
    <w:rsid w:val="00BD2E1B"/>
    <w:rsid w:val="00BD309B"/>
    <w:rsid w:val="00BD33C9"/>
    <w:rsid w:val="00BD3718"/>
    <w:rsid w:val="00BD4241"/>
    <w:rsid w:val="00BD4379"/>
    <w:rsid w:val="00BD443B"/>
    <w:rsid w:val="00BD4566"/>
    <w:rsid w:val="00BD4639"/>
    <w:rsid w:val="00BD4821"/>
    <w:rsid w:val="00BD4A3A"/>
    <w:rsid w:val="00BD4DC8"/>
    <w:rsid w:val="00BD5295"/>
    <w:rsid w:val="00BD5749"/>
    <w:rsid w:val="00BD58D8"/>
    <w:rsid w:val="00BD5B20"/>
    <w:rsid w:val="00BD5C0C"/>
    <w:rsid w:val="00BD5DB2"/>
    <w:rsid w:val="00BD5F51"/>
    <w:rsid w:val="00BD60D6"/>
    <w:rsid w:val="00BD63C2"/>
    <w:rsid w:val="00BD653B"/>
    <w:rsid w:val="00BD661C"/>
    <w:rsid w:val="00BD6CF3"/>
    <w:rsid w:val="00BD6D75"/>
    <w:rsid w:val="00BD6E33"/>
    <w:rsid w:val="00BD713D"/>
    <w:rsid w:val="00BD7198"/>
    <w:rsid w:val="00BD7539"/>
    <w:rsid w:val="00BD769F"/>
    <w:rsid w:val="00BE0266"/>
    <w:rsid w:val="00BE037A"/>
    <w:rsid w:val="00BE05DE"/>
    <w:rsid w:val="00BE06E2"/>
    <w:rsid w:val="00BE0783"/>
    <w:rsid w:val="00BE0E15"/>
    <w:rsid w:val="00BE0FFE"/>
    <w:rsid w:val="00BE133B"/>
    <w:rsid w:val="00BE1587"/>
    <w:rsid w:val="00BE1888"/>
    <w:rsid w:val="00BE1890"/>
    <w:rsid w:val="00BE199C"/>
    <w:rsid w:val="00BE1BB3"/>
    <w:rsid w:val="00BE1CB0"/>
    <w:rsid w:val="00BE1E8B"/>
    <w:rsid w:val="00BE1F3F"/>
    <w:rsid w:val="00BE2063"/>
    <w:rsid w:val="00BE2180"/>
    <w:rsid w:val="00BE2288"/>
    <w:rsid w:val="00BE232A"/>
    <w:rsid w:val="00BE2425"/>
    <w:rsid w:val="00BE24A1"/>
    <w:rsid w:val="00BE35E0"/>
    <w:rsid w:val="00BE3896"/>
    <w:rsid w:val="00BE3DD8"/>
    <w:rsid w:val="00BE3E4A"/>
    <w:rsid w:val="00BE3F8E"/>
    <w:rsid w:val="00BE4275"/>
    <w:rsid w:val="00BE443C"/>
    <w:rsid w:val="00BE467B"/>
    <w:rsid w:val="00BE4A99"/>
    <w:rsid w:val="00BE4A9F"/>
    <w:rsid w:val="00BE4F6E"/>
    <w:rsid w:val="00BE5216"/>
    <w:rsid w:val="00BE57FD"/>
    <w:rsid w:val="00BE58D1"/>
    <w:rsid w:val="00BE5BD4"/>
    <w:rsid w:val="00BE5FEA"/>
    <w:rsid w:val="00BE65C5"/>
    <w:rsid w:val="00BE76C8"/>
    <w:rsid w:val="00BE7881"/>
    <w:rsid w:val="00BF0367"/>
    <w:rsid w:val="00BF049A"/>
    <w:rsid w:val="00BF09B3"/>
    <w:rsid w:val="00BF0CCE"/>
    <w:rsid w:val="00BF0E67"/>
    <w:rsid w:val="00BF1D9A"/>
    <w:rsid w:val="00BF22DF"/>
    <w:rsid w:val="00BF2433"/>
    <w:rsid w:val="00BF2464"/>
    <w:rsid w:val="00BF24B9"/>
    <w:rsid w:val="00BF284B"/>
    <w:rsid w:val="00BF2915"/>
    <w:rsid w:val="00BF2A90"/>
    <w:rsid w:val="00BF2DF2"/>
    <w:rsid w:val="00BF31D5"/>
    <w:rsid w:val="00BF38B0"/>
    <w:rsid w:val="00BF393D"/>
    <w:rsid w:val="00BF3BC7"/>
    <w:rsid w:val="00BF40AA"/>
    <w:rsid w:val="00BF45CD"/>
    <w:rsid w:val="00BF4774"/>
    <w:rsid w:val="00BF546F"/>
    <w:rsid w:val="00BF59B1"/>
    <w:rsid w:val="00BF5A34"/>
    <w:rsid w:val="00BF5CA1"/>
    <w:rsid w:val="00BF6068"/>
    <w:rsid w:val="00BF61C9"/>
    <w:rsid w:val="00BF6584"/>
    <w:rsid w:val="00BF65A9"/>
    <w:rsid w:val="00BF65D1"/>
    <w:rsid w:val="00BF668B"/>
    <w:rsid w:val="00BF671B"/>
    <w:rsid w:val="00BF795E"/>
    <w:rsid w:val="00BF7BC0"/>
    <w:rsid w:val="00BF7D48"/>
    <w:rsid w:val="00C00460"/>
    <w:rsid w:val="00C005EE"/>
    <w:rsid w:val="00C006B7"/>
    <w:rsid w:val="00C0073F"/>
    <w:rsid w:val="00C00865"/>
    <w:rsid w:val="00C00922"/>
    <w:rsid w:val="00C00BD4"/>
    <w:rsid w:val="00C00CB5"/>
    <w:rsid w:val="00C00FA1"/>
    <w:rsid w:val="00C010E1"/>
    <w:rsid w:val="00C0110B"/>
    <w:rsid w:val="00C01223"/>
    <w:rsid w:val="00C01290"/>
    <w:rsid w:val="00C0136A"/>
    <w:rsid w:val="00C0154D"/>
    <w:rsid w:val="00C01586"/>
    <w:rsid w:val="00C018D8"/>
    <w:rsid w:val="00C01927"/>
    <w:rsid w:val="00C01C9A"/>
    <w:rsid w:val="00C01E41"/>
    <w:rsid w:val="00C020AB"/>
    <w:rsid w:val="00C021DF"/>
    <w:rsid w:val="00C0227F"/>
    <w:rsid w:val="00C025F6"/>
    <w:rsid w:val="00C027EB"/>
    <w:rsid w:val="00C02999"/>
    <w:rsid w:val="00C02B85"/>
    <w:rsid w:val="00C031A5"/>
    <w:rsid w:val="00C03272"/>
    <w:rsid w:val="00C03378"/>
    <w:rsid w:val="00C034BF"/>
    <w:rsid w:val="00C03894"/>
    <w:rsid w:val="00C040BE"/>
    <w:rsid w:val="00C04174"/>
    <w:rsid w:val="00C042ED"/>
    <w:rsid w:val="00C04C1E"/>
    <w:rsid w:val="00C04C7F"/>
    <w:rsid w:val="00C04CA7"/>
    <w:rsid w:val="00C04D74"/>
    <w:rsid w:val="00C0526E"/>
    <w:rsid w:val="00C053D3"/>
    <w:rsid w:val="00C05577"/>
    <w:rsid w:val="00C05675"/>
    <w:rsid w:val="00C05872"/>
    <w:rsid w:val="00C05CAE"/>
    <w:rsid w:val="00C05D03"/>
    <w:rsid w:val="00C05D4D"/>
    <w:rsid w:val="00C0654E"/>
    <w:rsid w:val="00C0686C"/>
    <w:rsid w:val="00C068DB"/>
    <w:rsid w:val="00C06EB8"/>
    <w:rsid w:val="00C0751C"/>
    <w:rsid w:val="00C07674"/>
    <w:rsid w:val="00C07988"/>
    <w:rsid w:val="00C07B19"/>
    <w:rsid w:val="00C07EB4"/>
    <w:rsid w:val="00C1010E"/>
    <w:rsid w:val="00C101B8"/>
    <w:rsid w:val="00C10379"/>
    <w:rsid w:val="00C1054A"/>
    <w:rsid w:val="00C10A30"/>
    <w:rsid w:val="00C119D5"/>
    <w:rsid w:val="00C11B60"/>
    <w:rsid w:val="00C11F5A"/>
    <w:rsid w:val="00C12318"/>
    <w:rsid w:val="00C12588"/>
    <w:rsid w:val="00C12A6C"/>
    <w:rsid w:val="00C12C11"/>
    <w:rsid w:val="00C12E8B"/>
    <w:rsid w:val="00C130FE"/>
    <w:rsid w:val="00C13110"/>
    <w:rsid w:val="00C1319B"/>
    <w:rsid w:val="00C136FA"/>
    <w:rsid w:val="00C13760"/>
    <w:rsid w:val="00C1417B"/>
    <w:rsid w:val="00C141FE"/>
    <w:rsid w:val="00C14575"/>
    <w:rsid w:val="00C14624"/>
    <w:rsid w:val="00C14EC7"/>
    <w:rsid w:val="00C1502F"/>
    <w:rsid w:val="00C151ED"/>
    <w:rsid w:val="00C15261"/>
    <w:rsid w:val="00C153FB"/>
    <w:rsid w:val="00C15706"/>
    <w:rsid w:val="00C15B9E"/>
    <w:rsid w:val="00C15F12"/>
    <w:rsid w:val="00C160DB"/>
    <w:rsid w:val="00C1652D"/>
    <w:rsid w:val="00C1695C"/>
    <w:rsid w:val="00C16C49"/>
    <w:rsid w:val="00C16CC6"/>
    <w:rsid w:val="00C16D52"/>
    <w:rsid w:val="00C16E07"/>
    <w:rsid w:val="00C16E08"/>
    <w:rsid w:val="00C170DC"/>
    <w:rsid w:val="00C171E9"/>
    <w:rsid w:val="00C179A7"/>
    <w:rsid w:val="00C17E4C"/>
    <w:rsid w:val="00C17E93"/>
    <w:rsid w:val="00C200EF"/>
    <w:rsid w:val="00C20333"/>
    <w:rsid w:val="00C20476"/>
    <w:rsid w:val="00C204BD"/>
    <w:rsid w:val="00C206D5"/>
    <w:rsid w:val="00C20ADF"/>
    <w:rsid w:val="00C20D6C"/>
    <w:rsid w:val="00C20FC4"/>
    <w:rsid w:val="00C21431"/>
    <w:rsid w:val="00C2144F"/>
    <w:rsid w:val="00C21539"/>
    <w:rsid w:val="00C21572"/>
    <w:rsid w:val="00C2196D"/>
    <w:rsid w:val="00C21C53"/>
    <w:rsid w:val="00C21DBC"/>
    <w:rsid w:val="00C21DED"/>
    <w:rsid w:val="00C21FCC"/>
    <w:rsid w:val="00C221C3"/>
    <w:rsid w:val="00C221C6"/>
    <w:rsid w:val="00C2222F"/>
    <w:rsid w:val="00C22414"/>
    <w:rsid w:val="00C22C15"/>
    <w:rsid w:val="00C22D4F"/>
    <w:rsid w:val="00C22E02"/>
    <w:rsid w:val="00C22EBD"/>
    <w:rsid w:val="00C2309C"/>
    <w:rsid w:val="00C23340"/>
    <w:rsid w:val="00C23A30"/>
    <w:rsid w:val="00C23C02"/>
    <w:rsid w:val="00C23E16"/>
    <w:rsid w:val="00C23F3E"/>
    <w:rsid w:val="00C24477"/>
    <w:rsid w:val="00C247C8"/>
    <w:rsid w:val="00C2496F"/>
    <w:rsid w:val="00C24B86"/>
    <w:rsid w:val="00C24E3C"/>
    <w:rsid w:val="00C2504A"/>
    <w:rsid w:val="00C25328"/>
    <w:rsid w:val="00C25411"/>
    <w:rsid w:val="00C25418"/>
    <w:rsid w:val="00C256F1"/>
    <w:rsid w:val="00C258C5"/>
    <w:rsid w:val="00C25D23"/>
    <w:rsid w:val="00C25D9C"/>
    <w:rsid w:val="00C25F8D"/>
    <w:rsid w:val="00C2612D"/>
    <w:rsid w:val="00C2620E"/>
    <w:rsid w:val="00C26510"/>
    <w:rsid w:val="00C266A6"/>
    <w:rsid w:val="00C26D0D"/>
    <w:rsid w:val="00C2706C"/>
    <w:rsid w:val="00C27151"/>
    <w:rsid w:val="00C275B3"/>
    <w:rsid w:val="00C276B2"/>
    <w:rsid w:val="00C279BE"/>
    <w:rsid w:val="00C27D5F"/>
    <w:rsid w:val="00C27DBC"/>
    <w:rsid w:val="00C27DDC"/>
    <w:rsid w:val="00C303EE"/>
    <w:rsid w:val="00C30443"/>
    <w:rsid w:val="00C30887"/>
    <w:rsid w:val="00C30AA2"/>
    <w:rsid w:val="00C30F80"/>
    <w:rsid w:val="00C31109"/>
    <w:rsid w:val="00C31326"/>
    <w:rsid w:val="00C31443"/>
    <w:rsid w:val="00C31547"/>
    <w:rsid w:val="00C31649"/>
    <w:rsid w:val="00C3214A"/>
    <w:rsid w:val="00C3217D"/>
    <w:rsid w:val="00C3249C"/>
    <w:rsid w:val="00C32D43"/>
    <w:rsid w:val="00C32FB4"/>
    <w:rsid w:val="00C33023"/>
    <w:rsid w:val="00C33736"/>
    <w:rsid w:val="00C3378D"/>
    <w:rsid w:val="00C33BCF"/>
    <w:rsid w:val="00C33CA7"/>
    <w:rsid w:val="00C33E37"/>
    <w:rsid w:val="00C33E86"/>
    <w:rsid w:val="00C3414E"/>
    <w:rsid w:val="00C343B1"/>
    <w:rsid w:val="00C3442D"/>
    <w:rsid w:val="00C3445D"/>
    <w:rsid w:val="00C34539"/>
    <w:rsid w:val="00C34CA6"/>
    <w:rsid w:val="00C34D76"/>
    <w:rsid w:val="00C34F6E"/>
    <w:rsid w:val="00C34F96"/>
    <w:rsid w:val="00C35164"/>
    <w:rsid w:val="00C3531B"/>
    <w:rsid w:val="00C358D4"/>
    <w:rsid w:val="00C35EED"/>
    <w:rsid w:val="00C35EF3"/>
    <w:rsid w:val="00C36226"/>
    <w:rsid w:val="00C3630C"/>
    <w:rsid w:val="00C36533"/>
    <w:rsid w:val="00C367EA"/>
    <w:rsid w:val="00C36B64"/>
    <w:rsid w:val="00C36D2C"/>
    <w:rsid w:val="00C36E62"/>
    <w:rsid w:val="00C37235"/>
    <w:rsid w:val="00C376B9"/>
    <w:rsid w:val="00C377D6"/>
    <w:rsid w:val="00C3784F"/>
    <w:rsid w:val="00C3790D"/>
    <w:rsid w:val="00C37A54"/>
    <w:rsid w:val="00C37B00"/>
    <w:rsid w:val="00C37CA7"/>
    <w:rsid w:val="00C37CEB"/>
    <w:rsid w:val="00C37D25"/>
    <w:rsid w:val="00C37D5C"/>
    <w:rsid w:val="00C400F2"/>
    <w:rsid w:val="00C40385"/>
    <w:rsid w:val="00C4048C"/>
    <w:rsid w:val="00C404D2"/>
    <w:rsid w:val="00C409C3"/>
    <w:rsid w:val="00C40A6A"/>
    <w:rsid w:val="00C40B0F"/>
    <w:rsid w:val="00C40C85"/>
    <w:rsid w:val="00C40CEA"/>
    <w:rsid w:val="00C40DAC"/>
    <w:rsid w:val="00C41551"/>
    <w:rsid w:val="00C418A7"/>
    <w:rsid w:val="00C41AD2"/>
    <w:rsid w:val="00C420EF"/>
    <w:rsid w:val="00C4230C"/>
    <w:rsid w:val="00C423A5"/>
    <w:rsid w:val="00C42405"/>
    <w:rsid w:val="00C42463"/>
    <w:rsid w:val="00C42713"/>
    <w:rsid w:val="00C428D6"/>
    <w:rsid w:val="00C42970"/>
    <w:rsid w:val="00C42C56"/>
    <w:rsid w:val="00C42C64"/>
    <w:rsid w:val="00C42DE5"/>
    <w:rsid w:val="00C42E64"/>
    <w:rsid w:val="00C4349C"/>
    <w:rsid w:val="00C4353A"/>
    <w:rsid w:val="00C44129"/>
    <w:rsid w:val="00C44192"/>
    <w:rsid w:val="00C444CC"/>
    <w:rsid w:val="00C4484F"/>
    <w:rsid w:val="00C4487A"/>
    <w:rsid w:val="00C44992"/>
    <w:rsid w:val="00C44AE4"/>
    <w:rsid w:val="00C44D21"/>
    <w:rsid w:val="00C45032"/>
    <w:rsid w:val="00C450F1"/>
    <w:rsid w:val="00C4580B"/>
    <w:rsid w:val="00C4586A"/>
    <w:rsid w:val="00C45BB6"/>
    <w:rsid w:val="00C45BBA"/>
    <w:rsid w:val="00C45C13"/>
    <w:rsid w:val="00C460EF"/>
    <w:rsid w:val="00C4614E"/>
    <w:rsid w:val="00C4615E"/>
    <w:rsid w:val="00C4625A"/>
    <w:rsid w:val="00C4625E"/>
    <w:rsid w:val="00C469B2"/>
    <w:rsid w:val="00C469C9"/>
    <w:rsid w:val="00C469E8"/>
    <w:rsid w:val="00C46D95"/>
    <w:rsid w:val="00C46FE3"/>
    <w:rsid w:val="00C47278"/>
    <w:rsid w:val="00C47790"/>
    <w:rsid w:val="00C477ED"/>
    <w:rsid w:val="00C4785C"/>
    <w:rsid w:val="00C4788E"/>
    <w:rsid w:val="00C47D5C"/>
    <w:rsid w:val="00C47E9B"/>
    <w:rsid w:val="00C50301"/>
    <w:rsid w:val="00C506DE"/>
    <w:rsid w:val="00C50834"/>
    <w:rsid w:val="00C50A7A"/>
    <w:rsid w:val="00C50CD2"/>
    <w:rsid w:val="00C50FDB"/>
    <w:rsid w:val="00C51286"/>
    <w:rsid w:val="00C51376"/>
    <w:rsid w:val="00C51395"/>
    <w:rsid w:val="00C51742"/>
    <w:rsid w:val="00C5185E"/>
    <w:rsid w:val="00C51B68"/>
    <w:rsid w:val="00C51F13"/>
    <w:rsid w:val="00C52244"/>
    <w:rsid w:val="00C526EC"/>
    <w:rsid w:val="00C5292D"/>
    <w:rsid w:val="00C52A1A"/>
    <w:rsid w:val="00C531D8"/>
    <w:rsid w:val="00C5321D"/>
    <w:rsid w:val="00C53809"/>
    <w:rsid w:val="00C538F4"/>
    <w:rsid w:val="00C54297"/>
    <w:rsid w:val="00C546BB"/>
    <w:rsid w:val="00C547D2"/>
    <w:rsid w:val="00C548CE"/>
    <w:rsid w:val="00C54BDF"/>
    <w:rsid w:val="00C54C05"/>
    <w:rsid w:val="00C54E4A"/>
    <w:rsid w:val="00C54EFD"/>
    <w:rsid w:val="00C55267"/>
    <w:rsid w:val="00C55769"/>
    <w:rsid w:val="00C557AB"/>
    <w:rsid w:val="00C5585E"/>
    <w:rsid w:val="00C55901"/>
    <w:rsid w:val="00C559C9"/>
    <w:rsid w:val="00C55ADE"/>
    <w:rsid w:val="00C55CCC"/>
    <w:rsid w:val="00C55D16"/>
    <w:rsid w:val="00C5629B"/>
    <w:rsid w:val="00C566BE"/>
    <w:rsid w:val="00C567C5"/>
    <w:rsid w:val="00C56878"/>
    <w:rsid w:val="00C56AAC"/>
    <w:rsid w:val="00C5709E"/>
    <w:rsid w:val="00C57575"/>
    <w:rsid w:val="00C57926"/>
    <w:rsid w:val="00C601CF"/>
    <w:rsid w:val="00C603A8"/>
    <w:rsid w:val="00C604C1"/>
    <w:rsid w:val="00C6079B"/>
    <w:rsid w:val="00C60EB7"/>
    <w:rsid w:val="00C61314"/>
    <w:rsid w:val="00C613BA"/>
    <w:rsid w:val="00C613F2"/>
    <w:rsid w:val="00C615A8"/>
    <w:rsid w:val="00C6163D"/>
    <w:rsid w:val="00C6180C"/>
    <w:rsid w:val="00C61952"/>
    <w:rsid w:val="00C61CBA"/>
    <w:rsid w:val="00C61D22"/>
    <w:rsid w:val="00C61E8B"/>
    <w:rsid w:val="00C61F49"/>
    <w:rsid w:val="00C620A8"/>
    <w:rsid w:val="00C625F3"/>
    <w:rsid w:val="00C6271B"/>
    <w:rsid w:val="00C62A9B"/>
    <w:rsid w:val="00C62B0A"/>
    <w:rsid w:val="00C62CFF"/>
    <w:rsid w:val="00C62DD3"/>
    <w:rsid w:val="00C631C8"/>
    <w:rsid w:val="00C63322"/>
    <w:rsid w:val="00C6385E"/>
    <w:rsid w:val="00C6390D"/>
    <w:rsid w:val="00C63A78"/>
    <w:rsid w:val="00C63F46"/>
    <w:rsid w:val="00C64600"/>
    <w:rsid w:val="00C64BBC"/>
    <w:rsid w:val="00C64D1D"/>
    <w:rsid w:val="00C64E60"/>
    <w:rsid w:val="00C65568"/>
    <w:rsid w:val="00C65576"/>
    <w:rsid w:val="00C65700"/>
    <w:rsid w:val="00C659E8"/>
    <w:rsid w:val="00C65A68"/>
    <w:rsid w:val="00C66165"/>
    <w:rsid w:val="00C661CB"/>
    <w:rsid w:val="00C66974"/>
    <w:rsid w:val="00C66A01"/>
    <w:rsid w:val="00C66B27"/>
    <w:rsid w:val="00C66EEB"/>
    <w:rsid w:val="00C67115"/>
    <w:rsid w:val="00C672ED"/>
    <w:rsid w:val="00C677E3"/>
    <w:rsid w:val="00C67800"/>
    <w:rsid w:val="00C6781A"/>
    <w:rsid w:val="00C67A90"/>
    <w:rsid w:val="00C67AE4"/>
    <w:rsid w:val="00C70372"/>
    <w:rsid w:val="00C7081D"/>
    <w:rsid w:val="00C708C0"/>
    <w:rsid w:val="00C70C1A"/>
    <w:rsid w:val="00C70F15"/>
    <w:rsid w:val="00C7106C"/>
    <w:rsid w:val="00C714EF"/>
    <w:rsid w:val="00C71621"/>
    <w:rsid w:val="00C716DB"/>
    <w:rsid w:val="00C72021"/>
    <w:rsid w:val="00C7234C"/>
    <w:rsid w:val="00C7245C"/>
    <w:rsid w:val="00C72B4C"/>
    <w:rsid w:val="00C731C5"/>
    <w:rsid w:val="00C7322E"/>
    <w:rsid w:val="00C73A5D"/>
    <w:rsid w:val="00C73C1F"/>
    <w:rsid w:val="00C73C61"/>
    <w:rsid w:val="00C73D29"/>
    <w:rsid w:val="00C7435E"/>
    <w:rsid w:val="00C74446"/>
    <w:rsid w:val="00C745BC"/>
    <w:rsid w:val="00C750C8"/>
    <w:rsid w:val="00C75438"/>
    <w:rsid w:val="00C7562A"/>
    <w:rsid w:val="00C75934"/>
    <w:rsid w:val="00C76136"/>
    <w:rsid w:val="00C762B8"/>
    <w:rsid w:val="00C76336"/>
    <w:rsid w:val="00C76444"/>
    <w:rsid w:val="00C764E5"/>
    <w:rsid w:val="00C7650E"/>
    <w:rsid w:val="00C76B89"/>
    <w:rsid w:val="00C76BB1"/>
    <w:rsid w:val="00C77033"/>
    <w:rsid w:val="00C77456"/>
    <w:rsid w:val="00C77946"/>
    <w:rsid w:val="00C77C06"/>
    <w:rsid w:val="00C77C7E"/>
    <w:rsid w:val="00C77EE2"/>
    <w:rsid w:val="00C80A11"/>
    <w:rsid w:val="00C80AA2"/>
    <w:rsid w:val="00C80ECC"/>
    <w:rsid w:val="00C8111D"/>
    <w:rsid w:val="00C81436"/>
    <w:rsid w:val="00C81685"/>
    <w:rsid w:val="00C8187B"/>
    <w:rsid w:val="00C8211F"/>
    <w:rsid w:val="00C8213F"/>
    <w:rsid w:val="00C82185"/>
    <w:rsid w:val="00C821B0"/>
    <w:rsid w:val="00C824BF"/>
    <w:rsid w:val="00C826EE"/>
    <w:rsid w:val="00C82723"/>
    <w:rsid w:val="00C8286D"/>
    <w:rsid w:val="00C82E6C"/>
    <w:rsid w:val="00C82EE4"/>
    <w:rsid w:val="00C82FD4"/>
    <w:rsid w:val="00C82FD6"/>
    <w:rsid w:val="00C83496"/>
    <w:rsid w:val="00C8352B"/>
    <w:rsid w:val="00C835AE"/>
    <w:rsid w:val="00C8362B"/>
    <w:rsid w:val="00C8372D"/>
    <w:rsid w:val="00C8396E"/>
    <w:rsid w:val="00C83EEC"/>
    <w:rsid w:val="00C83F42"/>
    <w:rsid w:val="00C847AF"/>
    <w:rsid w:val="00C849ED"/>
    <w:rsid w:val="00C84A6D"/>
    <w:rsid w:val="00C84CED"/>
    <w:rsid w:val="00C84DE7"/>
    <w:rsid w:val="00C850D3"/>
    <w:rsid w:val="00C852AC"/>
    <w:rsid w:val="00C85989"/>
    <w:rsid w:val="00C85C6F"/>
    <w:rsid w:val="00C85DFE"/>
    <w:rsid w:val="00C85E93"/>
    <w:rsid w:val="00C85F67"/>
    <w:rsid w:val="00C862BF"/>
    <w:rsid w:val="00C864BF"/>
    <w:rsid w:val="00C864DE"/>
    <w:rsid w:val="00C8687D"/>
    <w:rsid w:val="00C869C1"/>
    <w:rsid w:val="00C86A67"/>
    <w:rsid w:val="00C8713A"/>
    <w:rsid w:val="00C877BE"/>
    <w:rsid w:val="00C8797A"/>
    <w:rsid w:val="00C90045"/>
    <w:rsid w:val="00C9005E"/>
    <w:rsid w:val="00C9020C"/>
    <w:rsid w:val="00C90273"/>
    <w:rsid w:val="00C90345"/>
    <w:rsid w:val="00C9059F"/>
    <w:rsid w:val="00C905DC"/>
    <w:rsid w:val="00C905FB"/>
    <w:rsid w:val="00C90684"/>
    <w:rsid w:val="00C906FB"/>
    <w:rsid w:val="00C907A6"/>
    <w:rsid w:val="00C90823"/>
    <w:rsid w:val="00C908F0"/>
    <w:rsid w:val="00C90E0D"/>
    <w:rsid w:val="00C90ECA"/>
    <w:rsid w:val="00C90F77"/>
    <w:rsid w:val="00C91085"/>
    <w:rsid w:val="00C91240"/>
    <w:rsid w:val="00C915F1"/>
    <w:rsid w:val="00C916AA"/>
    <w:rsid w:val="00C91CEE"/>
    <w:rsid w:val="00C92127"/>
    <w:rsid w:val="00C928A1"/>
    <w:rsid w:val="00C92A26"/>
    <w:rsid w:val="00C92A4B"/>
    <w:rsid w:val="00C92A95"/>
    <w:rsid w:val="00C92B8E"/>
    <w:rsid w:val="00C92E00"/>
    <w:rsid w:val="00C92FF5"/>
    <w:rsid w:val="00C93479"/>
    <w:rsid w:val="00C934A3"/>
    <w:rsid w:val="00C938CF"/>
    <w:rsid w:val="00C93BC0"/>
    <w:rsid w:val="00C94D66"/>
    <w:rsid w:val="00C95144"/>
    <w:rsid w:val="00C95B23"/>
    <w:rsid w:val="00C95E8F"/>
    <w:rsid w:val="00C95FB6"/>
    <w:rsid w:val="00C961C5"/>
    <w:rsid w:val="00C9628B"/>
    <w:rsid w:val="00C9632F"/>
    <w:rsid w:val="00C963A7"/>
    <w:rsid w:val="00C9652C"/>
    <w:rsid w:val="00C9660E"/>
    <w:rsid w:val="00C96640"/>
    <w:rsid w:val="00C96A79"/>
    <w:rsid w:val="00C96BD3"/>
    <w:rsid w:val="00C96D76"/>
    <w:rsid w:val="00C96E4B"/>
    <w:rsid w:val="00C97332"/>
    <w:rsid w:val="00C97783"/>
    <w:rsid w:val="00C9781A"/>
    <w:rsid w:val="00C97AFB"/>
    <w:rsid w:val="00C97C82"/>
    <w:rsid w:val="00C97DEB"/>
    <w:rsid w:val="00C97EEF"/>
    <w:rsid w:val="00C97F8B"/>
    <w:rsid w:val="00CA07A8"/>
    <w:rsid w:val="00CA08C3"/>
    <w:rsid w:val="00CA08D0"/>
    <w:rsid w:val="00CA09B9"/>
    <w:rsid w:val="00CA0C43"/>
    <w:rsid w:val="00CA0DB7"/>
    <w:rsid w:val="00CA16E1"/>
    <w:rsid w:val="00CA1C9A"/>
    <w:rsid w:val="00CA21A7"/>
    <w:rsid w:val="00CA24BB"/>
    <w:rsid w:val="00CA2A52"/>
    <w:rsid w:val="00CA2BCF"/>
    <w:rsid w:val="00CA2EEF"/>
    <w:rsid w:val="00CA3030"/>
    <w:rsid w:val="00CA30B0"/>
    <w:rsid w:val="00CA31F6"/>
    <w:rsid w:val="00CA3443"/>
    <w:rsid w:val="00CA37B0"/>
    <w:rsid w:val="00CA380A"/>
    <w:rsid w:val="00CA3AFF"/>
    <w:rsid w:val="00CA3F80"/>
    <w:rsid w:val="00CA3FC4"/>
    <w:rsid w:val="00CA46BE"/>
    <w:rsid w:val="00CA49EB"/>
    <w:rsid w:val="00CA49FB"/>
    <w:rsid w:val="00CA4D54"/>
    <w:rsid w:val="00CA4D5A"/>
    <w:rsid w:val="00CA4F48"/>
    <w:rsid w:val="00CA513F"/>
    <w:rsid w:val="00CA5245"/>
    <w:rsid w:val="00CA5250"/>
    <w:rsid w:val="00CA5478"/>
    <w:rsid w:val="00CA5CBA"/>
    <w:rsid w:val="00CA5D24"/>
    <w:rsid w:val="00CA5D81"/>
    <w:rsid w:val="00CA5FA6"/>
    <w:rsid w:val="00CA654D"/>
    <w:rsid w:val="00CA66CF"/>
    <w:rsid w:val="00CA69AF"/>
    <w:rsid w:val="00CA6A1F"/>
    <w:rsid w:val="00CA6AA2"/>
    <w:rsid w:val="00CA6AF8"/>
    <w:rsid w:val="00CA6B8F"/>
    <w:rsid w:val="00CA6D9A"/>
    <w:rsid w:val="00CA6E65"/>
    <w:rsid w:val="00CA7060"/>
    <w:rsid w:val="00CA70E7"/>
    <w:rsid w:val="00CA72CD"/>
    <w:rsid w:val="00CA7576"/>
    <w:rsid w:val="00CA793C"/>
    <w:rsid w:val="00CA7B09"/>
    <w:rsid w:val="00CB0BA0"/>
    <w:rsid w:val="00CB0C4B"/>
    <w:rsid w:val="00CB0D3B"/>
    <w:rsid w:val="00CB0D5D"/>
    <w:rsid w:val="00CB1024"/>
    <w:rsid w:val="00CB11AB"/>
    <w:rsid w:val="00CB17C0"/>
    <w:rsid w:val="00CB1934"/>
    <w:rsid w:val="00CB1C24"/>
    <w:rsid w:val="00CB1E76"/>
    <w:rsid w:val="00CB1EE1"/>
    <w:rsid w:val="00CB21C7"/>
    <w:rsid w:val="00CB2245"/>
    <w:rsid w:val="00CB22BE"/>
    <w:rsid w:val="00CB2479"/>
    <w:rsid w:val="00CB25D7"/>
    <w:rsid w:val="00CB278E"/>
    <w:rsid w:val="00CB2828"/>
    <w:rsid w:val="00CB29C5"/>
    <w:rsid w:val="00CB2A5B"/>
    <w:rsid w:val="00CB2B3E"/>
    <w:rsid w:val="00CB2C13"/>
    <w:rsid w:val="00CB2D28"/>
    <w:rsid w:val="00CB30B6"/>
    <w:rsid w:val="00CB3232"/>
    <w:rsid w:val="00CB3451"/>
    <w:rsid w:val="00CB3516"/>
    <w:rsid w:val="00CB3D74"/>
    <w:rsid w:val="00CB3D79"/>
    <w:rsid w:val="00CB3DAD"/>
    <w:rsid w:val="00CB40B4"/>
    <w:rsid w:val="00CB40DF"/>
    <w:rsid w:val="00CB46AF"/>
    <w:rsid w:val="00CB4B0A"/>
    <w:rsid w:val="00CB4E9D"/>
    <w:rsid w:val="00CB5169"/>
    <w:rsid w:val="00CB5271"/>
    <w:rsid w:val="00CB5386"/>
    <w:rsid w:val="00CB53E0"/>
    <w:rsid w:val="00CB544C"/>
    <w:rsid w:val="00CB560B"/>
    <w:rsid w:val="00CB5728"/>
    <w:rsid w:val="00CB58E6"/>
    <w:rsid w:val="00CB5B1A"/>
    <w:rsid w:val="00CB5DB6"/>
    <w:rsid w:val="00CB5E1B"/>
    <w:rsid w:val="00CB5E59"/>
    <w:rsid w:val="00CB60AC"/>
    <w:rsid w:val="00CB6524"/>
    <w:rsid w:val="00CB6732"/>
    <w:rsid w:val="00CB6963"/>
    <w:rsid w:val="00CB6D55"/>
    <w:rsid w:val="00CB6D6D"/>
    <w:rsid w:val="00CB7117"/>
    <w:rsid w:val="00CB74B7"/>
    <w:rsid w:val="00CB7704"/>
    <w:rsid w:val="00CB77AE"/>
    <w:rsid w:val="00CB7843"/>
    <w:rsid w:val="00CB78B4"/>
    <w:rsid w:val="00CB7903"/>
    <w:rsid w:val="00CB79C7"/>
    <w:rsid w:val="00CC01D4"/>
    <w:rsid w:val="00CC037D"/>
    <w:rsid w:val="00CC0385"/>
    <w:rsid w:val="00CC044D"/>
    <w:rsid w:val="00CC0537"/>
    <w:rsid w:val="00CC06EB"/>
    <w:rsid w:val="00CC0960"/>
    <w:rsid w:val="00CC0984"/>
    <w:rsid w:val="00CC09EC"/>
    <w:rsid w:val="00CC0BA2"/>
    <w:rsid w:val="00CC0DAD"/>
    <w:rsid w:val="00CC11E0"/>
    <w:rsid w:val="00CC12FC"/>
    <w:rsid w:val="00CC15A1"/>
    <w:rsid w:val="00CC1664"/>
    <w:rsid w:val="00CC1855"/>
    <w:rsid w:val="00CC18CD"/>
    <w:rsid w:val="00CC2159"/>
    <w:rsid w:val="00CC2190"/>
    <w:rsid w:val="00CC2441"/>
    <w:rsid w:val="00CC279C"/>
    <w:rsid w:val="00CC2ACA"/>
    <w:rsid w:val="00CC2D94"/>
    <w:rsid w:val="00CC2DAE"/>
    <w:rsid w:val="00CC322F"/>
    <w:rsid w:val="00CC349B"/>
    <w:rsid w:val="00CC34B1"/>
    <w:rsid w:val="00CC377F"/>
    <w:rsid w:val="00CC3A5B"/>
    <w:rsid w:val="00CC3AF7"/>
    <w:rsid w:val="00CC3CB1"/>
    <w:rsid w:val="00CC444F"/>
    <w:rsid w:val="00CC44C5"/>
    <w:rsid w:val="00CC45A3"/>
    <w:rsid w:val="00CC471F"/>
    <w:rsid w:val="00CC497D"/>
    <w:rsid w:val="00CC50A9"/>
    <w:rsid w:val="00CC628A"/>
    <w:rsid w:val="00CC6361"/>
    <w:rsid w:val="00CC63B5"/>
    <w:rsid w:val="00CC66C4"/>
    <w:rsid w:val="00CC6A0F"/>
    <w:rsid w:val="00CC6B30"/>
    <w:rsid w:val="00CC6C87"/>
    <w:rsid w:val="00CC70C8"/>
    <w:rsid w:val="00CC7365"/>
    <w:rsid w:val="00CC7487"/>
    <w:rsid w:val="00CC7765"/>
    <w:rsid w:val="00CC7979"/>
    <w:rsid w:val="00CC79B6"/>
    <w:rsid w:val="00CC7B62"/>
    <w:rsid w:val="00CC7F11"/>
    <w:rsid w:val="00CC7F3A"/>
    <w:rsid w:val="00CD0177"/>
    <w:rsid w:val="00CD08EA"/>
    <w:rsid w:val="00CD119E"/>
    <w:rsid w:val="00CD11F2"/>
    <w:rsid w:val="00CD1856"/>
    <w:rsid w:val="00CD1A81"/>
    <w:rsid w:val="00CD1D76"/>
    <w:rsid w:val="00CD24E3"/>
    <w:rsid w:val="00CD25CD"/>
    <w:rsid w:val="00CD2791"/>
    <w:rsid w:val="00CD2822"/>
    <w:rsid w:val="00CD2A14"/>
    <w:rsid w:val="00CD2A3E"/>
    <w:rsid w:val="00CD2B43"/>
    <w:rsid w:val="00CD2B54"/>
    <w:rsid w:val="00CD31C1"/>
    <w:rsid w:val="00CD32B6"/>
    <w:rsid w:val="00CD3582"/>
    <w:rsid w:val="00CD36DC"/>
    <w:rsid w:val="00CD3905"/>
    <w:rsid w:val="00CD3AA4"/>
    <w:rsid w:val="00CD3C2C"/>
    <w:rsid w:val="00CD3C36"/>
    <w:rsid w:val="00CD3CC1"/>
    <w:rsid w:val="00CD4027"/>
    <w:rsid w:val="00CD436C"/>
    <w:rsid w:val="00CD4774"/>
    <w:rsid w:val="00CD4A93"/>
    <w:rsid w:val="00CD4CCC"/>
    <w:rsid w:val="00CD4EDE"/>
    <w:rsid w:val="00CD5001"/>
    <w:rsid w:val="00CD5044"/>
    <w:rsid w:val="00CD50CC"/>
    <w:rsid w:val="00CD5193"/>
    <w:rsid w:val="00CD5619"/>
    <w:rsid w:val="00CD5B1B"/>
    <w:rsid w:val="00CD5EC5"/>
    <w:rsid w:val="00CD5EDB"/>
    <w:rsid w:val="00CD6064"/>
    <w:rsid w:val="00CD620D"/>
    <w:rsid w:val="00CD6255"/>
    <w:rsid w:val="00CD6397"/>
    <w:rsid w:val="00CD67A6"/>
    <w:rsid w:val="00CD68B7"/>
    <w:rsid w:val="00CD69E7"/>
    <w:rsid w:val="00CD6ADC"/>
    <w:rsid w:val="00CD6F7F"/>
    <w:rsid w:val="00CD7632"/>
    <w:rsid w:val="00CD76C3"/>
    <w:rsid w:val="00CE01F5"/>
    <w:rsid w:val="00CE0468"/>
    <w:rsid w:val="00CE0657"/>
    <w:rsid w:val="00CE086D"/>
    <w:rsid w:val="00CE0F9D"/>
    <w:rsid w:val="00CE11DE"/>
    <w:rsid w:val="00CE1208"/>
    <w:rsid w:val="00CE1286"/>
    <w:rsid w:val="00CE1423"/>
    <w:rsid w:val="00CE14CD"/>
    <w:rsid w:val="00CE19F4"/>
    <w:rsid w:val="00CE1BEF"/>
    <w:rsid w:val="00CE1BFB"/>
    <w:rsid w:val="00CE1D0C"/>
    <w:rsid w:val="00CE1E87"/>
    <w:rsid w:val="00CE23DF"/>
    <w:rsid w:val="00CE2627"/>
    <w:rsid w:val="00CE2641"/>
    <w:rsid w:val="00CE2883"/>
    <w:rsid w:val="00CE291E"/>
    <w:rsid w:val="00CE296A"/>
    <w:rsid w:val="00CE299B"/>
    <w:rsid w:val="00CE2B94"/>
    <w:rsid w:val="00CE3150"/>
    <w:rsid w:val="00CE390B"/>
    <w:rsid w:val="00CE3BEB"/>
    <w:rsid w:val="00CE3C09"/>
    <w:rsid w:val="00CE3EF2"/>
    <w:rsid w:val="00CE3FC9"/>
    <w:rsid w:val="00CE401C"/>
    <w:rsid w:val="00CE42B2"/>
    <w:rsid w:val="00CE4637"/>
    <w:rsid w:val="00CE4737"/>
    <w:rsid w:val="00CE4907"/>
    <w:rsid w:val="00CE4D4A"/>
    <w:rsid w:val="00CE4EE5"/>
    <w:rsid w:val="00CE5211"/>
    <w:rsid w:val="00CE5458"/>
    <w:rsid w:val="00CE5937"/>
    <w:rsid w:val="00CE5C0D"/>
    <w:rsid w:val="00CE5D29"/>
    <w:rsid w:val="00CE5DA6"/>
    <w:rsid w:val="00CE5DF6"/>
    <w:rsid w:val="00CE6274"/>
    <w:rsid w:val="00CE639B"/>
    <w:rsid w:val="00CE64CA"/>
    <w:rsid w:val="00CE685E"/>
    <w:rsid w:val="00CE6C30"/>
    <w:rsid w:val="00CE7276"/>
    <w:rsid w:val="00CE736A"/>
    <w:rsid w:val="00CE768E"/>
    <w:rsid w:val="00CE79E3"/>
    <w:rsid w:val="00CF0089"/>
    <w:rsid w:val="00CF00EB"/>
    <w:rsid w:val="00CF01E9"/>
    <w:rsid w:val="00CF0291"/>
    <w:rsid w:val="00CF0515"/>
    <w:rsid w:val="00CF061D"/>
    <w:rsid w:val="00CF0768"/>
    <w:rsid w:val="00CF07F2"/>
    <w:rsid w:val="00CF0852"/>
    <w:rsid w:val="00CF0971"/>
    <w:rsid w:val="00CF0FE3"/>
    <w:rsid w:val="00CF1491"/>
    <w:rsid w:val="00CF14FE"/>
    <w:rsid w:val="00CF1899"/>
    <w:rsid w:val="00CF19B7"/>
    <w:rsid w:val="00CF1AD2"/>
    <w:rsid w:val="00CF1B35"/>
    <w:rsid w:val="00CF2104"/>
    <w:rsid w:val="00CF2191"/>
    <w:rsid w:val="00CF248D"/>
    <w:rsid w:val="00CF26F8"/>
    <w:rsid w:val="00CF28A6"/>
    <w:rsid w:val="00CF3142"/>
    <w:rsid w:val="00CF338D"/>
    <w:rsid w:val="00CF346F"/>
    <w:rsid w:val="00CF396B"/>
    <w:rsid w:val="00CF3C77"/>
    <w:rsid w:val="00CF3D66"/>
    <w:rsid w:val="00CF3E0B"/>
    <w:rsid w:val="00CF4302"/>
    <w:rsid w:val="00CF44F5"/>
    <w:rsid w:val="00CF456B"/>
    <w:rsid w:val="00CF4893"/>
    <w:rsid w:val="00CF4981"/>
    <w:rsid w:val="00CF4996"/>
    <w:rsid w:val="00CF4F2B"/>
    <w:rsid w:val="00CF5390"/>
    <w:rsid w:val="00CF57C9"/>
    <w:rsid w:val="00CF5839"/>
    <w:rsid w:val="00CF5939"/>
    <w:rsid w:val="00CF5A22"/>
    <w:rsid w:val="00CF5B2B"/>
    <w:rsid w:val="00CF64AD"/>
    <w:rsid w:val="00CF6555"/>
    <w:rsid w:val="00CF65BD"/>
    <w:rsid w:val="00CF6DA1"/>
    <w:rsid w:val="00CF6FA4"/>
    <w:rsid w:val="00CF712D"/>
    <w:rsid w:val="00CF74D1"/>
    <w:rsid w:val="00CF7752"/>
    <w:rsid w:val="00CF7827"/>
    <w:rsid w:val="00CF7B9E"/>
    <w:rsid w:val="00CF7D0E"/>
    <w:rsid w:val="00CF7DCD"/>
    <w:rsid w:val="00CF7F78"/>
    <w:rsid w:val="00D00081"/>
    <w:rsid w:val="00D00090"/>
    <w:rsid w:val="00D00A07"/>
    <w:rsid w:val="00D00BF2"/>
    <w:rsid w:val="00D010F2"/>
    <w:rsid w:val="00D014A8"/>
    <w:rsid w:val="00D014AC"/>
    <w:rsid w:val="00D01806"/>
    <w:rsid w:val="00D02214"/>
    <w:rsid w:val="00D02227"/>
    <w:rsid w:val="00D024B1"/>
    <w:rsid w:val="00D02523"/>
    <w:rsid w:val="00D0262E"/>
    <w:rsid w:val="00D02667"/>
    <w:rsid w:val="00D02EF6"/>
    <w:rsid w:val="00D03700"/>
    <w:rsid w:val="00D03B33"/>
    <w:rsid w:val="00D03BC1"/>
    <w:rsid w:val="00D03D09"/>
    <w:rsid w:val="00D03EC2"/>
    <w:rsid w:val="00D048E1"/>
    <w:rsid w:val="00D04966"/>
    <w:rsid w:val="00D0534A"/>
    <w:rsid w:val="00D05362"/>
    <w:rsid w:val="00D057F2"/>
    <w:rsid w:val="00D05A6E"/>
    <w:rsid w:val="00D05AF2"/>
    <w:rsid w:val="00D05B51"/>
    <w:rsid w:val="00D05BBD"/>
    <w:rsid w:val="00D05C4B"/>
    <w:rsid w:val="00D05CE1"/>
    <w:rsid w:val="00D06117"/>
    <w:rsid w:val="00D06193"/>
    <w:rsid w:val="00D065E7"/>
    <w:rsid w:val="00D06758"/>
    <w:rsid w:val="00D06825"/>
    <w:rsid w:val="00D068FD"/>
    <w:rsid w:val="00D070E4"/>
    <w:rsid w:val="00D0747A"/>
    <w:rsid w:val="00D0773D"/>
    <w:rsid w:val="00D0784D"/>
    <w:rsid w:val="00D07BEF"/>
    <w:rsid w:val="00D07DAE"/>
    <w:rsid w:val="00D10769"/>
    <w:rsid w:val="00D10AB8"/>
    <w:rsid w:val="00D10EE7"/>
    <w:rsid w:val="00D10F96"/>
    <w:rsid w:val="00D110BD"/>
    <w:rsid w:val="00D11124"/>
    <w:rsid w:val="00D11253"/>
    <w:rsid w:val="00D115EC"/>
    <w:rsid w:val="00D117DE"/>
    <w:rsid w:val="00D11810"/>
    <w:rsid w:val="00D126FC"/>
    <w:rsid w:val="00D12C43"/>
    <w:rsid w:val="00D13003"/>
    <w:rsid w:val="00D1334D"/>
    <w:rsid w:val="00D13598"/>
    <w:rsid w:val="00D13652"/>
    <w:rsid w:val="00D139E4"/>
    <w:rsid w:val="00D13A76"/>
    <w:rsid w:val="00D13DAA"/>
    <w:rsid w:val="00D13FC3"/>
    <w:rsid w:val="00D14134"/>
    <w:rsid w:val="00D143B1"/>
    <w:rsid w:val="00D143CF"/>
    <w:rsid w:val="00D146BF"/>
    <w:rsid w:val="00D147B2"/>
    <w:rsid w:val="00D14924"/>
    <w:rsid w:val="00D14C29"/>
    <w:rsid w:val="00D14CE3"/>
    <w:rsid w:val="00D14D0E"/>
    <w:rsid w:val="00D15AFD"/>
    <w:rsid w:val="00D160D1"/>
    <w:rsid w:val="00D16657"/>
    <w:rsid w:val="00D16AE5"/>
    <w:rsid w:val="00D17035"/>
    <w:rsid w:val="00D172EE"/>
    <w:rsid w:val="00D1740A"/>
    <w:rsid w:val="00D1765A"/>
    <w:rsid w:val="00D17B93"/>
    <w:rsid w:val="00D17C1A"/>
    <w:rsid w:val="00D17C63"/>
    <w:rsid w:val="00D17D6C"/>
    <w:rsid w:val="00D17DE0"/>
    <w:rsid w:val="00D17E16"/>
    <w:rsid w:val="00D20256"/>
    <w:rsid w:val="00D2030D"/>
    <w:rsid w:val="00D20C16"/>
    <w:rsid w:val="00D20D9F"/>
    <w:rsid w:val="00D21649"/>
    <w:rsid w:val="00D218FF"/>
    <w:rsid w:val="00D21B13"/>
    <w:rsid w:val="00D21FDF"/>
    <w:rsid w:val="00D22075"/>
    <w:rsid w:val="00D22977"/>
    <w:rsid w:val="00D22E9D"/>
    <w:rsid w:val="00D22FED"/>
    <w:rsid w:val="00D2317C"/>
    <w:rsid w:val="00D239BA"/>
    <w:rsid w:val="00D23B9A"/>
    <w:rsid w:val="00D242D7"/>
    <w:rsid w:val="00D244F9"/>
    <w:rsid w:val="00D2471B"/>
    <w:rsid w:val="00D248AB"/>
    <w:rsid w:val="00D248E9"/>
    <w:rsid w:val="00D24A78"/>
    <w:rsid w:val="00D25183"/>
    <w:rsid w:val="00D25C67"/>
    <w:rsid w:val="00D25EE5"/>
    <w:rsid w:val="00D2651D"/>
    <w:rsid w:val="00D265A3"/>
    <w:rsid w:val="00D266EC"/>
    <w:rsid w:val="00D269E0"/>
    <w:rsid w:val="00D26B79"/>
    <w:rsid w:val="00D26CA9"/>
    <w:rsid w:val="00D26D5F"/>
    <w:rsid w:val="00D27152"/>
    <w:rsid w:val="00D27972"/>
    <w:rsid w:val="00D30142"/>
    <w:rsid w:val="00D301D5"/>
    <w:rsid w:val="00D3049C"/>
    <w:rsid w:val="00D30785"/>
    <w:rsid w:val="00D3105E"/>
    <w:rsid w:val="00D3144A"/>
    <w:rsid w:val="00D3192F"/>
    <w:rsid w:val="00D31B94"/>
    <w:rsid w:val="00D32196"/>
    <w:rsid w:val="00D325F9"/>
    <w:rsid w:val="00D32644"/>
    <w:rsid w:val="00D329DD"/>
    <w:rsid w:val="00D3318A"/>
    <w:rsid w:val="00D3351B"/>
    <w:rsid w:val="00D3393F"/>
    <w:rsid w:val="00D33A1F"/>
    <w:rsid w:val="00D33D8C"/>
    <w:rsid w:val="00D33E68"/>
    <w:rsid w:val="00D34143"/>
    <w:rsid w:val="00D34781"/>
    <w:rsid w:val="00D34C26"/>
    <w:rsid w:val="00D35177"/>
    <w:rsid w:val="00D357FF"/>
    <w:rsid w:val="00D35CC7"/>
    <w:rsid w:val="00D35D5E"/>
    <w:rsid w:val="00D35E0E"/>
    <w:rsid w:val="00D3602E"/>
    <w:rsid w:val="00D36277"/>
    <w:rsid w:val="00D36429"/>
    <w:rsid w:val="00D369FE"/>
    <w:rsid w:val="00D36ED3"/>
    <w:rsid w:val="00D37EBA"/>
    <w:rsid w:val="00D37F12"/>
    <w:rsid w:val="00D4033F"/>
    <w:rsid w:val="00D403D3"/>
    <w:rsid w:val="00D409E4"/>
    <w:rsid w:val="00D411AE"/>
    <w:rsid w:val="00D412E5"/>
    <w:rsid w:val="00D41398"/>
    <w:rsid w:val="00D41DDE"/>
    <w:rsid w:val="00D41E75"/>
    <w:rsid w:val="00D41E93"/>
    <w:rsid w:val="00D42217"/>
    <w:rsid w:val="00D42521"/>
    <w:rsid w:val="00D42529"/>
    <w:rsid w:val="00D425B6"/>
    <w:rsid w:val="00D42D71"/>
    <w:rsid w:val="00D42ED0"/>
    <w:rsid w:val="00D4307A"/>
    <w:rsid w:val="00D4310F"/>
    <w:rsid w:val="00D434DA"/>
    <w:rsid w:val="00D43701"/>
    <w:rsid w:val="00D43C13"/>
    <w:rsid w:val="00D43C34"/>
    <w:rsid w:val="00D43DB8"/>
    <w:rsid w:val="00D440FC"/>
    <w:rsid w:val="00D44444"/>
    <w:rsid w:val="00D447AD"/>
    <w:rsid w:val="00D44A5A"/>
    <w:rsid w:val="00D44B06"/>
    <w:rsid w:val="00D44B5A"/>
    <w:rsid w:val="00D44C46"/>
    <w:rsid w:val="00D44DA5"/>
    <w:rsid w:val="00D451D4"/>
    <w:rsid w:val="00D455FA"/>
    <w:rsid w:val="00D45E43"/>
    <w:rsid w:val="00D45E8F"/>
    <w:rsid w:val="00D46010"/>
    <w:rsid w:val="00D46143"/>
    <w:rsid w:val="00D46232"/>
    <w:rsid w:val="00D463B5"/>
    <w:rsid w:val="00D463F2"/>
    <w:rsid w:val="00D465DE"/>
    <w:rsid w:val="00D46677"/>
    <w:rsid w:val="00D46768"/>
    <w:rsid w:val="00D46B66"/>
    <w:rsid w:val="00D46BD1"/>
    <w:rsid w:val="00D46EA3"/>
    <w:rsid w:val="00D47121"/>
    <w:rsid w:val="00D4714A"/>
    <w:rsid w:val="00D47321"/>
    <w:rsid w:val="00D47B00"/>
    <w:rsid w:val="00D50100"/>
    <w:rsid w:val="00D50134"/>
    <w:rsid w:val="00D502A1"/>
    <w:rsid w:val="00D503B4"/>
    <w:rsid w:val="00D50572"/>
    <w:rsid w:val="00D50991"/>
    <w:rsid w:val="00D509F1"/>
    <w:rsid w:val="00D50BEE"/>
    <w:rsid w:val="00D5104C"/>
    <w:rsid w:val="00D5108B"/>
    <w:rsid w:val="00D51130"/>
    <w:rsid w:val="00D51184"/>
    <w:rsid w:val="00D51434"/>
    <w:rsid w:val="00D51C9F"/>
    <w:rsid w:val="00D5201D"/>
    <w:rsid w:val="00D52104"/>
    <w:rsid w:val="00D526FB"/>
    <w:rsid w:val="00D528CC"/>
    <w:rsid w:val="00D529CF"/>
    <w:rsid w:val="00D52CB0"/>
    <w:rsid w:val="00D539F7"/>
    <w:rsid w:val="00D53A68"/>
    <w:rsid w:val="00D53C22"/>
    <w:rsid w:val="00D53D34"/>
    <w:rsid w:val="00D54034"/>
    <w:rsid w:val="00D5412A"/>
    <w:rsid w:val="00D541E0"/>
    <w:rsid w:val="00D54913"/>
    <w:rsid w:val="00D54BA4"/>
    <w:rsid w:val="00D54CB7"/>
    <w:rsid w:val="00D55064"/>
    <w:rsid w:val="00D550CC"/>
    <w:rsid w:val="00D5523F"/>
    <w:rsid w:val="00D556B5"/>
    <w:rsid w:val="00D55826"/>
    <w:rsid w:val="00D559AB"/>
    <w:rsid w:val="00D55D78"/>
    <w:rsid w:val="00D5628E"/>
    <w:rsid w:val="00D56327"/>
    <w:rsid w:val="00D56593"/>
    <w:rsid w:val="00D56650"/>
    <w:rsid w:val="00D56782"/>
    <w:rsid w:val="00D57239"/>
    <w:rsid w:val="00D573FD"/>
    <w:rsid w:val="00D5744C"/>
    <w:rsid w:val="00D57715"/>
    <w:rsid w:val="00D57B3C"/>
    <w:rsid w:val="00D57BAA"/>
    <w:rsid w:val="00D57DC5"/>
    <w:rsid w:val="00D57F3C"/>
    <w:rsid w:val="00D6018C"/>
    <w:rsid w:val="00D6039A"/>
    <w:rsid w:val="00D60825"/>
    <w:rsid w:val="00D60990"/>
    <w:rsid w:val="00D609ED"/>
    <w:rsid w:val="00D60A3C"/>
    <w:rsid w:val="00D60B2E"/>
    <w:rsid w:val="00D60F68"/>
    <w:rsid w:val="00D61165"/>
    <w:rsid w:val="00D613EC"/>
    <w:rsid w:val="00D61423"/>
    <w:rsid w:val="00D615A9"/>
    <w:rsid w:val="00D61EDC"/>
    <w:rsid w:val="00D61F74"/>
    <w:rsid w:val="00D61FBF"/>
    <w:rsid w:val="00D624CA"/>
    <w:rsid w:val="00D6277D"/>
    <w:rsid w:val="00D62F5B"/>
    <w:rsid w:val="00D6375C"/>
    <w:rsid w:val="00D63936"/>
    <w:rsid w:val="00D63B18"/>
    <w:rsid w:val="00D63E3E"/>
    <w:rsid w:val="00D63EEC"/>
    <w:rsid w:val="00D64348"/>
    <w:rsid w:val="00D64709"/>
    <w:rsid w:val="00D64766"/>
    <w:rsid w:val="00D647F8"/>
    <w:rsid w:val="00D648A8"/>
    <w:rsid w:val="00D64983"/>
    <w:rsid w:val="00D64B80"/>
    <w:rsid w:val="00D64BA1"/>
    <w:rsid w:val="00D64E48"/>
    <w:rsid w:val="00D65218"/>
    <w:rsid w:val="00D6542A"/>
    <w:rsid w:val="00D65911"/>
    <w:rsid w:val="00D65C80"/>
    <w:rsid w:val="00D65D4E"/>
    <w:rsid w:val="00D662BD"/>
    <w:rsid w:val="00D664BC"/>
    <w:rsid w:val="00D6681F"/>
    <w:rsid w:val="00D66B1C"/>
    <w:rsid w:val="00D66DE4"/>
    <w:rsid w:val="00D673AE"/>
    <w:rsid w:val="00D67985"/>
    <w:rsid w:val="00D700A2"/>
    <w:rsid w:val="00D7019B"/>
    <w:rsid w:val="00D70865"/>
    <w:rsid w:val="00D70A5D"/>
    <w:rsid w:val="00D70BCD"/>
    <w:rsid w:val="00D70D49"/>
    <w:rsid w:val="00D70D7E"/>
    <w:rsid w:val="00D71120"/>
    <w:rsid w:val="00D71527"/>
    <w:rsid w:val="00D71679"/>
    <w:rsid w:val="00D717D9"/>
    <w:rsid w:val="00D718E5"/>
    <w:rsid w:val="00D719A9"/>
    <w:rsid w:val="00D719CB"/>
    <w:rsid w:val="00D72099"/>
    <w:rsid w:val="00D72388"/>
    <w:rsid w:val="00D727DC"/>
    <w:rsid w:val="00D72AE5"/>
    <w:rsid w:val="00D72C56"/>
    <w:rsid w:val="00D72D24"/>
    <w:rsid w:val="00D73293"/>
    <w:rsid w:val="00D73313"/>
    <w:rsid w:val="00D73633"/>
    <w:rsid w:val="00D737C4"/>
    <w:rsid w:val="00D73936"/>
    <w:rsid w:val="00D73A1D"/>
    <w:rsid w:val="00D73BC2"/>
    <w:rsid w:val="00D73F67"/>
    <w:rsid w:val="00D74044"/>
    <w:rsid w:val="00D74121"/>
    <w:rsid w:val="00D745D6"/>
    <w:rsid w:val="00D746D9"/>
    <w:rsid w:val="00D74866"/>
    <w:rsid w:val="00D74902"/>
    <w:rsid w:val="00D756D1"/>
    <w:rsid w:val="00D75B01"/>
    <w:rsid w:val="00D75D05"/>
    <w:rsid w:val="00D7645A"/>
    <w:rsid w:val="00D766BC"/>
    <w:rsid w:val="00D76A44"/>
    <w:rsid w:val="00D76EE4"/>
    <w:rsid w:val="00D76FAC"/>
    <w:rsid w:val="00D772BC"/>
    <w:rsid w:val="00D7764D"/>
    <w:rsid w:val="00D776FA"/>
    <w:rsid w:val="00D77729"/>
    <w:rsid w:val="00D777A0"/>
    <w:rsid w:val="00D7783E"/>
    <w:rsid w:val="00D7786F"/>
    <w:rsid w:val="00D77DBD"/>
    <w:rsid w:val="00D77E4A"/>
    <w:rsid w:val="00D804DF"/>
    <w:rsid w:val="00D80E54"/>
    <w:rsid w:val="00D80FF0"/>
    <w:rsid w:val="00D813B1"/>
    <w:rsid w:val="00D8159A"/>
    <w:rsid w:val="00D82548"/>
    <w:rsid w:val="00D8276E"/>
    <w:rsid w:val="00D82A5F"/>
    <w:rsid w:val="00D8309F"/>
    <w:rsid w:val="00D833A6"/>
    <w:rsid w:val="00D83514"/>
    <w:rsid w:val="00D836C2"/>
    <w:rsid w:val="00D83761"/>
    <w:rsid w:val="00D8382A"/>
    <w:rsid w:val="00D8397C"/>
    <w:rsid w:val="00D83A7B"/>
    <w:rsid w:val="00D83DCA"/>
    <w:rsid w:val="00D83E99"/>
    <w:rsid w:val="00D83F5D"/>
    <w:rsid w:val="00D84046"/>
    <w:rsid w:val="00D84671"/>
    <w:rsid w:val="00D846B7"/>
    <w:rsid w:val="00D849C2"/>
    <w:rsid w:val="00D8506F"/>
    <w:rsid w:val="00D8535B"/>
    <w:rsid w:val="00D85455"/>
    <w:rsid w:val="00D855D6"/>
    <w:rsid w:val="00D85AE1"/>
    <w:rsid w:val="00D85CD0"/>
    <w:rsid w:val="00D85CFD"/>
    <w:rsid w:val="00D85DA6"/>
    <w:rsid w:val="00D861B1"/>
    <w:rsid w:val="00D86243"/>
    <w:rsid w:val="00D86314"/>
    <w:rsid w:val="00D8637B"/>
    <w:rsid w:val="00D86397"/>
    <w:rsid w:val="00D8648E"/>
    <w:rsid w:val="00D86703"/>
    <w:rsid w:val="00D8697F"/>
    <w:rsid w:val="00D8704D"/>
    <w:rsid w:val="00D871E5"/>
    <w:rsid w:val="00D8762A"/>
    <w:rsid w:val="00D87895"/>
    <w:rsid w:val="00D87A71"/>
    <w:rsid w:val="00D87B04"/>
    <w:rsid w:val="00D87FDF"/>
    <w:rsid w:val="00D9016E"/>
    <w:rsid w:val="00D908DE"/>
    <w:rsid w:val="00D90A93"/>
    <w:rsid w:val="00D90B25"/>
    <w:rsid w:val="00D90B70"/>
    <w:rsid w:val="00D90CCF"/>
    <w:rsid w:val="00D90D46"/>
    <w:rsid w:val="00D91245"/>
    <w:rsid w:val="00D91275"/>
    <w:rsid w:val="00D91314"/>
    <w:rsid w:val="00D915BD"/>
    <w:rsid w:val="00D91685"/>
    <w:rsid w:val="00D9175C"/>
    <w:rsid w:val="00D9198A"/>
    <w:rsid w:val="00D91B34"/>
    <w:rsid w:val="00D91D06"/>
    <w:rsid w:val="00D92061"/>
    <w:rsid w:val="00D92066"/>
    <w:rsid w:val="00D92824"/>
    <w:rsid w:val="00D92A71"/>
    <w:rsid w:val="00D9321E"/>
    <w:rsid w:val="00D9321F"/>
    <w:rsid w:val="00D93753"/>
    <w:rsid w:val="00D93AC5"/>
    <w:rsid w:val="00D93BD3"/>
    <w:rsid w:val="00D93BF1"/>
    <w:rsid w:val="00D93ED1"/>
    <w:rsid w:val="00D93FB5"/>
    <w:rsid w:val="00D94055"/>
    <w:rsid w:val="00D94070"/>
    <w:rsid w:val="00D941CF"/>
    <w:rsid w:val="00D9437B"/>
    <w:rsid w:val="00D947CF"/>
    <w:rsid w:val="00D9494B"/>
    <w:rsid w:val="00D951C4"/>
    <w:rsid w:val="00D953D3"/>
    <w:rsid w:val="00D956B6"/>
    <w:rsid w:val="00D95A4D"/>
    <w:rsid w:val="00D95AE8"/>
    <w:rsid w:val="00D95B5D"/>
    <w:rsid w:val="00D95C90"/>
    <w:rsid w:val="00D95DF0"/>
    <w:rsid w:val="00D95E30"/>
    <w:rsid w:val="00D96067"/>
    <w:rsid w:val="00D961E3"/>
    <w:rsid w:val="00D96BA6"/>
    <w:rsid w:val="00D96E05"/>
    <w:rsid w:val="00D96E29"/>
    <w:rsid w:val="00D96ED3"/>
    <w:rsid w:val="00D97090"/>
    <w:rsid w:val="00D973DF"/>
    <w:rsid w:val="00D97456"/>
    <w:rsid w:val="00D9760A"/>
    <w:rsid w:val="00D977AD"/>
    <w:rsid w:val="00DA0148"/>
    <w:rsid w:val="00DA0290"/>
    <w:rsid w:val="00DA041E"/>
    <w:rsid w:val="00DA0771"/>
    <w:rsid w:val="00DA0C1D"/>
    <w:rsid w:val="00DA0DCC"/>
    <w:rsid w:val="00DA10D3"/>
    <w:rsid w:val="00DA1254"/>
    <w:rsid w:val="00DA18BF"/>
    <w:rsid w:val="00DA1A6F"/>
    <w:rsid w:val="00DA2512"/>
    <w:rsid w:val="00DA295E"/>
    <w:rsid w:val="00DA2A60"/>
    <w:rsid w:val="00DA2D79"/>
    <w:rsid w:val="00DA2DE3"/>
    <w:rsid w:val="00DA37F5"/>
    <w:rsid w:val="00DA3ECA"/>
    <w:rsid w:val="00DA3FB0"/>
    <w:rsid w:val="00DA4597"/>
    <w:rsid w:val="00DA4A69"/>
    <w:rsid w:val="00DA4CB2"/>
    <w:rsid w:val="00DA4CE7"/>
    <w:rsid w:val="00DA4E0E"/>
    <w:rsid w:val="00DA5195"/>
    <w:rsid w:val="00DA582E"/>
    <w:rsid w:val="00DA5DC9"/>
    <w:rsid w:val="00DA6361"/>
    <w:rsid w:val="00DA6624"/>
    <w:rsid w:val="00DA6C5B"/>
    <w:rsid w:val="00DA728B"/>
    <w:rsid w:val="00DA73B7"/>
    <w:rsid w:val="00DA759F"/>
    <w:rsid w:val="00DA75F7"/>
    <w:rsid w:val="00DA77A5"/>
    <w:rsid w:val="00DA7919"/>
    <w:rsid w:val="00DA7B0F"/>
    <w:rsid w:val="00DB00CB"/>
    <w:rsid w:val="00DB0153"/>
    <w:rsid w:val="00DB0288"/>
    <w:rsid w:val="00DB0611"/>
    <w:rsid w:val="00DB0680"/>
    <w:rsid w:val="00DB07D3"/>
    <w:rsid w:val="00DB0852"/>
    <w:rsid w:val="00DB0B7A"/>
    <w:rsid w:val="00DB0E9F"/>
    <w:rsid w:val="00DB117E"/>
    <w:rsid w:val="00DB13E0"/>
    <w:rsid w:val="00DB14DE"/>
    <w:rsid w:val="00DB1541"/>
    <w:rsid w:val="00DB1988"/>
    <w:rsid w:val="00DB1A2B"/>
    <w:rsid w:val="00DB1FDB"/>
    <w:rsid w:val="00DB2438"/>
    <w:rsid w:val="00DB24A2"/>
    <w:rsid w:val="00DB24BC"/>
    <w:rsid w:val="00DB2648"/>
    <w:rsid w:val="00DB274E"/>
    <w:rsid w:val="00DB27C1"/>
    <w:rsid w:val="00DB2C26"/>
    <w:rsid w:val="00DB2C2D"/>
    <w:rsid w:val="00DB2FC8"/>
    <w:rsid w:val="00DB30C4"/>
    <w:rsid w:val="00DB335B"/>
    <w:rsid w:val="00DB36B6"/>
    <w:rsid w:val="00DB36BC"/>
    <w:rsid w:val="00DB38A2"/>
    <w:rsid w:val="00DB3A25"/>
    <w:rsid w:val="00DB3ABE"/>
    <w:rsid w:val="00DB3C3A"/>
    <w:rsid w:val="00DB3C53"/>
    <w:rsid w:val="00DB3CF8"/>
    <w:rsid w:val="00DB3DCC"/>
    <w:rsid w:val="00DB42EA"/>
    <w:rsid w:val="00DB47AF"/>
    <w:rsid w:val="00DB4C89"/>
    <w:rsid w:val="00DB4FE3"/>
    <w:rsid w:val="00DB50CB"/>
    <w:rsid w:val="00DB53E9"/>
    <w:rsid w:val="00DB54AE"/>
    <w:rsid w:val="00DB572D"/>
    <w:rsid w:val="00DB592A"/>
    <w:rsid w:val="00DB5987"/>
    <w:rsid w:val="00DB5CA1"/>
    <w:rsid w:val="00DB5D8C"/>
    <w:rsid w:val="00DB5F0F"/>
    <w:rsid w:val="00DB5FFE"/>
    <w:rsid w:val="00DB6030"/>
    <w:rsid w:val="00DB60D0"/>
    <w:rsid w:val="00DB62BF"/>
    <w:rsid w:val="00DB647E"/>
    <w:rsid w:val="00DB6525"/>
    <w:rsid w:val="00DB6D4F"/>
    <w:rsid w:val="00DB6DC6"/>
    <w:rsid w:val="00DB766C"/>
    <w:rsid w:val="00DB78F8"/>
    <w:rsid w:val="00DB7C32"/>
    <w:rsid w:val="00DB7F07"/>
    <w:rsid w:val="00DB7F4C"/>
    <w:rsid w:val="00DC023E"/>
    <w:rsid w:val="00DC0491"/>
    <w:rsid w:val="00DC07E4"/>
    <w:rsid w:val="00DC0807"/>
    <w:rsid w:val="00DC083D"/>
    <w:rsid w:val="00DC08C8"/>
    <w:rsid w:val="00DC094E"/>
    <w:rsid w:val="00DC0C0D"/>
    <w:rsid w:val="00DC0D17"/>
    <w:rsid w:val="00DC0E4B"/>
    <w:rsid w:val="00DC0F5B"/>
    <w:rsid w:val="00DC106A"/>
    <w:rsid w:val="00DC1407"/>
    <w:rsid w:val="00DC1412"/>
    <w:rsid w:val="00DC1968"/>
    <w:rsid w:val="00DC1A4B"/>
    <w:rsid w:val="00DC1E08"/>
    <w:rsid w:val="00DC213B"/>
    <w:rsid w:val="00DC21B3"/>
    <w:rsid w:val="00DC224B"/>
    <w:rsid w:val="00DC2371"/>
    <w:rsid w:val="00DC2418"/>
    <w:rsid w:val="00DC2829"/>
    <w:rsid w:val="00DC290D"/>
    <w:rsid w:val="00DC2A7F"/>
    <w:rsid w:val="00DC3094"/>
    <w:rsid w:val="00DC30B5"/>
    <w:rsid w:val="00DC31BF"/>
    <w:rsid w:val="00DC3448"/>
    <w:rsid w:val="00DC360D"/>
    <w:rsid w:val="00DC386C"/>
    <w:rsid w:val="00DC38D7"/>
    <w:rsid w:val="00DC3996"/>
    <w:rsid w:val="00DC3A1E"/>
    <w:rsid w:val="00DC3CD3"/>
    <w:rsid w:val="00DC4465"/>
    <w:rsid w:val="00DC47C0"/>
    <w:rsid w:val="00DC4839"/>
    <w:rsid w:val="00DC4D67"/>
    <w:rsid w:val="00DC4F8C"/>
    <w:rsid w:val="00DC5211"/>
    <w:rsid w:val="00DC53A9"/>
    <w:rsid w:val="00DC5501"/>
    <w:rsid w:val="00DC55DA"/>
    <w:rsid w:val="00DC5CF5"/>
    <w:rsid w:val="00DC6109"/>
    <w:rsid w:val="00DC6144"/>
    <w:rsid w:val="00DC6677"/>
    <w:rsid w:val="00DC67D4"/>
    <w:rsid w:val="00DC6A2E"/>
    <w:rsid w:val="00DC6DA6"/>
    <w:rsid w:val="00DC6E9A"/>
    <w:rsid w:val="00DC70DC"/>
    <w:rsid w:val="00DC74F1"/>
    <w:rsid w:val="00DC7740"/>
    <w:rsid w:val="00DC77B1"/>
    <w:rsid w:val="00DC795B"/>
    <w:rsid w:val="00DC7FC0"/>
    <w:rsid w:val="00DD0803"/>
    <w:rsid w:val="00DD0CD7"/>
    <w:rsid w:val="00DD100C"/>
    <w:rsid w:val="00DD121C"/>
    <w:rsid w:val="00DD144D"/>
    <w:rsid w:val="00DD16B2"/>
    <w:rsid w:val="00DD1927"/>
    <w:rsid w:val="00DD1BE9"/>
    <w:rsid w:val="00DD1CA0"/>
    <w:rsid w:val="00DD1F6C"/>
    <w:rsid w:val="00DD1F80"/>
    <w:rsid w:val="00DD258B"/>
    <w:rsid w:val="00DD2744"/>
    <w:rsid w:val="00DD2778"/>
    <w:rsid w:val="00DD2806"/>
    <w:rsid w:val="00DD2919"/>
    <w:rsid w:val="00DD2A37"/>
    <w:rsid w:val="00DD2BE3"/>
    <w:rsid w:val="00DD2C42"/>
    <w:rsid w:val="00DD2C59"/>
    <w:rsid w:val="00DD2CB8"/>
    <w:rsid w:val="00DD32AC"/>
    <w:rsid w:val="00DD34D1"/>
    <w:rsid w:val="00DD37D5"/>
    <w:rsid w:val="00DD392C"/>
    <w:rsid w:val="00DD3ABB"/>
    <w:rsid w:val="00DD3C9F"/>
    <w:rsid w:val="00DD3EF4"/>
    <w:rsid w:val="00DD3F28"/>
    <w:rsid w:val="00DD41F8"/>
    <w:rsid w:val="00DD4247"/>
    <w:rsid w:val="00DD4537"/>
    <w:rsid w:val="00DD46DD"/>
    <w:rsid w:val="00DD47F2"/>
    <w:rsid w:val="00DD482E"/>
    <w:rsid w:val="00DD4CFC"/>
    <w:rsid w:val="00DD4E15"/>
    <w:rsid w:val="00DD503D"/>
    <w:rsid w:val="00DD51CE"/>
    <w:rsid w:val="00DD5246"/>
    <w:rsid w:val="00DD524A"/>
    <w:rsid w:val="00DD563B"/>
    <w:rsid w:val="00DD5D31"/>
    <w:rsid w:val="00DD62A8"/>
    <w:rsid w:val="00DD6BEA"/>
    <w:rsid w:val="00DD7800"/>
    <w:rsid w:val="00DD7BD4"/>
    <w:rsid w:val="00DD7E7C"/>
    <w:rsid w:val="00DE0352"/>
    <w:rsid w:val="00DE05C7"/>
    <w:rsid w:val="00DE0610"/>
    <w:rsid w:val="00DE064A"/>
    <w:rsid w:val="00DE07DD"/>
    <w:rsid w:val="00DE083B"/>
    <w:rsid w:val="00DE144A"/>
    <w:rsid w:val="00DE153B"/>
    <w:rsid w:val="00DE168D"/>
    <w:rsid w:val="00DE1F81"/>
    <w:rsid w:val="00DE2C25"/>
    <w:rsid w:val="00DE2C39"/>
    <w:rsid w:val="00DE2DD2"/>
    <w:rsid w:val="00DE2E1C"/>
    <w:rsid w:val="00DE33BB"/>
    <w:rsid w:val="00DE39A9"/>
    <w:rsid w:val="00DE3EE5"/>
    <w:rsid w:val="00DE4318"/>
    <w:rsid w:val="00DE43D4"/>
    <w:rsid w:val="00DE473A"/>
    <w:rsid w:val="00DE4931"/>
    <w:rsid w:val="00DE4BBA"/>
    <w:rsid w:val="00DE4CC7"/>
    <w:rsid w:val="00DE4E0E"/>
    <w:rsid w:val="00DE4EA4"/>
    <w:rsid w:val="00DE4FCB"/>
    <w:rsid w:val="00DE52AC"/>
    <w:rsid w:val="00DE54FC"/>
    <w:rsid w:val="00DE5773"/>
    <w:rsid w:val="00DE5B7E"/>
    <w:rsid w:val="00DE6189"/>
    <w:rsid w:val="00DE6214"/>
    <w:rsid w:val="00DE6220"/>
    <w:rsid w:val="00DE676B"/>
    <w:rsid w:val="00DE6C1B"/>
    <w:rsid w:val="00DE6D4F"/>
    <w:rsid w:val="00DE6D93"/>
    <w:rsid w:val="00DE7105"/>
    <w:rsid w:val="00DE7647"/>
    <w:rsid w:val="00DF00D5"/>
    <w:rsid w:val="00DF0267"/>
    <w:rsid w:val="00DF046D"/>
    <w:rsid w:val="00DF0E51"/>
    <w:rsid w:val="00DF0ECB"/>
    <w:rsid w:val="00DF131B"/>
    <w:rsid w:val="00DF1502"/>
    <w:rsid w:val="00DF1A2D"/>
    <w:rsid w:val="00DF1DAE"/>
    <w:rsid w:val="00DF2B46"/>
    <w:rsid w:val="00DF2E45"/>
    <w:rsid w:val="00DF2ECB"/>
    <w:rsid w:val="00DF2F25"/>
    <w:rsid w:val="00DF2FF7"/>
    <w:rsid w:val="00DF33C1"/>
    <w:rsid w:val="00DF3424"/>
    <w:rsid w:val="00DF358A"/>
    <w:rsid w:val="00DF361E"/>
    <w:rsid w:val="00DF3B8E"/>
    <w:rsid w:val="00DF3C3E"/>
    <w:rsid w:val="00DF3D3F"/>
    <w:rsid w:val="00DF3F95"/>
    <w:rsid w:val="00DF41B6"/>
    <w:rsid w:val="00DF462F"/>
    <w:rsid w:val="00DF48E5"/>
    <w:rsid w:val="00DF4F43"/>
    <w:rsid w:val="00DF4FCC"/>
    <w:rsid w:val="00DF5083"/>
    <w:rsid w:val="00DF50C9"/>
    <w:rsid w:val="00DF5134"/>
    <w:rsid w:val="00DF518E"/>
    <w:rsid w:val="00DF53E8"/>
    <w:rsid w:val="00DF5826"/>
    <w:rsid w:val="00DF594F"/>
    <w:rsid w:val="00DF5975"/>
    <w:rsid w:val="00DF5B82"/>
    <w:rsid w:val="00DF5D2B"/>
    <w:rsid w:val="00DF5EA9"/>
    <w:rsid w:val="00DF6223"/>
    <w:rsid w:val="00DF69BA"/>
    <w:rsid w:val="00DF6B3A"/>
    <w:rsid w:val="00DF6D1B"/>
    <w:rsid w:val="00DF6E7B"/>
    <w:rsid w:val="00DF6F1D"/>
    <w:rsid w:val="00DF7463"/>
    <w:rsid w:val="00DF75BC"/>
    <w:rsid w:val="00DF75F3"/>
    <w:rsid w:val="00DF78C4"/>
    <w:rsid w:val="00DF7BFE"/>
    <w:rsid w:val="00DF7FC0"/>
    <w:rsid w:val="00E007B2"/>
    <w:rsid w:val="00E007FA"/>
    <w:rsid w:val="00E00923"/>
    <w:rsid w:val="00E00AD8"/>
    <w:rsid w:val="00E0142A"/>
    <w:rsid w:val="00E01433"/>
    <w:rsid w:val="00E016EF"/>
    <w:rsid w:val="00E018A7"/>
    <w:rsid w:val="00E01A88"/>
    <w:rsid w:val="00E01CD9"/>
    <w:rsid w:val="00E01F37"/>
    <w:rsid w:val="00E01F99"/>
    <w:rsid w:val="00E02073"/>
    <w:rsid w:val="00E02108"/>
    <w:rsid w:val="00E028AB"/>
    <w:rsid w:val="00E02B6A"/>
    <w:rsid w:val="00E02F1C"/>
    <w:rsid w:val="00E02F1F"/>
    <w:rsid w:val="00E0313C"/>
    <w:rsid w:val="00E03188"/>
    <w:rsid w:val="00E03341"/>
    <w:rsid w:val="00E03704"/>
    <w:rsid w:val="00E03AB7"/>
    <w:rsid w:val="00E03FEC"/>
    <w:rsid w:val="00E04007"/>
    <w:rsid w:val="00E04158"/>
    <w:rsid w:val="00E04232"/>
    <w:rsid w:val="00E04295"/>
    <w:rsid w:val="00E0438A"/>
    <w:rsid w:val="00E0453E"/>
    <w:rsid w:val="00E045B8"/>
    <w:rsid w:val="00E045C1"/>
    <w:rsid w:val="00E045D0"/>
    <w:rsid w:val="00E04784"/>
    <w:rsid w:val="00E04972"/>
    <w:rsid w:val="00E049C6"/>
    <w:rsid w:val="00E04C27"/>
    <w:rsid w:val="00E04CC4"/>
    <w:rsid w:val="00E04E47"/>
    <w:rsid w:val="00E04F98"/>
    <w:rsid w:val="00E05935"/>
    <w:rsid w:val="00E05962"/>
    <w:rsid w:val="00E063FB"/>
    <w:rsid w:val="00E06623"/>
    <w:rsid w:val="00E06DEA"/>
    <w:rsid w:val="00E0754C"/>
    <w:rsid w:val="00E075A5"/>
    <w:rsid w:val="00E07641"/>
    <w:rsid w:val="00E076E6"/>
    <w:rsid w:val="00E077BC"/>
    <w:rsid w:val="00E077DA"/>
    <w:rsid w:val="00E078A1"/>
    <w:rsid w:val="00E078AF"/>
    <w:rsid w:val="00E10149"/>
    <w:rsid w:val="00E10309"/>
    <w:rsid w:val="00E1042C"/>
    <w:rsid w:val="00E107F9"/>
    <w:rsid w:val="00E10940"/>
    <w:rsid w:val="00E10A02"/>
    <w:rsid w:val="00E11192"/>
    <w:rsid w:val="00E111F8"/>
    <w:rsid w:val="00E112B4"/>
    <w:rsid w:val="00E11590"/>
    <w:rsid w:val="00E11BAE"/>
    <w:rsid w:val="00E11D28"/>
    <w:rsid w:val="00E12277"/>
    <w:rsid w:val="00E12462"/>
    <w:rsid w:val="00E128F0"/>
    <w:rsid w:val="00E12C82"/>
    <w:rsid w:val="00E12DD6"/>
    <w:rsid w:val="00E1321E"/>
    <w:rsid w:val="00E1339F"/>
    <w:rsid w:val="00E135BC"/>
    <w:rsid w:val="00E13630"/>
    <w:rsid w:val="00E1401F"/>
    <w:rsid w:val="00E143CD"/>
    <w:rsid w:val="00E1459E"/>
    <w:rsid w:val="00E1480C"/>
    <w:rsid w:val="00E1480E"/>
    <w:rsid w:val="00E14994"/>
    <w:rsid w:val="00E15002"/>
    <w:rsid w:val="00E158E3"/>
    <w:rsid w:val="00E15A8E"/>
    <w:rsid w:val="00E15B87"/>
    <w:rsid w:val="00E15D92"/>
    <w:rsid w:val="00E15FBB"/>
    <w:rsid w:val="00E16011"/>
    <w:rsid w:val="00E16020"/>
    <w:rsid w:val="00E16372"/>
    <w:rsid w:val="00E165E6"/>
    <w:rsid w:val="00E16664"/>
    <w:rsid w:val="00E16695"/>
    <w:rsid w:val="00E168C1"/>
    <w:rsid w:val="00E16A9A"/>
    <w:rsid w:val="00E16E4F"/>
    <w:rsid w:val="00E16E6D"/>
    <w:rsid w:val="00E17395"/>
    <w:rsid w:val="00E17B60"/>
    <w:rsid w:val="00E17BBB"/>
    <w:rsid w:val="00E17F31"/>
    <w:rsid w:val="00E205D6"/>
    <w:rsid w:val="00E206AB"/>
    <w:rsid w:val="00E208FF"/>
    <w:rsid w:val="00E20A0C"/>
    <w:rsid w:val="00E20C5E"/>
    <w:rsid w:val="00E20D9D"/>
    <w:rsid w:val="00E20ED6"/>
    <w:rsid w:val="00E20F50"/>
    <w:rsid w:val="00E20F81"/>
    <w:rsid w:val="00E21014"/>
    <w:rsid w:val="00E21358"/>
    <w:rsid w:val="00E213AD"/>
    <w:rsid w:val="00E2140C"/>
    <w:rsid w:val="00E21734"/>
    <w:rsid w:val="00E21B19"/>
    <w:rsid w:val="00E21F24"/>
    <w:rsid w:val="00E2217E"/>
    <w:rsid w:val="00E2249B"/>
    <w:rsid w:val="00E2251B"/>
    <w:rsid w:val="00E22946"/>
    <w:rsid w:val="00E22A0D"/>
    <w:rsid w:val="00E22A44"/>
    <w:rsid w:val="00E22D45"/>
    <w:rsid w:val="00E22DB1"/>
    <w:rsid w:val="00E22DEF"/>
    <w:rsid w:val="00E23019"/>
    <w:rsid w:val="00E232D2"/>
    <w:rsid w:val="00E23755"/>
    <w:rsid w:val="00E237C2"/>
    <w:rsid w:val="00E23816"/>
    <w:rsid w:val="00E239A3"/>
    <w:rsid w:val="00E239B8"/>
    <w:rsid w:val="00E23B00"/>
    <w:rsid w:val="00E23D40"/>
    <w:rsid w:val="00E23F6D"/>
    <w:rsid w:val="00E23FFB"/>
    <w:rsid w:val="00E2400F"/>
    <w:rsid w:val="00E24039"/>
    <w:rsid w:val="00E240A1"/>
    <w:rsid w:val="00E24379"/>
    <w:rsid w:val="00E243BB"/>
    <w:rsid w:val="00E244A3"/>
    <w:rsid w:val="00E2460E"/>
    <w:rsid w:val="00E247CF"/>
    <w:rsid w:val="00E2497C"/>
    <w:rsid w:val="00E24ED8"/>
    <w:rsid w:val="00E24F7F"/>
    <w:rsid w:val="00E258F6"/>
    <w:rsid w:val="00E2598C"/>
    <w:rsid w:val="00E25ABC"/>
    <w:rsid w:val="00E25ABF"/>
    <w:rsid w:val="00E26074"/>
    <w:rsid w:val="00E26261"/>
    <w:rsid w:val="00E2627D"/>
    <w:rsid w:val="00E26516"/>
    <w:rsid w:val="00E265E4"/>
    <w:rsid w:val="00E268A0"/>
    <w:rsid w:val="00E26915"/>
    <w:rsid w:val="00E2697A"/>
    <w:rsid w:val="00E2697B"/>
    <w:rsid w:val="00E26E6E"/>
    <w:rsid w:val="00E273F8"/>
    <w:rsid w:val="00E276E5"/>
    <w:rsid w:val="00E2771E"/>
    <w:rsid w:val="00E27CB7"/>
    <w:rsid w:val="00E27D16"/>
    <w:rsid w:val="00E27D1D"/>
    <w:rsid w:val="00E27EDE"/>
    <w:rsid w:val="00E27F85"/>
    <w:rsid w:val="00E307B1"/>
    <w:rsid w:val="00E307E3"/>
    <w:rsid w:val="00E30C17"/>
    <w:rsid w:val="00E310D3"/>
    <w:rsid w:val="00E3159F"/>
    <w:rsid w:val="00E31873"/>
    <w:rsid w:val="00E31C60"/>
    <w:rsid w:val="00E31C9E"/>
    <w:rsid w:val="00E320E0"/>
    <w:rsid w:val="00E322E5"/>
    <w:rsid w:val="00E328E2"/>
    <w:rsid w:val="00E329AA"/>
    <w:rsid w:val="00E33045"/>
    <w:rsid w:val="00E33504"/>
    <w:rsid w:val="00E33DE9"/>
    <w:rsid w:val="00E33E99"/>
    <w:rsid w:val="00E33F5C"/>
    <w:rsid w:val="00E341B0"/>
    <w:rsid w:val="00E343F2"/>
    <w:rsid w:val="00E34731"/>
    <w:rsid w:val="00E348D9"/>
    <w:rsid w:val="00E34BA6"/>
    <w:rsid w:val="00E3501E"/>
    <w:rsid w:val="00E35100"/>
    <w:rsid w:val="00E3539E"/>
    <w:rsid w:val="00E35F09"/>
    <w:rsid w:val="00E3658D"/>
    <w:rsid w:val="00E36799"/>
    <w:rsid w:val="00E367B8"/>
    <w:rsid w:val="00E36960"/>
    <w:rsid w:val="00E36B19"/>
    <w:rsid w:val="00E36C4F"/>
    <w:rsid w:val="00E36F25"/>
    <w:rsid w:val="00E37144"/>
    <w:rsid w:val="00E3717B"/>
    <w:rsid w:val="00E3738D"/>
    <w:rsid w:val="00E37569"/>
    <w:rsid w:val="00E37626"/>
    <w:rsid w:val="00E37888"/>
    <w:rsid w:val="00E378DD"/>
    <w:rsid w:val="00E37B36"/>
    <w:rsid w:val="00E37C77"/>
    <w:rsid w:val="00E4005D"/>
    <w:rsid w:val="00E401E2"/>
    <w:rsid w:val="00E404BD"/>
    <w:rsid w:val="00E40AD3"/>
    <w:rsid w:val="00E40E4A"/>
    <w:rsid w:val="00E41090"/>
    <w:rsid w:val="00E410AC"/>
    <w:rsid w:val="00E4114F"/>
    <w:rsid w:val="00E4127D"/>
    <w:rsid w:val="00E413DE"/>
    <w:rsid w:val="00E415E5"/>
    <w:rsid w:val="00E415FE"/>
    <w:rsid w:val="00E4172F"/>
    <w:rsid w:val="00E419D3"/>
    <w:rsid w:val="00E41DB9"/>
    <w:rsid w:val="00E41E30"/>
    <w:rsid w:val="00E420E7"/>
    <w:rsid w:val="00E421BB"/>
    <w:rsid w:val="00E42215"/>
    <w:rsid w:val="00E423EC"/>
    <w:rsid w:val="00E42547"/>
    <w:rsid w:val="00E427EA"/>
    <w:rsid w:val="00E4280B"/>
    <w:rsid w:val="00E429AD"/>
    <w:rsid w:val="00E42A90"/>
    <w:rsid w:val="00E42B19"/>
    <w:rsid w:val="00E42C02"/>
    <w:rsid w:val="00E42D11"/>
    <w:rsid w:val="00E43417"/>
    <w:rsid w:val="00E43D70"/>
    <w:rsid w:val="00E43FDA"/>
    <w:rsid w:val="00E4473F"/>
    <w:rsid w:val="00E44AF6"/>
    <w:rsid w:val="00E44D2E"/>
    <w:rsid w:val="00E44E51"/>
    <w:rsid w:val="00E44E68"/>
    <w:rsid w:val="00E44FE6"/>
    <w:rsid w:val="00E456F3"/>
    <w:rsid w:val="00E457DD"/>
    <w:rsid w:val="00E458C8"/>
    <w:rsid w:val="00E45C15"/>
    <w:rsid w:val="00E45C75"/>
    <w:rsid w:val="00E45CEF"/>
    <w:rsid w:val="00E45F47"/>
    <w:rsid w:val="00E46101"/>
    <w:rsid w:val="00E47B2C"/>
    <w:rsid w:val="00E47CEE"/>
    <w:rsid w:val="00E47F6B"/>
    <w:rsid w:val="00E50016"/>
    <w:rsid w:val="00E50660"/>
    <w:rsid w:val="00E50D2B"/>
    <w:rsid w:val="00E5114A"/>
    <w:rsid w:val="00E511BC"/>
    <w:rsid w:val="00E51213"/>
    <w:rsid w:val="00E513F3"/>
    <w:rsid w:val="00E51544"/>
    <w:rsid w:val="00E51560"/>
    <w:rsid w:val="00E51A5A"/>
    <w:rsid w:val="00E51D46"/>
    <w:rsid w:val="00E51EF5"/>
    <w:rsid w:val="00E524F7"/>
    <w:rsid w:val="00E5272F"/>
    <w:rsid w:val="00E52A14"/>
    <w:rsid w:val="00E52C63"/>
    <w:rsid w:val="00E531E7"/>
    <w:rsid w:val="00E536EC"/>
    <w:rsid w:val="00E53758"/>
    <w:rsid w:val="00E53834"/>
    <w:rsid w:val="00E539E7"/>
    <w:rsid w:val="00E53E69"/>
    <w:rsid w:val="00E5416C"/>
    <w:rsid w:val="00E54194"/>
    <w:rsid w:val="00E5428F"/>
    <w:rsid w:val="00E546A3"/>
    <w:rsid w:val="00E548C5"/>
    <w:rsid w:val="00E54A99"/>
    <w:rsid w:val="00E54AFB"/>
    <w:rsid w:val="00E55424"/>
    <w:rsid w:val="00E5544A"/>
    <w:rsid w:val="00E55612"/>
    <w:rsid w:val="00E5561A"/>
    <w:rsid w:val="00E55A1D"/>
    <w:rsid w:val="00E55BB5"/>
    <w:rsid w:val="00E563F7"/>
    <w:rsid w:val="00E56C85"/>
    <w:rsid w:val="00E574E0"/>
    <w:rsid w:val="00E57AA4"/>
    <w:rsid w:val="00E57CBF"/>
    <w:rsid w:val="00E57E71"/>
    <w:rsid w:val="00E57F09"/>
    <w:rsid w:val="00E57F1B"/>
    <w:rsid w:val="00E602EE"/>
    <w:rsid w:val="00E60F1F"/>
    <w:rsid w:val="00E61044"/>
    <w:rsid w:val="00E61158"/>
    <w:rsid w:val="00E61192"/>
    <w:rsid w:val="00E61194"/>
    <w:rsid w:val="00E6122A"/>
    <w:rsid w:val="00E612BC"/>
    <w:rsid w:val="00E6130C"/>
    <w:rsid w:val="00E61786"/>
    <w:rsid w:val="00E61844"/>
    <w:rsid w:val="00E61BD5"/>
    <w:rsid w:val="00E61D36"/>
    <w:rsid w:val="00E62212"/>
    <w:rsid w:val="00E62488"/>
    <w:rsid w:val="00E62CBD"/>
    <w:rsid w:val="00E63399"/>
    <w:rsid w:val="00E6394B"/>
    <w:rsid w:val="00E63DF1"/>
    <w:rsid w:val="00E63E7A"/>
    <w:rsid w:val="00E63F1E"/>
    <w:rsid w:val="00E640FE"/>
    <w:rsid w:val="00E641B7"/>
    <w:rsid w:val="00E646DD"/>
    <w:rsid w:val="00E64717"/>
    <w:rsid w:val="00E6479A"/>
    <w:rsid w:val="00E649D2"/>
    <w:rsid w:val="00E64B31"/>
    <w:rsid w:val="00E64BA9"/>
    <w:rsid w:val="00E6572F"/>
    <w:rsid w:val="00E65B13"/>
    <w:rsid w:val="00E65B7E"/>
    <w:rsid w:val="00E65DAB"/>
    <w:rsid w:val="00E65E14"/>
    <w:rsid w:val="00E65E79"/>
    <w:rsid w:val="00E6618D"/>
    <w:rsid w:val="00E6631B"/>
    <w:rsid w:val="00E66650"/>
    <w:rsid w:val="00E66952"/>
    <w:rsid w:val="00E66D9A"/>
    <w:rsid w:val="00E67014"/>
    <w:rsid w:val="00E67416"/>
    <w:rsid w:val="00E67C1C"/>
    <w:rsid w:val="00E67DBF"/>
    <w:rsid w:val="00E67F63"/>
    <w:rsid w:val="00E7039C"/>
    <w:rsid w:val="00E70B59"/>
    <w:rsid w:val="00E70D82"/>
    <w:rsid w:val="00E70E02"/>
    <w:rsid w:val="00E70E1C"/>
    <w:rsid w:val="00E70FF4"/>
    <w:rsid w:val="00E7175B"/>
    <w:rsid w:val="00E718B6"/>
    <w:rsid w:val="00E71A68"/>
    <w:rsid w:val="00E71DE4"/>
    <w:rsid w:val="00E721FA"/>
    <w:rsid w:val="00E7223B"/>
    <w:rsid w:val="00E72272"/>
    <w:rsid w:val="00E72563"/>
    <w:rsid w:val="00E72BFD"/>
    <w:rsid w:val="00E72F6E"/>
    <w:rsid w:val="00E73581"/>
    <w:rsid w:val="00E73873"/>
    <w:rsid w:val="00E73920"/>
    <w:rsid w:val="00E73B7E"/>
    <w:rsid w:val="00E73E56"/>
    <w:rsid w:val="00E740F3"/>
    <w:rsid w:val="00E7416C"/>
    <w:rsid w:val="00E74306"/>
    <w:rsid w:val="00E7461C"/>
    <w:rsid w:val="00E746CF"/>
    <w:rsid w:val="00E74943"/>
    <w:rsid w:val="00E75016"/>
    <w:rsid w:val="00E7526E"/>
    <w:rsid w:val="00E7526F"/>
    <w:rsid w:val="00E752F9"/>
    <w:rsid w:val="00E7577F"/>
    <w:rsid w:val="00E757A7"/>
    <w:rsid w:val="00E75981"/>
    <w:rsid w:val="00E75B23"/>
    <w:rsid w:val="00E75D3E"/>
    <w:rsid w:val="00E75DEA"/>
    <w:rsid w:val="00E762A0"/>
    <w:rsid w:val="00E76375"/>
    <w:rsid w:val="00E763A1"/>
    <w:rsid w:val="00E763AD"/>
    <w:rsid w:val="00E763FA"/>
    <w:rsid w:val="00E76508"/>
    <w:rsid w:val="00E76576"/>
    <w:rsid w:val="00E766EE"/>
    <w:rsid w:val="00E76B7B"/>
    <w:rsid w:val="00E77143"/>
    <w:rsid w:val="00E773DB"/>
    <w:rsid w:val="00E775C0"/>
    <w:rsid w:val="00E776F0"/>
    <w:rsid w:val="00E7779F"/>
    <w:rsid w:val="00E778E8"/>
    <w:rsid w:val="00E7791E"/>
    <w:rsid w:val="00E77AF2"/>
    <w:rsid w:val="00E77F3D"/>
    <w:rsid w:val="00E77F44"/>
    <w:rsid w:val="00E80011"/>
    <w:rsid w:val="00E80063"/>
    <w:rsid w:val="00E80289"/>
    <w:rsid w:val="00E80617"/>
    <w:rsid w:val="00E807A0"/>
    <w:rsid w:val="00E807E7"/>
    <w:rsid w:val="00E80836"/>
    <w:rsid w:val="00E80A14"/>
    <w:rsid w:val="00E80BBE"/>
    <w:rsid w:val="00E80C79"/>
    <w:rsid w:val="00E818D3"/>
    <w:rsid w:val="00E8191D"/>
    <w:rsid w:val="00E81C0D"/>
    <w:rsid w:val="00E81E11"/>
    <w:rsid w:val="00E81E45"/>
    <w:rsid w:val="00E81EEB"/>
    <w:rsid w:val="00E82622"/>
    <w:rsid w:val="00E82ABB"/>
    <w:rsid w:val="00E83ADD"/>
    <w:rsid w:val="00E83BBC"/>
    <w:rsid w:val="00E83BDF"/>
    <w:rsid w:val="00E8426E"/>
    <w:rsid w:val="00E8431A"/>
    <w:rsid w:val="00E84606"/>
    <w:rsid w:val="00E8468F"/>
    <w:rsid w:val="00E8511B"/>
    <w:rsid w:val="00E8512F"/>
    <w:rsid w:val="00E8516D"/>
    <w:rsid w:val="00E851D2"/>
    <w:rsid w:val="00E85423"/>
    <w:rsid w:val="00E856CD"/>
    <w:rsid w:val="00E8572D"/>
    <w:rsid w:val="00E85BC4"/>
    <w:rsid w:val="00E85E64"/>
    <w:rsid w:val="00E861B6"/>
    <w:rsid w:val="00E86249"/>
    <w:rsid w:val="00E86287"/>
    <w:rsid w:val="00E8636A"/>
    <w:rsid w:val="00E8674B"/>
    <w:rsid w:val="00E86D1C"/>
    <w:rsid w:val="00E86E77"/>
    <w:rsid w:val="00E87102"/>
    <w:rsid w:val="00E87374"/>
    <w:rsid w:val="00E8766E"/>
    <w:rsid w:val="00E878AF"/>
    <w:rsid w:val="00E87933"/>
    <w:rsid w:val="00E87B32"/>
    <w:rsid w:val="00E87B3F"/>
    <w:rsid w:val="00E87BC0"/>
    <w:rsid w:val="00E87D08"/>
    <w:rsid w:val="00E9021A"/>
    <w:rsid w:val="00E903FF"/>
    <w:rsid w:val="00E90460"/>
    <w:rsid w:val="00E906C7"/>
    <w:rsid w:val="00E90841"/>
    <w:rsid w:val="00E908B9"/>
    <w:rsid w:val="00E90941"/>
    <w:rsid w:val="00E90995"/>
    <w:rsid w:val="00E90BA5"/>
    <w:rsid w:val="00E91430"/>
    <w:rsid w:val="00E9151C"/>
    <w:rsid w:val="00E91548"/>
    <w:rsid w:val="00E9164F"/>
    <w:rsid w:val="00E92215"/>
    <w:rsid w:val="00E92287"/>
    <w:rsid w:val="00E9232F"/>
    <w:rsid w:val="00E924A9"/>
    <w:rsid w:val="00E9271C"/>
    <w:rsid w:val="00E92928"/>
    <w:rsid w:val="00E92947"/>
    <w:rsid w:val="00E92B33"/>
    <w:rsid w:val="00E9312E"/>
    <w:rsid w:val="00E93190"/>
    <w:rsid w:val="00E936B3"/>
    <w:rsid w:val="00E93703"/>
    <w:rsid w:val="00E93901"/>
    <w:rsid w:val="00E93D1D"/>
    <w:rsid w:val="00E94330"/>
    <w:rsid w:val="00E9450F"/>
    <w:rsid w:val="00E945F0"/>
    <w:rsid w:val="00E9494F"/>
    <w:rsid w:val="00E94C07"/>
    <w:rsid w:val="00E94F49"/>
    <w:rsid w:val="00E94FBE"/>
    <w:rsid w:val="00E95069"/>
    <w:rsid w:val="00E9513C"/>
    <w:rsid w:val="00E9534D"/>
    <w:rsid w:val="00E957C3"/>
    <w:rsid w:val="00E959D0"/>
    <w:rsid w:val="00E95AC5"/>
    <w:rsid w:val="00E95D3E"/>
    <w:rsid w:val="00E95F85"/>
    <w:rsid w:val="00E95FB6"/>
    <w:rsid w:val="00E964DA"/>
    <w:rsid w:val="00E9671B"/>
    <w:rsid w:val="00E96ADB"/>
    <w:rsid w:val="00E96E3D"/>
    <w:rsid w:val="00E973C5"/>
    <w:rsid w:val="00E97510"/>
    <w:rsid w:val="00E978DB"/>
    <w:rsid w:val="00E97BB4"/>
    <w:rsid w:val="00E97F95"/>
    <w:rsid w:val="00EA008F"/>
    <w:rsid w:val="00EA037B"/>
    <w:rsid w:val="00EA05F4"/>
    <w:rsid w:val="00EA06B4"/>
    <w:rsid w:val="00EA08C6"/>
    <w:rsid w:val="00EA0D07"/>
    <w:rsid w:val="00EA0DD0"/>
    <w:rsid w:val="00EA0DD8"/>
    <w:rsid w:val="00EA0DE8"/>
    <w:rsid w:val="00EA1128"/>
    <w:rsid w:val="00EA11CB"/>
    <w:rsid w:val="00EA13CD"/>
    <w:rsid w:val="00EA148F"/>
    <w:rsid w:val="00EA186A"/>
    <w:rsid w:val="00EA18A7"/>
    <w:rsid w:val="00EA19B7"/>
    <w:rsid w:val="00EA1D2C"/>
    <w:rsid w:val="00EA1EB7"/>
    <w:rsid w:val="00EA20F6"/>
    <w:rsid w:val="00EA2AB2"/>
    <w:rsid w:val="00EA2B5A"/>
    <w:rsid w:val="00EA2D27"/>
    <w:rsid w:val="00EA32AC"/>
    <w:rsid w:val="00EA32C8"/>
    <w:rsid w:val="00EA343A"/>
    <w:rsid w:val="00EA3756"/>
    <w:rsid w:val="00EA3864"/>
    <w:rsid w:val="00EA3C9C"/>
    <w:rsid w:val="00EA3C9E"/>
    <w:rsid w:val="00EA3F38"/>
    <w:rsid w:val="00EA406D"/>
    <w:rsid w:val="00EA4095"/>
    <w:rsid w:val="00EA41D1"/>
    <w:rsid w:val="00EA4212"/>
    <w:rsid w:val="00EA439E"/>
    <w:rsid w:val="00EA4430"/>
    <w:rsid w:val="00EA461B"/>
    <w:rsid w:val="00EA4714"/>
    <w:rsid w:val="00EA47EE"/>
    <w:rsid w:val="00EA491D"/>
    <w:rsid w:val="00EA49EB"/>
    <w:rsid w:val="00EA4FB6"/>
    <w:rsid w:val="00EA5901"/>
    <w:rsid w:val="00EA5BEA"/>
    <w:rsid w:val="00EA608E"/>
    <w:rsid w:val="00EA6261"/>
    <w:rsid w:val="00EA6476"/>
    <w:rsid w:val="00EA66DF"/>
    <w:rsid w:val="00EA67FE"/>
    <w:rsid w:val="00EA6CD9"/>
    <w:rsid w:val="00EA6DBE"/>
    <w:rsid w:val="00EA700A"/>
    <w:rsid w:val="00EA71AC"/>
    <w:rsid w:val="00EA7BD8"/>
    <w:rsid w:val="00EA7C1F"/>
    <w:rsid w:val="00EA7C23"/>
    <w:rsid w:val="00EA7F50"/>
    <w:rsid w:val="00EB0004"/>
    <w:rsid w:val="00EB0126"/>
    <w:rsid w:val="00EB085F"/>
    <w:rsid w:val="00EB0D6B"/>
    <w:rsid w:val="00EB0F88"/>
    <w:rsid w:val="00EB15B6"/>
    <w:rsid w:val="00EB17F1"/>
    <w:rsid w:val="00EB192D"/>
    <w:rsid w:val="00EB1B43"/>
    <w:rsid w:val="00EB2232"/>
    <w:rsid w:val="00EB2FF5"/>
    <w:rsid w:val="00EB2FFD"/>
    <w:rsid w:val="00EB3101"/>
    <w:rsid w:val="00EB31ED"/>
    <w:rsid w:val="00EB33B4"/>
    <w:rsid w:val="00EB37DF"/>
    <w:rsid w:val="00EB3850"/>
    <w:rsid w:val="00EB39A0"/>
    <w:rsid w:val="00EB39A4"/>
    <w:rsid w:val="00EB3C66"/>
    <w:rsid w:val="00EB3CB8"/>
    <w:rsid w:val="00EB3F83"/>
    <w:rsid w:val="00EB4199"/>
    <w:rsid w:val="00EB4209"/>
    <w:rsid w:val="00EB4311"/>
    <w:rsid w:val="00EB4916"/>
    <w:rsid w:val="00EB495F"/>
    <w:rsid w:val="00EB4A7D"/>
    <w:rsid w:val="00EB4CE1"/>
    <w:rsid w:val="00EB50D6"/>
    <w:rsid w:val="00EB5277"/>
    <w:rsid w:val="00EB5286"/>
    <w:rsid w:val="00EB5364"/>
    <w:rsid w:val="00EB537D"/>
    <w:rsid w:val="00EB5581"/>
    <w:rsid w:val="00EB56FA"/>
    <w:rsid w:val="00EB5868"/>
    <w:rsid w:val="00EB59DE"/>
    <w:rsid w:val="00EB66A9"/>
    <w:rsid w:val="00EB6769"/>
    <w:rsid w:val="00EB6995"/>
    <w:rsid w:val="00EB6D3D"/>
    <w:rsid w:val="00EB74E3"/>
    <w:rsid w:val="00EB7FAD"/>
    <w:rsid w:val="00EC00C9"/>
    <w:rsid w:val="00EC00F1"/>
    <w:rsid w:val="00EC024C"/>
    <w:rsid w:val="00EC02E6"/>
    <w:rsid w:val="00EC032A"/>
    <w:rsid w:val="00EC041D"/>
    <w:rsid w:val="00EC060C"/>
    <w:rsid w:val="00EC07A4"/>
    <w:rsid w:val="00EC0925"/>
    <w:rsid w:val="00EC1443"/>
    <w:rsid w:val="00EC164F"/>
    <w:rsid w:val="00EC178E"/>
    <w:rsid w:val="00EC1BD6"/>
    <w:rsid w:val="00EC1F7C"/>
    <w:rsid w:val="00EC2198"/>
    <w:rsid w:val="00EC22F1"/>
    <w:rsid w:val="00EC23CF"/>
    <w:rsid w:val="00EC29D9"/>
    <w:rsid w:val="00EC2A0B"/>
    <w:rsid w:val="00EC357C"/>
    <w:rsid w:val="00EC35DA"/>
    <w:rsid w:val="00EC3898"/>
    <w:rsid w:val="00EC3E55"/>
    <w:rsid w:val="00EC436D"/>
    <w:rsid w:val="00EC4478"/>
    <w:rsid w:val="00EC4BAA"/>
    <w:rsid w:val="00EC4E68"/>
    <w:rsid w:val="00EC4F15"/>
    <w:rsid w:val="00EC534D"/>
    <w:rsid w:val="00EC5424"/>
    <w:rsid w:val="00EC55B2"/>
    <w:rsid w:val="00EC5966"/>
    <w:rsid w:val="00EC6188"/>
    <w:rsid w:val="00EC66B5"/>
    <w:rsid w:val="00EC677A"/>
    <w:rsid w:val="00EC690E"/>
    <w:rsid w:val="00EC718C"/>
    <w:rsid w:val="00EC718E"/>
    <w:rsid w:val="00EC760F"/>
    <w:rsid w:val="00EC7B40"/>
    <w:rsid w:val="00EC7DE3"/>
    <w:rsid w:val="00ED01B0"/>
    <w:rsid w:val="00ED0411"/>
    <w:rsid w:val="00ED05B3"/>
    <w:rsid w:val="00ED0877"/>
    <w:rsid w:val="00ED0CEB"/>
    <w:rsid w:val="00ED0D0E"/>
    <w:rsid w:val="00ED0F47"/>
    <w:rsid w:val="00ED113D"/>
    <w:rsid w:val="00ED137D"/>
    <w:rsid w:val="00ED1431"/>
    <w:rsid w:val="00ED1650"/>
    <w:rsid w:val="00ED1712"/>
    <w:rsid w:val="00ED181F"/>
    <w:rsid w:val="00ED1A8A"/>
    <w:rsid w:val="00ED1B4B"/>
    <w:rsid w:val="00ED1D03"/>
    <w:rsid w:val="00ED2ABE"/>
    <w:rsid w:val="00ED2B29"/>
    <w:rsid w:val="00ED2DD5"/>
    <w:rsid w:val="00ED2E15"/>
    <w:rsid w:val="00ED2F46"/>
    <w:rsid w:val="00ED31DA"/>
    <w:rsid w:val="00ED323B"/>
    <w:rsid w:val="00ED329B"/>
    <w:rsid w:val="00ED386F"/>
    <w:rsid w:val="00ED3915"/>
    <w:rsid w:val="00ED393A"/>
    <w:rsid w:val="00ED399F"/>
    <w:rsid w:val="00ED3A20"/>
    <w:rsid w:val="00ED3A50"/>
    <w:rsid w:val="00ED3ACE"/>
    <w:rsid w:val="00ED3BC5"/>
    <w:rsid w:val="00ED3D14"/>
    <w:rsid w:val="00ED40B6"/>
    <w:rsid w:val="00ED4130"/>
    <w:rsid w:val="00ED4171"/>
    <w:rsid w:val="00ED467A"/>
    <w:rsid w:val="00ED54EA"/>
    <w:rsid w:val="00ED567C"/>
    <w:rsid w:val="00ED585E"/>
    <w:rsid w:val="00ED5E80"/>
    <w:rsid w:val="00ED63D1"/>
    <w:rsid w:val="00ED643C"/>
    <w:rsid w:val="00ED66EF"/>
    <w:rsid w:val="00ED68B3"/>
    <w:rsid w:val="00ED6AEC"/>
    <w:rsid w:val="00ED6CA0"/>
    <w:rsid w:val="00ED6D11"/>
    <w:rsid w:val="00ED70A8"/>
    <w:rsid w:val="00ED758E"/>
    <w:rsid w:val="00ED75FB"/>
    <w:rsid w:val="00ED7B16"/>
    <w:rsid w:val="00ED7C9F"/>
    <w:rsid w:val="00EE0057"/>
    <w:rsid w:val="00EE01D1"/>
    <w:rsid w:val="00EE07D3"/>
    <w:rsid w:val="00EE0F3B"/>
    <w:rsid w:val="00EE0F6E"/>
    <w:rsid w:val="00EE1196"/>
    <w:rsid w:val="00EE11B5"/>
    <w:rsid w:val="00EE1301"/>
    <w:rsid w:val="00EE15B3"/>
    <w:rsid w:val="00EE183D"/>
    <w:rsid w:val="00EE187F"/>
    <w:rsid w:val="00EE1AA2"/>
    <w:rsid w:val="00EE1B09"/>
    <w:rsid w:val="00EE1ED3"/>
    <w:rsid w:val="00EE21D4"/>
    <w:rsid w:val="00EE2337"/>
    <w:rsid w:val="00EE2367"/>
    <w:rsid w:val="00EE266F"/>
    <w:rsid w:val="00EE28F6"/>
    <w:rsid w:val="00EE299F"/>
    <w:rsid w:val="00EE2CEE"/>
    <w:rsid w:val="00EE2CF0"/>
    <w:rsid w:val="00EE2D23"/>
    <w:rsid w:val="00EE3148"/>
    <w:rsid w:val="00EE3360"/>
    <w:rsid w:val="00EE34EA"/>
    <w:rsid w:val="00EE3C6F"/>
    <w:rsid w:val="00EE4003"/>
    <w:rsid w:val="00EE40E0"/>
    <w:rsid w:val="00EE4906"/>
    <w:rsid w:val="00EE4942"/>
    <w:rsid w:val="00EE548E"/>
    <w:rsid w:val="00EE571E"/>
    <w:rsid w:val="00EE574E"/>
    <w:rsid w:val="00EE593D"/>
    <w:rsid w:val="00EE5972"/>
    <w:rsid w:val="00EE59F6"/>
    <w:rsid w:val="00EE5A56"/>
    <w:rsid w:val="00EE5B24"/>
    <w:rsid w:val="00EE64F0"/>
    <w:rsid w:val="00EE654D"/>
    <w:rsid w:val="00EE6756"/>
    <w:rsid w:val="00EE6ACB"/>
    <w:rsid w:val="00EE6BA1"/>
    <w:rsid w:val="00EE6C9C"/>
    <w:rsid w:val="00EE7038"/>
    <w:rsid w:val="00EE72BD"/>
    <w:rsid w:val="00EE7325"/>
    <w:rsid w:val="00EE7C16"/>
    <w:rsid w:val="00EE7CCE"/>
    <w:rsid w:val="00EE7EEB"/>
    <w:rsid w:val="00EF049A"/>
    <w:rsid w:val="00EF06D8"/>
    <w:rsid w:val="00EF07D9"/>
    <w:rsid w:val="00EF091D"/>
    <w:rsid w:val="00EF091F"/>
    <w:rsid w:val="00EF0BAF"/>
    <w:rsid w:val="00EF0BFD"/>
    <w:rsid w:val="00EF0DE6"/>
    <w:rsid w:val="00EF1016"/>
    <w:rsid w:val="00EF14E2"/>
    <w:rsid w:val="00EF16C7"/>
    <w:rsid w:val="00EF1754"/>
    <w:rsid w:val="00EF189B"/>
    <w:rsid w:val="00EF19A5"/>
    <w:rsid w:val="00EF1AB6"/>
    <w:rsid w:val="00EF1D67"/>
    <w:rsid w:val="00EF1EF2"/>
    <w:rsid w:val="00EF202C"/>
    <w:rsid w:val="00EF21CA"/>
    <w:rsid w:val="00EF24B2"/>
    <w:rsid w:val="00EF284F"/>
    <w:rsid w:val="00EF2F00"/>
    <w:rsid w:val="00EF2F26"/>
    <w:rsid w:val="00EF3103"/>
    <w:rsid w:val="00EF3115"/>
    <w:rsid w:val="00EF3192"/>
    <w:rsid w:val="00EF355C"/>
    <w:rsid w:val="00EF3855"/>
    <w:rsid w:val="00EF39BA"/>
    <w:rsid w:val="00EF3A31"/>
    <w:rsid w:val="00EF3C8F"/>
    <w:rsid w:val="00EF3F3E"/>
    <w:rsid w:val="00EF4217"/>
    <w:rsid w:val="00EF439B"/>
    <w:rsid w:val="00EF4BD6"/>
    <w:rsid w:val="00EF4E83"/>
    <w:rsid w:val="00EF51F7"/>
    <w:rsid w:val="00EF52A7"/>
    <w:rsid w:val="00EF53BD"/>
    <w:rsid w:val="00EF5AA9"/>
    <w:rsid w:val="00EF5E8F"/>
    <w:rsid w:val="00EF6039"/>
    <w:rsid w:val="00EF6258"/>
    <w:rsid w:val="00EF64CD"/>
    <w:rsid w:val="00EF64F8"/>
    <w:rsid w:val="00EF654D"/>
    <w:rsid w:val="00EF65C0"/>
    <w:rsid w:val="00EF669E"/>
    <w:rsid w:val="00EF6B5C"/>
    <w:rsid w:val="00EF6C6A"/>
    <w:rsid w:val="00EF6D48"/>
    <w:rsid w:val="00EF6F22"/>
    <w:rsid w:val="00EF6F74"/>
    <w:rsid w:val="00EF6FB7"/>
    <w:rsid w:val="00EF785A"/>
    <w:rsid w:val="00EF7AE2"/>
    <w:rsid w:val="00EF7C74"/>
    <w:rsid w:val="00F00284"/>
    <w:rsid w:val="00F00309"/>
    <w:rsid w:val="00F004F2"/>
    <w:rsid w:val="00F008AF"/>
    <w:rsid w:val="00F00925"/>
    <w:rsid w:val="00F00C94"/>
    <w:rsid w:val="00F00D07"/>
    <w:rsid w:val="00F00DE1"/>
    <w:rsid w:val="00F00ED5"/>
    <w:rsid w:val="00F01412"/>
    <w:rsid w:val="00F014EB"/>
    <w:rsid w:val="00F018B1"/>
    <w:rsid w:val="00F01B2D"/>
    <w:rsid w:val="00F01C56"/>
    <w:rsid w:val="00F01F34"/>
    <w:rsid w:val="00F02184"/>
    <w:rsid w:val="00F02912"/>
    <w:rsid w:val="00F02928"/>
    <w:rsid w:val="00F02C29"/>
    <w:rsid w:val="00F02DC9"/>
    <w:rsid w:val="00F035F7"/>
    <w:rsid w:val="00F0399A"/>
    <w:rsid w:val="00F03D96"/>
    <w:rsid w:val="00F03DFD"/>
    <w:rsid w:val="00F03F06"/>
    <w:rsid w:val="00F03FE4"/>
    <w:rsid w:val="00F041A1"/>
    <w:rsid w:val="00F041E1"/>
    <w:rsid w:val="00F043DE"/>
    <w:rsid w:val="00F04568"/>
    <w:rsid w:val="00F04E59"/>
    <w:rsid w:val="00F04ED0"/>
    <w:rsid w:val="00F05138"/>
    <w:rsid w:val="00F05281"/>
    <w:rsid w:val="00F054FA"/>
    <w:rsid w:val="00F057AE"/>
    <w:rsid w:val="00F05810"/>
    <w:rsid w:val="00F05E06"/>
    <w:rsid w:val="00F06067"/>
    <w:rsid w:val="00F0609E"/>
    <w:rsid w:val="00F06579"/>
    <w:rsid w:val="00F067A2"/>
    <w:rsid w:val="00F067D5"/>
    <w:rsid w:val="00F06889"/>
    <w:rsid w:val="00F06E05"/>
    <w:rsid w:val="00F07404"/>
    <w:rsid w:val="00F07679"/>
    <w:rsid w:val="00F07BC7"/>
    <w:rsid w:val="00F07D33"/>
    <w:rsid w:val="00F07F5D"/>
    <w:rsid w:val="00F1038E"/>
    <w:rsid w:val="00F1054F"/>
    <w:rsid w:val="00F105AC"/>
    <w:rsid w:val="00F10694"/>
    <w:rsid w:val="00F10755"/>
    <w:rsid w:val="00F1080F"/>
    <w:rsid w:val="00F10BCA"/>
    <w:rsid w:val="00F10F7A"/>
    <w:rsid w:val="00F1111A"/>
    <w:rsid w:val="00F11689"/>
    <w:rsid w:val="00F11B63"/>
    <w:rsid w:val="00F120B7"/>
    <w:rsid w:val="00F120D3"/>
    <w:rsid w:val="00F120F3"/>
    <w:rsid w:val="00F1210B"/>
    <w:rsid w:val="00F122F0"/>
    <w:rsid w:val="00F1235D"/>
    <w:rsid w:val="00F123B4"/>
    <w:rsid w:val="00F1241A"/>
    <w:rsid w:val="00F12D43"/>
    <w:rsid w:val="00F12F9C"/>
    <w:rsid w:val="00F1307C"/>
    <w:rsid w:val="00F130FC"/>
    <w:rsid w:val="00F131B4"/>
    <w:rsid w:val="00F13343"/>
    <w:rsid w:val="00F137A2"/>
    <w:rsid w:val="00F1394D"/>
    <w:rsid w:val="00F13B33"/>
    <w:rsid w:val="00F13FDC"/>
    <w:rsid w:val="00F14281"/>
    <w:rsid w:val="00F14352"/>
    <w:rsid w:val="00F1456E"/>
    <w:rsid w:val="00F14630"/>
    <w:rsid w:val="00F147A3"/>
    <w:rsid w:val="00F14A86"/>
    <w:rsid w:val="00F14B5F"/>
    <w:rsid w:val="00F14C44"/>
    <w:rsid w:val="00F14F41"/>
    <w:rsid w:val="00F150D0"/>
    <w:rsid w:val="00F15248"/>
    <w:rsid w:val="00F15356"/>
    <w:rsid w:val="00F155CA"/>
    <w:rsid w:val="00F157D7"/>
    <w:rsid w:val="00F159F0"/>
    <w:rsid w:val="00F15F36"/>
    <w:rsid w:val="00F16300"/>
    <w:rsid w:val="00F163F7"/>
    <w:rsid w:val="00F16674"/>
    <w:rsid w:val="00F1697B"/>
    <w:rsid w:val="00F169B4"/>
    <w:rsid w:val="00F16C5F"/>
    <w:rsid w:val="00F171CF"/>
    <w:rsid w:val="00F17211"/>
    <w:rsid w:val="00F176A6"/>
    <w:rsid w:val="00F17BAA"/>
    <w:rsid w:val="00F17FE9"/>
    <w:rsid w:val="00F20859"/>
    <w:rsid w:val="00F20A6E"/>
    <w:rsid w:val="00F20AF9"/>
    <w:rsid w:val="00F211CE"/>
    <w:rsid w:val="00F219E5"/>
    <w:rsid w:val="00F21CA6"/>
    <w:rsid w:val="00F22D14"/>
    <w:rsid w:val="00F22D27"/>
    <w:rsid w:val="00F22D8B"/>
    <w:rsid w:val="00F23247"/>
    <w:rsid w:val="00F232CE"/>
    <w:rsid w:val="00F233FE"/>
    <w:rsid w:val="00F2349A"/>
    <w:rsid w:val="00F235E1"/>
    <w:rsid w:val="00F237EF"/>
    <w:rsid w:val="00F2392E"/>
    <w:rsid w:val="00F23A59"/>
    <w:rsid w:val="00F2424A"/>
    <w:rsid w:val="00F24351"/>
    <w:rsid w:val="00F24837"/>
    <w:rsid w:val="00F2496D"/>
    <w:rsid w:val="00F24AF7"/>
    <w:rsid w:val="00F24C4B"/>
    <w:rsid w:val="00F24E34"/>
    <w:rsid w:val="00F24FDF"/>
    <w:rsid w:val="00F253A4"/>
    <w:rsid w:val="00F2575F"/>
    <w:rsid w:val="00F2583C"/>
    <w:rsid w:val="00F25C52"/>
    <w:rsid w:val="00F2615C"/>
    <w:rsid w:val="00F26160"/>
    <w:rsid w:val="00F262AE"/>
    <w:rsid w:val="00F26706"/>
    <w:rsid w:val="00F2682B"/>
    <w:rsid w:val="00F2689C"/>
    <w:rsid w:val="00F26946"/>
    <w:rsid w:val="00F26968"/>
    <w:rsid w:val="00F26B56"/>
    <w:rsid w:val="00F26CFA"/>
    <w:rsid w:val="00F26E83"/>
    <w:rsid w:val="00F273EA"/>
    <w:rsid w:val="00F27433"/>
    <w:rsid w:val="00F27848"/>
    <w:rsid w:val="00F27C0A"/>
    <w:rsid w:val="00F31088"/>
    <w:rsid w:val="00F310F2"/>
    <w:rsid w:val="00F314C8"/>
    <w:rsid w:val="00F31866"/>
    <w:rsid w:val="00F31BCE"/>
    <w:rsid w:val="00F31BE2"/>
    <w:rsid w:val="00F31C51"/>
    <w:rsid w:val="00F31EAD"/>
    <w:rsid w:val="00F321A9"/>
    <w:rsid w:val="00F3226D"/>
    <w:rsid w:val="00F3257B"/>
    <w:rsid w:val="00F325B5"/>
    <w:rsid w:val="00F32606"/>
    <w:rsid w:val="00F3261E"/>
    <w:rsid w:val="00F3290D"/>
    <w:rsid w:val="00F32A86"/>
    <w:rsid w:val="00F32C4E"/>
    <w:rsid w:val="00F32D39"/>
    <w:rsid w:val="00F33801"/>
    <w:rsid w:val="00F338B1"/>
    <w:rsid w:val="00F33AC7"/>
    <w:rsid w:val="00F33C06"/>
    <w:rsid w:val="00F33C89"/>
    <w:rsid w:val="00F33DE9"/>
    <w:rsid w:val="00F340EA"/>
    <w:rsid w:val="00F34114"/>
    <w:rsid w:val="00F34239"/>
    <w:rsid w:val="00F343D3"/>
    <w:rsid w:val="00F34549"/>
    <w:rsid w:val="00F34BBA"/>
    <w:rsid w:val="00F34E56"/>
    <w:rsid w:val="00F34F3B"/>
    <w:rsid w:val="00F35668"/>
    <w:rsid w:val="00F35792"/>
    <w:rsid w:val="00F358C9"/>
    <w:rsid w:val="00F35C4C"/>
    <w:rsid w:val="00F35CFE"/>
    <w:rsid w:val="00F3619A"/>
    <w:rsid w:val="00F361EC"/>
    <w:rsid w:val="00F36695"/>
    <w:rsid w:val="00F36764"/>
    <w:rsid w:val="00F369F5"/>
    <w:rsid w:val="00F37022"/>
    <w:rsid w:val="00F371D7"/>
    <w:rsid w:val="00F374B6"/>
    <w:rsid w:val="00F37C88"/>
    <w:rsid w:val="00F4016B"/>
    <w:rsid w:val="00F4062F"/>
    <w:rsid w:val="00F4077E"/>
    <w:rsid w:val="00F40838"/>
    <w:rsid w:val="00F40AA2"/>
    <w:rsid w:val="00F41050"/>
    <w:rsid w:val="00F4121F"/>
    <w:rsid w:val="00F414A0"/>
    <w:rsid w:val="00F41954"/>
    <w:rsid w:val="00F41A5B"/>
    <w:rsid w:val="00F41BE3"/>
    <w:rsid w:val="00F41F3A"/>
    <w:rsid w:val="00F41F72"/>
    <w:rsid w:val="00F4235D"/>
    <w:rsid w:val="00F426E9"/>
    <w:rsid w:val="00F42C32"/>
    <w:rsid w:val="00F42E17"/>
    <w:rsid w:val="00F4326F"/>
    <w:rsid w:val="00F433FB"/>
    <w:rsid w:val="00F43598"/>
    <w:rsid w:val="00F43838"/>
    <w:rsid w:val="00F439CD"/>
    <w:rsid w:val="00F439D2"/>
    <w:rsid w:val="00F43BBC"/>
    <w:rsid w:val="00F43EA7"/>
    <w:rsid w:val="00F44427"/>
    <w:rsid w:val="00F44900"/>
    <w:rsid w:val="00F44C3D"/>
    <w:rsid w:val="00F44D42"/>
    <w:rsid w:val="00F44DE6"/>
    <w:rsid w:val="00F44F6D"/>
    <w:rsid w:val="00F44F8F"/>
    <w:rsid w:val="00F44FA7"/>
    <w:rsid w:val="00F45646"/>
    <w:rsid w:val="00F456AD"/>
    <w:rsid w:val="00F459DB"/>
    <w:rsid w:val="00F459E6"/>
    <w:rsid w:val="00F460CA"/>
    <w:rsid w:val="00F460E5"/>
    <w:rsid w:val="00F46152"/>
    <w:rsid w:val="00F46316"/>
    <w:rsid w:val="00F463D5"/>
    <w:rsid w:val="00F466CA"/>
    <w:rsid w:val="00F4679C"/>
    <w:rsid w:val="00F46CB6"/>
    <w:rsid w:val="00F46D6C"/>
    <w:rsid w:val="00F470BE"/>
    <w:rsid w:val="00F4710B"/>
    <w:rsid w:val="00F472C3"/>
    <w:rsid w:val="00F4737F"/>
    <w:rsid w:val="00F4747D"/>
    <w:rsid w:val="00F475E1"/>
    <w:rsid w:val="00F50428"/>
    <w:rsid w:val="00F504F2"/>
    <w:rsid w:val="00F50BF0"/>
    <w:rsid w:val="00F50F08"/>
    <w:rsid w:val="00F50F10"/>
    <w:rsid w:val="00F51366"/>
    <w:rsid w:val="00F51A3F"/>
    <w:rsid w:val="00F52162"/>
    <w:rsid w:val="00F52214"/>
    <w:rsid w:val="00F5221E"/>
    <w:rsid w:val="00F5226C"/>
    <w:rsid w:val="00F52E23"/>
    <w:rsid w:val="00F52EA3"/>
    <w:rsid w:val="00F53041"/>
    <w:rsid w:val="00F531FB"/>
    <w:rsid w:val="00F534A0"/>
    <w:rsid w:val="00F534CC"/>
    <w:rsid w:val="00F534DD"/>
    <w:rsid w:val="00F535CA"/>
    <w:rsid w:val="00F535FC"/>
    <w:rsid w:val="00F53698"/>
    <w:rsid w:val="00F5385D"/>
    <w:rsid w:val="00F53CB6"/>
    <w:rsid w:val="00F54129"/>
    <w:rsid w:val="00F54859"/>
    <w:rsid w:val="00F54AAB"/>
    <w:rsid w:val="00F54D41"/>
    <w:rsid w:val="00F54D56"/>
    <w:rsid w:val="00F550B4"/>
    <w:rsid w:val="00F5522B"/>
    <w:rsid w:val="00F55375"/>
    <w:rsid w:val="00F557A7"/>
    <w:rsid w:val="00F55A09"/>
    <w:rsid w:val="00F55E73"/>
    <w:rsid w:val="00F561AE"/>
    <w:rsid w:val="00F56399"/>
    <w:rsid w:val="00F56797"/>
    <w:rsid w:val="00F56C67"/>
    <w:rsid w:val="00F56CA8"/>
    <w:rsid w:val="00F56CB0"/>
    <w:rsid w:val="00F56CE9"/>
    <w:rsid w:val="00F573BB"/>
    <w:rsid w:val="00F5762F"/>
    <w:rsid w:val="00F5770D"/>
    <w:rsid w:val="00F57873"/>
    <w:rsid w:val="00F5787F"/>
    <w:rsid w:val="00F57A1A"/>
    <w:rsid w:val="00F57B40"/>
    <w:rsid w:val="00F60092"/>
    <w:rsid w:val="00F603B1"/>
    <w:rsid w:val="00F603ED"/>
    <w:rsid w:val="00F609AA"/>
    <w:rsid w:val="00F609EC"/>
    <w:rsid w:val="00F611AA"/>
    <w:rsid w:val="00F611D9"/>
    <w:rsid w:val="00F614CA"/>
    <w:rsid w:val="00F61730"/>
    <w:rsid w:val="00F61CAC"/>
    <w:rsid w:val="00F61CCA"/>
    <w:rsid w:val="00F61D5C"/>
    <w:rsid w:val="00F622CC"/>
    <w:rsid w:val="00F622D6"/>
    <w:rsid w:val="00F62DFE"/>
    <w:rsid w:val="00F62FD7"/>
    <w:rsid w:val="00F63274"/>
    <w:rsid w:val="00F63399"/>
    <w:rsid w:val="00F63747"/>
    <w:rsid w:val="00F638A8"/>
    <w:rsid w:val="00F63F75"/>
    <w:rsid w:val="00F64016"/>
    <w:rsid w:val="00F643DE"/>
    <w:rsid w:val="00F643ED"/>
    <w:rsid w:val="00F6460A"/>
    <w:rsid w:val="00F6481B"/>
    <w:rsid w:val="00F6495E"/>
    <w:rsid w:val="00F64B49"/>
    <w:rsid w:val="00F64F69"/>
    <w:rsid w:val="00F650AE"/>
    <w:rsid w:val="00F653FD"/>
    <w:rsid w:val="00F65A28"/>
    <w:rsid w:val="00F65F29"/>
    <w:rsid w:val="00F66165"/>
    <w:rsid w:val="00F661F6"/>
    <w:rsid w:val="00F66534"/>
    <w:rsid w:val="00F668C0"/>
    <w:rsid w:val="00F671C4"/>
    <w:rsid w:val="00F672C5"/>
    <w:rsid w:val="00F67346"/>
    <w:rsid w:val="00F674B9"/>
    <w:rsid w:val="00F67783"/>
    <w:rsid w:val="00F67853"/>
    <w:rsid w:val="00F679F7"/>
    <w:rsid w:val="00F67C7E"/>
    <w:rsid w:val="00F67D33"/>
    <w:rsid w:val="00F67DA8"/>
    <w:rsid w:val="00F67F6B"/>
    <w:rsid w:val="00F70190"/>
    <w:rsid w:val="00F701B5"/>
    <w:rsid w:val="00F70467"/>
    <w:rsid w:val="00F70D8E"/>
    <w:rsid w:val="00F70DBE"/>
    <w:rsid w:val="00F70E4E"/>
    <w:rsid w:val="00F71102"/>
    <w:rsid w:val="00F7159B"/>
    <w:rsid w:val="00F7173E"/>
    <w:rsid w:val="00F71AB1"/>
    <w:rsid w:val="00F71F18"/>
    <w:rsid w:val="00F72534"/>
    <w:rsid w:val="00F725A9"/>
    <w:rsid w:val="00F7265B"/>
    <w:rsid w:val="00F7271E"/>
    <w:rsid w:val="00F72879"/>
    <w:rsid w:val="00F72914"/>
    <w:rsid w:val="00F729E7"/>
    <w:rsid w:val="00F72A47"/>
    <w:rsid w:val="00F733E3"/>
    <w:rsid w:val="00F74194"/>
    <w:rsid w:val="00F74389"/>
    <w:rsid w:val="00F74475"/>
    <w:rsid w:val="00F748C2"/>
    <w:rsid w:val="00F7494E"/>
    <w:rsid w:val="00F74A21"/>
    <w:rsid w:val="00F74BA8"/>
    <w:rsid w:val="00F74BEC"/>
    <w:rsid w:val="00F74F50"/>
    <w:rsid w:val="00F751F0"/>
    <w:rsid w:val="00F75330"/>
    <w:rsid w:val="00F75742"/>
    <w:rsid w:val="00F758CB"/>
    <w:rsid w:val="00F759CB"/>
    <w:rsid w:val="00F75BD3"/>
    <w:rsid w:val="00F75EA8"/>
    <w:rsid w:val="00F76095"/>
    <w:rsid w:val="00F7654C"/>
    <w:rsid w:val="00F766E3"/>
    <w:rsid w:val="00F76A64"/>
    <w:rsid w:val="00F76EDF"/>
    <w:rsid w:val="00F76F3A"/>
    <w:rsid w:val="00F773FE"/>
    <w:rsid w:val="00F774AA"/>
    <w:rsid w:val="00F778AA"/>
    <w:rsid w:val="00F779CC"/>
    <w:rsid w:val="00F77A56"/>
    <w:rsid w:val="00F77C86"/>
    <w:rsid w:val="00F8048B"/>
    <w:rsid w:val="00F80646"/>
    <w:rsid w:val="00F8077B"/>
    <w:rsid w:val="00F80E5D"/>
    <w:rsid w:val="00F80F26"/>
    <w:rsid w:val="00F8111C"/>
    <w:rsid w:val="00F8116E"/>
    <w:rsid w:val="00F81D58"/>
    <w:rsid w:val="00F81F44"/>
    <w:rsid w:val="00F82093"/>
    <w:rsid w:val="00F8265F"/>
    <w:rsid w:val="00F8275A"/>
    <w:rsid w:val="00F82B0B"/>
    <w:rsid w:val="00F83275"/>
    <w:rsid w:val="00F83380"/>
    <w:rsid w:val="00F835C3"/>
    <w:rsid w:val="00F837B5"/>
    <w:rsid w:val="00F837D7"/>
    <w:rsid w:val="00F83833"/>
    <w:rsid w:val="00F839EE"/>
    <w:rsid w:val="00F83A10"/>
    <w:rsid w:val="00F83BAB"/>
    <w:rsid w:val="00F83C7D"/>
    <w:rsid w:val="00F83F25"/>
    <w:rsid w:val="00F841B1"/>
    <w:rsid w:val="00F841EC"/>
    <w:rsid w:val="00F84589"/>
    <w:rsid w:val="00F847B6"/>
    <w:rsid w:val="00F84836"/>
    <w:rsid w:val="00F84BCA"/>
    <w:rsid w:val="00F84C5D"/>
    <w:rsid w:val="00F851CE"/>
    <w:rsid w:val="00F85214"/>
    <w:rsid w:val="00F85632"/>
    <w:rsid w:val="00F8566F"/>
    <w:rsid w:val="00F858F6"/>
    <w:rsid w:val="00F85B18"/>
    <w:rsid w:val="00F85D96"/>
    <w:rsid w:val="00F85DA4"/>
    <w:rsid w:val="00F86101"/>
    <w:rsid w:val="00F86182"/>
    <w:rsid w:val="00F861DE"/>
    <w:rsid w:val="00F863DC"/>
    <w:rsid w:val="00F8645F"/>
    <w:rsid w:val="00F864E5"/>
    <w:rsid w:val="00F866CF"/>
    <w:rsid w:val="00F86BC8"/>
    <w:rsid w:val="00F86DEB"/>
    <w:rsid w:val="00F870FE"/>
    <w:rsid w:val="00F871BE"/>
    <w:rsid w:val="00F87506"/>
    <w:rsid w:val="00F87A4E"/>
    <w:rsid w:val="00F901DF"/>
    <w:rsid w:val="00F9033A"/>
    <w:rsid w:val="00F905BD"/>
    <w:rsid w:val="00F907FB"/>
    <w:rsid w:val="00F90821"/>
    <w:rsid w:val="00F90EC3"/>
    <w:rsid w:val="00F91016"/>
    <w:rsid w:val="00F9102F"/>
    <w:rsid w:val="00F92024"/>
    <w:rsid w:val="00F923F0"/>
    <w:rsid w:val="00F92625"/>
    <w:rsid w:val="00F92894"/>
    <w:rsid w:val="00F928E2"/>
    <w:rsid w:val="00F92BB7"/>
    <w:rsid w:val="00F92EE4"/>
    <w:rsid w:val="00F93248"/>
    <w:rsid w:val="00F936E2"/>
    <w:rsid w:val="00F93B00"/>
    <w:rsid w:val="00F93EED"/>
    <w:rsid w:val="00F94060"/>
    <w:rsid w:val="00F9425F"/>
    <w:rsid w:val="00F942FD"/>
    <w:rsid w:val="00F94925"/>
    <w:rsid w:val="00F94CF3"/>
    <w:rsid w:val="00F94FED"/>
    <w:rsid w:val="00F950DE"/>
    <w:rsid w:val="00F951B9"/>
    <w:rsid w:val="00F9577B"/>
    <w:rsid w:val="00F95A5D"/>
    <w:rsid w:val="00F95BDF"/>
    <w:rsid w:val="00F95DD5"/>
    <w:rsid w:val="00F95F7B"/>
    <w:rsid w:val="00F95FE5"/>
    <w:rsid w:val="00F965F7"/>
    <w:rsid w:val="00F96840"/>
    <w:rsid w:val="00F96900"/>
    <w:rsid w:val="00F96BC6"/>
    <w:rsid w:val="00F96E05"/>
    <w:rsid w:val="00F96FFB"/>
    <w:rsid w:val="00F972AF"/>
    <w:rsid w:val="00F974DE"/>
    <w:rsid w:val="00F9752A"/>
    <w:rsid w:val="00F97A78"/>
    <w:rsid w:val="00F97A8B"/>
    <w:rsid w:val="00FA0011"/>
    <w:rsid w:val="00FA030D"/>
    <w:rsid w:val="00FA0563"/>
    <w:rsid w:val="00FA0E49"/>
    <w:rsid w:val="00FA0E58"/>
    <w:rsid w:val="00FA0FB4"/>
    <w:rsid w:val="00FA12C2"/>
    <w:rsid w:val="00FA1697"/>
    <w:rsid w:val="00FA1720"/>
    <w:rsid w:val="00FA1872"/>
    <w:rsid w:val="00FA19E4"/>
    <w:rsid w:val="00FA1F7A"/>
    <w:rsid w:val="00FA223B"/>
    <w:rsid w:val="00FA2261"/>
    <w:rsid w:val="00FA22C8"/>
    <w:rsid w:val="00FA24BF"/>
    <w:rsid w:val="00FA24E7"/>
    <w:rsid w:val="00FA259B"/>
    <w:rsid w:val="00FA29CF"/>
    <w:rsid w:val="00FA2C74"/>
    <w:rsid w:val="00FA2CB1"/>
    <w:rsid w:val="00FA31AD"/>
    <w:rsid w:val="00FA37FE"/>
    <w:rsid w:val="00FA3F87"/>
    <w:rsid w:val="00FA44EA"/>
    <w:rsid w:val="00FA44F2"/>
    <w:rsid w:val="00FA464A"/>
    <w:rsid w:val="00FA475C"/>
    <w:rsid w:val="00FA4760"/>
    <w:rsid w:val="00FA4762"/>
    <w:rsid w:val="00FA4AA4"/>
    <w:rsid w:val="00FA4B9D"/>
    <w:rsid w:val="00FA4D5B"/>
    <w:rsid w:val="00FA5410"/>
    <w:rsid w:val="00FA5759"/>
    <w:rsid w:val="00FA5816"/>
    <w:rsid w:val="00FA590F"/>
    <w:rsid w:val="00FA627C"/>
    <w:rsid w:val="00FA64C9"/>
    <w:rsid w:val="00FA69A1"/>
    <w:rsid w:val="00FA6D23"/>
    <w:rsid w:val="00FA740A"/>
    <w:rsid w:val="00FA7415"/>
    <w:rsid w:val="00FA7513"/>
    <w:rsid w:val="00FA7609"/>
    <w:rsid w:val="00FA77EB"/>
    <w:rsid w:val="00FA792E"/>
    <w:rsid w:val="00FA7CC5"/>
    <w:rsid w:val="00FA7FA7"/>
    <w:rsid w:val="00FB07A7"/>
    <w:rsid w:val="00FB08AB"/>
    <w:rsid w:val="00FB0906"/>
    <w:rsid w:val="00FB0D4B"/>
    <w:rsid w:val="00FB0E81"/>
    <w:rsid w:val="00FB0F71"/>
    <w:rsid w:val="00FB16CB"/>
    <w:rsid w:val="00FB1F53"/>
    <w:rsid w:val="00FB2486"/>
    <w:rsid w:val="00FB25FA"/>
    <w:rsid w:val="00FB28FC"/>
    <w:rsid w:val="00FB2FCB"/>
    <w:rsid w:val="00FB3087"/>
    <w:rsid w:val="00FB33CA"/>
    <w:rsid w:val="00FB3724"/>
    <w:rsid w:val="00FB3864"/>
    <w:rsid w:val="00FB3883"/>
    <w:rsid w:val="00FB3947"/>
    <w:rsid w:val="00FB3C8C"/>
    <w:rsid w:val="00FB3F5A"/>
    <w:rsid w:val="00FB3FC5"/>
    <w:rsid w:val="00FB42C9"/>
    <w:rsid w:val="00FB4375"/>
    <w:rsid w:val="00FB43B5"/>
    <w:rsid w:val="00FB47E5"/>
    <w:rsid w:val="00FB4920"/>
    <w:rsid w:val="00FB4995"/>
    <w:rsid w:val="00FB4C77"/>
    <w:rsid w:val="00FB4FE5"/>
    <w:rsid w:val="00FB51B9"/>
    <w:rsid w:val="00FB591B"/>
    <w:rsid w:val="00FB5D6E"/>
    <w:rsid w:val="00FB617F"/>
    <w:rsid w:val="00FB6420"/>
    <w:rsid w:val="00FB6E88"/>
    <w:rsid w:val="00FB6EFA"/>
    <w:rsid w:val="00FB72A6"/>
    <w:rsid w:val="00FB73FF"/>
    <w:rsid w:val="00FB7758"/>
    <w:rsid w:val="00FB7BF2"/>
    <w:rsid w:val="00FB7E6E"/>
    <w:rsid w:val="00FC03DC"/>
    <w:rsid w:val="00FC05C3"/>
    <w:rsid w:val="00FC083B"/>
    <w:rsid w:val="00FC0A53"/>
    <w:rsid w:val="00FC0F44"/>
    <w:rsid w:val="00FC1074"/>
    <w:rsid w:val="00FC10F3"/>
    <w:rsid w:val="00FC11B4"/>
    <w:rsid w:val="00FC1884"/>
    <w:rsid w:val="00FC18D7"/>
    <w:rsid w:val="00FC21C3"/>
    <w:rsid w:val="00FC2277"/>
    <w:rsid w:val="00FC2A50"/>
    <w:rsid w:val="00FC2D99"/>
    <w:rsid w:val="00FC2DE8"/>
    <w:rsid w:val="00FC3032"/>
    <w:rsid w:val="00FC349F"/>
    <w:rsid w:val="00FC38F7"/>
    <w:rsid w:val="00FC3972"/>
    <w:rsid w:val="00FC3AF1"/>
    <w:rsid w:val="00FC3CBC"/>
    <w:rsid w:val="00FC3D7F"/>
    <w:rsid w:val="00FC3FB5"/>
    <w:rsid w:val="00FC44A2"/>
    <w:rsid w:val="00FC44D7"/>
    <w:rsid w:val="00FC49FD"/>
    <w:rsid w:val="00FC4A08"/>
    <w:rsid w:val="00FC4EE3"/>
    <w:rsid w:val="00FC4F9C"/>
    <w:rsid w:val="00FC5E98"/>
    <w:rsid w:val="00FC611D"/>
    <w:rsid w:val="00FC6620"/>
    <w:rsid w:val="00FC68C9"/>
    <w:rsid w:val="00FC6C1F"/>
    <w:rsid w:val="00FC6D70"/>
    <w:rsid w:val="00FC7242"/>
    <w:rsid w:val="00FC73FF"/>
    <w:rsid w:val="00FC74EF"/>
    <w:rsid w:val="00FC785B"/>
    <w:rsid w:val="00FC7D96"/>
    <w:rsid w:val="00FD0095"/>
    <w:rsid w:val="00FD041C"/>
    <w:rsid w:val="00FD06EF"/>
    <w:rsid w:val="00FD0938"/>
    <w:rsid w:val="00FD0996"/>
    <w:rsid w:val="00FD0DEA"/>
    <w:rsid w:val="00FD0F81"/>
    <w:rsid w:val="00FD1201"/>
    <w:rsid w:val="00FD16E7"/>
    <w:rsid w:val="00FD18AE"/>
    <w:rsid w:val="00FD1B35"/>
    <w:rsid w:val="00FD2083"/>
    <w:rsid w:val="00FD2100"/>
    <w:rsid w:val="00FD2B75"/>
    <w:rsid w:val="00FD2B9A"/>
    <w:rsid w:val="00FD2BBC"/>
    <w:rsid w:val="00FD2D1D"/>
    <w:rsid w:val="00FD34FD"/>
    <w:rsid w:val="00FD3521"/>
    <w:rsid w:val="00FD439F"/>
    <w:rsid w:val="00FD446D"/>
    <w:rsid w:val="00FD4C47"/>
    <w:rsid w:val="00FD528A"/>
    <w:rsid w:val="00FD5352"/>
    <w:rsid w:val="00FD54AA"/>
    <w:rsid w:val="00FD5518"/>
    <w:rsid w:val="00FD5594"/>
    <w:rsid w:val="00FD5A7F"/>
    <w:rsid w:val="00FD5BC1"/>
    <w:rsid w:val="00FD5C7D"/>
    <w:rsid w:val="00FD5F51"/>
    <w:rsid w:val="00FD5FC8"/>
    <w:rsid w:val="00FD6722"/>
    <w:rsid w:val="00FD687C"/>
    <w:rsid w:val="00FD698D"/>
    <w:rsid w:val="00FD69A4"/>
    <w:rsid w:val="00FD6C17"/>
    <w:rsid w:val="00FD6D69"/>
    <w:rsid w:val="00FD73DC"/>
    <w:rsid w:val="00FD7729"/>
    <w:rsid w:val="00FD79C1"/>
    <w:rsid w:val="00FD7ACC"/>
    <w:rsid w:val="00FD7D2D"/>
    <w:rsid w:val="00FE0329"/>
    <w:rsid w:val="00FE03C9"/>
    <w:rsid w:val="00FE0498"/>
    <w:rsid w:val="00FE0B2C"/>
    <w:rsid w:val="00FE0F77"/>
    <w:rsid w:val="00FE10B9"/>
    <w:rsid w:val="00FE11F7"/>
    <w:rsid w:val="00FE12BB"/>
    <w:rsid w:val="00FE14E8"/>
    <w:rsid w:val="00FE1665"/>
    <w:rsid w:val="00FE1695"/>
    <w:rsid w:val="00FE17EC"/>
    <w:rsid w:val="00FE18F2"/>
    <w:rsid w:val="00FE1900"/>
    <w:rsid w:val="00FE1A8E"/>
    <w:rsid w:val="00FE1BB4"/>
    <w:rsid w:val="00FE1BD2"/>
    <w:rsid w:val="00FE1D91"/>
    <w:rsid w:val="00FE1FE6"/>
    <w:rsid w:val="00FE205B"/>
    <w:rsid w:val="00FE233D"/>
    <w:rsid w:val="00FE3228"/>
    <w:rsid w:val="00FE354E"/>
    <w:rsid w:val="00FE3C95"/>
    <w:rsid w:val="00FE3D7C"/>
    <w:rsid w:val="00FE3EDA"/>
    <w:rsid w:val="00FE42A0"/>
    <w:rsid w:val="00FE44C2"/>
    <w:rsid w:val="00FE44E9"/>
    <w:rsid w:val="00FE4634"/>
    <w:rsid w:val="00FE495A"/>
    <w:rsid w:val="00FE4F8A"/>
    <w:rsid w:val="00FE5145"/>
    <w:rsid w:val="00FE55E9"/>
    <w:rsid w:val="00FE56E1"/>
    <w:rsid w:val="00FE5CE8"/>
    <w:rsid w:val="00FE5FA9"/>
    <w:rsid w:val="00FE61E3"/>
    <w:rsid w:val="00FE6213"/>
    <w:rsid w:val="00FE67EB"/>
    <w:rsid w:val="00FE75B9"/>
    <w:rsid w:val="00FE794E"/>
    <w:rsid w:val="00FE7D31"/>
    <w:rsid w:val="00FF06CB"/>
    <w:rsid w:val="00FF0834"/>
    <w:rsid w:val="00FF09DC"/>
    <w:rsid w:val="00FF0AB8"/>
    <w:rsid w:val="00FF0CAF"/>
    <w:rsid w:val="00FF0DE3"/>
    <w:rsid w:val="00FF0F9D"/>
    <w:rsid w:val="00FF11D3"/>
    <w:rsid w:val="00FF1211"/>
    <w:rsid w:val="00FF1493"/>
    <w:rsid w:val="00FF14B8"/>
    <w:rsid w:val="00FF1B61"/>
    <w:rsid w:val="00FF201E"/>
    <w:rsid w:val="00FF2517"/>
    <w:rsid w:val="00FF2531"/>
    <w:rsid w:val="00FF25F7"/>
    <w:rsid w:val="00FF2666"/>
    <w:rsid w:val="00FF2706"/>
    <w:rsid w:val="00FF281D"/>
    <w:rsid w:val="00FF282C"/>
    <w:rsid w:val="00FF2996"/>
    <w:rsid w:val="00FF2C22"/>
    <w:rsid w:val="00FF3207"/>
    <w:rsid w:val="00FF3383"/>
    <w:rsid w:val="00FF3C0E"/>
    <w:rsid w:val="00FF3CBD"/>
    <w:rsid w:val="00FF3CD1"/>
    <w:rsid w:val="00FF3DCF"/>
    <w:rsid w:val="00FF3E6E"/>
    <w:rsid w:val="00FF3F7E"/>
    <w:rsid w:val="00FF4590"/>
    <w:rsid w:val="00FF4799"/>
    <w:rsid w:val="00FF4C67"/>
    <w:rsid w:val="00FF4FAE"/>
    <w:rsid w:val="00FF5026"/>
    <w:rsid w:val="00FF5141"/>
    <w:rsid w:val="00FF5AA3"/>
    <w:rsid w:val="00FF5AFD"/>
    <w:rsid w:val="00FF5BED"/>
    <w:rsid w:val="00FF5E4B"/>
    <w:rsid w:val="00FF5FB3"/>
    <w:rsid w:val="00FF6727"/>
    <w:rsid w:val="00FF6806"/>
    <w:rsid w:val="00FF6D59"/>
    <w:rsid w:val="00FF6EE9"/>
    <w:rsid w:val="00FF7057"/>
    <w:rsid w:val="00FF70DE"/>
    <w:rsid w:val="00FF7136"/>
    <w:rsid w:val="00FF7308"/>
    <w:rsid w:val="00FF75F1"/>
    <w:rsid w:val="00FF778D"/>
    <w:rsid w:val="00FF7877"/>
    <w:rsid w:val="00FF7C83"/>
    <w:rsid w:val="00FF7D1E"/>
    <w:rsid w:val="00FF7E99"/>
    <w:rsid w:val="00FF7F8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A0697"/>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9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table" w:customStyle="1" w:styleId="TableGrid1">
    <w:name w:val="Table Grid1"/>
    <w:basedOn w:val="TableNormal"/>
    <w:next w:val="TableGrid"/>
    <w:rsid w:val="001B3980"/>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Tbl-cap">
    <w:name w:val="COMTbl-cap"/>
    <w:basedOn w:val="Normal"/>
    <w:link w:val="COMTbl-capChar"/>
    <w:qFormat/>
    <w:rsid w:val="00B137A8"/>
    <w:pPr>
      <w:keepNext/>
    </w:pPr>
    <w:rPr>
      <w:rFonts w:ascii="Arial Narrow" w:hAnsi="Arial Narrow"/>
      <w:b/>
      <w:sz w:val="20"/>
    </w:rPr>
  </w:style>
  <w:style w:type="character" w:customStyle="1" w:styleId="COMTbl-capChar">
    <w:name w:val="COMTbl-cap Char"/>
    <w:basedOn w:val="DefaultParagraphFont"/>
    <w:link w:val="COMTbl-cap"/>
    <w:rsid w:val="00B137A8"/>
    <w:rPr>
      <w:rFonts w:ascii="Arial Narrow" w:hAnsi="Arial Narrow" w:cs="Arial"/>
      <w:b/>
      <w:snapToGrid w:val="0"/>
      <w:lang w:eastAsia="en-US"/>
    </w:rPr>
  </w:style>
  <w:style w:type="table" w:customStyle="1" w:styleId="TableGrid11">
    <w:name w:val="Table Grid11"/>
    <w:basedOn w:val="TableNormal"/>
    <w:next w:val="TableGrid"/>
    <w:uiPriority w:val="59"/>
    <w:rsid w:val="00B13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Tbl-foot">
    <w:name w:val="COMTbl-foot"/>
    <w:basedOn w:val="TableFooter"/>
    <w:link w:val="COMTbl-footChar"/>
    <w:qFormat/>
    <w:rsid w:val="0035025A"/>
  </w:style>
  <w:style w:type="character" w:customStyle="1" w:styleId="COMTbl-footChar">
    <w:name w:val="COMTbl-foot Char"/>
    <w:basedOn w:val="DefaultParagraphFont"/>
    <w:link w:val="COMTbl-foot"/>
    <w:rsid w:val="0035025A"/>
    <w:rPr>
      <w:rFonts w:ascii="Arial Narrow" w:hAnsi="Arial Narrow" w:cs="Arial"/>
      <w:snapToGrid w:val="0"/>
      <w:sz w:val="18"/>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05424"/>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unhideWhenUsed/>
    <w:rsid w:val="00280E93"/>
    <w:rPr>
      <w:sz w:val="20"/>
    </w:rPr>
  </w:style>
  <w:style w:type="character" w:customStyle="1" w:styleId="FootnoteTextChar">
    <w:name w:val="Footnote Text Char"/>
    <w:basedOn w:val="DefaultParagraphFont"/>
    <w:link w:val="FootnoteText"/>
    <w:rsid w:val="00280E93"/>
    <w:rPr>
      <w:rFonts w:ascii="Arial" w:hAnsi="Arial" w:cs="Arial"/>
      <w:snapToGrid w:val="0"/>
      <w:lang w:eastAsia="en-US"/>
    </w:rPr>
  </w:style>
  <w:style w:type="character" w:styleId="FootnoteReference">
    <w:name w:val="footnote reference"/>
    <w:basedOn w:val="DefaultParagraphFont"/>
    <w:unhideWhenUsed/>
    <w:rsid w:val="00280E93"/>
    <w:rPr>
      <w:vertAlign w:val="superscript"/>
    </w:rPr>
  </w:style>
  <w:style w:type="character" w:styleId="FollowedHyperlink">
    <w:name w:val="FollowedHyperlink"/>
    <w:basedOn w:val="DefaultParagraphFont"/>
    <w:semiHidden/>
    <w:unhideWhenUsed/>
    <w:rsid w:val="008A64C8"/>
    <w:rPr>
      <w:color w:val="800080" w:themeColor="followedHyperlink"/>
      <w:u w:val="single"/>
    </w:rPr>
  </w:style>
  <w:style w:type="character" w:styleId="PlaceholderText">
    <w:name w:val="Placeholder Text"/>
    <w:basedOn w:val="DefaultParagraphFont"/>
    <w:uiPriority w:val="99"/>
    <w:semiHidden/>
    <w:rsid w:val="003F101D"/>
    <w:rPr>
      <w:color w:val="808080"/>
    </w:rPr>
  </w:style>
  <w:style w:type="character" w:customStyle="1" w:styleId="MathematicaFormatStandardForm">
    <w:name w:val="MathematicaFormatStandardForm"/>
    <w:uiPriority w:val="99"/>
    <w:rsid w:val="001A7109"/>
    <w:rPr>
      <w:rFonts w:ascii="Courier" w:hAnsi="Courier" w:cs="Courier"/>
    </w:rPr>
  </w:style>
  <w:style w:type="character" w:customStyle="1" w:styleId="ListParagraphChar">
    <w:name w:val="List Paragraph Char"/>
    <w:basedOn w:val="DefaultParagraphFont"/>
    <w:link w:val="ListParagraph"/>
    <w:uiPriority w:val="72"/>
    <w:rsid w:val="009A2506"/>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A0697"/>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9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table" w:customStyle="1" w:styleId="TableGrid1">
    <w:name w:val="Table Grid1"/>
    <w:basedOn w:val="TableNormal"/>
    <w:next w:val="TableGrid"/>
    <w:rsid w:val="001B3980"/>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Tbl-cap">
    <w:name w:val="COMTbl-cap"/>
    <w:basedOn w:val="Normal"/>
    <w:link w:val="COMTbl-capChar"/>
    <w:qFormat/>
    <w:rsid w:val="00B137A8"/>
    <w:pPr>
      <w:keepNext/>
    </w:pPr>
    <w:rPr>
      <w:rFonts w:ascii="Arial Narrow" w:hAnsi="Arial Narrow"/>
      <w:b/>
      <w:sz w:val="20"/>
    </w:rPr>
  </w:style>
  <w:style w:type="character" w:customStyle="1" w:styleId="COMTbl-capChar">
    <w:name w:val="COMTbl-cap Char"/>
    <w:basedOn w:val="DefaultParagraphFont"/>
    <w:link w:val="COMTbl-cap"/>
    <w:rsid w:val="00B137A8"/>
    <w:rPr>
      <w:rFonts w:ascii="Arial Narrow" w:hAnsi="Arial Narrow" w:cs="Arial"/>
      <w:b/>
      <w:snapToGrid w:val="0"/>
      <w:lang w:eastAsia="en-US"/>
    </w:rPr>
  </w:style>
  <w:style w:type="table" w:customStyle="1" w:styleId="TableGrid11">
    <w:name w:val="Table Grid11"/>
    <w:basedOn w:val="TableNormal"/>
    <w:next w:val="TableGrid"/>
    <w:uiPriority w:val="59"/>
    <w:rsid w:val="00B13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Tbl-foot">
    <w:name w:val="COMTbl-foot"/>
    <w:basedOn w:val="TableFooter"/>
    <w:link w:val="COMTbl-footChar"/>
    <w:qFormat/>
    <w:rsid w:val="0035025A"/>
  </w:style>
  <w:style w:type="character" w:customStyle="1" w:styleId="COMTbl-footChar">
    <w:name w:val="COMTbl-foot Char"/>
    <w:basedOn w:val="DefaultParagraphFont"/>
    <w:link w:val="COMTbl-foot"/>
    <w:rsid w:val="0035025A"/>
    <w:rPr>
      <w:rFonts w:ascii="Arial Narrow" w:hAnsi="Arial Narrow" w:cs="Arial"/>
      <w:snapToGrid w:val="0"/>
      <w:sz w:val="18"/>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05424"/>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unhideWhenUsed/>
    <w:rsid w:val="00280E93"/>
    <w:rPr>
      <w:sz w:val="20"/>
    </w:rPr>
  </w:style>
  <w:style w:type="character" w:customStyle="1" w:styleId="FootnoteTextChar">
    <w:name w:val="Footnote Text Char"/>
    <w:basedOn w:val="DefaultParagraphFont"/>
    <w:link w:val="FootnoteText"/>
    <w:rsid w:val="00280E93"/>
    <w:rPr>
      <w:rFonts w:ascii="Arial" w:hAnsi="Arial" w:cs="Arial"/>
      <w:snapToGrid w:val="0"/>
      <w:lang w:eastAsia="en-US"/>
    </w:rPr>
  </w:style>
  <w:style w:type="character" w:styleId="FootnoteReference">
    <w:name w:val="footnote reference"/>
    <w:basedOn w:val="DefaultParagraphFont"/>
    <w:unhideWhenUsed/>
    <w:rsid w:val="00280E93"/>
    <w:rPr>
      <w:vertAlign w:val="superscript"/>
    </w:rPr>
  </w:style>
  <w:style w:type="character" w:styleId="FollowedHyperlink">
    <w:name w:val="FollowedHyperlink"/>
    <w:basedOn w:val="DefaultParagraphFont"/>
    <w:semiHidden/>
    <w:unhideWhenUsed/>
    <w:rsid w:val="008A64C8"/>
    <w:rPr>
      <w:color w:val="800080" w:themeColor="followedHyperlink"/>
      <w:u w:val="single"/>
    </w:rPr>
  </w:style>
  <w:style w:type="character" w:styleId="PlaceholderText">
    <w:name w:val="Placeholder Text"/>
    <w:basedOn w:val="DefaultParagraphFont"/>
    <w:uiPriority w:val="99"/>
    <w:semiHidden/>
    <w:rsid w:val="003F101D"/>
    <w:rPr>
      <w:color w:val="808080"/>
    </w:rPr>
  </w:style>
  <w:style w:type="character" w:customStyle="1" w:styleId="MathematicaFormatStandardForm">
    <w:name w:val="MathematicaFormatStandardForm"/>
    <w:uiPriority w:val="99"/>
    <w:rsid w:val="001A7109"/>
    <w:rPr>
      <w:rFonts w:ascii="Courier" w:hAnsi="Courier" w:cs="Courier"/>
    </w:rPr>
  </w:style>
  <w:style w:type="character" w:customStyle="1" w:styleId="ListParagraphChar">
    <w:name w:val="List Paragraph Char"/>
    <w:basedOn w:val="DefaultParagraphFont"/>
    <w:link w:val="ListParagraph"/>
    <w:uiPriority w:val="72"/>
    <w:rsid w:val="009A2506"/>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18396">
      <w:bodyDiv w:val="1"/>
      <w:marLeft w:val="0"/>
      <w:marRight w:val="0"/>
      <w:marTop w:val="0"/>
      <w:marBottom w:val="0"/>
      <w:divBdr>
        <w:top w:val="none" w:sz="0" w:space="0" w:color="auto"/>
        <w:left w:val="none" w:sz="0" w:space="0" w:color="auto"/>
        <w:bottom w:val="none" w:sz="0" w:space="0" w:color="auto"/>
        <w:right w:val="none" w:sz="0" w:space="0" w:color="auto"/>
      </w:divBdr>
    </w:div>
    <w:div w:id="1098912293">
      <w:bodyDiv w:val="1"/>
      <w:marLeft w:val="0"/>
      <w:marRight w:val="0"/>
      <w:marTop w:val="0"/>
      <w:marBottom w:val="0"/>
      <w:divBdr>
        <w:top w:val="none" w:sz="0" w:space="0" w:color="auto"/>
        <w:left w:val="none" w:sz="0" w:space="0" w:color="auto"/>
        <w:bottom w:val="none" w:sz="0" w:space="0" w:color="auto"/>
        <w:right w:val="none" w:sz="0" w:space="0" w:color="auto"/>
      </w:divBdr>
    </w:div>
    <w:div w:id="1247884386">
      <w:bodyDiv w:val="1"/>
      <w:marLeft w:val="0"/>
      <w:marRight w:val="0"/>
      <w:marTop w:val="0"/>
      <w:marBottom w:val="0"/>
      <w:divBdr>
        <w:top w:val="none" w:sz="0" w:space="0" w:color="auto"/>
        <w:left w:val="none" w:sz="0" w:space="0" w:color="auto"/>
        <w:bottom w:val="none" w:sz="0" w:space="0" w:color="auto"/>
        <w:right w:val="none" w:sz="0" w:space="0" w:color="auto"/>
      </w:divBdr>
    </w:div>
    <w:div w:id="2011515786">
      <w:bodyDiv w:val="1"/>
      <w:marLeft w:val="0"/>
      <w:marRight w:val="0"/>
      <w:marTop w:val="0"/>
      <w:marBottom w:val="0"/>
      <w:divBdr>
        <w:top w:val="none" w:sz="0" w:space="0" w:color="auto"/>
        <w:left w:val="none" w:sz="0" w:space="0" w:color="auto"/>
        <w:bottom w:val="none" w:sz="0" w:space="0" w:color="auto"/>
        <w:right w:val="none" w:sz="0" w:space="0" w:color="auto"/>
      </w:divBdr>
      <w:divsChild>
        <w:div w:id="372392146">
          <w:marLeft w:val="547"/>
          <w:marRight w:val="0"/>
          <w:marTop w:val="130"/>
          <w:marBottom w:val="0"/>
          <w:divBdr>
            <w:top w:val="none" w:sz="0" w:space="0" w:color="auto"/>
            <w:left w:val="none" w:sz="0" w:space="0" w:color="auto"/>
            <w:bottom w:val="none" w:sz="0" w:space="0" w:color="auto"/>
            <w:right w:val="none" w:sz="0" w:space="0" w:color="auto"/>
          </w:divBdr>
        </w:div>
        <w:div w:id="887454767">
          <w:marLeft w:val="1166"/>
          <w:marRight w:val="0"/>
          <w:marTop w:val="115"/>
          <w:marBottom w:val="0"/>
          <w:divBdr>
            <w:top w:val="none" w:sz="0" w:space="0" w:color="auto"/>
            <w:left w:val="none" w:sz="0" w:space="0" w:color="auto"/>
            <w:bottom w:val="none" w:sz="0" w:space="0" w:color="auto"/>
            <w:right w:val="none" w:sz="0" w:space="0" w:color="auto"/>
          </w:divBdr>
        </w:div>
        <w:div w:id="1560897021">
          <w:marLeft w:val="1166"/>
          <w:marRight w:val="0"/>
          <w:marTop w:val="115"/>
          <w:marBottom w:val="0"/>
          <w:divBdr>
            <w:top w:val="none" w:sz="0" w:space="0" w:color="auto"/>
            <w:left w:val="none" w:sz="0" w:space="0" w:color="auto"/>
            <w:bottom w:val="none" w:sz="0" w:space="0" w:color="auto"/>
            <w:right w:val="none" w:sz="0" w:space="0" w:color="auto"/>
          </w:divBdr>
        </w:div>
        <w:div w:id="545994862">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03526-E447-4FF2-9176-F6F90ACE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11519</Words>
  <Characters>64648</Characters>
  <Application>Microsoft Office Word</Application>
  <DocSecurity>0</DocSecurity>
  <Lines>538</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2015-02-24T03:34:00Z</dcterms:created>
  <dcterms:modified xsi:type="dcterms:W3CDTF">2015-03-13T01:16:00Z</dcterms:modified>
</cp:coreProperties>
</file>