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CA6" w:rsidRPr="00116159" w:rsidRDefault="00536520" w:rsidP="00116159">
      <w:pPr>
        <w:pStyle w:val="BodyText"/>
        <w:rPr>
          <w:b/>
          <w:sz w:val="28"/>
        </w:rPr>
      </w:pPr>
      <w:bookmarkStart w:id="0" w:name="_Toc398280621"/>
      <w:r w:rsidRPr="00116159">
        <w:rPr>
          <w:b/>
          <w:sz w:val="28"/>
        </w:rPr>
        <w:t>7.4</w:t>
      </w:r>
      <w:r w:rsidR="00B60939" w:rsidRPr="00116159">
        <w:rPr>
          <w:b/>
          <w:sz w:val="28"/>
        </w:rPr>
        <w:tab/>
      </w:r>
      <w:r w:rsidR="00116159" w:rsidRPr="00116159">
        <w:rPr>
          <w:b/>
          <w:sz w:val="28"/>
        </w:rPr>
        <w:t>DAPAGLIFLOZIN</w:t>
      </w:r>
    </w:p>
    <w:p w:rsidR="00181CA6" w:rsidRPr="00116159" w:rsidRDefault="00116159" w:rsidP="00116159">
      <w:pPr>
        <w:pStyle w:val="BodyText"/>
        <w:ind w:left="709"/>
        <w:rPr>
          <w:b/>
          <w:sz w:val="28"/>
        </w:rPr>
      </w:pPr>
      <w:r w:rsidRPr="00116159">
        <w:rPr>
          <w:b/>
          <w:caps/>
          <w:sz w:val="28"/>
        </w:rPr>
        <w:t>t</w:t>
      </w:r>
      <w:r w:rsidR="007E57F3" w:rsidRPr="00116159">
        <w:rPr>
          <w:b/>
          <w:sz w:val="28"/>
        </w:rPr>
        <w:t>ablet</w:t>
      </w:r>
      <w:r w:rsidR="00D04239" w:rsidRPr="00116159">
        <w:rPr>
          <w:b/>
          <w:sz w:val="28"/>
        </w:rPr>
        <w:t>;</w:t>
      </w:r>
      <w:r w:rsidR="00B60939" w:rsidRPr="00116159">
        <w:rPr>
          <w:b/>
          <w:sz w:val="28"/>
        </w:rPr>
        <w:t xml:space="preserve"> </w:t>
      </w:r>
      <w:r w:rsidR="00F93FEE" w:rsidRPr="00116159">
        <w:rPr>
          <w:b/>
          <w:sz w:val="28"/>
        </w:rPr>
        <w:t>10</w:t>
      </w:r>
      <w:r w:rsidR="007E57F3" w:rsidRPr="00116159">
        <w:rPr>
          <w:b/>
          <w:sz w:val="28"/>
        </w:rPr>
        <w:t xml:space="preserve"> </w:t>
      </w:r>
      <w:r w:rsidR="00F93FEE" w:rsidRPr="00116159">
        <w:rPr>
          <w:b/>
          <w:sz w:val="28"/>
        </w:rPr>
        <w:t>mg</w:t>
      </w:r>
      <w:r w:rsidR="00D04239" w:rsidRPr="00116159">
        <w:rPr>
          <w:b/>
          <w:sz w:val="28"/>
        </w:rPr>
        <w:t>;</w:t>
      </w:r>
      <w:r w:rsidR="00B60939" w:rsidRPr="00116159">
        <w:rPr>
          <w:b/>
          <w:sz w:val="28"/>
        </w:rPr>
        <w:t xml:space="preserve"> </w:t>
      </w:r>
    </w:p>
    <w:p w:rsidR="00B60939" w:rsidRPr="00116159" w:rsidRDefault="00181CA6" w:rsidP="00116159">
      <w:pPr>
        <w:pStyle w:val="BodyText"/>
        <w:ind w:left="709"/>
        <w:rPr>
          <w:b/>
          <w:sz w:val="28"/>
        </w:rPr>
      </w:pPr>
      <w:proofErr w:type="spellStart"/>
      <w:proofErr w:type="gramStart"/>
      <w:r w:rsidRPr="00116159">
        <w:rPr>
          <w:b/>
          <w:sz w:val="28"/>
        </w:rPr>
        <w:t>Forxiga</w:t>
      </w:r>
      <w:proofErr w:type="spellEnd"/>
      <w:r w:rsidR="00B60939" w:rsidRPr="00116159">
        <w:rPr>
          <w:b/>
          <w:sz w:val="28"/>
        </w:rPr>
        <w:t>®</w:t>
      </w:r>
      <w:r w:rsidR="00D04239" w:rsidRPr="00116159">
        <w:rPr>
          <w:b/>
          <w:sz w:val="28"/>
        </w:rPr>
        <w:t xml:space="preserve">; </w:t>
      </w:r>
      <w:r w:rsidR="00F93FEE" w:rsidRPr="00116159">
        <w:rPr>
          <w:b/>
          <w:sz w:val="28"/>
        </w:rPr>
        <w:t>AstraZeneca Australia P</w:t>
      </w:r>
      <w:r w:rsidRPr="00116159">
        <w:rPr>
          <w:b/>
          <w:sz w:val="28"/>
        </w:rPr>
        <w:t>ty Ltd</w:t>
      </w:r>
      <w:r w:rsidR="00B60939" w:rsidRPr="00116159">
        <w:rPr>
          <w:b/>
          <w:sz w:val="28"/>
        </w:rPr>
        <w:t>.</w:t>
      </w:r>
      <w:bookmarkEnd w:id="0"/>
      <w:proofErr w:type="gramEnd"/>
    </w:p>
    <w:p w:rsidR="00B60939" w:rsidRDefault="00B60939" w:rsidP="00116159">
      <w:pPr>
        <w:pStyle w:val="BodyText"/>
        <w:ind w:left="709"/>
      </w:pPr>
    </w:p>
    <w:p w:rsidR="00357A1C" w:rsidRDefault="00357A1C" w:rsidP="00577717"/>
    <w:p w:rsidR="00D8303B" w:rsidRPr="00A92C37" w:rsidRDefault="00D8303B" w:rsidP="00D8303B">
      <w:pPr>
        <w:rPr>
          <w:b/>
          <w:i/>
          <w:u w:val="single"/>
        </w:rPr>
      </w:pPr>
      <w:r w:rsidRPr="00A92C37">
        <w:rPr>
          <w:b/>
          <w:i/>
          <w:u w:val="single"/>
        </w:rPr>
        <w:t>Corrigendum</w:t>
      </w:r>
    </w:p>
    <w:p w:rsidR="00D8303B" w:rsidRPr="00A92C37" w:rsidRDefault="00D8303B" w:rsidP="00D8303B">
      <w:pPr>
        <w:rPr>
          <w:b/>
          <w:i/>
          <w:u w:val="single"/>
        </w:rPr>
      </w:pPr>
    </w:p>
    <w:p w:rsidR="00D8303B" w:rsidRPr="00A92C37" w:rsidRDefault="00D8303B" w:rsidP="00D8303B">
      <w:pPr>
        <w:rPr>
          <w:i/>
        </w:rPr>
      </w:pPr>
      <w:r w:rsidRPr="00A92C37">
        <w:rPr>
          <w:i/>
        </w:rPr>
        <w:t>Replaced the November 2014 ratified PBAC minutes for dapagliflozin with the following revised minutes (</w:t>
      </w:r>
      <w:r w:rsidR="00B1647F" w:rsidRPr="00A92C37">
        <w:rPr>
          <w:i/>
        </w:rPr>
        <w:t>Sections</w:t>
      </w:r>
      <w:r w:rsidRPr="00A92C37">
        <w:rPr>
          <w:i/>
        </w:rPr>
        <w:t xml:space="preserve"> 7.6 – 7.10 are revised, replacing previous paragraphs).</w:t>
      </w:r>
    </w:p>
    <w:p w:rsidR="00665271" w:rsidRPr="00A92C37" w:rsidRDefault="00665271" w:rsidP="00577717"/>
    <w:p w:rsidR="00357A1C" w:rsidRPr="00181CA6" w:rsidRDefault="00357A1C" w:rsidP="00577717"/>
    <w:p w:rsidR="00F338FF" w:rsidRPr="00181CA6" w:rsidRDefault="00F338FF" w:rsidP="005D7E3E">
      <w:pPr>
        <w:pStyle w:val="PBACheading1"/>
        <w:rPr>
          <w:b/>
        </w:rPr>
      </w:pPr>
      <w:bookmarkStart w:id="1" w:name="_Toc398280623"/>
      <w:r w:rsidRPr="00181CA6">
        <w:rPr>
          <w:b/>
        </w:rPr>
        <w:t>Purpose of Application</w:t>
      </w:r>
      <w:bookmarkEnd w:id="1"/>
    </w:p>
    <w:p w:rsidR="00B60939" w:rsidRPr="00181CA6" w:rsidRDefault="00B60939" w:rsidP="00B60939">
      <w:pPr>
        <w:rPr>
          <w:szCs w:val="22"/>
        </w:rPr>
      </w:pPr>
    </w:p>
    <w:p w:rsidR="00B60939" w:rsidRPr="00181CA6" w:rsidRDefault="006D07FE" w:rsidP="00135FF4">
      <w:pPr>
        <w:pStyle w:val="ListParagraph"/>
        <w:widowControl/>
        <w:numPr>
          <w:ilvl w:val="1"/>
          <w:numId w:val="12"/>
        </w:numPr>
        <w:rPr>
          <w:szCs w:val="22"/>
        </w:rPr>
      </w:pPr>
      <w:r w:rsidRPr="00181CA6">
        <w:t>The re</w:t>
      </w:r>
      <w:r w:rsidR="00CC7B01" w:rsidRPr="00181CA6">
        <w:t xml:space="preserve">submission </w:t>
      </w:r>
      <w:r w:rsidR="00665271">
        <w:t>sought</w:t>
      </w:r>
      <w:r w:rsidR="00CC7B01" w:rsidRPr="00181CA6">
        <w:t xml:space="preserve"> an </w:t>
      </w:r>
      <w:r w:rsidR="001E238E" w:rsidRPr="00181CA6">
        <w:t xml:space="preserve">Authority </w:t>
      </w:r>
      <w:r w:rsidR="007E57F3">
        <w:t>r</w:t>
      </w:r>
      <w:r w:rsidR="001E238E" w:rsidRPr="00181CA6">
        <w:t>equired</w:t>
      </w:r>
      <w:r w:rsidR="00891B26" w:rsidRPr="00181CA6">
        <w:t xml:space="preserve"> </w:t>
      </w:r>
      <w:r w:rsidR="001E238E" w:rsidRPr="00181CA6">
        <w:t xml:space="preserve">listing </w:t>
      </w:r>
      <w:r w:rsidR="00891B26" w:rsidRPr="00181CA6">
        <w:t>of</w:t>
      </w:r>
      <w:r w:rsidR="001E238E" w:rsidRPr="00181CA6">
        <w:t xml:space="preserve"> </w:t>
      </w:r>
      <w:r w:rsidR="00891B26" w:rsidRPr="00181CA6">
        <w:t>dapagliflozin 10</w:t>
      </w:r>
      <w:r w:rsidR="006664C2">
        <w:t xml:space="preserve"> </w:t>
      </w:r>
      <w:r w:rsidR="00891B26" w:rsidRPr="00181CA6">
        <w:t>mg tablets</w:t>
      </w:r>
      <w:r w:rsidR="001E238E" w:rsidRPr="00181CA6">
        <w:t xml:space="preserve"> for </w:t>
      </w:r>
      <w:r w:rsidR="00891B26" w:rsidRPr="00181CA6">
        <w:t xml:space="preserve">the </w:t>
      </w:r>
      <w:r w:rsidR="001E238E" w:rsidRPr="00181CA6">
        <w:t xml:space="preserve">treatment of </w:t>
      </w:r>
      <w:r w:rsidR="00891B26" w:rsidRPr="00181CA6">
        <w:t>type 2 diabetes (T2D) in combination with insulin</w:t>
      </w:r>
      <w:r w:rsidR="001E238E" w:rsidRPr="00181CA6">
        <w:t>.</w:t>
      </w:r>
      <w:r w:rsidR="00DD2072" w:rsidRPr="00181CA6">
        <w:t xml:space="preserve">  The first submission </w:t>
      </w:r>
      <w:r w:rsidR="000C1F9A">
        <w:t xml:space="preserve">for this listing </w:t>
      </w:r>
      <w:r w:rsidR="00DD2072" w:rsidRPr="00181CA6">
        <w:t xml:space="preserve">was </w:t>
      </w:r>
      <w:r w:rsidR="00891B26" w:rsidRPr="00181CA6">
        <w:t>considered by the PBAC at the March 2012 meeting and rejected on the basis of uncertain comparative clinical effectiveness (PBAC Minutes para.5.3.32, p.44).</w:t>
      </w:r>
    </w:p>
    <w:p w:rsidR="00395513" w:rsidRPr="00A06963" w:rsidRDefault="00395513" w:rsidP="00395513">
      <w:pPr>
        <w:widowControl/>
        <w:rPr>
          <w:szCs w:val="22"/>
        </w:rPr>
      </w:pPr>
    </w:p>
    <w:p w:rsidR="001B6188" w:rsidRPr="00181CA6" w:rsidRDefault="001B6188" w:rsidP="00497F10"/>
    <w:p w:rsidR="00F338FF" w:rsidRPr="00181CA6" w:rsidRDefault="00F338FF" w:rsidP="005D7E3E">
      <w:pPr>
        <w:pStyle w:val="PBACheading1"/>
        <w:rPr>
          <w:b/>
        </w:rPr>
      </w:pPr>
      <w:bookmarkStart w:id="2" w:name="_Toc398280624"/>
      <w:r w:rsidRPr="00181CA6">
        <w:rPr>
          <w:b/>
        </w:rPr>
        <w:t>Requested listing</w:t>
      </w:r>
      <w:bookmarkEnd w:id="2"/>
    </w:p>
    <w:p w:rsidR="00B60939" w:rsidRPr="00181CA6" w:rsidRDefault="00B60939" w:rsidP="00497F10"/>
    <w:p w:rsidR="00617E12" w:rsidRPr="002857E9" w:rsidRDefault="00665271" w:rsidP="00135FF4">
      <w:pPr>
        <w:pStyle w:val="ListParagraph"/>
        <w:widowControl/>
        <w:numPr>
          <w:ilvl w:val="1"/>
          <w:numId w:val="12"/>
        </w:numPr>
        <w:rPr>
          <w:szCs w:val="22"/>
        </w:rPr>
      </w:pPr>
      <w:r>
        <w:rPr>
          <w:iCs/>
          <w:snapToGrid/>
          <w:color w:val="000000"/>
          <w:szCs w:val="22"/>
          <w:lang w:eastAsia="en-AU"/>
        </w:rPr>
        <w:t>The a</w:t>
      </w:r>
      <w:r w:rsidR="007E57F3" w:rsidRPr="002857E9">
        <w:rPr>
          <w:iCs/>
          <w:snapToGrid/>
          <w:color w:val="000000"/>
          <w:szCs w:val="22"/>
          <w:lang w:eastAsia="en-AU"/>
        </w:rPr>
        <w:t>bridged requested listing</w:t>
      </w:r>
      <w:r w:rsidR="00B81F22" w:rsidRPr="002857E9">
        <w:rPr>
          <w:iCs/>
          <w:snapToGrid/>
          <w:color w:val="000000"/>
          <w:szCs w:val="22"/>
          <w:lang w:eastAsia="en-AU"/>
        </w:rPr>
        <w:t xml:space="preserve"> is shown below</w:t>
      </w:r>
      <w:r w:rsidR="007E57F3" w:rsidRPr="002857E9">
        <w:rPr>
          <w:iCs/>
          <w:snapToGrid/>
          <w:color w:val="000000"/>
          <w:szCs w:val="22"/>
          <w:lang w:eastAsia="en-AU"/>
        </w:rPr>
        <w:t>:</w:t>
      </w:r>
    </w:p>
    <w:p w:rsidR="00A00621" w:rsidRDefault="00A00621" w:rsidP="00A00621">
      <w:pPr>
        <w:pStyle w:val="ListParagraph"/>
        <w:widowControl/>
        <w:rPr>
          <w:szCs w:val="22"/>
        </w:rPr>
      </w:pPr>
    </w:p>
    <w:tbl>
      <w:tblPr>
        <w:tblW w:w="8363" w:type="dxa"/>
        <w:tblInd w:w="817" w:type="dxa"/>
        <w:tblLayout w:type="fixed"/>
        <w:tblLook w:val="0000" w:firstRow="0" w:lastRow="0" w:firstColumn="0" w:lastColumn="0" w:noHBand="0" w:noVBand="0"/>
      </w:tblPr>
      <w:tblGrid>
        <w:gridCol w:w="3544"/>
        <w:gridCol w:w="709"/>
        <w:gridCol w:w="756"/>
        <w:gridCol w:w="1228"/>
        <w:gridCol w:w="1276"/>
        <w:gridCol w:w="850"/>
      </w:tblGrid>
      <w:tr w:rsidR="007E57F3" w:rsidRPr="007F48FB" w:rsidTr="006664C2">
        <w:trPr>
          <w:cantSplit/>
          <w:trHeight w:val="526"/>
        </w:trPr>
        <w:tc>
          <w:tcPr>
            <w:tcW w:w="3544" w:type="dxa"/>
            <w:tcBorders>
              <w:bottom w:val="single" w:sz="4" w:space="0" w:color="auto"/>
            </w:tcBorders>
          </w:tcPr>
          <w:p w:rsidR="007E57F3" w:rsidRPr="007F48FB" w:rsidRDefault="007E57F3" w:rsidP="00073E7F">
            <w:pPr>
              <w:keepNext/>
              <w:widowControl/>
              <w:ind w:left="-108"/>
              <w:rPr>
                <w:rFonts w:ascii="Arial Narrow" w:hAnsi="Arial Narrow"/>
                <w:snapToGrid/>
                <w:sz w:val="20"/>
                <w:szCs w:val="22"/>
                <w:lang w:eastAsia="en-AU"/>
              </w:rPr>
            </w:pPr>
            <w:r w:rsidRPr="007F48FB">
              <w:rPr>
                <w:rFonts w:ascii="Arial Narrow" w:hAnsi="Arial Narrow"/>
                <w:snapToGrid/>
                <w:sz w:val="20"/>
                <w:szCs w:val="22"/>
                <w:lang w:eastAsia="en-AU"/>
              </w:rPr>
              <w:t>Name, Restriction,</w:t>
            </w:r>
          </w:p>
          <w:p w:rsidR="007E57F3" w:rsidRPr="007F48FB" w:rsidRDefault="007E57F3" w:rsidP="00073E7F">
            <w:pPr>
              <w:keepNext/>
              <w:widowControl/>
              <w:ind w:left="-108"/>
              <w:rPr>
                <w:rFonts w:ascii="Arial Narrow" w:hAnsi="Arial Narrow"/>
                <w:snapToGrid/>
                <w:sz w:val="20"/>
                <w:szCs w:val="22"/>
                <w:lang w:eastAsia="en-AU"/>
              </w:rPr>
            </w:pPr>
            <w:r w:rsidRPr="007F48FB">
              <w:rPr>
                <w:rFonts w:ascii="Arial Narrow" w:hAnsi="Arial Narrow"/>
                <w:snapToGrid/>
                <w:sz w:val="20"/>
                <w:szCs w:val="22"/>
                <w:lang w:eastAsia="en-AU"/>
              </w:rPr>
              <w:t>Manner of administration and form</w:t>
            </w:r>
          </w:p>
        </w:tc>
        <w:tc>
          <w:tcPr>
            <w:tcW w:w="709" w:type="dxa"/>
            <w:tcBorders>
              <w:bottom w:val="single" w:sz="4" w:space="0" w:color="auto"/>
            </w:tcBorders>
          </w:tcPr>
          <w:p w:rsidR="007E57F3" w:rsidRPr="007F48FB" w:rsidRDefault="007E57F3" w:rsidP="00073E7F">
            <w:pPr>
              <w:keepNext/>
              <w:widowControl/>
              <w:ind w:left="-108"/>
              <w:rPr>
                <w:rFonts w:ascii="Arial Narrow" w:hAnsi="Arial Narrow"/>
                <w:snapToGrid/>
                <w:sz w:val="20"/>
                <w:szCs w:val="22"/>
                <w:lang w:eastAsia="en-AU"/>
              </w:rPr>
            </w:pPr>
            <w:r w:rsidRPr="007F48FB">
              <w:rPr>
                <w:rFonts w:ascii="Arial Narrow" w:hAnsi="Arial Narrow"/>
                <w:snapToGrid/>
                <w:sz w:val="20"/>
                <w:szCs w:val="22"/>
                <w:lang w:eastAsia="en-AU"/>
              </w:rPr>
              <w:t>Max</w:t>
            </w:r>
          </w:p>
          <w:p w:rsidR="007E57F3" w:rsidRPr="007F48FB" w:rsidRDefault="007E57F3" w:rsidP="00073E7F">
            <w:pPr>
              <w:keepNext/>
              <w:widowControl/>
              <w:ind w:left="-108"/>
              <w:rPr>
                <w:rFonts w:ascii="Arial Narrow" w:hAnsi="Arial Narrow"/>
                <w:snapToGrid/>
                <w:sz w:val="20"/>
                <w:szCs w:val="22"/>
                <w:lang w:eastAsia="en-AU"/>
              </w:rPr>
            </w:pPr>
            <w:r w:rsidRPr="007F48FB">
              <w:rPr>
                <w:rFonts w:ascii="Arial Narrow" w:hAnsi="Arial Narrow"/>
                <w:snapToGrid/>
                <w:sz w:val="20"/>
                <w:szCs w:val="22"/>
                <w:lang w:eastAsia="en-AU"/>
              </w:rPr>
              <w:t>Qty</w:t>
            </w:r>
          </w:p>
        </w:tc>
        <w:tc>
          <w:tcPr>
            <w:tcW w:w="756" w:type="dxa"/>
            <w:tcBorders>
              <w:bottom w:val="single" w:sz="4" w:space="0" w:color="auto"/>
            </w:tcBorders>
          </w:tcPr>
          <w:p w:rsidR="007E57F3" w:rsidRPr="007F48FB" w:rsidRDefault="007E57F3" w:rsidP="00073E7F">
            <w:pPr>
              <w:keepNext/>
              <w:widowControl/>
              <w:ind w:left="-108"/>
              <w:rPr>
                <w:rFonts w:ascii="Arial Narrow" w:hAnsi="Arial Narrow"/>
                <w:snapToGrid/>
                <w:sz w:val="20"/>
                <w:szCs w:val="22"/>
                <w:lang w:eastAsia="en-AU"/>
              </w:rPr>
            </w:pPr>
            <w:r w:rsidRPr="007F48FB">
              <w:rPr>
                <w:rFonts w:ascii="Arial Narrow" w:hAnsi="Arial Narrow"/>
                <w:snapToGrid/>
                <w:sz w:val="20"/>
                <w:szCs w:val="22"/>
                <w:lang w:eastAsia="en-AU"/>
              </w:rPr>
              <w:t>№.of</w:t>
            </w:r>
          </w:p>
          <w:p w:rsidR="007E57F3" w:rsidRPr="007F48FB" w:rsidRDefault="007E57F3" w:rsidP="00073E7F">
            <w:pPr>
              <w:keepNext/>
              <w:widowControl/>
              <w:ind w:left="-108"/>
              <w:rPr>
                <w:rFonts w:ascii="Arial Narrow" w:hAnsi="Arial Narrow"/>
                <w:snapToGrid/>
                <w:sz w:val="20"/>
                <w:szCs w:val="22"/>
                <w:lang w:eastAsia="en-AU"/>
              </w:rPr>
            </w:pPr>
            <w:r w:rsidRPr="007F48FB">
              <w:rPr>
                <w:rFonts w:ascii="Arial Narrow" w:hAnsi="Arial Narrow"/>
                <w:snapToGrid/>
                <w:sz w:val="20"/>
                <w:szCs w:val="22"/>
                <w:lang w:eastAsia="en-AU"/>
              </w:rPr>
              <w:t>Rpts</w:t>
            </w:r>
          </w:p>
        </w:tc>
        <w:tc>
          <w:tcPr>
            <w:tcW w:w="1228" w:type="dxa"/>
            <w:tcBorders>
              <w:bottom w:val="single" w:sz="4" w:space="0" w:color="auto"/>
            </w:tcBorders>
          </w:tcPr>
          <w:p w:rsidR="007E57F3" w:rsidRPr="007F48FB" w:rsidRDefault="007E57F3" w:rsidP="00073E7F">
            <w:pPr>
              <w:keepNext/>
              <w:widowControl/>
              <w:ind w:left="-108"/>
              <w:rPr>
                <w:rFonts w:ascii="Arial Narrow" w:hAnsi="Arial Narrow"/>
                <w:snapToGrid/>
                <w:sz w:val="20"/>
                <w:szCs w:val="22"/>
                <w:lang w:eastAsia="en-AU"/>
              </w:rPr>
            </w:pPr>
          </w:p>
        </w:tc>
        <w:tc>
          <w:tcPr>
            <w:tcW w:w="2126" w:type="dxa"/>
            <w:gridSpan w:val="2"/>
            <w:tcBorders>
              <w:bottom w:val="single" w:sz="4" w:space="0" w:color="auto"/>
            </w:tcBorders>
          </w:tcPr>
          <w:p w:rsidR="007E57F3" w:rsidRPr="007F48FB" w:rsidRDefault="007E57F3" w:rsidP="00073E7F">
            <w:pPr>
              <w:keepNext/>
              <w:widowControl/>
              <w:rPr>
                <w:rFonts w:ascii="Arial Narrow" w:hAnsi="Arial Narrow"/>
                <w:snapToGrid/>
                <w:sz w:val="20"/>
                <w:szCs w:val="22"/>
                <w:lang w:val="fr-FR" w:eastAsia="en-AU"/>
              </w:rPr>
            </w:pPr>
            <w:r w:rsidRPr="007F48FB">
              <w:rPr>
                <w:rFonts w:ascii="Arial Narrow" w:hAnsi="Arial Narrow"/>
                <w:snapToGrid/>
                <w:sz w:val="20"/>
                <w:szCs w:val="22"/>
                <w:lang w:eastAsia="en-AU"/>
              </w:rPr>
              <w:t>Proprietary Name and Manufacturer</w:t>
            </w:r>
          </w:p>
        </w:tc>
      </w:tr>
      <w:tr w:rsidR="007E57F3" w:rsidRPr="007F48FB" w:rsidTr="006664C2">
        <w:trPr>
          <w:cantSplit/>
          <w:trHeight w:val="645"/>
        </w:trPr>
        <w:tc>
          <w:tcPr>
            <w:tcW w:w="3544" w:type="dxa"/>
          </w:tcPr>
          <w:p w:rsidR="007E57F3" w:rsidRPr="007F48FB" w:rsidRDefault="007E57F3" w:rsidP="00073E7F">
            <w:pPr>
              <w:widowControl/>
              <w:ind w:left="-108"/>
              <w:jc w:val="left"/>
              <w:rPr>
                <w:rFonts w:ascii="Arial Narrow" w:hAnsi="Arial Narrow"/>
                <w:snapToGrid/>
                <w:sz w:val="20"/>
                <w:szCs w:val="22"/>
                <w:lang w:eastAsia="en-AU"/>
              </w:rPr>
            </w:pPr>
            <w:r w:rsidRPr="007F48FB">
              <w:rPr>
                <w:rFonts w:ascii="Arial Narrow" w:hAnsi="Arial Narrow"/>
                <w:snapToGrid/>
                <w:sz w:val="20"/>
                <w:szCs w:val="22"/>
                <w:lang w:eastAsia="en-AU"/>
              </w:rPr>
              <w:t>DAPAGLIFLOZIN</w:t>
            </w:r>
          </w:p>
          <w:p w:rsidR="007E57F3" w:rsidRPr="007F48FB" w:rsidRDefault="007E57F3" w:rsidP="00073E7F">
            <w:pPr>
              <w:keepNext/>
              <w:widowControl/>
              <w:ind w:left="-108"/>
              <w:rPr>
                <w:rFonts w:ascii="Arial Narrow" w:hAnsi="Arial Narrow"/>
                <w:snapToGrid/>
                <w:sz w:val="20"/>
                <w:szCs w:val="22"/>
                <w:lang w:eastAsia="en-AU"/>
              </w:rPr>
            </w:pPr>
            <w:r w:rsidRPr="007F48FB">
              <w:rPr>
                <w:rFonts w:ascii="Arial Narrow" w:hAnsi="Arial Narrow"/>
                <w:snapToGrid/>
                <w:sz w:val="20"/>
                <w:szCs w:val="22"/>
                <w:lang w:eastAsia="en-AU"/>
              </w:rPr>
              <w:t>dapagliflozin 10 mg tablet, 28</w:t>
            </w:r>
          </w:p>
        </w:tc>
        <w:tc>
          <w:tcPr>
            <w:tcW w:w="709" w:type="dxa"/>
          </w:tcPr>
          <w:p w:rsidR="007E57F3" w:rsidRPr="007F48FB" w:rsidRDefault="007E57F3" w:rsidP="00073E7F">
            <w:pPr>
              <w:keepNext/>
              <w:widowControl/>
              <w:ind w:left="-108"/>
              <w:rPr>
                <w:rFonts w:ascii="Arial Narrow" w:hAnsi="Arial Narrow"/>
                <w:snapToGrid/>
                <w:sz w:val="20"/>
                <w:szCs w:val="22"/>
                <w:lang w:eastAsia="en-AU"/>
              </w:rPr>
            </w:pPr>
          </w:p>
          <w:p w:rsidR="007E57F3" w:rsidRPr="007F48FB" w:rsidRDefault="007E57F3" w:rsidP="00073E7F">
            <w:pPr>
              <w:keepNext/>
              <w:widowControl/>
              <w:ind w:left="-108"/>
              <w:rPr>
                <w:rFonts w:ascii="Arial Narrow" w:hAnsi="Arial Narrow"/>
                <w:snapToGrid/>
                <w:sz w:val="20"/>
                <w:szCs w:val="22"/>
                <w:lang w:eastAsia="en-AU"/>
              </w:rPr>
            </w:pPr>
            <w:r w:rsidRPr="007F48FB">
              <w:rPr>
                <w:rFonts w:ascii="Arial Narrow" w:hAnsi="Arial Narrow"/>
                <w:snapToGrid/>
                <w:sz w:val="20"/>
                <w:szCs w:val="22"/>
                <w:lang w:eastAsia="en-AU"/>
              </w:rPr>
              <w:t>1</w:t>
            </w:r>
          </w:p>
        </w:tc>
        <w:tc>
          <w:tcPr>
            <w:tcW w:w="756" w:type="dxa"/>
          </w:tcPr>
          <w:p w:rsidR="007E57F3" w:rsidRPr="007F48FB" w:rsidRDefault="007E57F3" w:rsidP="00073E7F">
            <w:pPr>
              <w:keepNext/>
              <w:widowControl/>
              <w:ind w:left="-108"/>
              <w:rPr>
                <w:rFonts w:ascii="Arial Narrow" w:hAnsi="Arial Narrow"/>
                <w:snapToGrid/>
                <w:sz w:val="20"/>
                <w:szCs w:val="22"/>
                <w:lang w:eastAsia="en-AU"/>
              </w:rPr>
            </w:pPr>
          </w:p>
          <w:p w:rsidR="007E57F3" w:rsidRPr="007F48FB" w:rsidRDefault="007E57F3" w:rsidP="00073E7F">
            <w:pPr>
              <w:keepNext/>
              <w:widowControl/>
              <w:ind w:left="-108"/>
              <w:rPr>
                <w:rFonts w:ascii="Arial Narrow" w:hAnsi="Arial Narrow"/>
                <w:snapToGrid/>
                <w:sz w:val="20"/>
                <w:szCs w:val="22"/>
                <w:lang w:eastAsia="en-AU"/>
              </w:rPr>
            </w:pPr>
            <w:r w:rsidRPr="007F48FB">
              <w:rPr>
                <w:rFonts w:ascii="Arial Narrow" w:hAnsi="Arial Narrow"/>
                <w:snapToGrid/>
                <w:sz w:val="20"/>
                <w:szCs w:val="22"/>
                <w:lang w:eastAsia="en-AU"/>
              </w:rPr>
              <w:t>5</w:t>
            </w:r>
          </w:p>
        </w:tc>
        <w:tc>
          <w:tcPr>
            <w:tcW w:w="1228" w:type="dxa"/>
          </w:tcPr>
          <w:p w:rsidR="007E57F3" w:rsidRPr="007F48FB" w:rsidRDefault="007E57F3" w:rsidP="00073E7F">
            <w:pPr>
              <w:keepNext/>
              <w:widowControl/>
              <w:ind w:left="-108"/>
              <w:rPr>
                <w:rFonts w:ascii="Arial Narrow" w:hAnsi="Arial Narrow"/>
                <w:snapToGrid/>
                <w:sz w:val="20"/>
                <w:szCs w:val="22"/>
                <w:lang w:eastAsia="en-AU"/>
              </w:rPr>
            </w:pPr>
          </w:p>
        </w:tc>
        <w:tc>
          <w:tcPr>
            <w:tcW w:w="1276" w:type="dxa"/>
          </w:tcPr>
          <w:p w:rsidR="007E57F3" w:rsidRPr="007F48FB" w:rsidRDefault="007E57F3" w:rsidP="00073E7F">
            <w:pPr>
              <w:keepNext/>
              <w:widowControl/>
              <w:rPr>
                <w:rFonts w:ascii="Arial Narrow" w:hAnsi="Arial Narrow"/>
                <w:snapToGrid/>
                <w:sz w:val="20"/>
                <w:szCs w:val="22"/>
                <w:lang w:eastAsia="en-AU"/>
              </w:rPr>
            </w:pPr>
          </w:p>
          <w:p w:rsidR="007E57F3" w:rsidRPr="007F48FB" w:rsidRDefault="007E57F3" w:rsidP="00073E7F">
            <w:pPr>
              <w:widowControl/>
              <w:ind w:left="-108"/>
              <w:jc w:val="left"/>
              <w:rPr>
                <w:rFonts w:ascii="Arial Narrow" w:hAnsi="Arial Narrow"/>
                <w:snapToGrid/>
                <w:sz w:val="20"/>
                <w:szCs w:val="22"/>
                <w:lang w:eastAsia="en-AU"/>
              </w:rPr>
            </w:pPr>
            <w:r w:rsidRPr="007F48FB">
              <w:rPr>
                <w:rFonts w:ascii="Arial Narrow" w:hAnsi="Arial Narrow"/>
                <w:snapToGrid/>
                <w:sz w:val="20"/>
                <w:szCs w:val="22"/>
                <w:lang w:eastAsia="en-AU"/>
              </w:rPr>
              <w:t>FORXIGA</w:t>
            </w:r>
          </w:p>
        </w:tc>
        <w:tc>
          <w:tcPr>
            <w:tcW w:w="850" w:type="dxa"/>
          </w:tcPr>
          <w:p w:rsidR="007E57F3" w:rsidRPr="007F48FB" w:rsidRDefault="007E57F3" w:rsidP="00073E7F">
            <w:pPr>
              <w:keepNext/>
              <w:widowControl/>
              <w:rPr>
                <w:rFonts w:ascii="Arial Narrow" w:hAnsi="Arial Narrow"/>
                <w:snapToGrid/>
                <w:sz w:val="20"/>
                <w:szCs w:val="22"/>
                <w:lang w:eastAsia="en-AU"/>
              </w:rPr>
            </w:pPr>
          </w:p>
          <w:p w:rsidR="007E57F3" w:rsidRPr="007F48FB" w:rsidRDefault="007E57F3" w:rsidP="00073E7F">
            <w:pPr>
              <w:keepNext/>
              <w:widowControl/>
              <w:rPr>
                <w:rFonts w:ascii="Arial Narrow" w:hAnsi="Arial Narrow"/>
                <w:snapToGrid/>
                <w:sz w:val="20"/>
                <w:szCs w:val="22"/>
                <w:lang w:eastAsia="en-AU"/>
              </w:rPr>
            </w:pPr>
            <w:r w:rsidRPr="007F48FB">
              <w:rPr>
                <w:rFonts w:ascii="Arial Narrow" w:hAnsi="Arial Narrow"/>
                <w:snapToGrid/>
                <w:sz w:val="20"/>
                <w:szCs w:val="22"/>
                <w:lang w:eastAsia="en-AU"/>
              </w:rPr>
              <w:t>AZ</w:t>
            </w:r>
          </w:p>
        </w:tc>
      </w:tr>
    </w:tbl>
    <w:p w:rsidR="007E57F3" w:rsidRPr="007F48FB" w:rsidRDefault="007E57F3" w:rsidP="007E57F3">
      <w:pPr>
        <w:widowControl/>
        <w:rPr>
          <w:snapToGrid/>
          <w:szCs w:val="22"/>
          <w:lang w:eastAsia="en-AU"/>
        </w:rPr>
      </w:pPr>
    </w:p>
    <w:p w:rsidR="007E57F3" w:rsidRPr="007F48FB" w:rsidRDefault="007E57F3" w:rsidP="007E57F3">
      <w:pPr>
        <w:widowControl/>
        <w:ind w:left="709"/>
        <w:rPr>
          <w:rFonts w:ascii="Arial Narrow" w:hAnsi="Arial Narrow"/>
          <w:b/>
          <w:i/>
          <w:snapToGrid/>
          <w:sz w:val="20"/>
          <w:u w:val="single"/>
          <w:lang w:eastAsia="en-AU"/>
        </w:rPr>
      </w:pPr>
      <w:r w:rsidRPr="007F48FB">
        <w:rPr>
          <w:rFonts w:ascii="Arial Narrow" w:hAnsi="Arial Narrow"/>
          <w:b/>
          <w:snapToGrid/>
          <w:sz w:val="20"/>
          <w:u w:val="single"/>
          <w:lang w:eastAsia="en-AU"/>
        </w:rPr>
        <w:t>Authority Required (STREAMLINED)</w:t>
      </w:r>
    </w:p>
    <w:p w:rsidR="007E57F3" w:rsidRPr="007F48FB" w:rsidRDefault="007E57F3" w:rsidP="007E57F3">
      <w:pPr>
        <w:widowControl/>
        <w:ind w:left="709"/>
        <w:rPr>
          <w:rFonts w:ascii="Arial Narrow" w:hAnsi="Arial Narrow"/>
          <w:b/>
          <w:snapToGrid/>
          <w:sz w:val="20"/>
          <w:lang w:eastAsia="en-AU"/>
        </w:rPr>
      </w:pPr>
      <w:r w:rsidRPr="007F48FB">
        <w:rPr>
          <w:rFonts w:ascii="Arial Narrow" w:hAnsi="Arial Narrow"/>
          <w:b/>
          <w:snapToGrid/>
          <w:sz w:val="20"/>
          <w:lang w:eastAsia="en-AU"/>
        </w:rPr>
        <w:t>Diabetes mellitus type 2</w:t>
      </w:r>
    </w:p>
    <w:p w:rsidR="007E57F3" w:rsidRPr="007F48FB" w:rsidRDefault="007E57F3" w:rsidP="007E57F3">
      <w:pPr>
        <w:widowControl/>
        <w:ind w:left="709"/>
        <w:rPr>
          <w:rFonts w:ascii="Arial Narrow" w:hAnsi="Arial Narrow"/>
          <w:b/>
          <w:snapToGrid/>
          <w:sz w:val="20"/>
          <w:lang w:eastAsia="en-AU"/>
        </w:rPr>
      </w:pPr>
    </w:p>
    <w:p w:rsidR="007E57F3" w:rsidRPr="007F48FB" w:rsidRDefault="007E57F3" w:rsidP="007E57F3">
      <w:pPr>
        <w:widowControl/>
        <w:ind w:left="709"/>
        <w:rPr>
          <w:rFonts w:ascii="Arial Narrow" w:hAnsi="Arial Narrow"/>
          <w:b/>
          <w:snapToGrid/>
          <w:sz w:val="20"/>
          <w:lang w:eastAsia="en-AU"/>
        </w:rPr>
      </w:pPr>
      <w:r w:rsidRPr="007F48FB">
        <w:rPr>
          <w:rFonts w:ascii="Arial Narrow" w:hAnsi="Arial Narrow"/>
          <w:b/>
          <w:snapToGrid/>
          <w:sz w:val="20"/>
          <w:lang w:eastAsia="en-AU"/>
        </w:rPr>
        <w:t>Clinical criteria:</w:t>
      </w:r>
    </w:p>
    <w:p w:rsidR="007E57F3" w:rsidRPr="007F48FB" w:rsidRDefault="007E57F3" w:rsidP="007E57F3">
      <w:pPr>
        <w:widowControl/>
        <w:ind w:left="709"/>
        <w:rPr>
          <w:rFonts w:ascii="Arial Narrow" w:hAnsi="Arial Narrow"/>
          <w:snapToGrid/>
          <w:sz w:val="20"/>
          <w:lang w:eastAsia="en-AU"/>
        </w:rPr>
      </w:pPr>
      <w:r w:rsidRPr="007F48FB">
        <w:rPr>
          <w:rFonts w:ascii="Arial Narrow" w:hAnsi="Arial Narrow"/>
          <w:snapToGrid/>
          <w:sz w:val="20"/>
          <w:lang w:eastAsia="en-AU"/>
        </w:rPr>
        <w:t>The treatment must be in combination with insulin,</w:t>
      </w:r>
    </w:p>
    <w:p w:rsidR="007E57F3" w:rsidRPr="007F48FB" w:rsidRDefault="007E57F3" w:rsidP="007E57F3">
      <w:pPr>
        <w:widowControl/>
        <w:ind w:left="709"/>
        <w:rPr>
          <w:rFonts w:ascii="Arial Narrow" w:hAnsi="Arial Narrow"/>
          <w:b/>
          <w:snapToGrid/>
          <w:sz w:val="20"/>
          <w:lang w:eastAsia="en-AU"/>
        </w:rPr>
      </w:pPr>
      <w:r w:rsidRPr="007F48FB">
        <w:rPr>
          <w:rFonts w:ascii="Arial Narrow" w:hAnsi="Arial Narrow"/>
          <w:b/>
          <w:snapToGrid/>
          <w:sz w:val="20"/>
          <w:lang w:eastAsia="en-AU"/>
        </w:rPr>
        <w:t>AND</w:t>
      </w:r>
    </w:p>
    <w:p w:rsidR="007E57F3" w:rsidRPr="007F48FB" w:rsidRDefault="007E57F3" w:rsidP="007E57F3">
      <w:pPr>
        <w:widowControl/>
        <w:ind w:left="709"/>
        <w:rPr>
          <w:rFonts w:ascii="Arial Narrow" w:hAnsi="Arial Narrow"/>
          <w:snapToGrid/>
          <w:sz w:val="20"/>
          <w:lang w:eastAsia="en-AU"/>
        </w:rPr>
      </w:pPr>
      <w:r w:rsidRPr="007F48FB">
        <w:rPr>
          <w:rFonts w:ascii="Arial Narrow" w:hAnsi="Arial Narrow"/>
          <w:snapToGrid/>
          <w:sz w:val="20"/>
          <w:lang w:eastAsia="en-AU"/>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w:t>
      </w:r>
      <w:proofErr w:type="gramStart"/>
      <w:r w:rsidRPr="007F48FB">
        <w:rPr>
          <w:rFonts w:ascii="Arial Narrow" w:hAnsi="Arial Narrow"/>
          <w:snapToGrid/>
          <w:sz w:val="20"/>
          <w:lang w:eastAsia="en-AU"/>
        </w:rPr>
        <w:t>metformin</w:t>
      </w:r>
      <w:proofErr w:type="gramEnd"/>
      <w:r w:rsidRPr="007F48FB">
        <w:rPr>
          <w:rFonts w:ascii="Arial Narrow" w:hAnsi="Arial Narrow"/>
          <w:snapToGrid/>
          <w:sz w:val="20"/>
          <w:lang w:eastAsia="en-AU"/>
        </w:rPr>
        <w:t xml:space="preserve"> is contraindicated; OR</w:t>
      </w:r>
    </w:p>
    <w:p w:rsidR="007E57F3" w:rsidRPr="007F48FB" w:rsidRDefault="007E57F3" w:rsidP="007E57F3">
      <w:pPr>
        <w:widowControl/>
        <w:ind w:left="709"/>
        <w:rPr>
          <w:rFonts w:ascii="Arial Narrow" w:hAnsi="Arial Narrow"/>
          <w:snapToGrid/>
          <w:sz w:val="20"/>
          <w:lang w:eastAsia="en-AU"/>
        </w:rPr>
      </w:pPr>
      <w:r w:rsidRPr="007F48FB">
        <w:rPr>
          <w:rFonts w:ascii="Arial Narrow" w:hAnsi="Arial Narrow"/>
          <w:snapToGrid/>
          <w:sz w:val="20"/>
          <w:lang w:eastAsia="en-AU"/>
        </w:rPr>
        <w:t xml:space="preserve">Patient must have, or have had, where HbA1c measurement is clinically inappropriate, blood glucose levels greater than 10 </w:t>
      </w:r>
      <w:proofErr w:type="spellStart"/>
      <w:r w:rsidRPr="007F48FB">
        <w:rPr>
          <w:rFonts w:ascii="Arial Narrow" w:hAnsi="Arial Narrow"/>
          <w:snapToGrid/>
          <w:sz w:val="20"/>
          <w:lang w:eastAsia="en-AU"/>
        </w:rPr>
        <w:t>mmol</w:t>
      </w:r>
      <w:proofErr w:type="spellEnd"/>
      <w:r w:rsidRPr="007F48FB">
        <w:rPr>
          <w:rFonts w:ascii="Arial Narrow" w:hAnsi="Arial Narrow"/>
          <w:snapToGrid/>
          <w:sz w:val="20"/>
          <w:lang w:eastAsia="en-AU"/>
        </w:rPr>
        <w:t xml:space="preserve"> per L in more than 20% of tests over a 2 week period prior to initiation with a gliptin, a glitazone, a glucagon-like peptide-1 or an SGLT2 inhibitor despite treatment with insulin and oral antidiabetic agents, or insulin alone where metformin is contraindicated.</w:t>
      </w:r>
    </w:p>
    <w:p w:rsidR="00B60939" w:rsidRPr="00181CA6" w:rsidRDefault="00B60939" w:rsidP="00497F10"/>
    <w:p w:rsidR="00393F75" w:rsidRPr="00181CA6" w:rsidRDefault="00CC7B01" w:rsidP="00135FF4">
      <w:pPr>
        <w:pStyle w:val="ListParagraph"/>
        <w:widowControl/>
        <w:numPr>
          <w:ilvl w:val="1"/>
          <w:numId w:val="14"/>
        </w:numPr>
        <w:rPr>
          <w:szCs w:val="22"/>
        </w:rPr>
      </w:pPr>
      <w:r w:rsidRPr="00181CA6">
        <w:rPr>
          <w:szCs w:val="22"/>
        </w:rPr>
        <w:t xml:space="preserve">The listing </w:t>
      </w:r>
      <w:r w:rsidR="00665271">
        <w:rPr>
          <w:szCs w:val="22"/>
        </w:rPr>
        <w:t>was</w:t>
      </w:r>
      <w:r w:rsidRPr="00181CA6">
        <w:rPr>
          <w:szCs w:val="22"/>
        </w:rPr>
        <w:t xml:space="preserve"> requested on a c</w:t>
      </w:r>
      <w:r w:rsidR="00633D27" w:rsidRPr="00181CA6">
        <w:rPr>
          <w:szCs w:val="22"/>
        </w:rPr>
        <w:t xml:space="preserve">ost minimisation </w:t>
      </w:r>
      <w:r w:rsidRPr="00181CA6">
        <w:rPr>
          <w:szCs w:val="22"/>
        </w:rPr>
        <w:t>basis compared to up-</w:t>
      </w:r>
      <w:r w:rsidR="00633D27" w:rsidRPr="00181CA6">
        <w:rPr>
          <w:szCs w:val="22"/>
        </w:rPr>
        <w:t xml:space="preserve">titration </w:t>
      </w:r>
      <w:r w:rsidRPr="00181CA6">
        <w:rPr>
          <w:szCs w:val="22"/>
        </w:rPr>
        <w:t xml:space="preserve">or intensification </w:t>
      </w:r>
      <w:r w:rsidR="00633D27" w:rsidRPr="00181CA6">
        <w:rPr>
          <w:szCs w:val="22"/>
        </w:rPr>
        <w:t>of insulin therapy.</w:t>
      </w:r>
    </w:p>
    <w:p w:rsidR="00393F75" w:rsidRPr="00181CA6" w:rsidRDefault="00393F75" w:rsidP="00497F10"/>
    <w:p w:rsidR="00B60939" w:rsidRPr="00181CA6" w:rsidRDefault="00503B9B" w:rsidP="00135FF4">
      <w:pPr>
        <w:pStyle w:val="ListParagraph"/>
        <w:widowControl/>
        <w:numPr>
          <w:ilvl w:val="1"/>
          <w:numId w:val="14"/>
        </w:numPr>
        <w:rPr>
          <w:szCs w:val="22"/>
        </w:rPr>
      </w:pPr>
      <w:r w:rsidRPr="00181CA6">
        <w:t xml:space="preserve">The requested listing </w:t>
      </w:r>
      <w:r w:rsidR="00665271">
        <w:t>was</w:t>
      </w:r>
      <w:r w:rsidRPr="00181CA6">
        <w:t xml:space="preserve"> similar in scope to the March 2012 submission.</w:t>
      </w:r>
    </w:p>
    <w:p w:rsidR="001B6188" w:rsidRDefault="001B6188" w:rsidP="00497F10"/>
    <w:p w:rsidR="00A06963" w:rsidRDefault="00A06963" w:rsidP="00497F10"/>
    <w:p w:rsidR="002857E9" w:rsidRPr="00E21391" w:rsidRDefault="002857E9" w:rsidP="00D04239">
      <w:pPr>
        <w:ind w:firstLine="720"/>
        <w:rPr>
          <w:i/>
          <w:szCs w:val="22"/>
        </w:rPr>
      </w:pPr>
      <w:bookmarkStart w:id="3" w:name="_Toc398280625"/>
      <w:r w:rsidRPr="00E21391">
        <w:rPr>
          <w:i/>
          <w:szCs w:val="22"/>
        </w:rPr>
        <w:t>For more detail on PBAC’s view, see section 7 “PBAC outcome”</w:t>
      </w:r>
    </w:p>
    <w:p w:rsidR="002857E9" w:rsidRDefault="002857E9" w:rsidP="002857E9">
      <w:pPr>
        <w:pStyle w:val="PBACheading1"/>
        <w:numPr>
          <w:ilvl w:val="0"/>
          <w:numId w:val="0"/>
        </w:numPr>
        <w:ind w:left="720"/>
      </w:pPr>
    </w:p>
    <w:p w:rsidR="002857E9" w:rsidRPr="002857E9" w:rsidRDefault="002857E9" w:rsidP="002857E9">
      <w:pPr>
        <w:pStyle w:val="PBACheading1"/>
        <w:numPr>
          <w:ilvl w:val="0"/>
          <w:numId w:val="0"/>
        </w:numPr>
        <w:ind w:left="720"/>
      </w:pPr>
    </w:p>
    <w:p w:rsidR="00F338FF" w:rsidRPr="00181CA6" w:rsidRDefault="00F338FF" w:rsidP="005D7E3E">
      <w:pPr>
        <w:pStyle w:val="PBACheading1"/>
      </w:pPr>
      <w:r w:rsidRPr="00181CA6">
        <w:rPr>
          <w:b/>
        </w:rPr>
        <w:t>Background</w:t>
      </w:r>
      <w:bookmarkEnd w:id="3"/>
    </w:p>
    <w:p w:rsidR="00B60939" w:rsidRPr="00181CA6" w:rsidRDefault="00B60939" w:rsidP="00B60939">
      <w:pPr>
        <w:rPr>
          <w:szCs w:val="22"/>
        </w:rPr>
      </w:pPr>
    </w:p>
    <w:p w:rsidR="00B60939" w:rsidRPr="00665271" w:rsidRDefault="00665271" w:rsidP="00B21F00">
      <w:pPr>
        <w:pStyle w:val="ListParagraph"/>
        <w:widowControl/>
        <w:numPr>
          <w:ilvl w:val="1"/>
          <w:numId w:val="12"/>
        </w:numPr>
        <w:rPr>
          <w:szCs w:val="22"/>
        </w:rPr>
      </w:pPr>
      <w:r w:rsidRPr="00665271">
        <w:rPr>
          <w:bCs/>
          <w:szCs w:val="22"/>
        </w:rPr>
        <w:t>D</w:t>
      </w:r>
      <w:r w:rsidR="00791A5E" w:rsidRPr="00665271">
        <w:rPr>
          <w:szCs w:val="22"/>
        </w:rPr>
        <w:t>apagliflozin</w:t>
      </w:r>
      <w:r w:rsidR="00B60939" w:rsidRPr="00665271">
        <w:rPr>
          <w:szCs w:val="22"/>
        </w:rPr>
        <w:t xml:space="preserve"> was TGA registered on </w:t>
      </w:r>
      <w:r w:rsidR="00791A5E" w:rsidRPr="00665271">
        <w:rPr>
          <w:szCs w:val="22"/>
        </w:rPr>
        <w:t xml:space="preserve">22 October 2012 as an adjunct to diet and exercise in patients with type 2 diabetes as monotherapy for whom metformin is otherwise indicated but not tolerated, initial combination therapy with metformin and combination therapy with other </w:t>
      </w:r>
      <w:r w:rsidR="00494ECE" w:rsidRPr="00665271">
        <w:rPr>
          <w:szCs w:val="22"/>
        </w:rPr>
        <w:t>anti-hyperglycaemic agents.</w:t>
      </w:r>
    </w:p>
    <w:p w:rsidR="00B60939" w:rsidRPr="00181CA6" w:rsidRDefault="00B60939" w:rsidP="00577717"/>
    <w:p w:rsidR="00B60939" w:rsidRPr="00181CA6" w:rsidRDefault="00665271" w:rsidP="00135FF4">
      <w:pPr>
        <w:pStyle w:val="ListParagraph"/>
        <w:widowControl/>
        <w:numPr>
          <w:ilvl w:val="1"/>
          <w:numId w:val="12"/>
        </w:numPr>
        <w:rPr>
          <w:szCs w:val="22"/>
        </w:rPr>
      </w:pPr>
      <w:r>
        <w:rPr>
          <w:szCs w:val="22"/>
        </w:rPr>
        <w:t>Dapagliflozin with insulin was p</w:t>
      </w:r>
      <w:r w:rsidR="00E01C2A" w:rsidRPr="00181CA6">
        <w:rPr>
          <w:szCs w:val="22"/>
        </w:rPr>
        <w:t>reviously rejected by the PBAC at the March 2012 meeting.</w:t>
      </w:r>
    </w:p>
    <w:p w:rsidR="00B60939" w:rsidRPr="00181CA6" w:rsidRDefault="00B60939" w:rsidP="00577717"/>
    <w:p w:rsidR="001D112E" w:rsidRPr="00181CA6" w:rsidRDefault="001D112E" w:rsidP="00B21F00">
      <w:pPr>
        <w:widowControl/>
        <w:ind w:firstLine="720"/>
        <w:rPr>
          <w:rStyle w:val="CommentReference"/>
          <w:rFonts w:ascii="Arial" w:hAnsi="Arial"/>
          <w:b w:val="0"/>
          <w:sz w:val="22"/>
          <w:szCs w:val="22"/>
        </w:rPr>
      </w:pPr>
      <w:r w:rsidRPr="00181CA6">
        <w:rPr>
          <w:rStyle w:val="CommentReference"/>
        </w:rPr>
        <w:t xml:space="preserve">Summary of the previous submission and current </w:t>
      </w:r>
      <w:r w:rsidR="006D07FE" w:rsidRPr="00181CA6">
        <w:rPr>
          <w:rStyle w:val="CommentReference"/>
        </w:rPr>
        <w:t>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4111"/>
        <w:gridCol w:w="2816"/>
      </w:tblGrid>
      <w:tr w:rsidR="001D112E" w:rsidRPr="00181CA6" w:rsidTr="0032172C">
        <w:trPr>
          <w:trHeight w:val="220"/>
          <w:tblHeader/>
        </w:trPr>
        <w:tc>
          <w:tcPr>
            <w:tcW w:w="850" w:type="pct"/>
          </w:tcPr>
          <w:p w:rsidR="001D112E" w:rsidRPr="00181CA6" w:rsidRDefault="001D112E" w:rsidP="00AA0A07">
            <w:pPr>
              <w:jc w:val="left"/>
              <w:rPr>
                <w:rFonts w:ascii="Arial Narrow" w:hAnsi="Arial Narrow"/>
                <w:sz w:val="19"/>
                <w:szCs w:val="19"/>
              </w:rPr>
            </w:pPr>
          </w:p>
        </w:tc>
        <w:tc>
          <w:tcPr>
            <w:tcW w:w="2463" w:type="pct"/>
            <w:vAlign w:val="center"/>
          </w:tcPr>
          <w:p w:rsidR="001D112E" w:rsidRPr="00181CA6" w:rsidRDefault="00494ECE" w:rsidP="00AA0A07">
            <w:pPr>
              <w:jc w:val="center"/>
              <w:rPr>
                <w:rFonts w:ascii="Arial Narrow" w:hAnsi="Arial Narrow"/>
                <w:b/>
                <w:sz w:val="19"/>
                <w:szCs w:val="19"/>
              </w:rPr>
            </w:pPr>
            <w:r w:rsidRPr="00181CA6">
              <w:rPr>
                <w:rFonts w:ascii="Arial Narrow" w:hAnsi="Arial Narrow"/>
                <w:b/>
                <w:sz w:val="19"/>
                <w:szCs w:val="19"/>
              </w:rPr>
              <w:t>Dapagliflozin, March 2012</w:t>
            </w:r>
          </w:p>
        </w:tc>
        <w:tc>
          <w:tcPr>
            <w:tcW w:w="1688" w:type="pct"/>
            <w:vAlign w:val="center"/>
          </w:tcPr>
          <w:p w:rsidR="001D112E" w:rsidRPr="00181CA6" w:rsidRDefault="001D112E" w:rsidP="00AA0A07">
            <w:pPr>
              <w:jc w:val="center"/>
              <w:rPr>
                <w:rFonts w:ascii="Arial Narrow" w:hAnsi="Arial Narrow"/>
                <w:b/>
                <w:sz w:val="19"/>
                <w:szCs w:val="19"/>
              </w:rPr>
            </w:pPr>
            <w:r w:rsidRPr="00181CA6">
              <w:rPr>
                <w:rFonts w:ascii="Arial Narrow" w:hAnsi="Arial Narrow"/>
                <w:b/>
                <w:sz w:val="19"/>
                <w:szCs w:val="19"/>
              </w:rPr>
              <w:t xml:space="preserve">Current </w:t>
            </w:r>
            <w:r w:rsidR="006D07FE" w:rsidRPr="00181CA6">
              <w:rPr>
                <w:rFonts w:ascii="Arial Narrow" w:hAnsi="Arial Narrow"/>
                <w:b/>
                <w:sz w:val="19"/>
                <w:szCs w:val="19"/>
              </w:rPr>
              <w:t>resubmission</w:t>
            </w:r>
          </w:p>
        </w:tc>
      </w:tr>
      <w:tr w:rsidR="001D112E" w:rsidRPr="00181CA6" w:rsidTr="0032172C">
        <w:trPr>
          <w:trHeight w:val="912"/>
        </w:trPr>
        <w:tc>
          <w:tcPr>
            <w:tcW w:w="850"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Requested PBS listing</w:t>
            </w:r>
          </w:p>
        </w:tc>
        <w:tc>
          <w:tcPr>
            <w:tcW w:w="2463" w:type="pct"/>
          </w:tcPr>
          <w:p w:rsidR="001D112E" w:rsidRDefault="001D112E" w:rsidP="00494ECE">
            <w:pPr>
              <w:ind w:left="12"/>
              <w:jc w:val="left"/>
              <w:rPr>
                <w:rFonts w:ascii="Arial Narrow" w:hAnsi="Arial Narrow"/>
                <w:sz w:val="19"/>
                <w:szCs w:val="19"/>
              </w:rPr>
            </w:pPr>
            <w:r w:rsidRPr="00181CA6">
              <w:rPr>
                <w:rFonts w:ascii="Arial Narrow" w:hAnsi="Arial Narrow"/>
                <w:sz w:val="19"/>
                <w:szCs w:val="19"/>
              </w:rPr>
              <w:t>•</w:t>
            </w:r>
            <w:r w:rsidR="00E0638B" w:rsidRPr="00181CA6">
              <w:rPr>
                <w:rFonts w:ascii="Arial Narrow" w:hAnsi="Arial Narrow"/>
                <w:sz w:val="19"/>
                <w:szCs w:val="19"/>
              </w:rPr>
              <w:t xml:space="preserve"> </w:t>
            </w:r>
            <w:r w:rsidR="00494ECE" w:rsidRPr="00181CA6">
              <w:rPr>
                <w:rFonts w:ascii="Arial Narrow" w:hAnsi="Arial Narrow"/>
                <w:sz w:val="19"/>
                <w:szCs w:val="19"/>
              </w:rPr>
              <w:t xml:space="preserve">Authority Required (Streamlined) </w:t>
            </w:r>
            <w:r w:rsidR="00E0638B" w:rsidRPr="00181CA6">
              <w:rPr>
                <w:rFonts w:ascii="Arial Narrow" w:hAnsi="Arial Narrow"/>
                <w:sz w:val="19"/>
                <w:szCs w:val="19"/>
              </w:rPr>
              <w:t>-</w:t>
            </w:r>
            <w:r w:rsidR="00494ECE" w:rsidRPr="00181CA6">
              <w:rPr>
                <w:rFonts w:ascii="Arial Narrow" w:hAnsi="Arial Narrow"/>
                <w:sz w:val="19"/>
                <w:szCs w:val="19"/>
              </w:rPr>
              <w:br/>
              <w:t xml:space="preserve"> Combination therapy with insulin.</w:t>
            </w:r>
          </w:p>
          <w:p w:rsidR="00665271" w:rsidRPr="00181CA6" w:rsidRDefault="00665271" w:rsidP="00494ECE">
            <w:pPr>
              <w:ind w:left="12"/>
              <w:jc w:val="left"/>
              <w:rPr>
                <w:rFonts w:ascii="Arial Narrow" w:hAnsi="Arial Narrow"/>
                <w:sz w:val="19"/>
                <w:szCs w:val="19"/>
              </w:rPr>
            </w:pPr>
          </w:p>
          <w:p w:rsidR="001D112E" w:rsidRPr="00181CA6" w:rsidRDefault="001D112E" w:rsidP="003C4FEF">
            <w:pPr>
              <w:jc w:val="left"/>
              <w:rPr>
                <w:rFonts w:ascii="Arial Narrow" w:hAnsi="Arial Narrow"/>
                <w:b/>
                <w:sz w:val="19"/>
                <w:szCs w:val="19"/>
              </w:rPr>
            </w:pPr>
            <w:r w:rsidRPr="00181CA6">
              <w:rPr>
                <w:rFonts w:ascii="Arial Narrow" w:hAnsi="Arial Narrow"/>
                <w:b/>
                <w:sz w:val="19"/>
                <w:szCs w:val="19"/>
              </w:rPr>
              <w:t xml:space="preserve">PBAC Comment: </w:t>
            </w:r>
            <w:r w:rsidR="00E012F9" w:rsidRPr="00181CA6">
              <w:rPr>
                <w:rFonts w:ascii="Arial Narrow" w:hAnsi="Arial Narrow"/>
                <w:sz w:val="19"/>
                <w:szCs w:val="19"/>
              </w:rPr>
              <w:t>Streamlined Authority was not appropriate as dapagliflozin was a “first in class” agent with a novel mode of action, with possible use outside the requested indication (para.5.2.27).</w:t>
            </w:r>
          </w:p>
        </w:tc>
        <w:tc>
          <w:tcPr>
            <w:tcW w:w="1688"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w:t>
            </w:r>
            <w:r w:rsidR="00494ECE" w:rsidRPr="00181CA6">
              <w:rPr>
                <w:rFonts w:ascii="Arial Narrow" w:hAnsi="Arial Narrow"/>
                <w:sz w:val="19"/>
                <w:szCs w:val="19"/>
              </w:rPr>
              <w:t xml:space="preserve"> </w:t>
            </w:r>
            <w:r w:rsidR="00E0638B" w:rsidRPr="00181CA6">
              <w:rPr>
                <w:rFonts w:ascii="Arial Narrow" w:hAnsi="Arial Narrow"/>
                <w:sz w:val="19"/>
                <w:szCs w:val="19"/>
              </w:rPr>
              <w:t xml:space="preserve">Authority Required - </w:t>
            </w:r>
            <w:r w:rsidR="00494ECE" w:rsidRPr="00181CA6">
              <w:rPr>
                <w:rFonts w:ascii="Arial Narrow" w:hAnsi="Arial Narrow"/>
                <w:sz w:val="19"/>
                <w:szCs w:val="19"/>
              </w:rPr>
              <w:t>Diabetes mellitus type 2. The treatment must be in combination with insulin.</w:t>
            </w:r>
          </w:p>
        </w:tc>
      </w:tr>
      <w:tr w:rsidR="00E0638B" w:rsidRPr="00181CA6" w:rsidTr="0032172C">
        <w:trPr>
          <w:trHeight w:val="106"/>
        </w:trPr>
        <w:tc>
          <w:tcPr>
            <w:tcW w:w="850"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Requested price</w:t>
            </w:r>
          </w:p>
        </w:tc>
        <w:tc>
          <w:tcPr>
            <w:tcW w:w="2463" w:type="pct"/>
          </w:tcPr>
          <w:p w:rsidR="001D112E" w:rsidRPr="00181CA6" w:rsidRDefault="001D112E" w:rsidP="00E0638B">
            <w:pPr>
              <w:jc w:val="left"/>
              <w:rPr>
                <w:rFonts w:ascii="Arial Narrow" w:hAnsi="Arial Narrow"/>
                <w:sz w:val="19"/>
                <w:szCs w:val="19"/>
              </w:rPr>
            </w:pPr>
            <w:r w:rsidRPr="00181CA6">
              <w:rPr>
                <w:rFonts w:ascii="Arial Narrow" w:hAnsi="Arial Narrow"/>
                <w:sz w:val="19"/>
                <w:szCs w:val="19"/>
              </w:rPr>
              <w:t>•</w:t>
            </w:r>
            <w:r w:rsidR="00E0638B" w:rsidRPr="00181CA6">
              <w:rPr>
                <w:rFonts w:ascii="Arial Narrow" w:hAnsi="Arial Narrow"/>
                <w:sz w:val="19"/>
                <w:szCs w:val="19"/>
              </w:rPr>
              <w:t xml:space="preserve"> </w:t>
            </w:r>
            <w:r w:rsidR="006A1008">
              <w:rPr>
                <w:rFonts w:ascii="Arial Narrow" w:hAnsi="Arial Narrow"/>
                <w:noProof/>
                <w:color w:val="000000"/>
                <w:sz w:val="19"/>
                <w:szCs w:val="19"/>
                <w:highlight w:val="black"/>
              </w:rPr>
              <w:t>'''''''''''''''</w:t>
            </w:r>
            <w:r w:rsidR="00E0638B" w:rsidRPr="00181CA6">
              <w:rPr>
                <w:rFonts w:ascii="Arial Narrow" w:hAnsi="Arial Narrow"/>
                <w:sz w:val="19"/>
                <w:szCs w:val="19"/>
              </w:rPr>
              <w:t xml:space="preserve"> DPMQ.</w:t>
            </w:r>
          </w:p>
        </w:tc>
        <w:tc>
          <w:tcPr>
            <w:tcW w:w="1688" w:type="pct"/>
          </w:tcPr>
          <w:p w:rsidR="001D112E" w:rsidRPr="00181CA6" w:rsidRDefault="001D112E" w:rsidP="00E0638B">
            <w:pPr>
              <w:jc w:val="left"/>
              <w:rPr>
                <w:rFonts w:ascii="Arial Narrow" w:hAnsi="Arial Narrow"/>
                <w:sz w:val="19"/>
                <w:szCs w:val="19"/>
              </w:rPr>
            </w:pPr>
            <w:r w:rsidRPr="00181CA6">
              <w:rPr>
                <w:rFonts w:ascii="Arial Narrow" w:hAnsi="Arial Narrow"/>
                <w:sz w:val="19"/>
                <w:szCs w:val="19"/>
              </w:rPr>
              <w:t>•</w:t>
            </w:r>
            <w:r w:rsidR="006A1008">
              <w:rPr>
                <w:rFonts w:ascii="Arial Narrow" w:hAnsi="Arial Narrow"/>
                <w:noProof/>
                <w:color w:val="000000"/>
                <w:sz w:val="19"/>
                <w:szCs w:val="19"/>
                <w:highlight w:val="black"/>
              </w:rPr>
              <w:t xml:space="preserve"> '''''''''''''''''</w:t>
            </w:r>
            <w:r w:rsidR="00E0638B" w:rsidRPr="00181CA6">
              <w:rPr>
                <w:rFonts w:ascii="Arial Narrow" w:hAnsi="Arial Narrow"/>
                <w:sz w:val="19"/>
                <w:szCs w:val="19"/>
              </w:rPr>
              <w:t xml:space="preserve"> </w:t>
            </w:r>
            <w:r w:rsidRPr="00181CA6">
              <w:rPr>
                <w:rFonts w:ascii="Arial Narrow" w:hAnsi="Arial Narrow"/>
                <w:sz w:val="19"/>
                <w:szCs w:val="19"/>
              </w:rPr>
              <w:t>DPMQ</w:t>
            </w:r>
            <w:r w:rsidR="00E0638B" w:rsidRPr="00181CA6">
              <w:rPr>
                <w:rFonts w:ascii="Arial Narrow" w:hAnsi="Arial Narrow"/>
                <w:sz w:val="19"/>
                <w:szCs w:val="19"/>
              </w:rPr>
              <w:t>.</w:t>
            </w:r>
          </w:p>
        </w:tc>
      </w:tr>
      <w:tr w:rsidR="001D112E" w:rsidRPr="00181CA6" w:rsidTr="0032172C">
        <w:trPr>
          <w:trHeight w:val="642"/>
        </w:trPr>
        <w:tc>
          <w:tcPr>
            <w:tcW w:w="850"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Main comparator</w:t>
            </w:r>
          </w:p>
        </w:tc>
        <w:tc>
          <w:tcPr>
            <w:tcW w:w="2463" w:type="pct"/>
          </w:tcPr>
          <w:p w:rsidR="001D112E" w:rsidRDefault="001D112E" w:rsidP="00AA0A07">
            <w:pPr>
              <w:jc w:val="left"/>
              <w:rPr>
                <w:rFonts w:ascii="Arial Narrow" w:hAnsi="Arial Narrow"/>
                <w:sz w:val="19"/>
                <w:szCs w:val="19"/>
              </w:rPr>
            </w:pPr>
            <w:r w:rsidRPr="00181CA6">
              <w:rPr>
                <w:rFonts w:ascii="Arial Narrow" w:hAnsi="Arial Narrow"/>
                <w:sz w:val="19"/>
                <w:szCs w:val="19"/>
              </w:rPr>
              <w:t>•</w:t>
            </w:r>
            <w:r w:rsidR="00B94734" w:rsidRPr="00181CA6">
              <w:rPr>
                <w:rFonts w:ascii="Arial Narrow" w:hAnsi="Arial Narrow"/>
                <w:sz w:val="19"/>
                <w:szCs w:val="19"/>
              </w:rPr>
              <w:t xml:space="preserve"> Pioglitazone.</w:t>
            </w:r>
          </w:p>
          <w:p w:rsidR="00665271" w:rsidRPr="00181CA6" w:rsidRDefault="00665271" w:rsidP="00AA0A07">
            <w:pPr>
              <w:jc w:val="left"/>
              <w:rPr>
                <w:rFonts w:ascii="Arial Narrow" w:hAnsi="Arial Narrow"/>
                <w:sz w:val="19"/>
                <w:szCs w:val="19"/>
              </w:rPr>
            </w:pPr>
          </w:p>
          <w:p w:rsidR="001D112E" w:rsidRPr="00181CA6" w:rsidRDefault="001D112E" w:rsidP="00E012F9">
            <w:pPr>
              <w:jc w:val="left"/>
              <w:rPr>
                <w:rFonts w:ascii="Arial Narrow" w:hAnsi="Arial Narrow"/>
                <w:sz w:val="19"/>
                <w:szCs w:val="19"/>
              </w:rPr>
            </w:pPr>
            <w:r w:rsidRPr="00181CA6">
              <w:rPr>
                <w:rFonts w:ascii="Arial Narrow" w:hAnsi="Arial Narrow"/>
                <w:b/>
                <w:sz w:val="19"/>
                <w:szCs w:val="19"/>
              </w:rPr>
              <w:t>PBAC Comment:</w:t>
            </w:r>
            <w:r w:rsidRPr="00181CA6">
              <w:rPr>
                <w:rFonts w:ascii="Arial Narrow" w:hAnsi="Arial Narrow"/>
                <w:sz w:val="19"/>
                <w:szCs w:val="19"/>
              </w:rPr>
              <w:t xml:space="preserve"> </w:t>
            </w:r>
            <w:r w:rsidR="00E012F9" w:rsidRPr="00181CA6">
              <w:rPr>
                <w:rFonts w:ascii="Arial Narrow" w:hAnsi="Arial Narrow"/>
                <w:sz w:val="19"/>
                <w:szCs w:val="19"/>
              </w:rPr>
              <w:t>Insulin should be included as an additional appropriate comparator</w:t>
            </w:r>
            <w:proofErr w:type="gramStart"/>
            <w:r w:rsidR="00E012F9" w:rsidRPr="00181CA6">
              <w:rPr>
                <w:rFonts w:ascii="Arial Narrow" w:hAnsi="Arial Narrow"/>
                <w:sz w:val="19"/>
                <w:szCs w:val="19"/>
              </w:rPr>
              <w:t xml:space="preserve">, </w:t>
            </w:r>
            <w:r w:rsidR="000C1F9A">
              <w:rPr>
                <w:rFonts w:ascii="Arial Narrow" w:hAnsi="Arial Narrow"/>
                <w:sz w:val="19"/>
                <w:szCs w:val="19"/>
              </w:rPr>
              <w:t xml:space="preserve"> </w:t>
            </w:r>
            <w:r w:rsidR="00E012F9" w:rsidRPr="00181CA6">
              <w:rPr>
                <w:rFonts w:ascii="Arial Narrow" w:hAnsi="Arial Narrow"/>
                <w:sz w:val="19"/>
                <w:szCs w:val="19"/>
              </w:rPr>
              <w:t>given</w:t>
            </w:r>
            <w:proofErr w:type="gramEnd"/>
            <w:r w:rsidR="00E012F9" w:rsidRPr="00181CA6">
              <w:rPr>
                <w:rFonts w:ascii="Arial Narrow" w:hAnsi="Arial Narrow"/>
                <w:sz w:val="19"/>
                <w:szCs w:val="19"/>
              </w:rPr>
              <w:t xml:space="preserve"> reduction in insulin may be the objective of therapy in some patients (para.5.2.28).</w:t>
            </w:r>
          </w:p>
        </w:tc>
        <w:tc>
          <w:tcPr>
            <w:tcW w:w="1688" w:type="pct"/>
          </w:tcPr>
          <w:p w:rsidR="001D112E" w:rsidRPr="00181CA6" w:rsidRDefault="001D112E" w:rsidP="00B94734">
            <w:pPr>
              <w:jc w:val="left"/>
              <w:rPr>
                <w:rFonts w:ascii="Arial Narrow" w:hAnsi="Arial Narrow"/>
                <w:sz w:val="19"/>
                <w:szCs w:val="19"/>
              </w:rPr>
            </w:pPr>
            <w:r w:rsidRPr="00181CA6">
              <w:rPr>
                <w:rFonts w:ascii="Arial Narrow" w:hAnsi="Arial Narrow"/>
                <w:sz w:val="19"/>
                <w:szCs w:val="19"/>
              </w:rPr>
              <w:t>•</w:t>
            </w:r>
            <w:r w:rsidR="00B94734" w:rsidRPr="00181CA6">
              <w:rPr>
                <w:rFonts w:ascii="Arial Narrow" w:hAnsi="Arial Narrow"/>
                <w:sz w:val="19"/>
                <w:szCs w:val="19"/>
              </w:rPr>
              <w:t xml:space="preserve"> Insulin up-titration or intensification. Exenatide as secondary comparator.</w:t>
            </w:r>
          </w:p>
        </w:tc>
      </w:tr>
      <w:tr w:rsidR="001D112E" w:rsidRPr="00181CA6" w:rsidTr="0032172C">
        <w:trPr>
          <w:trHeight w:val="860"/>
        </w:trPr>
        <w:tc>
          <w:tcPr>
            <w:tcW w:w="850"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Clinical evidence</w:t>
            </w:r>
          </w:p>
        </w:tc>
        <w:tc>
          <w:tcPr>
            <w:tcW w:w="2463" w:type="pct"/>
          </w:tcPr>
          <w:p w:rsidR="001D112E" w:rsidRDefault="001D112E" w:rsidP="00AA0A07">
            <w:pPr>
              <w:jc w:val="left"/>
              <w:rPr>
                <w:rFonts w:ascii="Arial Narrow" w:hAnsi="Arial Narrow"/>
                <w:sz w:val="19"/>
                <w:szCs w:val="19"/>
              </w:rPr>
            </w:pPr>
            <w:r w:rsidRPr="00181CA6">
              <w:rPr>
                <w:rFonts w:ascii="Arial Narrow" w:hAnsi="Arial Narrow"/>
                <w:sz w:val="19"/>
                <w:szCs w:val="19"/>
              </w:rPr>
              <w:t>•</w:t>
            </w:r>
            <w:r w:rsidR="00B94734" w:rsidRPr="00181CA6">
              <w:t xml:space="preserve"> </w:t>
            </w:r>
            <w:r w:rsidR="00B94734" w:rsidRPr="00181CA6">
              <w:rPr>
                <w:rFonts w:ascii="Arial Narrow" w:hAnsi="Arial Narrow"/>
                <w:sz w:val="19"/>
                <w:szCs w:val="19"/>
              </w:rPr>
              <w:t>An indirect comparison of dapagliflozin versus pioglitazone (in combination with insulin) using placebo (in combination with insulin) as a common comparator; one dapagliflozin trial (CT-006) and pooled results from two pioglitazone trials (</w:t>
            </w:r>
            <w:proofErr w:type="spellStart"/>
            <w:r w:rsidR="00B94734" w:rsidRPr="00181CA6">
              <w:rPr>
                <w:rFonts w:ascii="Arial Narrow" w:hAnsi="Arial Narrow"/>
                <w:sz w:val="19"/>
                <w:szCs w:val="19"/>
              </w:rPr>
              <w:t>Mattoo</w:t>
            </w:r>
            <w:proofErr w:type="spellEnd"/>
            <w:r w:rsidR="00B94734" w:rsidRPr="00181CA6">
              <w:rPr>
                <w:rFonts w:ascii="Arial Narrow" w:hAnsi="Arial Narrow"/>
                <w:sz w:val="19"/>
                <w:szCs w:val="19"/>
              </w:rPr>
              <w:t xml:space="preserve"> 2005 and </w:t>
            </w:r>
            <w:r w:rsidR="00F408CD" w:rsidRPr="00181CA6">
              <w:rPr>
                <w:rFonts w:ascii="Arial Narrow" w:hAnsi="Arial Narrow"/>
                <w:sz w:val="19"/>
                <w:szCs w:val="19"/>
              </w:rPr>
              <w:t xml:space="preserve">in sensitivity analysis, </w:t>
            </w:r>
            <w:proofErr w:type="spellStart"/>
            <w:r w:rsidR="00B94734" w:rsidRPr="00181CA6">
              <w:rPr>
                <w:rFonts w:ascii="Arial Narrow" w:hAnsi="Arial Narrow"/>
                <w:sz w:val="19"/>
                <w:szCs w:val="19"/>
              </w:rPr>
              <w:t>Rosenstock</w:t>
            </w:r>
            <w:proofErr w:type="spellEnd"/>
            <w:r w:rsidR="00B94734" w:rsidRPr="00181CA6">
              <w:rPr>
                <w:rFonts w:ascii="Arial Narrow" w:hAnsi="Arial Narrow"/>
                <w:sz w:val="19"/>
                <w:szCs w:val="19"/>
              </w:rPr>
              <w:t xml:space="preserve"> 2002)</w:t>
            </w:r>
            <w:r w:rsidR="007230A4" w:rsidRPr="00181CA6">
              <w:rPr>
                <w:rFonts w:ascii="Arial Narrow" w:hAnsi="Arial Narrow"/>
                <w:sz w:val="19"/>
                <w:szCs w:val="19"/>
              </w:rPr>
              <w:t>.</w:t>
            </w:r>
            <w:r w:rsidR="00F408CD" w:rsidRPr="00181CA6">
              <w:rPr>
                <w:rFonts w:ascii="Arial Narrow" w:hAnsi="Arial Narrow"/>
                <w:sz w:val="19"/>
                <w:szCs w:val="19"/>
              </w:rPr>
              <w:t xml:space="preserve"> </w:t>
            </w:r>
          </w:p>
          <w:p w:rsidR="00665271" w:rsidRPr="00181CA6" w:rsidRDefault="00665271" w:rsidP="00AA0A07">
            <w:pPr>
              <w:jc w:val="left"/>
              <w:rPr>
                <w:rFonts w:ascii="Arial Narrow" w:hAnsi="Arial Narrow"/>
                <w:sz w:val="19"/>
                <w:szCs w:val="19"/>
              </w:rPr>
            </w:pPr>
          </w:p>
          <w:p w:rsidR="001D112E" w:rsidRPr="00181CA6" w:rsidRDefault="001D112E" w:rsidP="00E012F9">
            <w:pPr>
              <w:jc w:val="left"/>
              <w:rPr>
                <w:rFonts w:ascii="Arial Narrow" w:hAnsi="Arial Narrow"/>
                <w:color w:val="0000FF"/>
                <w:sz w:val="19"/>
                <w:szCs w:val="19"/>
              </w:rPr>
            </w:pPr>
            <w:r w:rsidRPr="00181CA6">
              <w:rPr>
                <w:rFonts w:ascii="Arial Narrow" w:hAnsi="Arial Narrow"/>
                <w:b/>
                <w:sz w:val="19"/>
                <w:szCs w:val="19"/>
              </w:rPr>
              <w:t>PBAC Comment:</w:t>
            </w:r>
            <w:r w:rsidRPr="00181CA6">
              <w:rPr>
                <w:rFonts w:ascii="Arial Narrow" w:hAnsi="Arial Narrow"/>
                <w:sz w:val="19"/>
                <w:szCs w:val="19"/>
              </w:rPr>
              <w:t xml:space="preserve"> </w:t>
            </w:r>
            <w:r w:rsidR="00E012F9" w:rsidRPr="00181CA6">
              <w:rPr>
                <w:rFonts w:ascii="Arial Narrow" w:hAnsi="Arial Narrow"/>
                <w:sz w:val="19"/>
                <w:szCs w:val="19"/>
              </w:rPr>
              <w:t xml:space="preserve">The PBAC noted substantial differences between the </w:t>
            </w:r>
            <w:proofErr w:type="gramStart"/>
            <w:r w:rsidR="00E012F9" w:rsidRPr="00181CA6">
              <w:rPr>
                <w:rFonts w:ascii="Arial Narrow" w:hAnsi="Arial Narrow"/>
                <w:sz w:val="19"/>
                <w:szCs w:val="19"/>
              </w:rPr>
              <w:t>treatment</w:t>
            </w:r>
            <w:proofErr w:type="gramEnd"/>
            <w:r w:rsidR="00E012F9" w:rsidRPr="00181CA6">
              <w:rPr>
                <w:rFonts w:ascii="Arial Narrow" w:hAnsi="Arial Narrow"/>
                <w:sz w:val="19"/>
                <w:szCs w:val="19"/>
              </w:rPr>
              <w:t xml:space="preserve"> of compar</w:t>
            </w:r>
            <w:r w:rsidR="00F408CD" w:rsidRPr="00181CA6">
              <w:rPr>
                <w:rFonts w:ascii="Arial Narrow" w:hAnsi="Arial Narrow"/>
                <w:sz w:val="19"/>
                <w:szCs w:val="19"/>
              </w:rPr>
              <w:t>ator arms between trials, added</w:t>
            </w:r>
            <w:r w:rsidR="00E012F9" w:rsidRPr="00181CA6">
              <w:rPr>
                <w:rFonts w:ascii="Arial Narrow" w:hAnsi="Arial Narrow"/>
                <w:sz w:val="19"/>
                <w:szCs w:val="19"/>
              </w:rPr>
              <w:t xml:space="preserve"> additional uncertainty to the indirect comparison. The exclusion of </w:t>
            </w:r>
            <w:proofErr w:type="spellStart"/>
            <w:r w:rsidR="00E012F9" w:rsidRPr="00181CA6">
              <w:rPr>
                <w:rFonts w:ascii="Arial Narrow" w:hAnsi="Arial Narrow"/>
                <w:sz w:val="19"/>
                <w:szCs w:val="19"/>
              </w:rPr>
              <w:t>Rosenstock</w:t>
            </w:r>
            <w:proofErr w:type="spellEnd"/>
            <w:r w:rsidR="00E012F9" w:rsidRPr="00181CA6">
              <w:rPr>
                <w:rFonts w:ascii="Arial Narrow" w:hAnsi="Arial Narrow"/>
                <w:sz w:val="19"/>
                <w:szCs w:val="19"/>
              </w:rPr>
              <w:t xml:space="preserve"> (2002) was inappropriate as it was the pivotal trial in the </w:t>
            </w:r>
            <w:r w:rsidR="006D07FE" w:rsidRPr="00181CA6">
              <w:rPr>
                <w:rFonts w:ascii="Arial Narrow" w:hAnsi="Arial Narrow"/>
                <w:sz w:val="19"/>
                <w:szCs w:val="19"/>
              </w:rPr>
              <w:t>resubmission</w:t>
            </w:r>
            <w:r w:rsidR="00E012F9" w:rsidRPr="00181CA6">
              <w:rPr>
                <w:rFonts w:ascii="Arial Narrow" w:hAnsi="Arial Narrow"/>
                <w:sz w:val="19"/>
                <w:szCs w:val="19"/>
              </w:rPr>
              <w:t xml:space="preserve"> for listing pioglitazone for combination therapy with insulin (para.5.2.29-30).</w:t>
            </w:r>
          </w:p>
        </w:tc>
        <w:tc>
          <w:tcPr>
            <w:tcW w:w="1688" w:type="pct"/>
          </w:tcPr>
          <w:p w:rsidR="001D112E" w:rsidRPr="00181CA6" w:rsidRDefault="001D112E" w:rsidP="00CD62F4">
            <w:pPr>
              <w:jc w:val="left"/>
              <w:rPr>
                <w:rFonts w:ascii="Arial Narrow" w:hAnsi="Arial Narrow"/>
                <w:color w:val="0000FF"/>
                <w:sz w:val="19"/>
                <w:szCs w:val="19"/>
              </w:rPr>
            </w:pPr>
            <w:r w:rsidRPr="00181CA6">
              <w:rPr>
                <w:rFonts w:ascii="Arial Narrow" w:hAnsi="Arial Narrow"/>
                <w:sz w:val="19"/>
                <w:szCs w:val="19"/>
              </w:rPr>
              <w:t>•</w:t>
            </w:r>
            <w:r w:rsidR="007230A4" w:rsidRPr="00181CA6">
              <w:rPr>
                <w:rFonts w:ascii="Arial Narrow" w:hAnsi="Arial Narrow"/>
                <w:sz w:val="19"/>
                <w:szCs w:val="19"/>
              </w:rPr>
              <w:t xml:space="preserve"> An informal multi-step indirect comparison of dapagliflozin and up-titrated insulin </w:t>
            </w:r>
            <w:r w:rsidR="00CD62F4" w:rsidRPr="00181CA6">
              <w:rPr>
                <w:rFonts w:ascii="Arial Narrow" w:hAnsi="Arial Narrow"/>
                <w:sz w:val="19"/>
                <w:szCs w:val="19"/>
              </w:rPr>
              <w:t xml:space="preserve">(in combination with insulin) </w:t>
            </w:r>
            <w:r w:rsidR="007230A4" w:rsidRPr="00181CA6">
              <w:rPr>
                <w:rFonts w:ascii="Arial Narrow" w:hAnsi="Arial Narrow"/>
                <w:sz w:val="19"/>
                <w:szCs w:val="19"/>
              </w:rPr>
              <w:t>using exenatide and various insulin regimens as common comparators; one dapagliflozin trial (CT-006) and pooled results from two exenatide trials (</w:t>
            </w:r>
            <w:r w:rsidR="00CD62F4" w:rsidRPr="00181CA6">
              <w:rPr>
                <w:rFonts w:ascii="Arial Narrow" w:hAnsi="Arial Narrow"/>
                <w:sz w:val="19"/>
                <w:szCs w:val="19"/>
              </w:rPr>
              <w:t>GWCO</w:t>
            </w:r>
            <w:r w:rsidR="007230A4" w:rsidRPr="00181CA6">
              <w:rPr>
                <w:rFonts w:ascii="Arial Narrow" w:hAnsi="Arial Narrow"/>
                <w:sz w:val="19"/>
                <w:szCs w:val="19"/>
              </w:rPr>
              <w:t xml:space="preserve"> and </w:t>
            </w:r>
            <w:r w:rsidR="00CD62F4" w:rsidRPr="00181CA6">
              <w:rPr>
                <w:rFonts w:ascii="Arial Narrow" w:hAnsi="Arial Narrow"/>
                <w:sz w:val="19"/>
                <w:szCs w:val="19"/>
              </w:rPr>
              <w:t>GWDM</w:t>
            </w:r>
            <w:r w:rsidR="007230A4" w:rsidRPr="00181CA6">
              <w:rPr>
                <w:rFonts w:ascii="Arial Narrow" w:hAnsi="Arial Narrow"/>
                <w:sz w:val="19"/>
                <w:szCs w:val="19"/>
              </w:rPr>
              <w:t>)</w:t>
            </w:r>
            <w:r w:rsidR="00CD62F4" w:rsidRPr="00181CA6">
              <w:rPr>
                <w:rFonts w:ascii="Arial Narrow" w:hAnsi="Arial Narrow"/>
                <w:sz w:val="19"/>
                <w:szCs w:val="19"/>
              </w:rPr>
              <w:t>.</w:t>
            </w:r>
          </w:p>
        </w:tc>
      </w:tr>
      <w:tr w:rsidR="001D112E" w:rsidRPr="00181CA6" w:rsidTr="0032172C">
        <w:trPr>
          <w:trHeight w:val="1064"/>
        </w:trPr>
        <w:tc>
          <w:tcPr>
            <w:tcW w:w="850"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Key effectiveness data</w:t>
            </w:r>
          </w:p>
        </w:tc>
        <w:tc>
          <w:tcPr>
            <w:tcW w:w="2463"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w:t>
            </w:r>
            <w:r w:rsidR="00F1313B" w:rsidRPr="00181CA6">
              <w:rPr>
                <w:rFonts w:ascii="Arial Narrow" w:hAnsi="Arial Narrow"/>
                <w:sz w:val="19"/>
                <w:szCs w:val="19"/>
              </w:rPr>
              <w:t>Difference in c</w:t>
            </w:r>
            <w:r w:rsidR="00734B21" w:rsidRPr="00181CA6">
              <w:rPr>
                <w:rFonts w:ascii="Arial Narrow" w:hAnsi="Arial Narrow"/>
                <w:sz w:val="19"/>
                <w:szCs w:val="19"/>
              </w:rPr>
              <w:t>hange in HbA1c from baseline</w:t>
            </w:r>
            <w:r w:rsidR="00F1313B" w:rsidRPr="00181CA6">
              <w:rPr>
                <w:rFonts w:ascii="Arial Narrow" w:hAnsi="Arial Narrow"/>
                <w:sz w:val="19"/>
                <w:szCs w:val="19"/>
              </w:rPr>
              <w:t xml:space="preserve">, dapagliflozin vs pioglitazone -0.05, 95% CI (-0.29, 0.19), satisfying the non-inferiority margin of 0.35%. Including </w:t>
            </w:r>
            <w:proofErr w:type="spellStart"/>
            <w:r w:rsidR="00F1313B" w:rsidRPr="00181CA6">
              <w:rPr>
                <w:rFonts w:ascii="Arial Narrow" w:hAnsi="Arial Narrow"/>
                <w:sz w:val="19"/>
                <w:szCs w:val="19"/>
              </w:rPr>
              <w:t>Rosenstock</w:t>
            </w:r>
            <w:proofErr w:type="spellEnd"/>
            <w:r w:rsidR="00F1313B" w:rsidRPr="00181CA6">
              <w:rPr>
                <w:rFonts w:ascii="Arial Narrow" w:hAnsi="Arial Narrow"/>
                <w:sz w:val="19"/>
                <w:szCs w:val="19"/>
              </w:rPr>
              <w:t xml:space="preserve"> (2002)</w:t>
            </w:r>
            <w:r w:rsidR="00F408CD" w:rsidRPr="00181CA6">
              <w:rPr>
                <w:rFonts w:ascii="Arial Narrow" w:hAnsi="Arial Narrow"/>
                <w:sz w:val="19"/>
                <w:szCs w:val="19"/>
              </w:rPr>
              <w:t>,</w:t>
            </w:r>
            <w:r w:rsidR="00F1313B" w:rsidRPr="00181CA6">
              <w:rPr>
                <w:rFonts w:ascii="Arial Narrow" w:hAnsi="Arial Narrow"/>
                <w:sz w:val="19"/>
                <w:szCs w:val="19"/>
              </w:rPr>
              <w:t xml:space="preserve"> 0.16; 95% CI (-0.30, 0.68), not satisfying the non-inferiority margin of 0.35%.</w:t>
            </w:r>
          </w:p>
          <w:p w:rsidR="001D112E" w:rsidRPr="00181CA6" w:rsidRDefault="001D112E" w:rsidP="00AA0A07">
            <w:pPr>
              <w:jc w:val="left"/>
              <w:rPr>
                <w:rFonts w:ascii="Arial Narrow" w:hAnsi="Arial Narrow"/>
                <w:sz w:val="19"/>
                <w:szCs w:val="19"/>
              </w:rPr>
            </w:pPr>
          </w:p>
          <w:p w:rsidR="001D112E" w:rsidRPr="00181CA6" w:rsidRDefault="001D112E" w:rsidP="000C445A">
            <w:pPr>
              <w:jc w:val="left"/>
              <w:rPr>
                <w:rFonts w:ascii="Arial Narrow" w:hAnsi="Arial Narrow"/>
                <w:sz w:val="19"/>
                <w:szCs w:val="19"/>
              </w:rPr>
            </w:pPr>
            <w:r w:rsidRPr="00181CA6">
              <w:rPr>
                <w:rFonts w:ascii="Arial Narrow" w:hAnsi="Arial Narrow"/>
                <w:b/>
                <w:sz w:val="19"/>
                <w:szCs w:val="19"/>
              </w:rPr>
              <w:t>PBAC Comment:</w:t>
            </w:r>
            <w:r w:rsidRPr="00181CA6">
              <w:rPr>
                <w:rFonts w:ascii="Arial Narrow" w:hAnsi="Arial Narrow"/>
                <w:sz w:val="19"/>
                <w:szCs w:val="19"/>
              </w:rPr>
              <w:t xml:space="preserve"> </w:t>
            </w:r>
            <w:r w:rsidR="00F408CD" w:rsidRPr="00181CA6">
              <w:rPr>
                <w:rFonts w:ascii="Arial Narrow" w:hAnsi="Arial Narrow"/>
                <w:sz w:val="19"/>
                <w:szCs w:val="19"/>
              </w:rPr>
              <w:t xml:space="preserve">The PBAC noted that only the pivotal analysis (excluding all pioglitazone trials other than </w:t>
            </w:r>
            <w:proofErr w:type="spellStart"/>
            <w:r w:rsidR="00F408CD" w:rsidRPr="00181CA6">
              <w:rPr>
                <w:rFonts w:ascii="Arial Narrow" w:hAnsi="Arial Narrow"/>
                <w:sz w:val="19"/>
                <w:szCs w:val="19"/>
              </w:rPr>
              <w:t>Mattoo</w:t>
            </w:r>
            <w:proofErr w:type="spellEnd"/>
            <w:r w:rsidR="00F408CD" w:rsidRPr="00181CA6">
              <w:rPr>
                <w:rFonts w:ascii="Arial Narrow" w:hAnsi="Arial Narrow"/>
                <w:sz w:val="19"/>
                <w:szCs w:val="19"/>
              </w:rPr>
              <w:t xml:space="preserve"> 2005) showed dapagliflozin was non-inferior to pioglitazone. Sensitivity analysis including </w:t>
            </w:r>
            <w:proofErr w:type="spellStart"/>
            <w:r w:rsidR="00F408CD" w:rsidRPr="00181CA6">
              <w:rPr>
                <w:rFonts w:ascii="Arial Narrow" w:hAnsi="Arial Narrow"/>
                <w:sz w:val="19"/>
                <w:szCs w:val="19"/>
              </w:rPr>
              <w:t>Rosenstock</w:t>
            </w:r>
            <w:proofErr w:type="spellEnd"/>
            <w:r w:rsidR="00F408CD" w:rsidRPr="00181CA6">
              <w:rPr>
                <w:rFonts w:ascii="Arial Narrow" w:hAnsi="Arial Narrow"/>
                <w:sz w:val="19"/>
                <w:szCs w:val="19"/>
              </w:rPr>
              <w:t xml:space="preserve"> 2005 with </w:t>
            </w:r>
            <w:proofErr w:type="spellStart"/>
            <w:r w:rsidR="00F408CD" w:rsidRPr="00181CA6">
              <w:rPr>
                <w:rFonts w:ascii="Arial Narrow" w:hAnsi="Arial Narrow"/>
                <w:sz w:val="19"/>
                <w:szCs w:val="19"/>
              </w:rPr>
              <w:t>Mattoo</w:t>
            </w:r>
            <w:proofErr w:type="spellEnd"/>
            <w:r w:rsidR="00F408CD" w:rsidRPr="00181CA6">
              <w:rPr>
                <w:rFonts w:ascii="Arial Narrow" w:hAnsi="Arial Narrow"/>
                <w:sz w:val="19"/>
                <w:szCs w:val="19"/>
              </w:rPr>
              <w:t>, showed dapagliflozin did not satisfy the non-inferiority margin of 0.40%. Therefore</w:t>
            </w:r>
            <w:r w:rsidR="000C445A" w:rsidRPr="00181CA6">
              <w:rPr>
                <w:rFonts w:ascii="Arial Narrow" w:hAnsi="Arial Narrow"/>
                <w:sz w:val="19"/>
                <w:szCs w:val="19"/>
              </w:rPr>
              <w:t>,</w:t>
            </w:r>
            <w:r w:rsidR="00F408CD" w:rsidRPr="00181CA6">
              <w:rPr>
                <w:rFonts w:ascii="Arial Narrow" w:hAnsi="Arial Narrow"/>
                <w:sz w:val="19"/>
                <w:szCs w:val="19"/>
              </w:rPr>
              <w:t xml:space="preserve"> the PBAC was not convinced that dapagliflozin was non-inferior to pioglitazone in combination with insulin (para.5.2.31-32).</w:t>
            </w:r>
          </w:p>
        </w:tc>
        <w:tc>
          <w:tcPr>
            <w:tcW w:w="1688" w:type="pct"/>
          </w:tcPr>
          <w:p w:rsidR="001D112E" w:rsidRPr="00181CA6" w:rsidRDefault="00F1313B" w:rsidP="00AA0A07">
            <w:pPr>
              <w:jc w:val="left"/>
              <w:rPr>
                <w:rFonts w:ascii="Arial Narrow" w:hAnsi="Arial Narrow"/>
                <w:sz w:val="19"/>
                <w:szCs w:val="19"/>
              </w:rPr>
            </w:pPr>
            <w:r w:rsidRPr="00181CA6">
              <w:rPr>
                <w:rFonts w:ascii="Arial Narrow" w:hAnsi="Arial Narrow"/>
                <w:sz w:val="19"/>
                <w:szCs w:val="19"/>
              </w:rPr>
              <w:t>•Difference in change in HbA1c from baseline, dapagliflozin vs exenatide 0.11, 95% CI (-0.17, 0.39), satisfying the non-inferiority margin of 0.40%. Using MMRM analysis 0.16; 95% CI (0.13, 0.46), not satisfying the non-inferiority margin of 0.40%. Assumed exenatide equivalence to up-titrated insulin 37.5 units/day in Trial GWDM is applicable to dapagliflozin.</w:t>
            </w:r>
          </w:p>
        </w:tc>
      </w:tr>
      <w:tr w:rsidR="001D112E" w:rsidRPr="00181CA6" w:rsidTr="0032172C">
        <w:trPr>
          <w:trHeight w:val="860"/>
        </w:trPr>
        <w:tc>
          <w:tcPr>
            <w:tcW w:w="850"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lastRenderedPageBreak/>
              <w:t>Key safety data</w:t>
            </w:r>
          </w:p>
        </w:tc>
        <w:tc>
          <w:tcPr>
            <w:tcW w:w="2463" w:type="pct"/>
          </w:tcPr>
          <w:p w:rsidR="001D112E" w:rsidRDefault="001D112E" w:rsidP="00AA0A07">
            <w:pPr>
              <w:jc w:val="left"/>
              <w:rPr>
                <w:rFonts w:ascii="Arial Narrow" w:hAnsi="Arial Narrow"/>
                <w:sz w:val="19"/>
                <w:szCs w:val="19"/>
              </w:rPr>
            </w:pPr>
            <w:r w:rsidRPr="00181CA6">
              <w:rPr>
                <w:rFonts w:ascii="Arial Narrow" w:hAnsi="Arial Narrow"/>
                <w:sz w:val="19"/>
                <w:szCs w:val="19"/>
              </w:rPr>
              <w:t>•</w:t>
            </w:r>
            <w:r w:rsidR="000C445A" w:rsidRPr="00181CA6">
              <w:rPr>
                <w:rFonts w:ascii="Arial Narrow" w:hAnsi="Arial Narrow"/>
                <w:sz w:val="19"/>
                <w:szCs w:val="19"/>
              </w:rPr>
              <w:t>Dapagliflozin was associated with an increased incidence of genital infection (particularly in women), urinary tract infection and uncertainty about long term safety, particularly due to possible signals for breast and bladder cancer.</w:t>
            </w:r>
          </w:p>
          <w:p w:rsidR="00A06963" w:rsidRPr="00181CA6" w:rsidRDefault="00A06963" w:rsidP="00AA0A07">
            <w:pPr>
              <w:jc w:val="left"/>
              <w:rPr>
                <w:rFonts w:ascii="Arial Narrow" w:hAnsi="Arial Narrow"/>
                <w:color w:val="0000FF"/>
                <w:sz w:val="19"/>
                <w:szCs w:val="19"/>
              </w:rPr>
            </w:pPr>
          </w:p>
          <w:p w:rsidR="001D112E" w:rsidRPr="00181CA6" w:rsidRDefault="001D112E" w:rsidP="000C445A">
            <w:pPr>
              <w:jc w:val="left"/>
              <w:rPr>
                <w:rFonts w:ascii="Arial Narrow" w:hAnsi="Arial Narrow"/>
                <w:sz w:val="19"/>
                <w:szCs w:val="19"/>
              </w:rPr>
            </w:pPr>
            <w:r w:rsidRPr="00181CA6">
              <w:rPr>
                <w:rFonts w:ascii="Arial Narrow" w:hAnsi="Arial Narrow"/>
                <w:b/>
                <w:sz w:val="19"/>
                <w:szCs w:val="19"/>
              </w:rPr>
              <w:t>PBAC Comment:</w:t>
            </w:r>
            <w:r w:rsidRPr="00181CA6">
              <w:rPr>
                <w:rFonts w:ascii="Arial Narrow" w:hAnsi="Arial Narrow"/>
                <w:sz w:val="19"/>
                <w:szCs w:val="19"/>
              </w:rPr>
              <w:t xml:space="preserve"> </w:t>
            </w:r>
            <w:r w:rsidR="000C445A" w:rsidRPr="00181CA6">
              <w:rPr>
                <w:rFonts w:ascii="Arial Narrow" w:hAnsi="Arial Narrow"/>
                <w:sz w:val="19"/>
                <w:szCs w:val="19"/>
              </w:rPr>
              <w:t>The PBAC noted these safety concerns and considered there was insufficient evidence to support the claim of non-inferiority in terms of comparative safety (para.5.2.35-36).</w:t>
            </w:r>
          </w:p>
        </w:tc>
        <w:tc>
          <w:tcPr>
            <w:tcW w:w="1688" w:type="pct"/>
          </w:tcPr>
          <w:p w:rsidR="001D112E" w:rsidRPr="00181CA6" w:rsidRDefault="001D112E" w:rsidP="000C445A">
            <w:pPr>
              <w:jc w:val="left"/>
              <w:rPr>
                <w:rFonts w:ascii="Arial Narrow" w:hAnsi="Arial Narrow"/>
                <w:color w:val="0000FF"/>
                <w:sz w:val="19"/>
                <w:szCs w:val="19"/>
              </w:rPr>
            </w:pPr>
            <w:r w:rsidRPr="00181CA6">
              <w:rPr>
                <w:rFonts w:ascii="Arial Narrow" w:hAnsi="Arial Narrow"/>
                <w:sz w:val="19"/>
                <w:szCs w:val="19"/>
              </w:rPr>
              <w:t>•</w:t>
            </w:r>
            <w:r w:rsidR="000C445A" w:rsidRPr="00181CA6">
              <w:rPr>
                <w:rFonts w:ascii="Arial Narrow" w:hAnsi="Arial Narrow"/>
                <w:sz w:val="19"/>
                <w:szCs w:val="19"/>
              </w:rPr>
              <w:t xml:space="preserve"> Unchanged from the previous submission.</w:t>
            </w:r>
          </w:p>
        </w:tc>
      </w:tr>
      <w:tr w:rsidR="001D112E" w:rsidRPr="00181CA6" w:rsidTr="0032172C">
        <w:trPr>
          <w:trHeight w:val="860"/>
        </w:trPr>
        <w:tc>
          <w:tcPr>
            <w:tcW w:w="850"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Clinical claim</w:t>
            </w:r>
          </w:p>
        </w:tc>
        <w:tc>
          <w:tcPr>
            <w:tcW w:w="2463"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w:t>
            </w:r>
            <w:r w:rsidR="00F1128C" w:rsidRPr="00181CA6">
              <w:rPr>
                <w:rFonts w:ascii="Arial Narrow" w:hAnsi="Arial Narrow"/>
                <w:sz w:val="19"/>
                <w:szCs w:val="19"/>
              </w:rPr>
              <w:t>Non-inferiority to pioglitazone (in combination with insulin).</w:t>
            </w:r>
          </w:p>
          <w:p w:rsidR="001D112E" w:rsidRPr="00181CA6" w:rsidRDefault="001D112E" w:rsidP="00AA0A07">
            <w:pPr>
              <w:jc w:val="left"/>
              <w:rPr>
                <w:rFonts w:ascii="Arial Narrow" w:hAnsi="Arial Narrow"/>
                <w:b/>
                <w:sz w:val="19"/>
                <w:szCs w:val="19"/>
              </w:rPr>
            </w:pPr>
          </w:p>
          <w:p w:rsidR="001D112E" w:rsidRPr="00181CA6" w:rsidRDefault="001D112E" w:rsidP="009A5ACD">
            <w:pPr>
              <w:jc w:val="left"/>
              <w:rPr>
                <w:rFonts w:ascii="Arial Narrow" w:hAnsi="Arial Narrow"/>
                <w:sz w:val="19"/>
                <w:szCs w:val="19"/>
              </w:rPr>
            </w:pPr>
            <w:r w:rsidRPr="00181CA6">
              <w:rPr>
                <w:rFonts w:ascii="Arial Narrow" w:hAnsi="Arial Narrow"/>
                <w:b/>
                <w:sz w:val="19"/>
                <w:szCs w:val="19"/>
              </w:rPr>
              <w:t>PBAC Comment:</w:t>
            </w:r>
            <w:r w:rsidRPr="00181CA6">
              <w:rPr>
                <w:rFonts w:ascii="Arial Narrow" w:hAnsi="Arial Narrow"/>
                <w:sz w:val="19"/>
                <w:szCs w:val="19"/>
              </w:rPr>
              <w:t xml:space="preserve"> </w:t>
            </w:r>
            <w:r w:rsidR="009A5ACD" w:rsidRPr="00181CA6">
              <w:rPr>
                <w:rFonts w:ascii="Arial Narrow" w:hAnsi="Arial Narrow"/>
                <w:sz w:val="19"/>
                <w:szCs w:val="19"/>
              </w:rPr>
              <w:t>The PBAC was not convinced that dapagliflozin was non-inferior to pioglitazone in combination with insulin in terms of clinical efficacy or safety (para.5.2.31-32 &amp; 5.2.36).</w:t>
            </w:r>
          </w:p>
        </w:tc>
        <w:tc>
          <w:tcPr>
            <w:tcW w:w="1688" w:type="pct"/>
          </w:tcPr>
          <w:p w:rsidR="001D112E" w:rsidRPr="00181CA6" w:rsidRDefault="00F1128C" w:rsidP="00AA0A07">
            <w:pPr>
              <w:jc w:val="left"/>
              <w:rPr>
                <w:rFonts w:ascii="Arial Narrow" w:hAnsi="Arial Narrow"/>
                <w:sz w:val="19"/>
                <w:szCs w:val="19"/>
              </w:rPr>
            </w:pPr>
            <w:r w:rsidRPr="00181CA6">
              <w:rPr>
                <w:rFonts w:ascii="Arial Narrow" w:hAnsi="Arial Narrow"/>
                <w:sz w:val="19"/>
                <w:szCs w:val="19"/>
              </w:rPr>
              <w:t>Equivalence to 37.5 units of insulin per day; non-inferiority to exenatide (BD) (in combination with insulin).</w:t>
            </w:r>
          </w:p>
        </w:tc>
      </w:tr>
      <w:tr w:rsidR="001D112E" w:rsidRPr="00181CA6" w:rsidTr="0032172C">
        <w:trPr>
          <w:trHeight w:val="1298"/>
        </w:trPr>
        <w:tc>
          <w:tcPr>
            <w:tcW w:w="850"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Economic evaluation</w:t>
            </w:r>
          </w:p>
        </w:tc>
        <w:tc>
          <w:tcPr>
            <w:tcW w:w="2463"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•Cost-minimisation with equi-effective do</w:t>
            </w:r>
            <w:r w:rsidR="003B7D28" w:rsidRPr="00181CA6">
              <w:rPr>
                <w:rFonts w:ascii="Arial Narrow" w:hAnsi="Arial Narrow"/>
                <w:sz w:val="19"/>
                <w:szCs w:val="19"/>
              </w:rPr>
              <w:t>s</w:t>
            </w:r>
            <w:r w:rsidRPr="00181CA6">
              <w:rPr>
                <w:rFonts w:ascii="Arial Narrow" w:hAnsi="Arial Narrow"/>
                <w:sz w:val="19"/>
                <w:szCs w:val="19"/>
              </w:rPr>
              <w:t>es</w:t>
            </w:r>
            <w:r w:rsidR="003B7D28" w:rsidRPr="00181CA6">
              <w:rPr>
                <w:rFonts w:ascii="Arial Narrow" w:hAnsi="Arial Narrow"/>
                <w:sz w:val="19"/>
                <w:szCs w:val="19"/>
              </w:rPr>
              <w:t>:</w:t>
            </w:r>
            <w:r w:rsidRPr="00181CA6">
              <w:rPr>
                <w:rFonts w:ascii="Arial Narrow" w:hAnsi="Arial Narrow"/>
                <w:sz w:val="19"/>
                <w:szCs w:val="19"/>
              </w:rPr>
              <w:t xml:space="preserve"> </w:t>
            </w:r>
            <w:r w:rsidR="003B7D28" w:rsidRPr="00181CA6">
              <w:rPr>
                <w:rFonts w:ascii="Arial Narrow" w:hAnsi="Arial Narrow"/>
                <w:sz w:val="19"/>
                <w:szCs w:val="19"/>
              </w:rPr>
              <w:t>dapagliflozin 10mg = pioglitazone 30mg</w:t>
            </w:r>
            <w:r w:rsidRPr="00181CA6">
              <w:rPr>
                <w:rFonts w:ascii="Arial Narrow" w:hAnsi="Arial Narrow"/>
                <w:sz w:val="19"/>
                <w:szCs w:val="19"/>
              </w:rPr>
              <w:t>.</w:t>
            </w:r>
          </w:p>
          <w:p w:rsidR="001D112E" w:rsidRPr="00181CA6" w:rsidRDefault="001D112E" w:rsidP="00AA0A07">
            <w:pPr>
              <w:jc w:val="left"/>
              <w:rPr>
                <w:rFonts w:ascii="Arial Narrow" w:hAnsi="Arial Narrow"/>
                <w:b/>
                <w:sz w:val="19"/>
                <w:szCs w:val="19"/>
              </w:rPr>
            </w:pPr>
          </w:p>
          <w:p w:rsidR="001D112E" w:rsidRPr="00181CA6" w:rsidRDefault="001D112E" w:rsidP="003B2E17">
            <w:pPr>
              <w:jc w:val="left"/>
              <w:rPr>
                <w:rFonts w:ascii="Arial Narrow" w:hAnsi="Arial Narrow"/>
                <w:sz w:val="19"/>
                <w:szCs w:val="19"/>
              </w:rPr>
            </w:pPr>
            <w:r w:rsidRPr="00181CA6">
              <w:rPr>
                <w:rFonts w:ascii="Arial Narrow" w:hAnsi="Arial Narrow"/>
                <w:b/>
                <w:sz w:val="19"/>
                <w:szCs w:val="19"/>
              </w:rPr>
              <w:t>PBAC Comment:</w:t>
            </w:r>
            <w:r w:rsidRPr="00181CA6">
              <w:rPr>
                <w:rFonts w:ascii="Arial Narrow" w:hAnsi="Arial Narrow"/>
                <w:sz w:val="19"/>
                <w:szCs w:val="19"/>
              </w:rPr>
              <w:t xml:space="preserve"> </w:t>
            </w:r>
            <w:r w:rsidR="003B2E17" w:rsidRPr="00181CA6">
              <w:rPr>
                <w:rFonts w:ascii="Arial Narrow" w:hAnsi="Arial Narrow"/>
                <w:sz w:val="19"/>
                <w:szCs w:val="19"/>
              </w:rPr>
              <w:t>The PBAC considered the requested price of dapagliflozin based on the cost minimisation and F1 formulary price of pioglitazone was not justified (para.5.2.37).</w:t>
            </w:r>
          </w:p>
        </w:tc>
        <w:tc>
          <w:tcPr>
            <w:tcW w:w="1688"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•Cost-minimisation with equi-effective do</w:t>
            </w:r>
            <w:r w:rsidR="003B7D28" w:rsidRPr="00181CA6">
              <w:rPr>
                <w:rFonts w:ascii="Arial Narrow" w:hAnsi="Arial Narrow"/>
                <w:sz w:val="19"/>
                <w:szCs w:val="19"/>
              </w:rPr>
              <w:t>s</w:t>
            </w:r>
            <w:r w:rsidRPr="00181CA6">
              <w:rPr>
                <w:rFonts w:ascii="Arial Narrow" w:hAnsi="Arial Narrow"/>
                <w:sz w:val="19"/>
                <w:szCs w:val="19"/>
              </w:rPr>
              <w:t>es</w:t>
            </w:r>
            <w:r w:rsidR="003B7D28" w:rsidRPr="00181CA6">
              <w:rPr>
                <w:rFonts w:ascii="Arial Narrow" w:hAnsi="Arial Narrow"/>
                <w:sz w:val="19"/>
                <w:szCs w:val="19"/>
              </w:rPr>
              <w:t>: dapagliflozin 10mg = exenatide 19.3</w:t>
            </w:r>
            <w:r w:rsidR="005F6346" w:rsidRPr="00181CA6">
              <w:rPr>
                <w:rFonts w:ascii="Arial Narrow" w:hAnsi="Arial Narrow"/>
                <w:sz w:val="19"/>
                <w:szCs w:val="19"/>
              </w:rPr>
              <w:t>µ</w:t>
            </w:r>
            <w:r w:rsidR="003B7D28" w:rsidRPr="00181CA6">
              <w:rPr>
                <w:rFonts w:ascii="Arial Narrow" w:hAnsi="Arial Narrow"/>
                <w:sz w:val="19"/>
                <w:szCs w:val="19"/>
              </w:rPr>
              <w:t xml:space="preserve">g = </w:t>
            </w:r>
            <w:r w:rsidR="005F6346" w:rsidRPr="00181CA6">
              <w:rPr>
                <w:rFonts w:ascii="Arial Narrow" w:hAnsi="Arial Narrow"/>
                <w:sz w:val="19"/>
                <w:szCs w:val="19"/>
              </w:rPr>
              <w:t>37.5 units</w:t>
            </w:r>
            <w:r w:rsidR="003B7D28" w:rsidRPr="00181CA6">
              <w:rPr>
                <w:rFonts w:ascii="Arial Narrow" w:hAnsi="Arial Narrow"/>
                <w:sz w:val="19"/>
                <w:szCs w:val="19"/>
              </w:rPr>
              <w:t xml:space="preserve"> of insulin</w:t>
            </w:r>
            <w:r w:rsidR="005F6346" w:rsidRPr="00181CA6">
              <w:rPr>
                <w:rFonts w:ascii="Arial Narrow" w:hAnsi="Arial Narrow"/>
                <w:sz w:val="19"/>
                <w:szCs w:val="19"/>
              </w:rPr>
              <w:t xml:space="preserve"> per day</w:t>
            </w:r>
            <w:r w:rsidR="003B7D28" w:rsidRPr="00181CA6">
              <w:rPr>
                <w:rFonts w:ascii="Arial Narrow" w:hAnsi="Arial Narrow"/>
                <w:sz w:val="19"/>
                <w:szCs w:val="19"/>
              </w:rPr>
              <w:t xml:space="preserve">. </w:t>
            </w:r>
          </w:p>
          <w:p w:rsidR="001D112E" w:rsidRPr="00181CA6" w:rsidRDefault="001D112E" w:rsidP="005F6346">
            <w:pPr>
              <w:jc w:val="left"/>
              <w:rPr>
                <w:rFonts w:ascii="Arial Narrow" w:hAnsi="Arial Narrow"/>
                <w:color w:val="0000FF"/>
                <w:sz w:val="19"/>
                <w:szCs w:val="19"/>
              </w:rPr>
            </w:pPr>
            <w:r w:rsidRPr="00181CA6">
              <w:rPr>
                <w:rFonts w:ascii="Arial Narrow" w:hAnsi="Arial Narrow"/>
                <w:sz w:val="19"/>
                <w:szCs w:val="19"/>
              </w:rPr>
              <w:t xml:space="preserve">•Cost analysis </w:t>
            </w:r>
            <w:r w:rsidR="005F6346" w:rsidRPr="00181CA6">
              <w:rPr>
                <w:rFonts w:ascii="Arial Narrow" w:hAnsi="Arial Narrow"/>
                <w:sz w:val="19"/>
                <w:szCs w:val="19"/>
              </w:rPr>
              <w:t xml:space="preserve">estimating cost offsets to the MBS of </w:t>
            </w:r>
            <w:r w:rsidR="006A1008">
              <w:rPr>
                <w:rFonts w:ascii="Arial Narrow" w:hAnsi="Arial Narrow"/>
                <w:noProof/>
                <w:color w:val="000000"/>
                <w:sz w:val="19"/>
                <w:szCs w:val="19"/>
                <w:highlight w:val="black"/>
              </w:rPr>
              <w:t>''''''''''''''''' ''''''''''''''''</w:t>
            </w:r>
            <w:r w:rsidR="005F6346" w:rsidRPr="00181CA6">
              <w:rPr>
                <w:rFonts w:ascii="Arial Narrow" w:hAnsi="Arial Narrow"/>
                <w:sz w:val="19"/>
                <w:szCs w:val="19"/>
              </w:rPr>
              <w:t xml:space="preserve"> over 5 years.</w:t>
            </w:r>
          </w:p>
        </w:tc>
      </w:tr>
      <w:tr w:rsidR="001D112E" w:rsidRPr="00181CA6" w:rsidTr="0032172C">
        <w:trPr>
          <w:trHeight w:val="234"/>
        </w:trPr>
        <w:tc>
          <w:tcPr>
            <w:tcW w:w="850"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Number of patients</w:t>
            </w:r>
          </w:p>
        </w:tc>
        <w:tc>
          <w:tcPr>
            <w:tcW w:w="2463" w:type="pct"/>
          </w:tcPr>
          <w:p w:rsidR="001D112E" w:rsidRPr="00181CA6" w:rsidRDefault="001D112E" w:rsidP="003B2E17">
            <w:pPr>
              <w:jc w:val="left"/>
              <w:rPr>
                <w:rFonts w:ascii="Arial Narrow" w:hAnsi="Arial Narrow"/>
                <w:sz w:val="19"/>
                <w:szCs w:val="19"/>
              </w:rPr>
            </w:pPr>
            <w:r w:rsidRPr="00181CA6">
              <w:rPr>
                <w:rFonts w:ascii="Arial Narrow" w:hAnsi="Arial Narrow"/>
                <w:sz w:val="19"/>
                <w:szCs w:val="19"/>
              </w:rPr>
              <w:t>•</w:t>
            </w:r>
            <w:r w:rsidR="00F17C10" w:rsidRPr="00181CA6">
              <w:rPr>
                <w:rFonts w:ascii="Arial Narrow" w:hAnsi="Arial Narrow"/>
                <w:sz w:val="19"/>
                <w:szCs w:val="19"/>
              </w:rPr>
              <w:t>Not estimated.</w:t>
            </w:r>
          </w:p>
        </w:tc>
        <w:tc>
          <w:tcPr>
            <w:tcW w:w="1688" w:type="pct"/>
          </w:tcPr>
          <w:p w:rsidR="001D112E" w:rsidRPr="00181CA6" w:rsidRDefault="001D112E" w:rsidP="003B7D28">
            <w:pPr>
              <w:jc w:val="left"/>
              <w:rPr>
                <w:rFonts w:ascii="Arial Narrow" w:hAnsi="Arial Narrow"/>
                <w:color w:val="0000FF"/>
                <w:sz w:val="19"/>
                <w:szCs w:val="19"/>
              </w:rPr>
            </w:pPr>
            <w:r w:rsidRPr="00181CA6">
              <w:rPr>
                <w:rFonts w:ascii="Arial Narrow" w:hAnsi="Arial Narrow"/>
                <w:sz w:val="19"/>
                <w:szCs w:val="19"/>
              </w:rPr>
              <w:t>•</w:t>
            </w:r>
            <w:r w:rsidR="006A1008">
              <w:rPr>
                <w:rFonts w:ascii="Arial Narrow" w:hAnsi="Arial Narrow"/>
                <w:noProof/>
                <w:color w:val="000000"/>
                <w:sz w:val="19"/>
                <w:szCs w:val="19"/>
                <w:highlight w:val="black"/>
              </w:rPr>
              <w:t>''''''''''''''</w:t>
            </w:r>
            <w:r w:rsidR="00F17C10" w:rsidRPr="00181CA6">
              <w:rPr>
                <w:rFonts w:ascii="Arial Narrow" w:hAnsi="Arial Narrow"/>
                <w:sz w:val="19"/>
                <w:szCs w:val="19"/>
              </w:rPr>
              <w:t xml:space="preserve"> </w:t>
            </w:r>
            <w:r w:rsidRPr="00181CA6">
              <w:rPr>
                <w:rFonts w:ascii="Arial Narrow" w:hAnsi="Arial Narrow"/>
                <w:sz w:val="19"/>
                <w:szCs w:val="19"/>
              </w:rPr>
              <w:t xml:space="preserve">in Year 1 increasing to </w:t>
            </w:r>
            <w:r w:rsidR="006A1008">
              <w:rPr>
                <w:rFonts w:ascii="Arial Narrow" w:hAnsi="Arial Narrow"/>
                <w:noProof/>
                <w:color w:val="000000"/>
                <w:sz w:val="19"/>
                <w:szCs w:val="19"/>
                <w:highlight w:val="black"/>
              </w:rPr>
              <w:t>'''''''''''''''''</w:t>
            </w:r>
            <w:r w:rsidR="003B7D28" w:rsidRPr="00181CA6">
              <w:rPr>
                <w:rFonts w:ascii="Arial Narrow" w:hAnsi="Arial Narrow"/>
                <w:sz w:val="19"/>
                <w:szCs w:val="19"/>
              </w:rPr>
              <w:t xml:space="preserve"> </w:t>
            </w:r>
            <w:r w:rsidRPr="00181CA6">
              <w:rPr>
                <w:rFonts w:ascii="Arial Narrow" w:hAnsi="Arial Narrow"/>
                <w:sz w:val="19"/>
                <w:szCs w:val="19"/>
              </w:rPr>
              <w:t>in Year 5.</w:t>
            </w:r>
          </w:p>
        </w:tc>
      </w:tr>
      <w:tr w:rsidR="001D112E" w:rsidRPr="00181CA6" w:rsidTr="0032172C">
        <w:trPr>
          <w:trHeight w:val="1080"/>
        </w:trPr>
        <w:tc>
          <w:tcPr>
            <w:tcW w:w="850"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Estimated cost to PBS</w:t>
            </w:r>
          </w:p>
        </w:tc>
        <w:tc>
          <w:tcPr>
            <w:tcW w:w="2463" w:type="pct"/>
          </w:tcPr>
          <w:p w:rsidR="001D112E" w:rsidRPr="00181CA6" w:rsidRDefault="001D112E" w:rsidP="00AA0A07">
            <w:pPr>
              <w:jc w:val="left"/>
              <w:rPr>
                <w:rFonts w:ascii="Arial Narrow" w:hAnsi="Arial Narrow"/>
                <w:sz w:val="19"/>
                <w:szCs w:val="19"/>
              </w:rPr>
            </w:pPr>
            <w:r w:rsidRPr="00181CA6">
              <w:rPr>
                <w:rFonts w:ascii="Arial Narrow" w:hAnsi="Arial Narrow"/>
                <w:sz w:val="19"/>
                <w:szCs w:val="19"/>
              </w:rPr>
              <w:t>•</w:t>
            </w:r>
            <w:r w:rsidR="00F17C10" w:rsidRPr="00181CA6">
              <w:rPr>
                <w:rFonts w:ascii="Arial Narrow" w:hAnsi="Arial Narrow"/>
                <w:sz w:val="19"/>
                <w:szCs w:val="19"/>
              </w:rPr>
              <w:t xml:space="preserve">Drug cost to PBS of </w:t>
            </w:r>
            <w:r w:rsidR="006A1008">
              <w:rPr>
                <w:rFonts w:ascii="Arial Narrow" w:hAnsi="Arial Narrow"/>
                <w:noProof/>
                <w:color w:val="000000"/>
                <w:sz w:val="19"/>
                <w:szCs w:val="19"/>
                <w:highlight w:val="black"/>
              </w:rPr>
              <w:t>''''''''''''''''''''</w:t>
            </w:r>
            <w:r w:rsidR="00F17C10" w:rsidRPr="00181CA6">
              <w:rPr>
                <w:rFonts w:ascii="Arial Narrow" w:hAnsi="Arial Narrow"/>
                <w:sz w:val="19"/>
                <w:szCs w:val="19"/>
              </w:rPr>
              <w:t xml:space="preserve"> </w:t>
            </w:r>
            <w:r w:rsidRPr="00181CA6">
              <w:rPr>
                <w:rFonts w:ascii="Arial Narrow" w:hAnsi="Arial Narrow"/>
                <w:sz w:val="19"/>
                <w:szCs w:val="19"/>
              </w:rPr>
              <w:t xml:space="preserve">in Year 1 increasing to </w:t>
            </w:r>
            <w:r w:rsidR="006A1008">
              <w:rPr>
                <w:rFonts w:ascii="Arial Narrow" w:hAnsi="Arial Narrow"/>
                <w:noProof/>
                <w:color w:val="000000"/>
                <w:sz w:val="19"/>
                <w:szCs w:val="19"/>
                <w:highlight w:val="black"/>
              </w:rPr>
              <w:t>'''''''''''' '''''''''''''''</w:t>
            </w:r>
            <w:r w:rsidR="00F17C10" w:rsidRPr="00181CA6">
              <w:rPr>
                <w:rFonts w:ascii="Arial Narrow" w:hAnsi="Arial Narrow"/>
                <w:sz w:val="19"/>
                <w:szCs w:val="19"/>
              </w:rPr>
              <w:t xml:space="preserve"> </w:t>
            </w:r>
            <w:r w:rsidRPr="00181CA6">
              <w:rPr>
                <w:rFonts w:ascii="Arial Narrow" w:hAnsi="Arial Narrow"/>
                <w:sz w:val="19"/>
                <w:szCs w:val="19"/>
              </w:rPr>
              <w:t xml:space="preserve">in Year 5 for a total of </w:t>
            </w:r>
            <w:r w:rsidR="006A1008">
              <w:rPr>
                <w:rFonts w:ascii="Arial Narrow" w:hAnsi="Arial Narrow"/>
                <w:noProof/>
                <w:color w:val="000000"/>
                <w:sz w:val="19"/>
                <w:szCs w:val="19"/>
                <w:highlight w:val="black"/>
              </w:rPr>
              <w:t>''''''''''' ''''''''''''''''</w:t>
            </w:r>
            <w:r w:rsidR="00F17C10" w:rsidRPr="00181CA6">
              <w:rPr>
                <w:rFonts w:ascii="Arial Narrow" w:hAnsi="Arial Narrow"/>
                <w:sz w:val="19"/>
                <w:szCs w:val="19"/>
              </w:rPr>
              <w:t xml:space="preserve"> </w:t>
            </w:r>
            <w:r w:rsidRPr="00181CA6">
              <w:rPr>
                <w:rFonts w:ascii="Arial Narrow" w:hAnsi="Arial Narrow"/>
                <w:sz w:val="19"/>
                <w:szCs w:val="19"/>
              </w:rPr>
              <w:t>over the first 5 years of listing.</w:t>
            </w:r>
          </w:p>
          <w:p w:rsidR="00F17C10" w:rsidRDefault="00F17C10" w:rsidP="00AA0A07">
            <w:pPr>
              <w:jc w:val="left"/>
              <w:rPr>
                <w:rFonts w:ascii="Arial Narrow" w:hAnsi="Arial Narrow"/>
                <w:sz w:val="19"/>
                <w:szCs w:val="19"/>
              </w:rPr>
            </w:pPr>
            <w:r w:rsidRPr="00181CA6">
              <w:rPr>
                <w:rFonts w:ascii="Arial Narrow" w:hAnsi="Arial Narrow"/>
                <w:sz w:val="19"/>
                <w:szCs w:val="19"/>
              </w:rPr>
              <w:t>•A</w:t>
            </w:r>
            <w:r w:rsidR="003B7D28" w:rsidRPr="00181CA6">
              <w:rPr>
                <w:rFonts w:ascii="Arial Narrow" w:hAnsi="Arial Narrow"/>
                <w:sz w:val="19"/>
                <w:szCs w:val="19"/>
              </w:rPr>
              <w:t xml:space="preserve"> </w:t>
            </w:r>
            <w:r w:rsidRPr="00181CA6">
              <w:rPr>
                <w:rFonts w:ascii="Arial Narrow" w:hAnsi="Arial Narrow"/>
                <w:sz w:val="19"/>
                <w:szCs w:val="19"/>
              </w:rPr>
              <w:t xml:space="preserve">net savings of </w:t>
            </w:r>
            <w:r w:rsidR="006A1008">
              <w:rPr>
                <w:rFonts w:ascii="Arial Narrow" w:hAnsi="Arial Narrow"/>
                <w:noProof/>
                <w:color w:val="000000"/>
                <w:sz w:val="19"/>
                <w:szCs w:val="19"/>
                <w:highlight w:val="black"/>
              </w:rPr>
              <w:t>'''''''''''''''''</w:t>
            </w:r>
            <w:r w:rsidRPr="00181CA6">
              <w:rPr>
                <w:rFonts w:ascii="Arial Narrow" w:hAnsi="Arial Narrow"/>
                <w:sz w:val="19"/>
                <w:szCs w:val="19"/>
              </w:rPr>
              <w:t xml:space="preserve"> in Year 1 increasing to a savings of </w:t>
            </w:r>
            <w:r w:rsidR="006A1008">
              <w:rPr>
                <w:rFonts w:ascii="Arial Narrow" w:hAnsi="Arial Narrow"/>
                <w:noProof/>
                <w:color w:val="000000"/>
                <w:sz w:val="19"/>
                <w:szCs w:val="19"/>
                <w:highlight w:val="black"/>
              </w:rPr>
              <w:t>''''''''''''''''''''''</w:t>
            </w:r>
            <w:r w:rsidRPr="00181CA6">
              <w:rPr>
                <w:rFonts w:ascii="Arial Narrow" w:hAnsi="Arial Narrow"/>
                <w:sz w:val="19"/>
                <w:szCs w:val="19"/>
              </w:rPr>
              <w:t xml:space="preserve"> in Year 5 for a total savings of </w:t>
            </w:r>
            <w:r w:rsidR="006A1008">
              <w:rPr>
                <w:rFonts w:ascii="Arial Narrow" w:hAnsi="Arial Narrow"/>
                <w:noProof/>
                <w:color w:val="000000"/>
                <w:sz w:val="19"/>
                <w:szCs w:val="19"/>
                <w:highlight w:val="black"/>
              </w:rPr>
              <w:t>''''''''''''''''''''</w:t>
            </w:r>
            <w:r w:rsidRPr="00181CA6">
              <w:rPr>
                <w:rFonts w:ascii="Arial Narrow" w:hAnsi="Arial Narrow"/>
                <w:sz w:val="19"/>
                <w:szCs w:val="19"/>
              </w:rPr>
              <w:t xml:space="preserve"> over the first 5 years of listing.</w:t>
            </w:r>
          </w:p>
          <w:p w:rsidR="00665271" w:rsidRPr="00181CA6" w:rsidRDefault="00665271" w:rsidP="00AA0A07">
            <w:pPr>
              <w:jc w:val="left"/>
              <w:rPr>
                <w:rFonts w:ascii="Arial Narrow" w:hAnsi="Arial Narrow"/>
                <w:sz w:val="19"/>
                <w:szCs w:val="19"/>
              </w:rPr>
            </w:pPr>
          </w:p>
          <w:p w:rsidR="001D112E" w:rsidRPr="00181CA6" w:rsidRDefault="001D112E" w:rsidP="003B2E17">
            <w:pPr>
              <w:jc w:val="left"/>
              <w:rPr>
                <w:rFonts w:ascii="Arial Narrow" w:hAnsi="Arial Narrow"/>
                <w:sz w:val="19"/>
                <w:szCs w:val="19"/>
              </w:rPr>
            </w:pPr>
            <w:r w:rsidRPr="00181CA6">
              <w:rPr>
                <w:rFonts w:ascii="Arial Narrow" w:hAnsi="Arial Narrow"/>
                <w:b/>
                <w:sz w:val="19"/>
                <w:szCs w:val="19"/>
              </w:rPr>
              <w:t>PBAC Comment:</w:t>
            </w:r>
            <w:r w:rsidRPr="00181CA6">
              <w:rPr>
                <w:rFonts w:ascii="Arial Narrow" w:hAnsi="Arial Narrow"/>
                <w:sz w:val="19"/>
                <w:szCs w:val="19"/>
              </w:rPr>
              <w:t xml:space="preserve"> </w:t>
            </w:r>
            <w:r w:rsidR="003B2E17" w:rsidRPr="00181CA6">
              <w:rPr>
                <w:rFonts w:ascii="Arial Narrow" w:hAnsi="Arial Narrow"/>
                <w:sz w:val="19"/>
                <w:szCs w:val="19"/>
              </w:rPr>
              <w:t xml:space="preserve">The PBAC considered the submission’s estimates were uncertain, given the safety concerns related to </w:t>
            </w:r>
            <w:proofErr w:type="spellStart"/>
            <w:r w:rsidR="003B2E17" w:rsidRPr="00181CA6">
              <w:rPr>
                <w:rFonts w:ascii="Arial Narrow" w:hAnsi="Arial Narrow"/>
                <w:sz w:val="19"/>
                <w:szCs w:val="19"/>
              </w:rPr>
              <w:t>thiazolidinediones</w:t>
            </w:r>
            <w:proofErr w:type="spellEnd"/>
            <w:r w:rsidR="003B2E17" w:rsidRPr="00181CA6">
              <w:rPr>
                <w:rFonts w:ascii="Arial Narrow" w:hAnsi="Arial Narrow"/>
                <w:sz w:val="19"/>
                <w:szCs w:val="19"/>
              </w:rPr>
              <w:t xml:space="preserve"> and dapagliflozin, the failure to consider patients with renal disease and the cost to the PBS if dapagliflozin was listed at the F2 formulary price of pioglitazone (para.5.2.26).</w:t>
            </w:r>
          </w:p>
        </w:tc>
        <w:tc>
          <w:tcPr>
            <w:tcW w:w="1688" w:type="pct"/>
          </w:tcPr>
          <w:p w:rsidR="00F17C10" w:rsidRPr="00181CA6" w:rsidRDefault="00F17C10" w:rsidP="00F17C10">
            <w:pPr>
              <w:jc w:val="left"/>
              <w:rPr>
                <w:rFonts w:ascii="Arial Narrow" w:hAnsi="Arial Narrow"/>
                <w:sz w:val="19"/>
                <w:szCs w:val="19"/>
              </w:rPr>
            </w:pPr>
            <w:r w:rsidRPr="00181CA6">
              <w:rPr>
                <w:rFonts w:ascii="Arial Narrow" w:hAnsi="Arial Narrow"/>
                <w:sz w:val="19"/>
                <w:szCs w:val="19"/>
              </w:rPr>
              <w:t xml:space="preserve">•Drug cost to PBS of </w:t>
            </w:r>
            <w:r w:rsidR="006A1008">
              <w:rPr>
                <w:rFonts w:ascii="Arial Narrow" w:hAnsi="Arial Narrow"/>
                <w:noProof/>
                <w:color w:val="000000"/>
                <w:sz w:val="19"/>
                <w:szCs w:val="19"/>
                <w:highlight w:val="black"/>
              </w:rPr>
              <w:t>'''''''''' ''''''''''''''</w:t>
            </w:r>
            <w:r w:rsidRPr="00181CA6">
              <w:rPr>
                <w:rFonts w:ascii="Arial Narrow" w:hAnsi="Arial Narrow"/>
                <w:sz w:val="19"/>
                <w:szCs w:val="19"/>
              </w:rPr>
              <w:t xml:space="preserve"> in Year 1 increasing to </w:t>
            </w:r>
            <w:r w:rsidR="006A1008">
              <w:rPr>
                <w:rFonts w:ascii="Arial Narrow" w:hAnsi="Arial Narrow"/>
                <w:noProof/>
                <w:color w:val="000000"/>
                <w:sz w:val="19"/>
                <w:szCs w:val="19"/>
                <w:highlight w:val="black"/>
              </w:rPr>
              <w:t>''''''''''''' '''''''''''''''</w:t>
            </w:r>
            <w:r w:rsidRPr="00181CA6">
              <w:rPr>
                <w:rFonts w:ascii="Arial Narrow" w:hAnsi="Arial Narrow"/>
                <w:sz w:val="19"/>
                <w:szCs w:val="19"/>
              </w:rPr>
              <w:t xml:space="preserve"> in Year 5 for a total of </w:t>
            </w:r>
            <w:r w:rsidR="006A1008">
              <w:rPr>
                <w:rFonts w:ascii="Arial Narrow" w:hAnsi="Arial Narrow"/>
                <w:noProof/>
                <w:color w:val="000000"/>
                <w:sz w:val="19"/>
                <w:szCs w:val="19"/>
                <w:highlight w:val="black"/>
              </w:rPr>
              <w:t>''''''''''''' '''''''''''''''</w:t>
            </w:r>
            <w:r w:rsidRPr="00181CA6">
              <w:rPr>
                <w:rFonts w:ascii="Arial Narrow" w:hAnsi="Arial Narrow"/>
                <w:sz w:val="19"/>
                <w:szCs w:val="19"/>
              </w:rPr>
              <w:t xml:space="preserve"> over the first 5 years of listing.</w:t>
            </w:r>
          </w:p>
          <w:p w:rsidR="001D112E" w:rsidRPr="00181CA6" w:rsidRDefault="00F17C10" w:rsidP="005F6176">
            <w:pPr>
              <w:jc w:val="left"/>
              <w:rPr>
                <w:rFonts w:ascii="Arial Narrow" w:hAnsi="Arial Narrow"/>
                <w:sz w:val="19"/>
                <w:szCs w:val="19"/>
              </w:rPr>
            </w:pPr>
            <w:r w:rsidRPr="00181CA6">
              <w:rPr>
                <w:rFonts w:ascii="Arial Narrow" w:hAnsi="Arial Narrow"/>
                <w:sz w:val="19"/>
                <w:szCs w:val="19"/>
              </w:rPr>
              <w:t xml:space="preserve">•A net </w:t>
            </w:r>
            <w:r w:rsidR="005F6176" w:rsidRPr="00181CA6">
              <w:rPr>
                <w:rFonts w:ascii="Arial Narrow" w:hAnsi="Arial Narrow"/>
                <w:sz w:val="19"/>
                <w:szCs w:val="19"/>
              </w:rPr>
              <w:t xml:space="preserve">cost </w:t>
            </w:r>
            <w:r w:rsidRPr="00181CA6">
              <w:rPr>
                <w:rFonts w:ascii="Arial Narrow" w:hAnsi="Arial Narrow"/>
                <w:sz w:val="19"/>
                <w:szCs w:val="19"/>
              </w:rPr>
              <w:t xml:space="preserve">of </w:t>
            </w:r>
            <w:r w:rsidR="006A1008">
              <w:rPr>
                <w:rFonts w:ascii="Arial Narrow" w:hAnsi="Arial Narrow"/>
                <w:noProof/>
                <w:color w:val="000000"/>
                <w:sz w:val="19"/>
                <w:szCs w:val="19"/>
                <w:highlight w:val="black"/>
              </w:rPr>
              <w:t>''''''''''' ''''''''''''''''</w:t>
            </w:r>
            <w:r w:rsidRPr="00181CA6">
              <w:rPr>
                <w:rFonts w:ascii="Arial Narrow" w:hAnsi="Arial Narrow"/>
                <w:sz w:val="19"/>
                <w:szCs w:val="19"/>
              </w:rPr>
              <w:t xml:space="preserve"> in Year 1 increasing to </w:t>
            </w:r>
            <w:r w:rsidR="006A1008">
              <w:rPr>
                <w:rFonts w:ascii="Arial Narrow" w:hAnsi="Arial Narrow"/>
                <w:noProof/>
                <w:color w:val="000000"/>
                <w:sz w:val="19"/>
                <w:szCs w:val="19"/>
                <w:highlight w:val="black"/>
              </w:rPr>
              <w:t>''''''''''''''' ''''''''''''''</w:t>
            </w:r>
            <w:r w:rsidRPr="00181CA6">
              <w:rPr>
                <w:rFonts w:ascii="Arial Narrow" w:hAnsi="Arial Narrow"/>
                <w:sz w:val="19"/>
                <w:szCs w:val="19"/>
              </w:rPr>
              <w:t xml:space="preserve"> in Year 5 for a total of </w:t>
            </w:r>
            <w:r w:rsidR="006A1008">
              <w:rPr>
                <w:rFonts w:ascii="Arial Narrow" w:hAnsi="Arial Narrow"/>
                <w:noProof/>
                <w:color w:val="000000"/>
                <w:sz w:val="19"/>
                <w:szCs w:val="19"/>
                <w:highlight w:val="black"/>
              </w:rPr>
              <w:t>'''''''''''''' '''''''''''''''</w:t>
            </w:r>
            <w:r w:rsidRPr="00181CA6">
              <w:rPr>
                <w:rFonts w:ascii="Arial Narrow" w:hAnsi="Arial Narrow"/>
                <w:sz w:val="19"/>
                <w:szCs w:val="19"/>
              </w:rPr>
              <w:t xml:space="preserve"> over the first 5 years of listing.</w:t>
            </w:r>
          </w:p>
        </w:tc>
      </w:tr>
      <w:tr w:rsidR="001D112E" w:rsidRPr="00181CA6" w:rsidTr="0032172C">
        <w:trPr>
          <w:trHeight w:val="438"/>
        </w:trPr>
        <w:tc>
          <w:tcPr>
            <w:tcW w:w="850" w:type="pct"/>
          </w:tcPr>
          <w:p w:rsidR="001D112E" w:rsidRPr="00181CA6" w:rsidRDefault="001D112E" w:rsidP="00AA0A07">
            <w:pPr>
              <w:jc w:val="left"/>
              <w:rPr>
                <w:rFonts w:ascii="Arial Narrow" w:hAnsi="Arial Narrow"/>
                <w:sz w:val="19"/>
                <w:szCs w:val="19"/>
              </w:rPr>
            </w:pPr>
            <w:r w:rsidRPr="00181CA6">
              <w:rPr>
                <w:rFonts w:ascii="Arial Narrow" w:hAnsi="Arial Narrow"/>
              </w:rPr>
              <w:br w:type="page"/>
            </w:r>
            <w:r w:rsidRPr="00181CA6">
              <w:rPr>
                <w:rFonts w:ascii="Arial Narrow" w:hAnsi="Arial Narrow"/>
                <w:sz w:val="19"/>
                <w:szCs w:val="19"/>
              </w:rPr>
              <w:t>PBAC decision</w:t>
            </w:r>
          </w:p>
        </w:tc>
        <w:tc>
          <w:tcPr>
            <w:tcW w:w="2463" w:type="pct"/>
          </w:tcPr>
          <w:p w:rsidR="001D112E" w:rsidRPr="00181CA6" w:rsidRDefault="00734B21" w:rsidP="00AA0A07">
            <w:pPr>
              <w:jc w:val="left"/>
              <w:rPr>
                <w:rFonts w:ascii="Arial Narrow" w:hAnsi="Arial Narrow"/>
                <w:sz w:val="19"/>
                <w:szCs w:val="19"/>
              </w:rPr>
            </w:pPr>
            <w:r w:rsidRPr="00181CA6">
              <w:rPr>
                <w:rFonts w:ascii="Arial Narrow" w:hAnsi="Arial Narrow"/>
                <w:sz w:val="19"/>
                <w:szCs w:val="19"/>
              </w:rPr>
              <w:t>•Rejected</w:t>
            </w:r>
            <w:r w:rsidR="001D112E" w:rsidRPr="00181CA6">
              <w:rPr>
                <w:rFonts w:ascii="Arial Narrow" w:hAnsi="Arial Narrow"/>
                <w:sz w:val="19"/>
                <w:szCs w:val="19"/>
              </w:rPr>
              <w:t xml:space="preserve"> </w:t>
            </w:r>
            <w:r w:rsidRPr="00181CA6">
              <w:rPr>
                <w:rFonts w:ascii="Arial Narrow" w:hAnsi="Arial Narrow"/>
                <w:sz w:val="19"/>
                <w:szCs w:val="19"/>
              </w:rPr>
              <w:t>on the basis of an inadequate comparison across appropriate comparators and uncertain comparative clinical effectiveness (para.5.2.38)</w:t>
            </w:r>
            <w:r w:rsidR="009537F1" w:rsidRPr="00181CA6">
              <w:rPr>
                <w:rFonts w:ascii="Arial Narrow" w:hAnsi="Arial Narrow"/>
                <w:sz w:val="19"/>
                <w:szCs w:val="19"/>
              </w:rPr>
              <w:t>.</w:t>
            </w:r>
          </w:p>
        </w:tc>
        <w:tc>
          <w:tcPr>
            <w:tcW w:w="1688" w:type="pct"/>
          </w:tcPr>
          <w:p w:rsidR="001D112E" w:rsidRPr="00181CA6" w:rsidRDefault="001D112E" w:rsidP="00AA0A07">
            <w:pPr>
              <w:jc w:val="left"/>
              <w:rPr>
                <w:rFonts w:ascii="Arial Narrow" w:hAnsi="Arial Narrow"/>
                <w:color w:val="0000FF"/>
                <w:sz w:val="19"/>
                <w:szCs w:val="19"/>
              </w:rPr>
            </w:pPr>
            <w:r w:rsidRPr="00181CA6">
              <w:rPr>
                <w:rFonts w:ascii="Arial Narrow" w:hAnsi="Arial Narrow"/>
                <w:sz w:val="19"/>
                <w:szCs w:val="19"/>
              </w:rPr>
              <w:t>-</w:t>
            </w:r>
          </w:p>
        </w:tc>
      </w:tr>
    </w:tbl>
    <w:p w:rsidR="00B60939" w:rsidRPr="00181CA6" w:rsidRDefault="001D112E" w:rsidP="00F338FF">
      <w:pPr>
        <w:pStyle w:val="TableFooter"/>
        <w:ind w:firstLine="720"/>
      </w:pPr>
      <w:r w:rsidRPr="00181CA6">
        <w:t>Source: Compiled during the evaluation</w:t>
      </w:r>
    </w:p>
    <w:p w:rsidR="001B6188" w:rsidRDefault="001B6188" w:rsidP="00497F10"/>
    <w:p w:rsidR="00B81F22" w:rsidRDefault="00B81F22" w:rsidP="00497F10"/>
    <w:p w:rsidR="00F338FF" w:rsidRPr="00181CA6" w:rsidRDefault="00F338FF" w:rsidP="005D7E3E">
      <w:pPr>
        <w:pStyle w:val="PBACheading1"/>
        <w:rPr>
          <w:b/>
        </w:rPr>
      </w:pPr>
      <w:bookmarkStart w:id="4" w:name="_Toc398280626"/>
      <w:r w:rsidRPr="00181CA6">
        <w:rPr>
          <w:b/>
        </w:rPr>
        <w:t>Clinical place for the proposed therapy</w:t>
      </w:r>
      <w:bookmarkEnd w:id="4"/>
    </w:p>
    <w:p w:rsidR="00B60939" w:rsidRPr="00181CA6" w:rsidRDefault="00B60939" w:rsidP="00B60939">
      <w:pPr>
        <w:rPr>
          <w:szCs w:val="22"/>
        </w:rPr>
      </w:pPr>
    </w:p>
    <w:p w:rsidR="00497F10" w:rsidRPr="00181CA6" w:rsidRDefault="009A5ACD" w:rsidP="00135FF4">
      <w:pPr>
        <w:pStyle w:val="ListParagraph"/>
        <w:widowControl/>
        <w:numPr>
          <w:ilvl w:val="1"/>
          <w:numId w:val="12"/>
        </w:numPr>
        <w:rPr>
          <w:szCs w:val="22"/>
        </w:rPr>
      </w:pPr>
      <w:r w:rsidRPr="00181CA6">
        <w:t xml:space="preserve">Type 2 diabetes is a metabolic disorder characterised by hyperglycaemia resulting from resistance to the action of insulin, insufficient insulin secretion or both. Diet and exercise are the first steps in managing the disease, followed by initiation of drug therapy with metformin, or metformin with a sulfonylurea (if tolerated). Further treatment options include the addition of insulin, a glucagon like peptide 1 (GLP-1) analogue, a </w:t>
      </w:r>
      <w:r w:rsidRPr="00181CA6">
        <w:rPr>
          <w:lang w:val="en-US"/>
        </w:rPr>
        <w:t>dipeptidyl peptidase-4</w:t>
      </w:r>
      <w:r w:rsidRPr="00181CA6">
        <w:t xml:space="preserve"> (gliptin) inhibitor, a </w:t>
      </w:r>
      <w:proofErr w:type="spellStart"/>
      <w:r w:rsidRPr="00181CA6">
        <w:t>thiazolidinediones</w:t>
      </w:r>
      <w:proofErr w:type="spellEnd"/>
      <w:r w:rsidRPr="00181CA6">
        <w:t xml:space="preserve"> (TZD), or a sodium glucose transporter </w:t>
      </w:r>
      <w:proofErr w:type="gramStart"/>
      <w:r w:rsidRPr="00181CA6">
        <w:t>2 (SGLT-2) inhibitor,</w:t>
      </w:r>
      <w:proofErr w:type="gramEnd"/>
      <w:r w:rsidRPr="00181CA6">
        <w:t xml:space="preserve"> alone or in combinations.</w:t>
      </w:r>
    </w:p>
    <w:p w:rsidR="00497F10" w:rsidRPr="00181CA6" w:rsidRDefault="00497F10" w:rsidP="00497F10">
      <w:pPr>
        <w:widowControl/>
        <w:rPr>
          <w:szCs w:val="22"/>
        </w:rPr>
      </w:pPr>
    </w:p>
    <w:p w:rsidR="00497F10" w:rsidRPr="002857E9" w:rsidRDefault="00EB5B99" w:rsidP="00F53E9E">
      <w:pPr>
        <w:pStyle w:val="ListParagraph"/>
        <w:widowControl/>
        <w:numPr>
          <w:ilvl w:val="1"/>
          <w:numId w:val="12"/>
        </w:numPr>
        <w:rPr>
          <w:szCs w:val="22"/>
        </w:rPr>
      </w:pPr>
      <w:r>
        <w:rPr>
          <w:szCs w:val="22"/>
        </w:rPr>
        <w:lastRenderedPageBreak/>
        <w:t xml:space="preserve">The </w:t>
      </w:r>
      <w:r w:rsidR="006A7651">
        <w:rPr>
          <w:szCs w:val="22"/>
        </w:rPr>
        <w:t>r</w:t>
      </w:r>
      <w:r w:rsidR="006D07FE" w:rsidRPr="002857E9">
        <w:rPr>
          <w:szCs w:val="22"/>
        </w:rPr>
        <w:t>esubmission</w:t>
      </w:r>
      <w:r w:rsidR="009A5ACD" w:rsidRPr="002857E9">
        <w:rPr>
          <w:szCs w:val="22"/>
        </w:rPr>
        <w:t xml:space="preserve"> propose</w:t>
      </w:r>
      <w:r>
        <w:rPr>
          <w:szCs w:val="22"/>
        </w:rPr>
        <w:t xml:space="preserve">d </w:t>
      </w:r>
      <w:r w:rsidR="009A5ACD" w:rsidRPr="002857E9">
        <w:rPr>
          <w:szCs w:val="22"/>
        </w:rPr>
        <w:t xml:space="preserve">dapagliflozin will be used in </w:t>
      </w:r>
      <w:r w:rsidR="00F53E9E" w:rsidRPr="002857E9">
        <w:rPr>
          <w:szCs w:val="22"/>
        </w:rPr>
        <w:t xml:space="preserve">patients treated with insulin, after failure of maximum tolerated doses of oral diabetes medicines, in </w:t>
      </w:r>
      <w:r w:rsidR="009A5ACD" w:rsidRPr="002857E9">
        <w:rPr>
          <w:szCs w:val="22"/>
        </w:rPr>
        <w:t xml:space="preserve">place of </w:t>
      </w:r>
      <w:r w:rsidR="00F53E9E" w:rsidRPr="002857E9">
        <w:rPr>
          <w:szCs w:val="22"/>
        </w:rPr>
        <w:t xml:space="preserve">insulin </w:t>
      </w:r>
      <w:r w:rsidR="009A5ACD" w:rsidRPr="002857E9">
        <w:rPr>
          <w:szCs w:val="22"/>
        </w:rPr>
        <w:t xml:space="preserve">up-titration </w:t>
      </w:r>
      <w:r w:rsidR="00F53E9E" w:rsidRPr="002857E9">
        <w:rPr>
          <w:szCs w:val="22"/>
        </w:rPr>
        <w:t>or intensification.</w:t>
      </w:r>
      <w:r w:rsidR="00497F10" w:rsidRPr="002857E9">
        <w:rPr>
          <w:szCs w:val="22"/>
        </w:rPr>
        <w:t xml:space="preserve">  </w:t>
      </w:r>
    </w:p>
    <w:p w:rsidR="00900027" w:rsidRPr="002857E9" w:rsidRDefault="00900027" w:rsidP="00900027">
      <w:pPr>
        <w:pStyle w:val="ListParagraph"/>
        <w:rPr>
          <w:szCs w:val="22"/>
        </w:rPr>
      </w:pPr>
    </w:p>
    <w:p w:rsidR="006A7651" w:rsidRPr="006A7651" w:rsidRDefault="00900027" w:rsidP="006A7651">
      <w:pPr>
        <w:pStyle w:val="ListParagraph"/>
        <w:widowControl/>
        <w:numPr>
          <w:ilvl w:val="1"/>
          <w:numId w:val="12"/>
        </w:numPr>
        <w:rPr>
          <w:szCs w:val="22"/>
        </w:rPr>
      </w:pPr>
      <w:r w:rsidRPr="002857E9">
        <w:rPr>
          <w:szCs w:val="22"/>
        </w:rPr>
        <w:t>The ESC noted that the resubmission does not exclude combination with metformin or a sulfonylurea, resulting in the possible use in dual or triple therapies with insulin.</w:t>
      </w:r>
      <w:r w:rsidR="006A7651">
        <w:rPr>
          <w:szCs w:val="22"/>
        </w:rPr>
        <w:t xml:space="preserve"> The DUSC considered that the use of dapagliflozin and insulin in a triple combination with metformin was clinically appropriate and should not be excluded.</w:t>
      </w:r>
    </w:p>
    <w:p w:rsidR="00107F2F" w:rsidRPr="002857E9" w:rsidRDefault="00107F2F" w:rsidP="00107F2F">
      <w:pPr>
        <w:pStyle w:val="ListParagraph"/>
        <w:rPr>
          <w:szCs w:val="22"/>
        </w:rPr>
      </w:pPr>
    </w:p>
    <w:p w:rsidR="00107F2F" w:rsidRPr="002857E9" w:rsidRDefault="0032172C" w:rsidP="0032172C">
      <w:pPr>
        <w:pStyle w:val="ListParagraph"/>
        <w:widowControl/>
        <w:numPr>
          <w:ilvl w:val="1"/>
          <w:numId w:val="12"/>
        </w:numPr>
      </w:pPr>
      <w:r w:rsidRPr="002857E9">
        <w:t>The ESC also noted that d</w:t>
      </w:r>
      <w:r w:rsidR="00107F2F" w:rsidRPr="002857E9">
        <w:t xml:space="preserve">apagliflozin is contraindicated </w:t>
      </w:r>
      <w:r w:rsidR="00993AD7" w:rsidRPr="002857E9">
        <w:t>in</w:t>
      </w:r>
      <w:r w:rsidR="00107F2F" w:rsidRPr="002857E9">
        <w:t xml:space="preserve"> </w:t>
      </w:r>
      <w:r w:rsidRPr="002857E9">
        <w:t>patient</w:t>
      </w:r>
      <w:r w:rsidR="00993AD7" w:rsidRPr="002857E9">
        <w:t>s with an</w:t>
      </w:r>
      <w:r w:rsidRPr="002857E9">
        <w:t xml:space="preserve"> </w:t>
      </w:r>
      <w:r w:rsidR="00107F2F" w:rsidRPr="002857E9">
        <w:t xml:space="preserve">eGFR&lt;60 </w:t>
      </w:r>
      <w:r w:rsidR="00993AD7" w:rsidRPr="002857E9">
        <w:t>mL/min/1.73m</w:t>
      </w:r>
      <w:r w:rsidR="00993AD7" w:rsidRPr="002857E9">
        <w:rPr>
          <w:vertAlign w:val="superscript"/>
        </w:rPr>
        <w:t>2</w:t>
      </w:r>
      <w:r w:rsidR="00993AD7" w:rsidRPr="002857E9">
        <w:t xml:space="preserve"> </w:t>
      </w:r>
      <w:r w:rsidR="00107F2F" w:rsidRPr="002857E9">
        <w:t xml:space="preserve">and </w:t>
      </w:r>
      <w:r w:rsidRPr="002857E9">
        <w:t>that it is not</w:t>
      </w:r>
      <w:r w:rsidR="00107F2F" w:rsidRPr="002857E9">
        <w:t xml:space="preserve"> for use in patients aged over 75 years.</w:t>
      </w:r>
    </w:p>
    <w:p w:rsidR="001B6188" w:rsidRDefault="001B6188" w:rsidP="00E469F4">
      <w:pPr>
        <w:pStyle w:val="ListParagraph"/>
        <w:ind w:left="0"/>
        <w:rPr>
          <w:szCs w:val="22"/>
        </w:rPr>
      </w:pPr>
    </w:p>
    <w:p w:rsidR="00A06963" w:rsidRPr="002857E9" w:rsidRDefault="00A06963" w:rsidP="00E469F4">
      <w:pPr>
        <w:pStyle w:val="ListParagraph"/>
        <w:ind w:left="0"/>
        <w:rPr>
          <w:szCs w:val="22"/>
        </w:rPr>
      </w:pPr>
    </w:p>
    <w:p w:rsidR="002857E9" w:rsidRPr="00E21391" w:rsidRDefault="002857E9" w:rsidP="00D04239">
      <w:pPr>
        <w:ind w:firstLine="720"/>
        <w:rPr>
          <w:i/>
          <w:szCs w:val="22"/>
        </w:rPr>
      </w:pPr>
      <w:r w:rsidRPr="00E21391">
        <w:rPr>
          <w:i/>
          <w:szCs w:val="22"/>
        </w:rPr>
        <w:t>For more detail on PBAC’s view, see section 7 “PBAC outcome”</w:t>
      </w:r>
    </w:p>
    <w:p w:rsidR="00915BC2" w:rsidRDefault="00915BC2" w:rsidP="00E469F4">
      <w:pPr>
        <w:pStyle w:val="ListParagraph"/>
        <w:ind w:left="0"/>
        <w:rPr>
          <w:szCs w:val="22"/>
        </w:rPr>
      </w:pPr>
    </w:p>
    <w:p w:rsidR="002857E9" w:rsidRPr="00181CA6" w:rsidRDefault="002857E9" w:rsidP="00E469F4">
      <w:pPr>
        <w:pStyle w:val="ListParagraph"/>
        <w:ind w:left="0"/>
        <w:rPr>
          <w:szCs w:val="22"/>
        </w:rPr>
      </w:pPr>
    </w:p>
    <w:p w:rsidR="00F338FF" w:rsidRPr="00181CA6" w:rsidRDefault="00F338FF" w:rsidP="005D7E3E">
      <w:pPr>
        <w:pStyle w:val="PBACheading1"/>
        <w:rPr>
          <w:b/>
        </w:rPr>
      </w:pPr>
      <w:bookmarkStart w:id="5" w:name="_Toc398280627"/>
      <w:r w:rsidRPr="00181CA6">
        <w:rPr>
          <w:b/>
        </w:rPr>
        <w:t>Comparator</w:t>
      </w:r>
      <w:bookmarkEnd w:id="5"/>
    </w:p>
    <w:p w:rsidR="00497F10" w:rsidRPr="00181CA6" w:rsidRDefault="00497F10" w:rsidP="00577717"/>
    <w:p w:rsidR="00497F10" w:rsidRPr="002857E9" w:rsidRDefault="00F53E9E" w:rsidP="00993AD7">
      <w:pPr>
        <w:pStyle w:val="ListParagraph"/>
        <w:widowControl/>
        <w:numPr>
          <w:ilvl w:val="1"/>
          <w:numId w:val="12"/>
        </w:numPr>
        <w:rPr>
          <w:szCs w:val="22"/>
        </w:rPr>
      </w:pPr>
      <w:r w:rsidRPr="002857E9">
        <w:t>Up-titration or intensification of insulin</w:t>
      </w:r>
      <w:r w:rsidR="00497F10" w:rsidRPr="002857E9">
        <w:t xml:space="preserve">.  </w:t>
      </w:r>
      <w:r w:rsidR="006A7651">
        <w:t>The ESC advised that t</w:t>
      </w:r>
      <w:r w:rsidR="00497F10" w:rsidRPr="002857E9">
        <w:t xml:space="preserve">his is the appropriate comparator.  </w:t>
      </w:r>
      <w:r w:rsidRPr="002857E9">
        <w:t xml:space="preserve">The </w:t>
      </w:r>
      <w:r w:rsidR="006D07FE" w:rsidRPr="002857E9">
        <w:t>resubmission</w:t>
      </w:r>
      <w:r w:rsidRPr="002857E9">
        <w:t xml:space="preserve"> also nominates exenatide and lixisenatide as secondary comparators. Exenatide may be an appropriate secondary comparator, but is not </w:t>
      </w:r>
      <w:r w:rsidR="00993AD7" w:rsidRPr="002857E9">
        <w:t xml:space="preserve">currently </w:t>
      </w:r>
      <w:r w:rsidRPr="002857E9">
        <w:t xml:space="preserve">listed on the PBS </w:t>
      </w:r>
      <w:r w:rsidR="00993AD7" w:rsidRPr="002857E9">
        <w:t xml:space="preserve">for use in combination with insulin </w:t>
      </w:r>
      <w:r w:rsidRPr="002857E9">
        <w:t xml:space="preserve">for </w:t>
      </w:r>
      <w:r w:rsidR="00993AD7" w:rsidRPr="002857E9">
        <w:t>diabetes mellitus type 2</w:t>
      </w:r>
      <w:r w:rsidRPr="002857E9">
        <w:t xml:space="preserve">. Lixisenatide is not listed on the PBS and is not </w:t>
      </w:r>
      <w:r w:rsidR="00993AD7" w:rsidRPr="002857E9">
        <w:t xml:space="preserve">considered as </w:t>
      </w:r>
      <w:r w:rsidRPr="002857E9">
        <w:t>an appropriate secondary comparator.</w:t>
      </w:r>
      <w:r w:rsidR="0048566E" w:rsidRPr="002857E9">
        <w:t xml:space="preserve"> </w:t>
      </w:r>
    </w:p>
    <w:p w:rsidR="0048566E" w:rsidRPr="002857E9" w:rsidRDefault="0048566E" w:rsidP="0048566E">
      <w:pPr>
        <w:pStyle w:val="ListParagraph"/>
        <w:widowControl/>
        <w:rPr>
          <w:szCs w:val="22"/>
        </w:rPr>
      </w:pPr>
    </w:p>
    <w:p w:rsidR="0048566E" w:rsidRPr="002857E9" w:rsidRDefault="0048566E" w:rsidP="0048566E">
      <w:pPr>
        <w:pStyle w:val="ListParagraph"/>
        <w:widowControl/>
        <w:numPr>
          <w:ilvl w:val="1"/>
          <w:numId w:val="12"/>
        </w:numPr>
        <w:rPr>
          <w:szCs w:val="22"/>
        </w:rPr>
      </w:pPr>
      <w:r w:rsidRPr="002857E9">
        <w:rPr>
          <w:szCs w:val="22"/>
        </w:rPr>
        <w:t>The ESC acknowledged the</w:t>
      </w:r>
      <w:r w:rsidR="00BE7480" w:rsidRPr="002857E9">
        <w:rPr>
          <w:szCs w:val="22"/>
        </w:rPr>
        <w:t xml:space="preserve"> comment in the</w:t>
      </w:r>
      <w:r w:rsidR="00BD057C">
        <w:rPr>
          <w:szCs w:val="22"/>
        </w:rPr>
        <w:t xml:space="preserve"> Pre-Sub-Committee Response</w:t>
      </w:r>
      <w:r w:rsidRPr="002857E9">
        <w:rPr>
          <w:szCs w:val="22"/>
        </w:rPr>
        <w:t xml:space="preserve"> (PSCR, p1) that the PBAC has previously expressed that up-titration insulin would be a specific comparator for dapagliflozin in this indication from the March 2012 PBAC submission.</w:t>
      </w:r>
    </w:p>
    <w:p w:rsidR="00A06963" w:rsidRPr="002857E9" w:rsidRDefault="00A06963" w:rsidP="000731F3">
      <w:pPr>
        <w:widowControl/>
        <w:rPr>
          <w:szCs w:val="22"/>
        </w:rPr>
      </w:pPr>
    </w:p>
    <w:p w:rsidR="002857E9" w:rsidRPr="00E21391" w:rsidRDefault="002857E9" w:rsidP="00D04239">
      <w:pPr>
        <w:ind w:firstLine="720"/>
        <w:rPr>
          <w:i/>
          <w:szCs w:val="22"/>
        </w:rPr>
      </w:pPr>
      <w:r w:rsidRPr="00E21391">
        <w:rPr>
          <w:i/>
          <w:szCs w:val="22"/>
        </w:rPr>
        <w:t>For more detail on PBAC’s view, see section 7 “PBAC outcome”</w:t>
      </w:r>
    </w:p>
    <w:p w:rsidR="001B6188" w:rsidRDefault="001B6188" w:rsidP="00497F10"/>
    <w:p w:rsidR="002857E9" w:rsidRPr="00181CA6" w:rsidRDefault="002857E9" w:rsidP="00497F10"/>
    <w:p w:rsidR="00D06FD4" w:rsidRPr="00181CA6" w:rsidRDefault="00472359" w:rsidP="005D7E3E">
      <w:pPr>
        <w:pStyle w:val="PBACheading1"/>
        <w:rPr>
          <w:b/>
        </w:rPr>
      </w:pPr>
      <w:bookmarkStart w:id="6" w:name="_Toc398280628"/>
      <w:r w:rsidRPr="00181CA6">
        <w:rPr>
          <w:b/>
        </w:rPr>
        <w:t>C</w:t>
      </w:r>
      <w:r w:rsidR="00D06FD4" w:rsidRPr="00181CA6">
        <w:rPr>
          <w:b/>
        </w:rPr>
        <w:t>onsideration of the evidence</w:t>
      </w:r>
      <w:bookmarkEnd w:id="6"/>
    </w:p>
    <w:p w:rsidR="00B60939" w:rsidRDefault="00B60939" w:rsidP="00996B1A">
      <w:pPr>
        <w:widowControl/>
        <w:rPr>
          <w:b/>
          <w:szCs w:val="22"/>
        </w:rPr>
      </w:pPr>
    </w:p>
    <w:p w:rsidR="002857E9" w:rsidRPr="00116159" w:rsidRDefault="002857E9" w:rsidP="00116159">
      <w:pPr>
        <w:pStyle w:val="BodyText"/>
        <w:rPr>
          <w:b/>
        </w:rPr>
      </w:pPr>
      <w:r w:rsidRPr="00116159">
        <w:rPr>
          <w:b/>
        </w:rPr>
        <w:t>Sponsor hearing</w:t>
      </w:r>
    </w:p>
    <w:p w:rsidR="00116159" w:rsidRPr="00EB5B99" w:rsidRDefault="00116159" w:rsidP="00116159">
      <w:pPr>
        <w:pStyle w:val="BodyText"/>
      </w:pPr>
    </w:p>
    <w:p w:rsidR="002857E9" w:rsidRPr="00EB5B99" w:rsidRDefault="002857E9" w:rsidP="002857E9">
      <w:pPr>
        <w:numPr>
          <w:ilvl w:val="1"/>
          <w:numId w:val="12"/>
        </w:numPr>
        <w:contextualSpacing/>
        <w:rPr>
          <w:bCs/>
          <w:szCs w:val="22"/>
        </w:rPr>
      </w:pPr>
      <w:r w:rsidRPr="00EB5B99">
        <w:rPr>
          <w:bCs/>
          <w:szCs w:val="22"/>
        </w:rPr>
        <w:t>There was no hearing fo</w:t>
      </w:r>
      <w:r w:rsidR="00EB5B99" w:rsidRPr="00EB5B99">
        <w:rPr>
          <w:bCs/>
          <w:szCs w:val="22"/>
        </w:rPr>
        <w:t>r this item</w:t>
      </w:r>
      <w:r w:rsidR="00BB5C68">
        <w:rPr>
          <w:bCs/>
          <w:szCs w:val="22"/>
        </w:rPr>
        <w:t>.</w:t>
      </w:r>
    </w:p>
    <w:p w:rsidR="002857E9" w:rsidRPr="003A49F2" w:rsidRDefault="002857E9" w:rsidP="002857E9">
      <w:pPr>
        <w:rPr>
          <w:bCs/>
          <w:szCs w:val="22"/>
          <w:highlight w:val="yellow"/>
        </w:rPr>
      </w:pPr>
    </w:p>
    <w:p w:rsidR="002857E9" w:rsidRDefault="002857E9" w:rsidP="00116159">
      <w:pPr>
        <w:pStyle w:val="BodyText"/>
        <w:rPr>
          <w:b/>
        </w:rPr>
      </w:pPr>
      <w:r w:rsidRPr="00116159">
        <w:rPr>
          <w:b/>
        </w:rPr>
        <w:t>Consumer comments</w:t>
      </w:r>
    </w:p>
    <w:p w:rsidR="00116159" w:rsidRPr="00116159" w:rsidRDefault="00116159" w:rsidP="00116159">
      <w:pPr>
        <w:pStyle w:val="BodyText"/>
        <w:rPr>
          <w:b/>
        </w:rPr>
      </w:pPr>
    </w:p>
    <w:p w:rsidR="00BB5C68" w:rsidRPr="00BB5C68" w:rsidRDefault="002857E9" w:rsidP="002857E9">
      <w:pPr>
        <w:numPr>
          <w:ilvl w:val="1"/>
          <w:numId w:val="12"/>
        </w:numPr>
        <w:contextualSpacing/>
        <w:rPr>
          <w:bCs/>
          <w:szCs w:val="22"/>
        </w:rPr>
      </w:pPr>
      <w:r w:rsidRPr="00BB5C68">
        <w:rPr>
          <w:bCs/>
          <w:szCs w:val="22"/>
        </w:rPr>
        <w:t>The PBAC noted and welcomed the input from health care professionals (</w:t>
      </w:r>
      <w:r w:rsidR="00BB5C68" w:rsidRPr="00BB5C68">
        <w:rPr>
          <w:bCs/>
          <w:szCs w:val="22"/>
        </w:rPr>
        <w:t>2</w:t>
      </w:r>
      <w:r w:rsidRPr="00BB5C68">
        <w:rPr>
          <w:bCs/>
          <w:szCs w:val="22"/>
        </w:rPr>
        <w:t xml:space="preserve">) via the Consumer Comments facility on the PBS website.  The comments described benefits of treatment with </w:t>
      </w:r>
      <w:r w:rsidR="00BB5C68" w:rsidRPr="00BB5C68">
        <w:rPr>
          <w:bCs/>
          <w:szCs w:val="22"/>
        </w:rPr>
        <w:t>dapagliflozin in combination with insulin</w:t>
      </w:r>
      <w:r w:rsidRPr="00BB5C68">
        <w:rPr>
          <w:bCs/>
          <w:szCs w:val="22"/>
        </w:rPr>
        <w:t xml:space="preserve"> including </w:t>
      </w:r>
      <w:r w:rsidR="00BB5C68" w:rsidRPr="00BB5C68">
        <w:rPr>
          <w:bCs/>
          <w:szCs w:val="22"/>
        </w:rPr>
        <w:t>better glycaemic control with lower insulin dose and weight loss.</w:t>
      </w:r>
    </w:p>
    <w:p w:rsidR="002857E9" w:rsidRPr="003A49F2" w:rsidRDefault="002857E9" w:rsidP="002857E9">
      <w:pPr>
        <w:contextualSpacing/>
        <w:rPr>
          <w:bCs/>
          <w:szCs w:val="22"/>
          <w:highlight w:val="yellow"/>
        </w:rPr>
      </w:pPr>
    </w:p>
    <w:p w:rsidR="00B60939" w:rsidRPr="00116159" w:rsidRDefault="00B60939" w:rsidP="00116159">
      <w:pPr>
        <w:pStyle w:val="BodyText"/>
        <w:rPr>
          <w:b/>
        </w:rPr>
      </w:pPr>
      <w:bookmarkStart w:id="7" w:name="_Toc398280629"/>
      <w:r w:rsidRPr="00116159">
        <w:rPr>
          <w:b/>
        </w:rPr>
        <w:t>Clinical trials</w:t>
      </w:r>
      <w:bookmarkEnd w:id="7"/>
    </w:p>
    <w:p w:rsidR="00B60939" w:rsidRPr="00181CA6" w:rsidRDefault="00B60939" w:rsidP="00B60939">
      <w:pPr>
        <w:rPr>
          <w:szCs w:val="22"/>
        </w:rPr>
      </w:pPr>
    </w:p>
    <w:p w:rsidR="00B316D9" w:rsidRPr="002857E9" w:rsidRDefault="00B316D9" w:rsidP="00B316D9">
      <w:pPr>
        <w:pStyle w:val="ListParagraph"/>
        <w:widowControl/>
        <w:numPr>
          <w:ilvl w:val="1"/>
          <w:numId w:val="12"/>
        </w:numPr>
        <w:rPr>
          <w:szCs w:val="22"/>
        </w:rPr>
      </w:pPr>
      <w:r w:rsidRPr="002857E9">
        <w:t>The submission is based on a multi-step informal indirect analysis comparing dapagliflozin to exenatide</w:t>
      </w:r>
      <w:r w:rsidR="00C15A4D" w:rsidRPr="002857E9">
        <w:t xml:space="preserve"> (in combination with insulin)</w:t>
      </w:r>
      <w:r w:rsidRPr="002857E9">
        <w:t xml:space="preserve">, then assuming reductions in </w:t>
      </w:r>
      <w:r w:rsidR="00C15A4D" w:rsidRPr="002857E9">
        <w:t xml:space="preserve">up-titration of insulin observed in patients treated with exenatide (in combination with </w:t>
      </w:r>
      <w:r w:rsidR="003C4FEF" w:rsidRPr="002857E9">
        <w:lastRenderedPageBreak/>
        <w:t xml:space="preserve">insulin </w:t>
      </w:r>
      <w:r w:rsidR="00C15A4D" w:rsidRPr="002857E9">
        <w:t>glargine) in the clinical trials are applicable to dapagliflozin</w:t>
      </w:r>
      <w:r w:rsidR="0048566E" w:rsidRPr="002857E9">
        <w:t>, as illustrated below</w:t>
      </w:r>
      <w:r w:rsidR="00C15A4D" w:rsidRPr="002857E9">
        <w:t>.</w:t>
      </w:r>
    </w:p>
    <w:p w:rsidR="0048566E" w:rsidRPr="002857E9" w:rsidRDefault="0048566E" w:rsidP="0048566E"/>
    <w:p w:rsidR="0048566E" w:rsidRPr="002857E9" w:rsidRDefault="0048566E" w:rsidP="0048566E">
      <w:pPr>
        <w:pStyle w:val="ListParagraph"/>
        <w:numPr>
          <w:ilvl w:val="0"/>
          <w:numId w:val="18"/>
        </w:numPr>
      </w:pPr>
      <w:r w:rsidRPr="002857E9">
        <w:t>Indirect comparison of dapagliflozin + insulin (Trial CT-006) vs exenatide + insulin (GWCO) using placebo + insulin as a common comparator (i.e. a formal indirect comparison);</w:t>
      </w:r>
    </w:p>
    <w:p w:rsidR="0048566E" w:rsidRPr="002857E9" w:rsidRDefault="0048566E" w:rsidP="0048566E">
      <w:pPr>
        <w:pStyle w:val="ListParagraph"/>
        <w:numPr>
          <w:ilvl w:val="0"/>
          <w:numId w:val="18"/>
        </w:numPr>
      </w:pPr>
      <w:r w:rsidRPr="002857E9">
        <w:t>Insulin up-titration avoided with exenatide in Trial GWDM (exenatide + long-acting insulin vs long-acting + fast-acting insulin) is assumed to be applicable to dapagliflozin (i.e. an informal indirect comparison).</w:t>
      </w:r>
    </w:p>
    <w:p w:rsidR="0048566E" w:rsidRPr="002857E9" w:rsidRDefault="0048566E" w:rsidP="0048566E">
      <w:pPr>
        <w:pStyle w:val="PBACheading1"/>
        <w:numPr>
          <w:ilvl w:val="0"/>
          <w:numId w:val="0"/>
        </w:numPr>
        <w:ind w:left="720"/>
      </w:pPr>
    </w:p>
    <w:p w:rsidR="001B6188" w:rsidRPr="002857E9" w:rsidRDefault="001B6188" w:rsidP="001B6188">
      <w:pPr>
        <w:pStyle w:val="ListParagraph"/>
        <w:widowControl/>
        <w:numPr>
          <w:ilvl w:val="1"/>
          <w:numId w:val="12"/>
        </w:numPr>
        <w:rPr>
          <w:szCs w:val="22"/>
        </w:rPr>
      </w:pPr>
      <w:r w:rsidRPr="002857E9">
        <w:rPr>
          <w:szCs w:val="22"/>
        </w:rPr>
        <w:t xml:space="preserve">Details of the trials presented in the </w:t>
      </w:r>
      <w:r w:rsidR="006D07FE" w:rsidRPr="002857E9">
        <w:rPr>
          <w:szCs w:val="22"/>
        </w:rPr>
        <w:t>resubmission</w:t>
      </w:r>
      <w:r w:rsidRPr="002857E9">
        <w:rPr>
          <w:szCs w:val="22"/>
        </w:rPr>
        <w:t xml:space="preserve"> are provided in the </w:t>
      </w:r>
      <w:r w:rsidR="00D0474B">
        <w:rPr>
          <w:szCs w:val="22"/>
        </w:rPr>
        <w:t>following table</w:t>
      </w:r>
      <w:r w:rsidRPr="002857E9">
        <w:rPr>
          <w:szCs w:val="22"/>
        </w:rPr>
        <w:t xml:space="preserve">.  </w:t>
      </w:r>
    </w:p>
    <w:p w:rsidR="00C15A4D" w:rsidRPr="002857E9" w:rsidRDefault="00C15A4D" w:rsidP="00C15A4D">
      <w:pPr>
        <w:widowControl/>
        <w:rPr>
          <w:szCs w:val="22"/>
        </w:rPr>
      </w:pPr>
    </w:p>
    <w:p w:rsidR="00961AF9" w:rsidRPr="002857E9" w:rsidRDefault="00961AF9" w:rsidP="00D06FD4">
      <w:pPr>
        <w:ind w:firstLine="720"/>
        <w:rPr>
          <w:rStyle w:val="CommentReference"/>
        </w:rPr>
      </w:pPr>
      <w:r w:rsidRPr="002857E9">
        <w:rPr>
          <w:rStyle w:val="CommentReference"/>
        </w:rPr>
        <w:t xml:space="preserve">Trials and associated reports presented in the </w:t>
      </w:r>
      <w:r w:rsidR="006D07FE" w:rsidRPr="002857E9">
        <w:rPr>
          <w:rStyle w:val="CommentReference"/>
        </w:rPr>
        <w:t>resubmission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48"/>
        <w:gridCol w:w="5414"/>
        <w:gridCol w:w="1701"/>
      </w:tblGrid>
      <w:tr w:rsidR="00F53E9E" w:rsidRPr="002857E9" w:rsidTr="00150234">
        <w:trPr>
          <w:tblHeader/>
        </w:trPr>
        <w:tc>
          <w:tcPr>
            <w:tcW w:w="746" w:type="pct"/>
          </w:tcPr>
          <w:p w:rsidR="00F53E9E" w:rsidRPr="002857E9" w:rsidRDefault="00F53E9E" w:rsidP="00342160">
            <w:pPr>
              <w:jc w:val="left"/>
              <w:rPr>
                <w:rFonts w:ascii="Arial Narrow" w:hAnsi="Arial Narrow"/>
                <w:b/>
                <w:sz w:val="20"/>
              </w:rPr>
            </w:pPr>
            <w:r w:rsidRPr="002857E9">
              <w:rPr>
                <w:rFonts w:ascii="Arial Narrow" w:hAnsi="Arial Narrow"/>
                <w:b/>
                <w:sz w:val="20"/>
              </w:rPr>
              <w:t>Trial ID</w:t>
            </w:r>
          </w:p>
        </w:tc>
        <w:tc>
          <w:tcPr>
            <w:tcW w:w="3237" w:type="pct"/>
          </w:tcPr>
          <w:p w:rsidR="00F53E9E" w:rsidRPr="002857E9" w:rsidRDefault="00F53E9E" w:rsidP="00342160">
            <w:pPr>
              <w:jc w:val="center"/>
              <w:rPr>
                <w:rFonts w:ascii="Arial Narrow" w:hAnsi="Arial Narrow"/>
                <w:b/>
                <w:sz w:val="20"/>
              </w:rPr>
            </w:pPr>
            <w:r w:rsidRPr="002857E9">
              <w:rPr>
                <w:rFonts w:ascii="Arial Narrow" w:hAnsi="Arial Narrow"/>
                <w:b/>
                <w:sz w:val="20"/>
              </w:rPr>
              <w:t>Protocol title</w:t>
            </w:r>
          </w:p>
        </w:tc>
        <w:tc>
          <w:tcPr>
            <w:tcW w:w="1017" w:type="pct"/>
          </w:tcPr>
          <w:p w:rsidR="00F53E9E" w:rsidRPr="002857E9" w:rsidRDefault="00F53E9E" w:rsidP="00342160">
            <w:pPr>
              <w:jc w:val="center"/>
              <w:rPr>
                <w:rFonts w:ascii="Arial Narrow" w:hAnsi="Arial Narrow"/>
                <w:b/>
                <w:sz w:val="20"/>
              </w:rPr>
            </w:pPr>
            <w:r w:rsidRPr="002857E9">
              <w:rPr>
                <w:rFonts w:ascii="Arial Narrow" w:hAnsi="Arial Narrow"/>
                <w:b/>
                <w:sz w:val="20"/>
              </w:rPr>
              <w:t>Publication citation</w:t>
            </w:r>
          </w:p>
        </w:tc>
      </w:tr>
      <w:tr w:rsidR="00F53E9E" w:rsidRPr="002857E9" w:rsidTr="00F53E9E">
        <w:tc>
          <w:tcPr>
            <w:tcW w:w="5000" w:type="pct"/>
            <w:gridSpan w:val="3"/>
          </w:tcPr>
          <w:p w:rsidR="00F53E9E" w:rsidRPr="002857E9" w:rsidRDefault="00F53E9E" w:rsidP="00342160">
            <w:pPr>
              <w:jc w:val="left"/>
              <w:rPr>
                <w:rFonts w:ascii="Arial Narrow" w:hAnsi="Arial Narrow"/>
                <w:b/>
                <w:sz w:val="20"/>
              </w:rPr>
            </w:pPr>
            <w:r w:rsidRPr="002857E9">
              <w:rPr>
                <w:rFonts w:ascii="Arial Narrow" w:hAnsi="Arial Narrow"/>
                <w:b/>
                <w:sz w:val="20"/>
              </w:rPr>
              <w:t>Randomised trials used in the indirect comparisons</w:t>
            </w:r>
          </w:p>
        </w:tc>
      </w:tr>
      <w:tr w:rsidR="002857E9" w:rsidRPr="002857E9" w:rsidTr="002857E9">
        <w:trPr>
          <w:trHeight w:val="1148"/>
        </w:trPr>
        <w:tc>
          <w:tcPr>
            <w:tcW w:w="746" w:type="pct"/>
            <w:tcBorders>
              <w:bottom w:val="nil"/>
            </w:tcBorders>
          </w:tcPr>
          <w:p w:rsidR="002857E9" w:rsidRPr="002857E9" w:rsidRDefault="002857E9" w:rsidP="00342160">
            <w:pPr>
              <w:jc w:val="left"/>
              <w:rPr>
                <w:rFonts w:ascii="Arial Narrow" w:hAnsi="Arial Narrow"/>
                <w:sz w:val="20"/>
              </w:rPr>
            </w:pPr>
            <w:r w:rsidRPr="002857E9">
              <w:rPr>
                <w:rFonts w:ascii="Arial Narrow" w:hAnsi="Arial Narrow"/>
                <w:sz w:val="20"/>
              </w:rPr>
              <w:t>Study 006</w:t>
            </w:r>
          </w:p>
          <w:p w:rsidR="002857E9" w:rsidRPr="002857E9" w:rsidRDefault="002857E9" w:rsidP="00342160">
            <w:pPr>
              <w:jc w:val="left"/>
              <w:rPr>
                <w:rFonts w:ascii="Arial Narrow" w:hAnsi="Arial Narrow"/>
                <w:sz w:val="20"/>
              </w:rPr>
            </w:pPr>
            <w:r w:rsidRPr="002857E9">
              <w:rPr>
                <w:rFonts w:ascii="Arial Narrow" w:hAnsi="Arial Narrow"/>
                <w:sz w:val="20"/>
              </w:rPr>
              <w:t>(CT-006)</w:t>
            </w:r>
          </w:p>
        </w:tc>
        <w:tc>
          <w:tcPr>
            <w:tcW w:w="3237" w:type="pct"/>
            <w:tcBorders>
              <w:bottom w:val="nil"/>
            </w:tcBorders>
          </w:tcPr>
          <w:p w:rsidR="002857E9" w:rsidRPr="002857E9" w:rsidRDefault="002857E9" w:rsidP="00342160">
            <w:pPr>
              <w:jc w:val="left"/>
              <w:rPr>
                <w:rFonts w:ascii="Arial Narrow" w:hAnsi="Arial Narrow"/>
                <w:sz w:val="20"/>
              </w:rPr>
            </w:pPr>
            <w:r w:rsidRPr="002857E9">
              <w:rPr>
                <w:rFonts w:ascii="Arial Narrow" w:hAnsi="Arial Narrow"/>
                <w:sz w:val="20"/>
              </w:rPr>
              <w:t xml:space="preserve">A 24-week international, randomized, parallel-group, double-blind, placebo-controlled Phase III study with a 80-week extension period to evaluate the efficacy and safety of dapagliflozin therapy when added to the therapy of patients with type 2 diabetes with inadequate glycaemic control on insulin. Report for the 24-week short-term treatment period plus 24-week long-term extension period I and 56-week long-term extension period II. (NCT00673231). </w:t>
            </w:r>
          </w:p>
          <w:p w:rsidR="002857E9" w:rsidRPr="002857E9" w:rsidRDefault="002857E9" w:rsidP="00342160">
            <w:pPr>
              <w:jc w:val="left"/>
              <w:rPr>
                <w:rFonts w:ascii="Arial Narrow" w:hAnsi="Arial Narrow"/>
                <w:sz w:val="20"/>
              </w:rPr>
            </w:pPr>
          </w:p>
        </w:tc>
        <w:tc>
          <w:tcPr>
            <w:tcW w:w="1017" w:type="pct"/>
            <w:tcBorders>
              <w:bottom w:val="nil"/>
            </w:tcBorders>
          </w:tcPr>
          <w:p w:rsidR="002857E9" w:rsidRPr="002857E9" w:rsidRDefault="002857E9" w:rsidP="00342160">
            <w:pPr>
              <w:jc w:val="left"/>
              <w:rPr>
                <w:rFonts w:ascii="Arial Narrow" w:hAnsi="Arial Narrow"/>
                <w:sz w:val="20"/>
              </w:rPr>
            </w:pPr>
            <w:r w:rsidRPr="002857E9">
              <w:rPr>
                <w:rFonts w:ascii="Arial Narrow" w:hAnsi="Arial Narrow"/>
                <w:sz w:val="20"/>
              </w:rPr>
              <w:t>CSR Date: August 2011.</w:t>
            </w:r>
          </w:p>
          <w:p w:rsidR="002857E9" w:rsidRPr="002857E9" w:rsidRDefault="002857E9" w:rsidP="00342160">
            <w:pPr>
              <w:jc w:val="left"/>
              <w:rPr>
                <w:rFonts w:ascii="Arial Narrow" w:hAnsi="Arial Narrow"/>
                <w:sz w:val="20"/>
              </w:rPr>
            </w:pPr>
          </w:p>
          <w:p w:rsidR="002857E9" w:rsidRPr="002857E9" w:rsidRDefault="002857E9" w:rsidP="00342160">
            <w:pPr>
              <w:jc w:val="left"/>
              <w:rPr>
                <w:rFonts w:ascii="Arial Narrow" w:hAnsi="Arial Narrow"/>
                <w:sz w:val="20"/>
              </w:rPr>
            </w:pPr>
          </w:p>
        </w:tc>
      </w:tr>
      <w:tr w:rsidR="002857E9" w:rsidRPr="002857E9" w:rsidTr="002857E9">
        <w:trPr>
          <w:trHeight w:val="1147"/>
        </w:trPr>
        <w:tc>
          <w:tcPr>
            <w:tcW w:w="746" w:type="pct"/>
            <w:tcBorders>
              <w:top w:val="nil"/>
            </w:tcBorders>
          </w:tcPr>
          <w:p w:rsidR="002857E9" w:rsidRPr="002857E9" w:rsidRDefault="002857E9" w:rsidP="00342160">
            <w:pPr>
              <w:jc w:val="left"/>
              <w:rPr>
                <w:rFonts w:ascii="Arial Narrow" w:hAnsi="Arial Narrow"/>
                <w:sz w:val="20"/>
              </w:rPr>
            </w:pPr>
          </w:p>
        </w:tc>
        <w:tc>
          <w:tcPr>
            <w:tcW w:w="3237" w:type="pct"/>
            <w:tcBorders>
              <w:top w:val="nil"/>
            </w:tcBorders>
          </w:tcPr>
          <w:p w:rsidR="002857E9" w:rsidRPr="002857E9" w:rsidRDefault="002857E9" w:rsidP="00342160">
            <w:pPr>
              <w:jc w:val="left"/>
              <w:rPr>
                <w:rFonts w:ascii="Arial Narrow" w:hAnsi="Arial Narrow"/>
                <w:sz w:val="20"/>
              </w:rPr>
            </w:pPr>
            <w:r w:rsidRPr="002857E9">
              <w:rPr>
                <w:rFonts w:ascii="Arial Narrow" w:hAnsi="Arial Narrow"/>
                <w:sz w:val="20"/>
              </w:rPr>
              <w:t>Wilding et al. Effect of dapagliflozin, a novel insulin-independent treatment, over 48 weeks in patients with type 2 diabetes poorly controlled with insulin.</w:t>
            </w:r>
          </w:p>
        </w:tc>
        <w:tc>
          <w:tcPr>
            <w:tcW w:w="1017" w:type="pct"/>
            <w:tcBorders>
              <w:top w:val="nil"/>
            </w:tcBorders>
          </w:tcPr>
          <w:p w:rsidR="002857E9" w:rsidRPr="002857E9" w:rsidRDefault="002857E9" w:rsidP="00342160">
            <w:pPr>
              <w:jc w:val="left"/>
              <w:rPr>
                <w:rFonts w:ascii="Arial Narrow" w:hAnsi="Arial Narrow"/>
                <w:sz w:val="20"/>
              </w:rPr>
            </w:pPr>
            <w:r w:rsidRPr="002857E9">
              <w:rPr>
                <w:rFonts w:ascii="Arial Narrow" w:hAnsi="Arial Narrow"/>
                <w:sz w:val="20"/>
              </w:rPr>
              <w:t>Diabetes Care 2010; 32(9): 1656-62.</w:t>
            </w:r>
          </w:p>
        </w:tc>
      </w:tr>
      <w:tr w:rsidR="002857E9" w:rsidRPr="002857E9" w:rsidTr="002857E9">
        <w:trPr>
          <w:trHeight w:val="690"/>
        </w:trPr>
        <w:tc>
          <w:tcPr>
            <w:tcW w:w="746" w:type="pct"/>
            <w:tcBorders>
              <w:bottom w:val="nil"/>
            </w:tcBorders>
          </w:tcPr>
          <w:p w:rsidR="002857E9" w:rsidRPr="002857E9" w:rsidRDefault="002857E9" w:rsidP="00342160">
            <w:pPr>
              <w:jc w:val="left"/>
              <w:rPr>
                <w:rFonts w:ascii="Arial Narrow" w:hAnsi="Arial Narrow"/>
                <w:sz w:val="20"/>
              </w:rPr>
            </w:pPr>
            <w:r w:rsidRPr="002857E9">
              <w:rPr>
                <w:rFonts w:ascii="Arial Narrow" w:hAnsi="Arial Narrow"/>
                <w:sz w:val="20"/>
              </w:rPr>
              <w:t>GWCO</w:t>
            </w:r>
          </w:p>
        </w:tc>
        <w:tc>
          <w:tcPr>
            <w:tcW w:w="3237" w:type="pct"/>
            <w:tcBorders>
              <w:bottom w:val="nil"/>
            </w:tcBorders>
          </w:tcPr>
          <w:p w:rsidR="002857E9" w:rsidRPr="002857E9" w:rsidRDefault="002857E9" w:rsidP="00342160">
            <w:pPr>
              <w:jc w:val="left"/>
              <w:rPr>
                <w:rFonts w:ascii="Arial Narrow" w:hAnsi="Arial Narrow"/>
                <w:sz w:val="20"/>
              </w:rPr>
            </w:pPr>
            <w:r w:rsidRPr="002857E9">
              <w:rPr>
                <w:rFonts w:ascii="Arial Narrow" w:hAnsi="Arial Narrow"/>
                <w:sz w:val="20"/>
              </w:rPr>
              <w:t xml:space="preserve">A randomized trial comparing exenatide with placebo in subjects with type 2 diabetes on insulin glargine with or without oral anti-hyperglycaemic medications. (NCT00765817). </w:t>
            </w:r>
          </w:p>
          <w:p w:rsidR="002857E9" w:rsidRPr="002857E9" w:rsidRDefault="002857E9" w:rsidP="00342160">
            <w:pPr>
              <w:jc w:val="left"/>
              <w:rPr>
                <w:rFonts w:ascii="Arial Narrow" w:hAnsi="Arial Narrow"/>
                <w:sz w:val="20"/>
              </w:rPr>
            </w:pPr>
          </w:p>
        </w:tc>
        <w:tc>
          <w:tcPr>
            <w:tcW w:w="1017" w:type="pct"/>
            <w:tcBorders>
              <w:bottom w:val="nil"/>
            </w:tcBorders>
          </w:tcPr>
          <w:p w:rsidR="002857E9" w:rsidRPr="002857E9" w:rsidRDefault="002857E9" w:rsidP="00342160">
            <w:pPr>
              <w:jc w:val="left"/>
              <w:rPr>
                <w:rFonts w:ascii="Arial Narrow" w:hAnsi="Arial Narrow"/>
                <w:sz w:val="20"/>
              </w:rPr>
            </w:pPr>
            <w:r w:rsidRPr="002857E9">
              <w:rPr>
                <w:rFonts w:ascii="Arial Narrow" w:hAnsi="Arial Narrow"/>
                <w:sz w:val="20"/>
              </w:rPr>
              <w:t>CSR Date: June 2010.</w:t>
            </w:r>
          </w:p>
          <w:p w:rsidR="002857E9" w:rsidRPr="002857E9" w:rsidRDefault="002857E9" w:rsidP="00342160">
            <w:pPr>
              <w:jc w:val="left"/>
              <w:rPr>
                <w:rFonts w:ascii="Arial Narrow" w:hAnsi="Arial Narrow"/>
                <w:sz w:val="20"/>
              </w:rPr>
            </w:pPr>
          </w:p>
        </w:tc>
      </w:tr>
      <w:tr w:rsidR="002857E9" w:rsidRPr="002857E9" w:rsidTr="002857E9">
        <w:trPr>
          <w:trHeight w:val="690"/>
        </w:trPr>
        <w:tc>
          <w:tcPr>
            <w:tcW w:w="746" w:type="pct"/>
            <w:tcBorders>
              <w:top w:val="nil"/>
            </w:tcBorders>
          </w:tcPr>
          <w:p w:rsidR="002857E9" w:rsidRPr="002857E9" w:rsidRDefault="002857E9" w:rsidP="00342160">
            <w:pPr>
              <w:jc w:val="left"/>
              <w:rPr>
                <w:rFonts w:ascii="Arial Narrow" w:hAnsi="Arial Narrow"/>
                <w:sz w:val="20"/>
              </w:rPr>
            </w:pPr>
          </w:p>
        </w:tc>
        <w:tc>
          <w:tcPr>
            <w:tcW w:w="3237" w:type="pct"/>
            <w:tcBorders>
              <w:top w:val="nil"/>
            </w:tcBorders>
          </w:tcPr>
          <w:p w:rsidR="002857E9" w:rsidRDefault="002857E9" w:rsidP="00342160">
            <w:pPr>
              <w:jc w:val="left"/>
              <w:rPr>
                <w:rFonts w:ascii="Arial Narrow" w:hAnsi="Arial Narrow"/>
                <w:sz w:val="20"/>
              </w:rPr>
            </w:pPr>
            <w:proofErr w:type="spellStart"/>
            <w:r w:rsidRPr="002857E9">
              <w:rPr>
                <w:rFonts w:ascii="Arial Narrow" w:hAnsi="Arial Narrow"/>
                <w:sz w:val="20"/>
              </w:rPr>
              <w:t>Bergenstal</w:t>
            </w:r>
            <w:proofErr w:type="spellEnd"/>
            <w:r w:rsidRPr="002857E9">
              <w:rPr>
                <w:rFonts w:ascii="Arial Narrow" w:hAnsi="Arial Narrow"/>
                <w:sz w:val="20"/>
              </w:rPr>
              <w:t xml:space="preserve"> et al. Exenatide added to insulin glargine-treated patients with type </w:t>
            </w:r>
            <w:proofErr w:type="gramStart"/>
            <w:r w:rsidRPr="002857E9">
              <w:rPr>
                <w:rFonts w:ascii="Arial Narrow" w:hAnsi="Arial Narrow"/>
                <w:sz w:val="20"/>
              </w:rPr>
              <w:t>2 diabetes</w:t>
            </w:r>
            <w:proofErr w:type="gramEnd"/>
            <w:r w:rsidRPr="002857E9">
              <w:rPr>
                <w:rFonts w:ascii="Arial Narrow" w:hAnsi="Arial Narrow"/>
                <w:sz w:val="20"/>
              </w:rPr>
              <w:t xml:space="preserve"> provided excellent fasting and postprandial control with weight loss and no increased risk of hypoglycaemia.</w:t>
            </w:r>
          </w:p>
          <w:p w:rsidR="002857E9" w:rsidRPr="002857E9" w:rsidRDefault="002857E9" w:rsidP="00342160">
            <w:pPr>
              <w:jc w:val="left"/>
              <w:rPr>
                <w:rFonts w:ascii="Arial Narrow" w:hAnsi="Arial Narrow"/>
                <w:sz w:val="20"/>
              </w:rPr>
            </w:pPr>
          </w:p>
        </w:tc>
        <w:tc>
          <w:tcPr>
            <w:tcW w:w="1017" w:type="pct"/>
            <w:tcBorders>
              <w:top w:val="nil"/>
            </w:tcBorders>
          </w:tcPr>
          <w:p w:rsidR="002857E9" w:rsidRPr="002857E9" w:rsidRDefault="002857E9" w:rsidP="00342160">
            <w:pPr>
              <w:jc w:val="left"/>
              <w:rPr>
                <w:rFonts w:ascii="Arial Narrow" w:hAnsi="Arial Narrow"/>
                <w:sz w:val="20"/>
              </w:rPr>
            </w:pPr>
            <w:proofErr w:type="spellStart"/>
            <w:r w:rsidRPr="002857E9">
              <w:rPr>
                <w:rFonts w:ascii="Arial Narrow" w:hAnsi="Arial Narrow"/>
                <w:sz w:val="20"/>
              </w:rPr>
              <w:t>Diabetologia</w:t>
            </w:r>
            <w:proofErr w:type="spellEnd"/>
            <w:r w:rsidRPr="002857E9">
              <w:rPr>
                <w:rFonts w:ascii="Arial Narrow" w:hAnsi="Arial Narrow"/>
                <w:sz w:val="20"/>
              </w:rPr>
              <w:t xml:space="preserve"> 2010; 53: S37.</w:t>
            </w:r>
          </w:p>
        </w:tc>
      </w:tr>
      <w:tr w:rsidR="002857E9" w:rsidRPr="002857E9" w:rsidTr="002857E9">
        <w:trPr>
          <w:trHeight w:val="1260"/>
        </w:trPr>
        <w:tc>
          <w:tcPr>
            <w:tcW w:w="746" w:type="pct"/>
            <w:tcBorders>
              <w:bottom w:val="nil"/>
            </w:tcBorders>
          </w:tcPr>
          <w:p w:rsidR="002857E9" w:rsidRPr="002857E9" w:rsidRDefault="002857E9" w:rsidP="00342160">
            <w:pPr>
              <w:jc w:val="left"/>
              <w:rPr>
                <w:rFonts w:ascii="Arial Narrow" w:hAnsi="Arial Narrow"/>
                <w:sz w:val="20"/>
              </w:rPr>
            </w:pPr>
            <w:r w:rsidRPr="002857E9">
              <w:rPr>
                <w:rFonts w:ascii="Arial Narrow" w:hAnsi="Arial Narrow"/>
                <w:sz w:val="20"/>
              </w:rPr>
              <w:t>GWDM</w:t>
            </w:r>
          </w:p>
        </w:tc>
        <w:tc>
          <w:tcPr>
            <w:tcW w:w="3237" w:type="pct"/>
            <w:tcBorders>
              <w:bottom w:val="nil"/>
            </w:tcBorders>
          </w:tcPr>
          <w:p w:rsidR="002857E9" w:rsidRPr="002857E9" w:rsidRDefault="002857E9" w:rsidP="00342160">
            <w:pPr>
              <w:jc w:val="left"/>
              <w:rPr>
                <w:rFonts w:ascii="Arial Narrow" w:hAnsi="Arial Narrow"/>
                <w:sz w:val="20"/>
              </w:rPr>
            </w:pPr>
            <w:r w:rsidRPr="002857E9">
              <w:rPr>
                <w:rFonts w:ascii="Arial Narrow" w:hAnsi="Arial Narrow"/>
                <w:sz w:val="20"/>
              </w:rPr>
              <w:t xml:space="preserve">A randomized trial comparing two therapies: Basal insulin glargine, exenatide and metformin therapy (BET) or basal insulin glargine, bolus insulin </w:t>
            </w:r>
            <w:proofErr w:type="spellStart"/>
            <w:r w:rsidRPr="002857E9">
              <w:rPr>
                <w:rFonts w:ascii="Arial Narrow" w:hAnsi="Arial Narrow"/>
                <w:sz w:val="20"/>
              </w:rPr>
              <w:t>lispro</w:t>
            </w:r>
            <w:proofErr w:type="spellEnd"/>
            <w:r w:rsidRPr="002857E9">
              <w:rPr>
                <w:rFonts w:ascii="Arial Narrow" w:hAnsi="Arial Narrow"/>
                <w:sz w:val="20"/>
              </w:rPr>
              <w:t xml:space="preserve"> and metformin therapy (BBT) in subjects with type 2 diabetes who were previously treated by basal insulin glargine with either metformin or metformin and sulfonylurea (4b: basal insulin glargine, exenatide BD, and metformin therapy or basal insulin glargine, bolus insulin </w:t>
            </w:r>
            <w:proofErr w:type="spellStart"/>
            <w:r w:rsidRPr="002857E9">
              <w:rPr>
                <w:rFonts w:ascii="Arial Narrow" w:hAnsi="Arial Narrow"/>
                <w:sz w:val="20"/>
              </w:rPr>
              <w:t>lispro</w:t>
            </w:r>
            <w:proofErr w:type="spellEnd"/>
            <w:r w:rsidRPr="002857E9">
              <w:rPr>
                <w:rFonts w:ascii="Arial Narrow" w:hAnsi="Arial Narrow"/>
                <w:sz w:val="20"/>
              </w:rPr>
              <w:t xml:space="preserve"> and metformin therapy). </w:t>
            </w:r>
          </w:p>
          <w:p w:rsidR="002857E9" w:rsidRPr="002857E9" w:rsidRDefault="002857E9" w:rsidP="00342160">
            <w:pPr>
              <w:jc w:val="left"/>
              <w:rPr>
                <w:rFonts w:ascii="Arial Narrow" w:hAnsi="Arial Narrow"/>
                <w:sz w:val="20"/>
              </w:rPr>
            </w:pPr>
          </w:p>
        </w:tc>
        <w:tc>
          <w:tcPr>
            <w:tcW w:w="1017" w:type="pct"/>
            <w:tcBorders>
              <w:bottom w:val="nil"/>
            </w:tcBorders>
          </w:tcPr>
          <w:p w:rsidR="002857E9" w:rsidRPr="002857E9" w:rsidRDefault="002857E9" w:rsidP="00342160">
            <w:pPr>
              <w:jc w:val="left"/>
              <w:rPr>
                <w:rFonts w:ascii="Arial Narrow" w:hAnsi="Arial Narrow"/>
                <w:sz w:val="20"/>
              </w:rPr>
            </w:pPr>
            <w:r w:rsidRPr="002857E9">
              <w:rPr>
                <w:rFonts w:ascii="Arial Narrow" w:hAnsi="Arial Narrow"/>
                <w:sz w:val="20"/>
              </w:rPr>
              <w:t>CSR Date: August 2013.</w:t>
            </w:r>
          </w:p>
          <w:p w:rsidR="002857E9" w:rsidRPr="002857E9" w:rsidRDefault="002857E9" w:rsidP="002857E9">
            <w:pPr>
              <w:jc w:val="left"/>
              <w:rPr>
                <w:rFonts w:ascii="Arial Narrow" w:hAnsi="Arial Narrow"/>
                <w:sz w:val="20"/>
              </w:rPr>
            </w:pPr>
          </w:p>
        </w:tc>
      </w:tr>
      <w:tr w:rsidR="002857E9" w:rsidRPr="002857E9" w:rsidTr="002857E9">
        <w:trPr>
          <w:trHeight w:val="1260"/>
        </w:trPr>
        <w:tc>
          <w:tcPr>
            <w:tcW w:w="746" w:type="pct"/>
            <w:tcBorders>
              <w:top w:val="nil"/>
            </w:tcBorders>
          </w:tcPr>
          <w:p w:rsidR="002857E9" w:rsidRPr="002857E9" w:rsidRDefault="002857E9" w:rsidP="00342160">
            <w:pPr>
              <w:jc w:val="left"/>
              <w:rPr>
                <w:rFonts w:ascii="Arial Narrow" w:hAnsi="Arial Narrow"/>
                <w:sz w:val="20"/>
              </w:rPr>
            </w:pPr>
          </w:p>
        </w:tc>
        <w:tc>
          <w:tcPr>
            <w:tcW w:w="3237" w:type="pct"/>
            <w:tcBorders>
              <w:top w:val="nil"/>
            </w:tcBorders>
          </w:tcPr>
          <w:p w:rsidR="002857E9" w:rsidRPr="002857E9" w:rsidRDefault="002857E9" w:rsidP="00342160">
            <w:pPr>
              <w:jc w:val="left"/>
              <w:rPr>
                <w:rFonts w:ascii="Arial Narrow" w:hAnsi="Arial Narrow"/>
                <w:sz w:val="20"/>
              </w:rPr>
            </w:pPr>
            <w:proofErr w:type="spellStart"/>
            <w:r w:rsidRPr="002857E9">
              <w:rPr>
                <w:rFonts w:ascii="Arial Narrow" w:hAnsi="Arial Narrow"/>
                <w:sz w:val="20"/>
              </w:rPr>
              <w:t>Diamant</w:t>
            </w:r>
            <w:proofErr w:type="spellEnd"/>
            <w:r w:rsidRPr="002857E9">
              <w:rPr>
                <w:rFonts w:ascii="Arial Narrow" w:hAnsi="Arial Narrow"/>
                <w:sz w:val="20"/>
              </w:rPr>
              <w:t xml:space="preserve"> et al. Exenatide BD vs. Insulin </w:t>
            </w:r>
            <w:proofErr w:type="spellStart"/>
            <w:r w:rsidRPr="002857E9">
              <w:rPr>
                <w:rFonts w:ascii="Arial Narrow" w:hAnsi="Arial Narrow"/>
                <w:sz w:val="20"/>
              </w:rPr>
              <w:t>Lispro</w:t>
            </w:r>
            <w:proofErr w:type="spellEnd"/>
            <w:r w:rsidRPr="002857E9">
              <w:rPr>
                <w:rFonts w:ascii="Arial Narrow" w:hAnsi="Arial Narrow"/>
                <w:sz w:val="20"/>
              </w:rPr>
              <w:t xml:space="preserve"> TDS Added to Titrated Insulin Glargine QD in Metformin-Treated T2DM Patients Resulted in Similar </w:t>
            </w:r>
            <w:proofErr w:type="spellStart"/>
            <w:r w:rsidRPr="002857E9">
              <w:rPr>
                <w:rFonts w:ascii="Arial Narrow" w:hAnsi="Arial Narrow"/>
                <w:sz w:val="20"/>
              </w:rPr>
              <w:t>Glycemic</w:t>
            </w:r>
            <w:proofErr w:type="spellEnd"/>
            <w:r w:rsidRPr="002857E9">
              <w:rPr>
                <w:rFonts w:ascii="Arial Narrow" w:hAnsi="Arial Narrow"/>
                <w:sz w:val="20"/>
              </w:rPr>
              <w:t xml:space="preserve"> Control but Weight Loss and Less Hypoglycaemia (Conference abstract).</w:t>
            </w:r>
          </w:p>
        </w:tc>
        <w:tc>
          <w:tcPr>
            <w:tcW w:w="1017" w:type="pct"/>
            <w:tcBorders>
              <w:top w:val="nil"/>
            </w:tcBorders>
          </w:tcPr>
          <w:p w:rsidR="002857E9" w:rsidRPr="002857E9" w:rsidRDefault="002857E9" w:rsidP="00342160">
            <w:pPr>
              <w:jc w:val="left"/>
              <w:rPr>
                <w:rFonts w:ascii="Arial Narrow" w:hAnsi="Arial Narrow"/>
                <w:sz w:val="20"/>
              </w:rPr>
            </w:pPr>
            <w:r w:rsidRPr="002857E9">
              <w:rPr>
                <w:rFonts w:ascii="Arial Narrow" w:hAnsi="Arial Narrow"/>
                <w:sz w:val="20"/>
              </w:rPr>
              <w:t>Diabetes 2013; 62:A17-A18.</w:t>
            </w:r>
          </w:p>
        </w:tc>
      </w:tr>
      <w:tr w:rsidR="00F53E9E" w:rsidRPr="002857E9" w:rsidTr="00F53E9E">
        <w:tc>
          <w:tcPr>
            <w:tcW w:w="5000" w:type="pct"/>
            <w:gridSpan w:val="3"/>
          </w:tcPr>
          <w:p w:rsidR="00F53E9E" w:rsidRPr="002857E9" w:rsidRDefault="00F53E9E" w:rsidP="00342160">
            <w:pPr>
              <w:jc w:val="left"/>
              <w:rPr>
                <w:rFonts w:ascii="Arial Narrow" w:hAnsi="Arial Narrow"/>
                <w:b/>
                <w:sz w:val="20"/>
              </w:rPr>
            </w:pPr>
            <w:r w:rsidRPr="002857E9">
              <w:rPr>
                <w:rFonts w:ascii="Arial Narrow" w:hAnsi="Arial Narrow"/>
                <w:b/>
                <w:sz w:val="20"/>
              </w:rPr>
              <w:t>Supplementary randomised trials</w:t>
            </w:r>
          </w:p>
        </w:tc>
      </w:tr>
      <w:tr w:rsidR="002857E9" w:rsidRPr="002857E9" w:rsidTr="002857E9">
        <w:trPr>
          <w:trHeight w:val="803"/>
        </w:trPr>
        <w:tc>
          <w:tcPr>
            <w:tcW w:w="746" w:type="pct"/>
            <w:tcBorders>
              <w:bottom w:val="nil"/>
            </w:tcBorders>
          </w:tcPr>
          <w:p w:rsidR="002857E9" w:rsidRPr="002857E9" w:rsidRDefault="002857E9" w:rsidP="00342160">
            <w:pPr>
              <w:jc w:val="left"/>
              <w:rPr>
                <w:rFonts w:ascii="Arial Narrow" w:hAnsi="Arial Narrow"/>
                <w:sz w:val="20"/>
              </w:rPr>
            </w:pPr>
            <w:proofErr w:type="spellStart"/>
            <w:r w:rsidRPr="002857E9">
              <w:rPr>
                <w:rFonts w:ascii="Arial Narrow" w:hAnsi="Arial Narrow"/>
                <w:sz w:val="20"/>
              </w:rPr>
              <w:t>GetGoal</w:t>
            </w:r>
            <w:proofErr w:type="spellEnd"/>
            <w:r w:rsidRPr="002857E9">
              <w:rPr>
                <w:rFonts w:ascii="Arial Narrow" w:hAnsi="Arial Narrow"/>
                <w:sz w:val="20"/>
              </w:rPr>
              <w:t>-L</w:t>
            </w:r>
          </w:p>
        </w:tc>
        <w:tc>
          <w:tcPr>
            <w:tcW w:w="3237" w:type="pct"/>
            <w:tcBorders>
              <w:bottom w:val="nil"/>
            </w:tcBorders>
          </w:tcPr>
          <w:p w:rsidR="002857E9" w:rsidRPr="002857E9" w:rsidRDefault="002857E9" w:rsidP="00342160">
            <w:pPr>
              <w:jc w:val="left"/>
              <w:rPr>
                <w:rFonts w:ascii="Arial Narrow" w:hAnsi="Arial Narrow"/>
                <w:sz w:val="20"/>
              </w:rPr>
            </w:pPr>
            <w:r w:rsidRPr="002857E9">
              <w:rPr>
                <w:rFonts w:ascii="Arial Narrow" w:hAnsi="Arial Narrow"/>
                <w:sz w:val="20"/>
              </w:rPr>
              <w:t>A randomized, double-blind, placebo-controlled, 2-arm parallel-group, multicenter study with a 24-week main treatment period and an extension assessing the efficacy and safety of AVE0010 in patients with Type 2 diabetes insufficiently controlled with basal insulin.</w:t>
            </w:r>
          </w:p>
          <w:p w:rsidR="002857E9" w:rsidRPr="002857E9" w:rsidRDefault="002857E9" w:rsidP="00150234">
            <w:pPr>
              <w:jc w:val="left"/>
              <w:rPr>
                <w:rFonts w:ascii="Arial Narrow" w:hAnsi="Arial Narrow"/>
                <w:b/>
                <w:sz w:val="20"/>
              </w:rPr>
            </w:pPr>
          </w:p>
        </w:tc>
        <w:tc>
          <w:tcPr>
            <w:tcW w:w="1017" w:type="pct"/>
            <w:tcBorders>
              <w:bottom w:val="nil"/>
            </w:tcBorders>
          </w:tcPr>
          <w:p w:rsidR="002857E9" w:rsidRPr="002857E9" w:rsidRDefault="002857E9" w:rsidP="00342160">
            <w:pPr>
              <w:jc w:val="left"/>
              <w:rPr>
                <w:rFonts w:ascii="Arial Narrow" w:hAnsi="Arial Narrow"/>
                <w:sz w:val="20"/>
              </w:rPr>
            </w:pPr>
            <w:r w:rsidRPr="002857E9">
              <w:rPr>
                <w:rFonts w:ascii="Arial Narrow" w:hAnsi="Arial Narrow"/>
                <w:sz w:val="20"/>
              </w:rPr>
              <w:lastRenderedPageBreak/>
              <w:t>Date: September 2011.</w:t>
            </w:r>
          </w:p>
        </w:tc>
      </w:tr>
      <w:tr w:rsidR="002857E9" w:rsidRPr="002857E9" w:rsidTr="002857E9">
        <w:trPr>
          <w:trHeight w:val="802"/>
        </w:trPr>
        <w:tc>
          <w:tcPr>
            <w:tcW w:w="746" w:type="pct"/>
            <w:tcBorders>
              <w:top w:val="nil"/>
            </w:tcBorders>
          </w:tcPr>
          <w:p w:rsidR="002857E9" w:rsidRPr="002857E9" w:rsidRDefault="002857E9" w:rsidP="00342160">
            <w:pPr>
              <w:jc w:val="left"/>
              <w:rPr>
                <w:rFonts w:ascii="Arial Narrow" w:hAnsi="Arial Narrow"/>
                <w:sz w:val="20"/>
              </w:rPr>
            </w:pPr>
          </w:p>
        </w:tc>
        <w:tc>
          <w:tcPr>
            <w:tcW w:w="3237" w:type="pct"/>
            <w:tcBorders>
              <w:top w:val="nil"/>
            </w:tcBorders>
          </w:tcPr>
          <w:p w:rsidR="002857E9" w:rsidRPr="002857E9" w:rsidRDefault="002857E9" w:rsidP="00342160">
            <w:pPr>
              <w:jc w:val="left"/>
              <w:rPr>
                <w:rFonts w:ascii="Arial Narrow" w:hAnsi="Arial Narrow"/>
                <w:sz w:val="20"/>
              </w:rPr>
            </w:pPr>
            <w:r w:rsidRPr="002857E9">
              <w:rPr>
                <w:rFonts w:ascii="Arial Narrow" w:hAnsi="Arial Narrow"/>
                <w:sz w:val="20"/>
              </w:rPr>
              <w:t>Riddle et al.  Adding once-daily lixisenatide for type 2 diabetes inadequately controlled by established basal insulin: a 24-week, randomized, placebo-controlled comparison (</w:t>
            </w:r>
            <w:proofErr w:type="spellStart"/>
            <w:r w:rsidRPr="002857E9">
              <w:rPr>
                <w:rFonts w:ascii="Arial Narrow" w:hAnsi="Arial Narrow"/>
                <w:sz w:val="20"/>
              </w:rPr>
              <w:t>GetGoal</w:t>
            </w:r>
            <w:proofErr w:type="spellEnd"/>
            <w:r w:rsidRPr="002857E9">
              <w:rPr>
                <w:rFonts w:ascii="Arial Narrow" w:hAnsi="Arial Narrow"/>
                <w:sz w:val="20"/>
              </w:rPr>
              <w:t>-L).</w:t>
            </w:r>
          </w:p>
        </w:tc>
        <w:tc>
          <w:tcPr>
            <w:tcW w:w="1017" w:type="pct"/>
            <w:tcBorders>
              <w:top w:val="nil"/>
            </w:tcBorders>
          </w:tcPr>
          <w:p w:rsidR="002857E9" w:rsidRPr="002857E9" w:rsidRDefault="002857E9" w:rsidP="00342160">
            <w:pPr>
              <w:jc w:val="left"/>
              <w:rPr>
                <w:rFonts w:ascii="Arial Narrow" w:hAnsi="Arial Narrow"/>
                <w:sz w:val="20"/>
              </w:rPr>
            </w:pPr>
            <w:r w:rsidRPr="002857E9">
              <w:rPr>
                <w:rFonts w:ascii="Arial Narrow" w:hAnsi="Arial Narrow"/>
                <w:sz w:val="20"/>
              </w:rPr>
              <w:t>Diabetes Care 2013; 36(9): 2489-96.</w:t>
            </w:r>
          </w:p>
        </w:tc>
      </w:tr>
      <w:tr w:rsidR="002857E9" w:rsidRPr="002857E9" w:rsidTr="002857E9">
        <w:trPr>
          <w:trHeight w:val="915"/>
        </w:trPr>
        <w:tc>
          <w:tcPr>
            <w:tcW w:w="746" w:type="pct"/>
            <w:tcBorders>
              <w:bottom w:val="nil"/>
            </w:tcBorders>
          </w:tcPr>
          <w:p w:rsidR="002857E9" w:rsidRPr="002857E9" w:rsidRDefault="002857E9" w:rsidP="00342160">
            <w:pPr>
              <w:jc w:val="left"/>
              <w:rPr>
                <w:rFonts w:ascii="Arial Narrow" w:hAnsi="Arial Narrow"/>
                <w:sz w:val="20"/>
              </w:rPr>
            </w:pPr>
            <w:proofErr w:type="spellStart"/>
            <w:r w:rsidRPr="002857E9">
              <w:rPr>
                <w:rFonts w:ascii="Arial Narrow" w:hAnsi="Arial Narrow"/>
                <w:sz w:val="20"/>
              </w:rPr>
              <w:t>GetGoal</w:t>
            </w:r>
            <w:proofErr w:type="spellEnd"/>
            <w:r w:rsidRPr="002857E9">
              <w:rPr>
                <w:rFonts w:ascii="Arial Narrow" w:hAnsi="Arial Narrow"/>
                <w:sz w:val="20"/>
              </w:rPr>
              <w:t>-L-Asia</w:t>
            </w:r>
          </w:p>
        </w:tc>
        <w:tc>
          <w:tcPr>
            <w:tcW w:w="3237" w:type="pct"/>
            <w:tcBorders>
              <w:bottom w:val="nil"/>
            </w:tcBorders>
          </w:tcPr>
          <w:p w:rsidR="002857E9" w:rsidRPr="002857E9" w:rsidRDefault="002857E9" w:rsidP="00342160">
            <w:pPr>
              <w:pStyle w:val="COMtbl-textLeftAligned"/>
            </w:pPr>
            <w:r w:rsidRPr="002857E9">
              <w:t xml:space="preserve">A randomized, double-blind, placebo-controlled, 2-arm parallel-group, multicenter study with a 24-week treatment period assessing the efficacy and safety of AVE0010 in patients with Type 2 diabetes insufficiently controlled with basal insulin with or without sulfonylurea </w:t>
            </w:r>
          </w:p>
          <w:p w:rsidR="002857E9" w:rsidRPr="002857E9" w:rsidRDefault="002857E9" w:rsidP="00150234">
            <w:pPr>
              <w:jc w:val="left"/>
              <w:rPr>
                <w:rFonts w:ascii="Arial Narrow" w:hAnsi="Arial Narrow"/>
                <w:sz w:val="20"/>
              </w:rPr>
            </w:pPr>
          </w:p>
        </w:tc>
        <w:tc>
          <w:tcPr>
            <w:tcW w:w="1017" w:type="pct"/>
            <w:tcBorders>
              <w:bottom w:val="nil"/>
            </w:tcBorders>
          </w:tcPr>
          <w:p w:rsidR="002857E9" w:rsidRPr="002857E9" w:rsidRDefault="002857E9" w:rsidP="00342160">
            <w:pPr>
              <w:jc w:val="left"/>
              <w:rPr>
                <w:rFonts w:ascii="Arial Narrow" w:hAnsi="Arial Narrow"/>
                <w:iCs/>
                <w:sz w:val="20"/>
              </w:rPr>
            </w:pPr>
            <w:r w:rsidRPr="002857E9">
              <w:rPr>
                <w:rFonts w:ascii="Arial Narrow" w:hAnsi="Arial Narrow"/>
                <w:iCs/>
                <w:sz w:val="20"/>
              </w:rPr>
              <w:t>CSR Date: July 2011.</w:t>
            </w:r>
          </w:p>
          <w:p w:rsidR="002857E9" w:rsidRPr="002857E9" w:rsidRDefault="002857E9" w:rsidP="00342160">
            <w:pPr>
              <w:jc w:val="left"/>
              <w:rPr>
                <w:rFonts w:ascii="Arial Narrow" w:hAnsi="Arial Narrow"/>
                <w:iCs/>
                <w:sz w:val="20"/>
              </w:rPr>
            </w:pPr>
          </w:p>
        </w:tc>
      </w:tr>
      <w:tr w:rsidR="002857E9" w:rsidRPr="002857E9" w:rsidTr="002857E9">
        <w:trPr>
          <w:trHeight w:val="915"/>
        </w:trPr>
        <w:tc>
          <w:tcPr>
            <w:tcW w:w="746" w:type="pct"/>
            <w:tcBorders>
              <w:top w:val="nil"/>
            </w:tcBorders>
          </w:tcPr>
          <w:p w:rsidR="002857E9" w:rsidRPr="002857E9" w:rsidRDefault="002857E9" w:rsidP="00342160">
            <w:pPr>
              <w:jc w:val="left"/>
              <w:rPr>
                <w:rFonts w:ascii="Arial Narrow" w:hAnsi="Arial Narrow"/>
                <w:sz w:val="20"/>
              </w:rPr>
            </w:pPr>
          </w:p>
        </w:tc>
        <w:tc>
          <w:tcPr>
            <w:tcW w:w="3237" w:type="pct"/>
            <w:tcBorders>
              <w:top w:val="nil"/>
            </w:tcBorders>
          </w:tcPr>
          <w:p w:rsidR="002857E9" w:rsidRDefault="002857E9" w:rsidP="00342160">
            <w:pPr>
              <w:pStyle w:val="COMtbl-textLeftAligned"/>
            </w:pPr>
            <w:r w:rsidRPr="002857E9">
              <w:t>Seino Y, Min KW, et al. Randomized, double-blind, placebo-controlled trial of the once-daily GLP-1 receptor agonist lixisenatide in Asian patients with type 2 diabetes insufficiently controlled on basal insulin with or without a sulfonylurea (</w:t>
            </w:r>
            <w:proofErr w:type="spellStart"/>
            <w:r w:rsidRPr="002857E9">
              <w:t>GetGoal</w:t>
            </w:r>
            <w:proofErr w:type="spellEnd"/>
            <w:r w:rsidRPr="002857E9">
              <w:t>-L-Asia).</w:t>
            </w:r>
          </w:p>
          <w:p w:rsidR="002857E9" w:rsidRPr="002857E9" w:rsidRDefault="002857E9" w:rsidP="00342160">
            <w:pPr>
              <w:pStyle w:val="COMtbl-textLeftAligned"/>
            </w:pPr>
          </w:p>
        </w:tc>
        <w:tc>
          <w:tcPr>
            <w:tcW w:w="1017" w:type="pct"/>
            <w:tcBorders>
              <w:top w:val="nil"/>
            </w:tcBorders>
          </w:tcPr>
          <w:p w:rsidR="002857E9" w:rsidRPr="002857E9" w:rsidRDefault="002857E9" w:rsidP="00342160">
            <w:pPr>
              <w:jc w:val="left"/>
              <w:rPr>
                <w:rFonts w:ascii="Arial Narrow" w:hAnsi="Arial Narrow"/>
                <w:iCs/>
                <w:sz w:val="20"/>
              </w:rPr>
            </w:pPr>
            <w:r w:rsidRPr="002857E9">
              <w:rPr>
                <w:rFonts w:ascii="Arial Narrow" w:hAnsi="Arial Narrow"/>
                <w:sz w:val="20"/>
              </w:rPr>
              <w:t>Diabetes, Obesity and Metabolism 2012; 14(10): 910-917.</w:t>
            </w:r>
          </w:p>
        </w:tc>
      </w:tr>
    </w:tbl>
    <w:p w:rsidR="00150234" w:rsidRPr="002857E9" w:rsidRDefault="00150234" w:rsidP="00150234">
      <w:pPr>
        <w:pStyle w:val="TableFooter"/>
        <w:ind w:left="709"/>
      </w:pPr>
      <w:r w:rsidRPr="002857E9">
        <w:t xml:space="preserve">Source: Table B.6, pp.B13-16 of the </w:t>
      </w:r>
      <w:r w:rsidR="006D07FE" w:rsidRPr="002857E9">
        <w:t>resubmission</w:t>
      </w:r>
      <w:r w:rsidRPr="002857E9">
        <w:t>, relevant Clinical Study Reports (CSR) and publications.</w:t>
      </w:r>
    </w:p>
    <w:p w:rsidR="00F53E9E" w:rsidRPr="002857E9" w:rsidRDefault="00F53E9E" w:rsidP="00150234">
      <w:pPr>
        <w:pStyle w:val="TableFooter"/>
        <w:ind w:left="709"/>
      </w:pPr>
      <w:r w:rsidRPr="002857E9">
        <w:t>Abbreviations: BD, twice daily; CSR, Clinical Study Report.</w:t>
      </w:r>
    </w:p>
    <w:p w:rsidR="001B6188" w:rsidRPr="002857E9" w:rsidRDefault="001B6188" w:rsidP="001B6188">
      <w:pPr>
        <w:widowControl/>
        <w:rPr>
          <w:szCs w:val="22"/>
        </w:rPr>
      </w:pPr>
    </w:p>
    <w:p w:rsidR="001B6188" w:rsidRPr="002857E9" w:rsidRDefault="00961AF9" w:rsidP="00135FF4">
      <w:pPr>
        <w:pStyle w:val="ListParagraph"/>
        <w:widowControl/>
        <w:numPr>
          <w:ilvl w:val="1"/>
          <w:numId w:val="12"/>
        </w:numPr>
        <w:rPr>
          <w:szCs w:val="22"/>
        </w:rPr>
      </w:pPr>
      <w:r w:rsidRPr="002857E9">
        <w:rPr>
          <w:szCs w:val="22"/>
        </w:rPr>
        <w:t>The key features</w:t>
      </w:r>
      <w:r w:rsidR="00150234" w:rsidRPr="002857E9">
        <w:rPr>
          <w:szCs w:val="22"/>
        </w:rPr>
        <w:t xml:space="preserve"> of the direct randomised trials</w:t>
      </w:r>
      <w:r w:rsidRPr="002857E9">
        <w:rPr>
          <w:szCs w:val="22"/>
        </w:rPr>
        <w:t xml:space="preserve"> are summarised in the </w:t>
      </w:r>
      <w:r w:rsidR="00D0474B">
        <w:rPr>
          <w:szCs w:val="22"/>
        </w:rPr>
        <w:t>following table</w:t>
      </w:r>
      <w:r w:rsidRPr="002857E9">
        <w:rPr>
          <w:szCs w:val="22"/>
        </w:rPr>
        <w:t xml:space="preserve">.  </w:t>
      </w:r>
    </w:p>
    <w:p w:rsidR="007F1017" w:rsidRPr="00181CA6" w:rsidRDefault="007F1017" w:rsidP="007F1017">
      <w:pPr>
        <w:widowControl/>
        <w:rPr>
          <w:szCs w:val="22"/>
        </w:rPr>
      </w:pPr>
    </w:p>
    <w:p w:rsidR="007F1017" w:rsidRPr="00181CA6" w:rsidRDefault="007F1017" w:rsidP="00D06FD4">
      <w:pPr>
        <w:ind w:firstLine="720"/>
        <w:rPr>
          <w:rStyle w:val="CommentReference"/>
        </w:rPr>
      </w:pPr>
      <w:r w:rsidRPr="00181CA6">
        <w:rPr>
          <w:rStyle w:val="CommentReference"/>
        </w:rPr>
        <w:t>Key features of the included evidence</w:t>
      </w:r>
      <w:r w:rsidR="004D19AA" w:rsidRPr="00181CA6">
        <w:rPr>
          <w:rStyle w:val="CommentReference"/>
        </w:rPr>
        <w:t xml:space="preserve"> (indirect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568"/>
        <w:gridCol w:w="1984"/>
        <w:gridCol w:w="851"/>
        <w:gridCol w:w="1974"/>
        <w:gridCol w:w="1976"/>
      </w:tblGrid>
      <w:tr w:rsidR="00150234" w:rsidRPr="00181CA6" w:rsidTr="004D19AA">
        <w:tc>
          <w:tcPr>
            <w:tcW w:w="594" w:type="pct"/>
            <w:shd w:val="clear" w:color="auto" w:fill="auto"/>
            <w:vAlign w:val="center"/>
          </w:tcPr>
          <w:p w:rsidR="00150234" w:rsidRPr="00181CA6" w:rsidRDefault="00150234" w:rsidP="00342160">
            <w:pPr>
              <w:jc w:val="left"/>
              <w:rPr>
                <w:rFonts w:ascii="Arial Narrow" w:hAnsi="Arial Narrow"/>
                <w:b/>
                <w:sz w:val="20"/>
                <w:lang w:val="en-US"/>
              </w:rPr>
            </w:pPr>
            <w:r w:rsidRPr="00181CA6">
              <w:rPr>
                <w:rFonts w:ascii="Arial Narrow" w:hAnsi="Arial Narrow"/>
                <w:b/>
                <w:sz w:val="20"/>
                <w:lang w:val="en-US"/>
              </w:rPr>
              <w:t>Trial</w:t>
            </w:r>
          </w:p>
        </w:tc>
        <w:tc>
          <w:tcPr>
            <w:tcW w:w="340" w:type="pct"/>
            <w:shd w:val="clear" w:color="auto" w:fill="auto"/>
            <w:vAlign w:val="center"/>
          </w:tcPr>
          <w:p w:rsidR="00150234" w:rsidRPr="00181CA6" w:rsidRDefault="00150234" w:rsidP="00342160">
            <w:pPr>
              <w:jc w:val="center"/>
              <w:rPr>
                <w:rFonts w:ascii="Arial Narrow" w:hAnsi="Arial Narrow"/>
                <w:b/>
                <w:sz w:val="20"/>
                <w:lang w:val="en-US"/>
              </w:rPr>
            </w:pPr>
            <w:r w:rsidRPr="00181CA6">
              <w:rPr>
                <w:rFonts w:ascii="Arial Narrow" w:hAnsi="Arial Narrow"/>
                <w:b/>
                <w:sz w:val="20"/>
                <w:lang w:val="en-US"/>
              </w:rPr>
              <w:t>N</w:t>
            </w:r>
          </w:p>
        </w:tc>
        <w:tc>
          <w:tcPr>
            <w:tcW w:w="1189" w:type="pct"/>
            <w:shd w:val="clear" w:color="auto" w:fill="auto"/>
            <w:vAlign w:val="center"/>
          </w:tcPr>
          <w:p w:rsidR="00150234" w:rsidRPr="00181CA6" w:rsidRDefault="00150234" w:rsidP="00342160">
            <w:pPr>
              <w:jc w:val="center"/>
              <w:rPr>
                <w:rFonts w:ascii="Arial Narrow" w:hAnsi="Arial Narrow"/>
                <w:b/>
                <w:sz w:val="20"/>
                <w:lang w:val="en-US"/>
              </w:rPr>
            </w:pPr>
            <w:r w:rsidRPr="00181CA6">
              <w:rPr>
                <w:rFonts w:ascii="Arial Narrow" w:hAnsi="Arial Narrow"/>
                <w:b/>
                <w:sz w:val="20"/>
                <w:lang w:val="en-US"/>
              </w:rPr>
              <w:t>Design/ duration</w:t>
            </w:r>
          </w:p>
        </w:tc>
        <w:tc>
          <w:tcPr>
            <w:tcW w:w="510" w:type="pct"/>
            <w:shd w:val="clear" w:color="auto" w:fill="auto"/>
            <w:vAlign w:val="center"/>
          </w:tcPr>
          <w:p w:rsidR="00150234" w:rsidRPr="00181CA6" w:rsidRDefault="00150234" w:rsidP="00342160">
            <w:pPr>
              <w:jc w:val="center"/>
              <w:rPr>
                <w:rFonts w:ascii="Arial Narrow" w:hAnsi="Arial Narrow"/>
                <w:b/>
                <w:sz w:val="20"/>
                <w:lang w:val="en-US"/>
              </w:rPr>
            </w:pPr>
            <w:r w:rsidRPr="00181CA6">
              <w:rPr>
                <w:rFonts w:ascii="Arial Narrow" w:hAnsi="Arial Narrow"/>
                <w:b/>
                <w:sz w:val="20"/>
                <w:lang w:val="en-US"/>
              </w:rPr>
              <w:t>Risk of bias</w:t>
            </w:r>
          </w:p>
        </w:tc>
        <w:tc>
          <w:tcPr>
            <w:tcW w:w="1183" w:type="pct"/>
            <w:shd w:val="clear" w:color="auto" w:fill="auto"/>
            <w:vAlign w:val="center"/>
          </w:tcPr>
          <w:p w:rsidR="00150234" w:rsidRPr="00181CA6" w:rsidRDefault="00150234" w:rsidP="00342160">
            <w:pPr>
              <w:jc w:val="center"/>
              <w:rPr>
                <w:rFonts w:ascii="Arial Narrow" w:hAnsi="Arial Narrow"/>
                <w:b/>
                <w:sz w:val="20"/>
                <w:lang w:val="en-US"/>
              </w:rPr>
            </w:pPr>
            <w:r w:rsidRPr="00181CA6">
              <w:rPr>
                <w:rFonts w:ascii="Arial Narrow" w:hAnsi="Arial Narrow"/>
                <w:b/>
                <w:sz w:val="20"/>
                <w:lang w:val="en-US"/>
              </w:rPr>
              <w:t>Patient population</w:t>
            </w:r>
          </w:p>
        </w:tc>
        <w:tc>
          <w:tcPr>
            <w:tcW w:w="1184" w:type="pct"/>
            <w:shd w:val="clear" w:color="auto" w:fill="auto"/>
            <w:vAlign w:val="center"/>
          </w:tcPr>
          <w:p w:rsidR="00150234" w:rsidRPr="00181CA6" w:rsidRDefault="00342160" w:rsidP="00342160">
            <w:pPr>
              <w:jc w:val="center"/>
              <w:rPr>
                <w:rFonts w:ascii="Arial Narrow" w:hAnsi="Arial Narrow"/>
                <w:b/>
                <w:sz w:val="20"/>
                <w:lang w:val="en-US"/>
              </w:rPr>
            </w:pPr>
            <w:r w:rsidRPr="00181CA6">
              <w:rPr>
                <w:rFonts w:ascii="Arial Narrow" w:hAnsi="Arial Narrow"/>
                <w:b/>
                <w:sz w:val="20"/>
                <w:lang w:val="en-US"/>
              </w:rPr>
              <w:t>Outcome</w:t>
            </w:r>
            <w:r w:rsidR="00150234" w:rsidRPr="00181CA6">
              <w:rPr>
                <w:rFonts w:ascii="Arial Narrow" w:hAnsi="Arial Narrow"/>
                <w:b/>
                <w:sz w:val="20"/>
                <w:lang w:val="en-US"/>
              </w:rPr>
              <w:t>s</w:t>
            </w:r>
          </w:p>
        </w:tc>
      </w:tr>
      <w:tr w:rsidR="00D06FD4" w:rsidRPr="00181CA6" w:rsidTr="00D06FD4">
        <w:tc>
          <w:tcPr>
            <w:tcW w:w="5000" w:type="pct"/>
            <w:gridSpan w:val="6"/>
            <w:shd w:val="clear" w:color="auto" w:fill="auto"/>
            <w:vAlign w:val="center"/>
          </w:tcPr>
          <w:p w:rsidR="00D06FD4" w:rsidRPr="00181CA6" w:rsidRDefault="00342160" w:rsidP="00342160">
            <w:pPr>
              <w:jc w:val="left"/>
              <w:rPr>
                <w:rFonts w:ascii="Arial Narrow" w:hAnsi="Arial Narrow"/>
                <w:b/>
                <w:sz w:val="20"/>
                <w:lang w:val="en-US"/>
              </w:rPr>
            </w:pPr>
            <w:r w:rsidRPr="00181CA6">
              <w:rPr>
                <w:rFonts w:ascii="Arial Narrow" w:hAnsi="Arial Narrow"/>
                <w:b/>
                <w:sz w:val="20"/>
              </w:rPr>
              <w:t>Dapagliflozin + stable basal insulin (mixed regimens) vs placebo + stable basal insulin (mixed regimens)</w:t>
            </w:r>
          </w:p>
        </w:tc>
      </w:tr>
      <w:tr w:rsidR="00150234" w:rsidRPr="00181CA6" w:rsidTr="004D19AA">
        <w:tc>
          <w:tcPr>
            <w:tcW w:w="594" w:type="pct"/>
            <w:shd w:val="clear" w:color="auto" w:fill="auto"/>
            <w:vAlign w:val="center"/>
          </w:tcPr>
          <w:p w:rsidR="00150234" w:rsidRPr="00181CA6" w:rsidRDefault="00150234" w:rsidP="00342160">
            <w:pPr>
              <w:pStyle w:val="TableText0"/>
              <w:spacing w:before="0" w:after="0"/>
              <w:rPr>
                <w:rFonts w:cs="Arial"/>
                <w:b/>
              </w:rPr>
            </w:pPr>
            <w:r w:rsidRPr="00181CA6">
              <w:rPr>
                <w:rFonts w:cs="Arial"/>
                <w:b/>
              </w:rPr>
              <w:t xml:space="preserve">CT-006 </w:t>
            </w:r>
          </w:p>
        </w:tc>
        <w:tc>
          <w:tcPr>
            <w:tcW w:w="340" w:type="pct"/>
            <w:shd w:val="clear" w:color="auto" w:fill="auto"/>
            <w:vAlign w:val="center"/>
          </w:tcPr>
          <w:p w:rsidR="00150234" w:rsidRPr="00181CA6" w:rsidRDefault="00150234" w:rsidP="00342160">
            <w:pPr>
              <w:jc w:val="center"/>
              <w:rPr>
                <w:rFonts w:ascii="Arial Narrow" w:hAnsi="Arial Narrow"/>
                <w:sz w:val="20"/>
                <w:lang w:val="en-US"/>
              </w:rPr>
            </w:pPr>
            <w:r w:rsidRPr="00181CA6">
              <w:rPr>
                <w:rFonts w:ascii="Arial Narrow" w:hAnsi="Arial Narrow"/>
                <w:sz w:val="20"/>
                <w:lang w:val="en-US"/>
              </w:rPr>
              <w:t>808</w:t>
            </w:r>
          </w:p>
        </w:tc>
        <w:tc>
          <w:tcPr>
            <w:tcW w:w="1189" w:type="pct"/>
            <w:shd w:val="clear" w:color="auto" w:fill="auto"/>
            <w:vAlign w:val="center"/>
          </w:tcPr>
          <w:p w:rsidR="00150234" w:rsidRPr="00181CA6" w:rsidRDefault="00150234" w:rsidP="00342160">
            <w:pPr>
              <w:jc w:val="center"/>
              <w:rPr>
                <w:rFonts w:ascii="Arial Narrow" w:hAnsi="Arial Narrow"/>
                <w:sz w:val="20"/>
                <w:lang w:val="en-US"/>
              </w:rPr>
            </w:pPr>
            <w:r w:rsidRPr="00181CA6">
              <w:rPr>
                <w:rFonts w:ascii="Arial Narrow" w:hAnsi="Arial Narrow"/>
                <w:sz w:val="20"/>
              </w:rPr>
              <w:t>R</w:t>
            </w:r>
            <w:r w:rsidRPr="00181CA6">
              <w:rPr>
                <w:rFonts w:ascii="Arial Narrow" w:hAnsi="Arial Narrow"/>
                <w:sz w:val="20"/>
                <w:lang w:val="en-US"/>
              </w:rPr>
              <w:t xml:space="preserve">, </w:t>
            </w:r>
            <w:r w:rsidR="00342160" w:rsidRPr="00181CA6">
              <w:rPr>
                <w:rFonts w:ascii="Arial Narrow" w:hAnsi="Arial Narrow"/>
                <w:sz w:val="20"/>
                <w:lang w:val="en-US"/>
              </w:rPr>
              <w:t>DB</w:t>
            </w:r>
            <w:r w:rsidRPr="00181CA6">
              <w:rPr>
                <w:rFonts w:ascii="Arial Narrow" w:hAnsi="Arial Narrow"/>
                <w:sz w:val="20"/>
                <w:lang w:val="en-US"/>
              </w:rPr>
              <w:t xml:space="preserve">, </w:t>
            </w:r>
            <w:r w:rsidR="00342160" w:rsidRPr="00181CA6">
              <w:rPr>
                <w:rFonts w:ascii="Arial Narrow" w:hAnsi="Arial Narrow"/>
                <w:sz w:val="20"/>
                <w:lang w:val="en-US"/>
              </w:rPr>
              <w:t>MC</w:t>
            </w:r>
            <w:r w:rsidRPr="00181CA6">
              <w:rPr>
                <w:rFonts w:ascii="Arial Narrow" w:hAnsi="Arial Narrow"/>
                <w:sz w:val="20"/>
                <w:lang w:val="en-US"/>
              </w:rPr>
              <w:t>,</w:t>
            </w:r>
            <w:r w:rsidRPr="00181CA6">
              <w:rPr>
                <w:rFonts w:ascii="Arial Narrow" w:hAnsi="Arial Narrow"/>
                <w:sz w:val="20"/>
                <w:lang w:val="en-US"/>
              </w:rPr>
              <w:br/>
            </w:r>
            <w:r w:rsidR="00342160" w:rsidRPr="00181CA6">
              <w:rPr>
                <w:rFonts w:ascii="Arial Narrow" w:hAnsi="Arial Narrow"/>
                <w:sz w:val="20"/>
              </w:rPr>
              <w:t xml:space="preserve">24 </w:t>
            </w:r>
            <w:proofErr w:type="spellStart"/>
            <w:r w:rsidR="00342160" w:rsidRPr="00181CA6">
              <w:rPr>
                <w:rFonts w:ascii="Arial Narrow" w:hAnsi="Arial Narrow"/>
                <w:sz w:val="20"/>
              </w:rPr>
              <w:t>wks</w:t>
            </w:r>
            <w:proofErr w:type="spellEnd"/>
            <w:r w:rsidR="00342160" w:rsidRPr="00181CA6">
              <w:rPr>
                <w:rFonts w:ascii="Arial Narrow" w:hAnsi="Arial Narrow"/>
                <w:sz w:val="20"/>
                <w:lang w:val="en-US"/>
              </w:rPr>
              <w:t xml:space="preserve"> with </w:t>
            </w:r>
            <w:r w:rsidRPr="00181CA6">
              <w:rPr>
                <w:rFonts w:ascii="Arial Narrow" w:hAnsi="Arial Narrow"/>
                <w:sz w:val="20"/>
                <w:lang w:val="en-US"/>
              </w:rPr>
              <w:t xml:space="preserve">48 </w:t>
            </w:r>
            <w:proofErr w:type="spellStart"/>
            <w:r w:rsidRPr="00181CA6">
              <w:rPr>
                <w:rFonts w:ascii="Arial Narrow" w:hAnsi="Arial Narrow"/>
                <w:sz w:val="20"/>
                <w:lang w:val="en-US"/>
              </w:rPr>
              <w:t>wk</w:t>
            </w:r>
            <w:proofErr w:type="spellEnd"/>
            <w:r w:rsidRPr="00181CA6">
              <w:rPr>
                <w:rFonts w:ascii="Arial Narrow" w:hAnsi="Arial Narrow"/>
                <w:sz w:val="20"/>
                <w:lang w:val="en-US"/>
              </w:rPr>
              <w:t xml:space="preserve"> and 104 </w:t>
            </w:r>
            <w:proofErr w:type="spellStart"/>
            <w:r w:rsidRPr="00181CA6">
              <w:rPr>
                <w:rFonts w:ascii="Arial Narrow" w:hAnsi="Arial Narrow"/>
                <w:sz w:val="20"/>
                <w:lang w:val="en-US"/>
              </w:rPr>
              <w:t>wk</w:t>
            </w:r>
            <w:proofErr w:type="spellEnd"/>
            <w:r w:rsidRPr="00181CA6">
              <w:rPr>
                <w:rFonts w:ascii="Arial Narrow" w:hAnsi="Arial Narrow"/>
                <w:sz w:val="20"/>
                <w:lang w:val="en-US"/>
              </w:rPr>
              <w:t xml:space="preserve"> extensions</w:t>
            </w:r>
          </w:p>
        </w:tc>
        <w:tc>
          <w:tcPr>
            <w:tcW w:w="510" w:type="pct"/>
            <w:shd w:val="clear" w:color="auto" w:fill="auto"/>
            <w:vAlign w:val="center"/>
          </w:tcPr>
          <w:p w:rsidR="00150234" w:rsidRPr="00181CA6" w:rsidRDefault="00150234" w:rsidP="00342160">
            <w:pPr>
              <w:jc w:val="center"/>
              <w:rPr>
                <w:rFonts w:ascii="Arial Narrow" w:hAnsi="Arial Narrow"/>
                <w:sz w:val="20"/>
                <w:lang w:val="en-US"/>
              </w:rPr>
            </w:pPr>
            <w:r w:rsidRPr="00181CA6">
              <w:rPr>
                <w:rFonts w:ascii="Arial Narrow" w:hAnsi="Arial Narrow"/>
                <w:sz w:val="20"/>
                <w:lang w:val="en-US"/>
              </w:rPr>
              <w:t>Low</w:t>
            </w:r>
          </w:p>
        </w:tc>
        <w:tc>
          <w:tcPr>
            <w:tcW w:w="1183" w:type="pct"/>
            <w:shd w:val="clear" w:color="auto" w:fill="auto"/>
            <w:vAlign w:val="center"/>
          </w:tcPr>
          <w:p w:rsidR="00150234" w:rsidRPr="00181CA6" w:rsidRDefault="00342160" w:rsidP="00342160">
            <w:pPr>
              <w:jc w:val="center"/>
              <w:rPr>
                <w:rFonts w:ascii="Arial Narrow" w:hAnsi="Arial Narrow"/>
                <w:sz w:val="20"/>
                <w:lang w:val="en-US"/>
              </w:rPr>
            </w:pPr>
            <w:r w:rsidRPr="00181CA6">
              <w:rPr>
                <w:rFonts w:ascii="Arial Narrow" w:hAnsi="Arial Narrow"/>
                <w:sz w:val="20"/>
                <w:lang w:val="en-US"/>
              </w:rPr>
              <w:t xml:space="preserve">HbA1c 7.5-10.5% on stable insulin ≥30units/day </w:t>
            </w:r>
          </w:p>
        </w:tc>
        <w:tc>
          <w:tcPr>
            <w:tcW w:w="1184" w:type="pct"/>
            <w:shd w:val="clear" w:color="auto" w:fill="auto"/>
            <w:vAlign w:val="center"/>
          </w:tcPr>
          <w:p w:rsidR="00150234" w:rsidRPr="00181CA6" w:rsidRDefault="00342160" w:rsidP="00342160">
            <w:pPr>
              <w:jc w:val="center"/>
              <w:rPr>
                <w:rFonts w:ascii="Arial Narrow" w:hAnsi="Arial Narrow"/>
                <w:sz w:val="20"/>
                <w:lang w:val="en-US"/>
              </w:rPr>
            </w:pPr>
            <w:r w:rsidRPr="00181CA6">
              <w:rPr>
                <w:rFonts w:ascii="Arial Narrow" w:hAnsi="Arial Narrow"/>
                <w:sz w:val="20"/>
                <w:lang w:val="en-US"/>
              </w:rPr>
              <w:t>Change in HbA1c, weight, FPG, blood pressure from baseline to endpoint</w:t>
            </w:r>
          </w:p>
        </w:tc>
      </w:tr>
      <w:tr w:rsidR="00342160" w:rsidRPr="00181CA6" w:rsidTr="00342160">
        <w:tc>
          <w:tcPr>
            <w:tcW w:w="5000" w:type="pct"/>
            <w:gridSpan w:val="6"/>
            <w:shd w:val="clear" w:color="auto" w:fill="auto"/>
          </w:tcPr>
          <w:p w:rsidR="00342160" w:rsidRPr="00181CA6" w:rsidRDefault="00342160" w:rsidP="00342160">
            <w:pPr>
              <w:jc w:val="left"/>
              <w:rPr>
                <w:rFonts w:ascii="Arial Narrow" w:hAnsi="Arial Narrow"/>
                <w:b/>
                <w:sz w:val="20"/>
                <w:lang w:val="en-US"/>
              </w:rPr>
            </w:pPr>
            <w:r w:rsidRPr="00181CA6">
              <w:rPr>
                <w:rFonts w:ascii="Arial Narrow" w:hAnsi="Arial Narrow"/>
                <w:b/>
                <w:sz w:val="20"/>
              </w:rPr>
              <w:t>Exenatide + optimised insulin glargine vs placebo + optimised insulin glargine</w:t>
            </w:r>
          </w:p>
        </w:tc>
      </w:tr>
      <w:tr w:rsidR="00342160" w:rsidRPr="00181CA6" w:rsidTr="004D19AA">
        <w:tc>
          <w:tcPr>
            <w:tcW w:w="594" w:type="pct"/>
            <w:shd w:val="clear" w:color="auto" w:fill="auto"/>
            <w:vAlign w:val="center"/>
          </w:tcPr>
          <w:p w:rsidR="00342160" w:rsidRPr="00181CA6" w:rsidRDefault="00342160" w:rsidP="00342160">
            <w:pPr>
              <w:pStyle w:val="TableText0"/>
              <w:spacing w:before="0" w:after="0"/>
              <w:rPr>
                <w:rFonts w:cs="Arial"/>
                <w:b/>
              </w:rPr>
            </w:pPr>
            <w:r w:rsidRPr="00181CA6">
              <w:rPr>
                <w:rFonts w:cs="Arial"/>
                <w:b/>
              </w:rPr>
              <w:t>GWCO</w:t>
            </w:r>
          </w:p>
        </w:tc>
        <w:tc>
          <w:tcPr>
            <w:tcW w:w="340" w:type="pct"/>
            <w:shd w:val="clear" w:color="auto" w:fill="auto"/>
            <w:vAlign w:val="center"/>
          </w:tcPr>
          <w:p w:rsidR="00342160" w:rsidRPr="00181CA6" w:rsidRDefault="00342160" w:rsidP="00342160">
            <w:pPr>
              <w:jc w:val="center"/>
              <w:rPr>
                <w:rFonts w:ascii="Arial Narrow" w:hAnsi="Arial Narrow"/>
                <w:sz w:val="20"/>
                <w:lang w:val="en-US"/>
              </w:rPr>
            </w:pPr>
            <w:r w:rsidRPr="00181CA6">
              <w:rPr>
                <w:rFonts w:ascii="Arial Narrow" w:hAnsi="Arial Narrow"/>
                <w:sz w:val="20"/>
                <w:lang w:val="en-US"/>
              </w:rPr>
              <w:t>261</w:t>
            </w:r>
          </w:p>
        </w:tc>
        <w:tc>
          <w:tcPr>
            <w:tcW w:w="1189" w:type="pct"/>
            <w:shd w:val="clear" w:color="auto" w:fill="auto"/>
            <w:vAlign w:val="center"/>
          </w:tcPr>
          <w:p w:rsidR="00342160" w:rsidRPr="00181CA6" w:rsidRDefault="00342160" w:rsidP="00342160">
            <w:pPr>
              <w:jc w:val="center"/>
              <w:rPr>
                <w:rFonts w:ascii="Arial Narrow" w:hAnsi="Arial Narrow"/>
                <w:sz w:val="20"/>
                <w:lang w:val="en-US"/>
              </w:rPr>
            </w:pPr>
            <w:r w:rsidRPr="00181CA6">
              <w:rPr>
                <w:rFonts w:ascii="Arial Narrow" w:hAnsi="Arial Narrow"/>
                <w:sz w:val="20"/>
              </w:rPr>
              <w:t>R</w:t>
            </w:r>
            <w:r w:rsidRPr="00181CA6">
              <w:rPr>
                <w:rFonts w:ascii="Arial Narrow" w:hAnsi="Arial Narrow"/>
                <w:sz w:val="20"/>
                <w:lang w:val="en-US"/>
              </w:rPr>
              <w:t>, DB, MC,</w:t>
            </w:r>
            <w:r w:rsidRPr="00181CA6">
              <w:rPr>
                <w:rFonts w:ascii="Arial Narrow" w:hAnsi="Arial Narrow"/>
                <w:sz w:val="20"/>
                <w:lang w:val="en-US"/>
              </w:rPr>
              <w:br/>
              <w:t xml:space="preserve">30 </w:t>
            </w:r>
            <w:proofErr w:type="spellStart"/>
            <w:r w:rsidRPr="00181CA6">
              <w:rPr>
                <w:rFonts w:ascii="Arial Narrow" w:hAnsi="Arial Narrow"/>
                <w:sz w:val="20"/>
                <w:lang w:val="en-US"/>
              </w:rPr>
              <w:t>wks</w:t>
            </w:r>
            <w:proofErr w:type="spellEnd"/>
          </w:p>
        </w:tc>
        <w:tc>
          <w:tcPr>
            <w:tcW w:w="510" w:type="pct"/>
            <w:shd w:val="clear" w:color="auto" w:fill="auto"/>
            <w:vAlign w:val="center"/>
          </w:tcPr>
          <w:p w:rsidR="00342160" w:rsidRPr="00181CA6" w:rsidRDefault="00342160" w:rsidP="00342160">
            <w:pPr>
              <w:jc w:val="center"/>
              <w:rPr>
                <w:rFonts w:ascii="Arial Narrow" w:hAnsi="Arial Narrow"/>
                <w:sz w:val="20"/>
                <w:lang w:val="en-US"/>
              </w:rPr>
            </w:pPr>
            <w:r w:rsidRPr="00181CA6">
              <w:rPr>
                <w:rFonts w:ascii="Arial Narrow" w:hAnsi="Arial Narrow"/>
                <w:sz w:val="20"/>
                <w:lang w:val="en-US"/>
              </w:rPr>
              <w:t>High</w:t>
            </w:r>
          </w:p>
        </w:tc>
        <w:tc>
          <w:tcPr>
            <w:tcW w:w="1183" w:type="pct"/>
            <w:shd w:val="clear" w:color="auto" w:fill="auto"/>
            <w:vAlign w:val="center"/>
          </w:tcPr>
          <w:p w:rsidR="00342160" w:rsidRPr="00181CA6" w:rsidRDefault="00342160" w:rsidP="00342160">
            <w:pPr>
              <w:jc w:val="center"/>
              <w:rPr>
                <w:rFonts w:ascii="Arial Narrow" w:hAnsi="Arial Narrow"/>
                <w:sz w:val="20"/>
                <w:lang w:val="en-US"/>
              </w:rPr>
            </w:pPr>
            <w:r w:rsidRPr="00181CA6">
              <w:rPr>
                <w:rFonts w:ascii="Arial Narrow" w:hAnsi="Arial Narrow"/>
                <w:sz w:val="20"/>
                <w:lang w:val="en-US"/>
              </w:rPr>
              <w:t>HbA1c 7.1-10.5% on stable insulin glargine ≥20units/day</w:t>
            </w:r>
          </w:p>
        </w:tc>
        <w:tc>
          <w:tcPr>
            <w:tcW w:w="1184" w:type="pct"/>
            <w:shd w:val="clear" w:color="auto" w:fill="auto"/>
            <w:vAlign w:val="center"/>
          </w:tcPr>
          <w:p w:rsidR="00342160" w:rsidRPr="00181CA6" w:rsidRDefault="00342160" w:rsidP="00342160">
            <w:pPr>
              <w:jc w:val="center"/>
              <w:rPr>
                <w:rFonts w:ascii="Arial Narrow" w:hAnsi="Arial Narrow"/>
                <w:sz w:val="20"/>
                <w:lang w:val="en-US"/>
              </w:rPr>
            </w:pPr>
            <w:r w:rsidRPr="00181CA6">
              <w:rPr>
                <w:rFonts w:ascii="Arial Narrow" w:hAnsi="Arial Narrow"/>
                <w:sz w:val="20"/>
                <w:lang w:val="en-US"/>
              </w:rPr>
              <w:t>Change in HbA1c, weight, FPG, blood pressure from baseline to endpoint</w:t>
            </w:r>
          </w:p>
        </w:tc>
      </w:tr>
      <w:tr w:rsidR="00342160" w:rsidRPr="00181CA6" w:rsidTr="00342160">
        <w:tc>
          <w:tcPr>
            <w:tcW w:w="5000" w:type="pct"/>
            <w:gridSpan w:val="6"/>
            <w:shd w:val="clear" w:color="auto" w:fill="auto"/>
          </w:tcPr>
          <w:p w:rsidR="00342160" w:rsidRPr="00181CA6" w:rsidRDefault="00342160" w:rsidP="00342160">
            <w:pPr>
              <w:jc w:val="left"/>
              <w:rPr>
                <w:rFonts w:ascii="Arial Narrow" w:hAnsi="Arial Narrow"/>
                <w:b/>
                <w:sz w:val="20"/>
                <w:lang w:val="en-US"/>
              </w:rPr>
            </w:pPr>
            <w:r w:rsidRPr="00181CA6">
              <w:rPr>
                <w:rFonts w:ascii="Arial Narrow" w:hAnsi="Arial Narrow"/>
                <w:b/>
                <w:sz w:val="20"/>
              </w:rPr>
              <w:t xml:space="preserve">Exenatide + optimised insulin glargine vs optimised insulin </w:t>
            </w:r>
            <w:proofErr w:type="spellStart"/>
            <w:r w:rsidRPr="00181CA6">
              <w:rPr>
                <w:rFonts w:ascii="Arial Narrow" w:hAnsi="Arial Narrow"/>
                <w:b/>
                <w:sz w:val="20"/>
              </w:rPr>
              <w:t>lispro</w:t>
            </w:r>
            <w:proofErr w:type="spellEnd"/>
            <w:r w:rsidRPr="00181CA6">
              <w:rPr>
                <w:rFonts w:ascii="Arial Narrow" w:hAnsi="Arial Narrow"/>
                <w:b/>
                <w:sz w:val="20"/>
              </w:rPr>
              <w:t xml:space="preserve"> + optimised insulin glargine</w:t>
            </w:r>
          </w:p>
        </w:tc>
      </w:tr>
      <w:tr w:rsidR="00342160" w:rsidRPr="00181CA6" w:rsidTr="004D19AA">
        <w:tc>
          <w:tcPr>
            <w:tcW w:w="594" w:type="pct"/>
            <w:shd w:val="clear" w:color="auto" w:fill="auto"/>
            <w:vAlign w:val="center"/>
          </w:tcPr>
          <w:p w:rsidR="00342160" w:rsidRPr="00181CA6" w:rsidRDefault="00342160" w:rsidP="00342160">
            <w:pPr>
              <w:jc w:val="left"/>
              <w:rPr>
                <w:rFonts w:ascii="Arial Narrow" w:hAnsi="Arial Narrow"/>
                <w:b/>
                <w:sz w:val="20"/>
                <w:lang w:val="en-US"/>
              </w:rPr>
            </w:pPr>
            <w:r w:rsidRPr="00181CA6">
              <w:rPr>
                <w:rFonts w:ascii="Arial Narrow" w:hAnsi="Arial Narrow"/>
                <w:b/>
                <w:sz w:val="20"/>
                <w:lang w:val="en-US"/>
              </w:rPr>
              <w:t>GWDM</w:t>
            </w:r>
          </w:p>
        </w:tc>
        <w:tc>
          <w:tcPr>
            <w:tcW w:w="340" w:type="pct"/>
            <w:shd w:val="clear" w:color="auto" w:fill="auto"/>
            <w:vAlign w:val="center"/>
          </w:tcPr>
          <w:p w:rsidR="00342160" w:rsidRPr="00181CA6" w:rsidRDefault="00342160" w:rsidP="00342160">
            <w:pPr>
              <w:jc w:val="center"/>
              <w:rPr>
                <w:rFonts w:ascii="Arial Narrow" w:hAnsi="Arial Narrow"/>
                <w:sz w:val="20"/>
                <w:lang w:val="en-US"/>
              </w:rPr>
            </w:pPr>
            <w:r w:rsidRPr="00181CA6">
              <w:rPr>
                <w:rFonts w:ascii="Arial Narrow" w:hAnsi="Arial Narrow"/>
                <w:sz w:val="20"/>
                <w:lang w:val="en-US"/>
              </w:rPr>
              <w:t>627</w:t>
            </w:r>
          </w:p>
        </w:tc>
        <w:tc>
          <w:tcPr>
            <w:tcW w:w="1189" w:type="pct"/>
            <w:shd w:val="clear" w:color="auto" w:fill="auto"/>
            <w:vAlign w:val="center"/>
          </w:tcPr>
          <w:p w:rsidR="00342160" w:rsidRPr="00181CA6" w:rsidRDefault="00342160" w:rsidP="00342160">
            <w:pPr>
              <w:jc w:val="center"/>
              <w:rPr>
                <w:rFonts w:ascii="Arial Narrow" w:hAnsi="Arial Narrow"/>
                <w:sz w:val="20"/>
                <w:lang w:val="en-US"/>
              </w:rPr>
            </w:pPr>
            <w:r w:rsidRPr="00181CA6">
              <w:rPr>
                <w:rFonts w:ascii="Arial Narrow" w:hAnsi="Arial Narrow"/>
                <w:sz w:val="20"/>
                <w:lang w:val="en-US"/>
              </w:rPr>
              <w:t>R, OL, AC, prospective</w:t>
            </w:r>
          </w:p>
          <w:p w:rsidR="00342160" w:rsidRPr="00181CA6" w:rsidRDefault="00342160" w:rsidP="00342160">
            <w:pPr>
              <w:jc w:val="center"/>
              <w:rPr>
                <w:rFonts w:ascii="Arial Narrow" w:hAnsi="Arial Narrow"/>
                <w:sz w:val="20"/>
                <w:lang w:val="en-US"/>
              </w:rPr>
            </w:pPr>
            <w:r w:rsidRPr="00181CA6">
              <w:rPr>
                <w:rFonts w:ascii="Arial Narrow" w:hAnsi="Arial Narrow"/>
                <w:sz w:val="20"/>
                <w:lang w:val="en-US"/>
              </w:rPr>
              <w:t xml:space="preserve">30 </w:t>
            </w:r>
            <w:proofErr w:type="spellStart"/>
            <w:r w:rsidRPr="00181CA6">
              <w:rPr>
                <w:rFonts w:ascii="Arial Narrow" w:hAnsi="Arial Narrow"/>
                <w:sz w:val="20"/>
                <w:lang w:val="en-US"/>
              </w:rPr>
              <w:t>wks</w:t>
            </w:r>
            <w:proofErr w:type="spellEnd"/>
          </w:p>
        </w:tc>
        <w:tc>
          <w:tcPr>
            <w:tcW w:w="510" w:type="pct"/>
            <w:shd w:val="clear" w:color="auto" w:fill="auto"/>
            <w:vAlign w:val="center"/>
          </w:tcPr>
          <w:p w:rsidR="00342160" w:rsidRPr="00181CA6" w:rsidRDefault="00342160" w:rsidP="00342160">
            <w:pPr>
              <w:jc w:val="center"/>
              <w:rPr>
                <w:rFonts w:ascii="Arial Narrow" w:hAnsi="Arial Narrow"/>
                <w:sz w:val="20"/>
                <w:lang w:val="en-US"/>
              </w:rPr>
            </w:pPr>
            <w:r w:rsidRPr="00181CA6">
              <w:rPr>
                <w:rFonts w:ascii="Arial Narrow" w:hAnsi="Arial Narrow"/>
                <w:sz w:val="20"/>
                <w:lang w:val="en-US"/>
              </w:rPr>
              <w:t>Low</w:t>
            </w:r>
          </w:p>
        </w:tc>
        <w:tc>
          <w:tcPr>
            <w:tcW w:w="1183" w:type="pct"/>
            <w:shd w:val="clear" w:color="auto" w:fill="auto"/>
            <w:vAlign w:val="center"/>
          </w:tcPr>
          <w:p w:rsidR="00342160" w:rsidRPr="00181CA6" w:rsidRDefault="00342160" w:rsidP="00342160">
            <w:pPr>
              <w:jc w:val="center"/>
              <w:rPr>
                <w:rFonts w:ascii="Arial Narrow" w:hAnsi="Arial Narrow"/>
                <w:sz w:val="20"/>
                <w:lang w:val="en-US"/>
              </w:rPr>
            </w:pPr>
            <w:r w:rsidRPr="00181CA6">
              <w:rPr>
                <w:rFonts w:ascii="Arial Narrow" w:hAnsi="Arial Narrow"/>
                <w:sz w:val="20"/>
                <w:lang w:val="en-US"/>
              </w:rPr>
              <w:t>HbA1c 7.0-10.0% on stable insulin glargine ≥20units/day</w:t>
            </w:r>
          </w:p>
        </w:tc>
        <w:tc>
          <w:tcPr>
            <w:tcW w:w="1184" w:type="pct"/>
            <w:shd w:val="clear" w:color="auto" w:fill="auto"/>
            <w:vAlign w:val="center"/>
          </w:tcPr>
          <w:p w:rsidR="00342160" w:rsidRPr="00181CA6" w:rsidRDefault="00342160" w:rsidP="00342160">
            <w:pPr>
              <w:jc w:val="center"/>
              <w:rPr>
                <w:rFonts w:ascii="Arial Narrow" w:hAnsi="Arial Narrow"/>
                <w:sz w:val="20"/>
                <w:lang w:val="en-US"/>
              </w:rPr>
            </w:pPr>
            <w:r w:rsidRPr="00181CA6">
              <w:rPr>
                <w:rFonts w:ascii="Arial Narrow" w:hAnsi="Arial Narrow"/>
                <w:sz w:val="20"/>
                <w:lang w:val="en-US"/>
              </w:rPr>
              <w:t>Change in HbA1c, weight, FPG, blood pressure from baseline to endpoint</w:t>
            </w:r>
          </w:p>
        </w:tc>
      </w:tr>
      <w:tr w:rsidR="004D19AA" w:rsidRPr="00181CA6" w:rsidTr="0033780D">
        <w:tc>
          <w:tcPr>
            <w:tcW w:w="5000" w:type="pct"/>
            <w:gridSpan w:val="6"/>
            <w:shd w:val="clear" w:color="auto" w:fill="auto"/>
          </w:tcPr>
          <w:p w:rsidR="004D19AA" w:rsidRPr="00181CA6" w:rsidRDefault="004D19AA" w:rsidP="0033780D">
            <w:pPr>
              <w:jc w:val="left"/>
              <w:rPr>
                <w:rFonts w:ascii="Arial Narrow" w:hAnsi="Arial Narrow"/>
                <w:b/>
                <w:sz w:val="20"/>
                <w:lang w:val="en-US"/>
              </w:rPr>
            </w:pPr>
            <w:r w:rsidRPr="00181CA6">
              <w:rPr>
                <w:rFonts w:ascii="Arial Narrow" w:hAnsi="Arial Narrow"/>
                <w:b/>
                <w:sz w:val="20"/>
              </w:rPr>
              <w:t xml:space="preserve">Exenatide + optimised insulin glargine vs optimised insulin </w:t>
            </w:r>
            <w:proofErr w:type="spellStart"/>
            <w:r w:rsidRPr="00181CA6">
              <w:rPr>
                <w:rFonts w:ascii="Arial Narrow" w:hAnsi="Arial Narrow"/>
                <w:b/>
                <w:sz w:val="20"/>
              </w:rPr>
              <w:t>lispro</w:t>
            </w:r>
            <w:proofErr w:type="spellEnd"/>
            <w:r w:rsidRPr="00181CA6">
              <w:rPr>
                <w:rFonts w:ascii="Arial Narrow" w:hAnsi="Arial Narrow"/>
                <w:b/>
                <w:sz w:val="20"/>
              </w:rPr>
              <w:t xml:space="preserve"> + optimised insulin glargine</w:t>
            </w:r>
          </w:p>
        </w:tc>
      </w:tr>
      <w:tr w:rsidR="004D19AA" w:rsidRPr="00181CA6" w:rsidTr="004D19AA">
        <w:tc>
          <w:tcPr>
            <w:tcW w:w="594" w:type="pct"/>
            <w:shd w:val="clear" w:color="auto" w:fill="auto"/>
            <w:vAlign w:val="center"/>
          </w:tcPr>
          <w:p w:rsidR="004D19AA" w:rsidRPr="00181CA6" w:rsidRDefault="004D19AA" w:rsidP="00342160">
            <w:pPr>
              <w:jc w:val="left"/>
              <w:rPr>
                <w:rFonts w:ascii="Arial Narrow" w:hAnsi="Arial Narrow"/>
                <w:b/>
                <w:sz w:val="20"/>
              </w:rPr>
            </w:pPr>
            <w:proofErr w:type="spellStart"/>
            <w:r w:rsidRPr="00181CA6">
              <w:rPr>
                <w:rFonts w:ascii="Arial Narrow" w:hAnsi="Arial Narrow"/>
                <w:b/>
                <w:sz w:val="20"/>
              </w:rPr>
              <w:t>GetGoal</w:t>
            </w:r>
            <w:proofErr w:type="spellEnd"/>
            <w:r w:rsidRPr="00181CA6">
              <w:rPr>
                <w:rFonts w:ascii="Arial Narrow" w:hAnsi="Arial Narrow"/>
                <w:b/>
                <w:sz w:val="20"/>
              </w:rPr>
              <w:t>-L</w:t>
            </w:r>
          </w:p>
        </w:tc>
        <w:tc>
          <w:tcPr>
            <w:tcW w:w="340" w:type="pct"/>
            <w:shd w:val="clear" w:color="auto" w:fill="auto"/>
            <w:vAlign w:val="center"/>
          </w:tcPr>
          <w:p w:rsidR="004D19AA" w:rsidRPr="00181CA6" w:rsidRDefault="004D19AA" w:rsidP="00342160">
            <w:pPr>
              <w:jc w:val="center"/>
              <w:rPr>
                <w:rFonts w:ascii="Arial Narrow" w:hAnsi="Arial Narrow"/>
                <w:sz w:val="20"/>
                <w:lang w:val="en-US"/>
              </w:rPr>
            </w:pPr>
            <w:r w:rsidRPr="00181CA6">
              <w:rPr>
                <w:rFonts w:ascii="Arial Narrow" w:hAnsi="Arial Narrow"/>
                <w:sz w:val="20"/>
                <w:lang w:val="en-US"/>
              </w:rPr>
              <w:t>496</w:t>
            </w:r>
          </w:p>
        </w:tc>
        <w:tc>
          <w:tcPr>
            <w:tcW w:w="1189" w:type="pct"/>
            <w:shd w:val="clear" w:color="auto" w:fill="auto"/>
            <w:vAlign w:val="center"/>
          </w:tcPr>
          <w:p w:rsidR="004D19AA" w:rsidRPr="00181CA6" w:rsidRDefault="004D19AA" w:rsidP="00342160">
            <w:pPr>
              <w:jc w:val="center"/>
              <w:rPr>
                <w:rFonts w:ascii="Arial Narrow" w:hAnsi="Arial Narrow"/>
                <w:sz w:val="20"/>
                <w:lang w:val="en-US"/>
              </w:rPr>
            </w:pPr>
            <w:r w:rsidRPr="00181CA6">
              <w:rPr>
                <w:rFonts w:ascii="Arial Narrow" w:hAnsi="Arial Narrow"/>
                <w:sz w:val="20"/>
                <w:lang w:val="en-US"/>
              </w:rPr>
              <w:t>R, DB, MC</w:t>
            </w:r>
          </w:p>
          <w:p w:rsidR="004D19AA" w:rsidRPr="00181CA6" w:rsidRDefault="004D19AA" w:rsidP="00342160">
            <w:pPr>
              <w:jc w:val="center"/>
              <w:rPr>
                <w:rFonts w:ascii="Arial Narrow" w:hAnsi="Arial Narrow"/>
                <w:sz w:val="20"/>
                <w:lang w:val="en-US"/>
              </w:rPr>
            </w:pPr>
            <w:r w:rsidRPr="00181CA6">
              <w:rPr>
                <w:rFonts w:ascii="Arial Narrow" w:hAnsi="Arial Narrow"/>
                <w:sz w:val="20"/>
                <w:lang w:val="en-US"/>
              </w:rPr>
              <w:t xml:space="preserve">24 </w:t>
            </w:r>
            <w:proofErr w:type="spellStart"/>
            <w:r w:rsidRPr="00181CA6">
              <w:rPr>
                <w:rFonts w:ascii="Arial Narrow" w:hAnsi="Arial Narrow"/>
                <w:sz w:val="20"/>
                <w:lang w:val="en-US"/>
              </w:rPr>
              <w:t>wks</w:t>
            </w:r>
            <w:proofErr w:type="spellEnd"/>
          </w:p>
        </w:tc>
        <w:tc>
          <w:tcPr>
            <w:tcW w:w="510" w:type="pct"/>
            <w:shd w:val="clear" w:color="auto" w:fill="auto"/>
            <w:vAlign w:val="center"/>
          </w:tcPr>
          <w:p w:rsidR="004D19AA" w:rsidRPr="00181CA6" w:rsidRDefault="004D19AA" w:rsidP="00342160">
            <w:pPr>
              <w:jc w:val="center"/>
              <w:rPr>
                <w:rFonts w:ascii="Arial Narrow" w:hAnsi="Arial Narrow"/>
                <w:sz w:val="20"/>
                <w:lang w:val="en-US"/>
              </w:rPr>
            </w:pPr>
            <w:r w:rsidRPr="00181CA6">
              <w:rPr>
                <w:rFonts w:ascii="Arial Narrow" w:hAnsi="Arial Narrow"/>
                <w:sz w:val="20"/>
                <w:lang w:val="en-US"/>
              </w:rPr>
              <w:t>Low</w:t>
            </w:r>
          </w:p>
        </w:tc>
        <w:tc>
          <w:tcPr>
            <w:tcW w:w="1183" w:type="pct"/>
            <w:shd w:val="clear" w:color="auto" w:fill="auto"/>
            <w:vAlign w:val="center"/>
          </w:tcPr>
          <w:p w:rsidR="004D19AA" w:rsidRPr="00181CA6" w:rsidRDefault="004D19AA" w:rsidP="00342160">
            <w:pPr>
              <w:jc w:val="center"/>
              <w:rPr>
                <w:rFonts w:ascii="Arial Narrow" w:hAnsi="Arial Narrow"/>
                <w:sz w:val="20"/>
                <w:lang w:val="en-US"/>
              </w:rPr>
            </w:pPr>
            <w:r w:rsidRPr="00181CA6">
              <w:rPr>
                <w:rFonts w:ascii="Arial Narrow" w:hAnsi="Arial Narrow"/>
                <w:sz w:val="20"/>
                <w:lang w:val="en-US"/>
              </w:rPr>
              <w:t>HbA1c 7-10% on stable basal insulin ≥30 units/day ± metformin</w:t>
            </w:r>
          </w:p>
        </w:tc>
        <w:tc>
          <w:tcPr>
            <w:tcW w:w="1184" w:type="pct"/>
            <w:shd w:val="clear" w:color="auto" w:fill="auto"/>
            <w:vAlign w:val="center"/>
          </w:tcPr>
          <w:p w:rsidR="004D19AA" w:rsidRPr="00181CA6" w:rsidRDefault="004D19AA" w:rsidP="00342160">
            <w:pPr>
              <w:jc w:val="center"/>
              <w:rPr>
                <w:rFonts w:ascii="Arial Narrow" w:hAnsi="Arial Narrow"/>
                <w:sz w:val="20"/>
                <w:lang w:val="en-US"/>
              </w:rPr>
            </w:pPr>
            <w:r w:rsidRPr="00181CA6">
              <w:rPr>
                <w:rFonts w:ascii="Arial Narrow" w:hAnsi="Arial Narrow"/>
                <w:sz w:val="20"/>
                <w:lang w:val="en-US"/>
              </w:rPr>
              <w:t>Change in HbA1c, weight, FPG, blood pressure from baseline to endpoint</w:t>
            </w:r>
          </w:p>
        </w:tc>
      </w:tr>
      <w:tr w:rsidR="004D19AA" w:rsidRPr="00181CA6" w:rsidTr="004D19AA">
        <w:tc>
          <w:tcPr>
            <w:tcW w:w="594" w:type="pct"/>
            <w:shd w:val="clear" w:color="auto" w:fill="auto"/>
            <w:vAlign w:val="center"/>
          </w:tcPr>
          <w:p w:rsidR="004D19AA" w:rsidRPr="00181CA6" w:rsidRDefault="004D19AA" w:rsidP="00342160">
            <w:pPr>
              <w:jc w:val="left"/>
              <w:rPr>
                <w:rFonts w:ascii="Arial Narrow" w:hAnsi="Arial Narrow"/>
                <w:b/>
                <w:sz w:val="20"/>
              </w:rPr>
            </w:pPr>
            <w:proofErr w:type="spellStart"/>
            <w:r w:rsidRPr="00181CA6">
              <w:rPr>
                <w:rFonts w:ascii="Arial Narrow" w:hAnsi="Arial Narrow"/>
                <w:b/>
                <w:sz w:val="20"/>
              </w:rPr>
              <w:t>GetGoal</w:t>
            </w:r>
            <w:proofErr w:type="spellEnd"/>
            <w:r w:rsidRPr="00181CA6">
              <w:rPr>
                <w:rFonts w:ascii="Arial Narrow" w:hAnsi="Arial Narrow"/>
                <w:b/>
                <w:sz w:val="20"/>
              </w:rPr>
              <w:t>-L-Asia</w:t>
            </w:r>
          </w:p>
        </w:tc>
        <w:tc>
          <w:tcPr>
            <w:tcW w:w="340" w:type="pct"/>
            <w:shd w:val="clear" w:color="auto" w:fill="auto"/>
            <w:vAlign w:val="center"/>
          </w:tcPr>
          <w:p w:rsidR="004D19AA" w:rsidRPr="00181CA6" w:rsidRDefault="004D19AA" w:rsidP="00342160">
            <w:pPr>
              <w:jc w:val="center"/>
              <w:rPr>
                <w:rFonts w:ascii="Arial Narrow" w:hAnsi="Arial Narrow"/>
                <w:sz w:val="20"/>
                <w:lang w:val="en-US"/>
              </w:rPr>
            </w:pPr>
            <w:r w:rsidRPr="00181CA6">
              <w:rPr>
                <w:rFonts w:ascii="Arial Narrow" w:hAnsi="Arial Narrow"/>
                <w:sz w:val="20"/>
                <w:lang w:val="en-US"/>
              </w:rPr>
              <w:t>311</w:t>
            </w:r>
          </w:p>
        </w:tc>
        <w:tc>
          <w:tcPr>
            <w:tcW w:w="1189" w:type="pct"/>
            <w:shd w:val="clear" w:color="auto" w:fill="auto"/>
            <w:vAlign w:val="center"/>
          </w:tcPr>
          <w:p w:rsidR="004D19AA" w:rsidRPr="00181CA6" w:rsidRDefault="004D19AA" w:rsidP="0033780D">
            <w:pPr>
              <w:jc w:val="center"/>
              <w:rPr>
                <w:rFonts w:ascii="Arial Narrow" w:hAnsi="Arial Narrow"/>
                <w:sz w:val="20"/>
                <w:lang w:val="en-US"/>
              </w:rPr>
            </w:pPr>
            <w:r w:rsidRPr="00181CA6">
              <w:rPr>
                <w:rFonts w:ascii="Arial Narrow" w:hAnsi="Arial Narrow"/>
                <w:sz w:val="20"/>
                <w:lang w:val="en-US"/>
              </w:rPr>
              <w:t>R, DB, MC</w:t>
            </w:r>
          </w:p>
          <w:p w:rsidR="004D19AA" w:rsidRPr="00181CA6" w:rsidRDefault="004D19AA" w:rsidP="00342160">
            <w:pPr>
              <w:jc w:val="center"/>
              <w:rPr>
                <w:rFonts w:ascii="Arial Narrow" w:hAnsi="Arial Narrow"/>
                <w:sz w:val="20"/>
                <w:lang w:val="en-US"/>
              </w:rPr>
            </w:pPr>
            <w:r w:rsidRPr="00181CA6">
              <w:rPr>
                <w:rFonts w:ascii="Arial Narrow" w:hAnsi="Arial Narrow"/>
                <w:sz w:val="20"/>
                <w:lang w:val="en-US"/>
              </w:rPr>
              <w:t xml:space="preserve">24 </w:t>
            </w:r>
            <w:proofErr w:type="spellStart"/>
            <w:r w:rsidRPr="00181CA6">
              <w:rPr>
                <w:rFonts w:ascii="Arial Narrow" w:hAnsi="Arial Narrow"/>
                <w:sz w:val="20"/>
                <w:lang w:val="en-US"/>
              </w:rPr>
              <w:t>wks</w:t>
            </w:r>
            <w:proofErr w:type="spellEnd"/>
          </w:p>
        </w:tc>
        <w:tc>
          <w:tcPr>
            <w:tcW w:w="510" w:type="pct"/>
            <w:shd w:val="clear" w:color="auto" w:fill="auto"/>
            <w:vAlign w:val="center"/>
          </w:tcPr>
          <w:p w:rsidR="004D19AA" w:rsidRPr="00181CA6" w:rsidRDefault="004D19AA" w:rsidP="00342160">
            <w:pPr>
              <w:jc w:val="center"/>
              <w:rPr>
                <w:rFonts w:ascii="Arial Narrow" w:hAnsi="Arial Narrow"/>
                <w:sz w:val="20"/>
                <w:lang w:val="en-US"/>
              </w:rPr>
            </w:pPr>
            <w:r w:rsidRPr="00181CA6">
              <w:rPr>
                <w:rFonts w:ascii="Arial Narrow" w:hAnsi="Arial Narrow"/>
                <w:sz w:val="20"/>
                <w:lang w:val="en-US"/>
              </w:rPr>
              <w:t>Low</w:t>
            </w:r>
          </w:p>
        </w:tc>
        <w:tc>
          <w:tcPr>
            <w:tcW w:w="1183" w:type="pct"/>
            <w:shd w:val="clear" w:color="auto" w:fill="auto"/>
            <w:vAlign w:val="center"/>
          </w:tcPr>
          <w:p w:rsidR="004D19AA" w:rsidRPr="00181CA6" w:rsidRDefault="004D19AA" w:rsidP="00342160">
            <w:pPr>
              <w:jc w:val="center"/>
              <w:rPr>
                <w:rFonts w:ascii="Arial Narrow" w:hAnsi="Arial Narrow"/>
                <w:sz w:val="20"/>
                <w:lang w:val="en-US"/>
              </w:rPr>
            </w:pPr>
            <w:r w:rsidRPr="00181CA6">
              <w:rPr>
                <w:rFonts w:ascii="Arial Narrow" w:hAnsi="Arial Narrow"/>
                <w:sz w:val="20"/>
                <w:lang w:val="en-US"/>
              </w:rPr>
              <w:t>HbA1c 7-10% on stable basal insulin ≥10 units/day ± sulfonylurea</w:t>
            </w:r>
          </w:p>
        </w:tc>
        <w:tc>
          <w:tcPr>
            <w:tcW w:w="1184" w:type="pct"/>
            <w:shd w:val="clear" w:color="auto" w:fill="auto"/>
            <w:vAlign w:val="center"/>
          </w:tcPr>
          <w:p w:rsidR="004D19AA" w:rsidRPr="00181CA6" w:rsidRDefault="004D19AA" w:rsidP="00342160">
            <w:pPr>
              <w:jc w:val="center"/>
              <w:rPr>
                <w:rFonts w:ascii="Arial Narrow" w:hAnsi="Arial Narrow"/>
                <w:sz w:val="20"/>
                <w:lang w:val="en-US"/>
              </w:rPr>
            </w:pPr>
            <w:r w:rsidRPr="00181CA6">
              <w:rPr>
                <w:rFonts w:ascii="Arial Narrow" w:hAnsi="Arial Narrow"/>
                <w:sz w:val="20"/>
                <w:lang w:val="en-US"/>
              </w:rPr>
              <w:t>Change in HbA1c, weight, FPG, blood pressure from baseline to endpoint</w:t>
            </w:r>
          </w:p>
        </w:tc>
      </w:tr>
    </w:tbl>
    <w:p w:rsidR="00B2014E" w:rsidRPr="00181CA6" w:rsidRDefault="00B2014E" w:rsidP="00B2014E">
      <w:pPr>
        <w:pStyle w:val="TableFooter"/>
        <w:ind w:firstLine="720"/>
      </w:pPr>
      <w:r w:rsidRPr="00181CA6">
        <w:t>Source: compiled during the evaluation.</w:t>
      </w:r>
    </w:p>
    <w:p w:rsidR="00D06FD4" w:rsidRPr="00181CA6" w:rsidRDefault="00B2014E" w:rsidP="004D19AA">
      <w:pPr>
        <w:pStyle w:val="TableFooter"/>
        <w:ind w:left="709" w:firstLine="11"/>
      </w:pPr>
      <w:r w:rsidRPr="00181CA6">
        <w:t xml:space="preserve">Abbreviations: </w:t>
      </w:r>
      <w:r w:rsidR="004D19AA" w:rsidRPr="00181CA6">
        <w:t xml:space="preserve">AC, active control; BD, twice daily; DB, double blind; FPG, fasting plasma glucose; MC, multi-centre; OL, </w:t>
      </w:r>
      <w:r w:rsidR="00D06FD4" w:rsidRPr="00181CA6">
        <w:t xml:space="preserve">open label; </w:t>
      </w:r>
      <w:r w:rsidR="004D19AA" w:rsidRPr="00181CA6">
        <w:t xml:space="preserve">R, </w:t>
      </w:r>
      <w:r w:rsidR="00D06FD4" w:rsidRPr="00181CA6">
        <w:t>randomised.</w:t>
      </w:r>
    </w:p>
    <w:p w:rsidR="00D06FD4" w:rsidRPr="00181CA6" w:rsidRDefault="00D06FD4" w:rsidP="00D06FD4"/>
    <w:p w:rsidR="00DD0985" w:rsidRPr="0012662B" w:rsidRDefault="00C15A4D" w:rsidP="0012662B">
      <w:pPr>
        <w:pStyle w:val="ListParagraph"/>
        <w:widowControl/>
        <w:numPr>
          <w:ilvl w:val="1"/>
          <w:numId w:val="12"/>
        </w:numPr>
        <w:rPr>
          <w:szCs w:val="22"/>
        </w:rPr>
      </w:pPr>
      <w:r w:rsidRPr="002857E9">
        <w:t>There were substantial differences in baseline population characteristics and prior treatment regimens between trials (particularly CT-006 compared to GWCO and GWDM)</w:t>
      </w:r>
      <w:r w:rsidR="0012662B">
        <w:t>,</w:t>
      </w:r>
      <w:r w:rsidR="0012662B" w:rsidRPr="0012662B">
        <w:t xml:space="preserve"> with metformin use higher in trials GWDM (100%) and GWCO (82%) compared to CT-006 (44%)</w:t>
      </w:r>
      <w:r w:rsidR="007066BC" w:rsidRPr="0012662B">
        <w:t>.</w:t>
      </w:r>
      <w:r w:rsidRPr="002857E9">
        <w:t xml:space="preserve"> Insulin regimens vary substantially between trials in terms of types of insulin permitted, baseline doses, initial titration at the introduction </w:t>
      </w:r>
      <w:r w:rsidRPr="002857E9">
        <w:lastRenderedPageBreak/>
        <w:t xml:space="preserve">of the trial drug, ongoing titration throughout the treatment phase and rescue protocols. </w:t>
      </w:r>
    </w:p>
    <w:p w:rsidR="0012662B" w:rsidRPr="0012662B" w:rsidRDefault="0012662B" w:rsidP="0012662B">
      <w:pPr>
        <w:pStyle w:val="ListParagraph"/>
        <w:rPr>
          <w:szCs w:val="22"/>
        </w:rPr>
      </w:pPr>
    </w:p>
    <w:p w:rsidR="0012662B" w:rsidRDefault="0012662B" w:rsidP="0012662B">
      <w:pPr>
        <w:pStyle w:val="ListParagraph"/>
        <w:numPr>
          <w:ilvl w:val="1"/>
          <w:numId w:val="12"/>
        </w:numPr>
        <w:rPr>
          <w:szCs w:val="22"/>
        </w:rPr>
      </w:pPr>
      <w:proofErr w:type="spellStart"/>
      <w:r w:rsidRPr="0012662B">
        <w:rPr>
          <w:szCs w:val="22"/>
        </w:rPr>
        <w:t>GetGoal</w:t>
      </w:r>
      <w:proofErr w:type="spellEnd"/>
      <w:r w:rsidRPr="0012662B">
        <w:rPr>
          <w:szCs w:val="22"/>
        </w:rPr>
        <w:t>-L Asia differed from the other included trials in terms of baseline mean BMI, baseline mean daily insulin dose, prior and ongoing use of sulfonylureas and race, and was not sufficiently comparable with the other trials to justify inclusion in the indirect analysis.</w:t>
      </w:r>
    </w:p>
    <w:p w:rsidR="00A06963" w:rsidRPr="00A06963" w:rsidRDefault="00A06963" w:rsidP="00A06963">
      <w:pPr>
        <w:pStyle w:val="ListParagraph"/>
        <w:rPr>
          <w:szCs w:val="22"/>
        </w:rPr>
      </w:pPr>
    </w:p>
    <w:p w:rsidR="007F1017" w:rsidRPr="002857E9" w:rsidRDefault="00C15A4D" w:rsidP="00DD0985">
      <w:pPr>
        <w:pStyle w:val="ListParagraph"/>
        <w:widowControl/>
        <w:numPr>
          <w:ilvl w:val="1"/>
          <w:numId w:val="12"/>
        </w:numPr>
        <w:rPr>
          <w:szCs w:val="22"/>
        </w:rPr>
      </w:pPr>
      <w:r w:rsidRPr="002857E9">
        <w:t xml:space="preserve">The trials used in the multi-step indirect analysis are not comparable and the </w:t>
      </w:r>
      <w:r w:rsidR="006D07FE" w:rsidRPr="002857E9">
        <w:t>resubmission</w:t>
      </w:r>
      <w:r w:rsidRPr="002857E9">
        <w:t xml:space="preserve"> acknowledges that a formal indirect comparison was not appropriate due to non-exchangeability of the trials.</w:t>
      </w:r>
    </w:p>
    <w:p w:rsidR="00A6541D" w:rsidRPr="002857E9" w:rsidRDefault="00A6541D" w:rsidP="00107F2F">
      <w:pPr>
        <w:pStyle w:val="ListParagraph"/>
        <w:rPr>
          <w:szCs w:val="22"/>
        </w:rPr>
      </w:pPr>
    </w:p>
    <w:p w:rsidR="00B81F22" w:rsidRPr="002857E9" w:rsidRDefault="00B81F22" w:rsidP="00B81F22">
      <w:pPr>
        <w:pStyle w:val="ListParagraph"/>
        <w:widowControl/>
        <w:numPr>
          <w:ilvl w:val="1"/>
          <w:numId w:val="12"/>
        </w:numPr>
      </w:pPr>
      <w:r w:rsidRPr="002857E9">
        <w:t xml:space="preserve">The ESC acknowledged the Pre-Sub-Committee Response’s (PSCR, p1) comment that the PBAC has previously </w:t>
      </w:r>
      <w:r w:rsidR="005D3D1A">
        <w:t>advised that</w:t>
      </w:r>
      <w:r w:rsidRPr="002857E9">
        <w:t xml:space="preserve"> up-titration </w:t>
      </w:r>
      <w:r w:rsidR="005D3D1A">
        <w:t xml:space="preserve">of </w:t>
      </w:r>
      <w:r w:rsidRPr="002857E9">
        <w:t>insulin would be a specific comparator for dapagliflozin in this indication</w:t>
      </w:r>
      <w:r w:rsidR="005D3D1A">
        <w:t>,</w:t>
      </w:r>
      <w:r w:rsidRPr="002857E9">
        <w:t xml:space="preserve"> from the March 2012 PBAC submission. Overall, the ESC considered that the multi-step indirect comparison across three trials </w:t>
      </w:r>
      <w:r w:rsidR="005D3D1A">
        <w:t>wa</w:t>
      </w:r>
      <w:r w:rsidRPr="002857E9">
        <w:t xml:space="preserve">s limited by between-trial heterogeneity, particularly </w:t>
      </w:r>
      <w:r w:rsidR="005D3D1A">
        <w:t>due to</w:t>
      </w:r>
      <w:r w:rsidRPr="002857E9">
        <w:t xml:space="preserve"> the baseline characteristics of trial participants. </w:t>
      </w:r>
    </w:p>
    <w:p w:rsidR="00B81F22" w:rsidRPr="002857E9" w:rsidRDefault="00B81F22" w:rsidP="00B81F22">
      <w:pPr>
        <w:pStyle w:val="ListParagraph"/>
        <w:ind w:left="709"/>
        <w:rPr>
          <w:szCs w:val="22"/>
        </w:rPr>
      </w:pPr>
    </w:p>
    <w:p w:rsidR="00B81F22" w:rsidRPr="002857E9" w:rsidRDefault="00B81F22" w:rsidP="00564278">
      <w:pPr>
        <w:pStyle w:val="ListParagraph"/>
        <w:widowControl/>
        <w:numPr>
          <w:ilvl w:val="1"/>
          <w:numId w:val="12"/>
        </w:numPr>
      </w:pPr>
      <w:r w:rsidRPr="002857E9">
        <w:t xml:space="preserve">The ESC further noted that the indirect comparison </w:t>
      </w:r>
      <w:r w:rsidR="005D3D1A">
        <w:t>i</w:t>
      </w:r>
      <w:r w:rsidRPr="002857E9">
        <w:t xml:space="preserve">s sensitive to the method </w:t>
      </w:r>
      <w:r w:rsidR="005D3D1A">
        <w:t xml:space="preserve">used </w:t>
      </w:r>
      <w:r w:rsidRPr="002857E9">
        <w:t>to imput</w:t>
      </w:r>
      <w:r w:rsidR="005D3D1A">
        <w:t>e</w:t>
      </w:r>
      <w:r w:rsidRPr="002857E9">
        <w:t xml:space="preserve"> missing trial data. The non-inferiority of dapagliflozin versus exenatide (in combination with insulin) in the indirect analysis comparing Trial CT-006 with Trial GWCO is dependent on whether missing data for Trial CT-006 are </w:t>
      </w:r>
      <w:r w:rsidR="005D3D1A">
        <w:t>analysed</w:t>
      </w:r>
      <w:r w:rsidRPr="002857E9">
        <w:t xml:space="preserve"> using </w:t>
      </w:r>
      <w:r w:rsidR="00564278">
        <w:t>last o</w:t>
      </w:r>
      <w:r w:rsidR="0012662B">
        <w:t xml:space="preserve">bservation </w:t>
      </w:r>
      <w:r w:rsidR="00564278">
        <w:t>c</w:t>
      </w:r>
      <w:r w:rsidR="0012662B">
        <w:t xml:space="preserve">arried </w:t>
      </w:r>
      <w:r w:rsidR="00564278">
        <w:t>f</w:t>
      </w:r>
      <w:r w:rsidR="0012662B">
        <w:t>orward (L</w:t>
      </w:r>
      <w:r w:rsidRPr="002857E9">
        <w:t>OCF</w:t>
      </w:r>
      <w:r w:rsidR="0012662B">
        <w:t>)</w:t>
      </w:r>
      <w:r w:rsidRPr="002857E9">
        <w:t xml:space="preserve"> or </w:t>
      </w:r>
      <w:r w:rsidR="00564278" w:rsidRPr="00564278">
        <w:t xml:space="preserve">mixed-effects model repeated measures </w:t>
      </w:r>
      <w:r w:rsidR="00564278">
        <w:t>(</w:t>
      </w:r>
      <w:r w:rsidRPr="002857E9">
        <w:t>MMRM</w:t>
      </w:r>
      <w:r w:rsidR="00564278">
        <w:t>)</w:t>
      </w:r>
      <w:r w:rsidRPr="002857E9">
        <w:t xml:space="preserve"> imputation. As this represents a key component of the non-inferiority argument, greater justification</w:t>
      </w:r>
      <w:r w:rsidR="005D3D1A">
        <w:t xml:space="preserve"> for</w:t>
      </w:r>
      <w:r w:rsidRPr="002857E9">
        <w:t xml:space="preserve"> the preference for LOCF over a probabilistic imputation method such</w:t>
      </w:r>
      <w:r w:rsidR="007B1F35" w:rsidRPr="002857E9">
        <w:t xml:space="preserve"> as</w:t>
      </w:r>
      <w:r w:rsidRPr="002857E9">
        <w:t xml:space="preserve"> MMRM would permit a more informed assessment of whether non-inferiority has actually been established at this particular stage of the indirect comparison.</w:t>
      </w:r>
    </w:p>
    <w:p w:rsidR="00107F2F" w:rsidRPr="002857E9" w:rsidRDefault="00107F2F" w:rsidP="00107F2F">
      <w:pPr>
        <w:pStyle w:val="PBACheading1"/>
        <w:numPr>
          <w:ilvl w:val="0"/>
          <w:numId w:val="0"/>
        </w:numPr>
        <w:ind w:left="720" w:hanging="720"/>
      </w:pPr>
    </w:p>
    <w:p w:rsidR="00B60939" w:rsidRPr="00116159" w:rsidRDefault="00B60939" w:rsidP="00116159">
      <w:pPr>
        <w:pStyle w:val="BodyText"/>
        <w:rPr>
          <w:b/>
        </w:rPr>
      </w:pPr>
      <w:bookmarkStart w:id="8" w:name="_Toc398280630"/>
      <w:r w:rsidRPr="00116159">
        <w:rPr>
          <w:b/>
        </w:rPr>
        <w:t>Comparative effectiveness</w:t>
      </w:r>
      <w:bookmarkEnd w:id="8"/>
    </w:p>
    <w:p w:rsidR="00B60939" w:rsidRPr="002857E9" w:rsidRDefault="00B60939" w:rsidP="00B60939">
      <w:pPr>
        <w:rPr>
          <w:szCs w:val="22"/>
        </w:rPr>
      </w:pPr>
    </w:p>
    <w:p w:rsidR="00162D84" w:rsidRPr="002857E9" w:rsidRDefault="00162D84" w:rsidP="00DD0985">
      <w:pPr>
        <w:pStyle w:val="ListParagraph"/>
        <w:widowControl/>
        <w:numPr>
          <w:ilvl w:val="1"/>
          <w:numId w:val="12"/>
        </w:numPr>
      </w:pPr>
      <w:r w:rsidRPr="002857E9">
        <w:t xml:space="preserve">Indirect analysis </w:t>
      </w:r>
      <w:r w:rsidR="0025419A" w:rsidRPr="002857E9">
        <w:t xml:space="preserve">of </w:t>
      </w:r>
      <w:r w:rsidRPr="002857E9">
        <w:t>dapagliflozin vs exenatide</w:t>
      </w:r>
      <w:r w:rsidR="00541001" w:rsidRPr="002857E9">
        <w:t xml:space="preserve"> (trials CT-006 and GWCO) and the direct comparison between exenatide and insulin up-titration (Trial GWDM).</w:t>
      </w:r>
    </w:p>
    <w:p w:rsidR="0025419A" w:rsidRPr="00181CA6" w:rsidRDefault="0025419A" w:rsidP="0025419A">
      <w:pPr>
        <w:pStyle w:val="ListParagraph"/>
        <w:widowControl/>
        <w:ind w:left="709"/>
        <w:rPr>
          <w:rStyle w:val="CommentReference"/>
          <w:rFonts w:ascii="Arial" w:hAnsi="Arial"/>
          <w:sz w:val="22"/>
          <w:szCs w:val="22"/>
        </w:rPr>
      </w:pPr>
    </w:p>
    <w:p w:rsidR="004D19AA" w:rsidRPr="00181CA6" w:rsidRDefault="00D06FD4" w:rsidP="00162D84">
      <w:pPr>
        <w:pStyle w:val="ListParagraph"/>
        <w:widowControl/>
        <w:ind w:left="709"/>
        <w:rPr>
          <w:rFonts w:ascii="Arial Narrow" w:hAnsi="Arial Narrow"/>
          <w:b/>
          <w:sz w:val="20"/>
          <w:szCs w:val="16"/>
        </w:rPr>
      </w:pPr>
      <w:r w:rsidRPr="00181CA6">
        <w:rPr>
          <w:rStyle w:val="CommentReference"/>
        </w:rPr>
        <w:t xml:space="preserve">Results of </w:t>
      </w:r>
      <w:r w:rsidR="00162D84" w:rsidRPr="00181CA6">
        <w:rPr>
          <w:rStyle w:val="CommentReference"/>
        </w:rPr>
        <w:t xml:space="preserve">mean change in HbA1c (%) from baseline </w:t>
      </w:r>
      <w:r w:rsidR="00B048E0" w:rsidRPr="00181CA6">
        <w:rPr>
          <w:rStyle w:val="CommentReference"/>
        </w:rPr>
        <w:t>(</w:t>
      </w:r>
      <w:r w:rsidR="00162D84" w:rsidRPr="00181CA6">
        <w:rPr>
          <w:rStyle w:val="CommentReference"/>
        </w:rPr>
        <w:t>indirect analysis</w:t>
      </w:r>
      <w:r w:rsidR="00B048E0" w:rsidRPr="00181CA6">
        <w:rPr>
          <w:rStyle w:val="CommentReference"/>
        </w:rPr>
        <w:t xml:space="preserve"> dapagliflozin vs exenatide)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0"/>
        <w:gridCol w:w="988"/>
        <w:gridCol w:w="532"/>
        <w:gridCol w:w="1165"/>
        <w:gridCol w:w="355"/>
        <w:gridCol w:w="1342"/>
        <w:gridCol w:w="179"/>
        <w:gridCol w:w="1520"/>
        <w:gridCol w:w="1554"/>
      </w:tblGrid>
      <w:tr w:rsidR="00162D84" w:rsidRPr="00181CA6" w:rsidTr="00162D84">
        <w:trPr>
          <w:cantSplit/>
          <w:trHeight w:val="179"/>
          <w:tblHeader/>
        </w:trPr>
        <w:tc>
          <w:tcPr>
            <w:tcW w:w="425" w:type="pct"/>
            <w:vMerge w:val="restart"/>
            <w:vAlign w:val="center"/>
          </w:tcPr>
          <w:p w:rsidR="00162D84" w:rsidRPr="00181CA6" w:rsidRDefault="00162D84" w:rsidP="0033780D">
            <w:pPr>
              <w:jc w:val="left"/>
              <w:rPr>
                <w:rFonts w:ascii="Arial Narrow" w:hAnsi="Arial Narrow"/>
                <w:sz w:val="20"/>
              </w:rPr>
            </w:pPr>
            <w:r w:rsidRPr="00181CA6">
              <w:rPr>
                <w:rFonts w:ascii="Arial Narrow" w:hAnsi="Arial Narrow"/>
                <w:b/>
                <w:sz w:val="20"/>
              </w:rPr>
              <w:t>Trial ID</w:t>
            </w:r>
          </w:p>
        </w:tc>
        <w:tc>
          <w:tcPr>
            <w:tcW w:w="911" w:type="pct"/>
            <w:gridSpan w:val="2"/>
            <w:tcBorders>
              <w:bottom w:val="nil"/>
            </w:tcBorders>
            <w:vAlign w:val="center"/>
          </w:tcPr>
          <w:p w:rsidR="00162D84" w:rsidRPr="00181CA6" w:rsidRDefault="00162D84" w:rsidP="0033780D">
            <w:pPr>
              <w:jc w:val="center"/>
              <w:rPr>
                <w:rFonts w:ascii="Arial Narrow" w:hAnsi="Arial Narrow"/>
                <w:sz w:val="20"/>
              </w:rPr>
            </w:pPr>
            <w:r w:rsidRPr="00181CA6">
              <w:rPr>
                <w:rFonts w:ascii="Arial Narrow" w:hAnsi="Arial Narrow"/>
                <w:b/>
                <w:sz w:val="20"/>
              </w:rPr>
              <w:t xml:space="preserve">Dapagliflozin + insulin </w:t>
            </w:r>
          </w:p>
        </w:tc>
        <w:tc>
          <w:tcPr>
            <w:tcW w:w="911" w:type="pct"/>
            <w:gridSpan w:val="2"/>
            <w:tcBorders>
              <w:bottom w:val="nil"/>
            </w:tcBorders>
            <w:vAlign w:val="center"/>
          </w:tcPr>
          <w:p w:rsidR="00162D84" w:rsidRPr="00181CA6" w:rsidRDefault="00162D84" w:rsidP="0033780D">
            <w:pPr>
              <w:jc w:val="center"/>
              <w:rPr>
                <w:rFonts w:ascii="Arial Narrow" w:hAnsi="Arial Narrow"/>
                <w:b/>
                <w:sz w:val="20"/>
              </w:rPr>
            </w:pPr>
            <w:r w:rsidRPr="00181CA6">
              <w:rPr>
                <w:rFonts w:ascii="Arial Narrow" w:hAnsi="Arial Narrow"/>
                <w:b/>
                <w:sz w:val="20"/>
              </w:rPr>
              <w:t>Placebo +</w:t>
            </w:r>
          </w:p>
          <w:p w:rsidR="00162D84" w:rsidRPr="00181CA6" w:rsidRDefault="00162D84" w:rsidP="0033780D">
            <w:pPr>
              <w:jc w:val="center"/>
              <w:rPr>
                <w:rFonts w:ascii="Arial Narrow" w:hAnsi="Arial Narrow"/>
                <w:sz w:val="20"/>
              </w:rPr>
            </w:pPr>
            <w:r w:rsidRPr="00181CA6">
              <w:rPr>
                <w:rFonts w:ascii="Arial Narrow" w:hAnsi="Arial Narrow"/>
                <w:b/>
                <w:sz w:val="20"/>
              </w:rPr>
              <w:t xml:space="preserve"> insulin </w:t>
            </w:r>
          </w:p>
        </w:tc>
        <w:tc>
          <w:tcPr>
            <w:tcW w:w="911" w:type="pct"/>
            <w:gridSpan w:val="2"/>
            <w:tcBorders>
              <w:bottom w:val="nil"/>
            </w:tcBorders>
            <w:vAlign w:val="center"/>
          </w:tcPr>
          <w:p w:rsidR="00162D84" w:rsidRPr="00181CA6" w:rsidRDefault="00162D84" w:rsidP="0033780D">
            <w:pPr>
              <w:jc w:val="center"/>
              <w:rPr>
                <w:rFonts w:ascii="Arial Narrow" w:hAnsi="Arial Narrow"/>
                <w:b/>
                <w:sz w:val="20"/>
              </w:rPr>
            </w:pPr>
            <w:r w:rsidRPr="00181CA6">
              <w:rPr>
                <w:rFonts w:ascii="Arial Narrow" w:hAnsi="Arial Narrow"/>
                <w:b/>
                <w:sz w:val="20"/>
              </w:rPr>
              <w:t xml:space="preserve">Placebo + </w:t>
            </w:r>
          </w:p>
          <w:p w:rsidR="00162D84" w:rsidRPr="00181CA6" w:rsidRDefault="00162D84" w:rsidP="0033780D">
            <w:pPr>
              <w:jc w:val="center"/>
              <w:rPr>
                <w:rFonts w:ascii="Arial Narrow" w:hAnsi="Arial Narrow"/>
                <w:b/>
                <w:sz w:val="20"/>
              </w:rPr>
            </w:pPr>
            <w:r w:rsidRPr="00181CA6">
              <w:rPr>
                <w:rFonts w:ascii="Arial Narrow" w:hAnsi="Arial Narrow"/>
                <w:b/>
                <w:sz w:val="20"/>
              </w:rPr>
              <w:t>optimised glargine</w:t>
            </w:r>
          </w:p>
        </w:tc>
        <w:tc>
          <w:tcPr>
            <w:tcW w:w="911" w:type="pct"/>
            <w:tcBorders>
              <w:bottom w:val="nil"/>
            </w:tcBorders>
            <w:vAlign w:val="center"/>
          </w:tcPr>
          <w:p w:rsidR="00162D84" w:rsidRPr="00181CA6" w:rsidRDefault="00162D84" w:rsidP="0033780D">
            <w:pPr>
              <w:jc w:val="center"/>
              <w:rPr>
                <w:rFonts w:ascii="Arial Narrow" w:hAnsi="Arial Narrow"/>
                <w:b/>
                <w:sz w:val="20"/>
              </w:rPr>
            </w:pPr>
            <w:r w:rsidRPr="00181CA6">
              <w:rPr>
                <w:rFonts w:ascii="Arial Narrow" w:hAnsi="Arial Narrow"/>
                <w:b/>
                <w:sz w:val="20"/>
              </w:rPr>
              <w:t xml:space="preserve">Exenatide + </w:t>
            </w:r>
          </w:p>
          <w:p w:rsidR="00162D84" w:rsidRPr="00181CA6" w:rsidRDefault="00162D84" w:rsidP="0033780D">
            <w:pPr>
              <w:jc w:val="center"/>
              <w:rPr>
                <w:rFonts w:ascii="Arial Narrow" w:hAnsi="Arial Narrow"/>
                <w:b/>
                <w:sz w:val="20"/>
              </w:rPr>
            </w:pPr>
            <w:r w:rsidRPr="00181CA6">
              <w:rPr>
                <w:rFonts w:ascii="Arial Narrow" w:hAnsi="Arial Narrow"/>
                <w:b/>
                <w:sz w:val="20"/>
              </w:rPr>
              <w:t>optimised glargine</w:t>
            </w:r>
          </w:p>
        </w:tc>
        <w:tc>
          <w:tcPr>
            <w:tcW w:w="931" w:type="pct"/>
            <w:vMerge w:val="restart"/>
            <w:vAlign w:val="center"/>
          </w:tcPr>
          <w:p w:rsidR="00162D84" w:rsidRPr="00181CA6" w:rsidRDefault="00162D84" w:rsidP="0033780D">
            <w:pPr>
              <w:jc w:val="center"/>
              <w:rPr>
                <w:rFonts w:ascii="Arial Narrow" w:hAnsi="Arial Narrow"/>
                <w:b/>
                <w:sz w:val="20"/>
              </w:rPr>
            </w:pPr>
            <w:r w:rsidRPr="00181CA6">
              <w:rPr>
                <w:rFonts w:ascii="Arial Narrow" w:hAnsi="Arial Narrow"/>
                <w:b/>
                <w:sz w:val="20"/>
              </w:rPr>
              <w:t>Difference in</w:t>
            </w:r>
          </w:p>
          <w:p w:rsidR="00162D84" w:rsidRPr="00181CA6" w:rsidRDefault="00162D84" w:rsidP="0033780D">
            <w:pPr>
              <w:jc w:val="center"/>
              <w:rPr>
                <w:rFonts w:ascii="Arial Narrow" w:hAnsi="Arial Narrow"/>
                <w:b/>
                <w:sz w:val="20"/>
              </w:rPr>
            </w:pPr>
            <w:r w:rsidRPr="00181CA6">
              <w:rPr>
                <w:rFonts w:ascii="Arial Narrow" w:hAnsi="Arial Narrow"/>
                <w:b/>
                <w:sz w:val="20"/>
              </w:rPr>
              <w:t xml:space="preserve">LS mean change in </w:t>
            </w:r>
            <w:r w:rsidRPr="00181CA6">
              <w:rPr>
                <w:rFonts w:ascii="Arial Narrow" w:hAnsi="Arial Narrow"/>
                <w:b/>
                <w:sz w:val="20"/>
              </w:rPr>
              <w:br/>
              <w:t>HbA1c% (95% CI)</w:t>
            </w:r>
          </w:p>
        </w:tc>
      </w:tr>
      <w:tr w:rsidR="00162D84" w:rsidRPr="00181CA6" w:rsidTr="00162D84">
        <w:trPr>
          <w:cantSplit/>
          <w:trHeight w:val="178"/>
          <w:tblHeader/>
        </w:trPr>
        <w:tc>
          <w:tcPr>
            <w:tcW w:w="425" w:type="pct"/>
            <w:vMerge/>
            <w:vAlign w:val="center"/>
          </w:tcPr>
          <w:p w:rsidR="00162D84" w:rsidRPr="00181CA6" w:rsidRDefault="00162D84" w:rsidP="0033780D">
            <w:pPr>
              <w:jc w:val="left"/>
              <w:rPr>
                <w:rFonts w:ascii="Arial Narrow" w:hAnsi="Arial Narrow"/>
                <w:sz w:val="20"/>
              </w:rPr>
            </w:pPr>
          </w:p>
        </w:tc>
        <w:tc>
          <w:tcPr>
            <w:tcW w:w="911" w:type="pct"/>
            <w:gridSpan w:val="2"/>
            <w:tcBorders>
              <w:top w:val="nil"/>
            </w:tcBorders>
            <w:vAlign w:val="center"/>
          </w:tcPr>
          <w:p w:rsidR="00162D84" w:rsidRPr="00181CA6" w:rsidRDefault="00162D84" w:rsidP="0033780D">
            <w:pPr>
              <w:jc w:val="center"/>
              <w:rPr>
                <w:rFonts w:ascii="Arial Narrow" w:hAnsi="Arial Narrow"/>
                <w:b/>
                <w:sz w:val="20"/>
              </w:rPr>
            </w:pPr>
            <w:r w:rsidRPr="00181CA6">
              <w:rPr>
                <w:rFonts w:ascii="Arial Narrow" w:hAnsi="Arial Narrow"/>
                <w:b/>
                <w:sz w:val="20"/>
              </w:rPr>
              <w:t>HbA1c% (SE)</w:t>
            </w:r>
          </w:p>
          <w:p w:rsidR="00162D84" w:rsidRPr="00181CA6" w:rsidRDefault="00162D84" w:rsidP="0033780D">
            <w:pPr>
              <w:jc w:val="center"/>
              <w:rPr>
                <w:rFonts w:ascii="Arial Narrow" w:hAnsi="Arial Narrow"/>
                <w:b/>
                <w:sz w:val="20"/>
              </w:rPr>
            </w:pPr>
            <w:r w:rsidRPr="00181CA6">
              <w:rPr>
                <w:rFonts w:ascii="Arial Narrow" w:hAnsi="Arial Narrow"/>
                <w:b/>
                <w:sz w:val="20"/>
              </w:rPr>
              <w:t>N=194</w:t>
            </w:r>
          </w:p>
        </w:tc>
        <w:tc>
          <w:tcPr>
            <w:tcW w:w="911" w:type="pct"/>
            <w:gridSpan w:val="2"/>
            <w:tcBorders>
              <w:top w:val="nil"/>
            </w:tcBorders>
            <w:vAlign w:val="center"/>
          </w:tcPr>
          <w:p w:rsidR="00162D84" w:rsidRPr="00181CA6" w:rsidRDefault="00162D84" w:rsidP="0033780D">
            <w:pPr>
              <w:jc w:val="center"/>
              <w:rPr>
                <w:rFonts w:ascii="Arial Narrow" w:hAnsi="Arial Narrow"/>
                <w:b/>
                <w:sz w:val="20"/>
              </w:rPr>
            </w:pPr>
            <w:r w:rsidRPr="00181CA6">
              <w:rPr>
                <w:rFonts w:ascii="Arial Narrow" w:hAnsi="Arial Narrow"/>
                <w:b/>
                <w:sz w:val="20"/>
              </w:rPr>
              <w:t>HbA1c% (SE)</w:t>
            </w:r>
          </w:p>
          <w:p w:rsidR="00162D84" w:rsidRPr="00181CA6" w:rsidRDefault="00162D84" w:rsidP="0033780D">
            <w:pPr>
              <w:jc w:val="center"/>
              <w:rPr>
                <w:rFonts w:ascii="Arial Narrow" w:hAnsi="Arial Narrow"/>
                <w:b/>
                <w:sz w:val="20"/>
              </w:rPr>
            </w:pPr>
            <w:r w:rsidRPr="00181CA6">
              <w:rPr>
                <w:rFonts w:ascii="Arial Narrow" w:hAnsi="Arial Narrow"/>
                <w:b/>
                <w:sz w:val="20"/>
              </w:rPr>
              <w:t>N=193</w:t>
            </w:r>
          </w:p>
        </w:tc>
        <w:tc>
          <w:tcPr>
            <w:tcW w:w="911" w:type="pct"/>
            <w:gridSpan w:val="2"/>
            <w:tcBorders>
              <w:top w:val="nil"/>
            </w:tcBorders>
            <w:vAlign w:val="center"/>
          </w:tcPr>
          <w:p w:rsidR="00162D84" w:rsidRPr="00181CA6" w:rsidRDefault="00162D84" w:rsidP="0033780D">
            <w:pPr>
              <w:jc w:val="center"/>
              <w:rPr>
                <w:rFonts w:ascii="Arial Narrow" w:hAnsi="Arial Narrow"/>
                <w:b/>
                <w:sz w:val="20"/>
              </w:rPr>
            </w:pPr>
            <w:r w:rsidRPr="00181CA6">
              <w:rPr>
                <w:rFonts w:ascii="Arial Narrow" w:hAnsi="Arial Narrow"/>
                <w:b/>
                <w:sz w:val="20"/>
              </w:rPr>
              <w:t>HbA1c% (SE)</w:t>
            </w:r>
          </w:p>
          <w:p w:rsidR="00162D84" w:rsidRPr="00181CA6" w:rsidRDefault="00162D84" w:rsidP="0033780D">
            <w:pPr>
              <w:jc w:val="center"/>
              <w:rPr>
                <w:rFonts w:ascii="Arial Narrow" w:hAnsi="Arial Narrow"/>
                <w:b/>
                <w:sz w:val="20"/>
              </w:rPr>
            </w:pPr>
            <w:r w:rsidRPr="00181CA6">
              <w:rPr>
                <w:rFonts w:ascii="Arial Narrow" w:hAnsi="Arial Narrow"/>
                <w:b/>
                <w:sz w:val="20"/>
              </w:rPr>
              <w:t>N=112</w:t>
            </w:r>
          </w:p>
        </w:tc>
        <w:tc>
          <w:tcPr>
            <w:tcW w:w="911" w:type="pct"/>
            <w:tcBorders>
              <w:top w:val="nil"/>
            </w:tcBorders>
            <w:vAlign w:val="center"/>
          </w:tcPr>
          <w:p w:rsidR="00162D84" w:rsidRPr="00181CA6" w:rsidRDefault="00162D84" w:rsidP="0033780D">
            <w:pPr>
              <w:jc w:val="center"/>
              <w:rPr>
                <w:rFonts w:ascii="Arial Narrow" w:hAnsi="Arial Narrow"/>
                <w:b/>
                <w:sz w:val="20"/>
              </w:rPr>
            </w:pPr>
            <w:r w:rsidRPr="00181CA6">
              <w:rPr>
                <w:rFonts w:ascii="Arial Narrow" w:hAnsi="Arial Narrow"/>
                <w:b/>
                <w:sz w:val="20"/>
              </w:rPr>
              <w:t>HbA1c% (SE)</w:t>
            </w:r>
          </w:p>
          <w:p w:rsidR="00162D84" w:rsidRPr="00181CA6" w:rsidRDefault="00162D84" w:rsidP="0033780D">
            <w:pPr>
              <w:jc w:val="center"/>
              <w:rPr>
                <w:rFonts w:ascii="Arial Narrow" w:hAnsi="Arial Narrow"/>
                <w:b/>
                <w:sz w:val="20"/>
              </w:rPr>
            </w:pPr>
            <w:r w:rsidRPr="00181CA6">
              <w:rPr>
                <w:rFonts w:ascii="Arial Narrow" w:hAnsi="Arial Narrow"/>
                <w:b/>
                <w:sz w:val="20"/>
              </w:rPr>
              <w:t>N=100</w:t>
            </w:r>
          </w:p>
        </w:tc>
        <w:tc>
          <w:tcPr>
            <w:tcW w:w="931" w:type="pct"/>
            <w:vMerge/>
            <w:vAlign w:val="center"/>
          </w:tcPr>
          <w:p w:rsidR="00162D84" w:rsidRPr="00181CA6" w:rsidRDefault="00162D84" w:rsidP="0033780D">
            <w:pPr>
              <w:jc w:val="center"/>
              <w:rPr>
                <w:rFonts w:ascii="Arial Narrow" w:hAnsi="Arial Narrow"/>
                <w:b/>
                <w:sz w:val="20"/>
              </w:rPr>
            </w:pPr>
          </w:p>
        </w:tc>
      </w:tr>
      <w:tr w:rsidR="00162D84" w:rsidRPr="00181CA6" w:rsidTr="00162D84">
        <w:tc>
          <w:tcPr>
            <w:tcW w:w="425" w:type="pct"/>
            <w:vAlign w:val="center"/>
          </w:tcPr>
          <w:p w:rsidR="00162D84" w:rsidRPr="00181CA6" w:rsidRDefault="00162D84" w:rsidP="0033780D">
            <w:pPr>
              <w:jc w:val="left"/>
              <w:rPr>
                <w:rFonts w:ascii="Arial Narrow" w:hAnsi="Arial Narrow"/>
                <w:sz w:val="20"/>
              </w:rPr>
            </w:pPr>
            <w:r w:rsidRPr="00181CA6">
              <w:rPr>
                <w:rFonts w:ascii="Arial Narrow" w:hAnsi="Arial Narrow"/>
                <w:sz w:val="20"/>
              </w:rPr>
              <w:t>CT-006</w:t>
            </w:r>
          </w:p>
        </w:tc>
        <w:tc>
          <w:tcPr>
            <w:tcW w:w="911" w:type="pct"/>
            <w:gridSpan w:val="2"/>
            <w:vAlign w:val="center"/>
          </w:tcPr>
          <w:p w:rsidR="00162D84" w:rsidRPr="00181CA6" w:rsidRDefault="00162D84" w:rsidP="0033780D">
            <w:pPr>
              <w:jc w:val="center"/>
              <w:rPr>
                <w:rFonts w:ascii="Arial Narrow" w:hAnsi="Arial Narrow"/>
                <w:sz w:val="20"/>
              </w:rPr>
            </w:pPr>
            <w:r w:rsidRPr="00181CA6">
              <w:rPr>
                <w:rFonts w:ascii="Arial Narrow" w:hAnsi="Arial Narrow"/>
                <w:sz w:val="20"/>
              </w:rPr>
              <w:t>-0.9 (0.515)</w:t>
            </w:r>
          </w:p>
        </w:tc>
        <w:tc>
          <w:tcPr>
            <w:tcW w:w="911" w:type="pct"/>
            <w:gridSpan w:val="2"/>
            <w:vAlign w:val="center"/>
          </w:tcPr>
          <w:p w:rsidR="00162D84" w:rsidRPr="00181CA6" w:rsidRDefault="00162D84" w:rsidP="0033780D">
            <w:pPr>
              <w:jc w:val="center"/>
              <w:rPr>
                <w:rFonts w:ascii="Arial Narrow" w:hAnsi="Arial Narrow"/>
                <w:sz w:val="20"/>
              </w:rPr>
            </w:pPr>
            <w:r w:rsidRPr="00181CA6">
              <w:rPr>
                <w:rFonts w:ascii="Arial Narrow" w:hAnsi="Arial Narrow"/>
                <w:sz w:val="20"/>
              </w:rPr>
              <w:t>-0.3 (0.0521)</w:t>
            </w:r>
          </w:p>
        </w:tc>
        <w:tc>
          <w:tcPr>
            <w:tcW w:w="911" w:type="pct"/>
            <w:gridSpan w:val="2"/>
            <w:vAlign w:val="center"/>
          </w:tcPr>
          <w:p w:rsidR="00162D84" w:rsidRPr="00181CA6" w:rsidRDefault="00162D84" w:rsidP="0033780D">
            <w:pPr>
              <w:jc w:val="center"/>
              <w:rPr>
                <w:rFonts w:ascii="Arial Narrow" w:hAnsi="Arial Narrow"/>
                <w:sz w:val="20"/>
              </w:rPr>
            </w:pPr>
            <w:r w:rsidRPr="00181CA6">
              <w:rPr>
                <w:rFonts w:ascii="Arial Narrow" w:hAnsi="Arial Narrow"/>
                <w:sz w:val="20"/>
              </w:rPr>
              <w:t>-</w:t>
            </w:r>
          </w:p>
        </w:tc>
        <w:tc>
          <w:tcPr>
            <w:tcW w:w="911" w:type="pct"/>
            <w:vAlign w:val="center"/>
          </w:tcPr>
          <w:p w:rsidR="00162D84" w:rsidRPr="00181CA6" w:rsidRDefault="00162D84" w:rsidP="0033780D">
            <w:pPr>
              <w:jc w:val="center"/>
              <w:rPr>
                <w:rFonts w:ascii="Arial Narrow" w:hAnsi="Arial Narrow"/>
                <w:sz w:val="20"/>
              </w:rPr>
            </w:pPr>
            <w:r w:rsidRPr="00181CA6">
              <w:rPr>
                <w:rFonts w:ascii="Arial Narrow" w:hAnsi="Arial Narrow"/>
                <w:sz w:val="20"/>
              </w:rPr>
              <w:t>-</w:t>
            </w:r>
          </w:p>
        </w:tc>
        <w:tc>
          <w:tcPr>
            <w:tcW w:w="931" w:type="pct"/>
            <w:vAlign w:val="center"/>
          </w:tcPr>
          <w:p w:rsidR="00162D84" w:rsidRPr="00181CA6" w:rsidRDefault="00162D84" w:rsidP="0033780D">
            <w:pPr>
              <w:jc w:val="center"/>
              <w:rPr>
                <w:rFonts w:ascii="Arial Narrow" w:hAnsi="Arial Narrow"/>
                <w:b/>
                <w:sz w:val="20"/>
              </w:rPr>
            </w:pPr>
            <w:r w:rsidRPr="00181CA6">
              <w:rPr>
                <w:rFonts w:ascii="Arial Narrow" w:hAnsi="Arial Narrow"/>
                <w:b/>
                <w:sz w:val="20"/>
              </w:rPr>
              <w:t>-0.6 (-0.74, -0.45)</w:t>
            </w:r>
          </w:p>
        </w:tc>
      </w:tr>
      <w:tr w:rsidR="00162D84" w:rsidRPr="00181CA6" w:rsidTr="00162D84">
        <w:tc>
          <w:tcPr>
            <w:tcW w:w="425" w:type="pct"/>
            <w:tcBorders>
              <w:bottom w:val="single" w:sz="4" w:space="0" w:color="auto"/>
            </w:tcBorders>
            <w:vAlign w:val="center"/>
          </w:tcPr>
          <w:p w:rsidR="00162D84" w:rsidRPr="00181CA6" w:rsidRDefault="00162D84" w:rsidP="0033780D">
            <w:pPr>
              <w:jc w:val="left"/>
              <w:rPr>
                <w:rFonts w:ascii="Arial Narrow" w:hAnsi="Arial Narrow"/>
                <w:sz w:val="20"/>
              </w:rPr>
            </w:pPr>
            <w:r w:rsidRPr="00181CA6">
              <w:rPr>
                <w:rFonts w:ascii="Arial Narrow" w:hAnsi="Arial Narrow"/>
                <w:sz w:val="20"/>
              </w:rPr>
              <w:t>GWCO</w:t>
            </w:r>
          </w:p>
        </w:tc>
        <w:tc>
          <w:tcPr>
            <w:tcW w:w="911" w:type="pct"/>
            <w:gridSpan w:val="2"/>
            <w:tcBorders>
              <w:bottom w:val="single" w:sz="4" w:space="0" w:color="auto"/>
            </w:tcBorders>
            <w:vAlign w:val="center"/>
          </w:tcPr>
          <w:p w:rsidR="00162D84" w:rsidRPr="00181CA6" w:rsidRDefault="00162D84" w:rsidP="0033780D">
            <w:pPr>
              <w:jc w:val="center"/>
              <w:rPr>
                <w:rFonts w:ascii="Arial Narrow" w:hAnsi="Arial Narrow"/>
                <w:sz w:val="20"/>
              </w:rPr>
            </w:pPr>
            <w:r w:rsidRPr="00181CA6">
              <w:rPr>
                <w:rFonts w:ascii="Arial Narrow" w:hAnsi="Arial Narrow"/>
                <w:sz w:val="20"/>
              </w:rPr>
              <w:t>-</w:t>
            </w:r>
          </w:p>
        </w:tc>
        <w:tc>
          <w:tcPr>
            <w:tcW w:w="911" w:type="pct"/>
            <w:gridSpan w:val="2"/>
            <w:tcBorders>
              <w:bottom w:val="single" w:sz="4" w:space="0" w:color="auto"/>
            </w:tcBorders>
            <w:vAlign w:val="center"/>
          </w:tcPr>
          <w:p w:rsidR="00162D84" w:rsidRPr="00181CA6" w:rsidRDefault="00162D84" w:rsidP="0033780D">
            <w:pPr>
              <w:jc w:val="center"/>
              <w:rPr>
                <w:rFonts w:ascii="Arial Narrow" w:hAnsi="Arial Narrow"/>
                <w:sz w:val="20"/>
              </w:rPr>
            </w:pPr>
          </w:p>
        </w:tc>
        <w:tc>
          <w:tcPr>
            <w:tcW w:w="911" w:type="pct"/>
            <w:gridSpan w:val="2"/>
            <w:tcBorders>
              <w:bottom w:val="single" w:sz="4" w:space="0" w:color="auto"/>
            </w:tcBorders>
            <w:vAlign w:val="center"/>
          </w:tcPr>
          <w:p w:rsidR="00162D84" w:rsidRPr="00181CA6" w:rsidRDefault="00162D84" w:rsidP="0033780D">
            <w:pPr>
              <w:jc w:val="center"/>
              <w:rPr>
                <w:rFonts w:ascii="Arial Narrow" w:hAnsi="Arial Narrow"/>
                <w:sz w:val="20"/>
              </w:rPr>
            </w:pPr>
            <w:r w:rsidRPr="00181CA6">
              <w:rPr>
                <w:rFonts w:ascii="Arial Narrow" w:hAnsi="Arial Narrow"/>
                <w:sz w:val="20"/>
              </w:rPr>
              <w:t>-1.0 (0.09)</w:t>
            </w:r>
          </w:p>
        </w:tc>
        <w:tc>
          <w:tcPr>
            <w:tcW w:w="911" w:type="pct"/>
            <w:tcBorders>
              <w:bottom w:val="single" w:sz="4" w:space="0" w:color="auto"/>
            </w:tcBorders>
            <w:vAlign w:val="center"/>
          </w:tcPr>
          <w:p w:rsidR="00162D84" w:rsidRPr="00181CA6" w:rsidRDefault="00162D84" w:rsidP="0033780D">
            <w:pPr>
              <w:jc w:val="center"/>
              <w:rPr>
                <w:rFonts w:ascii="Arial Narrow" w:hAnsi="Arial Narrow"/>
                <w:sz w:val="20"/>
              </w:rPr>
            </w:pPr>
            <w:r w:rsidRPr="00181CA6">
              <w:rPr>
                <w:rFonts w:ascii="Arial Narrow" w:hAnsi="Arial Narrow"/>
                <w:sz w:val="20"/>
              </w:rPr>
              <w:t>-1.71 (0.09)</w:t>
            </w:r>
          </w:p>
        </w:tc>
        <w:tc>
          <w:tcPr>
            <w:tcW w:w="931" w:type="pct"/>
            <w:tcBorders>
              <w:bottom w:val="single" w:sz="4" w:space="0" w:color="auto"/>
            </w:tcBorders>
            <w:vAlign w:val="center"/>
          </w:tcPr>
          <w:p w:rsidR="00162D84" w:rsidRPr="00181CA6" w:rsidRDefault="00162D84" w:rsidP="0033780D">
            <w:pPr>
              <w:jc w:val="center"/>
              <w:rPr>
                <w:rFonts w:ascii="Arial Narrow" w:hAnsi="Arial Narrow"/>
                <w:b/>
                <w:sz w:val="20"/>
              </w:rPr>
            </w:pPr>
            <w:r w:rsidRPr="00181CA6">
              <w:rPr>
                <w:rFonts w:ascii="Arial Narrow" w:hAnsi="Arial Narrow"/>
                <w:b/>
                <w:sz w:val="20"/>
              </w:rPr>
              <w:t>-0.71 (-0.95, -0.47)</w:t>
            </w:r>
          </w:p>
        </w:tc>
      </w:tr>
      <w:tr w:rsidR="00162D84" w:rsidRPr="00181CA6" w:rsidTr="00162D84">
        <w:trPr>
          <w:trHeight w:val="57"/>
        </w:trPr>
        <w:tc>
          <w:tcPr>
            <w:tcW w:w="1017" w:type="pct"/>
            <w:gridSpan w:val="2"/>
            <w:tcBorders>
              <w:bottom w:val="single" w:sz="4" w:space="0" w:color="auto"/>
              <w:right w:val="nil"/>
            </w:tcBorders>
            <w:vAlign w:val="center"/>
          </w:tcPr>
          <w:p w:rsidR="00162D84" w:rsidRPr="00181CA6" w:rsidRDefault="00162D84" w:rsidP="0033780D">
            <w:pPr>
              <w:jc w:val="left"/>
              <w:rPr>
                <w:rFonts w:ascii="Arial Narrow" w:hAnsi="Arial Narrow"/>
                <w:sz w:val="20"/>
              </w:rPr>
            </w:pPr>
            <w:r w:rsidRPr="00181CA6">
              <w:rPr>
                <w:rFonts w:ascii="Arial Narrow" w:hAnsi="Arial Narrow"/>
                <w:sz w:val="20"/>
              </w:rPr>
              <w:t>Indirect comparison</w:t>
            </w:r>
          </w:p>
        </w:tc>
        <w:tc>
          <w:tcPr>
            <w:tcW w:w="1017" w:type="pct"/>
            <w:gridSpan w:val="2"/>
            <w:tcBorders>
              <w:left w:val="nil"/>
              <w:bottom w:val="single" w:sz="4" w:space="0" w:color="auto"/>
              <w:right w:val="nil"/>
            </w:tcBorders>
            <w:vAlign w:val="center"/>
          </w:tcPr>
          <w:p w:rsidR="00162D84" w:rsidRPr="00181CA6" w:rsidRDefault="00162D84" w:rsidP="0033780D">
            <w:pPr>
              <w:jc w:val="center"/>
              <w:rPr>
                <w:rFonts w:ascii="Arial Narrow" w:hAnsi="Arial Narrow"/>
                <w:sz w:val="20"/>
              </w:rPr>
            </w:pPr>
          </w:p>
        </w:tc>
        <w:tc>
          <w:tcPr>
            <w:tcW w:w="1017" w:type="pct"/>
            <w:gridSpan w:val="2"/>
            <w:tcBorders>
              <w:left w:val="nil"/>
              <w:bottom w:val="single" w:sz="4" w:space="0" w:color="auto"/>
              <w:right w:val="nil"/>
            </w:tcBorders>
            <w:vAlign w:val="center"/>
          </w:tcPr>
          <w:p w:rsidR="00162D84" w:rsidRPr="00181CA6" w:rsidRDefault="00162D84" w:rsidP="0033780D">
            <w:pPr>
              <w:jc w:val="center"/>
              <w:rPr>
                <w:rFonts w:ascii="Arial Narrow" w:hAnsi="Arial Narrow"/>
                <w:sz w:val="20"/>
              </w:rPr>
            </w:pPr>
          </w:p>
        </w:tc>
        <w:tc>
          <w:tcPr>
            <w:tcW w:w="1017" w:type="pct"/>
            <w:gridSpan w:val="2"/>
            <w:tcBorders>
              <w:left w:val="nil"/>
              <w:bottom w:val="single" w:sz="4" w:space="0" w:color="auto"/>
            </w:tcBorders>
            <w:vAlign w:val="center"/>
          </w:tcPr>
          <w:p w:rsidR="00162D84" w:rsidRPr="00181CA6" w:rsidRDefault="00162D84" w:rsidP="0033780D">
            <w:pPr>
              <w:jc w:val="center"/>
              <w:rPr>
                <w:rFonts w:ascii="Arial Narrow" w:hAnsi="Arial Narrow"/>
                <w:sz w:val="20"/>
              </w:rPr>
            </w:pPr>
          </w:p>
        </w:tc>
        <w:tc>
          <w:tcPr>
            <w:tcW w:w="931" w:type="pct"/>
            <w:tcBorders>
              <w:bottom w:val="single" w:sz="4" w:space="0" w:color="auto"/>
            </w:tcBorders>
            <w:vAlign w:val="center"/>
          </w:tcPr>
          <w:p w:rsidR="00162D84" w:rsidRPr="00181CA6" w:rsidRDefault="00162D84" w:rsidP="0033780D">
            <w:pPr>
              <w:jc w:val="center"/>
              <w:rPr>
                <w:rFonts w:ascii="Arial Narrow" w:hAnsi="Arial Narrow"/>
                <w:sz w:val="20"/>
              </w:rPr>
            </w:pPr>
            <w:r w:rsidRPr="00181CA6">
              <w:rPr>
                <w:rFonts w:ascii="Arial Narrow" w:hAnsi="Arial Narrow"/>
                <w:sz w:val="20"/>
              </w:rPr>
              <w:t>0.11 (-0.17, 0.39)</w:t>
            </w:r>
          </w:p>
        </w:tc>
      </w:tr>
    </w:tbl>
    <w:p w:rsidR="00162D84" w:rsidRPr="00181CA6" w:rsidRDefault="00162D84" w:rsidP="00162D84">
      <w:pPr>
        <w:pStyle w:val="TableFooter"/>
        <w:ind w:left="709"/>
      </w:pPr>
      <w:r w:rsidRPr="00181CA6">
        <w:t xml:space="preserve">Source: Table B.20, p.B78 and Table B.39, p.B104 of the </w:t>
      </w:r>
      <w:r w:rsidR="006D07FE" w:rsidRPr="00181CA6">
        <w:t>resubmission</w:t>
      </w:r>
      <w:r w:rsidRPr="00181CA6">
        <w:t>.</w:t>
      </w:r>
    </w:p>
    <w:p w:rsidR="00162D84" w:rsidRPr="00181CA6" w:rsidRDefault="00162D84" w:rsidP="00162D84">
      <w:pPr>
        <w:pStyle w:val="TableFooter"/>
        <w:ind w:left="709"/>
      </w:pPr>
      <w:r w:rsidRPr="00181CA6">
        <w:t>Abbreviations: LS, least square means; SE, standard error.</w:t>
      </w:r>
    </w:p>
    <w:p w:rsidR="00162D84" w:rsidRPr="00181CA6" w:rsidRDefault="00162D84" w:rsidP="00D06FD4">
      <w:pPr>
        <w:pStyle w:val="TableFooter"/>
        <w:ind w:firstLine="720"/>
      </w:pPr>
    </w:p>
    <w:p w:rsidR="0025419A" w:rsidRPr="00181CA6" w:rsidRDefault="00D0474B" w:rsidP="00B048E0">
      <w:pPr>
        <w:ind w:left="709"/>
        <w:rPr>
          <w:rFonts w:ascii="Arial Narrow" w:hAnsi="Arial Narrow"/>
          <w:b/>
          <w:sz w:val="20"/>
        </w:rPr>
      </w:pPr>
      <w:r>
        <w:rPr>
          <w:rStyle w:val="CommentReference"/>
        </w:rPr>
        <w:t>R</w:t>
      </w:r>
      <w:r w:rsidR="0025419A" w:rsidRPr="00181CA6">
        <w:rPr>
          <w:rStyle w:val="CommentReference"/>
        </w:rPr>
        <w:t>esults of LS mean change in HbA1c from baseline</w:t>
      </w:r>
      <w:r w:rsidR="0025419A" w:rsidRPr="00181CA6">
        <w:rPr>
          <w:rFonts w:ascii="Arial Narrow" w:hAnsi="Arial Narrow"/>
          <w:sz w:val="20"/>
        </w:rPr>
        <w:t xml:space="preserve"> </w:t>
      </w:r>
      <w:r w:rsidR="0025419A" w:rsidRPr="00181CA6">
        <w:rPr>
          <w:rFonts w:ascii="Arial Narrow" w:hAnsi="Arial Narrow"/>
          <w:b/>
          <w:sz w:val="20"/>
        </w:rPr>
        <w:t>(exenatide vs up-titrated insulin)</w:t>
      </w:r>
    </w:p>
    <w:tbl>
      <w:tblPr>
        <w:tblW w:w="4599" w:type="pct"/>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2"/>
        <w:gridCol w:w="3038"/>
        <w:gridCol w:w="3053"/>
        <w:gridCol w:w="1551"/>
      </w:tblGrid>
      <w:tr w:rsidR="0025419A" w:rsidRPr="00181CA6" w:rsidTr="00B048E0">
        <w:trPr>
          <w:cantSplit/>
          <w:trHeight w:val="167"/>
        </w:trPr>
        <w:tc>
          <w:tcPr>
            <w:tcW w:w="427" w:type="pct"/>
            <w:vMerge w:val="restart"/>
            <w:tcBorders>
              <w:top w:val="single" w:sz="4" w:space="0" w:color="auto"/>
            </w:tcBorders>
            <w:vAlign w:val="center"/>
          </w:tcPr>
          <w:p w:rsidR="0025419A" w:rsidRPr="00181CA6" w:rsidRDefault="0025419A" w:rsidP="0033780D">
            <w:pPr>
              <w:jc w:val="center"/>
              <w:rPr>
                <w:rFonts w:ascii="Arial Narrow" w:hAnsi="Arial Narrow"/>
                <w:sz w:val="20"/>
              </w:rPr>
            </w:pPr>
          </w:p>
        </w:tc>
        <w:tc>
          <w:tcPr>
            <w:tcW w:w="1818" w:type="pct"/>
            <w:tcBorders>
              <w:top w:val="single" w:sz="4" w:space="0" w:color="auto"/>
              <w:bottom w:val="nil"/>
            </w:tcBorders>
            <w:vAlign w:val="center"/>
          </w:tcPr>
          <w:p w:rsidR="0025419A" w:rsidRPr="00181CA6" w:rsidRDefault="0025419A" w:rsidP="0033780D">
            <w:pPr>
              <w:jc w:val="center"/>
              <w:rPr>
                <w:rFonts w:ascii="Arial Narrow" w:hAnsi="Arial Narrow"/>
                <w:sz w:val="20"/>
              </w:rPr>
            </w:pPr>
            <w:r w:rsidRPr="00181CA6">
              <w:rPr>
                <w:rFonts w:ascii="Arial Narrow" w:hAnsi="Arial Narrow"/>
                <w:b/>
                <w:sz w:val="20"/>
              </w:rPr>
              <w:t xml:space="preserve">Optimised </w:t>
            </w:r>
            <w:proofErr w:type="spellStart"/>
            <w:r w:rsidRPr="00181CA6">
              <w:rPr>
                <w:rFonts w:ascii="Arial Narrow" w:hAnsi="Arial Narrow"/>
                <w:b/>
                <w:sz w:val="20"/>
              </w:rPr>
              <w:t>lispro</w:t>
            </w:r>
            <w:proofErr w:type="spellEnd"/>
            <w:r w:rsidRPr="00181CA6">
              <w:rPr>
                <w:rFonts w:ascii="Arial Narrow" w:hAnsi="Arial Narrow"/>
                <w:b/>
                <w:sz w:val="20"/>
              </w:rPr>
              <w:t xml:space="preserve"> + optimised glargine</w:t>
            </w:r>
          </w:p>
        </w:tc>
        <w:tc>
          <w:tcPr>
            <w:tcW w:w="1827" w:type="pct"/>
            <w:tcBorders>
              <w:top w:val="single" w:sz="4" w:space="0" w:color="auto"/>
              <w:bottom w:val="nil"/>
            </w:tcBorders>
            <w:vAlign w:val="center"/>
          </w:tcPr>
          <w:p w:rsidR="0025419A" w:rsidRPr="00181CA6" w:rsidRDefault="0025419A" w:rsidP="0033780D">
            <w:pPr>
              <w:jc w:val="center"/>
              <w:rPr>
                <w:rFonts w:ascii="Arial Narrow" w:hAnsi="Arial Narrow"/>
                <w:b/>
                <w:sz w:val="20"/>
              </w:rPr>
            </w:pPr>
            <w:r w:rsidRPr="00181CA6">
              <w:rPr>
                <w:rFonts w:ascii="Arial Narrow" w:hAnsi="Arial Narrow"/>
                <w:b/>
                <w:sz w:val="20"/>
              </w:rPr>
              <w:t>Exenatide + optimised glargine</w:t>
            </w:r>
          </w:p>
        </w:tc>
        <w:tc>
          <w:tcPr>
            <w:tcW w:w="928" w:type="pct"/>
            <w:vMerge w:val="restart"/>
            <w:tcBorders>
              <w:top w:val="single" w:sz="4" w:space="0" w:color="auto"/>
            </w:tcBorders>
            <w:vAlign w:val="center"/>
          </w:tcPr>
          <w:p w:rsidR="0025419A" w:rsidRPr="00181CA6" w:rsidRDefault="0025419A" w:rsidP="0033780D">
            <w:pPr>
              <w:jc w:val="center"/>
              <w:rPr>
                <w:rFonts w:ascii="Arial Narrow" w:hAnsi="Arial Narrow"/>
                <w:b/>
                <w:sz w:val="20"/>
              </w:rPr>
            </w:pPr>
            <w:r w:rsidRPr="00181CA6">
              <w:rPr>
                <w:rFonts w:ascii="Arial Narrow" w:hAnsi="Arial Narrow"/>
                <w:b/>
                <w:sz w:val="20"/>
              </w:rPr>
              <w:t>Difference in</w:t>
            </w:r>
          </w:p>
          <w:p w:rsidR="0025419A" w:rsidRPr="00181CA6" w:rsidRDefault="0025419A" w:rsidP="0033780D">
            <w:pPr>
              <w:jc w:val="center"/>
              <w:rPr>
                <w:rFonts w:ascii="Arial Narrow" w:hAnsi="Arial Narrow"/>
                <w:b/>
                <w:sz w:val="20"/>
              </w:rPr>
            </w:pPr>
            <w:r w:rsidRPr="00181CA6">
              <w:rPr>
                <w:rFonts w:ascii="Arial Narrow" w:hAnsi="Arial Narrow"/>
                <w:b/>
                <w:sz w:val="20"/>
              </w:rPr>
              <w:t xml:space="preserve">LS mean change in </w:t>
            </w:r>
            <w:r w:rsidRPr="00181CA6">
              <w:rPr>
                <w:rFonts w:ascii="Arial Narrow" w:hAnsi="Arial Narrow"/>
                <w:b/>
                <w:sz w:val="20"/>
              </w:rPr>
              <w:br/>
              <w:t>HbA1c% (95% CI)</w:t>
            </w:r>
          </w:p>
        </w:tc>
      </w:tr>
      <w:tr w:rsidR="0025419A" w:rsidRPr="00181CA6" w:rsidTr="00B048E0">
        <w:trPr>
          <w:cantSplit/>
          <w:trHeight w:val="166"/>
        </w:trPr>
        <w:tc>
          <w:tcPr>
            <w:tcW w:w="427" w:type="pct"/>
            <w:vMerge/>
            <w:tcBorders>
              <w:bottom w:val="single" w:sz="4" w:space="0" w:color="auto"/>
            </w:tcBorders>
            <w:vAlign w:val="center"/>
          </w:tcPr>
          <w:p w:rsidR="0025419A" w:rsidRPr="00181CA6" w:rsidRDefault="0025419A" w:rsidP="0033780D">
            <w:pPr>
              <w:jc w:val="center"/>
              <w:rPr>
                <w:rFonts w:ascii="Arial Narrow" w:hAnsi="Arial Narrow"/>
                <w:sz w:val="20"/>
              </w:rPr>
            </w:pPr>
          </w:p>
        </w:tc>
        <w:tc>
          <w:tcPr>
            <w:tcW w:w="1818" w:type="pct"/>
            <w:tcBorders>
              <w:top w:val="nil"/>
              <w:bottom w:val="single" w:sz="4" w:space="0" w:color="auto"/>
            </w:tcBorders>
            <w:vAlign w:val="center"/>
          </w:tcPr>
          <w:p w:rsidR="0025419A" w:rsidRPr="00181CA6" w:rsidRDefault="0025419A" w:rsidP="0033780D">
            <w:pPr>
              <w:jc w:val="center"/>
              <w:rPr>
                <w:rFonts w:ascii="Arial Narrow" w:hAnsi="Arial Narrow"/>
                <w:b/>
                <w:sz w:val="20"/>
              </w:rPr>
            </w:pPr>
            <w:r w:rsidRPr="00181CA6">
              <w:rPr>
                <w:rFonts w:ascii="Arial Narrow" w:hAnsi="Arial Narrow"/>
                <w:b/>
                <w:sz w:val="20"/>
              </w:rPr>
              <w:t xml:space="preserve">HbA1c% (SE) </w:t>
            </w:r>
          </w:p>
          <w:p w:rsidR="0025419A" w:rsidRPr="00181CA6" w:rsidRDefault="0025419A" w:rsidP="0033780D">
            <w:pPr>
              <w:jc w:val="center"/>
              <w:rPr>
                <w:rFonts w:ascii="Arial Narrow" w:hAnsi="Arial Narrow"/>
                <w:b/>
                <w:sz w:val="20"/>
              </w:rPr>
            </w:pPr>
            <w:r w:rsidRPr="00181CA6">
              <w:rPr>
                <w:rFonts w:ascii="Arial Narrow" w:hAnsi="Arial Narrow"/>
                <w:b/>
                <w:sz w:val="20"/>
              </w:rPr>
              <w:t>N=276</w:t>
            </w:r>
          </w:p>
        </w:tc>
        <w:tc>
          <w:tcPr>
            <w:tcW w:w="1827" w:type="pct"/>
            <w:tcBorders>
              <w:top w:val="nil"/>
              <w:bottom w:val="single" w:sz="4" w:space="0" w:color="auto"/>
            </w:tcBorders>
            <w:vAlign w:val="center"/>
          </w:tcPr>
          <w:p w:rsidR="0025419A" w:rsidRPr="00181CA6" w:rsidRDefault="0025419A" w:rsidP="0033780D">
            <w:pPr>
              <w:jc w:val="center"/>
              <w:rPr>
                <w:rFonts w:ascii="Arial Narrow" w:hAnsi="Arial Narrow"/>
                <w:b/>
                <w:sz w:val="20"/>
              </w:rPr>
            </w:pPr>
            <w:r w:rsidRPr="00181CA6">
              <w:rPr>
                <w:rFonts w:ascii="Arial Narrow" w:hAnsi="Arial Narrow"/>
                <w:b/>
                <w:sz w:val="20"/>
              </w:rPr>
              <w:t>HbA1c% (SE)</w:t>
            </w:r>
          </w:p>
          <w:p w:rsidR="0025419A" w:rsidRPr="00181CA6" w:rsidRDefault="0025419A" w:rsidP="0033780D">
            <w:pPr>
              <w:jc w:val="center"/>
              <w:rPr>
                <w:rFonts w:ascii="Arial Narrow" w:hAnsi="Arial Narrow"/>
                <w:b/>
                <w:sz w:val="20"/>
              </w:rPr>
            </w:pPr>
            <w:r w:rsidRPr="00181CA6">
              <w:rPr>
                <w:rFonts w:ascii="Arial Narrow" w:hAnsi="Arial Narrow"/>
                <w:b/>
                <w:sz w:val="20"/>
              </w:rPr>
              <w:t xml:space="preserve"> N=265</w:t>
            </w:r>
          </w:p>
        </w:tc>
        <w:tc>
          <w:tcPr>
            <w:tcW w:w="928" w:type="pct"/>
            <w:vMerge/>
            <w:tcBorders>
              <w:bottom w:val="single" w:sz="4" w:space="0" w:color="auto"/>
            </w:tcBorders>
            <w:vAlign w:val="center"/>
          </w:tcPr>
          <w:p w:rsidR="0025419A" w:rsidRPr="00181CA6" w:rsidRDefault="0025419A" w:rsidP="0033780D">
            <w:pPr>
              <w:jc w:val="center"/>
              <w:rPr>
                <w:rFonts w:ascii="Arial Narrow" w:hAnsi="Arial Narrow"/>
                <w:sz w:val="20"/>
              </w:rPr>
            </w:pPr>
          </w:p>
        </w:tc>
      </w:tr>
      <w:tr w:rsidR="0025419A" w:rsidRPr="00181CA6" w:rsidTr="00B048E0">
        <w:trPr>
          <w:cantSplit/>
        </w:trPr>
        <w:tc>
          <w:tcPr>
            <w:tcW w:w="427" w:type="pct"/>
            <w:tcBorders>
              <w:top w:val="single" w:sz="4" w:space="0" w:color="auto"/>
            </w:tcBorders>
            <w:vAlign w:val="center"/>
          </w:tcPr>
          <w:p w:rsidR="0025419A" w:rsidRPr="00181CA6" w:rsidRDefault="0025419A" w:rsidP="0033780D">
            <w:pPr>
              <w:ind w:right="-108"/>
              <w:jc w:val="left"/>
              <w:rPr>
                <w:rFonts w:ascii="Arial Narrow" w:hAnsi="Arial Narrow"/>
                <w:sz w:val="20"/>
              </w:rPr>
            </w:pPr>
            <w:r w:rsidRPr="00181CA6">
              <w:rPr>
                <w:rFonts w:ascii="Arial Narrow" w:hAnsi="Arial Narrow"/>
                <w:sz w:val="20"/>
              </w:rPr>
              <w:t>GWDM</w:t>
            </w:r>
          </w:p>
        </w:tc>
        <w:tc>
          <w:tcPr>
            <w:tcW w:w="1818" w:type="pct"/>
            <w:tcBorders>
              <w:top w:val="single" w:sz="4" w:space="0" w:color="auto"/>
            </w:tcBorders>
            <w:vAlign w:val="center"/>
          </w:tcPr>
          <w:p w:rsidR="0025419A" w:rsidRPr="00181CA6" w:rsidRDefault="0025419A" w:rsidP="0033780D">
            <w:pPr>
              <w:jc w:val="center"/>
              <w:rPr>
                <w:rFonts w:ascii="Arial Narrow" w:hAnsi="Arial Narrow"/>
                <w:sz w:val="20"/>
              </w:rPr>
            </w:pPr>
            <w:r w:rsidRPr="00181CA6">
              <w:rPr>
                <w:rFonts w:ascii="Arial Narrow" w:hAnsi="Arial Narrow"/>
                <w:sz w:val="20"/>
              </w:rPr>
              <w:t>-1.07 (0.05)</w:t>
            </w:r>
          </w:p>
        </w:tc>
        <w:tc>
          <w:tcPr>
            <w:tcW w:w="1827" w:type="pct"/>
            <w:tcBorders>
              <w:top w:val="single" w:sz="4" w:space="0" w:color="auto"/>
            </w:tcBorders>
            <w:vAlign w:val="center"/>
          </w:tcPr>
          <w:p w:rsidR="0025419A" w:rsidRPr="00181CA6" w:rsidRDefault="0025419A" w:rsidP="0033780D">
            <w:pPr>
              <w:jc w:val="center"/>
              <w:rPr>
                <w:rFonts w:ascii="Arial Narrow" w:hAnsi="Arial Narrow"/>
                <w:sz w:val="20"/>
              </w:rPr>
            </w:pPr>
            <w:r w:rsidRPr="00181CA6">
              <w:rPr>
                <w:rFonts w:ascii="Arial Narrow" w:hAnsi="Arial Narrow"/>
                <w:sz w:val="20"/>
              </w:rPr>
              <w:t>-1.1 (0.05)</w:t>
            </w:r>
          </w:p>
        </w:tc>
        <w:tc>
          <w:tcPr>
            <w:tcW w:w="928" w:type="pct"/>
            <w:tcBorders>
              <w:top w:val="single" w:sz="4" w:space="0" w:color="auto"/>
            </w:tcBorders>
            <w:vAlign w:val="center"/>
          </w:tcPr>
          <w:p w:rsidR="0025419A" w:rsidRPr="00181CA6" w:rsidRDefault="0025419A" w:rsidP="0033780D">
            <w:pPr>
              <w:jc w:val="center"/>
              <w:rPr>
                <w:rFonts w:ascii="Arial Narrow" w:hAnsi="Arial Narrow"/>
                <w:sz w:val="20"/>
              </w:rPr>
            </w:pPr>
            <w:r w:rsidRPr="00181CA6">
              <w:rPr>
                <w:rFonts w:ascii="Arial Narrow" w:hAnsi="Arial Narrow"/>
                <w:sz w:val="20"/>
              </w:rPr>
              <w:t>-0.03 (-0.16, 0.11)</w:t>
            </w:r>
          </w:p>
        </w:tc>
      </w:tr>
    </w:tbl>
    <w:p w:rsidR="0025419A" w:rsidRPr="00181CA6" w:rsidRDefault="0025419A" w:rsidP="00B048E0">
      <w:pPr>
        <w:pStyle w:val="TableFooter"/>
        <w:ind w:left="709"/>
      </w:pPr>
      <w:r w:rsidRPr="00181CA6">
        <w:t xml:space="preserve">Source: Table B.20, p.B78 of the </w:t>
      </w:r>
      <w:r w:rsidR="006D07FE" w:rsidRPr="00181CA6">
        <w:t>resubmission</w:t>
      </w:r>
      <w:r w:rsidRPr="00181CA6">
        <w:t>.</w:t>
      </w:r>
    </w:p>
    <w:p w:rsidR="0025419A" w:rsidRPr="00181CA6" w:rsidRDefault="0025419A" w:rsidP="00B048E0">
      <w:pPr>
        <w:pStyle w:val="TableFooter"/>
        <w:ind w:left="709"/>
      </w:pPr>
      <w:r w:rsidRPr="00181CA6">
        <w:lastRenderedPageBreak/>
        <w:t>Abbreviations: LS, least square means; SE, standard error.</w:t>
      </w:r>
    </w:p>
    <w:p w:rsidR="00162D84" w:rsidRPr="00181CA6" w:rsidRDefault="00162D84" w:rsidP="00D06FD4">
      <w:pPr>
        <w:pStyle w:val="TableFooter"/>
        <w:ind w:firstLine="720"/>
      </w:pPr>
    </w:p>
    <w:p w:rsidR="00B048E0" w:rsidRPr="00181CA6" w:rsidRDefault="00B048E0" w:rsidP="00B048E0">
      <w:pPr>
        <w:ind w:left="709"/>
        <w:rPr>
          <w:rStyle w:val="CommentReference"/>
        </w:rPr>
      </w:pPr>
      <w:r w:rsidRPr="00181CA6">
        <w:rPr>
          <w:rStyle w:val="CommentReference"/>
        </w:rPr>
        <w:t>Results of mean change in insulin dose (units/day) from baseline (indirect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2"/>
        <w:gridCol w:w="1524"/>
        <w:gridCol w:w="801"/>
        <w:gridCol w:w="721"/>
        <w:gridCol w:w="1162"/>
        <w:gridCol w:w="362"/>
        <w:gridCol w:w="1524"/>
        <w:gridCol w:w="1549"/>
      </w:tblGrid>
      <w:tr w:rsidR="00B048E0" w:rsidRPr="00181CA6" w:rsidTr="00B048E0">
        <w:trPr>
          <w:cantSplit/>
          <w:trHeight w:val="179"/>
          <w:tblHeader/>
        </w:trPr>
        <w:tc>
          <w:tcPr>
            <w:tcW w:w="421" w:type="pct"/>
            <w:vMerge w:val="restart"/>
            <w:vAlign w:val="center"/>
          </w:tcPr>
          <w:p w:rsidR="00B048E0" w:rsidRPr="00181CA6" w:rsidRDefault="00B048E0" w:rsidP="0033780D">
            <w:pPr>
              <w:jc w:val="left"/>
              <w:rPr>
                <w:rFonts w:ascii="Arial Narrow" w:hAnsi="Arial Narrow"/>
                <w:sz w:val="20"/>
              </w:rPr>
            </w:pPr>
            <w:r w:rsidRPr="00181CA6">
              <w:rPr>
                <w:rFonts w:ascii="Arial Narrow" w:hAnsi="Arial Narrow"/>
                <w:b/>
                <w:sz w:val="20"/>
              </w:rPr>
              <w:t>Trial ID</w:t>
            </w:r>
          </w:p>
        </w:tc>
        <w:tc>
          <w:tcPr>
            <w:tcW w:w="913" w:type="pct"/>
            <w:tcBorders>
              <w:bottom w:val="nil"/>
            </w:tcBorders>
            <w:vAlign w:val="center"/>
          </w:tcPr>
          <w:p w:rsidR="00B048E0" w:rsidRPr="00181CA6" w:rsidRDefault="00B048E0" w:rsidP="0033780D">
            <w:pPr>
              <w:jc w:val="center"/>
              <w:rPr>
                <w:rFonts w:ascii="Arial Narrow" w:hAnsi="Arial Narrow"/>
                <w:sz w:val="20"/>
              </w:rPr>
            </w:pPr>
            <w:r w:rsidRPr="00181CA6">
              <w:rPr>
                <w:rFonts w:ascii="Arial Narrow" w:hAnsi="Arial Narrow"/>
                <w:b/>
                <w:sz w:val="20"/>
              </w:rPr>
              <w:t xml:space="preserve">Dapagliflozin + insulin </w:t>
            </w:r>
          </w:p>
        </w:tc>
        <w:tc>
          <w:tcPr>
            <w:tcW w:w="912" w:type="pct"/>
            <w:gridSpan w:val="2"/>
            <w:tcBorders>
              <w:bottom w:val="nil"/>
            </w:tcBorders>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Placebo +</w:t>
            </w:r>
          </w:p>
          <w:p w:rsidR="00B048E0" w:rsidRPr="00181CA6" w:rsidRDefault="00B048E0" w:rsidP="0033780D">
            <w:pPr>
              <w:jc w:val="center"/>
              <w:rPr>
                <w:rFonts w:ascii="Arial Narrow" w:hAnsi="Arial Narrow"/>
                <w:sz w:val="20"/>
              </w:rPr>
            </w:pPr>
            <w:r w:rsidRPr="00181CA6">
              <w:rPr>
                <w:rFonts w:ascii="Arial Narrow" w:hAnsi="Arial Narrow"/>
                <w:b/>
                <w:sz w:val="20"/>
              </w:rPr>
              <w:t xml:space="preserve"> insulin </w:t>
            </w:r>
          </w:p>
        </w:tc>
        <w:tc>
          <w:tcPr>
            <w:tcW w:w="913" w:type="pct"/>
            <w:gridSpan w:val="2"/>
            <w:tcBorders>
              <w:bottom w:val="nil"/>
            </w:tcBorders>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 xml:space="preserve">Placebo + </w:t>
            </w:r>
          </w:p>
          <w:p w:rsidR="00B048E0" w:rsidRPr="00181CA6" w:rsidRDefault="00B048E0" w:rsidP="0033780D">
            <w:pPr>
              <w:jc w:val="center"/>
              <w:rPr>
                <w:rFonts w:ascii="Arial Narrow" w:hAnsi="Arial Narrow"/>
                <w:b/>
                <w:sz w:val="20"/>
              </w:rPr>
            </w:pPr>
            <w:r w:rsidRPr="00181CA6">
              <w:rPr>
                <w:rFonts w:ascii="Arial Narrow" w:hAnsi="Arial Narrow"/>
                <w:b/>
                <w:sz w:val="20"/>
              </w:rPr>
              <w:t>optimised glargine</w:t>
            </w:r>
          </w:p>
        </w:tc>
        <w:tc>
          <w:tcPr>
            <w:tcW w:w="913" w:type="pct"/>
            <w:tcBorders>
              <w:bottom w:val="nil"/>
            </w:tcBorders>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 xml:space="preserve">Exenatide + </w:t>
            </w:r>
          </w:p>
          <w:p w:rsidR="00B048E0" w:rsidRPr="00181CA6" w:rsidRDefault="00B048E0" w:rsidP="0033780D">
            <w:pPr>
              <w:jc w:val="center"/>
              <w:rPr>
                <w:rFonts w:ascii="Arial Narrow" w:hAnsi="Arial Narrow"/>
                <w:b/>
                <w:sz w:val="20"/>
              </w:rPr>
            </w:pPr>
            <w:r w:rsidRPr="00181CA6">
              <w:rPr>
                <w:rFonts w:ascii="Arial Narrow" w:hAnsi="Arial Narrow"/>
                <w:b/>
                <w:sz w:val="20"/>
              </w:rPr>
              <w:t>optimised glargine</w:t>
            </w:r>
          </w:p>
        </w:tc>
        <w:tc>
          <w:tcPr>
            <w:tcW w:w="928" w:type="pct"/>
            <w:vMerge w:val="restart"/>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Difference in</w:t>
            </w:r>
          </w:p>
          <w:p w:rsidR="00B048E0" w:rsidRPr="00181CA6" w:rsidRDefault="00B048E0" w:rsidP="0033780D">
            <w:pPr>
              <w:jc w:val="center"/>
              <w:rPr>
                <w:rFonts w:ascii="Arial Narrow" w:hAnsi="Arial Narrow"/>
                <w:b/>
                <w:sz w:val="20"/>
              </w:rPr>
            </w:pPr>
            <w:r w:rsidRPr="00181CA6">
              <w:rPr>
                <w:rFonts w:ascii="Arial Narrow" w:hAnsi="Arial Narrow"/>
                <w:b/>
                <w:sz w:val="20"/>
              </w:rPr>
              <w:t xml:space="preserve">mean change in </w:t>
            </w:r>
          </w:p>
          <w:p w:rsidR="00B048E0" w:rsidRPr="00181CA6" w:rsidRDefault="00B048E0" w:rsidP="0033780D">
            <w:pPr>
              <w:jc w:val="center"/>
              <w:rPr>
                <w:rFonts w:ascii="Arial Narrow" w:hAnsi="Arial Narrow"/>
                <w:b/>
                <w:sz w:val="20"/>
              </w:rPr>
            </w:pPr>
            <w:r w:rsidRPr="00181CA6">
              <w:rPr>
                <w:rFonts w:ascii="Arial Narrow" w:hAnsi="Arial Narrow"/>
                <w:b/>
                <w:sz w:val="20"/>
              </w:rPr>
              <w:t>units/day (95% CI)</w:t>
            </w:r>
          </w:p>
        </w:tc>
      </w:tr>
      <w:tr w:rsidR="00B048E0" w:rsidRPr="00181CA6" w:rsidTr="00B048E0">
        <w:trPr>
          <w:cantSplit/>
          <w:trHeight w:val="178"/>
          <w:tblHeader/>
        </w:trPr>
        <w:tc>
          <w:tcPr>
            <w:tcW w:w="421" w:type="pct"/>
            <w:vMerge/>
            <w:vAlign w:val="center"/>
          </w:tcPr>
          <w:p w:rsidR="00B048E0" w:rsidRPr="00181CA6" w:rsidRDefault="00B048E0" w:rsidP="0033780D">
            <w:pPr>
              <w:jc w:val="left"/>
              <w:rPr>
                <w:rFonts w:ascii="Arial Narrow" w:hAnsi="Arial Narrow"/>
                <w:sz w:val="20"/>
              </w:rPr>
            </w:pPr>
          </w:p>
        </w:tc>
        <w:tc>
          <w:tcPr>
            <w:tcW w:w="913" w:type="pct"/>
            <w:tcBorders>
              <w:top w:val="nil"/>
            </w:tcBorders>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Insulin U/day (SE)</w:t>
            </w:r>
          </w:p>
          <w:p w:rsidR="00B048E0" w:rsidRPr="00181CA6" w:rsidRDefault="00B048E0" w:rsidP="0033780D">
            <w:pPr>
              <w:jc w:val="center"/>
              <w:rPr>
                <w:rFonts w:ascii="Arial Narrow" w:hAnsi="Arial Narrow"/>
                <w:b/>
                <w:sz w:val="20"/>
              </w:rPr>
            </w:pPr>
            <w:r w:rsidRPr="00181CA6">
              <w:rPr>
                <w:rFonts w:ascii="Arial Narrow" w:hAnsi="Arial Narrow"/>
                <w:b/>
                <w:sz w:val="20"/>
              </w:rPr>
              <w:t>N=194</w:t>
            </w:r>
          </w:p>
        </w:tc>
        <w:tc>
          <w:tcPr>
            <w:tcW w:w="912" w:type="pct"/>
            <w:gridSpan w:val="2"/>
            <w:tcBorders>
              <w:top w:val="nil"/>
            </w:tcBorders>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Insulin U/day (SE)</w:t>
            </w:r>
          </w:p>
          <w:p w:rsidR="00B048E0" w:rsidRPr="00181CA6" w:rsidRDefault="00B048E0" w:rsidP="0033780D">
            <w:pPr>
              <w:jc w:val="center"/>
              <w:rPr>
                <w:rFonts w:ascii="Arial Narrow" w:hAnsi="Arial Narrow"/>
                <w:b/>
                <w:sz w:val="20"/>
              </w:rPr>
            </w:pPr>
            <w:r w:rsidRPr="00181CA6">
              <w:rPr>
                <w:rFonts w:ascii="Arial Narrow" w:hAnsi="Arial Narrow"/>
                <w:b/>
                <w:sz w:val="20"/>
              </w:rPr>
              <w:t>N=193</w:t>
            </w:r>
          </w:p>
        </w:tc>
        <w:tc>
          <w:tcPr>
            <w:tcW w:w="913" w:type="pct"/>
            <w:gridSpan w:val="2"/>
            <w:tcBorders>
              <w:top w:val="nil"/>
            </w:tcBorders>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Insulin U/day (SE)</w:t>
            </w:r>
          </w:p>
          <w:p w:rsidR="00B048E0" w:rsidRPr="00181CA6" w:rsidRDefault="00B048E0" w:rsidP="0033780D">
            <w:pPr>
              <w:jc w:val="center"/>
              <w:rPr>
                <w:rFonts w:ascii="Arial Narrow" w:hAnsi="Arial Narrow"/>
                <w:b/>
                <w:sz w:val="20"/>
              </w:rPr>
            </w:pPr>
            <w:r w:rsidRPr="00181CA6">
              <w:rPr>
                <w:rFonts w:ascii="Arial Narrow" w:hAnsi="Arial Narrow"/>
                <w:b/>
                <w:sz w:val="20"/>
              </w:rPr>
              <w:t>N=112</w:t>
            </w:r>
          </w:p>
        </w:tc>
        <w:tc>
          <w:tcPr>
            <w:tcW w:w="913" w:type="pct"/>
            <w:tcBorders>
              <w:top w:val="nil"/>
            </w:tcBorders>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Insulin U/day (SE)</w:t>
            </w:r>
          </w:p>
          <w:p w:rsidR="00B048E0" w:rsidRPr="00181CA6" w:rsidRDefault="00B048E0" w:rsidP="0033780D">
            <w:pPr>
              <w:jc w:val="center"/>
              <w:rPr>
                <w:rFonts w:ascii="Arial Narrow" w:hAnsi="Arial Narrow"/>
                <w:b/>
                <w:sz w:val="20"/>
              </w:rPr>
            </w:pPr>
            <w:r w:rsidRPr="00181CA6">
              <w:rPr>
                <w:rFonts w:ascii="Arial Narrow" w:hAnsi="Arial Narrow"/>
                <w:b/>
                <w:sz w:val="20"/>
              </w:rPr>
              <w:t>N=100</w:t>
            </w:r>
          </w:p>
        </w:tc>
        <w:tc>
          <w:tcPr>
            <w:tcW w:w="928" w:type="pct"/>
            <w:vMerge/>
            <w:vAlign w:val="center"/>
          </w:tcPr>
          <w:p w:rsidR="00B048E0" w:rsidRPr="00181CA6" w:rsidRDefault="00B048E0" w:rsidP="0033780D">
            <w:pPr>
              <w:jc w:val="center"/>
              <w:rPr>
                <w:rFonts w:ascii="Arial Narrow" w:hAnsi="Arial Narrow"/>
                <w:b/>
                <w:sz w:val="20"/>
              </w:rPr>
            </w:pPr>
          </w:p>
        </w:tc>
      </w:tr>
      <w:tr w:rsidR="00B048E0" w:rsidRPr="00181CA6" w:rsidTr="00B048E0">
        <w:tc>
          <w:tcPr>
            <w:tcW w:w="421" w:type="pct"/>
            <w:vAlign w:val="center"/>
          </w:tcPr>
          <w:p w:rsidR="00B048E0" w:rsidRPr="00181CA6" w:rsidRDefault="00B048E0" w:rsidP="0033780D">
            <w:pPr>
              <w:jc w:val="left"/>
              <w:rPr>
                <w:rFonts w:ascii="Arial Narrow" w:hAnsi="Arial Narrow"/>
                <w:sz w:val="20"/>
              </w:rPr>
            </w:pPr>
            <w:r w:rsidRPr="00181CA6">
              <w:rPr>
                <w:rFonts w:ascii="Arial Narrow" w:hAnsi="Arial Narrow"/>
                <w:sz w:val="20"/>
              </w:rPr>
              <w:t>CT-006</w:t>
            </w:r>
          </w:p>
        </w:tc>
        <w:tc>
          <w:tcPr>
            <w:tcW w:w="913" w:type="pct"/>
            <w:vAlign w:val="center"/>
          </w:tcPr>
          <w:p w:rsidR="00B048E0" w:rsidRPr="00181CA6" w:rsidRDefault="00B048E0" w:rsidP="0033780D">
            <w:pPr>
              <w:jc w:val="center"/>
              <w:rPr>
                <w:rFonts w:ascii="Arial Narrow" w:hAnsi="Arial Narrow"/>
                <w:sz w:val="20"/>
              </w:rPr>
            </w:pPr>
            <w:r w:rsidRPr="00181CA6">
              <w:rPr>
                <w:rFonts w:ascii="Arial Narrow" w:hAnsi="Arial Narrow"/>
                <w:sz w:val="20"/>
              </w:rPr>
              <w:t>-1.16 (0.935)</w:t>
            </w:r>
          </w:p>
        </w:tc>
        <w:tc>
          <w:tcPr>
            <w:tcW w:w="912" w:type="pct"/>
            <w:gridSpan w:val="2"/>
            <w:vAlign w:val="center"/>
          </w:tcPr>
          <w:p w:rsidR="00B048E0" w:rsidRPr="00181CA6" w:rsidRDefault="00B048E0" w:rsidP="0033780D">
            <w:pPr>
              <w:jc w:val="center"/>
              <w:rPr>
                <w:rFonts w:ascii="Arial Narrow" w:hAnsi="Arial Narrow"/>
                <w:sz w:val="20"/>
              </w:rPr>
            </w:pPr>
            <w:r w:rsidRPr="00181CA6">
              <w:rPr>
                <w:rFonts w:ascii="Arial Narrow" w:hAnsi="Arial Narrow"/>
                <w:sz w:val="20"/>
              </w:rPr>
              <w:t>5.08 (0.943)</w:t>
            </w:r>
          </w:p>
        </w:tc>
        <w:tc>
          <w:tcPr>
            <w:tcW w:w="913" w:type="pct"/>
            <w:gridSpan w:val="2"/>
            <w:vAlign w:val="center"/>
          </w:tcPr>
          <w:p w:rsidR="00B048E0" w:rsidRPr="00181CA6" w:rsidRDefault="00B048E0" w:rsidP="0033780D">
            <w:pPr>
              <w:jc w:val="center"/>
              <w:rPr>
                <w:rFonts w:ascii="Arial Narrow" w:hAnsi="Arial Narrow"/>
                <w:sz w:val="20"/>
              </w:rPr>
            </w:pPr>
            <w:r w:rsidRPr="00181CA6">
              <w:rPr>
                <w:rFonts w:ascii="Arial Narrow" w:hAnsi="Arial Narrow"/>
                <w:sz w:val="20"/>
              </w:rPr>
              <w:t>-</w:t>
            </w:r>
          </w:p>
        </w:tc>
        <w:tc>
          <w:tcPr>
            <w:tcW w:w="913" w:type="pct"/>
            <w:vAlign w:val="center"/>
          </w:tcPr>
          <w:p w:rsidR="00B048E0" w:rsidRPr="00181CA6" w:rsidRDefault="00B048E0" w:rsidP="0033780D">
            <w:pPr>
              <w:jc w:val="center"/>
              <w:rPr>
                <w:rFonts w:ascii="Arial Narrow" w:hAnsi="Arial Narrow"/>
                <w:sz w:val="20"/>
              </w:rPr>
            </w:pPr>
            <w:r w:rsidRPr="00181CA6">
              <w:rPr>
                <w:rFonts w:ascii="Arial Narrow" w:hAnsi="Arial Narrow"/>
                <w:sz w:val="20"/>
              </w:rPr>
              <w:t>-</w:t>
            </w:r>
          </w:p>
        </w:tc>
        <w:tc>
          <w:tcPr>
            <w:tcW w:w="928" w:type="pct"/>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-6.23 (-8.84, -3.63)</w:t>
            </w:r>
          </w:p>
        </w:tc>
      </w:tr>
      <w:tr w:rsidR="00B048E0" w:rsidRPr="00181CA6" w:rsidTr="00B048E0">
        <w:tc>
          <w:tcPr>
            <w:tcW w:w="421" w:type="pct"/>
            <w:tcBorders>
              <w:bottom w:val="single" w:sz="4" w:space="0" w:color="auto"/>
            </w:tcBorders>
            <w:vAlign w:val="center"/>
          </w:tcPr>
          <w:p w:rsidR="00B048E0" w:rsidRPr="00181CA6" w:rsidRDefault="00B048E0" w:rsidP="0033780D">
            <w:pPr>
              <w:jc w:val="left"/>
              <w:rPr>
                <w:rFonts w:ascii="Arial Narrow" w:hAnsi="Arial Narrow"/>
                <w:sz w:val="20"/>
              </w:rPr>
            </w:pPr>
            <w:r w:rsidRPr="00181CA6">
              <w:rPr>
                <w:rFonts w:ascii="Arial Narrow" w:hAnsi="Arial Narrow"/>
                <w:sz w:val="20"/>
              </w:rPr>
              <w:t>GWCO</w:t>
            </w:r>
          </w:p>
        </w:tc>
        <w:tc>
          <w:tcPr>
            <w:tcW w:w="913" w:type="pct"/>
            <w:tcBorders>
              <w:bottom w:val="single" w:sz="4" w:space="0" w:color="auto"/>
            </w:tcBorders>
            <w:vAlign w:val="center"/>
          </w:tcPr>
          <w:p w:rsidR="00B048E0" w:rsidRPr="00181CA6" w:rsidRDefault="00B048E0" w:rsidP="0033780D">
            <w:pPr>
              <w:jc w:val="center"/>
              <w:rPr>
                <w:rFonts w:ascii="Arial Narrow" w:hAnsi="Arial Narrow"/>
                <w:sz w:val="20"/>
              </w:rPr>
            </w:pPr>
            <w:r w:rsidRPr="00181CA6">
              <w:rPr>
                <w:rFonts w:ascii="Arial Narrow" w:hAnsi="Arial Narrow"/>
                <w:sz w:val="20"/>
              </w:rPr>
              <w:t>-</w:t>
            </w:r>
          </w:p>
        </w:tc>
        <w:tc>
          <w:tcPr>
            <w:tcW w:w="912" w:type="pct"/>
            <w:gridSpan w:val="2"/>
            <w:tcBorders>
              <w:bottom w:val="single" w:sz="4" w:space="0" w:color="auto"/>
            </w:tcBorders>
            <w:vAlign w:val="center"/>
          </w:tcPr>
          <w:p w:rsidR="00B048E0" w:rsidRPr="00181CA6" w:rsidRDefault="00B048E0" w:rsidP="0033780D">
            <w:pPr>
              <w:jc w:val="center"/>
              <w:rPr>
                <w:rFonts w:ascii="Arial Narrow" w:hAnsi="Arial Narrow"/>
                <w:sz w:val="20"/>
              </w:rPr>
            </w:pPr>
            <w:r w:rsidRPr="00181CA6">
              <w:rPr>
                <w:rFonts w:ascii="Arial Narrow" w:hAnsi="Arial Narrow"/>
                <w:sz w:val="20"/>
              </w:rPr>
              <w:t>-</w:t>
            </w:r>
          </w:p>
        </w:tc>
        <w:tc>
          <w:tcPr>
            <w:tcW w:w="913" w:type="pct"/>
            <w:gridSpan w:val="2"/>
            <w:tcBorders>
              <w:bottom w:val="single" w:sz="4" w:space="0" w:color="auto"/>
            </w:tcBorders>
            <w:vAlign w:val="center"/>
          </w:tcPr>
          <w:p w:rsidR="00B048E0" w:rsidRPr="00181CA6" w:rsidRDefault="00A60505" w:rsidP="0033780D">
            <w:pPr>
              <w:jc w:val="center"/>
              <w:rPr>
                <w:rFonts w:ascii="Arial Narrow" w:hAnsi="Arial Narrow"/>
                <w:sz w:val="20"/>
              </w:rPr>
            </w:pPr>
            <w:r w:rsidRPr="00181CA6">
              <w:rPr>
                <w:rFonts w:ascii="Arial Narrow" w:hAnsi="Arial Narrow"/>
                <w:sz w:val="20"/>
              </w:rPr>
              <w:t>19.71 (2.1</w:t>
            </w:r>
            <w:r w:rsidR="00B048E0" w:rsidRPr="00181CA6">
              <w:rPr>
                <w:rFonts w:ascii="Arial Narrow" w:hAnsi="Arial Narrow"/>
                <w:sz w:val="20"/>
              </w:rPr>
              <w:t>)</w:t>
            </w:r>
          </w:p>
        </w:tc>
        <w:tc>
          <w:tcPr>
            <w:tcW w:w="913" w:type="pct"/>
            <w:tcBorders>
              <w:bottom w:val="single" w:sz="4" w:space="0" w:color="auto"/>
            </w:tcBorders>
            <w:vAlign w:val="center"/>
          </w:tcPr>
          <w:p w:rsidR="00B048E0" w:rsidRPr="00181CA6" w:rsidRDefault="00B048E0" w:rsidP="0033780D">
            <w:pPr>
              <w:jc w:val="center"/>
              <w:rPr>
                <w:rFonts w:ascii="Arial Narrow" w:hAnsi="Arial Narrow"/>
                <w:sz w:val="20"/>
              </w:rPr>
            </w:pPr>
            <w:r w:rsidRPr="00181CA6">
              <w:rPr>
                <w:rFonts w:ascii="Arial Narrow" w:hAnsi="Arial Narrow"/>
                <w:sz w:val="20"/>
              </w:rPr>
              <w:t>13.19 (2.2)</w:t>
            </w:r>
          </w:p>
        </w:tc>
        <w:tc>
          <w:tcPr>
            <w:tcW w:w="928" w:type="pct"/>
            <w:tcBorders>
              <w:bottom w:val="single" w:sz="4" w:space="0" w:color="auto"/>
            </w:tcBorders>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-6.52 (-12.24, -0.79)</w:t>
            </w:r>
          </w:p>
        </w:tc>
      </w:tr>
      <w:tr w:rsidR="00B048E0" w:rsidRPr="00181CA6" w:rsidTr="00B048E0">
        <w:trPr>
          <w:trHeight w:val="53"/>
        </w:trPr>
        <w:tc>
          <w:tcPr>
            <w:tcW w:w="1814" w:type="pct"/>
            <w:gridSpan w:val="3"/>
            <w:tcBorders>
              <w:bottom w:val="single" w:sz="4" w:space="0" w:color="auto"/>
              <w:right w:val="nil"/>
            </w:tcBorders>
            <w:vAlign w:val="center"/>
          </w:tcPr>
          <w:p w:rsidR="00B048E0" w:rsidRPr="00181CA6" w:rsidRDefault="00B048E0" w:rsidP="00B048E0">
            <w:pPr>
              <w:jc w:val="left"/>
              <w:rPr>
                <w:rFonts w:ascii="Arial Narrow" w:hAnsi="Arial Narrow"/>
                <w:sz w:val="20"/>
              </w:rPr>
            </w:pPr>
            <w:r w:rsidRPr="00181CA6">
              <w:rPr>
                <w:rFonts w:ascii="Arial Narrow" w:hAnsi="Arial Narrow"/>
                <w:sz w:val="20"/>
              </w:rPr>
              <w:t>Indirect comparison</w:t>
            </w:r>
          </w:p>
        </w:tc>
        <w:tc>
          <w:tcPr>
            <w:tcW w:w="1128" w:type="pct"/>
            <w:gridSpan w:val="2"/>
            <w:tcBorders>
              <w:left w:val="nil"/>
              <w:bottom w:val="single" w:sz="4" w:space="0" w:color="auto"/>
              <w:right w:val="nil"/>
            </w:tcBorders>
            <w:vAlign w:val="center"/>
          </w:tcPr>
          <w:p w:rsidR="00B048E0" w:rsidRPr="00181CA6" w:rsidRDefault="00B048E0" w:rsidP="0033780D">
            <w:pPr>
              <w:jc w:val="center"/>
              <w:rPr>
                <w:rFonts w:ascii="Arial Narrow" w:hAnsi="Arial Narrow"/>
                <w:sz w:val="20"/>
              </w:rPr>
            </w:pPr>
          </w:p>
        </w:tc>
        <w:tc>
          <w:tcPr>
            <w:tcW w:w="1129" w:type="pct"/>
            <w:gridSpan w:val="2"/>
            <w:tcBorders>
              <w:left w:val="nil"/>
              <w:bottom w:val="single" w:sz="4" w:space="0" w:color="auto"/>
            </w:tcBorders>
            <w:vAlign w:val="center"/>
          </w:tcPr>
          <w:p w:rsidR="00B048E0" w:rsidRPr="00181CA6" w:rsidRDefault="00B048E0" w:rsidP="0033780D">
            <w:pPr>
              <w:jc w:val="center"/>
              <w:rPr>
                <w:rFonts w:ascii="Arial Narrow" w:hAnsi="Arial Narrow"/>
                <w:sz w:val="20"/>
              </w:rPr>
            </w:pPr>
          </w:p>
        </w:tc>
        <w:tc>
          <w:tcPr>
            <w:tcW w:w="928" w:type="pct"/>
            <w:tcBorders>
              <w:bottom w:val="single" w:sz="4" w:space="0" w:color="auto"/>
            </w:tcBorders>
            <w:vAlign w:val="center"/>
          </w:tcPr>
          <w:p w:rsidR="00B048E0" w:rsidRPr="00181CA6" w:rsidRDefault="00B048E0" w:rsidP="0033780D">
            <w:pPr>
              <w:jc w:val="center"/>
              <w:rPr>
                <w:rFonts w:ascii="Arial Narrow" w:hAnsi="Arial Narrow"/>
                <w:sz w:val="20"/>
              </w:rPr>
            </w:pPr>
            <w:r w:rsidRPr="00181CA6">
              <w:rPr>
                <w:rFonts w:ascii="Arial Narrow" w:hAnsi="Arial Narrow"/>
                <w:sz w:val="20"/>
              </w:rPr>
              <w:t>0.29 (-5.98, 6.56)</w:t>
            </w:r>
          </w:p>
        </w:tc>
      </w:tr>
    </w:tbl>
    <w:p w:rsidR="00B048E0" w:rsidRPr="00181CA6" w:rsidRDefault="00B048E0" w:rsidP="00B048E0">
      <w:pPr>
        <w:pStyle w:val="TableFooter"/>
        <w:ind w:left="709"/>
      </w:pPr>
      <w:r w:rsidRPr="00181CA6">
        <w:t xml:space="preserve">Source: Table B.23, p.B84 and Table B.45, p.B10 of the </w:t>
      </w:r>
      <w:r w:rsidR="006D07FE" w:rsidRPr="00181CA6">
        <w:t>resubmission</w:t>
      </w:r>
      <w:r w:rsidRPr="00181CA6">
        <w:t>.</w:t>
      </w:r>
    </w:p>
    <w:p w:rsidR="00B048E0" w:rsidRPr="00181CA6" w:rsidRDefault="00B048E0" w:rsidP="00B048E0">
      <w:pPr>
        <w:pStyle w:val="TableFooter"/>
        <w:ind w:left="709"/>
      </w:pPr>
      <w:r w:rsidRPr="00181CA6">
        <w:t>Abbreviations: U, units of insulin; SE, standard error.</w:t>
      </w:r>
    </w:p>
    <w:p w:rsidR="00B048E0" w:rsidRPr="00181CA6" w:rsidRDefault="00B048E0" w:rsidP="00B048E0">
      <w:pPr>
        <w:pStyle w:val="TableFooter"/>
        <w:ind w:left="709"/>
      </w:pPr>
      <w:r w:rsidRPr="00181CA6">
        <w:t xml:space="preserve">† </w:t>
      </w:r>
      <w:r w:rsidRPr="00181CA6">
        <w:rPr>
          <w:sz w:val="20"/>
        </w:rPr>
        <w:t xml:space="preserve">A mean reduction of 10.3units/day of glargine and an increase of 42.1units/day of </w:t>
      </w:r>
      <w:proofErr w:type="spellStart"/>
      <w:r w:rsidRPr="00181CA6">
        <w:rPr>
          <w:sz w:val="20"/>
        </w:rPr>
        <w:t>lispro</w:t>
      </w:r>
      <w:proofErr w:type="spellEnd"/>
      <w:r w:rsidRPr="00181CA6">
        <w:rPr>
          <w:sz w:val="20"/>
        </w:rPr>
        <w:t>.</w:t>
      </w:r>
    </w:p>
    <w:p w:rsidR="00B048E0" w:rsidRPr="00181CA6" w:rsidRDefault="00B048E0" w:rsidP="00B048E0">
      <w:pPr>
        <w:rPr>
          <w:szCs w:val="22"/>
        </w:rPr>
      </w:pPr>
    </w:p>
    <w:p w:rsidR="00B048E0" w:rsidRPr="00181CA6" w:rsidRDefault="00B048E0" w:rsidP="00B048E0">
      <w:pPr>
        <w:ind w:left="709"/>
        <w:rPr>
          <w:rFonts w:ascii="Arial Narrow" w:hAnsi="Arial Narrow"/>
          <w:b/>
          <w:sz w:val="20"/>
          <w:szCs w:val="16"/>
        </w:rPr>
      </w:pPr>
      <w:r w:rsidRPr="00181CA6">
        <w:rPr>
          <w:rStyle w:val="CommentReference"/>
        </w:rPr>
        <w:t>Results of mean change in insulin dose (units/day) from baseline (exenatide vs up-titrated insulin)</w:t>
      </w:r>
    </w:p>
    <w:tbl>
      <w:tblPr>
        <w:tblW w:w="4599" w:type="pct"/>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2"/>
        <w:gridCol w:w="3038"/>
        <w:gridCol w:w="3053"/>
        <w:gridCol w:w="1551"/>
      </w:tblGrid>
      <w:tr w:rsidR="00B048E0" w:rsidRPr="00181CA6" w:rsidTr="00B048E0">
        <w:trPr>
          <w:cantSplit/>
          <w:trHeight w:val="167"/>
        </w:trPr>
        <w:tc>
          <w:tcPr>
            <w:tcW w:w="427" w:type="pct"/>
            <w:vMerge w:val="restart"/>
            <w:tcBorders>
              <w:top w:val="single" w:sz="4" w:space="0" w:color="auto"/>
            </w:tcBorders>
            <w:vAlign w:val="center"/>
          </w:tcPr>
          <w:p w:rsidR="00B048E0" w:rsidRPr="00181CA6" w:rsidRDefault="00B048E0" w:rsidP="0033780D">
            <w:pPr>
              <w:jc w:val="center"/>
              <w:rPr>
                <w:rFonts w:ascii="Arial Narrow" w:hAnsi="Arial Narrow"/>
                <w:sz w:val="20"/>
              </w:rPr>
            </w:pPr>
          </w:p>
        </w:tc>
        <w:tc>
          <w:tcPr>
            <w:tcW w:w="1818" w:type="pct"/>
            <w:tcBorders>
              <w:top w:val="single" w:sz="4" w:space="0" w:color="auto"/>
              <w:bottom w:val="nil"/>
            </w:tcBorders>
            <w:vAlign w:val="center"/>
          </w:tcPr>
          <w:p w:rsidR="00B048E0" w:rsidRPr="00181CA6" w:rsidRDefault="00B048E0" w:rsidP="0033780D">
            <w:pPr>
              <w:jc w:val="center"/>
              <w:rPr>
                <w:rFonts w:ascii="Arial Narrow" w:hAnsi="Arial Narrow"/>
                <w:sz w:val="20"/>
              </w:rPr>
            </w:pPr>
            <w:r w:rsidRPr="00181CA6">
              <w:rPr>
                <w:rFonts w:ascii="Arial Narrow" w:hAnsi="Arial Narrow"/>
                <w:b/>
                <w:sz w:val="20"/>
              </w:rPr>
              <w:t xml:space="preserve">Optimised </w:t>
            </w:r>
            <w:proofErr w:type="spellStart"/>
            <w:r w:rsidRPr="00181CA6">
              <w:rPr>
                <w:rFonts w:ascii="Arial Narrow" w:hAnsi="Arial Narrow"/>
                <w:b/>
                <w:sz w:val="20"/>
              </w:rPr>
              <w:t>lispro</w:t>
            </w:r>
            <w:proofErr w:type="spellEnd"/>
            <w:r w:rsidRPr="00181CA6">
              <w:rPr>
                <w:rFonts w:ascii="Arial Narrow" w:hAnsi="Arial Narrow"/>
                <w:b/>
                <w:sz w:val="20"/>
              </w:rPr>
              <w:t xml:space="preserve"> + optimised glargine</w:t>
            </w:r>
          </w:p>
        </w:tc>
        <w:tc>
          <w:tcPr>
            <w:tcW w:w="1827" w:type="pct"/>
            <w:tcBorders>
              <w:top w:val="single" w:sz="4" w:space="0" w:color="auto"/>
              <w:bottom w:val="nil"/>
            </w:tcBorders>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Exenatide + optimised glargine</w:t>
            </w:r>
          </w:p>
        </w:tc>
        <w:tc>
          <w:tcPr>
            <w:tcW w:w="928" w:type="pct"/>
            <w:vMerge w:val="restart"/>
            <w:tcBorders>
              <w:top w:val="single" w:sz="4" w:space="0" w:color="auto"/>
            </w:tcBorders>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Difference in</w:t>
            </w:r>
          </w:p>
          <w:p w:rsidR="00B048E0" w:rsidRPr="00181CA6" w:rsidRDefault="00B048E0" w:rsidP="0033780D">
            <w:pPr>
              <w:jc w:val="center"/>
              <w:rPr>
                <w:rFonts w:ascii="Arial Narrow" w:hAnsi="Arial Narrow"/>
                <w:b/>
                <w:sz w:val="20"/>
              </w:rPr>
            </w:pPr>
            <w:r w:rsidRPr="00181CA6">
              <w:rPr>
                <w:rFonts w:ascii="Arial Narrow" w:hAnsi="Arial Narrow"/>
                <w:b/>
                <w:sz w:val="20"/>
              </w:rPr>
              <w:t xml:space="preserve">mean change in </w:t>
            </w:r>
          </w:p>
          <w:p w:rsidR="00B048E0" w:rsidRPr="00181CA6" w:rsidRDefault="00B048E0" w:rsidP="0033780D">
            <w:pPr>
              <w:jc w:val="center"/>
              <w:rPr>
                <w:rFonts w:ascii="Arial Narrow" w:hAnsi="Arial Narrow"/>
                <w:b/>
                <w:sz w:val="20"/>
              </w:rPr>
            </w:pPr>
            <w:r w:rsidRPr="00181CA6">
              <w:rPr>
                <w:rFonts w:ascii="Arial Narrow" w:hAnsi="Arial Narrow"/>
                <w:b/>
                <w:sz w:val="20"/>
              </w:rPr>
              <w:t>units/day (95% CI)</w:t>
            </w:r>
          </w:p>
        </w:tc>
      </w:tr>
      <w:tr w:rsidR="00B048E0" w:rsidRPr="00181CA6" w:rsidTr="00B048E0">
        <w:trPr>
          <w:cantSplit/>
          <w:trHeight w:val="166"/>
        </w:trPr>
        <w:tc>
          <w:tcPr>
            <w:tcW w:w="427" w:type="pct"/>
            <w:vMerge/>
            <w:tcBorders>
              <w:bottom w:val="single" w:sz="4" w:space="0" w:color="auto"/>
            </w:tcBorders>
            <w:vAlign w:val="center"/>
          </w:tcPr>
          <w:p w:rsidR="00B048E0" w:rsidRPr="00181CA6" w:rsidRDefault="00B048E0" w:rsidP="0033780D">
            <w:pPr>
              <w:jc w:val="center"/>
              <w:rPr>
                <w:rFonts w:ascii="Arial Narrow" w:hAnsi="Arial Narrow"/>
                <w:sz w:val="20"/>
              </w:rPr>
            </w:pPr>
          </w:p>
        </w:tc>
        <w:tc>
          <w:tcPr>
            <w:tcW w:w="1818" w:type="pct"/>
            <w:tcBorders>
              <w:top w:val="nil"/>
              <w:bottom w:val="single" w:sz="4" w:space="0" w:color="auto"/>
            </w:tcBorders>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Insulin units/day (SE)</w:t>
            </w:r>
          </w:p>
          <w:p w:rsidR="00B048E0" w:rsidRPr="00181CA6" w:rsidRDefault="00B048E0" w:rsidP="0033780D">
            <w:pPr>
              <w:jc w:val="center"/>
              <w:rPr>
                <w:rFonts w:ascii="Arial Narrow" w:hAnsi="Arial Narrow"/>
                <w:b/>
                <w:sz w:val="20"/>
              </w:rPr>
            </w:pPr>
            <w:r w:rsidRPr="00181CA6">
              <w:rPr>
                <w:rFonts w:ascii="Arial Narrow" w:hAnsi="Arial Narrow"/>
                <w:b/>
                <w:sz w:val="20"/>
              </w:rPr>
              <w:t>N=315</w:t>
            </w:r>
          </w:p>
        </w:tc>
        <w:tc>
          <w:tcPr>
            <w:tcW w:w="1827" w:type="pct"/>
            <w:tcBorders>
              <w:top w:val="nil"/>
              <w:bottom w:val="single" w:sz="4" w:space="0" w:color="auto"/>
            </w:tcBorders>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Insulin units/day (SE)</w:t>
            </w:r>
          </w:p>
          <w:p w:rsidR="00B048E0" w:rsidRPr="00181CA6" w:rsidRDefault="00B048E0" w:rsidP="0033780D">
            <w:pPr>
              <w:jc w:val="center"/>
              <w:rPr>
                <w:rFonts w:ascii="Arial Narrow" w:hAnsi="Arial Narrow"/>
                <w:b/>
                <w:sz w:val="20"/>
              </w:rPr>
            </w:pPr>
            <w:r w:rsidRPr="00181CA6">
              <w:rPr>
                <w:rFonts w:ascii="Arial Narrow" w:hAnsi="Arial Narrow"/>
                <w:b/>
                <w:sz w:val="20"/>
              </w:rPr>
              <w:t xml:space="preserve"> N=312</w:t>
            </w:r>
          </w:p>
        </w:tc>
        <w:tc>
          <w:tcPr>
            <w:tcW w:w="928" w:type="pct"/>
            <w:vMerge/>
            <w:tcBorders>
              <w:bottom w:val="single" w:sz="4" w:space="0" w:color="auto"/>
            </w:tcBorders>
            <w:vAlign w:val="center"/>
          </w:tcPr>
          <w:p w:rsidR="00B048E0" w:rsidRPr="00181CA6" w:rsidRDefault="00B048E0" w:rsidP="0033780D">
            <w:pPr>
              <w:jc w:val="center"/>
              <w:rPr>
                <w:rFonts w:ascii="Arial Narrow" w:hAnsi="Arial Narrow"/>
                <w:sz w:val="20"/>
              </w:rPr>
            </w:pPr>
          </w:p>
        </w:tc>
      </w:tr>
      <w:tr w:rsidR="00B048E0" w:rsidRPr="00181CA6" w:rsidTr="00B048E0">
        <w:trPr>
          <w:cantSplit/>
        </w:trPr>
        <w:tc>
          <w:tcPr>
            <w:tcW w:w="427" w:type="pct"/>
            <w:tcBorders>
              <w:top w:val="single" w:sz="4" w:space="0" w:color="auto"/>
            </w:tcBorders>
            <w:vAlign w:val="center"/>
          </w:tcPr>
          <w:p w:rsidR="00B048E0" w:rsidRPr="00181CA6" w:rsidRDefault="00B048E0" w:rsidP="0033780D">
            <w:pPr>
              <w:ind w:right="-108"/>
              <w:jc w:val="left"/>
              <w:rPr>
                <w:rFonts w:ascii="Arial Narrow" w:hAnsi="Arial Narrow"/>
                <w:sz w:val="20"/>
              </w:rPr>
            </w:pPr>
            <w:r w:rsidRPr="00181CA6">
              <w:rPr>
                <w:rFonts w:ascii="Arial Narrow" w:hAnsi="Arial Narrow"/>
                <w:sz w:val="20"/>
              </w:rPr>
              <w:t>GWDM</w:t>
            </w:r>
          </w:p>
        </w:tc>
        <w:tc>
          <w:tcPr>
            <w:tcW w:w="1818" w:type="pct"/>
            <w:tcBorders>
              <w:top w:val="single" w:sz="4" w:space="0" w:color="auto"/>
            </w:tcBorders>
            <w:vAlign w:val="center"/>
          </w:tcPr>
          <w:p w:rsidR="00B048E0" w:rsidRPr="00181CA6" w:rsidRDefault="00B048E0" w:rsidP="0033780D">
            <w:pPr>
              <w:jc w:val="center"/>
              <w:rPr>
                <w:rFonts w:ascii="Arial Narrow" w:hAnsi="Arial Narrow"/>
                <w:sz w:val="20"/>
              </w:rPr>
            </w:pPr>
            <w:r w:rsidRPr="00181CA6">
              <w:rPr>
                <w:rFonts w:ascii="Arial Narrow" w:hAnsi="Arial Narrow"/>
                <w:sz w:val="20"/>
              </w:rPr>
              <w:t>-31.8 (3.609)</w:t>
            </w:r>
          </w:p>
        </w:tc>
        <w:tc>
          <w:tcPr>
            <w:tcW w:w="1827" w:type="pct"/>
            <w:tcBorders>
              <w:top w:val="single" w:sz="4" w:space="0" w:color="auto"/>
            </w:tcBorders>
            <w:vAlign w:val="center"/>
          </w:tcPr>
          <w:p w:rsidR="00B048E0" w:rsidRPr="00181CA6" w:rsidRDefault="00B048E0" w:rsidP="0033780D">
            <w:pPr>
              <w:jc w:val="center"/>
              <w:rPr>
                <w:rFonts w:ascii="Arial Narrow" w:hAnsi="Arial Narrow"/>
                <w:sz w:val="20"/>
              </w:rPr>
            </w:pPr>
            <w:r w:rsidRPr="00181CA6">
              <w:rPr>
                <w:rFonts w:ascii="Arial Narrow" w:hAnsi="Arial Narrow"/>
                <w:sz w:val="20"/>
              </w:rPr>
              <w:t>-4.4 (2.388)</w:t>
            </w:r>
          </w:p>
        </w:tc>
        <w:tc>
          <w:tcPr>
            <w:tcW w:w="928" w:type="pct"/>
            <w:tcBorders>
              <w:top w:val="single" w:sz="4" w:space="0" w:color="auto"/>
            </w:tcBorders>
            <w:vAlign w:val="center"/>
          </w:tcPr>
          <w:p w:rsidR="00B048E0" w:rsidRPr="00181CA6" w:rsidRDefault="00B048E0" w:rsidP="0033780D">
            <w:pPr>
              <w:jc w:val="center"/>
              <w:rPr>
                <w:rFonts w:ascii="Arial Narrow" w:hAnsi="Arial Narrow"/>
                <w:b/>
                <w:sz w:val="20"/>
              </w:rPr>
            </w:pPr>
            <w:r w:rsidRPr="00181CA6">
              <w:rPr>
                <w:rFonts w:ascii="Arial Narrow" w:hAnsi="Arial Narrow"/>
                <w:b/>
                <w:sz w:val="20"/>
              </w:rPr>
              <w:t>-36.2 (-43.5, -27.7)</w:t>
            </w:r>
          </w:p>
        </w:tc>
      </w:tr>
    </w:tbl>
    <w:p w:rsidR="00B048E0" w:rsidRPr="00181CA6" w:rsidRDefault="00B048E0" w:rsidP="00B048E0">
      <w:pPr>
        <w:pStyle w:val="TableFooter"/>
        <w:ind w:left="709"/>
      </w:pPr>
      <w:r w:rsidRPr="00181CA6">
        <w:t xml:space="preserve">Source: Table B.23, p.B84 of the </w:t>
      </w:r>
      <w:r w:rsidR="006D07FE" w:rsidRPr="00181CA6">
        <w:t>resubmission</w:t>
      </w:r>
      <w:r w:rsidRPr="00181CA6">
        <w:t>.</w:t>
      </w:r>
    </w:p>
    <w:p w:rsidR="00B048E0" w:rsidRPr="00181CA6" w:rsidRDefault="00B048E0" w:rsidP="00B048E0">
      <w:pPr>
        <w:pStyle w:val="TableFooter"/>
        <w:ind w:left="709"/>
      </w:pPr>
      <w:r w:rsidRPr="00181CA6">
        <w:t>Abbreviations: U, units of insulin; SE, standard error.</w:t>
      </w:r>
    </w:p>
    <w:p w:rsidR="00B048E0" w:rsidRPr="00181CA6" w:rsidRDefault="00B048E0" w:rsidP="00B048E0">
      <w:pPr>
        <w:ind w:left="709"/>
        <w:rPr>
          <w:szCs w:val="22"/>
        </w:rPr>
      </w:pPr>
    </w:p>
    <w:p w:rsidR="00DD0985" w:rsidRPr="002857E9" w:rsidRDefault="007541DF" w:rsidP="00DD0985">
      <w:pPr>
        <w:pStyle w:val="ListParagraph"/>
        <w:widowControl/>
        <w:numPr>
          <w:ilvl w:val="1"/>
          <w:numId w:val="12"/>
        </w:numPr>
      </w:pPr>
      <w:r w:rsidRPr="00181CA6">
        <w:t xml:space="preserve">There was no statistically significant difference in mean change in HbA1c between dapagliflozin 10mg once daily and exenatide 10ug BD (in combination with insulin) in </w:t>
      </w:r>
      <w:r w:rsidRPr="002857E9">
        <w:t>the indirect analysis. The upper bound of the 95% confidence interval of the indirect comparison (0.39) was less than the pre-specified non-inferiority margin of 0.40%. Using the MMRM analyses from both the CT-006 and GWCO trials the result of the indirect analysis conducted during the evaluation is less favourable to dapagliflozin (0.16; 95% CI: -0.13, 0.46) and the upper bound of the 95% confidence interval no longer satisfies the pre-specified non-inferiority margin of 0.40%.</w:t>
      </w:r>
      <w:r w:rsidR="00BA58AA" w:rsidRPr="002857E9">
        <w:t xml:space="preserve"> </w:t>
      </w:r>
    </w:p>
    <w:p w:rsidR="00DD0985" w:rsidRPr="002857E9" w:rsidRDefault="00DD0985" w:rsidP="00DD0985">
      <w:pPr>
        <w:pStyle w:val="ListParagraph"/>
        <w:widowControl/>
      </w:pPr>
    </w:p>
    <w:p w:rsidR="00DD0985" w:rsidRPr="002857E9" w:rsidRDefault="00BA58AA" w:rsidP="00DD0985">
      <w:pPr>
        <w:pStyle w:val="ListParagraph"/>
        <w:widowControl/>
        <w:numPr>
          <w:ilvl w:val="1"/>
          <w:numId w:val="12"/>
        </w:numPr>
      </w:pPr>
      <w:r w:rsidRPr="002857E9">
        <w:rPr>
          <w:szCs w:val="22"/>
        </w:rPr>
        <w:t xml:space="preserve">Trial GWDM shows no statistically significant difference in mean change in HbA1c between exenatide 10ug twice daily and insulin </w:t>
      </w:r>
      <w:proofErr w:type="spellStart"/>
      <w:r w:rsidRPr="002857E9">
        <w:rPr>
          <w:szCs w:val="22"/>
        </w:rPr>
        <w:t>lispro</w:t>
      </w:r>
      <w:proofErr w:type="spellEnd"/>
      <w:r w:rsidRPr="002857E9">
        <w:rPr>
          <w:szCs w:val="22"/>
        </w:rPr>
        <w:t xml:space="preserve"> three times daily (in combination with insulin glargine).</w:t>
      </w:r>
    </w:p>
    <w:p w:rsidR="00DD0985" w:rsidRPr="002857E9" w:rsidRDefault="00DD0985" w:rsidP="00DD0985">
      <w:pPr>
        <w:pStyle w:val="ListParagraph"/>
        <w:widowControl/>
      </w:pPr>
    </w:p>
    <w:p w:rsidR="005C50F1" w:rsidRPr="002857E9" w:rsidRDefault="005D42CB" w:rsidP="005C50F1">
      <w:pPr>
        <w:pStyle w:val="ListParagraph"/>
        <w:widowControl/>
        <w:numPr>
          <w:ilvl w:val="1"/>
          <w:numId w:val="12"/>
        </w:numPr>
      </w:pPr>
      <w:r w:rsidRPr="002857E9">
        <w:rPr>
          <w:szCs w:val="22"/>
        </w:rPr>
        <w:t>The trials used in the indirect analysis were not comparable and there were</w:t>
      </w:r>
      <w:r w:rsidR="007541DF" w:rsidRPr="002857E9">
        <w:rPr>
          <w:szCs w:val="22"/>
        </w:rPr>
        <w:t xml:space="preserve"> substantial differences in treatment regimens between common comparator arms</w:t>
      </w:r>
      <w:r w:rsidR="00BA58AA" w:rsidRPr="002857E9">
        <w:rPr>
          <w:szCs w:val="22"/>
        </w:rPr>
        <w:t>.</w:t>
      </w:r>
      <w:r w:rsidR="007541DF" w:rsidRPr="002857E9">
        <w:rPr>
          <w:szCs w:val="22"/>
        </w:rPr>
        <w:t xml:space="preserve"> </w:t>
      </w:r>
      <w:r w:rsidR="00BA58AA" w:rsidRPr="002857E9">
        <w:rPr>
          <w:szCs w:val="22"/>
        </w:rPr>
        <w:t>The</w:t>
      </w:r>
      <w:r w:rsidR="007541DF" w:rsidRPr="002857E9">
        <w:rPr>
          <w:szCs w:val="22"/>
        </w:rPr>
        <w:t xml:space="preserve"> resulting differences in response across the common comparator arms of the trials may bias the indirect analysis in favour of dapagliflozin.</w:t>
      </w:r>
      <w:r w:rsidRPr="002857E9">
        <w:rPr>
          <w:szCs w:val="22"/>
        </w:rPr>
        <w:t xml:space="preserve"> </w:t>
      </w:r>
    </w:p>
    <w:p w:rsidR="005C50F1" w:rsidRPr="002857E9" w:rsidRDefault="005C50F1" w:rsidP="005C50F1">
      <w:pPr>
        <w:pStyle w:val="ListParagraph"/>
        <w:widowControl/>
      </w:pPr>
    </w:p>
    <w:p w:rsidR="005C50F1" w:rsidRPr="002857E9" w:rsidRDefault="00BA58AA" w:rsidP="005C50F1">
      <w:pPr>
        <w:pStyle w:val="ListParagraph"/>
        <w:widowControl/>
        <w:numPr>
          <w:ilvl w:val="1"/>
          <w:numId w:val="12"/>
        </w:numPr>
      </w:pPr>
      <w:r w:rsidRPr="002857E9">
        <w:rPr>
          <w:szCs w:val="22"/>
        </w:rPr>
        <w:t>T</w:t>
      </w:r>
      <w:r w:rsidR="007541DF" w:rsidRPr="002857E9">
        <w:rPr>
          <w:szCs w:val="22"/>
        </w:rPr>
        <w:t xml:space="preserve">here was no statistically significant difference in mean change in insulin dose between dapagliflozin 10mg once daily and exenatide 10µg twice daily (in combination with insulin). There was a large difference in the magnitude of the mean change in insulin dose between the placebo + insulin arms across trials CT-006 and GWCO which may be the result of optimisation of glargine during the treatment phase of Trial GWCO and maintenance of stable pre-trial insulin regimens in Trial CT-006. </w:t>
      </w:r>
    </w:p>
    <w:p w:rsidR="005C50F1" w:rsidRPr="002857E9" w:rsidRDefault="005C50F1" w:rsidP="005C50F1">
      <w:pPr>
        <w:pStyle w:val="ListParagraph"/>
        <w:widowControl/>
      </w:pPr>
    </w:p>
    <w:p w:rsidR="005C50F1" w:rsidRPr="002857E9" w:rsidRDefault="007541DF" w:rsidP="005C50F1">
      <w:pPr>
        <w:pStyle w:val="ListParagraph"/>
        <w:widowControl/>
        <w:numPr>
          <w:ilvl w:val="1"/>
          <w:numId w:val="12"/>
        </w:numPr>
      </w:pPr>
      <w:r w:rsidRPr="002857E9">
        <w:rPr>
          <w:szCs w:val="22"/>
        </w:rPr>
        <w:t xml:space="preserve">In Trial GWDM patients treated with exenatide and insulin glargine reported a reduction in glargine use of 4.4units/day while patients treated with insulin glargine and </w:t>
      </w:r>
      <w:proofErr w:type="spellStart"/>
      <w:r w:rsidRPr="002857E9">
        <w:rPr>
          <w:szCs w:val="22"/>
        </w:rPr>
        <w:t>lispro</w:t>
      </w:r>
      <w:proofErr w:type="spellEnd"/>
      <w:r w:rsidRPr="002857E9">
        <w:rPr>
          <w:szCs w:val="22"/>
        </w:rPr>
        <w:t xml:space="preserve"> reported a reduction in glargine use of 10.3units/day and an increase in </w:t>
      </w:r>
      <w:proofErr w:type="spellStart"/>
      <w:r w:rsidRPr="002857E9">
        <w:rPr>
          <w:szCs w:val="22"/>
        </w:rPr>
        <w:t>lispro</w:t>
      </w:r>
      <w:proofErr w:type="spellEnd"/>
      <w:r w:rsidRPr="002857E9">
        <w:rPr>
          <w:szCs w:val="22"/>
        </w:rPr>
        <w:t xml:space="preserve"> use of 42.1units/day, an overall increase of 31.8units/day.  This result showed a statistically significant difference in mean change in insulin use between exenatide </w:t>
      </w:r>
      <w:r w:rsidRPr="002857E9">
        <w:rPr>
          <w:szCs w:val="22"/>
        </w:rPr>
        <w:lastRenderedPageBreak/>
        <w:t xml:space="preserve">10µg twice daily and insulin </w:t>
      </w:r>
      <w:proofErr w:type="spellStart"/>
      <w:r w:rsidRPr="002857E9">
        <w:rPr>
          <w:szCs w:val="22"/>
        </w:rPr>
        <w:t>lispro</w:t>
      </w:r>
      <w:proofErr w:type="spellEnd"/>
      <w:r w:rsidRPr="002857E9">
        <w:rPr>
          <w:szCs w:val="22"/>
        </w:rPr>
        <w:t xml:space="preserve"> three times daily (in combination with insulin glargine) of 36.2units/day. </w:t>
      </w:r>
    </w:p>
    <w:p w:rsidR="005C50F1" w:rsidRPr="002857E9" w:rsidRDefault="005C50F1" w:rsidP="005C50F1">
      <w:pPr>
        <w:pStyle w:val="ListParagraph"/>
        <w:widowControl/>
      </w:pPr>
    </w:p>
    <w:p w:rsidR="007541DF" w:rsidRPr="002857E9" w:rsidRDefault="007541DF" w:rsidP="005C50F1">
      <w:pPr>
        <w:pStyle w:val="ListParagraph"/>
        <w:widowControl/>
        <w:numPr>
          <w:ilvl w:val="1"/>
          <w:numId w:val="12"/>
        </w:numPr>
      </w:pPr>
      <w:r w:rsidRPr="002857E9">
        <w:rPr>
          <w:szCs w:val="22"/>
        </w:rPr>
        <w:t xml:space="preserve">Given the similar reductions in HbA1c achieved by patients treated with dapagliflozin and exenatide (in combination with insulin) in the indirect analysis (trials CT-006 and GWCO), the </w:t>
      </w:r>
      <w:r w:rsidR="006D07FE" w:rsidRPr="002857E9">
        <w:rPr>
          <w:szCs w:val="22"/>
        </w:rPr>
        <w:t>resubmission</w:t>
      </w:r>
      <w:r w:rsidRPr="002857E9">
        <w:rPr>
          <w:szCs w:val="22"/>
        </w:rPr>
        <w:t xml:space="preserve"> suggests a similar reduction in insulin dose as seen with exenatide in Trial GWDM can be expected in patients treated with dapagliflozin. While the data suggest insulin dose may be reduced in patients taking dapagliflozin, given differences in mode action between dapagliflozin and exenatide, the magnitude of these reductions is not certain. No formal indirect analysis is presented and the </w:t>
      </w:r>
      <w:r w:rsidR="006D07FE" w:rsidRPr="002857E9">
        <w:rPr>
          <w:szCs w:val="22"/>
        </w:rPr>
        <w:t>resubmission</w:t>
      </w:r>
      <w:r w:rsidRPr="002857E9">
        <w:rPr>
          <w:szCs w:val="22"/>
        </w:rPr>
        <w:t xml:space="preserve"> acknowledges that the trials are not exchangeable.</w:t>
      </w:r>
    </w:p>
    <w:p w:rsidR="00107F2F" w:rsidRPr="002857E9" w:rsidRDefault="00107F2F" w:rsidP="00B048E0">
      <w:pPr>
        <w:ind w:left="709"/>
        <w:rPr>
          <w:szCs w:val="22"/>
        </w:rPr>
      </w:pPr>
    </w:p>
    <w:p w:rsidR="00B60939" w:rsidRPr="00116159" w:rsidRDefault="00B60939" w:rsidP="00116159">
      <w:pPr>
        <w:pStyle w:val="BodyText"/>
        <w:rPr>
          <w:b/>
        </w:rPr>
      </w:pPr>
      <w:bookmarkStart w:id="9" w:name="_Toc398280631"/>
      <w:r w:rsidRPr="00116159">
        <w:rPr>
          <w:b/>
        </w:rPr>
        <w:t>Comparative harms</w:t>
      </w:r>
      <w:bookmarkEnd w:id="9"/>
    </w:p>
    <w:p w:rsidR="00B60939" w:rsidRPr="002857E9" w:rsidRDefault="00B60939" w:rsidP="00B60939">
      <w:pPr>
        <w:ind w:left="720" w:hanging="720"/>
        <w:rPr>
          <w:szCs w:val="22"/>
        </w:rPr>
      </w:pPr>
    </w:p>
    <w:p w:rsidR="005C50F1" w:rsidRPr="002857E9" w:rsidRDefault="00770ABB" w:rsidP="005C50F1">
      <w:pPr>
        <w:pStyle w:val="ListParagraph"/>
        <w:widowControl/>
        <w:numPr>
          <w:ilvl w:val="1"/>
          <w:numId w:val="12"/>
        </w:numPr>
        <w:rPr>
          <w:szCs w:val="22"/>
        </w:rPr>
      </w:pPr>
      <w:r w:rsidRPr="002857E9">
        <w:t>Patients treated with dapagliflozin were less likely to experience treatment emergent adverse events compared to patients treated with exenatide (OR 0.67: 95% CI [0.33, 1.37]), and more likely to experience serious adverse events (OR 1.59: 95% CI [0.47, 5.38]), but these differences were not statistically significant. Discontinuation of treatment related to an adverse event was low across all trials but slightly higher in exenatide treated patients compared to dapagliflozin.</w:t>
      </w:r>
    </w:p>
    <w:p w:rsidR="005C50F1" w:rsidRPr="002857E9" w:rsidRDefault="005C50F1" w:rsidP="005C50F1">
      <w:pPr>
        <w:pStyle w:val="ListParagraph"/>
        <w:widowControl/>
        <w:rPr>
          <w:szCs w:val="22"/>
        </w:rPr>
      </w:pPr>
    </w:p>
    <w:p w:rsidR="005C50F1" w:rsidRPr="002857E9" w:rsidRDefault="00770ABB" w:rsidP="005C50F1">
      <w:pPr>
        <w:pStyle w:val="ListParagraph"/>
        <w:widowControl/>
        <w:numPr>
          <w:ilvl w:val="1"/>
          <w:numId w:val="12"/>
        </w:numPr>
        <w:rPr>
          <w:szCs w:val="22"/>
        </w:rPr>
      </w:pPr>
      <w:r w:rsidRPr="002857E9">
        <w:t>Patients treated with dapagliflozin were more li</w:t>
      </w:r>
      <w:r w:rsidR="00215166" w:rsidRPr="002857E9">
        <w:t>kely to experience hypoglycaemia</w:t>
      </w:r>
      <w:r w:rsidRPr="002857E9">
        <w:t xml:space="preserve"> events (OR 1.34: 95% CI [0.68, 2.65]), and more likely to experience urinary tract infections (OR 4.25: 95% CI [0.31, 58.2]) and genital infections (OR 27.84: 95% CI [1.09, 710.5]) compared to </w:t>
      </w:r>
      <w:r w:rsidR="00B2014E" w:rsidRPr="002857E9">
        <w:t>exenatide</w:t>
      </w:r>
      <w:r w:rsidRPr="002857E9">
        <w:t>, but only the difference in genital infections was statistically significant. Patients treated with exenatide were more likely to experience nausea (OR 0.06: 95% CI [0.02, 0.49]) and vomiting (OR 0.38: 95% CI [0.03, 5.19]) compared to those treated with dapagliflozin.</w:t>
      </w:r>
    </w:p>
    <w:p w:rsidR="005C50F1" w:rsidRPr="002857E9" w:rsidRDefault="005C50F1" w:rsidP="005C50F1">
      <w:pPr>
        <w:pStyle w:val="ListParagraph"/>
        <w:widowControl/>
        <w:rPr>
          <w:szCs w:val="22"/>
        </w:rPr>
      </w:pPr>
    </w:p>
    <w:p w:rsidR="007F1017" w:rsidRPr="00116159" w:rsidRDefault="007F1017" w:rsidP="00116159">
      <w:pPr>
        <w:pStyle w:val="BodyText"/>
        <w:rPr>
          <w:b/>
        </w:rPr>
      </w:pPr>
      <w:bookmarkStart w:id="10" w:name="_Toc398280632"/>
      <w:r w:rsidRPr="00116159">
        <w:rPr>
          <w:b/>
        </w:rPr>
        <w:t>Benefits/harms</w:t>
      </w:r>
      <w:bookmarkEnd w:id="10"/>
    </w:p>
    <w:p w:rsidR="007F1017" w:rsidRPr="002857E9" w:rsidRDefault="007F1017" w:rsidP="00DD0985">
      <w:pPr>
        <w:widowControl/>
        <w:rPr>
          <w:color w:val="3366FF"/>
        </w:rPr>
      </w:pPr>
    </w:p>
    <w:p w:rsidR="00EC00C9" w:rsidRPr="002857E9" w:rsidRDefault="00EC00C9" w:rsidP="00135FF4">
      <w:pPr>
        <w:pStyle w:val="ListParagraph"/>
        <w:widowControl/>
        <w:numPr>
          <w:ilvl w:val="1"/>
          <w:numId w:val="12"/>
        </w:numPr>
        <w:rPr>
          <w:szCs w:val="22"/>
        </w:rPr>
      </w:pPr>
      <w:r w:rsidRPr="002857E9">
        <w:rPr>
          <w:szCs w:val="22"/>
        </w:rPr>
        <w:t xml:space="preserve">A summary of the comparative benefits and harms for </w:t>
      </w:r>
      <w:r w:rsidR="0049303E" w:rsidRPr="002857E9">
        <w:rPr>
          <w:szCs w:val="22"/>
        </w:rPr>
        <w:t>dapagliflozin</w:t>
      </w:r>
      <w:r w:rsidRPr="002857E9">
        <w:rPr>
          <w:szCs w:val="22"/>
        </w:rPr>
        <w:t xml:space="preserve"> versus </w:t>
      </w:r>
      <w:r w:rsidR="0049303E" w:rsidRPr="002857E9">
        <w:rPr>
          <w:szCs w:val="22"/>
        </w:rPr>
        <w:t>exenatide (secondary comparator) and insulin up-titration</w:t>
      </w:r>
      <w:r w:rsidRPr="002857E9">
        <w:rPr>
          <w:szCs w:val="22"/>
        </w:rPr>
        <w:t xml:space="preserve"> is presented in the </w:t>
      </w:r>
      <w:r w:rsidR="00D0474B">
        <w:rPr>
          <w:szCs w:val="22"/>
        </w:rPr>
        <w:t>following table</w:t>
      </w:r>
      <w:r w:rsidRPr="002857E9">
        <w:rPr>
          <w:szCs w:val="22"/>
        </w:rPr>
        <w:t>.</w:t>
      </w:r>
    </w:p>
    <w:p w:rsidR="00B316D9" w:rsidRPr="00181CA6" w:rsidRDefault="00B316D9" w:rsidP="00B316D9">
      <w:pPr>
        <w:pStyle w:val="ListParagraph"/>
        <w:widowControl/>
        <w:rPr>
          <w:szCs w:val="22"/>
        </w:rPr>
      </w:pPr>
    </w:p>
    <w:p w:rsidR="00D06FD4" w:rsidRPr="00181CA6" w:rsidRDefault="00D06FD4" w:rsidP="00D06FD4">
      <w:pPr>
        <w:pStyle w:val="ListParagraph"/>
        <w:rPr>
          <w:rStyle w:val="CommentReference"/>
        </w:rPr>
      </w:pPr>
      <w:r w:rsidRPr="00181CA6">
        <w:rPr>
          <w:rStyle w:val="CommentReference"/>
        </w:rPr>
        <w:t xml:space="preserve">Summary of comparative benefits and harms for </w:t>
      </w:r>
      <w:r w:rsidR="00B316D9" w:rsidRPr="00181CA6">
        <w:rPr>
          <w:rStyle w:val="CommentReference"/>
        </w:rPr>
        <w:t>dapagliflozin and exenatide</w:t>
      </w:r>
    </w:p>
    <w:tbl>
      <w:tblPr>
        <w:tblW w:w="4604" w:type="pct"/>
        <w:tblInd w:w="737"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31"/>
        <w:gridCol w:w="478"/>
        <w:gridCol w:w="1377"/>
        <w:gridCol w:w="584"/>
        <w:gridCol w:w="443"/>
        <w:gridCol w:w="1405"/>
        <w:gridCol w:w="746"/>
        <w:gridCol w:w="1699"/>
      </w:tblGrid>
      <w:tr w:rsidR="0049303E" w:rsidRPr="00181CA6" w:rsidTr="0049303E">
        <w:trPr>
          <w:trHeight w:val="225"/>
        </w:trPr>
        <w:tc>
          <w:tcPr>
            <w:tcW w:w="5000" w:type="pct"/>
            <w:gridSpan w:val="8"/>
            <w:tcBorders>
              <w:top w:val="single" w:sz="4" w:space="0" w:color="auto"/>
            </w:tcBorders>
            <w:shd w:val="clear" w:color="auto" w:fill="auto"/>
            <w:vAlign w:val="center"/>
          </w:tcPr>
          <w:p w:rsidR="0049303E" w:rsidRPr="00181CA6" w:rsidRDefault="0049303E" w:rsidP="0033780D">
            <w:pPr>
              <w:jc w:val="left"/>
              <w:rPr>
                <w:rFonts w:ascii="Arial Narrow" w:hAnsi="Arial Narrow"/>
                <w:b/>
                <w:sz w:val="20"/>
              </w:rPr>
            </w:pPr>
            <w:r w:rsidRPr="00181CA6">
              <w:rPr>
                <w:rFonts w:ascii="Arial Narrow" w:hAnsi="Arial Narrow"/>
                <w:b/>
                <w:sz w:val="20"/>
              </w:rPr>
              <w:t>Benefits</w:t>
            </w:r>
          </w:p>
        </w:tc>
      </w:tr>
      <w:tr w:rsidR="0049303E" w:rsidRPr="00181CA6" w:rsidTr="00B316D9">
        <w:trPr>
          <w:trHeight w:val="225"/>
        </w:trPr>
        <w:tc>
          <w:tcPr>
            <w:tcW w:w="975" w:type="pct"/>
            <w:vMerge w:val="restart"/>
            <w:tcBorders>
              <w:top w:val="single" w:sz="4" w:space="0" w:color="auto"/>
            </w:tcBorders>
            <w:shd w:val="clear" w:color="auto" w:fill="auto"/>
            <w:vAlign w:val="center"/>
          </w:tcPr>
          <w:p w:rsidR="0049303E" w:rsidRPr="00181CA6" w:rsidRDefault="0049303E" w:rsidP="0033780D">
            <w:pPr>
              <w:rPr>
                <w:rFonts w:ascii="Arial Narrow" w:hAnsi="Arial Narrow"/>
                <w:color w:val="000000"/>
                <w:sz w:val="20"/>
              </w:rPr>
            </w:pPr>
          </w:p>
        </w:tc>
        <w:tc>
          <w:tcPr>
            <w:tcW w:w="1458" w:type="pct"/>
            <w:gridSpan w:val="3"/>
            <w:tcBorders>
              <w:top w:val="single" w:sz="4" w:space="0" w:color="auto"/>
            </w:tcBorders>
            <w:vAlign w:val="center"/>
          </w:tcPr>
          <w:p w:rsidR="0049303E" w:rsidRPr="00181CA6" w:rsidRDefault="0049303E" w:rsidP="0033780D">
            <w:pPr>
              <w:pStyle w:val="COMtbl-HEADLeftAligned"/>
              <w:jc w:val="center"/>
            </w:pPr>
            <w:r w:rsidRPr="00181CA6">
              <w:t>Active treatment group</w:t>
            </w:r>
          </w:p>
        </w:tc>
        <w:tc>
          <w:tcPr>
            <w:tcW w:w="1551" w:type="pct"/>
            <w:gridSpan w:val="3"/>
            <w:tcBorders>
              <w:top w:val="single" w:sz="4" w:space="0" w:color="auto"/>
            </w:tcBorders>
            <w:vAlign w:val="center"/>
          </w:tcPr>
          <w:p w:rsidR="0049303E" w:rsidRPr="00181CA6" w:rsidRDefault="0049303E" w:rsidP="0033780D">
            <w:pPr>
              <w:pStyle w:val="COMtbl-HEADLeftAligned"/>
              <w:jc w:val="center"/>
            </w:pPr>
            <w:r w:rsidRPr="00181CA6">
              <w:t xml:space="preserve">Common </w:t>
            </w:r>
            <w:proofErr w:type="spellStart"/>
            <w:r w:rsidRPr="00181CA6">
              <w:t>reference</w:t>
            </w:r>
            <w:r w:rsidRPr="00181CA6">
              <w:rPr>
                <w:b w:val="0"/>
                <w:vertAlign w:val="superscript"/>
              </w:rPr>
              <w:t>a</w:t>
            </w:r>
            <w:proofErr w:type="spellEnd"/>
          </w:p>
        </w:tc>
        <w:tc>
          <w:tcPr>
            <w:tcW w:w="1016" w:type="pct"/>
            <w:vMerge w:val="restart"/>
            <w:tcBorders>
              <w:top w:val="single" w:sz="4" w:space="0" w:color="auto"/>
            </w:tcBorders>
            <w:vAlign w:val="center"/>
          </w:tcPr>
          <w:p w:rsidR="0049303E" w:rsidRPr="00181CA6" w:rsidRDefault="0049303E" w:rsidP="0033780D">
            <w:pPr>
              <w:jc w:val="center"/>
              <w:rPr>
                <w:rFonts w:ascii="Arial Narrow" w:hAnsi="Arial Narrow"/>
                <w:b/>
                <w:sz w:val="20"/>
              </w:rPr>
            </w:pPr>
            <w:r w:rsidRPr="00181CA6">
              <w:rPr>
                <w:rFonts w:ascii="Arial Narrow" w:hAnsi="Arial Narrow"/>
                <w:b/>
                <w:sz w:val="20"/>
              </w:rPr>
              <w:t xml:space="preserve">Indirect comparison: </w:t>
            </w:r>
          </w:p>
          <w:p w:rsidR="0049303E" w:rsidRPr="00181CA6" w:rsidRDefault="0049303E" w:rsidP="0033780D">
            <w:pPr>
              <w:jc w:val="center"/>
              <w:rPr>
                <w:rFonts w:ascii="Arial Narrow" w:hAnsi="Arial Narrow"/>
                <w:b/>
                <w:sz w:val="20"/>
                <w:vertAlign w:val="superscript"/>
              </w:rPr>
            </w:pPr>
            <w:r w:rsidRPr="00181CA6">
              <w:rPr>
                <w:rFonts w:ascii="Arial Narrow" w:hAnsi="Arial Narrow"/>
                <w:b/>
                <w:sz w:val="20"/>
              </w:rPr>
              <w:t>Mean difference (95% CI)</w:t>
            </w:r>
          </w:p>
          <w:p w:rsidR="0049303E" w:rsidRPr="00181CA6" w:rsidRDefault="0049303E" w:rsidP="0033780D">
            <w:pPr>
              <w:jc w:val="center"/>
              <w:rPr>
                <w:rFonts w:ascii="Arial Narrow" w:hAnsi="Arial Narrow"/>
                <w:b/>
                <w:sz w:val="20"/>
              </w:rPr>
            </w:pPr>
            <w:r w:rsidRPr="00181CA6">
              <w:rPr>
                <w:rFonts w:ascii="Arial Narrow" w:hAnsi="Arial Narrow"/>
                <w:b/>
                <w:sz w:val="20"/>
              </w:rPr>
              <w:t>dapagliflozin vs comparator</w:t>
            </w:r>
          </w:p>
        </w:tc>
      </w:tr>
      <w:tr w:rsidR="0049303E" w:rsidRPr="00181CA6" w:rsidTr="00B316D9">
        <w:trPr>
          <w:trHeight w:val="399"/>
        </w:trPr>
        <w:tc>
          <w:tcPr>
            <w:tcW w:w="975" w:type="pct"/>
            <w:vMerge/>
            <w:shd w:val="clear" w:color="auto" w:fill="auto"/>
            <w:vAlign w:val="center"/>
          </w:tcPr>
          <w:p w:rsidR="0049303E" w:rsidRPr="00181CA6" w:rsidRDefault="0049303E" w:rsidP="0033780D">
            <w:pPr>
              <w:rPr>
                <w:rFonts w:ascii="Arial Narrow" w:hAnsi="Arial Narrow"/>
                <w:color w:val="000000"/>
                <w:sz w:val="20"/>
              </w:rPr>
            </w:pPr>
          </w:p>
        </w:tc>
        <w:tc>
          <w:tcPr>
            <w:tcW w:w="286" w:type="pct"/>
            <w:vAlign w:val="center"/>
          </w:tcPr>
          <w:p w:rsidR="0049303E" w:rsidRPr="00181CA6" w:rsidRDefault="0049303E" w:rsidP="0033780D">
            <w:pPr>
              <w:pStyle w:val="COMtbl-HEADCentred"/>
            </w:pPr>
            <w:r w:rsidRPr="00181CA6">
              <w:t>n</w:t>
            </w:r>
          </w:p>
        </w:tc>
        <w:tc>
          <w:tcPr>
            <w:tcW w:w="823" w:type="pct"/>
            <w:vAlign w:val="center"/>
          </w:tcPr>
          <w:p w:rsidR="0049303E" w:rsidRPr="00181CA6" w:rsidRDefault="0049303E" w:rsidP="0033780D">
            <w:pPr>
              <w:jc w:val="center"/>
              <w:rPr>
                <w:rFonts w:ascii="Arial Narrow" w:hAnsi="Arial Narrow"/>
                <w:b/>
                <w:sz w:val="20"/>
              </w:rPr>
            </w:pPr>
            <w:r w:rsidRPr="00181CA6">
              <w:rPr>
                <w:rFonts w:ascii="Arial Narrow" w:hAnsi="Arial Narrow"/>
                <w:b/>
                <w:sz w:val="20"/>
              </w:rPr>
              <w:t>Mean ∆ baseline HbA1c</w:t>
            </w:r>
          </w:p>
        </w:tc>
        <w:tc>
          <w:tcPr>
            <w:tcW w:w="349" w:type="pct"/>
            <w:vAlign w:val="center"/>
          </w:tcPr>
          <w:p w:rsidR="0049303E" w:rsidRPr="00181CA6" w:rsidRDefault="0049303E" w:rsidP="0033780D">
            <w:pPr>
              <w:jc w:val="center"/>
              <w:rPr>
                <w:rFonts w:ascii="Arial Narrow" w:hAnsi="Arial Narrow"/>
                <w:b/>
                <w:sz w:val="20"/>
              </w:rPr>
            </w:pPr>
            <w:r w:rsidRPr="00181CA6">
              <w:rPr>
                <w:rFonts w:ascii="Arial Narrow" w:hAnsi="Arial Narrow"/>
                <w:b/>
                <w:sz w:val="20"/>
              </w:rPr>
              <w:t>SE</w:t>
            </w:r>
          </w:p>
        </w:tc>
        <w:tc>
          <w:tcPr>
            <w:tcW w:w="265" w:type="pct"/>
            <w:vAlign w:val="center"/>
          </w:tcPr>
          <w:p w:rsidR="0049303E" w:rsidRPr="00181CA6" w:rsidRDefault="0049303E" w:rsidP="0033780D">
            <w:pPr>
              <w:pStyle w:val="COMtbl-HEADCentred"/>
            </w:pPr>
            <w:r w:rsidRPr="00181CA6">
              <w:t>n</w:t>
            </w:r>
          </w:p>
        </w:tc>
        <w:tc>
          <w:tcPr>
            <w:tcW w:w="840" w:type="pct"/>
            <w:vAlign w:val="center"/>
          </w:tcPr>
          <w:p w:rsidR="0049303E" w:rsidRPr="00181CA6" w:rsidRDefault="0049303E" w:rsidP="0033780D">
            <w:pPr>
              <w:jc w:val="center"/>
              <w:rPr>
                <w:rFonts w:ascii="Arial Narrow" w:hAnsi="Arial Narrow"/>
                <w:b/>
                <w:sz w:val="20"/>
              </w:rPr>
            </w:pPr>
            <w:r w:rsidRPr="00181CA6">
              <w:rPr>
                <w:rFonts w:ascii="Arial Narrow" w:hAnsi="Arial Narrow"/>
                <w:b/>
                <w:sz w:val="20"/>
              </w:rPr>
              <w:t>Mean ∆ baseline HbA1c</w:t>
            </w:r>
          </w:p>
        </w:tc>
        <w:tc>
          <w:tcPr>
            <w:tcW w:w="446" w:type="pct"/>
            <w:vAlign w:val="center"/>
          </w:tcPr>
          <w:p w:rsidR="0049303E" w:rsidRPr="00181CA6" w:rsidRDefault="0049303E" w:rsidP="0033780D">
            <w:pPr>
              <w:jc w:val="center"/>
              <w:rPr>
                <w:rFonts w:ascii="Arial Narrow" w:hAnsi="Arial Narrow"/>
                <w:b/>
                <w:sz w:val="20"/>
              </w:rPr>
            </w:pPr>
            <w:r w:rsidRPr="00181CA6">
              <w:rPr>
                <w:rFonts w:ascii="Arial Narrow" w:hAnsi="Arial Narrow"/>
                <w:b/>
                <w:sz w:val="20"/>
              </w:rPr>
              <w:t>SE</w:t>
            </w:r>
          </w:p>
        </w:tc>
        <w:tc>
          <w:tcPr>
            <w:tcW w:w="1016" w:type="pct"/>
            <w:vMerge/>
            <w:vAlign w:val="center"/>
          </w:tcPr>
          <w:p w:rsidR="0049303E" w:rsidRPr="00181CA6" w:rsidRDefault="0049303E" w:rsidP="0033780D">
            <w:pPr>
              <w:jc w:val="center"/>
              <w:rPr>
                <w:rFonts w:ascii="Arial Narrow" w:hAnsi="Arial Narrow"/>
                <w:b/>
                <w:sz w:val="20"/>
              </w:rPr>
            </w:pPr>
          </w:p>
        </w:tc>
      </w:tr>
      <w:tr w:rsidR="0049303E" w:rsidRPr="00181CA6" w:rsidTr="0049303E">
        <w:tc>
          <w:tcPr>
            <w:tcW w:w="5000" w:type="pct"/>
            <w:gridSpan w:val="8"/>
            <w:shd w:val="clear" w:color="auto" w:fill="auto"/>
            <w:vAlign w:val="center"/>
          </w:tcPr>
          <w:p w:rsidR="0049303E" w:rsidRPr="00181CA6" w:rsidRDefault="0049303E" w:rsidP="00A60505">
            <w:pPr>
              <w:jc w:val="left"/>
              <w:rPr>
                <w:rFonts w:ascii="Arial Narrow" w:hAnsi="Arial Narrow"/>
                <w:b/>
                <w:sz w:val="20"/>
              </w:rPr>
            </w:pPr>
            <w:r w:rsidRPr="00181CA6">
              <w:rPr>
                <w:rFonts w:ascii="Arial Narrow" w:hAnsi="Arial Narrow"/>
                <w:b/>
                <w:sz w:val="20"/>
              </w:rPr>
              <w:t xml:space="preserve">Mean change from baseline in HbA1c </w:t>
            </w:r>
          </w:p>
        </w:tc>
      </w:tr>
      <w:tr w:rsidR="0049303E" w:rsidRPr="00181CA6" w:rsidTr="0049303E">
        <w:tc>
          <w:tcPr>
            <w:tcW w:w="5000" w:type="pct"/>
            <w:gridSpan w:val="8"/>
            <w:shd w:val="clear" w:color="auto" w:fill="auto"/>
            <w:vAlign w:val="center"/>
          </w:tcPr>
          <w:p w:rsidR="0049303E" w:rsidRPr="00181CA6" w:rsidRDefault="00C82775" w:rsidP="00C82775">
            <w:pPr>
              <w:pStyle w:val="COMtbl-textCentred"/>
              <w:jc w:val="left"/>
            </w:pPr>
            <w:r w:rsidRPr="00181CA6">
              <w:t xml:space="preserve">Dapagliflozin </w:t>
            </w:r>
            <w:r w:rsidR="0049303E" w:rsidRPr="00181CA6">
              <w:t xml:space="preserve">+ </w:t>
            </w:r>
            <w:r w:rsidRPr="00181CA6">
              <w:t xml:space="preserve">stable </w:t>
            </w:r>
            <w:r w:rsidR="0049303E" w:rsidRPr="00181CA6">
              <w:t xml:space="preserve">insulin vs </w:t>
            </w:r>
            <w:r w:rsidRPr="00181CA6">
              <w:t>exenatide + optimised glargine via stable insulin/optimised glargine</w:t>
            </w:r>
          </w:p>
        </w:tc>
      </w:tr>
      <w:tr w:rsidR="0049303E" w:rsidRPr="00181CA6" w:rsidTr="00B316D9">
        <w:tc>
          <w:tcPr>
            <w:tcW w:w="975" w:type="pct"/>
            <w:shd w:val="clear" w:color="auto" w:fill="auto"/>
            <w:vAlign w:val="center"/>
          </w:tcPr>
          <w:p w:rsidR="0049303E" w:rsidRPr="00181CA6" w:rsidRDefault="0049303E" w:rsidP="0033780D">
            <w:pPr>
              <w:pStyle w:val="COMtbl-textLeftAligned"/>
              <w:rPr>
                <w:color w:val="000000"/>
                <w:vertAlign w:val="superscript"/>
              </w:rPr>
            </w:pPr>
            <w:r w:rsidRPr="00181CA6">
              <w:rPr>
                <w:color w:val="000000"/>
              </w:rPr>
              <w:t>CT-006</w:t>
            </w:r>
          </w:p>
        </w:tc>
        <w:tc>
          <w:tcPr>
            <w:tcW w:w="286" w:type="pct"/>
            <w:vAlign w:val="center"/>
          </w:tcPr>
          <w:p w:rsidR="0049303E" w:rsidRPr="00181CA6" w:rsidRDefault="0049303E" w:rsidP="0033780D">
            <w:pPr>
              <w:jc w:val="center"/>
              <w:rPr>
                <w:rFonts w:ascii="Arial Narrow" w:hAnsi="Arial Narrow"/>
                <w:sz w:val="20"/>
              </w:rPr>
            </w:pPr>
            <w:r w:rsidRPr="00181CA6">
              <w:rPr>
                <w:rFonts w:ascii="Arial Narrow" w:hAnsi="Arial Narrow"/>
                <w:sz w:val="20"/>
              </w:rPr>
              <w:t>194</w:t>
            </w:r>
          </w:p>
        </w:tc>
        <w:tc>
          <w:tcPr>
            <w:tcW w:w="823" w:type="pct"/>
            <w:vAlign w:val="center"/>
          </w:tcPr>
          <w:p w:rsidR="0049303E" w:rsidRPr="00181CA6" w:rsidRDefault="00C82775" w:rsidP="0033780D">
            <w:pPr>
              <w:pStyle w:val="COMtbl-textCentred"/>
            </w:pPr>
            <w:r w:rsidRPr="00181CA6">
              <w:t>-0.9</w:t>
            </w:r>
          </w:p>
        </w:tc>
        <w:tc>
          <w:tcPr>
            <w:tcW w:w="349" w:type="pct"/>
            <w:vAlign w:val="center"/>
          </w:tcPr>
          <w:p w:rsidR="0049303E" w:rsidRPr="00181CA6" w:rsidRDefault="0049303E" w:rsidP="0033780D">
            <w:pPr>
              <w:pStyle w:val="COMtbl-textCentred"/>
            </w:pPr>
            <w:r w:rsidRPr="00181CA6">
              <w:t>0.515</w:t>
            </w:r>
          </w:p>
        </w:tc>
        <w:tc>
          <w:tcPr>
            <w:tcW w:w="265" w:type="pct"/>
            <w:vAlign w:val="center"/>
          </w:tcPr>
          <w:p w:rsidR="0049303E" w:rsidRPr="00181CA6" w:rsidRDefault="0049303E" w:rsidP="0033780D">
            <w:pPr>
              <w:pStyle w:val="COMtbl-textCentred"/>
            </w:pPr>
            <w:r w:rsidRPr="00181CA6">
              <w:t>193</w:t>
            </w:r>
          </w:p>
        </w:tc>
        <w:tc>
          <w:tcPr>
            <w:tcW w:w="840" w:type="pct"/>
            <w:vAlign w:val="center"/>
          </w:tcPr>
          <w:p w:rsidR="0049303E" w:rsidRPr="00181CA6" w:rsidRDefault="0049303E" w:rsidP="0033780D">
            <w:pPr>
              <w:pStyle w:val="COMtbl-textCentred"/>
            </w:pPr>
            <w:r w:rsidRPr="00181CA6">
              <w:t>-0.3</w:t>
            </w:r>
          </w:p>
        </w:tc>
        <w:tc>
          <w:tcPr>
            <w:tcW w:w="446" w:type="pct"/>
            <w:vAlign w:val="center"/>
          </w:tcPr>
          <w:p w:rsidR="0049303E" w:rsidRPr="00181CA6" w:rsidRDefault="0049303E" w:rsidP="0033780D">
            <w:pPr>
              <w:pStyle w:val="COMtbl-textCentred"/>
            </w:pPr>
            <w:r w:rsidRPr="00181CA6">
              <w:t>0.521</w:t>
            </w:r>
          </w:p>
        </w:tc>
        <w:tc>
          <w:tcPr>
            <w:tcW w:w="1016" w:type="pct"/>
            <w:vMerge w:val="restart"/>
            <w:vAlign w:val="center"/>
          </w:tcPr>
          <w:p w:rsidR="0049303E" w:rsidRPr="00181CA6" w:rsidRDefault="0049303E" w:rsidP="0033780D">
            <w:pPr>
              <w:pStyle w:val="COMtbl-textCentred"/>
            </w:pPr>
            <w:r w:rsidRPr="00181CA6">
              <w:t>-0.</w:t>
            </w:r>
            <w:r w:rsidR="00C82775" w:rsidRPr="00181CA6">
              <w:t>11</w:t>
            </w:r>
          </w:p>
          <w:p w:rsidR="0049303E" w:rsidRPr="00181CA6" w:rsidRDefault="0049303E" w:rsidP="00C82775">
            <w:pPr>
              <w:jc w:val="center"/>
              <w:rPr>
                <w:rFonts w:ascii="Arial Narrow" w:hAnsi="Arial Narrow"/>
                <w:sz w:val="20"/>
              </w:rPr>
            </w:pPr>
            <w:r w:rsidRPr="00181CA6">
              <w:rPr>
                <w:rFonts w:ascii="Arial Narrow" w:hAnsi="Arial Narrow"/>
                <w:sz w:val="20"/>
              </w:rPr>
              <w:t>(-0.</w:t>
            </w:r>
            <w:r w:rsidR="00C82775" w:rsidRPr="00181CA6">
              <w:rPr>
                <w:rFonts w:ascii="Arial Narrow" w:hAnsi="Arial Narrow"/>
                <w:sz w:val="20"/>
              </w:rPr>
              <w:t>17</w:t>
            </w:r>
            <w:r w:rsidRPr="00181CA6">
              <w:rPr>
                <w:rFonts w:ascii="Arial Narrow" w:hAnsi="Arial Narrow"/>
                <w:sz w:val="20"/>
              </w:rPr>
              <w:t>, 0.</w:t>
            </w:r>
            <w:r w:rsidR="00C82775" w:rsidRPr="00181CA6">
              <w:rPr>
                <w:rFonts w:ascii="Arial Narrow" w:hAnsi="Arial Narrow"/>
                <w:sz w:val="20"/>
              </w:rPr>
              <w:t>39</w:t>
            </w:r>
            <w:r w:rsidRPr="00181CA6">
              <w:rPr>
                <w:rFonts w:ascii="Arial Narrow" w:hAnsi="Arial Narrow"/>
                <w:sz w:val="20"/>
              </w:rPr>
              <w:t>)</w:t>
            </w:r>
          </w:p>
        </w:tc>
      </w:tr>
      <w:tr w:rsidR="00C82775" w:rsidRPr="00181CA6" w:rsidTr="00B316D9">
        <w:trPr>
          <w:trHeight w:val="260"/>
        </w:trPr>
        <w:tc>
          <w:tcPr>
            <w:tcW w:w="975" w:type="pct"/>
            <w:shd w:val="clear" w:color="auto" w:fill="auto"/>
            <w:vAlign w:val="center"/>
          </w:tcPr>
          <w:p w:rsidR="00C82775" w:rsidRPr="00181CA6" w:rsidRDefault="00C82775" w:rsidP="0033780D">
            <w:pPr>
              <w:pStyle w:val="TableText0"/>
              <w:keepNext w:val="0"/>
              <w:spacing w:before="0" w:after="0"/>
              <w:rPr>
                <w:color w:val="000000"/>
              </w:rPr>
            </w:pPr>
            <w:r w:rsidRPr="00181CA6">
              <w:rPr>
                <w:color w:val="000000"/>
              </w:rPr>
              <w:t xml:space="preserve">GWCO </w:t>
            </w:r>
          </w:p>
        </w:tc>
        <w:tc>
          <w:tcPr>
            <w:tcW w:w="286" w:type="pct"/>
            <w:vAlign w:val="center"/>
          </w:tcPr>
          <w:p w:rsidR="00C82775" w:rsidRPr="00181CA6" w:rsidRDefault="00C82775" w:rsidP="0033780D">
            <w:pPr>
              <w:jc w:val="center"/>
              <w:rPr>
                <w:rFonts w:ascii="Arial Narrow" w:hAnsi="Arial Narrow"/>
                <w:sz w:val="20"/>
              </w:rPr>
            </w:pPr>
            <w:r w:rsidRPr="00181CA6">
              <w:rPr>
                <w:rFonts w:ascii="Arial Narrow" w:hAnsi="Arial Narrow"/>
                <w:sz w:val="20"/>
              </w:rPr>
              <w:t>100</w:t>
            </w:r>
          </w:p>
        </w:tc>
        <w:tc>
          <w:tcPr>
            <w:tcW w:w="823" w:type="pct"/>
            <w:vAlign w:val="center"/>
          </w:tcPr>
          <w:p w:rsidR="00C82775" w:rsidRPr="00181CA6" w:rsidRDefault="00C82775" w:rsidP="00C82775">
            <w:pPr>
              <w:pStyle w:val="COMtbl-textCentred"/>
            </w:pPr>
            <w:r w:rsidRPr="00181CA6">
              <w:t>-1.71</w:t>
            </w:r>
          </w:p>
        </w:tc>
        <w:tc>
          <w:tcPr>
            <w:tcW w:w="349" w:type="pct"/>
            <w:vAlign w:val="center"/>
          </w:tcPr>
          <w:p w:rsidR="00C82775" w:rsidRPr="00181CA6" w:rsidRDefault="00C82775" w:rsidP="00C82775">
            <w:pPr>
              <w:pStyle w:val="COMtbl-textCentred"/>
            </w:pPr>
            <w:r w:rsidRPr="00181CA6">
              <w:t>0.09</w:t>
            </w:r>
          </w:p>
        </w:tc>
        <w:tc>
          <w:tcPr>
            <w:tcW w:w="265" w:type="pct"/>
            <w:vAlign w:val="center"/>
          </w:tcPr>
          <w:p w:rsidR="00C82775" w:rsidRPr="00181CA6" w:rsidRDefault="00C82775" w:rsidP="0033780D">
            <w:pPr>
              <w:pStyle w:val="COMtbl-textCentred"/>
            </w:pPr>
            <w:r w:rsidRPr="00181CA6">
              <w:t>112</w:t>
            </w:r>
          </w:p>
        </w:tc>
        <w:tc>
          <w:tcPr>
            <w:tcW w:w="840" w:type="pct"/>
            <w:vAlign w:val="center"/>
          </w:tcPr>
          <w:p w:rsidR="00C82775" w:rsidRPr="00181CA6" w:rsidRDefault="00C82775" w:rsidP="00C82775">
            <w:pPr>
              <w:pStyle w:val="COMtbl-textCentred"/>
            </w:pPr>
            <w:r w:rsidRPr="00181CA6">
              <w:t>-1.0</w:t>
            </w:r>
          </w:p>
        </w:tc>
        <w:tc>
          <w:tcPr>
            <w:tcW w:w="446" w:type="pct"/>
            <w:vAlign w:val="center"/>
          </w:tcPr>
          <w:p w:rsidR="00C82775" w:rsidRPr="00181CA6" w:rsidRDefault="00C82775" w:rsidP="00C82775">
            <w:pPr>
              <w:pStyle w:val="COMtbl-textCentred"/>
            </w:pPr>
            <w:r w:rsidRPr="00181CA6">
              <w:t>0.09</w:t>
            </w:r>
          </w:p>
        </w:tc>
        <w:tc>
          <w:tcPr>
            <w:tcW w:w="1016" w:type="pct"/>
            <w:vMerge/>
            <w:vAlign w:val="center"/>
          </w:tcPr>
          <w:p w:rsidR="00C82775" w:rsidRPr="00181CA6" w:rsidRDefault="00C82775" w:rsidP="0033780D">
            <w:pPr>
              <w:pStyle w:val="COMtbl-textCentred"/>
            </w:pPr>
          </w:p>
        </w:tc>
      </w:tr>
      <w:tr w:rsidR="00C82775" w:rsidRPr="00181CA6" w:rsidTr="0049303E">
        <w:tc>
          <w:tcPr>
            <w:tcW w:w="5000" w:type="pct"/>
            <w:gridSpan w:val="8"/>
            <w:shd w:val="clear" w:color="auto" w:fill="auto"/>
            <w:vAlign w:val="center"/>
          </w:tcPr>
          <w:p w:rsidR="00C82775" w:rsidRPr="00181CA6" w:rsidRDefault="00C82775" w:rsidP="00C82775">
            <w:pPr>
              <w:pStyle w:val="COMtbl-textCentred"/>
              <w:jc w:val="left"/>
            </w:pPr>
            <w:r w:rsidRPr="00181CA6">
              <w:t xml:space="preserve">Exenatide + optimised glargine vs optimised </w:t>
            </w:r>
            <w:proofErr w:type="spellStart"/>
            <w:r w:rsidRPr="00181CA6">
              <w:t>lispro</w:t>
            </w:r>
            <w:proofErr w:type="spellEnd"/>
            <w:r w:rsidRPr="00181CA6">
              <w:t xml:space="preserve"> + optimised glargine via optimised glargine</w:t>
            </w:r>
          </w:p>
        </w:tc>
      </w:tr>
      <w:tr w:rsidR="00A60505" w:rsidRPr="00181CA6" w:rsidTr="00B316D9">
        <w:trPr>
          <w:trHeight w:val="489"/>
        </w:trPr>
        <w:tc>
          <w:tcPr>
            <w:tcW w:w="975" w:type="pct"/>
            <w:shd w:val="clear" w:color="auto" w:fill="auto"/>
            <w:vAlign w:val="center"/>
          </w:tcPr>
          <w:p w:rsidR="00A60505" w:rsidRPr="00181CA6" w:rsidRDefault="00A60505" w:rsidP="0033780D">
            <w:pPr>
              <w:pStyle w:val="TableText0"/>
              <w:keepNext w:val="0"/>
              <w:spacing w:before="0" w:after="0"/>
              <w:rPr>
                <w:vertAlign w:val="superscript"/>
              </w:rPr>
            </w:pPr>
            <w:r w:rsidRPr="00181CA6">
              <w:t>GWDM</w:t>
            </w:r>
          </w:p>
        </w:tc>
        <w:tc>
          <w:tcPr>
            <w:tcW w:w="286" w:type="pct"/>
            <w:vAlign w:val="center"/>
          </w:tcPr>
          <w:p w:rsidR="00A60505" w:rsidRPr="00181CA6" w:rsidRDefault="00A60505" w:rsidP="0033780D">
            <w:pPr>
              <w:pStyle w:val="COMtbl-textCentred"/>
            </w:pPr>
            <w:r w:rsidRPr="00181CA6">
              <w:t>265</w:t>
            </w:r>
          </w:p>
        </w:tc>
        <w:tc>
          <w:tcPr>
            <w:tcW w:w="823" w:type="pct"/>
            <w:vAlign w:val="center"/>
          </w:tcPr>
          <w:p w:rsidR="00A60505" w:rsidRPr="00181CA6" w:rsidRDefault="00A60505" w:rsidP="0033780D">
            <w:pPr>
              <w:pStyle w:val="COMtbl-textCentred"/>
            </w:pPr>
            <w:r w:rsidRPr="00181CA6">
              <w:t>-1.1</w:t>
            </w:r>
          </w:p>
        </w:tc>
        <w:tc>
          <w:tcPr>
            <w:tcW w:w="349" w:type="pct"/>
            <w:vAlign w:val="center"/>
          </w:tcPr>
          <w:p w:rsidR="00A60505" w:rsidRPr="00181CA6" w:rsidRDefault="00A60505" w:rsidP="0033780D">
            <w:pPr>
              <w:pStyle w:val="COMtbl-textCentred"/>
            </w:pPr>
            <w:r w:rsidRPr="00181CA6">
              <w:t>0.05</w:t>
            </w:r>
          </w:p>
        </w:tc>
        <w:tc>
          <w:tcPr>
            <w:tcW w:w="265" w:type="pct"/>
            <w:vAlign w:val="center"/>
          </w:tcPr>
          <w:p w:rsidR="00A60505" w:rsidRPr="00181CA6" w:rsidRDefault="00A60505" w:rsidP="0033780D">
            <w:pPr>
              <w:pStyle w:val="COMtbl-textCentred"/>
            </w:pPr>
            <w:r w:rsidRPr="00181CA6">
              <w:t>276</w:t>
            </w:r>
          </w:p>
        </w:tc>
        <w:tc>
          <w:tcPr>
            <w:tcW w:w="840" w:type="pct"/>
            <w:vAlign w:val="center"/>
          </w:tcPr>
          <w:p w:rsidR="00A60505" w:rsidRPr="00181CA6" w:rsidRDefault="00A60505" w:rsidP="0033780D">
            <w:pPr>
              <w:pStyle w:val="COMtbl-textCentred"/>
            </w:pPr>
            <w:r w:rsidRPr="00181CA6">
              <w:t>-1.07</w:t>
            </w:r>
          </w:p>
        </w:tc>
        <w:tc>
          <w:tcPr>
            <w:tcW w:w="446" w:type="pct"/>
            <w:vAlign w:val="center"/>
          </w:tcPr>
          <w:p w:rsidR="00A60505" w:rsidRPr="00181CA6" w:rsidRDefault="00A60505" w:rsidP="0033780D">
            <w:pPr>
              <w:pStyle w:val="COMtbl-textCentred"/>
            </w:pPr>
            <w:r w:rsidRPr="00181CA6">
              <w:t>0.05</w:t>
            </w:r>
          </w:p>
        </w:tc>
        <w:tc>
          <w:tcPr>
            <w:tcW w:w="1016" w:type="pct"/>
            <w:vAlign w:val="center"/>
          </w:tcPr>
          <w:p w:rsidR="00A60505" w:rsidRPr="00181CA6" w:rsidRDefault="00A60505" w:rsidP="0033780D">
            <w:pPr>
              <w:pStyle w:val="COMtbl-textCentred"/>
            </w:pPr>
            <w:r w:rsidRPr="00181CA6">
              <w:t>-0.03</w:t>
            </w:r>
          </w:p>
          <w:p w:rsidR="00A60505" w:rsidRPr="00181CA6" w:rsidRDefault="00A60505" w:rsidP="00A60505">
            <w:pPr>
              <w:jc w:val="center"/>
              <w:rPr>
                <w:rFonts w:ascii="Arial Narrow" w:hAnsi="Arial Narrow"/>
                <w:b/>
                <w:sz w:val="20"/>
              </w:rPr>
            </w:pPr>
            <w:r w:rsidRPr="00181CA6">
              <w:rPr>
                <w:rFonts w:ascii="Arial Narrow" w:hAnsi="Arial Narrow"/>
                <w:sz w:val="20"/>
              </w:rPr>
              <w:t>(-0.16, 0.11)</w:t>
            </w:r>
          </w:p>
        </w:tc>
      </w:tr>
      <w:tr w:rsidR="00A60505" w:rsidRPr="00181CA6" w:rsidTr="0033780D">
        <w:tc>
          <w:tcPr>
            <w:tcW w:w="5000" w:type="pct"/>
            <w:gridSpan w:val="8"/>
            <w:shd w:val="clear" w:color="auto" w:fill="auto"/>
            <w:vAlign w:val="center"/>
          </w:tcPr>
          <w:p w:rsidR="00A60505" w:rsidRPr="00181CA6" w:rsidRDefault="00A60505" w:rsidP="00A60505">
            <w:pPr>
              <w:jc w:val="left"/>
              <w:rPr>
                <w:rFonts w:ascii="Arial Narrow" w:hAnsi="Arial Narrow"/>
                <w:b/>
                <w:sz w:val="20"/>
              </w:rPr>
            </w:pPr>
            <w:r w:rsidRPr="00181CA6">
              <w:rPr>
                <w:rFonts w:ascii="Arial Narrow" w:hAnsi="Arial Narrow"/>
                <w:b/>
                <w:sz w:val="20"/>
              </w:rPr>
              <w:t xml:space="preserve">Mean change from baseline in </w:t>
            </w:r>
            <w:r w:rsidRPr="00181CA6">
              <w:rPr>
                <w:rStyle w:val="CommentReference"/>
              </w:rPr>
              <w:t xml:space="preserve">insulin dose (units/day) </w:t>
            </w:r>
          </w:p>
        </w:tc>
      </w:tr>
      <w:tr w:rsidR="00A60505" w:rsidRPr="00181CA6" w:rsidTr="0033780D">
        <w:tc>
          <w:tcPr>
            <w:tcW w:w="5000" w:type="pct"/>
            <w:gridSpan w:val="8"/>
            <w:shd w:val="clear" w:color="auto" w:fill="auto"/>
            <w:vAlign w:val="center"/>
          </w:tcPr>
          <w:p w:rsidR="00A60505" w:rsidRPr="00181CA6" w:rsidRDefault="00A60505" w:rsidP="0033780D">
            <w:pPr>
              <w:pStyle w:val="COMtbl-textCentred"/>
              <w:jc w:val="left"/>
            </w:pPr>
            <w:r w:rsidRPr="00181CA6">
              <w:t>Dapagliflozin + stable insulin vs exenatide + optimised glargine via stable insulin/optimised glargine</w:t>
            </w:r>
          </w:p>
        </w:tc>
      </w:tr>
      <w:tr w:rsidR="00A60505" w:rsidRPr="00181CA6" w:rsidTr="00B316D9">
        <w:tc>
          <w:tcPr>
            <w:tcW w:w="975" w:type="pct"/>
            <w:shd w:val="clear" w:color="auto" w:fill="auto"/>
            <w:vAlign w:val="center"/>
          </w:tcPr>
          <w:p w:rsidR="00A60505" w:rsidRPr="00181CA6" w:rsidRDefault="00A60505" w:rsidP="0033780D">
            <w:pPr>
              <w:pStyle w:val="COMtbl-textLeftAligned"/>
              <w:rPr>
                <w:color w:val="000000"/>
                <w:vertAlign w:val="superscript"/>
              </w:rPr>
            </w:pPr>
            <w:r w:rsidRPr="00181CA6">
              <w:rPr>
                <w:color w:val="000000"/>
              </w:rPr>
              <w:t>CT-006</w:t>
            </w:r>
          </w:p>
        </w:tc>
        <w:tc>
          <w:tcPr>
            <w:tcW w:w="286" w:type="pct"/>
            <w:vAlign w:val="center"/>
          </w:tcPr>
          <w:p w:rsidR="00A60505" w:rsidRPr="00181CA6" w:rsidRDefault="00A60505" w:rsidP="0033780D">
            <w:pPr>
              <w:jc w:val="center"/>
              <w:rPr>
                <w:rFonts w:ascii="Arial Narrow" w:hAnsi="Arial Narrow"/>
                <w:sz w:val="20"/>
              </w:rPr>
            </w:pPr>
            <w:r w:rsidRPr="00181CA6">
              <w:rPr>
                <w:rFonts w:ascii="Arial Narrow" w:hAnsi="Arial Narrow"/>
                <w:sz w:val="20"/>
              </w:rPr>
              <w:t>194</w:t>
            </w:r>
          </w:p>
        </w:tc>
        <w:tc>
          <w:tcPr>
            <w:tcW w:w="823" w:type="pct"/>
            <w:vAlign w:val="center"/>
          </w:tcPr>
          <w:p w:rsidR="00A60505" w:rsidRPr="00181CA6" w:rsidRDefault="00A60505" w:rsidP="00A60505">
            <w:pPr>
              <w:pStyle w:val="COMtbl-textCentred"/>
            </w:pPr>
            <w:r w:rsidRPr="00181CA6">
              <w:t>-1.16</w:t>
            </w:r>
          </w:p>
        </w:tc>
        <w:tc>
          <w:tcPr>
            <w:tcW w:w="349" w:type="pct"/>
            <w:vAlign w:val="center"/>
          </w:tcPr>
          <w:p w:rsidR="00A60505" w:rsidRPr="00181CA6" w:rsidRDefault="00A60505" w:rsidP="0033780D">
            <w:pPr>
              <w:pStyle w:val="COMtbl-textCentred"/>
            </w:pPr>
            <w:r w:rsidRPr="00181CA6">
              <w:t>0. 935</w:t>
            </w:r>
          </w:p>
        </w:tc>
        <w:tc>
          <w:tcPr>
            <w:tcW w:w="265" w:type="pct"/>
            <w:vAlign w:val="center"/>
          </w:tcPr>
          <w:p w:rsidR="00A60505" w:rsidRPr="00181CA6" w:rsidRDefault="00A60505" w:rsidP="0033780D">
            <w:pPr>
              <w:pStyle w:val="COMtbl-textCentred"/>
            </w:pPr>
            <w:r w:rsidRPr="00181CA6">
              <w:t>193</w:t>
            </w:r>
          </w:p>
        </w:tc>
        <w:tc>
          <w:tcPr>
            <w:tcW w:w="840" w:type="pct"/>
            <w:vAlign w:val="center"/>
          </w:tcPr>
          <w:p w:rsidR="00A60505" w:rsidRPr="00181CA6" w:rsidRDefault="00A60505" w:rsidP="0033780D">
            <w:pPr>
              <w:pStyle w:val="COMtbl-textCentred"/>
            </w:pPr>
            <w:r w:rsidRPr="00181CA6">
              <w:t>5.08</w:t>
            </w:r>
          </w:p>
        </w:tc>
        <w:tc>
          <w:tcPr>
            <w:tcW w:w="446" w:type="pct"/>
            <w:vAlign w:val="center"/>
          </w:tcPr>
          <w:p w:rsidR="00A60505" w:rsidRPr="00181CA6" w:rsidRDefault="00A60505" w:rsidP="0033780D">
            <w:pPr>
              <w:pStyle w:val="COMtbl-textCentred"/>
            </w:pPr>
            <w:r w:rsidRPr="00181CA6">
              <w:t>0. 943</w:t>
            </w:r>
          </w:p>
        </w:tc>
        <w:tc>
          <w:tcPr>
            <w:tcW w:w="1016" w:type="pct"/>
            <w:vMerge w:val="restart"/>
            <w:vAlign w:val="center"/>
          </w:tcPr>
          <w:p w:rsidR="00A60505" w:rsidRPr="00181CA6" w:rsidRDefault="00A60505" w:rsidP="0033780D">
            <w:pPr>
              <w:jc w:val="center"/>
              <w:rPr>
                <w:rFonts w:ascii="Arial Narrow" w:hAnsi="Arial Narrow"/>
                <w:sz w:val="20"/>
              </w:rPr>
            </w:pPr>
            <w:r w:rsidRPr="00181CA6">
              <w:rPr>
                <w:rFonts w:ascii="Arial Narrow" w:hAnsi="Arial Narrow"/>
                <w:sz w:val="20"/>
              </w:rPr>
              <w:t xml:space="preserve">0.29 </w:t>
            </w:r>
          </w:p>
          <w:p w:rsidR="00A60505" w:rsidRPr="00181CA6" w:rsidRDefault="00A60505" w:rsidP="0033780D">
            <w:pPr>
              <w:jc w:val="center"/>
              <w:rPr>
                <w:rFonts w:ascii="Arial Narrow" w:hAnsi="Arial Narrow"/>
                <w:sz w:val="20"/>
              </w:rPr>
            </w:pPr>
            <w:r w:rsidRPr="00181CA6">
              <w:rPr>
                <w:rFonts w:ascii="Arial Narrow" w:hAnsi="Arial Narrow"/>
                <w:sz w:val="20"/>
              </w:rPr>
              <w:t>(-5.98, 6.56)</w:t>
            </w:r>
          </w:p>
        </w:tc>
      </w:tr>
      <w:tr w:rsidR="00A60505" w:rsidRPr="00181CA6" w:rsidTr="00B316D9">
        <w:trPr>
          <w:trHeight w:val="260"/>
        </w:trPr>
        <w:tc>
          <w:tcPr>
            <w:tcW w:w="975" w:type="pct"/>
            <w:shd w:val="clear" w:color="auto" w:fill="auto"/>
            <w:vAlign w:val="center"/>
          </w:tcPr>
          <w:p w:rsidR="00A60505" w:rsidRPr="00181CA6" w:rsidRDefault="00A60505" w:rsidP="0033780D">
            <w:pPr>
              <w:pStyle w:val="TableText0"/>
              <w:keepNext w:val="0"/>
              <w:spacing w:before="0" w:after="0"/>
              <w:rPr>
                <w:color w:val="000000"/>
              </w:rPr>
            </w:pPr>
            <w:r w:rsidRPr="00181CA6">
              <w:rPr>
                <w:color w:val="000000"/>
              </w:rPr>
              <w:t xml:space="preserve">GWCO </w:t>
            </w:r>
          </w:p>
        </w:tc>
        <w:tc>
          <w:tcPr>
            <w:tcW w:w="286" w:type="pct"/>
            <w:vAlign w:val="center"/>
          </w:tcPr>
          <w:p w:rsidR="00A60505" w:rsidRPr="00181CA6" w:rsidRDefault="00A60505" w:rsidP="0033780D">
            <w:pPr>
              <w:jc w:val="center"/>
              <w:rPr>
                <w:rFonts w:ascii="Arial Narrow" w:hAnsi="Arial Narrow"/>
                <w:sz w:val="20"/>
              </w:rPr>
            </w:pPr>
            <w:r w:rsidRPr="00181CA6">
              <w:rPr>
                <w:rFonts w:ascii="Arial Narrow" w:hAnsi="Arial Narrow"/>
                <w:sz w:val="20"/>
              </w:rPr>
              <w:t>100</w:t>
            </w:r>
          </w:p>
        </w:tc>
        <w:tc>
          <w:tcPr>
            <w:tcW w:w="823" w:type="pct"/>
            <w:vAlign w:val="center"/>
          </w:tcPr>
          <w:p w:rsidR="00A60505" w:rsidRPr="00181CA6" w:rsidRDefault="00A60505" w:rsidP="0033780D">
            <w:pPr>
              <w:pStyle w:val="COMtbl-textCentred"/>
            </w:pPr>
            <w:r w:rsidRPr="00181CA6">
              <w:t>13.19</w:t>
            </w:r>
          </w:p>
        </w:tc>
        <w:tc>
          <w:tcPr>
            <w:tcW w:w="349" w:type="pct"/>
            <w:vAlign w:val="center"/>
          </w:tcPr>
          <w:p w:rsidR="00A60505" w:rsidRPr="00181CA6" w:rsidRDefault="00A60505" w:rsidP="0033780D">
            <w:pPr>
              <w:pStyle w:val="COMtbl-textCentred"/>
            </w:pPr>
            <w:r w:rsidRPr="00181CA6">
              <w:t>2.2</w:t>
            </w:r>
          </w:p>
        </w:tc>
        <w:tc>
          <w:tcPr>
            <w:tcW w:w="265" w:type="pct"/>
            <w:vAlign w:val="center"/>
          </w:tcPr>
          <w:p w:rsidR="00A60505" w:rsidRPr="00181CA6" w:rsidRDefault="00A60505" w:rsidP="0033780D">
            <w:pPr>
              <w:pStyle w:val="COMtbl-textCentred"/>
            </w:pPr>
            <w:r w:rsidRPr="00181CA6">
              <w:t>112</w:t>
            </w:r>
          </w:p>
        </w:tc>
        <w:tc>
          <w:tcPr>
            <w:tcW w:w="840" w:type="pct"/>
            <w:vAlign w:val="center"/>
          </w:tcPr>
          <w:p w:rsidR="00A60505" w:rsidRPr="00181CA6" w:rsidRDefault="00A60505" w:rsidP="0033780D">
            <w:pPr>
              <w:pStyle w:val="COMtbl-textCentred"/>
            </w:pPr>
            <w:r w:rsidRPr="00181CA6">
              <w:t>19.71</w:t>
            </w:r>
          </w:p>
        </w:tc>
        <w:tc>
          <w:tcPr>
            <w:tcW w:w="446" w:type="pct"/>
            <w:vAlign w:val="center"/>
          </w:tcPr>
          <w:p w:rsidR="00A60505" w:rsidRPr="00181CA6" w:rsidRDefault="00A60505" w:rsidP="0033780D">
            <w:pPr>
              <w:pStyle w:val="COMtbl-textCentred"/>
            </w:pPr>
            <w:r w:rsidRPr="00181CA6">
              <w:t>2.1</w:t>
            </w:r>
          </w:p>
        </w:tc>
        <w:tc>
          <w:tcPr>
            <w:tcW w:w="1016" w:type="pct"/>
            <w:vMerge/>
            <w:vAlign w:val="center"/>
          </w:tcPr>
          <w:p w:rsidR="00A60505" w:rsidRPr="00181CA6" w:rsidRDefault="00A60505" w:rsidP="0033780D">
            <w:pPr>
              <w:pStyle w:val="COMtbl-textCentred"/>
            </w:pPr>
          </w:p>
        </w:tc>
      </w:tr>
      <w:tr w:rsidR="00A60505" w:rsidRPr="00181CA6" w:rsidTr="0033780D">
        <w:tc>
          <w:tcPr>
            <w:tcW w:w="5000" w:type="pct"/>
            <w:gridSpan w:val="8"/>
            <w:shd w:val="clear" w:color="auto" w:fill="auto"/>
            <w:vAlign w:val="center"/>
          </w:tcPr>
          <w:p w:rsidR="00A60505" w:rsidRPr="00181CA6" w:rsidRDefault="00A60505" w:rsidP="0033780D">
            <w:pPr>
              <w:pStyle w:val="COMtbl-textCentred"/>
              <w:jc w:val="left"/>
            </w:pPr>
            <w:r w:rsidRPr="00181CA6">
              <w:lastRenderedPageBreak/>
              <w:t xml:space="preserve">Exenatide + optimised glargine vs optimised </w:t>
            </w:r>
            <w:proofErr w:type="spellStart"/>
            <w:r w:rsidRPr="00181CA6">
              <w:t>lispro</w:t>
            </w:r>
            <w:proofErr w:type="spellEnd"/>
            <w:r w:rsidRPr="00181CA6">
              <w:t xml:space="preserve"> + optimised glargine via optimised glargine</w:t>
            </w:r>
          </w:p>
        </w:tc>
      </w:tr>
      <w:tr w:rsidR="00A60505" w:rsidRPr="00181CA6" w:rsidTr="00B316D9">
        <w:trPr>
          <w:trHeight w:val="489"/>
        </w:trPr>
        <w:tc>
          <w:tcPr>
            <w:tcW w:w="975" w:type="pct"/>
            <w:shd w:val="clear" w:color="auto" w:fill="auto"/>
            <w:vAlign w:val="center"/>
          </w:tcPr>
          <w:p w:rsidR="00A60505" w:rsidRPr="00181CA6" w:rsidRDefault="00A60505" w:rsidP="0033780D">
            <w:pPr>
              <w:pStyle w:val="TableText0"/>
              <w:keepNext w:val="0"/>
              <w:spacing w:before="0" w:after="0"/>
              <w:rPr>
                <w:vertAlign w:val="superscript"/>
              </w:rPr>
            </w:pPr>
            <w:r w:rsidRPr="00181CA6">
              <w:t>GWDM</w:t>
            </w:r>
          </w:p>
        </w:tc>
        <w:tc>
          <w:tcPr>
            <w:tcW w:w="286" w:type="pct"/>
            <w:vAlign w:val="center"/>
          </w:tcPr>
          <w:p w:rsidR="00A60505" w:rsidRPr="00181CA6" w:rsidRDefault="00A60505" w:rsidP="0033780D">
            <w:pPr>
              <w:pStyle w:val="COMtbl-textCentred"/>
            </w:pPr>
            <w:r w:rsidRPr="00181CA6">
              <w:t>312</w:t>
            </w:r>
          </w:p>
        </w:tc>
        <w:tc>
          <w:tcPr>
            <w:tcW w:w="823" w:type="pct"/>
            <w:vAlign w:val="center"/>
          </w:tcPr>
          <w:p w:rsidR="00A60505" w:rsidRPr="00181CA6" w:rsidRDefault="00A60505" w:rsidP="0033780D">
            <w:pPr>
              <w:pStyle w:val="COMtbl-textCentred"/>
            </w:pPr>
            <w:r w:rsidRPr="00181CA6">
              <w:t>-4.4</w:t>
            </w:r>
          </w:p>
        </w:tc>
        <w:tc>
          <w:tcPr>
            <w:tcW w:w="349" w:type="pct"/>
            <w:vAlign w:val="center"/>
          </w:tcPr>
          <w:p w:rsidR="00A60505" w:rsidRPr="00181CA6" w:rsidRDefault="00A60505" w:rsidP="0033780D">
            <w:pPr>
              <w:pStyle w:val="COMtbl-textCentred"/>
            </w:pPr>
            <w:r w:rsidRPr="00181CA6">
              <w:t>2.388</w:t>
            </w:r>
          </w:p>
        </w:tc>
        <w:tc>
          <w:tcPr>
            <w:tcW w:w="265" w:type="pct"/>
            <w:vAlign w:val="center"/>
          </w:tcPr>
          <w:p w:rsidR="00A60505" w:rsidRPr="00181CA6" w:rsidRDefault="00A60505" w:rsidP="0033780D">
            <w:pPr>
              <w:pStyle w:val="COMtbl-textCentred"/>
            </w:pPr>
            <w:r w:rsidRPr="00181CA6">
              <w:t>315</w:t>
            </w:r>
          </w:p>
        </w:tc>
        <w:tc>
          <w:tcPr>
            <w:tcW w:w="840" w:type="pct"/>
            <w:vAlign w:val="center"/>
          </w:tcPr>
          <w:p w:rsidR="00A60505" w:rsidRPr="00181CA6" w:rsidRDefault="00A60505" w:rsidP="0033780D">
            <w:pPr>
              <w:pStyle w:val="COMtbl-textCentred"/>
            </w:pPr>
            <w:r w:rsidRPr="00181CA6">
              <w:t>-31.8</w:t>
            </w:r>
          </w:p>
        </w:tc>
        <w:tc>
          <w:tcPr>
            <w:tcW w:w="446" w:type="pct"/>
            <w:vAlign w:val="center"/>
          </w:tcPr>
          <w:p w:rsidR="00A60505" w:rsidRPr="00181CA6" w:rsidRDefault="00A60505" w:rsidP="0033780D">
            <w:pPr>
              <w:pStyle w:val="COMtbl-textCentred"/>
            </w:pPr>
            <w:r w:rsidRPr="00181CA6">
              <w:t>3.609</w:t>
            </w:r>
          </w:p>
        </w:tc>
        <w:tc>
          <w:tcPr>
            <w:tcW w:w="1016" w:type="pct"/>
            <w:vAlign w:val="center"/>
          </w:tcPr>
          <w:p w:rsidR="00A60505" w:rsidRPr="00181CA6" w:rsidRDefault="00A60505" w:rsidP="0033780D">
            <w:pPr>
              <w:pStyle w:val="COMtbl-textCentred"/>
              <w:rPr>
                <w:b/>
              </w:rPr>
            </w:pPr>
            <w:r w:rsidRPr="00181CA6">
              <w:rPr>
                <w:b/>
              </w:rPr>
              <w:t>-36.2</w:t>
            </w:r>
          </w:p>
          <w:p w:rsidR="00A60505" w:rsidRPr="00181CA6" w:rsidRDefault="00A60505" w:rsidP="0033780D">
            <w:pPr>
              <w:jc w:val="center"/>
              <w:rPr>
                <w:rFonts w:ascii="Arial Narrow" w:hAnsi="Arial Narrow"/>
                <w:b/>
                <w:sz w:val="20"/>
              </w:rPr>
            </w:pPr>
            <w:r w:rsidRPr="00181CA6">
              <w:rPr>
                <w:rFonts w:ascii="Arial Narrow" w:hAnsi="Arial Narrow"/>
                <w:b/>
                <w:sz w:val="20"/>
              </w:rPr>
              <w:t>(-43.5, -27.7)</w:t>
            </w:r>
          </w:p>
        </w:tc>
      </w:tr>
    </w:tbl>
    <w:tbl>
      <w:tblPr>
        <w:tblStyle w:val="TableGrid"/>
        <w:tblW w:w="4604" w:type="pct"/>
        <w:tblInd w:w="737" w:type="dxa"/>
        <w:tblLayout w:type="fixed"/>
        <w:tblCellMar>
          <w:left w:w="28" w:type="dxa"/>
          <w:right w:w="28" w:type="dxa"/>
        </w:tblCellMar>
        <w:tblLook w:val="04A0" w:firstRow="1" w:lastRow="0" w:firstColumn="1" w:lastColumn="0" w:noHBand="0" w:noVBand="1"/>
      </w:tblPr>
      <w:tblGrid>
        <w:gridCol w:w="1133"/>
        <w:gridCol w:w="739"/>
        <w:gridCol w:w="709"/>
        <w:gridCol w:w="684"/>
        <w:gridCol w:w="1699"/>
        <w:gridCol w:w="706"/>
        <w:gridCol w:w="7"/>
        <w:gridCol w:w="851"/>
        <w:gridCol w:w="933"/>
        <w:gridCol w:w="902"/>
      </w:tblGrid>
      <w:tr w:rsidR="003E5370" w:rsidRPr="00181CA6" w:rsidTr="003E5370">
        <w:tc>
          <w:tcPr>
            <w:tcW w:w="5000" w:type="pct"/>
            <w:gridSpan w:val="10"/>
            <w:tcBorders>
              <w:top w:val="single" w:sz="4" w:space="0" w:color="auto"/>
            </w:tcBorders>
            <w:shd w:val="clear" w:color="auto" w:fill="auto"/>
            <w:vAlign w:val="center"/>
          </w:tcPr>
          <w:p w:rsidR="003E5370" w:rsidRPr="00181CA6" w:rsidRDefault="0072262C" w:rsidP="003C4FEF">
            <w:pPr>
              <w:rPr>
                <w:rFonts w:ascii="Arial Narrow" w:hAnsi="Arial Narrow"/>
                <w:b/>
                <w:color w:val="000000"/>
                <w:sz w:val="20"/>
                <w:szCs w:val="18"/>
              </w:rPr>
            </w:pPr>
            <w:r w:rsidRPr="00181CA6">
              <w:rPr>
                <w:rFonts w:ascii="Arial Narrow" w:hAnsi="Arial Narrow"/>
                <w:b/>
                <w:color w:val="000000"/>
                <w:sz w:val="20"/>
                <w:szCs w:val="18"/>
              </w:rPr>
              <w:t>Harms</w:t>
            </w:r>
          </w:p>
        </w:tc>
      </w:tr>
      <w:tr w:rsidR="0072262C" w:rsidRPr="00181CA6" w:rsidTr="003E5370">
        <w:tc>
          <w:tcPr>
            <w:tcW w:w="5000" w:type="pct"/>
            <w:gridSpan w:val="10"/>
            <w:tcBorders>
              <w:top w:val="single" w:sz="4" w:space="0" w:color="auto"/>
            </w:tcBorders>
            <w:shd w:val="clear" w:color="auto" w:fill="auto"/>
            <w:vAlign w:val="center"/>
          </w:tcPr>
          <w:p w:rsidR="0072262C" w:rsidRPr="00181CA6" w:rsidRDefault="0072262C" w:rsidP="003C4FEF">
            <w:pPr>
              <w:rPr>
                <w:rFonts w:ascii="Arial Narrow" w:hAnsi="Arial Narrow"/>
                <w:b/>
                <w:color w:val="000000"/>
                <w:sz w:val="20"/>
                <w:szCs w:val="18"/>
              </w:rPr>
            </w:pPr>
            <w:r w:rsidRPr="00181CA6">
              <w:rPr>
                <w:rFonts w:ascii="Arial Narrow" w:hAnsi="Arial Narrow"/>
                <w:b/>
                <w:color w:val="000000"/>
                <w:sz w:val="20"/>
                <w:szCs w:val="18"/>
              </w:rPr>
              <w:t>Hypoglycaemia: indirect comparison</w:t>
            </w:r>
          </w:p>
        </w:tc>
      </w:tr>
      <w:tr w:rsidR="00E903FA" w:rsidRPr="00181CA6" w:rsidTr="00F333AC">
        <w:trPr>
          <w:trHeight w:val="105"/>
        </w:trPr>
        <w:tc>
          <w:tcPr>
            <w:tcW w:w="677" w:type="pct"/>
            <w:vMerge w:val="restart"/>
            <w:shd w:val="clear" w:color="auto" w:fill="auto"/>
            <w:vAlign w:val="center"/>
          </w:tcPr>
          <w:p w:rsidR="003E5370" w:rsidRPr="00181CA6" w:rsidRDefault="003E5370" w:rsidP="003C4FEF">
            <w:pPr>
              <w:rPr>
                <w:rFonts w:ascii="Arial Narrow" w:hAnsi="Arial Narrow"/>
                <w:color w:val="000000"/>
                <w:sz w:val="20"/>
                <w:szCs w:val="18"/>
              </w:rPr>
            </w:pPr>
          </w:p>
        </w:tc>
        <w:tc>
          <w:tcPr>
            <w:tcW w:w="442" w:type="pct"/>
            <w:vMerge w:val="restart"/>
            <w:vAlign w:val="center"/>
          </w:tcPr>
          <w:p w:rsidR="003E5370" w:rsidRPr="00181CA6" w:rsidRDefault="003E5370" w:rsidP="00B2014E">
            <w:pPr>
              <w:jc w:val="center"/>
              <w:rPr>
                <w:rFonts w:ascii="Arial Narrow" w:hAnsi="Arial Narrow"/>
                <w:b/>
                <w:color w:val="000000"/>
                <w:sz w:val="20"/>
                <w:szCs w:val="18"/>
              </w:rPr>
            </w:pPr>
            <w:proofErr w:type="spellStart"/>
            <w:r w:rsidRPr="00181CA6">
              <w:rPr>
                <w:rFonts w:ascii="Arial Narrow" w:hAnsi="Arial Narrow"/>
                <w:b/>
                <w:color w:val="000000"/>
                <w:sz w:val="20"/>
                <w:szCs w:val="18"/>
              </w:rPr>
              <w:t>Dapa</w:t>
            </w:r>
            <w:r w:rsidR="00B2014E" w:rsidRPr="00181CA6">
              <w:rPr>
                <w:rFonts w:ascii="Arial Narrow" w:hAnsi="Arial Narrow"/>
                <w:color w:val="000000"/>
                <w:sz w:val="20"/>
                <w:szCs w:val="18"/>
                <w:vertAlign w:val="superscript"/>
              </w:rPr>
              <w:t>b</w:t>
            </w:r>
            <w:proofErr w:type="spellEnd"/>
          </w:p>
        </w:tc>
        <w:tc>
          <w:tcPr>
            <w:tcW w:w="424" w:type="pct"/>
            <w:vMerge w:val="restart"/>
            <w:vAlign w:val="center"/>
          </w:tcPr>
          <w:p w:rsidR="003E5370" w:rsidRPr="00181CA6" w:rsidRDefault="003E5370" w:rsidP="003C4FEF">
            <w:pPr>
              <w:jc w:val="center"/>
              <w:rPr>
                <w:rFonts w:ascii="Arial Narrow" w:hAnsi="Arial Narrow"/>
                <w:b/>
                <w:color w:val="000000"/>
                <w:sz w:val="20"/>
                <w:szCs w:val="18"/>
              </w:rPr>
            </w:pPr>
            <w:proofErr w:type="spellStart"/>
            <w:r w:rsidRPr="00181CA6">
              <w:rPr>
                <w:rFonts w:ascii="Arial Narrow" w:hAnsi="Arial Narrow"/>
                <w:b/>
                <w:color w:val="000000"/>
                <w:sz w:val="20"/>
                <w:szCs w:val="18"/>
              </w:rPr>
              <w:t>PBO</w:t>
            </w:r>
            <w:r w:rsidR="0072262C" w:rsidRPr="00181CA6">
              <w:rPr>
                <w:rFonts w:ascii="Arial Narrow" w:hAnsi="Arial Narrow"/>
                <w:color w:val="000000"/>
                <w:sz w:val="20"/>
                <w:szCs w:val="18"/>
                <w:vertAlign w:val="superscript"/>
              </w:rPr>
              <w:t>a</w:t>
            </w:r>
            <w:proofErr w:type="spellEnd"/>
          </w:p>
        </w:tc>
        <w:tc>
          <w:tcPr>
            <w:tcW w:w="408" w:type="pct"/>
            <w:vMerge w:val="restart"/>
            <w:vAlign w:val="center"/>
          </w:tcPr>
          <w:p w:rsidR="003E5370" w:rsidRPr="00181CA6" w:rsidRDefault="003E5370" w:rsidP="00B2014E">
            <w:pPr>
              <w:jc w:val="center"/>
              <w:rPr>
                <w:rFonts w:ascii="Arial Narrow" w:hAnsi="Arial Narrow"/>
                <w:b/>
                <w:color w:val="000000"/>
                <w:sz w:val="20"/>
                <w:szCs w:val="18"/>
              </w:rPr>
            </w:pPr>
            <w:proofErr w:type="spellStart"/>
            <w:r w:rsidRPr="00181CA6">
              <w:rPr>
                <w:rFonts w:ascii="Arial Narrow" w:hAnsi="Arial Narrow"/>
                <w:b/>
                <w:color w:val="000000"/>
                <w:sz w:val="20"/>
                <w:szCs w:val="18"/>
              </w:rPr>
              <w:t>Exe</w:t>
            </w:r>
            <w:r w:rsidR="00B2014E" w:rsidRPr="00181CA6">
              <w:rPr>
                <w:rFonts w:ascii="Arial Narrow" w:hAnsi="Arial Narrow"/>
                <w:color w:val="000000"/>
                <w:sz w:val="20"/>
                <w:szCs w:val="18"/>
                <w:vertAlign w:val="superscript"/>
              </w:rPr>
              <w:t>b</w:t>
            </w:r>
            <w:proofErr w:type="spellEnd"/>
          </w:p>
        </w:tc>
        <w:tc>
          <w:tcPr>
            <w:tcW w:w="1016" w:type="pct"/>
            <w:vMerge w:val="restart"/>
            <w:vAlign w:val="center"/>
          </w:tcPr>
          <w:p w:rsidR="003E5370" w:rsidRPr="00181CA6" w:rsidRDefault="003E5370" w:rsidP="003C4FEF">
            <w:pPr>
              <w:jc w:val="center"/>
              <w:rPr>
                <w:rFonts w:ascii="Arial Narrow" w:hAnsi="Arial Narrow"/>
                <w:b/>
                <w:color w:val="000000"/>
                <w:sz w:val="20"/>
                <w:szCs w:val="18"/>
              </w:rPr>
            </w:pPr>
            <w:r w:rsidRPr="00181CA6">
              <w:rPr>
                <w:rFonts w:ascii="Arial Narrow" w:hAnsi="Arial Narrow"/>
                <w:b/>
                <w:color w:val="000000"/>
                <w:sz w:val="20"/>
                <w:szCs w:val="18"/>
              </w:rPr>
              <w:t>OR</w:t>
            </w:r>
          </w:p>
          <w:p w:rsidR="003E5370" w:rsidRPr="00181CA6" w:rsidRDefault="003E5370" w:rsidP="003C4FEF">
            <w:pPr>
              <w:jc w:val="center"/>
              <w:rPr>
                <w:rFonts w:ascii="Arial Narrow" w:hAnsi="Arial Narrow"/>
                <w:color w:val="000000"/>
                <w:sz w:val="20"/>
                <w:szCs w:val="18"/>
              </w:rPr>
            </w:pPr>
            <w:r w:rsidRPr="00181CA6">
              <w:rPr>
                <w:rFonts w:ascii="Arial Narrow" w:hAnsi="Arial Narrow"/>
                <w:b/>
                <w:color w:val="000000"/>
                <w:sz w:val="20"/>
                <w:szCs w:val="18"/>
              </w:rPr>
              <w:t>(95% CI)</w:t>
            </w:r>
          </w:p>
        </w:tc>
        <w:tc>
          <w:tcPr>
            <w:tcW w:w="1489" w:type="pct"/>
            <w:gridSpan w:val="4"/>
            <w:vAlign w:val="center"/>
          </w:tcPr>
          <w:p w:rsidR="003E5370" w:rsidRPr="00181CA6" w:rsidRDefault="003E5370" w:rsidP="003C4FEF">
            <w:pPr>
              <w:jc w:val="center"/>
              <w:rPr>
                <w:rFonts w:ascii="Arial Narrow" w:hAnsi="Arial Narrow"/>
                <w:b/>
                <w:color w:val="000000"/>
                <w:sz w:val="20"/>
                <w:szCs w:val="18"/>
              </w:rPr>
            </w:pPr>
            <w:r w:rsidRPr="00181CA6">
              <w:rPr>
                <w:rFonts w:ascii="Arial Narrow" w:hAnsi="Arial Narrow"/>
                <w:b/>
                <w:color w:val="000000"/>
                <w:sz w:val="20"/>
                <w:szCs w:val="18"/>
              </w:rPr>
              <w:t>Event rate/100 patients</w:t>
            </w:r>
          </w:p>
        </w:tc>
        <w:tc>
          <w:tcPr>
            <w:tcW w:w="543" w:type="pct"/>
            <w:vMerge w:val="restart"/>
            <w:vAlign w:val="center"/>
          </w:tcPr>
          <w:p w:rsidR="003E5370" w:rsidRPr="00181CA6" w:rsidRDefault="003E5370" w:rsidP="003C4FEF">
            <w:pPr>
              <w:jc w:val="center"/>
              <w:rPr>
                <w:rFonts w:ascii="Arial Narrow" w:hAnsi="Arial Narrow"/>
                <w:b/>
                <w:color w:val="000000"/>
                <w:sz w:val="20"/>
                <w:szCs w:val="18"/>
              </w:rPr>
            </w:pPr>
            <w:r w:rsidRPr="00181CA6">
              <w:rPr>
                <w:rFonts w:ascii="Arial Narrow" w:hAnsi="Arial Narrow"/>
                <w:b/>
                <w:color w:val="000000"/>
                <w:sz w:val="20"/>
                <w:szCs w:val="18"/>
              </w:rPr>
              <w:t>RD</w:t>
            </w:r>
          </w:p>
          <w:p w:rsidR="003E5370" w:rsidRPr="00181CA6" w:rsidRDefault="003E5370" w:rsidP="003C4FEF">
            <w:pPr>
              <w:jc w:val="center"/>
              <w:rPr>
                <w:rFonts w:ascii="Arial Narrow" w:hAnsi="Arial Narrow"/>
                <w:color w:val="000000"/>
                <w:sz w:val="20"/>
                <w:szCs w:val="18"/>
              </w:rPr>
            </w:pPr>
            <w:r w:rsidRPr="00181CA6">
              <w:rPr>
                <w:rFonts w:ascii="Arial Narrow" w:hAnsi="Arial Narrow"/>
                <w:b/>
                <w:color w:val="000000"/>
                <w:sz w:val="20"/>
                <w:szCs w:val="18"/>
              </w:rPr>
              <w:t>(95% CI)</w:t>
            </w:r>
          </w:p>
        </w:tc>
      </w:tr>
      <w:tr w:rsidR="00E903FA" w:rsidRPr="00181CA6" w:rsidTr="00F333AC">
        <w:trPr>
          <w:trHeight w:val="70"/>
        </w:trPr>
        <w:tc>
          <w:tcPr>
            <w:tcW w:w="677" w:type="pct"/>
            <w:vMerge/>
            <w:shd w:val="clear" w:color="auto" w:fill="auto"/>
            <w:vAlign w:val="center"/>
          </w:tcPr>
          <w:p w:rsidR="003E5370" w:rsidRPr="00181CA6" w:rsidRDefault="003E5370" w:rsidP="003C4FEF">
            <w:pPr>
              <w:rPr>
                <w:rFonts w:ascii="Arial Narrow" w:hAnsi="Arial Narrow"/>
                <w:color w:val="000000"/>
                <w:sz w:val="20"/>
                <w:szCs w:val="18"/>
              </w:rPr>
            </w:pPr>
          </w:p>
        </w:tc>
        <w:tc>
          <w:tcPr>
            <w:tcW w:w="442" w:type="pct"/>
            <w:vMerge/>
            <w:vAlign w:val="center"/>
          </w:tcPr>
          <w:p w:rsidR="003E5370" w:rsidRPr="00181CA6" w:rsidRDefault="003E5370" w:rsidP="003C4FEF">
            <w:pPr>
              <w:jc w:val="center"/>
              <w:rPr>
                <w:rFonts w:ascii="Arial Narrow" w:hAnsi="Arial Narrow"/>
                <w:b/>
                <w:color w:val="000000"/>
                <w:sz w:val="20"/>
                <w:szCs w:val="18"/>
              </w:rPr>
            </w:pPr>
          </w:p>
        </w:tc>
        <w:tc>
          <w:tcPr>
            <w:tcW w:w="424" w:type="pct"/>
            <w:vMerge/>
            <w:vAlign w:val="center"/>
          </w:tcPr>
          <w:p w:rsidR="003E5370" w:rsidRPr="00181CA6" w:rsidRDefault="003E5370" w:rsidP="003C4FEF">
            <w:pPr>
              <w:jc w:val="center"/>
              <w:rPr>
                <w:rFonts w:ascii="Arial Narrow" w:hAnsi="Arial Narrow"/>
                <w:b/>
                <w:color w:val="000000"/>
                <w:sz w:val="20"/>
                <w:szCs w:val="18"/>
              </w:rPr>
            </w:pPr>
          </w:p>
        </w:tc>
        <w:tc>
          <w:tcPr>
            <w:tcW w:w="408" w:type="pct"/>
            <w:vMerge/>
            <w:vAlign w:val="center"/>
          </w:tcPr>
          <w:p w:rsidR="003E5370" w:rsidRPr="00181CA6" w:rsidRDefault="003E5370" w:rsidP="003C4FEF">
            <w:pPr>
              <w:jc w:val="center"/>
              <w:rPr>
                <w:rFonts w:ascii="Arial Narrow" w:hAnsi="Arial Narrow"/>
                <w:b/>
                <w:color w:val="000000"/>
                <w:sz w:val="20"/>
                <w:szCs w:val="18"/>
              </w:rPr>
            </w:pPr>
          </w:p>
        </w:tc>
        <w:tc>
          <w:tcPr>
            <w:tcW w:w="1016" w:type="pct"/>
            <w:vMerge/>
            <w:vAlign w:val="center"/>
          </w:tcPr>
          <w:p w:rsidR="003E5370" w:rsidRPr="00181CA6" w:rsidRDefault="003E5370" w:rsidP="003C4FEF">
            <w:pPr>
              <w:jc w:val="center"/>
              <w:rPr>
                <w:rFonts w:ascii="Arial Narrow" w:hAnsi="Arial Narrow"/>
                <w:b/>
                <w:color w:val="000000"/>
                <w:sz w:val="20"/>
                <w:szCs w:val="18"/>
              </w:rPr>
            </w:pPr>
          </w:p>
        </w:tc>
        <w:tc>
          <w:tcPr>
            <w:tcW w:w="426" w:type="pct"/>
            <w:gridSpan w:val="2"/>
            <w:vAlign w:val="center"/>
          </w:tcPr>
          <w:p w:rsidR="003E5370" w:rsidRPr="00181CA6" w:rsidRDefault="003E5370" w:rsidP="00B2014E">
            <w:pPr>
              <w:jc w:val="center"/>
              <w:rPr>
                <w:rFonts w:ascii="Arial Narrow" w:hAnsi="Arial Narrow"/>
                <w:b/>
                <w:color w:val="000000"/>
                <w:sz w:val="20"/>
                <w:szCs w:val="18"/>
              </w:rPr>
            </w:pPr>
            <w:proofErr w:type="spellStart"/>
            <w:r w:rsidRPr="00181CA6">
              <w:rPr>
                <w:rFonts w:ascii="Arial Narrow" w:hAnsi="Arial Narrow"/>
                <w:b/>
                <w:color w:val="000000"/>
                <w:sz w:val="20"/>
                <w:szCs w:val="18"/>
              </w:rPr>
              <w:t>Dapa</w:t>
            </w:r>
            <w:r w:rsidR="00B2014E" w:rsidRPr="00181CA6">
              <w:rPr>
                <w:rFonts w:ascii="Arial Narrow" w:hAnsi="Arial Narrow"/>
                <w:color w:val="000000"/>
                <w:sz w:val="20"/>
                <w:szCs w:val="18"/>
                <w:vertAlign w:val="superscript"/>
              </w:rPr>
              <w:t>b</w:t>
            </w:r>
            <w:proofErr w:type="spellEnd"/>
          </w:p>
        </w:tc>
        <w:tc>
          <w:tcPr>
            <w:tcW w:w="509" w:type="pct"/>
            <w:vAlign w:val="center"/>
          </w:tcPr>
          <w:p w:rsidR="003E5370" w:rsidRPr="00181CA6" w:rsidRDefault="003E5370" w:rsidP="003C4FEF">
            <w:pPr>
              <w:jc w:val="center"/>
              <w:rPr>
                <w:rFonts w:ascii="Arial Narrow" w:hAnsi="Arial Narrow"/>
                <w:b/>
                <w:color w:val="000000"/>
                <w:sz w:val="20"/>
                <w:szCs w:val="18"/>
              </w:rPr>
            </w:pPr>
            <w:proofErr w:type="spellStart"/>
            <w:r w:rsidRPr="00181CA6">
              <w:rPr>
                <w:rFonts w:ascii="Arial Narrow" w:hAnsi="Arial Narrow"/>
                <w:b/>
                <w:color w:val="000000"/>
                <w:sz w:val="20"/>
                <w:szCs w:val="18"/>
              </w:rPr>
              <w:t>PBO</w:t>
            </w:r>
            <w:r w:rsidR="00FC3594" w:rsidRPr="00181CA6">
              <w:rPr>
                <w:rFonts w:ascii="Arial Narrow" w:hAnsi="Arial Narrow"/>
                <w:color w:val="000000"/>
                <w:sz w:val="20"/>
                <w:szCs w:val="18"/>
                <w:vertAlign w:val="superscript"/>
              </w:rPr>
              <w:t>a</w:t>
            </w:r>
            <w:proofErr w:type="spellEnd"/>
          </w:p>
        </w:tc>
        <w:tc>
          <w:tcPr>
            <w:tcW w:w="555" w:type="pct"/>
            <w:vAlign w:val="center"/>
          </w:tcPr>
          <w:p w:rsidR="003E5370" w:rsidRPr="00181CA6" w:rsidRDefault="003E5370" w:rsidP="00B2014E">
            <w:pPr>
              <w:jc w:val="center"/>
              <w:rPr>
                <w:rFonts w:ascii="Arial Narrow" w:hAnsi="Arial Narrow"/>
                <w:b/>
                <w:color w:val="000000"/>
                <w:sz w:val="20"/>
                <w:szCs w:val="18"/>
              </w:rPr>
            </w:pPr>
            <w:proofErr w:type="spellStart"/>
            <w:r w:rsidRPr="00181CA6">
              <w:rPr>
                <w:rFonts w:ascii="Arial Narrow" w:hAnsi="Arial Narrow"/>
                <w:b/>
                <w:color w:val="000000"/>
                <w:sz w:val="20"/>
                <w:szCs w:val="18"/>
              </w:rPr>
              <w:t>Exe</w:t>
            </w:r>
            <w:r w:rsidR="00B2014E" w:rsidRPr="00181CA6">
              <w:rPr>
                <w:rFonts w:ascii="Arial Narrow" w:hAnsi="Arial Narrow"/>
                <w:color w:val="000000"/>
                <w:sz w:val="20"/>
                <w:szCs w:val="18"/>
                <w:vertAlign w:val="superscript"/>
              </w:rPr>
              <w:t>b</w:t>
            </w:r>
            <w:proofErr w:type="spellEnd"/>
          </w:p>
        </w:tc>
        <w:tc>
          <w:tcPr>
            <w:tcW w:w="543" w:type="pct"/>
            <w:vMerge/>
            <w:vAlign w:val="center"/>
          </w:tcPr>
          <w:p w:rsidR="003E5370" w:rsidRPr="00181CA6" w:rsidRDefault="003E5370" w:rsidP="003C4FEF">
            <w:pPr>
              <w:jc w:val="center"/>
              <w:rPr>
                <w:rFonts w:ascii="Arial Narrow" w:hAnsi="Arial Narrow"/>
                <w:b/>
                <w:color w:val="000000"/>
                <w:sz w:val="20"/>
                <w:szCs w:val="18"/>
              </w:rPr>
            </w:pPr>
          </w:p>
        </w:tc>
      </w:tr>
      <w:tr w:rsidR="00E903FA" w:rsidRPr="00181CA6" w:rsidTr="00F333AC">
        <w:tc>
          <w:tcPr>
            <w:tcW w:w="677" w:type="pct"/>
            <w:shd w:val="clear" w:color="auto" w:fill="auto"/>
            <w:vAlign w:val="center"/>
          </w:tcPr>
          <w:p w:rsidR="00FC3594" w:rsidRPr="00181CA6" w:rsidRDefault="00FC3594" w:rsidP="003C4FEF">
            <w:pPr>
              <w:rPr>
                <w:rFonts w:ascii="Arial Narrow" w:hAnsi="Arial Narrow"/>
                <w:color w:val="000000"/>
                <w:sz w:val="20"/>
                <w:szCs w:val="18"/>
              </w:rPr>
            </w:pPr>
            <w:r w:rsidRPr="00181CA6">
              <w:rPr>
                <w:rFonts w:ascii="Arial Narrow" w:hAnsi="Arial Narrow"/>
                <w:color w:val="000000"/>
                <w:sz w:val="20"/>
                <w:szCs w:val="18"/>
              </w:rPr>
              <w:t>CT-006</w:t>
            </w:r>
          </w:p>
        </w:tc>
        <w:tc>
          <w:tcPr>
            <w:tcW w:w="442" w:type="pct"/>
            <w:vAlign w:val="center"/>
          </w:tcPr>
          <w:p w:rsidR="00FC3594" w:rsidRPr="00181CA6" w:rsidRDefault="00FC3594" w:rsidP="003C4FEF">
            <w:pPr>
              <w:jc w:val="center"/>
              <w:rPr>
                <w:rFonts w:ascii="Arial Narrow" w:hAnsi="Arial Narrow"/>
                <w:sz w:val="20"/>
                <w:szCs w:val="18"/>
              </w:rPr>
            </w:pPr>
            <w:r w:rsidRPr="00181CA6">
              <w:rPr>
                <w:rFonts w:ascii="Arial Narrow" w:hAnsi="Arial Narrow"/>
                <w:sz w:val="20"/>
                <w:szCs w:val="18"/>
              </w:rPr>
              <w:t>88/197</w:t>
            </w:r>
          </w:p>
        </w:tc>
        <w:tc>
          <w:tcPr>
            <w:tcW w:w="424" w:type="pct"/>
            <w:vAlign w:val="center"/>
          </w:tcPr>
          <w:p w:rsidR="00FC3594" w:rsidRPr="00181CA6" w:rsidRDefault="00FC3594" w:rsidP="00FC3594">
            <w:pPr>
              <w:jc w:val="center"/>
              <w:rPr>
                <w:rFonts w:ascii="Arial Narrow" w:hAnsi="Arial Narrow"/>
                <w:sz w:val="20"/>
                <w:szCs w:val="18"/>
              </w:rPr>
            </w:pPr>
            <w:r w:rsidRPr="00181CA6">
              <w:rPr>
                <w:rFonts w:ascii="Arial Narrow" w:hAnsi="Arial Narrow"/>
                <w:sz w:val="20"/>
                <w:szCs w:val="18"/>
              </w:rPr>
              <w:t>83/196</w:t>
            </w:r>
          </w:p>
        </w:tc>
        <w:tc>
          <w:tcPr>
            <w:tcW w:w="408" w:type="pct"/>
            <w:vAlign w:val="center"/>
          </w:tcPr>
          <w:p w:rsidR="00FC3594" w:rsidRPr="00181CA6" w:rsidRDefault="00FC3594"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1016" w:type="pct"/>
            <w:vAlign w:val="center"/>
          </w:tcPr>
          <w:p w:rsidR="00FC3594" w:rsidRPr="00181CA6" w:rsidRDefault="00E903FA" w:rsidP="00E903FA">
            <w:pPr>
              <w:jc w:val="center"/>
              <w:rPr>
                <w:rFonts w:ascii="Arial Narrow" w:hAnsi="Arial Narrow"/>
                <w:sz w:val="20"/>
                <w:szCs w:val="18"/>
              </w:rPr>
            </w:pPr>
            <w:r w:rsidRPr="00181CA6">
              <w:rPr>
                <w:rFonts w:ascii="Arial Narrow" w:hAnsi="Arial Narrow"/>
                <w:sz w:val="20"/>
                <w:szCs w:val="18"/>
              </w:rPr>
              <w:t xml:space="preserve">1.10 </w:t>
            </w:r>
            <w:r w:rsidR="00FC3594" w:rsidRPr="00181CA6">
              <w:rPr>
                <w:rFonts w:ascii="Arial Narrow" w:hAnsi="Arial Narrow"/>
                <w:sz w:val="20"/>
                <w:szCs w:val="18"/>
              </w:rPr>
              <w:t>(0.</w:t>
            </w:r>
            <w:r w:rsidRPr="00181CA6">
              <w:rPr>
                <w:rFonts w:ascii="Arial Narrow" w:hAnsi="Arial Narrow"/>
                <w:sz w:val="20"/>
                <w:szCs w:val="18"/>
              </w:rPr>
              <w:t>74</w:t>
            </w:r>
            <w:r w:rsidR="00FC3594" w:rsidRPr="00181CA6">
              <w:rPr>
                <w:rFonts w:ascii="Arial Narrow" w:hAnsi="Arial Narrow"/>
                <w:sz w:val="20"/>
                <w:szCs w:val="18"/>
              </w:rPr>
              <w:t>, 1.</w:t>
            </w:r>
            <w:r w:rsidRPr="00181CA6">
              <w:rPr>
                <w:rFonts w:ascii="Arial Narrow" w:hAnsi="Arial Narrow"/>
                <w:sz w:val="20"/>
                <w:szCs w:val="18"/>
              </w:rPr>
              <w:t>64</w:t>
            </w:r>
            <w:r w:rsidR="00FC3594" w:rsidRPr="00181CA6">
              <w:rPr>
                <w:rFonts w:ascii="Arial Narrow" w:hAnsi="Arial Narrow"/>
                <w:sz w:val="20"/>
                <w:szCs w:val="18"/>
              </w:rPr>
              <w:t>)</w:t>
            </w:r>
          </w:p>
        </w:tc>
        <w:tc>
          <w:tcPr>
            <w:tcW w:w="426" w:type="pct"/>
            <w:gridSpan w:val="2"/>
            <w:vAlign w:val="center"/>
          </w:tcPr>
          <w:p w:rsidR="00FC3594" w:rsidRPr="00181CA6" w:rsidRDefault="00FC3594" w:rsidP="003C4FEF">
            <w:pPr>
              <w:jc w:val="center"/>
              <w:rPr>
                <w:rFonts w:ascii="Arial Narrow" w:hAnsi="Arial Narrow"/>
                <w:color w:val="000000"/>
                <w:sz w:val="20"/>
                <w:szCs w:val="18"/>
              </w:rPr>
            </w:pPr>
            <w:r w:rsidRPr="00181CA6">
              <w:rPr>
                <w:rFonts w:ascii="Arial Narrow" w:hAnsi="Arial Narrow"/>
                <w:color w:val="000000"/>
                <w:sz w:val="20"/>
                <w:szCs w:val="18"/>
              </w:rPr>
              <w:t>45</w:t>
            </w:r>
          </w:p>
        </w:tc>
        <w:tc>
          <w:tcPr>
            <w:tcW w:w="509" w:type="pct"/>
            <w:vAlign w:val="center"/>
          </w:tcPr>
          <w:p w:rsidR="00FC3594" w:rsidRPr="00181CA6" w:rsidRDefault="00FC3594" w:rsidP="003C4FEF">
            <w:pPr>
              <w:jc w:val="center"/>
              <w:rPr>
                <w:rFonts w:ascii="Arial Narrow" w:hAnsi="Arial Narrow"/>
                <w:color w:val="000000"/>
                <w:sz w:val="20"/>
                <w:szCs w:val="18"/>
              </w:rPr>
            </w:pPr>
            <w:r w:rsidRPr="00181CA6">
              <w:rPr>
                <w:rFonts w:ascii="Arial Narrow" w:hAnsi="Arial Narrow"/>
                <w:color w:val="000000"/>
                <w:sz w:val="20"/>
                <w:szCs w:val="18"/>
              </w:rPr>
              <w:t>42</w:t>
            </w:r>
          </w:p>
        </w:tc>
        <w:tc>
          <w:tcPr>
            <w:tcW w:w="555" w:type="pct"/>
            <w:vAlign w:val="center"/>
          </w:tcPr>
          <w:p w:rsidR="00FC3594" w:rsidRPr="00181CA6" w:rsidRDefault="00FC3594"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543" w:type="pct"/>
            <w:vAlign w:val="center"/>
          </w:tcPr>
          <w:p w:rsidR="00FC3594" w:rsidRPr="00181CA6" w:rsidRDefault="00FC3594" w:rsidP="003C4FEF">
            <w:pPr>
              <w:jc w:val="center"/>
              <w:rPr>
                <w:rFonts w:ascii="Arial Narrow" w:hAnsi="Arial Narrow"/>
                <w:color w:val="000000"/>
                <w:sz w:val="20"/>
                <w:szCs w:val="18"/>
              </w:rPr>
            </w:pPr>
            <w:r w:rsidRPr="00181CA6">
              <w:rPr>
                <w:rFonts w:ascii="Arial Narrow" w:hAnsi="Arial Narrow"/>
                <w:color w:val="000000"/>
                <w:sz w:val="20"/>
                <w:szCs w:val="18"/>
              </w:rPr>
              <w:t>NR</w:t>
            </w:r>
          </w:p>
        </w:tc>
      </w:tr>
      <w:tr w:rsidR="00E903FA" w:rsidRPr="00181CA6" w:rsidTr="00F333AC">
        <w:tc>
          <w:tcPr>
            <w:tcW w:w="677" w:type="pct"/>
            <w:tcBorders>
              <w:bottom w:val="single" w:sz="4" w:space="0" w:color="auto"/>
            </w:tcBorders>
            <w:shd w:val="clear" w:color="auto" w:fill="auto"/>
            <w:vAlign w:val="center"/>
          </w:tcPr>
          <w:p w:rsidR="00FC3594" w:rsidRPr="00181CA6" w:rsidRDefault="00FC3594" w:rsidP="003C4FEF">
            <w:pPr>
              <w:rPr>
                <w:rFonts w:ascii="Arial Narrow" w:hAnsi="Arial Narrow"/>
                <w:color w:val="000000"/>
                <w:sz w:val="20"/>
                <w:szCs w:val="18"/>
              </w:rPr>
            </w:pPr>
            <w:r w:rsidRPr="00181CA6">
              <w:rPr>
                <w:rFonts w:ascii="Arial Narrow" w:hAnsi="Arial Narrow"/>
                <w:color w:val="000000"/>
                <w:sz w:val="20"/>
                <w:szCs w:val="18"/>
              </w:rPr>
              <w:t>GWCO</w:t>
            </w:r>
          </w:p>
        </w:tc>
        <w:tc>
          <w:tcPr>
            <w:tcW w:w="442" w:type="pct"/>
            <w:tcBorders>
              <w:bottom w:val="single" w:sz="4" w:space="0" w:color="auto"/>
            </w:tcBorders>
            <w:vAlign w:val="center"/>
          </w:tcPr>
          <w:p w:rsidR="00FC3594" w:rsidRPr="00181CA6" w:rsidRDefault="00B2014E"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424" w:type="pct"/>
            <w:tcBorders>
              <w:bottom w:val="single" w:sz="4" w:space="0" w:color="auto"/>
            </w:tcBorders>
            <w:vAlign w:val="center"/>
          </w:tcPr>
          <w:p w:rsidR="00FC3594" w:rsidRPr="00181CA6" w:rsidRDefault="00FC3594" w:rsidP="00FC3594">
            <w:pPr>
              <w:jc w:val="center"/>
              <w:rPr>
                <w:rFonts w:ascii="Arial Narrow" w:hAnsi="Arial Narrow"/>
                <w:color w:val="000000"/>
                <w:sz w:val="20"/>
                <w:szCs w:val="18"/>
              </w:rPr>
            </w:pPr>
            <w:r w:rsidRPr="00181CA6">
              <w:rPr>
                <w:rFonts w:ascii="Arial Narrow" w:hAnsi="Arial Narrow"/>
                <w:color w:val="000000"/>
                <w:sz w:val="20"/>
                <w:szCs w:val="18"/>
              </w:rPr>
              <w:t>35/122</w:t>
            </w:r>
          </w:p>
        </w:tc>
        <w:tc>
          <w:tcPr>
            <w:tcW w:w="408" w:type="pct"/>
            <w:tcBorders>
              <w:bottom w:val="single" w:sz="4" w:space="0" w:color="auto"/>
            </w:tcBorders>
            <w:vAlign w:val="center"/>
          </w:tcPr>
          <w:p w:rsidR="00FC3594" w:rsidRPr="00181CA6" w:rsidRDefault="00FC3594" w:rsidP="00FC3594">
            <w:pPr>
              <w:jc w:val="center"/>
              <w:rPr>
                <w:rFonts w:ascii="Arial Narrow" w:hAnsi="Arial Narrow"/>
                <w:color w:val="000000"/>
                <w:sz w:val="20"/>
                <w:szCs w:val="18"/>
              </w:rPr>
            </w:pPr>
            <w:r w:rsidRPr="00181CA6">
              <w:rPr>
                <w:rFonts w:ascii="Arial Narrow" w:hAnsi="Arial Narrow"/>
                <w:color w:val="000000"/>
                <w:sz w:val="20"/>
                <w:szCs w:val="18"/>
              </w:rPr>
              <w:t>34/137</w:t>
            </w:r>
          </w:p>
        </w:tc>
        <w:tc>
          <w:tcPr>
            <w:tcW w:w="1016" w:type="pct"/>
            <w:tcBorders>
              <w:bottom w:val="single" w:sz="4" w:space="0" w:color="auto"/>
            </w:tcBorders>
            <w:vAlign w:val="center"/>
          </w:tcPr>
          <w:p w:rsidR="00FC3594" w:rsidRPr="00181CA6" w:rsidRDefault="00E903FA" w:rsidP="00E903FA">
            <w:pPr>
              <w:jc w:val="center"/>
              <w:rPr>
                <w:rFonts w:ascii="Arial Narrow" w:hAnsi="Arial Narrow"/>
                <w:sz w:val="20"/>
                <w:szCs w:val="18"/>
              </w:rPr>
            </w:pPr>
            <w:r w:rsidRPr="00181CA6">
              <w:rPr>
                <w:rFonts w:ascii="Arial Narrow" w:hAnsi="Arial Narrow"/>
                <w:sz w:val="20"/>
                <w:szCs w:val="18"/>
              </w:rPr>
              <w:t xml:space="preserve">0.82 </w:t>
            </w:r>
            <w:r w:rsidR="00FC3594" w:rsidRPr="00181CA6">
              <w:rPr>
                <w:rFonts w:ascii="Arial Narrow" w:hAnsi="Arial Narrow"/>
                <w:sz w:val="20"/>
                <w:szCs w:val="18"/>
              </w:rPr>
              <w:t>(0.</w:t>
            </w:r>
            <w:r w:rsidRPr="00181CA6">
              <w:rPr>
                <w:rFonts w:ascii="Arial Narrow" w:hAnsi="Arial Narrow"/>
                <w:sz w:val="20"/>
                <w:szCs w:val="18"/>
              </w:rPr>
              <w:t>47</w:t>
            </w:r>
            <w:r w:rsidR="00FC3594" w:rsidRPr="00181CA6">
              <w:rPr>
                <w:rFonts w:ascii="Arial Narrow" w:hAnsi="Arial Narrow"/>
                <w:sz w:val="20"/>
                <w:szCs w:val="18"/>
              </w:rPr>
              <w:t>, 1.</w:t>
            </w:r>
            <w:r w:rsidRPr="00181CA6">
              <w:rPr>
                <w:rFonts w:ascii="Arial Narrow" w:hAnsi="Arial Narrow"/>
                <w:sz w:val="20"/>
                <w:szCs w:val="18"/>
              </w:rPr>
              <w:t>42</w:t>
            </w:r>
            <w:r w:rsidR="00FC3594" w:rsidRPr="00181CA6">
              <w:rPr>
                <w:rFonts w:ascii="Arial Narrow" w:hAnsi="Arial Narrow"/>
                <w:sz w:val="20"/>
                <w:szCs w:val="18"/>
              </w:rPr>
              <w:t>)</w:t>
            </w:r>
          </w:p>
        </w:tc>
        <w:tc>
          <w:tcPr>
            <w:tcW w:w="426" w:type="pct"/>
            <w:gridSpan w:val="2"/>
            <w:tcBorders>
              <w:bottom w:val="single" w:sz="4" w:space="0" w:color="auto"/>
            </w:tcBorders>
            <w:vAlign w:val="center"/>
          </w:tcPr>
          <w:p w:rsidR="00FC3594" w:rsidRPr="00181CA6" w:rsidRDefault="00FC3594"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509" w:type="pct"/>
            <w:tcBorders>
              <w:bottom w:val="single" w:sz="4" w:space="0" w:color="auto"/>
            </w:tcBorders>
            <w:vAlign w:val="center"/>
          </w:tcPr>
          <w:p w:rsidR="00FC3594" w:rsidRPr="00181CA6" w:rsidRDefault="00FC3594" w:rsidP="003C4FEF">
            <w:pPr>
              <w:jc w:val="center"/>
              <w:rPr>
                <w:rFonts w:ascii="Arial Narrow" w:hAnsi="Arial Narrow"/>
                <w:color w:val="000000"/>
                <w:sz w:val="20"/>
                <w:szCs w:val="18"/>
              </w:rPr>
            </w:pPr>
            <w:r w:rsidRPr="00181CA6">
              <w:rPr>
                <w:rFonts w:ascii="Arial Narrow" w:hAnsi="Arial Narrow"/>
                <w:color w:val="000000"/>
                <w:sz w:val="20"/>
                <w:szCs w:val="18"/>
              </w:rPr>
              <w:t>29</w:t>
            </w:r>
          </w:p>
        </w:tc>
        <w:tc>
          <w:tcPr>
            <w:tcW w:w="555" w:type="pct"/>
            <w:tcBorders>
              <w:bottom w:val="single" w:sz="4" w:space="0" w:color="auto"/>
            </w:tcBorders>
            <w:vAlign w:val="center"/>
          </w:tcPr>
          <w:p w:rsidR="00FC3594" w:rsidRPr="00181CA6" w:rsidRDefault="00FC3594" w:rsidP="003C4FEF">
            <w:pPr>
              <w:jc w:val="center"/>
              <w:rPr>
                <w:rFonts w:ascii="Arial Narrow" w:hAnsi="Arial Narrow"/>
                <w:color w:val="000000"/>
                <w:sz w:val="20"/>
                <w:szCs w:val="18"/>
              </w:rPr>
            </w:pPr>
            <w:r w:rsidRPr="00181CA6">
              <w:rPr>
                <w:rFonts w:ascii="Arial Narrow" w:hAnsi="Arial Narrow"/>
                <w:color w:val="000000"/>
                <w:sz w:val="20"/>
                <w:szCs w:val="18"/>
              </w:rPr>
              <w:t>25</w:t>
            </w:r>
          </w:p>
        </w:tc>
        <w:tc>
          <w:tcPr>
            <w:tcW w:w="543" w:type="pct"/>
            <w:tcBorders>
              <w:bottom w:val="single" w:sz="4" w:space="0" w:color="auto"/>
            </w:tcBorders>
            <w:vAlign w:val="center"/>
          </w:tcPr>
          <w:p w:rsidR="00FC3594" w:rsidRPr="00181CA6" w:rsidRDefault="00FC3594" w:rsidP="003C4FEF">
            <w:pPr>
              <w:jc w:val="center"/>
              <w:rPr>
                <w:rFonts w:ascii="Arial Narrow" w:hAnsi="Arial Narrow"/>
                <w:color w:val="000000"/>
                <w:sz w:val="20"/>
                <w:szCs w:val="18"/>
              </w:rPr>
            </w:pPr>
            <w:r w:rsidRPr="00181CA6">
              <w:rPr>
                <w:rFonts w:ascii="Arial Narrow" w:hAnsi="Arial Narrow"/>
                <w:color w:val="000000"/>
                <w:sz w:val="20"/>
                <w:szCs w:val="18"/>
              </w:rPr>
              <w:t>NR</w:t>
            </w:r>
          </w:p>
        </w:tc>
      </w:tr>
      <w:tr w:rsidR="00E903FA" w:rsidRPr="00181CA6" w:rsidTr="00F333AC">
        <w:tc>
          <w:tcPr>
            <w:tcW w:w="1952" w:type="pct"/>
            <w:gridSpan w:val="4"/>
            <w:tcBorders>
              <w:bottom w:val="single" w:sz="4" w:space="0" w:color="auto"/>
            </w:tcBorders>
            <w:shd w:val="clear" w:color="auto" w:fill="auto"/>
            <w:vAlign w:val="center"/>
          </w:tcPr>
          <w:p w:rsidR="00FC3594" w:rsidRPr="00181CA6" w:rsidRDefault="00FC3594" w:rsidP="00FC3594">
            <w:pPr>
              <w:rPr>
                <w:rFonts w:ascii="Arial Narrow" w:hAnsi="Arial Narrow"/>
                <w:color w:val="000000"/>
                <w:sz w:val="20"/>
                <w:szCs w:val="18"/>
              </w:rPr>
            </w:pPr>
            <w:r w:rsidRPr="00181CA6">
              <w:rPr>
                <w:rFonts w:ascii="Arial Narrow" w:hAnsi="Arial Narrow"/>
                <w:color w:val="000000"/>
                <w:sz w:val="20"/>
                <w:szCs w:val="18"/>
              </w:rPr>
              <w:t>Indirect comparison</w:t>
            </w:r>
          </w:p>
        </w:tc>
        <w:tc>
          <w:tcPr>
            <w:tcW w:w="1016" w:type="pct"/>
            <w:tcBorders>
              <w:bottom w:val="single" w:sz="4" w:space="0" w:color="auto"/>
            </w:tcBorders>
            <w:vAlign w:val="center"/>
          </w:tcPr>
          <w:p w:rsidR="00FC3594" w:rsidRPr="00181CA6" w:rsidRDefault="00E903FA" w:rsidP="00E903FA">
            <w:pPr>
              <w:jc w:val="center"/>
              <w:rPr>
                <w:rFonts w:ascii="Arial Narrow" w:hAnsi="Arial Narrow"/>
                <w:sz w:val="20"/>
                <w:szCs w:val="18"/>
              </w:rPr>
            </w:pPr>
            <w:r w:rsidRPr="00181CA6">
              <w:rPr>
                <w:rFonts w:ascii="Arial Narrow" w:hAnsi="Arial Narrow"/>
                <w:sz w:val="20"/>
                <w:szCs w:val="18"/>
              </w:rPr>
              <w:t xml:space="preserve">1.34 </w:t>
            </w:r>
            <w:r w:rsidR="00FC3594" w:rsidRPr="00181CA6">
              <w:rPr>
                <w:rFonts w:ascii="Arial Narrow" w:hAnsi="Arial Narrow"/>
                <w:sz w:val="20"/>
                <w:szCs w:val="18"/>
              </w:rPr>
              <w:t>(0.</w:t>
            </w:r>
            <w:r w:rsidRPr="00181CA6">
              <w:rPr>
                <w:rFonts w:ascii="Arial Narrow" w:hAnsi="Arial Narrow"/>
                <w:sz w:val="20"/>
                <w:szCs w:val="18"/>
              </w:rPr>
              <w:t>68</w:t>
            </w:r>
            <w:r w:rsidR="00FC3594" w:rsidRPr="00181CA6">
              <w:rPr>
                <w:rFonts w:ascii="Arial Narrow" w:hAnsi="Arial Narrow"/>
                <w:sz w:val="20"/>
                <w:szCs w:val="18"/>
              </w:rPr>
              <w:t>, 2.</w:t>
            </w:r>
            <w:r w:rsidRPr="00181CA6">
              <w:rPr>
                <w:rFonts w:ascii="Arial Narrow" w:hAnsi="Arial Narrow"/>
                <w:sz w:val="20"/>
                <w:szCs w:val="18"/>
              </w:rPr>
              <w:t>65</w:t>
            </w:r>
            <w:r w:rsidR="00FC3594" w:rsidRPr="00181CA6">
              <w:rPr>
                <w:rFonts w:ascii="Arial Narrow" w:hAnsi="Arial Narrow"/>
                <w:sz w:val="20"/>
                <w:szCs w:val="18"/>
              </w:rPr>
              <w:t>)</w:t>
            </w:r>
          </w:p>
        </w:tc>
        <w:tc>
          <w:tcPr>
            <w:tcW w:w="1489" w:type="pct"/>
            <w:gridSpan w:val="4"/>
            <w:tcBorders>
              <w:bottom w:val="single" w:sz="4" w:space="0" w:color="auto"/>
            </w:tcBorders>
            <w:shd w:val="clear" w:color="auto" w:fill="auto"/>
            <w:vAlign w:val="center"/>
          </w:tcPr>
          <w:p w:rsidR="00FC3594" w:rsidRPr="00181CA6" w:rsidRDefault="00FC3594"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543" w:type="pct"/>
            <w:tcBorders>
              <w:bottom w:val="single" w:sz="4" w:space="0" w:color="auto"/>
            </w:tcBorders>
            <w:vAlign w:val="center"/>
          </w:tcPr>
          <w:p w:rsidR="00FC3594" w:rsidRPr="00181CA6" w:rsidRDefault="00FC3594" w:rsidP="003C4FEF">
            <w:pPr>
              <w:jc w:val="center"/>
              <w:rPr>
                <w:rFonts w:ascii="Arial Narrow" w:hAnsi="Arial Narrow"/>
                <w:color w:val="000000"/>
                <w:sz w:val="20"/>
                <w:szCs w:val="18"/>
              </w:rPr>
            </w:pPr>
            <w:r w:rsidRPr="00181CA6">
              <w:rPr>
                <w:rFonts w:ascii="Arial Narrow" w:hAnsi="Arial Narrow"/>
                <w:sz w:val="20"/>
                <w:szCs w:val="18"/>
              </w:rPr>
              <w:t>NA</w:t>
            </w:r>
          </w:p>
        </w:tc>
      </w:tr>
      <w:tr w:rsidR="00FC3594" w:rsidRPr="00181CA6" w:rsidTr="003C4FEF">
        <w:tc>
          <w:tcPr>
            <w:tcW w:w="5000" w:type="pct"/>
            <w:gridSpan w:val="10"/>
            <w:tcBorders>
              <w:top w:val="single" w:sz="4" w:space="0" w:color="auto"/>
            </w:tcBorders>
            <w:shd w:val="clear" w:color="auto" w:fill="auto"/>
            <w:vAlign w:val="center"/>
          </w:tcPr>
          <w:p w:rsidR="00FC3594" w:rsidRPr="00181CA6" w:rsidRDefault="00FC3594" w:rsidP="003C4FEF">
            <w:pPr>
              <w:rPr>
                <w:rFonts w:ascii="Arial Narrow" w:hAnsi="Arial Narrow"/>
                <w:b/>
                <w:color w:val="000000"/>
                <w:sz w:val="20"/>
                <w:szCs w:val="18"/>
              </w:rPr>
            </w:pPr>
            <w:r w:rsidRPr="00181CA6">
              <w:rPr>
                <w:rFonts w:ascii="Arial Narrow" w:hAnsi="Arial Narrow"/>
                <w:b/>
                <w:color w:val="000000"/>
                <w:sz w:val="20"/>
                <w:szCs w:val="18"/>
              </w:rPr>
              <w:t>Genital infections: indirect comparison</w:t>
            </w:r>
          </w:p>
        </w:tc>
      </w:tr>
      <w:tr w:rsidR="00E903FA" w:rsidRPr="00181CA6" w:rsidTr="00F333AC">
        <w:trPr>
          <w:trHeight w:val="105"/>
        </w:trPr>
        <w:tc>
          <w:tcPr>
            <w:tcW w:w="677" w:type="pct"/>
            <w:vMerge w:val="restart"/>
            <w:shd w:val="clear" w:color="auto" w:fill="auto"/>
            <w:vAlign w:val="center"/>
          </w:tcPr>
          <w:p w:rsidR="00E903FA" w:rsidRPr="00181CA6" w:rsidRDefault="00E903FA" w:rsidP="003C4FEF">
            <w:pPr>
              <w:rPr>
                <w:rFonts w:ascii="Arial Narrow" w:hAnsi="Arial Narrow"/>
                <w:color w:val="000000"/>
                <w:sz w:val="20"/>
                <w:szCs w:val="18"/>
              </w:rPr>
            </w:pPr>
          </w:p>
        </w:tc>
        <w:tc>
          <w:tcPr>
            <w:tcW w:w="442" w:type="pct"/>
            <w:vMerge w:val="restart"/>
            <w:vAlign w:val="center"/>
          </w:tcPr>
          <w:p w:rsidR="00E903FA" w:rsidRPr="00181CA6" w:rsidRDefault="00E903FA" w:rsidP="003C4FEF">
            <w:pPr>
              <w:jc w:val="center"/>
              <w:rPr>
                <w:rFonts w:ascii="Arial Narrow" w:hAnsi="Arial Narrow"/>
                <w:b/>
                <w:color w:val="000000"/>
                <w:sz w:val="20"/>
                <w:szCs w:val="18"/>
              </w:rPr>
            </w:pPr>
            <w:proofErr w:type="spellStart"/>
            <w:r w:rsidRPr="00181CA6">
              <w:rPr>
                <w:rFonts w:ascii="Arial Narrow" w:hAnsi="Arial Narrow"/>
                <w:b/>
                <w:color w:val="000000"/>
                <w:sz w:val="20"/>
                <w:szCs w:val="18"/>
              </w:rPr>
              <w:t>Dapa</w:t>
            </w:r>
            <w:r w:rsidRPr="00181CA6">
              <w:rPr>
                <w:rFonts w:ascii="Arial Narrow" w:hAnsi="Arial Narrow"/>
                <w:color w:val="000000"/>
                <w:sz w:val="20"/>
                <w:szCs w:val="18"/>
                <w:vertAlign w:val="superscript"/>
              </w:rPr>
              <w:t>c</w:t>
            </w:r>
            <w:proofErr w:type="spellEnd"/>
          </w:p>
        </w:tc>
        <w:tc>
          <w:tcPr>
            <w:tcW w:w="424" w:type="pct"/>
            <w:vMerge w:val="restart"/>
            <w:vAlign w:val="center"/>
          </w:tcPr>
          <w:p w:rsidR="00E903FA" w:rsidRPr="00181CA6" w:rsidRDefault="00E903FA" w:rsidP="003C4FEF">
            <w:pPr>
              <w:jc w:val="center"/>
              <w:rPr>
                <w:rFonts w:ascii="Arial Narrow" w:hAnsi="Arial Narrow"/>
                <w:b/>
                <w:color w:val="000000"/>
                <w:sz w:val="20"/>
                <w:szCs w:val="18"/>
              </w:rPr>
            </w:pPr>
            <w:proofErr w:type="spellStart"/>
            <w:r w:rsidRPr="00181CA6">
              <w:rPr>
                <w:rFonts w:ascii="Arial Narrow" w:hAnsi="Arial Narrow"/>
                <w:b/>
                <w:color w:val="000000"/>
                <w:sz w:val="20"/>
                <w:szCs w:val="18"/>
              </w:rPr>
              <w:t>PBO</w:t>
            </w:r>
            <w:r w:rsidRPr="00181CA6">
              <w:rPr>
                <w:rFonts w:ascii="Arial Narrow" w:hAnsi="Arial Narrow"/>
                <w:color w:val="000000"/>
                <w:sz w:val="20"/>
                <w:szCs w:val="18"/>
                <w:vertAlign w:val="superscript"/>
              </w:rPr>
              <w:t>a</w:t>
            </w:r>
            <w:proofErr w:type="spellEnd"/>
          </w:p>
        </w:tc>
        <w:tc>
          <w:tcPr>
            <w:tcW w:w="408" w:type="pct"/>
            <w:vMerge w:val="restart"/>
            <w:vAlign w:val="center"/>
          </w:tcPr>
          <w:p w:rsidR="00E903FA" w:rsidRPr="00181CA6" w:rsidRDefault="00E903FA" w:rsidP="003C4FEF">
            <w:pPr>
              <w:jc w:val="center"/>
              <w:rPr>
                <w:rFonts w:ascii="Arial Narrow" w:hAnsi="Arial Narrow"/>
                <w:b/>
                <w:color w:val="000000"/>
                <w:sz w:val="20"/>
                <w:szCs w:val="18"/>
              </w:rPr>
            </w:pPr>
            <w:r w:rsidRPr="00181CA6">
              <w:rPr>
                <w:rFonts w:ascii="Arial Narrow" w:hAnsi="Arial Narrow"/>
                <w:b/>
                <w:color w:val="000000"/>
                <w:sz w:val="20"/>
                <w:szCs w:val="18"/>
              </w:rPr>
              <w:t>Exe</w:t>
            </w:r>
            <w:r w:rsidRPr="00181CA6">
              <w:rPr>
                <w:rFonts w:ascii="Arial Narrow" w:hAnsi="Arial Narrow"/>
                <w:color w:val="000000"/>
                <w:sz w:val="20"/>
                <w:szCs w:val="18"/>
                <w:vertAlign w:val="superscript"/>
              </w:rPr>
              <w:t>c</w:t>
            </w:r>
          </w:p>
        </w:tc>
        <w:tc>
          <w:tcPr>
            <w:tcW w:w="1016" w:type="pct"/>
            <w:vMerge w:val="restart"/>
            <w:vAlign w:val="center"/>
          </w:tcPr>
          <w:p w:rsidR="00E903FA" w:rsidRPr="00181CA6" w:rsidRDefault="00E903FA" w:rsidP="003C4FEF">
            <w:pPr>
              <w:jc w:val="center"/>
              <w:rPr>
                <w:rFonts w:ascii="Arial Narrow" w:hAnsi="Arial Narrow"/>
                <w:b/>
                <w:color w:val="000000"/>
                <w:sz w:val="20"/>
                <w:szCs w:val="18"/>
              </w:rPr>
            </w:pPr>
            <w:r w:rsidRPr="00181CA6">
              <w:rPr>
                <w:rFonts w:ascii="Arial Narrow" w:hAnsi="Arial Narrow"/>
                <w:b/>
                <w:color w:val="000000"/>
                <w:sz w:val="20"/>
                <w:szCs w:val="18"/>
              </w:rPr>
              <w:t>OR</w:t>
            </w:r>
          </w:p>
          <w:p w:rsidR="00E903FA" w:rsidRPr="00181CA6" w:rsidRDefault="00E903FA" w:rsidP="003C4FEF">
            <w:pPr>
              <w:jc w:val="center"/>
              <w:rPr>
                <w:rFonts w:ascii="Arial Narrow" w:hAnsi="Arial Narrow"/>
                <w:color w:val="000000"/>
                <w:sz w:val="20"/>
                <w:szCs w:val="18"/>
              </w:rPr>
            </w:pPr>
            <w:r w:rsidRPr="00181CA6">
              <w:rPr>
                <w:rFonts w:ascii="Arial Narrow" w:hAnsi="Arial Narrow"/>
                <w:b/>
                <w:color w:val="000000"/>
                <w:sz w:val="20"/>
                <w:szCs w:val="18"/>
              </w:rPr>
              <w:t>(95% CI)</w:t>
            </w:r>
          </w:p>
        </w:tc>
        <w:tc>
          <w:tcPr>
            <w:tcW w:w="1489" w:type="pct"/>
            <w:gridSpan w:val="4"/>
            <w:vAlign w:val="center"/>
          </w:tcPr>
          <w:p w:rsidR="00E903FA" w:rsidRPr="00181CA6" w:rsidRDefault="00E903FA" w:rsidP="003C4FEF">
            <w:pPr>
              <w:jc w:val="center"/>
              <w:rPr>
                <w:rFonts w:ascii="Arial Narrow" w:hAnsi="Arial Narrow"/>
                <w:b/>
                <w:color w:val="000000"/>
                <w:sz w:val="20"/>
                <w:szCs w:val="18"/>
              </w:rPr>
            </w:pPr>
            <w:r w:rsidRPr="00181CA6">
              <w:rPr>
                <w:rFonts w:ascii="Arial Narrow" w:hAnsi="Arial Narrow"/>
                <w:b/>
                <w:color w:val="000000"/>
                <w:sz w:val="20"/>
                <w:szCs w:val="18"/>
              </w:rPr>
              <w:t>Event rate/100 patients</w:t>
            </w:r>
          </w:p>
        </w:tc>
        <w:tc>
          <w:tcPr>
            <w:tcW w:w="543" w:type="pct"/>
            <w:vMerge w:val="restart"/>
            <w:vAlign w:val="center"/>
          </w:tcPr>
          <w:p w:rsidR="00E903FA" w:rsidRPr="00181CA6" w:rsidRDefault="00E903FA" w:rsidP="003C4FEF">
            <w:pPr>
              <w:jc w:val="center"/>
              <w:rPr>
                <w:rFonts w:ascii="Arial Narrow" w:hAnsi="Arial Narrow"/>
                <w:b/>
                <w:color w:val="000000"/>
                <w:sz w:val="20"/>
                <w:szCs w:val="18"/>
              </w:rPr>
            </w:pPr>
            <w:r w:rsidRPr="00181CA6">
              <w:rPr>
                <w:rFonts w:ascii="Arial Narrow" w:hAnsi="Arial Narrow"/>
                <w:b/>
                <w:color w:val="000000"/>
                <w:sz w:val="20"/>
                <w:szCs w:val="18"/>
              </w:rPr>
              <w:t>RD</w:t>
            </w:r>
          </w:p>
          <w:p w:rsidR="00E903FA" w:rsidRPr="00181CA6" w:rsidRDefault="00E903FA" w:rsidP="003C4FEF">
            <w:pPr>
              <w:jc w:val="center"/>
              <w:rPr>
                <w:rFonts w:ascii="Arial Narrow" w:hAnsi="Arial Narrow"/>
                <w:color w:val="000000"/>
                <w:sz w:val="20"/>
                <w:szCs w:val="18"/>
              </w:rPr>
            </w:pPr>
            <w:r w:rsidRPr="00181CA6">
              <w:rPr>
                <w:rFonts w:ascii="Arial Narrow" w:hAnsi="Arial Narrow"/>
                <w:b/>
                <w:color w:val="000000"/>
                <w:sz w:val="20"/>
                <w:szCs w:val="18"/>
              </w:rPr>
              <w:t>(95% CI)</w:t>
            </w:r>
          </w:p>
        </w:tc>
      </w:tr>
      <w:tr w:rsidR="00E903FA" w:rsidRPr="00181CA6" w:rsidTr="00F333AC">
        <w:trPr>
          <w:trHeight w:val="70"/>
        </w:trPr>
        <w:tc>
          <w:tcPr>
            <w:tcW w:w="677" w:type="pct"/>
            <w:vMerge/>
            <w:shd w:val="clear" w:color="auto" w:fill="auto"/>
            <w:vAlign w:val="center"/>
          </w:tcPr>
          <w:p w:rsidR="00E903FA" w:rsidRPr="00181CA6" w:rsidRDefault="00E903FA" w:rsidP="003C4FEF">
            <w:pPr>
              <w:rPr>
                <w:rFonts w:ascii="Arial Narrow" w:hAnsi="Arial Narrow"/>
                <w:color w:val="000000"/>
                <w:sz w:val="20"/>
                <w:szCs w:val="18"/>
              </w:rPr>
            </w:pPr>
          </w:p>
        </w:tc>
        <w:tc>
          <w:tcPr>
            <w:tcW w:w="442" w:type="pct"/>
            <w:vMerge/>
            <w:vAlign w:val="center"/>
          </w:tcPr>
          <w:p w:rsidR="00E903FA" w:rsidRPr="00181CA6" w:rsidRDefault="00E903FA" w:rsidP="003C4FEF">
            <w:pPr>
              <w:jc w:val="center"/>
              <w:rPr>
                <w:rFonts w:ascii="Arial Narrow" w:hAnsi="Arial Narrow"/>
                <w:b/>
                <w:color w:val="000000"/>
                <w:sz w:val="20"/>
                <w:szCs w:val="18"/>
              </w:rPr>
            </w:pPr>
          </w:p>
        </w:tc>
        <w:tc>
          <w:tcPr>
            <w:tcW w:w="424" w:type="pct"/>
            <w:vMerge/>
            <w:vAlign w:val="center"/>
          </w:tcPr>
          <w:p w:rsidR="00E903FA" w:rsidRPr="00181CA6" w:rsidRDefault="00E903FA" w:rsidP="003C4FEF">
            <w:pPr>
              <w:jc w:val="center"/>
              <w:rPr>
                <w:rFonts w:ascii="Arial Narrow" w:hAnsi="Arial Narrow"/>
                <w:b/>
                <w:color w:val="000000"/>
                <w:sz w:val="20"/>
                <w:szCs w:val="18"/>
              </w:rPr>
            </w:pPr>
          </w:p>
        </w:tc>
        <w:tc>
          <w:tcPr>
            <w:tcW w:w="408" w:type="pct"/>
            <w:vMerge/>
            <w:vAlign w:val="center"/>
          </w:tcPr>
          <w:p w:rsidR="00E903FA" w:rsidRPr="00181CA6" w:rsidRDefault="00E903FA" w:rsidP="003C4FEF">
            <w:pPr>
              <w:jc w:val="center"/>
              <w:rPr>
                <w:rFonts w:ascii="Arial Narrow" w:hAnsi="Arial Narrow"/>
                <w:b/>
                <w:color w:val="000000"/>
                <w:sz w:val="20"/>
                <w:szCs w:val="18"/>
              </w:rPr>
            </w:pPr>
          </w:p>
        </w:tc>
        <w:tc>
          <w:tcPr>
            <w:tcW w:w="1016" w:type="pct"/>
            <w:vMerge/>
            <w:vAlign w:val="center"/>
          </w:tcPr>
          <w:p w:rsidR="00E903FA" w:rsidRPr="00181CA6" w:rsidRDefault="00E903FA" w:rsidP="003C4FEF">
            <w:pPr>
              <w:jc w:val="center"/>
              <w:rPr>
                <w:rFonts w:ascii="Arial Narrow" w:hAnsi="Arial Narrow"/>
                <w:b/>
                <w:color w:val="000000"/>
                <w:sz w:val="20"/>
                <w:szCs w:val="18"/>
              </w:rPr>
            </w:pPr>
          </w:p>
        </w:tc>
        <w:tc>
          <w:tcPr>
            <w:tcW w:w="426" w:type="pct"/>
            <w:gridSpan w:val="2"/>
            <w:vAlign w:val="center"/>
          </w:tcPr>
          <w:p w:rsidR="00E903FA" w:rsidRPr="00181CA6" w:rsidRDefault="00E903FA" w:rsidP="003C4FEF">
            <w:pPr>
              <w:jc w:val="center"/>
              <w:rPr>
                <w:rFonts w:ascii="Arial Narrow" w:hAnsi="Arial Narrow"/>
                <w:b/>
                <w:color w:val="000000"/>
                <w:sz w:val="20"/>
                <w:szCs w:val="18"/>
              </w:rPr>
            </w:pPr>
            <w:proofErr w:type="spellStart"/>
            <w:r w:rsidRPr="00181CA6">
              <w:rPr>
                <w:rFonts w:ascii="Arial Narrow" w:hAnsi="Arial Narrow"/>
                <w:b/>
                <w:color w:val="000000"/>
                <w:sz w:val="20"/>
                <w:szCs w:val="18"/>
              </w:rPr>
              <w:t>Dapa</w:t>
            </w:r>
            <w:r w:rsidRPr="00181CA6">
              <w:rPr>
                <w:rFonts w:ascii="Arial Narrow" w:hAnsi="Arial Narrow"/>
                <w:color w:val="000000"/>
                <w:sz w:val="20"/>
                <w:szCs w:val="18"/>
                <w:vertAlign w:val="superscript"/>
              </w:rPr>
              <w:t>c</w:t>
            </w:r>
            <w:proofErr w:type="spellEnd"/>
          </w:p>
        </w:tc>
        <w:tc>
          <w:tcPr>
            <w:tcW w:w="509" w:type="pct"/>
            <w:vAlign w:val="center"/>
          </w:tcPr>
          <w:p w:rsidR="00E903FA" w:rsidRPr="00181CA6" w:rsidRDefault="00E903FA" w:rsidP="003C4FEF">
            <w:pPr>
              <w:jc w:val="center"/>
              <w:rPr>
                <w:rFonts w:ascii="Arial Narrow" w:hAnsi="Arial Narrow"/>
                <w:b/>
                <w:color w:val="000000"/>
                <w:sz w:val="20"/>
                <w:szCs w:val="18"/>
              </w:rPr>
            </w:pPr>
            <w:proofErr w:type="spellStart"/>
            <w:r w:rsidRPr="00181CA6">
              <w:rPr>
                <w:rFonts w:ascii="Arial Narrow" w:hAnsi="Arial Narrow"/>
                <w:b/>
                <w:color w:val="000000"/>
                <w:sz w:val="20"/>
                <w:szCs w:val="18"/>
              </w:rPr>
              <w:t>PBO</w:t>
            </w:r>
            <w:r w:rsidRPr="00181CA6">
              <w:rPr>
                <w:rFonts w:ascii="Arial Narrow" w:hAnsi="Arial Narrow"/>
                <w:color w:val="000000"/>
                <w:sz w:val="20"/>
                <w:szCs w:val="18"/>
                <w:vertAlign w:val="superscript"/>
              </w:rPr>
              <w:t>a</w:t>
            </w:r>
            <w:proofErr w:type="spellEnd"/>
          </w:p>
        </w:tc>
        <w:tc>
          <w:tcPr>
            <w:tcW w:w="555" w:type="pct"/>
            <w:vAlign w:val="center"/>
          </w:tcPr>
          <w:p w:rsidR="00E903FA" w:rsidRPr="00181CA6" w:rsidRDefault="00E903FA" w:rsidP="003C4FEF">
            <w:pPr>
              <w:jc w:val="center"/>
              <w:rPr>
                <w:rFonts w:ascii="Arial Narrow" w:hAnsi="Arial Narrow"/>
                <w:b/>
                <w:color w:val="000000"/>
                <w:sz w:val="20"/>
                <w:szCs w:val="18"/>
              </w:rPr>
            </w:pPr>
            <w:r w:rsidRPr="00181CA6">
              <w:rPr>
                <w:rFonts w:ascii="Arial Narrow" w:hAnsi="Arial Narrow"/>
                <w:b/>
                <w:color w:val="000000"/>
                <w:sz w:val="20"/>
                <w:szCs w:val="18"/>
              </w:rPr>
              <w:t>Exe</w:t>
            </w:r>
            <w:r w:rsidRPr="00181CA6">
              <w:rPr>
                <w:rFonts w:ascii="Arial Narrow" w:hAnsi="Arial Narrow"/>
                <w:color w:val="000000"/>
                <w:sz w:val="20"/>
                <w:szCs w:val="18"/>
                <w:vertAlign w:val="superscript"/>
              </w:rPr>
              <w:t>c</w:t>
            </w:r>
          </w:p>
        </w:tc>
        <w:tc>
          <w:tcPr>
            <w:tcW w:w="543" w:type="pct"/>
            <w:vMerge/>
            <w:vAlign w:val="center"/>
          </w:tcPr>
          <w:p w:rsidR="00E903FA" w:rsidRPr="00181CA6" w:rsidRDefault="00E903FA" w:rsidP="003C4FEF">
            <w:pPr>
              <w:jc w:val="center"/>
              <w:rPr>
                <w:rFonts w:ascii="Arial Narrow" w:hAnsi="Arial Narrow"/>
                <w:b/>
                <w:color w:val="000000"/>
                <w:sz w:val="20"/>
                <w:szCs w:val="18"/>
              </w:rPr>
            </w:pPr>
          </w:p>
        </w:tc>
      </w:tr>
      <w:tr w:rsidR="00E903FA" w:rsidRPr="00181CA6" w:rsidTr="00F333AC">
        <w:tc>
          <w:tcPr>
            <w:tcW w:w="677" w:type="pct"/>
            <w:shd w:val="clear" w:color="auto" w:fill="auto"/>
            <w:vAlign w:val="center"/>
          </w:tcPr>
          <w:p w:rsidR="00E903FA" w:rsidRPr="00181CA6" w:rsidRDefault="00E903FA" w:rsidP="003C4FEF">
            <w:pPr>
              <w:rPr>
                <w:rFonts w:ascii="Arial Narrow" w:hAnsi="Arial Narrow"/>
                <w:color w:val="000000"/>
                <w:sz w:val="20"/>
                <w:szCs w:val="18"/>
              </w:rPr>
            </w:pPr>
            <w:r w:rsidRPr="00181CA6">
              <w:rPr>
                <w:rFonts w:ascii="Arial Narrow" w:hAnsi="Arial Narrow"/>
                <w:color w:val="000000"/>
                <w:sz w:val="20"/>
                <w:szCs w:val="18"/>
              </w:rPr>
              <w:t>CT-006</w:t>
            </w:r>
          </w:p>
        </w:tc>
        <w:tc>
          <w:tcPr>
            <w:tcW w:w="442" w:type="pct"/>
            <w:vAlign w:val="center"/>
          </w:tcPr>
          <w:p w:rsidR="00E903FA" w:rsidRPr="00181CA6" w:rsidRDefault="00E903FA" w:rsidP="00FC3594">
            <w:pPr>
              <w:jc w:val="center"/>
              <w:rPr>
                <w:rFonts w:ascii="Arial Narrow" w:hAnsi="Arial Narrow"/>
                <w:sz w:val="20"/>
                <w:szCs w:val="18"/>
              </w:rPr>
            </w:pPr>
            <w:r w:rsidRPr="00181CA6">
              <w:rPr>
                <w:rFonts w:ascii="Arial Narrow" w:hAnsi="Arial Narrow"/>
                <w:sz w:val="20"/>
                <w:szCs w:val="18"/>
              </w:rPr>
              <w:t>18/197</w:t>
            </w:r>
          </w:p>
        </w:tc>
        <w:tc>
          <w:tcPr>
            <w:tcW w:w="424" w:type="pct"/>
            <w:vAlign w:val="center"/>
          </w:tcPr>
          <w:p w:rsidR="00E903FA" w:rsidRPr="00181CA6" w:rsidRDefault="00E903FA" w:rsidP="00E903FA">
            <w:pPr>
              <w:jc w:val="center"/>
              <w:rPr>
                <w:rFonts w:ascii="Arial Narrow" w:hAnsi="Arial Narrow"/>
                <w:sz w:val="20"/>
                <w:szCs w:val="18"/>
              </w:rPr>
            </w:pPr>
            <w:r w:rsidRPr="00181CA6">
              <w:rPr>
                <w:rFonts w:ascii="Arial Narrow" w:hAnsi="Arial Narrow"/>
                <w:sz w:val="20"/>
                <w:szCs w:val="18"/>
              </w:rPr>
              <w:t>4/196</w:t>
            </w:r>
          </w:p>
        </w:tc>
        <w:tc>
          <w:tcPr>
            <w:tcW w:w="408" w:type="pct"/>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1016" w:type="pct"/>
            <w:vAlign w:val="center"/>
          </w:tcPr>
          <w:p w:rsidR="00E903FA" w:rsidRPr="00181CA6" w:rsidRDefault="00E903FA" w:rsidP="00E903FA">
            <w:pPr>
              <w:jc w:val="center"/>
              <w:rPr>
                <w:rFonts w:ascii="Arial Narrow" w:hAnsi="Arial Narrow"/>
                <w:sz w:val="20"/>
                <w:szCs w:val="18"/>
              </w:rPr>
            </w:pPr>
            <w:r w:rsidRPr="00181CA6">
              <w:rPr>
                <w:rFonts w:ascii="Arial Narrow" w:hAnsi="Arial Narrow"/>
                <w:sz w:val="20"/>
                <w:szCs w:val="18"/>
              </w:rPr>
              <w:t>4.88 (1.62, 14.69)</w:t>
            </w:r>
          </w:p>
        </w:tc>
        <w:tc>
          <w:tcPr>
            <w:tcW w:w="426" w:type="pct"/>
            <w:gridSpan w:val="2"/>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9.2</w:t>
            </w:r>
          </w:p>
        </w:tc>
        <w:tc>
          <w:tcPr>
            <w:tcW w:w="509" w:type="pct"/>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4</w:t>
            </w:r>
          </w:p>
        </w:tc>
        <w:tc>
          <w:tcPr>
            <w:tcW w:w="555" w:type="pct"/>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543" w:type="pct"/>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NR</w:t>
            </w:r>
          </w:p>
        </w:tc>
      </w:tr>
      <w:tr w:rsidR="00E903FA" w:rsidRPr="00181CA6" w:rsidTr="00F333AC">
        <w:tc>
          <w:tcPr>
            <w:tcW w:w="677" w:type="pct"/>
            <w:tcBorders>
              <w:bottom w:val="single" w:sz="4" w:space="0" w:color="auto"/>
            </w:tcBorders>
            <w:shd w:val="clear" w:color="auto" w:fill="auto"/>
            <w:vAlign w:val="center"/>
          </w:tcPr>
          <w:p w:rsidR="00E903FA" w:rsidRPr="00181CA6" w:rsidRDefault="00E903FA" w:rsidP="003C4FEF">
            <w:pPr>
              <w:rPr>
                <w:rFonts w:ascii="Arial Narrow" w:hAnsi="Arial Narrow"/>
                <w:color w:val="000000"/>
                <w:sz w:val="20"/>
                <w:szCs w:val="18"/>
              </w:rPr>
            </w:pPr>
            <w:r w:rsidRPr="00181CA6">
              <w:rPr>
                <w:rFonts w:ascii="Arial Narrow" w:hAnsi="Arial Narrow"/>
                <w:color w:val="000000"/>
                <w:sz w:val="20"/>
                <w:szCs w:val="18"/>
              </w:rPr>
              <w:t>GWCO</w:t>
            </w:r>
          </w:p>
        </w:tc>
        <w:tc>
          <w:tcPr>
            <w:tcW w:w="442" w:type="pct"/>
            <w:tcBorders>
              <w:bottom w:val="single" w:sz="4" w:space="0" w:color="auto"/>
            </w:tcBorders>
            <w:vAlign w:val="center"/>
          </w:tcPr>
          <w:p w:rsidR="00E903FA" w:rsidRPr="00181CA6" w:rsidRDefault="00B2014E"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424" w:type="pct"/>
            <w:tcBorders>
              <w:bottom w:val="single" w:sz="4" w:space="0" w:color="auto"/>
            </w:tcBorders>
            <w:vAlign w:val="center"/>
          </w:tcPr>
          <w:p w:rsidR="00E903FA" w:rsidRPr="00181CA6" w:rsidRDefault="00E903FA" w:rsidP="00E903FA">
            <w:pPr>
              <w:jc w:val="center"/>
              <w:rPr>
                <w:rFonts w:ascii="Arial Narrow" w:hAnsi="Arial Narrow"/>
                <w:color w:val="000000"/>
                <w:sz w:val="20"/>
                <w:szCs w:val="18"/>
              </w:rPr>
            </w:pPr>
            <w:r w:rsidRPr="00181CA6">
              <w:rPr>
                <w:rFonts w:ascii="Arial Narrow" w:hAnsi="Arial Narrow"/>
                <w:color w:val="000000"/>
                <w:sz w:val="20"/>
                <w:szCs w:val="18"/>
              </w:rPr>
              <w:t>2/122</w:t>
            </w:r>
          </w:p>
        </w:tc>
        <w:tc>
          <w:tcPr>
            <w:tcW w:w="408" w:type="pct"/>
            <w:tcBorders>
              <w:bottom w:val="single" w:sz="4" w:space="0" w:color="auto"/>
            </w:tcBorders>
            <w:vAlign w:val="center"/>
          </w:tcPr>
          <w:p w:rsidR="00E903FA" w:rsidRPr="00181CA6" w:rsidRDefault="00E903FA" w:rsidP="00E903FA">
            <w:pPr>
              <w:jc w:val="center"/>
              <w:rPr>
                <w:rFonts w:ascii="Arial Narrow" w:hAnsi="Arial Narrow"/>
                <w:color w:val="000000"/>
                <w:sz w:val="20"/>
                <w:szCs w:val="18"/>
              </w:rPr>
            </w:pPr>
            <w:r w:rsidRPr="00181CA6">
              <w:rPr>
                <w:rFonts w:ascii="Arial Narrow" w:hAnsi="Arial Narrow"/>
                <w:color w:val="000000"/>
                <w:sz w:val="20"/>
                <w:szCs w:val="18"/>
              </w:rPr>
              <w:t>0/137</w:t>
            </w:r>
          </w:p>
        </w:tc>
        <w:tc>
          <w:tcPr>
            <w:tcW w:w="1016" w:type="pct"/>
            <w:tcBorders>
              <w:bottom w:val="single" w:sz="4" w:space="0" w:color="auto"/>
            </w:tcBorders>
            <w:vAlign w:val="center"/>
          </w:tcPr>
          <w:p w:rsidR="00E903FA" w:rsidRPr="00181CA6" w:rsidRDefault="00E903FA" w:rsidP="00E903FA">
            <w:pPr>
              <w:jc w:val="center"/>
              <w:rPr>
                <w:rFonts w:ascii="Arial Narrow" w:hAnsi="Arial Narrow"/>
                <w:sz w:val="20"/>
                <w:szCs w:val="18"/>
              </w:rPr>
            </w:pPr>
            <w:r w:rsidRPr="00181CA6">
              <w:rPr>
                <w:rFonts w:ascii="Arial Narrow" w:hAnsi="Arial Narrow"/>
                <w:sz w:val="20"/>
                <w:szCs w:val="18"/>
              </w:rPr>
              <w:t>0.18 (0.0, 3.69)</w:t>
            </w:r>
          </w:p>
        </w:tc>
        <w:tc>
          <w:tcPr>
            <w:tcW w:w="426" w:type="pct"/>
            <w:gridSpan w:val="2"/>
            <w:tcBorders>
              <w:bottom w:val="single" w:sz="4" w:space="0" w:color="auto"/>
            </w:tcBorders>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509" w:type="pct"/>
            <w:tcBorders>
              <w:bottom w:val="single" w:sz="4" w:space="0" w:color="auto"/>
            </w:tcBorders>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1.6</w:t>
            </w:r>
          </w:p>
        </w:tc>
        <w:tc>
          <w:tcPr>
            <w:tcW w:w="555" w:type="pct"/>
            <w:tcBorders>
              <w:bottom w:val="single" w:sz="4" w:space="0" w:color="auto"/>
            </w:tcBorders>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0</w:t>
            </w:r>
          </w:p>
        </w:tc>
        <w:tc>
          <w:tcPr>
            <w:tcW w:w="543" w:type="pct"/>
            <w:tcBorders>
              <w:bottom w:val="single" w:sz="4" w:space="0" w:color="auto"/>
            </w:tcBorders>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NR</w:t>
            </w:r>
          </w:p>
        </w:tc>
      </w:tr>
      <w:tr w:rsidR="00E903FA" w:rsidRPr="00181CA6" w:rsidTr="00F333AC">
        <w:tc>
          <w:tcPr>
            <w:tcW w:w="1952" w:type="pct"/>
            <w:gridSpan w:val="4"/>
            <w:tcBorders>
              <w:bottom w:val="single" w:sz="4" w:space="0" w:color="auto"/>
            </w:tcBorders>
            <w:shd w:val="clear" w:color="auto" w:fill="auto"/>
            <w:vAlign w:val="center"/>
          </w:tcPr>
          <w:p w:rsidR="00E903FA" w:rsidRPr="00181CA6" w:rsidRDefault="00E903FA" w:rsidP="003C4FEF">
            <w:pPr>
              <w:rPr>
                <w:rFonts w:ascii="Arial Narrow" w:hAnsi="Arial Narrow"/>
                <w:color w:val="000000"/>
                <w:sz w:val="20"/>
                <w:szCs w:val="18"/>
              </w:rPr>
            </w:pPr>
            <w:r w:rsidRPr="00181CA6">
              <w:rPr>
                <w:rFonts w:ascii="Arial Narrow" w:hAnsi="Arial Narrow"/>
                <w:color w:val="000000"/>
                <w:sz w:val="20"/>
                <w:szCs w:val="18"/>
              </w:rPr>
              <w:t>Indirect comparison</w:t>
            </w:r>
          </w:p>
        </w:tc>
        <w:tc>
          <w:tcPr>
            <w:tcW w:w="1016" w:type="pct"/>
            <w:tcBorders>
              <w:bottom w:val="single" w:sz="4" w:space="0" w:color="auto"/>
            </w:tcBorders>
            <w:vAlign w:val="center"/>
          </w:tcPr>
          <w:p w:rsidR="00E903FA" w:rsidRPr="00181CA6" w:rsidRDefault="00E903FA" w:rsidP="00F333AC">
            <w:pPr>
              <w:jc w:val="center"/>
              <w:rPr>
                <w:rFonts w:ascii="Arial Narrow" w:hAnsi="Arial Narrow"/>
                <w:b/>
                <w:sz w:val="20"/>
                <w:szCs w:val="18"/>
              </w:rPr>
            </w:pPr>
            <w:r w:rsidRPr="00181CA6">
              <w:rPr>
                <w:rFonts w:ascii="Arial Narrow" w:hAnsi="Arial Narrow"/>
                <w:b/>
                <w:sz w:val="20"/>
                <w:szCs w:val="18"/>
              </w:rPr>
              <w:t xml:space="preserve">27.84 (1.09, </w:t>
            </w:r>
            <w:r w:rsidR="00F333AC" w:rsidRPr="00181CA6">
              <w:rPr>
                <w:rFonts w:ascii="Arial Narrow" w:hAnsi="Arial Narrow"/>
                <w:b/>
                <w:sz w:val="20"/>
                <w:szCs w:val="18"/>
              </w:rPr>
              <w:t>710.51</w:t>
            </w:r>
            <w:r w:rsidRPr="00181CA6">
              <w:rPr>
                <w:rFonts w:ascii="Arial Narrow" w:hAnsi="Arial Narrow"/>
                <w:b/>
                <w:sz w:val="20"/>
                <w:szCs w:val="18"/>
              </w:rPr>
              <w:t>)</w:t>
            </w:r>
          </w:p>
        </w:tc>
        <w:tc>
          <w:tcPr>
            <w:tcW w:w="1489" w:type="pct"/>
            <w:gridSpan w:val="4"/>
            <w:tcBorders>
              <w:bottom w:val="single" w:sz="4" w:space="0" w:color="auto"/>
            </w:tcBorders>
            <w:shd w:val="clear" w:color="auto" w:fill="auto"/>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543" w:type="pct"/>
            <w:tcBorders>
              <w:bottom w:val="single" w:sz="4" w:space="0" w:color="auto"/>
            </w:tcBorders>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sz w:val="20"/>
                <w:szCs w:val="18"/>
              </w:rPr>
              <w:t>NA</w:t>
            </w:r>
          </w:p>
        </w:tc>
      </w:tr>
      <w:tr w:rsidR="00E903FA" w:rsidRPr="00181CA6" w:rsidTr="003C4FEF">
        <w:tc>
          <w:tcPr>
            <w:tcW w:w="5000" w:type="pct"/>
            <w:gridSpan w:val="10"/>
            <w:tcBorders>
              <w:top w:val="single" w:sz="4" w:space="0" w:color="auto"/>
            </w:tcBorders>
            <w:shd w:val="clear" w:color="auto" w:fill="auto"/>
            <w:vAlign w:val="center"/>
          </w:tcPr>
          <w:p w:rsidR="00E903FA" w:rsidRPr="00181CA6" w:rsidRDefault="00E903FA" w:rsidP="003C4FEF">
            <w:pPr>
              <w:rPr>
                <w:rFonts w:ascii="Arial Narrow" w:hAnsi="Arial Narrow"/>
                <w:b/>
                <w:color w:val="000000"/>
                <w:sz w:val="20"/>
                <w:szCs w:val="18"/>
              </w:rPr>
            </w:pPr>
            <w:r w:rsidRPr="00181CA6">
              <w:rPr>
                <w:rFonts w:ascii="Arial Narrow" w:hAnsi="Arial Narrow"/>
                <w:b/>
                <w:color w:val="000000"/>
                <w:sz w:val="20"/>
                <w:szCs w:val="18"/>
              </w:rPr>
              <w:t>Urinary tract infections: indirect comparison</w:t>
            </w:r>
          </w:p>
        </w:tc>
      </w:tr>
      <w:tr w:rsidR="00E903FA" w:rsidRPr="00181CA6" w:rsidTr="00F333AC">
        <w:trPr>
          <w:trHeight w:val="105"/>
        </w:trPr>
        <w:tc>
          <w:tcPr>
            <w:tcW w:w="677" w:type="pct"/>
            <w:vMerge w:val="restart"/>
            <w:shd w:val="clear" w:color="auto" w:fill="auto"/>
            <w:vAlign w:val="center"/>
          </w:tcPr>
          <w:p w:rsidR="00E903FA" w:rsidRPr="00181CA6" w:rsidRDefault="00E903FA" w:rsidP="003C4FEF">
            <w:pPr>
              <w:rPr>
                <w:rFonts w:ascii="Arial Narrow" w:hAnsi="Arial Narrow"/>
                <w:color w:val="000000"/>
                <w:sz w:val="20"/>
                <w:szCs w:val="18"/>
              </w:rPr>
            </w:pPr>
          </w:p>
        </w:tc>
        <w:tc>
          <w:tcPr>
            <w:tcW w:w="442" w:type="pct"/>
            <w:vMerge w:val="restart"/>
            <w:vAlign w:val="center"/>
          </w:tcPr>
          <w:p w:rsidR="00E903FA" w:rsidRPr="00181CA6" w:rsidRDefault="00E903FA" w:rsidP="00B2014E">
            <w:pPr>
              <w:jc w:val="center"/>
              <w:rPr>
                <w:rFonts w:ascii="Arial Narrow" w:hAnsi="Arial Narrow"/>
                <w:b/>
                <w:color w:val="000000"/>
                <w:sz w:val="20"/>
                <w:szCs w:val="18"/>
              </w:rPr>
            </w:pPr>
            <w:proofErr w:type="spellStart"/>
            <w:r w:rsidRPr="00181CA6">
              <w:rPr>
                <w:rFonts w:ascii="Arial Narrow" w:hAnsi="Arial Narrow"/>
                <w:b/>
                <w:color w:val="000000"/>
                <w:sz w:val="20"/>
                <w:szCs w:val="18"/>
              </w:rPr>
              <w:t>Dapa</w:t>
            </w:r>
            <w:r w:rsidR="00B2014E" w:rsidRPr="00181CA6">
              <w:rPr>
                <w:rFonts w:ascii="Arial Narrow" w:hAnsi="Arial Narrow"/>
                <w:color w:val="000000"/>
                <w:sz w:val="20"/>
                <w:szCs w:val="18"/>
                <w:vertAlign w:val="superscript"/>
              </w:rPr>
              <w:t>b</w:t>
            </w:r>
            <w:proofErr w:type="spellEnd"/>
          </w:p>
        </w:tc>
        <w:tc>
          <w:tcPr>
            <w:tcW w:w="424" w:type="pct"/>
            <w:vMerge w:val="restart"/>
            <w:vAlign w:val="center"/>
          </w:tcPr>
          <w:p w:rsidR="00E903FA" w:rsidRPr="00181CA6" w:rsidRDefault="00E903FA" w:rsidP="003C4FEF">
            <w:pPr>
              <w:jc w:val="center"/>
              <w:rPr>
                <w:rFonts w:ascii="Arial Narrow" w:hAnsi="Arial Narrow"/>
                <w:b/>
                <w:color w:val="000000"/>
                <w:sz w:val="20"/>
                <w:szCs w:val="18"/>
              </w:rPr>
            </w:pPr>
            <w:proofErr w:type="spellStart"/>
            <w:r w:rsidRPr="00181CA6">
              <w:rPr>
                <w:rFonts w:ascii="Arial Narrow" w:hAnsi="Arial Narrow"/>
                <w:b/>
                <w:color w:val="000000"/>
                <w:sz w:val="20"/>
                <w:szCs w:val="18"/>
              </w:rPr>
              <w:t>PBO</w:t>
            </w:r>
            <w:r w:rsidRPr="00181CA6">
              <w:rPr>
                <w:rFonts w:ascii="Arial Narrow" w:hAnsi="Arial Narrow"/>
                <w:color w:val="000000"/>
                <w:sz w:val="20"/>
                <w:szCs w:val="18"/>
                <w:vertAlign w:val="superscript"/>
              </w:rPr>
              <w:t>a</w:t>
            </w:r>
            <w:proofErr w:type="spellEnd"/>
          </w:p>
        </w:tc>
        <w:tc>
          <w:tcPr>
            <w:tcW w:w="408" w:type="pct"/>
            <w:vMerge w:val="restart"/>
            <w:vAlign w:val="center"/>
          </w:tcPr>
          <w:p w:rsidR="00E903FA" w:rsidRPr="00181CA6" w:rsidRDefault="00E903FA" w:rsidP="00B2014E">
            <w:pPr>
              <w:jc w:val="center"/>
              <w:rPr>
                <w:rFonts w:ascii="Arial Narrow" w:hAnsi="Arial Narrow"/>
                <w:b/>
                <w:color w:val="000000"/>
                <w:sz w:val="20"/>
                <w:szCs w:val="18"/>
              </w:rPr>
            </w:pPr>
            <w:proofErr w:type="spellStart"/>
            <w:r w:rsidRPr="00181CA6">
              <w:rPr>
                <w:rFonts w:ascii="Arial Narrow" w:hAnsi="Arial Narrow"/>
                <w:b/>
                <w:color w:val="000000"/>
                <w:sz w:val="20"/>
                <w:szCs w:val="18"/>
              </w:rPr>
              <w:t>Exe</w:t>
            </w:r>
            <w:r w:rsidR="00B2014E" w:rsidRPr="00181CA6">
              <w:rPr>
                <w:rFonts w:ascii="Arial Narrow" w:hAnsi="Arial Narrow"/>
                <w:color w:val="000000"/>
                <w:sz w:val="20"/>
                <w:szCs w:val="18"/>
                <w:vertAlign w:val="superscript"/>
              </w:rPr>
              <w:t>b</w:t>
            </w:r>
            <w:proofErr w:type="spellEnd"/>
          </w:p>
        </w:tc>
        <w:tc>
          <w:tcPr>
            <w:tcW w:w="1016" w:type="pct"/>
            <w:vMerge w:val="restart"/>
            <w:vAlign w:val="center"/>
          </w:tcPr>
          <w:p w:rsidR="00E903FA" w:rsidRPr="00181CA6" w:rsidRDefault="00E903FA" w:rsidP="003C4FEF">
            <w:pPr>
              <w:jc w:val="center"/>
              <w:rPr>
                <w:rFonts w:ascii="Arial Narrow" w:hAnsi="Arial Narrow"/>
                <w:b/>
                <w:color w:val="000000"/>
                <w:sz w:val="20"/>
                <w:szCs w:val="18"/>
              </w:rPr>
            </w:pPr>
            <w:r w:rsidRPr="00181CA6">
              <w:rPr>
                <w:rFonts w:ascii="Arial Narrow" w:hAnsi="Arial Narrow"/>
                <w:b/>
                <w:color w:val="000000"/>
                <w:sz w:val="20"/>
                <w:szCs w:val="18"/>
              </w:rPr>
              <w:t>OR</w:t>
            </w:r>
          </w:p>
          <w:p w:rsidR="00E903FA" w:rsidRPr="00181CA6" w:rsidRDefault="00E903FA" w:rsidP="003C4FEF">
            <w:pPr>
              <w:jc w:val="center"/>
              <w:rPr>
                <w:rFonts w:ascii="Arial Narrow" w:hAnsi="Arial Narrow"/>
                <w:color w:val="000000"/>
                <w:sz w:val="20"/>
                <w:szCs w:val="18"/>
              </w:rPr>
            </w:pPr>
            <w:r w:rsidRPr="00181CA6">
              <w:rPr>
                <w:rFonts w:ascii="Arial Narrow" w:hAnsi="Arial Narrow"/>
                <w:b/>
                <w:color w:val="000000"/>
                <w:sz w:val="20"/>
                <w:szCs w:val="18"/>
              </w:rPr>
              <w:t>(95% CI)</w:t>
            </w:r>
          </w:p>
        </w:tc>
        <w:tc>
          <w:tcPr>
            <w:tcW w:w="1489" w:type="pct"/>
            <w:gridSpan w:val="4"/>
            <w:vAlign w:val="center"/>
          </w:tcPr>
          <w:p w:rsidR="00E903FA" w:rsidRPr="00181CA6" w:rsidRDefault="00E903FA" w:rsidP="003C4FEF">
            <w:pPr>
              <w:jc w:val="center"/>
              <w:rPr>
                <w:rFonts w:ascii="Arial Narrow" w:hAnsi="Arial Narrow"/>
                <w:b/>
                <w:color w:val="000000"/>
                <w:sz w:val="20"/>
                <w:szCs w:val="18"/>
              </w:rPr>
            </w:pPr>
            <w:r w:rsidRPr="00181CA6">
              <w:rPr>
                <w:rFonts w:ascii="Arial Narrow" w:hAnsi="Arial Narrow"/>
                <w:b/>
                <w:color w:val="000000"/>
                <w:sz w:val="20"/>
                <w:szCs w:val="18"/>
              </w:rPr>
              <w:t xml:space="preserve">Event rate/100 patients* </w:t>
            </w:r>
          </w:p>
        </w:tc>
        <w:tc>
          <w:tcPr>
            <w:tcW w:w="543" w:type="pct"/>
            <w:vMerge w:val="restart"/>
            <w:vAlign w:val="center"/>
          </w:tcPr>
          <w:p w:rsidR="00E903FA" w:rsidRPr="00181CA6" w:rsidRDefault="00E903FA" w:rsidP="003C4FEF">
            <w:pPr>
              <w:jc w:val="center"/>
              <w:rPr>
                <w:rFonts w:ascii="Arial Narrow" w:hAnsi="Arial Narrow"/>
                <w:b/>
                <w:color w:val="000000"/>
                <w:sz w:val="20"/>
                <w:szCs w:val="18"/>
              </w:rPr>
            </w:pPr>
            <w:r w:rsidRPr="00181CA6">
              <w:rPr>
                <w:rFonts w:ascii="Arial Narrow" w:hAnsi="Arial Narrow"/>
                <w:b/>
                <w:color w:val="000000"/>
                <w:sz w:val="20"/>
                <w:szCs w:val="18"/>
              </w:rPr>
              <w:t>RD</w:t>
            </w:r>
          </w:p>
          <w:p w:rsidR="00E903FA" w:rsidRPr="00181CA6" w:rsidRDefault="00E903FA" w:rsidP="003C4FEF">
            <w:pPr>
              <w:jc w:val="center"/>
              <w:rPr>
                <w:rFonts w:ascii="Arial Narrow" w:hAnsi="Arial Narrow"/>
                <w:color w:val="000000"/>
                <w:sz w:val="20"/>
                <w:szCs w:val="18"/>
              </w:rPr>
            </w:pPr>
            <w:r w:rsidRPr="00181CA6">
              <w:rPr>
                <w:rFonts w:ascii="Arial Narrow" w:hAnsi="Arial Narrow"/>
                <w:b/>
                <w:color w:val="000000"/>
                <w:sz w:val="20"/>
                <w:szCs w:val="18"/>
              </w:rPr>
              <w:t>(95% CI)</w:t>
            </w:r>
          </w:p>
        </w:tc>
      </w:tr>
      <w:tr w:rsidR="00E903FA" w:rsidRPr="00181CA6" w:rsidTr="00F333AC">
        <w:trPr>
          <w:trHeight w:val="70"/>
        </w:trPr>
        <w:tc>
          <w:tcPr>
            <w:tcW w:w="677" w:type="pct"/>
            <w:vMerge/>
            <w:shd w:val="clear" w:color="auto" w:fill="auto"/>
            <w:vAlign w:val="center"/>
          </w:tcPr>
          <w:p w:rsidR="00E903FA" w:rsidRPr="00181CA6" w:rsidRDefault="00E903FA" w:rsidP="003C4FEF">
            <w:pPr>
              <w:rPr>
                <w:rFonts w:ascii="Arial Narrow" w:hAnsi="Arial Narrow"/>
                <w:color w:val="000000"/>
                <w:sz w:val="20"/>
                <w:szCs w:val="18"/>
              </w:rPr>
            </w:pPr>
          </w:p>
        </w:tc>
        <w:tc>
          <w:tcPr>
            <w:tcW w:w="442" w:type="pct"/>
            <w:vMerge/>
            <w:vAlign w:val="center"/>
          </w:tcPr>
          <w:p w:rsidR="00E903FA" w:rsidRPr="00181CA6" w:rsidRDefault="00E903FA" w:rsidP="003C4FEF">
            <w:pPr>
              <w:jc w:val="center"/>
              <w:rPr>
                <w:rFonts w:ascii="Arial Narrow" w:hAnsi="Arial Narrow"/>
                <w:b/>
                <w:color w:val="000000"/>
                <w:sz w:val="20"/>
                <w:szCs w:val="18"/>
              </w:rPr>
            </w:pPr>
          </w:p>
        </w:tc>
        <w:tc>
          <w:tcPr>
            <w:tcW w:w="424" w:type="pct"/>
            <w:vMerge/>
            <w:vAlign w:val="center"/>
          </w:tcPr>
          <w:p w:rsidR="00E903FA" w:rsidRPr="00181CA6" w:rsidRDefault="00E903FA" w:rsidP="003C4FEF">
            <w:pPr>
              <w:jc w:val="center"/>
              <w:rPr>
                <w:rFonts w:ascii="Arial Narrow" w:hAnsi="Arial Narrow"/>
                <w:b/>
                <w:color w:val="000000"/>
                <w:sz w:val="20"/>
                <w:szCs w:val="18"/>
              </w:rPr>
            </w:pPr>
          </w:p>
        </w:tc>
        <w:tc>
          <w:tcPr>
            <w:tcW w:w="408" w:type="pct"/>
            <w:vMerge/>
            <w:vAlign w:val="center"/>
          </w:tcPr>
          <w:p w:rsidR="00E903FA" w:rsidRPr="00181CA6" w:rsidRDefault="00E903FA" w:rsidP="003C4FEF">
            <w:pPr>
              <w:jc w:val="center"/>
              <w:rPr>
                <w:rFonts w:ascii="Arial Narrow" w:hAnsi="Arial Narrow"/>
                <w:b/>
                <w:color w:val="000000"/>
                <w:sz w:val="20"/>
                <w:szCs w:val="18"/>
              </w:rPr>
            </w:pPr>
          </w:p>
        </w:tc>
        <w:tc>
          <w:tcPr>
            <w:tcW w:w="1016" w:type="pct"/>
            <w:vMerge/>
            <w:vAlign w:val="center"/>
          </w:tcPr>
          <w:p w:rsidR="00E903FA" w:rsidRPr="00181CA6" w:rsidRDefault="00E903FA" w:rsidP="003C4FEF">
            <w:pPr>
              <w:jc w:val="center"/>
              <w:rPr>
                <w:rFonts w:ascii="Arial Narrow" w:hAnsi="Arial Narrow"/>
                <w:b/>
                <w:color w:val="000000"/>
                <w:sz w:val="20"/>
                <w:szCs w:val="18"/>
              </w:rPr>
            </w:pPr>
          </w:p>
        </w:tc>
        <w:tc>
          <w:tcPr>
            <w:tcW w:w="422" w:type="pct"/>
            <w:vAlign w:val="center"/>
          </w:tcPr>
          <w:p w:rsidR="00E903FA" w:rsidRPr="00181CA6" w:rsidRDefault="00E903FA" w:rsidP="00B2014E">
            <w:pPr>
              <w:jc w:val="center"/>
              <w:rPr>
                <w:rFonts w:ascii="Arial Narrow" w:hAnsi="Arial Narrow"/>
                <w:b/>
                <w:color w:val="000000"/>
                <w:sz w:val="20"/>
                <w:szCs w:val="18"/>
              </w:rPr>
            </w:pPr>
            <w:proofErr w:type="spellStart"/>
            <w:r w:rsidRPr="00181CA6">
              <w:rPr>
                <w:rFonts w:ascii="Arial Narrow" w:hAnsi="Arial Narrow"/>
                <w:b/>
                <w:color w:val="000000"/>
                <w:sz w:val="20"/>
                <w:szCs w:val="18"/>
              </w:rPr>
              <w:t>Dapa</w:t>
            </w:r>
            <w:r w:rsidR="00B2014E" w:rsidRPr="00181CA6">
              <w:rPr>
                <w:rFonts w:ascii="Arial Narrow" w:hAnsi="Arial Narrow"/>
                <w:color w:val="000000"/>
                <w:sz w:val="20"/>
                <w:szCs w:val="18"/>
                <w:vertAlign w:val="superscript"/>
              </w:rPr>
              <w:t>b</w:t>
            </w:r>
            <w:proofErr w:type="spellEnd"/>
          </w:p>
        </w:tc>
        <w:tc>
          <w:tcPr>
            <w:tcW w:w="509" w:type="pct"/>
            <w:gridSpan w:val="2"/>
            <w:vAlign w:val="center"/>
          </w:tcPr>
          <w:p w:rsidR="00E903FA" w:rsidRPr="00181CA6" w:rsidRDefault="00E903FA" w:rsidP="003C4FEF">
            <w:pPr>
              <w:jc w:val="center"/>
              <w:rPr>
                <w:rFonts w:ascii="Arial Narrow" w:hAnsi="Arial Narrow"/>
                <w:b/>
                <w:color w:val="000000"/>
                <w:sz w:val="20"/>
                <w:szCs w:val="18"/>
              </w:rPr>
            </w:pPr>
            <w:proofErr w:type="spellStart"/>
            <w:r w:rsidRPr="00181CA6">
              <w:rPr>
                <w:rFonts w:ascii="Arial Narrow" w:hAnsi="Arial Narrow"/>
                <w:b/>
                <w:color w:val="000000"/>
                <w:sz w:val="20"/>
                <w:szCs w:val="18"/>
              </w:rPr>
              <w:t>PBO</w:t>
            </w:r>
            <w:r w:rsidRPr="00181CA6">
              <w:rPr>
                <w:rFonts w:ascii="Arial Narrow" w:hAnsi="Arial Narrow"/>
                <w:color w:val="000000"/>
                <w:sz w:val="20"/>
                <w:szCs w:val="18"/>
                <w:vertAlign w:val="superscript"/>
              </w:rPr>
              <w:t>a</w:t>
            </w:r>
            <w:proofErr w:type="spellEnd"/>
          </w:p>
        </w:tc>
        <w:tc>
          <w:tcPr>
            <w:tcW w:w="558" w:type="pct"/>
            <w:vAlign w:val="center"/>
          </w:tcPr>
          <w:p w:rsidR="00E903FA" w:rsidRPr="00181CA6" w:rsidRDefault="00E903FA" w:rsidP="00B2014E">
            <w:pPr>
              <w:jc w:val="center"/>
              <w:rPr>
                <w:rFonts w:ascii="Arial Narrow" w:hAnsi="Arial Narrow"/>
                <w:b/>
                <w:color w:val="000000"/>
                <w:sz w:val="20"/>
                <w:szCs w:val="18"/>
              </w:rPr>
            </w:pPr>
            <w:proofErr w:type="spellStart"/>
            <w:r w:rsidRPr="00181CA6">
              <w:rPr>
                <w:rFonts w:ascii="Arial Narrow" w:hAnsi="Arial Narrow"/>
                <w:b/>
                <w:color w:val="000000"/>
                <w:sz w:val="20"/>
                <w:szCs w:val="18"/>
              </w:rPr>
              <w:t>Exe</w:t>
            </w:r>
            <w:r w:rsidR="00B2014E" w:rsidRPr="00181CA6">
              <w:rPr>
                <w:rFonts w:ascii="Arial Narrow" w:hAnsi="Arial Narrow"/>
                <w:color w:val="000000"/>
                <w:sz w:val="20"/>
                <w:szCs w:val="18"/>
                <w:vertAlign w:val="superscript"/>
              </w:rPr>
              <w:t>b</w:t>
            </w:r>
            <w:proofErr w:type="spellEnd"/>
          </w:p>
        </w:tc>
        <w:tc>
          <w:tcPr>
            <w:tcW w:w="543" w:type="pct"/>
            <w:vMerge/>
            <w:vAlign w:val="center"/>
          </w:tcPr>
          <w:p w:rsidR="00E903FA" w:rsidRPr="00181CA6" w:rsidRDefault="00E903FA" w:rsidP="003C4FEF">
            <w:pPr>
              <w:jc w:val="center"/>
              <w:rPr>
                <w:rFonts w:ascii="Arial Narrow" w:hAnsi="Arial Narrow"/>
                <w:b/>
                <w:color w:val="000000"/>
                <w:sz w:val="20"/>
                <w:szCs w:val="18"/>
              </w:rPr>
            </w:pPr>
          </w:p>
        </w:tc>
      </w:tr>
      <w:tr w:rsidR="00E903FA" w:rsidRPr="00181CA6" w:rsidTr="00F333AC">
        <w:tc>
          <w:tcPr>
            <w:tcW w:w="677" w:type="pct"/>
            <w:shd w:val="clear" w:color="auto" w:fill="auto"/>
            <w:vAlign w:val="center"/>
          </w:tcPr>
          <w:p w:rsidR="00E903FA" w:rsidRPr="00181CA6" w:rsidRDefault="00E903FA" w:rsidP="003C4FEF">
            <w:pPr>
              <w:rPr>
                <w:rFonts w:ascii="Arial Narrow" w:hAnsi="Arial Narrow"/>
                <w:color w:val="000000"/>
                <w:sz w:val="20"/>
                <w:szCs w:val="18"/>
              </w:rPr>
            </w:pPr>
            <w:r w:rsidRPr="00181CA6">
              <w:rPr>
                <w:rFonts w:ascii="Arial Narrow" w:hAnsi="Arial Narrow"/>
                <w:color w:val="000000"/>
                <w:sz w:val="20"/>
                <w:szCs w:val="18"/>
              </w:rPr>
              <w:t>CT-006</w:t>
            </w:r>
          </w:p>
        </w:tc>
        <w:tc>
          <w:tcPr>
            <w:tcW w:w="442" w:type="pct"/>
            <w:vAlign w:val="center"/>
          </w:tcPr>
          <w:p w:rsidR="00E903FA" w:rsidRPr="00181CA6" w:rsidRDefault="00E903FA" w:rsidP="00FC3594">
            <w:pPr>
              <w:jc w:val="center"/>
              <w:rPr>
                <w:rFonts w:ascii="Arial Narrow" w:hAnsi="Arial Narrow"/>
                <w:sz w:val="20"/>
                <w:szCs w:val="18"/>
              </w:rPr>
            </w:pPr>
            <w:r w:rsidRPr="00181CA6">
              <w:rPr>
                <w:rFonts w:ascii="Arial Narrow" w:hAnsi="Arial Narrow"/>
                <w:sz w:val="20"/>
                <w:szCs w:val="18"/>
              </w:rPr>
              <w:t>11/197</w:t>
            </w:r>
          </w:p>
        </w:tc>
        <w:tc>
          <w:tcPr>
            <w:tcW w:w="424" w:type="pct"/>
            <w:vAlign w:val="center"/>
          </w:tcPr>
          <w:p w:rsidR="00E903FA" w:rsidRPr="00181CA6" w:rsidRDefault="00E903FA" w:rsidP="00FC3594">
            <w:pPr>
              <w:jc w:val="center"/>
              <w:rPr>
                <w:rFonts w:ascii="Arial Narrow" w:hAnsi="Arial Narrow"/>
                <w:sz w:val="20"/>
                <w:szCs w:val="18"/>
              </w:rPr>
            </w:pPr>
            <w:r w:rsidRPr="00181CA6">
              <w:rPr>
                <w:rFonts w:ascii="Arial Narrow" w:hAnsi="Arial Narrow"/>
                <w:sz w:val="20"/>
                <w:szCs w:val="18"/>
              </w:rPr>
              <w:t>6/196</w:t>
            </w:r>
          </w:p>
        </w:tc>
        <w:tc>
          <w:tcPr>
            <w:tcW w:w="408" w:type="pct"/>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1016" w:type="pct"/>
            <w:vAlign w:val="center"/>
          </w:tcPr>
          <w:p w:rsidR="00E903FA" w:rsidRPr="00181CA6" w:rsidRDefault="00E903FA" w:rsidP="00E903FA">
            <w:pPr>
              <w:jc w:val="center"/>
              <w:rPr>
                <w:rFonts w:ascii="Arial Narrow" w:hAnsi="Arial Narrow"/>
                <w:sz w:val="20"/>
                <w:szCs w:val="18"/>
              </w:rPr>
            </w:pPr>
            <w:r w:rsidRPr="00181CA6">
              <w:rPr>
                <w:rFonts w:ascii="Arial Narrow" w:hAnsi="Arial Narrow"/>
                <w:sz w:val="20"/>
                <w:szCs w:val="18"/>
              </w:rPr>
              <w:t>1.87 (0.68, 5.17)</w:t>
            </w:r>
          </w:p>
        </w:tc>
        <w:tc>
          <w:tcPr>
            <w:tcW w:w="422" w:type="pct"/>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5.6</w:t>
            </w:r>
          </w:p>
        </w:tc>
        <w:tc>
          <w:tcPr>
            <w:tcW w:w="509" w:type="pct"/>
            <w:gridSpan w:val="2"/>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3</w:t>
            </w:r>
          </w:p>
        </w:tc>
        <w:tc>
          <w:tcPr>
            <w:tcW w:w="558" w:type="pct"/>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543" w:type="pct"/>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NR</w:t>
            </w:r>
          </w:p>
        </w:tc>
      </w:tr>
      <w:tr w:rsidR="00E903FA" w:rsidRPr="00181CA6" w:rsidTr="00F333AC">
        <w:tc>
          <w:tcPr>
            <w:tcW w:w="677" w:type="pct"/>
            <w:tcBorders>
              <w:bottom w:val="single" w:sz="4" w:space="0" w:color="auto"/>
            </w:tcBorders>
            <w:shd w:val="clear" w:color="auto" w:fill="auto"/>
            <w:vAlign w:val="center"/>
          </w:tcPr>
          <w:p w:rsidR="00E903FA" w:rsidRPr="00181CA6" w:rsidRDefault="00E903FA" w:rsidP="003C4FEF">
            <w:pPr>
              <w:rPr>
                <w:rFonts w:ascii="Arial Narrow" w:hAnsi="Arial Narrow"/>
                <w:color w:val="000000"/>
                <w:sz w:val="20"/>
                <w:szCs w:val="18"/>
              </w:rPr>
            </w:pPr>
            <w:r w:rsidRPr="00181CA6">
              <w:rPr>
                <w:rFonts w:ascii="Arial Narrow" w:hAnsi="Arial Narrow"/>
                <w:color w:val="000000"/>
                <w:sz w:val="20"/>
                <w:szCs w:val="18"/>
              </w:rPr>
              <w:t>GWCO</w:t>
            </w:r>
          </w:p>
        </w:tc>
        <w:tc>
          <w:tcPr>
            <w:tcW w:w="442" w:type="pct"/>
            <w:tcBorders>
              <w:bottom w:val="single" w:sz="4" w:space="0" w:color="auto"/>
            </w:tcBorders>
            <w:vAlign w:val="center"/>
          </w:tcPr>
          <w:p w:rsidR="00E903FA" w:rsidRPr="00181CA6" w:rsidRDefault="00B2014E"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424" w:type="pct"/>
            <w:tcBorders>
              <w:bottom w:val="single" w:sz="4" w:space="0" w:color="auto"/>
            </w:tcBorders>
            <w:vAlign w:val="center"/>
          </w:tcPr>
          <w:p w:rsidR="00E903FA" w:rsidRPr="00181CA6" w:rsidRDefault="00E903FA" w:rsidP="00FC3594">
            <w:pPr>
              <w:jc w:val="center"/>
              <w:rPr>
                <w:rFonts w:ascii="Arial Narrow" w:hAnsi="Arial Narrow"/>
                <w:color w:val="000000"/>
                <w:sz w:val="20"/>
                <w:szCs w:val="18"/>
              </w:rPr>
            </w:pPr>
            <w:r w:rsidRPr="00181CA6">
              <w:rPr>
                <w:rFonts w:ascii="Arial Narrow" w:hAnsi="Arial Narrow"/>
                <w:color w:val="000000"/>
                <w:sz w:val="20"/>
                <w:szCs w:val="18"/>
              </w:rPr>
              <w:t>2/122</w:t>
            </w:r>
          </w:p>
        </w:tc>
        <w:tc>
          <w:tcPr>
            <w:tcW w:w="408" w:type="pct"/>
            <w:tcBorders>
              <w:bottom w:val="single" w:sz="4" w:space="0" w:color="auto"/>
            </w:tcBorders>
            <w:vAlign w:val="center"/>
          </w:tcPr>
          <w:p w:rsidR="00E903FA" w:rsidRPr="00181CA6" w:rsidRDefault="00E903FA" w:rsidP="00FC3594">
            <w:pPr>
              <w:jc w:val="center"/>
              <w:rPr>
                <w:rFonts w:ascii="Arial Narrow" w:hAnsi="Arial Narrow"/>
                <w:color w:val="000000"/>
                <w:sz w:val="20"/>
                <w:szCs w:val="18"/>
              </w:rPr>
            </w:pPr>
            <w:r w:rsidRPr="00181CA6">
              <w:rPr>
                <w:rFonts w:ascii="Arial Narrow" w:hAnsi="Arial Narrow"/>
                <w:color w:val="000000"/>
                <w:sz w:val="20"/>
                <w:szCs w:val="18"/>
              </w:rPr>
              <w:t>1/137</w:t>
            </w:r>
          </w:p>
        </w:tc>
        <w:tc>
          <w:tcPr>
            <w:tcW w:w="1016" w:type="pct"/>
            <w:tcBorders>
              <w:bottom w:val="single" w:sz="4" w:space="0" w:color="auto"/>
            </w:tcBorders>
            <w:vAlign w:val="center"/>
          </w:tcPr>
          <w:p w:rsidR="00E903FA" w:rsidRPr="00181CA6" w:rsidRDefault="00E903FA" w:rsidP="00E903FA">
            <w:pPr>
              <w:jc w:val="center"/>
              <w:rPr>
                <w:rFonts w:ascii="Arial Narrow" w:hAnsi="Arial Narrow"/>
                <w:sz w:val="20"/>
                <w:szCs w:val="18"/>
              </w:rPr>
            </w:pPr>
            <w:r w:rsidRPr="00181CA6">
              <w:rPr>
                <w:rFonts w:ascii="Arial Narrow" w:hAnsi="Arial Narrow"/>
                <w:sz w:val="20"/>
                <w:szCs w:val="18"/>
              </w:rPr>
              <w:t>0.44 (0.04, 4.93)</w:t>
            </w:r>
          </w:p>
        </w:tc>
        <w:tc>
          <w:tcPr>
            <w:tcW w:w="422" w:type="pct"/>
            <w:tcBorders>
              <w:bottom w:val="single" w:sz="4" w:space="0" w:color="auto"/>
            </w:tcBorders>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509" w:type="pct"/>
            <w:gridSpan w:val="2"/>
            <w:tcBorders>
              <w:bottom w:val="single" w:sz="4" w:space="0" w:color="auto"/>
            </w:tcBorders>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1.6</w:t>
            </w:r>
          </w:p>
        </w:tc>
        <w:tc>
          <w:tcPr>
            <w:tcW w:w="558" w:type="pct"/>
            <w:tcBorders>
              <w:bottom w:val="single" w:sz="4" w:space="0" w:color="auto"/>
            </w:tcBorders>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0.7</w:t>
            </w:r>
          </w:p>
        </w:tc>
        <w:tc>
          <w:tcPr>
            <w:tcW w:w="543" w:type="pct"/>
            <w:tcBorders>
              <w:bottom w:val="single" w:sz="4" w:space="0" w:color="auto"/>
            </w:tcBorders>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NR</w:t>
            </w:r>
          </w:p>
        </w:tc>
      </w:tr>
      <w:tr w:rsidR="00E903FA" w:rsidRPr="00181CA6" w:rsidTr="00F333AC">
        <w:tc>
          <w:tcPr>
            <w:tcW w:w="1952" w:type="pct"/>
            <w:gridSpan w:val="4"/>
            <w:tcBorders>
              <w:bottom w:val="single" w:sz="4" w:space="0" w:color="auto"/>
            </w:tcBorders>
            <w:shd w:val="clear" w:color="auto" w:fill="auto"/>
            <w:vAlign w:val="center"/>
          </w:tcPr>
          <w:p w:rsidR="00E903FA" w:rsidRPr="00181CA6" w:rsidRDefault="00E903FA" w:rsidP="00FC3594">
            <w:pPr>
              <w:rPr>
                <w:rFonts w:ascii="Arial Narrow" w:hAnsi="Arial Narrow"/>
                <w:color w:val="000000"/>
                <w:sz w:val="20"/>
                <w:szCs w:val="18"/>
              </w:rPr>
            </w:pPr>
            <w:r w:rsidRPr="00181CA6">
              <w:rPr>
                <w:rFonts w:ascii="Arial Narrow" w:hAnsi="Arial Narrow"/>
                <w:color w:val="000000"/>
                <w:sz w:val="20"/>
                <w:szCs w:val="18"/>
              </w:rPr>
              <w:t>Indirect comparison</w:t>
            </w:r>
          </w:p>
        </w:tc>
        <w:tc>
          <w:tcPr>
            <w:tcW w:w="1016" w:type="pct"/>
            <w:tcBorders>
              <w:bottom w:val="single" w:sz="4" w:space="0" w:color="auto"/>
            </w:tcBorders>
            <w:vAlign w:val="center"/>
          </w:tcPr>
          <w:p w:rsidR="00E903FA" w:rsidRPr="00181CA6" w:rsidRDefault="00F333AC" w:rsidP="00F333AC">
            <w:pPr>
              <w:jc w:val="center"/>
              <w:rPr>
                <w:rFonts w:ascii="Arial Narrow" w:hAnsi="Arial Narrow"/>
                <w:sz w:val="20"/>
                <w:szCs w:val="18"/>
              </w:rPr>
            </w:pPr>
            <w:r w:rsidRPr="00181CA6">
              <w:rPr>
                <w:rFonts w:ascii="Arial Narrow" w:hAnsi="Arial Narrow"/>
                <w:sz w:val="20"/>
                <w:szCs w:val="18"/>
              </w:rPr>
              <w:t>4.25</w:t>
            </w:r>
            <w:r w:rsidR="00E903FA" w:rsidRPr="00181CA6">
              <w:rPr>
                <w:rFonts w:ascii="Arial Narrow" w:hAnsi="Arial Narrow"/>
                <w:sz w:val="20"/>
                <w:szCs w:val="18"/>
              </w:rPr>
              <w:t xml:space="preserve"> (0.</w:t>
            </w:r>
            <w:r w:rsidRPr="00181CA6">
              <w:rPr>
                <w:rFonts w:ascii="Arial Narrow" w:hAnsi="Arial Narrow"/>
                <w:sz w:val="20"/>
                <w:szCs w:val="18"/>
              </w:rPr>
              <w:t>31</w:t>
            </w:r>
            <w:r w:rsidR="00E903FA" w:rsidRPr="00181CA6">
              <w:rPr>
                <w:rFonts w:ascii="Arial Narrow" w:hAnsi="Arial Narrow"/>
                <w:sz w:val="20"/>
                <w:szCs w:val="18"/>
              </w:rPr>
              <w:t xml:space="preserve">, </w:t>
            </w:r>
            <w:r w:rsidRPr="00181CA6">
              <w:rPr>
                <w:rFonts w:ascii="Arial Narrow" w:hAnsi="Arial Narrow"/>
                <w:sz w:val="20"/>
                <w:szCs w:val="18"/>
              </w:rPr>
              <w:t>58.18</w:t>
            </w:r>
            <w:r w:rsidR="00E903FA" w:rsidRPr="00181CA6">
              <w:rPr>
                <w:rFonts w:ascii="Arial Narrow" w:hAnsi="Arial Narrow"/>
                <w:sz w:val="20"/>
                <w:szCs w:val="18"/>
              </w:rPr>
              <w:t>)</w:t>
            </w:r>
          </w:p>
        </w:tc>
        <w:tc>
          <w:tcPr>
            <w:tcW w:w="1489" w:type="pct"/>
            <w:gridSpan w:val="4"/>
            <w:tcBorders>
              <w:bottom w:val="single" w:sz="4" w:space="0" w:color="auto"/>
            </w:tcBorders>
            <w:shd w:val="clear" w:color="auto" w:fill="auto"/>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color w:val="000000"/>
                <w:sz w:val="20"/>
                <w:szCs w:val="18"/>
              </w:rPr>
              <w:t>-</w:t>
            </w:r>
          </w:p>
        </w:tc>
        <w:tc>
          <w:tcPr>
            <w:tcW w:w="543" w:type="pct"/>
            <w:tcBorders>
              <w:bottom w:val="single" w:sz="4" w:space="0" w:color="auto"/>
            </w:tcBorders>
            <w:vAlign w:val="center"/>
          </w:tcPr>
          <w:p w:rsidR="00E903FA" w:rsidRPr="00181CA6" w:rsidRDefault="00E903FA" w:rsidP="003C4FEF">
            <w:pPr>
              <w:jc w:val="center"/>
              <w:rPr>
                <w:rFonts w:ascii="Arial Narrow" w:hAnsi="Arial Narrow"/>
                <w:color w:val="000000"/>
                <w:sz w:val="20"/>
                <w:szCs w:val="18"/>
              </w:rPr>
            </w:pPr>
            <w:r w:rsidRPr="00181CA6">
              <w:rPr>
                <w:rFonts w:ascii="Arial Narrow" w:hAnsi="Arial Narrow"/>
                <w:sz w:val="20"/>
                <w:szCs w:val="18"/>
              </w:rPr>
              <w:t>NA</w:t>
            </w:r>
          </w:p>
        </w:tc>
      </w:tr>
    </w:tbl>
    <w:p w:rsidR="00D06FD4" w:rsidRPr="00181CA6" w:rsidRDefault="00B2014E" w:rsidP="00D06FD4">
      <w:pPr>
        <w:pStyle w:val="ListParagraph"/>
        <w:rPr>
          <w:rFonts w:ascii="Arial Narrow" w:hAnsi="Arial Narrow"/>
          <w:sz w:val="18"/>
          <w:szCs w:val="18"/>
        </w:rPr>
      </w:pPr>
      <w:r w:rsidRPr="00181CA6">
        <w:rPr>
          <w:rFonts w:ascii="Arial Narrow" w:hAnsi="Arial Narrow"/>
          <w:sz w:val="18"/>
          <w:szCs w:val="18"/>
        </w:rPr>
        <w:t>Source: Compiled during the evaluation.</w:t>
      </w:r>
    </w:p>
    <w:p w:rsidR="00B2014E" w:rsidRPr="00181CA6" w:rsidRDefault="00B2014E" w:rsidP="00D06FD4">
      <w:pPr>
        <w:pStyle w:val="ListParagraph"/>
        <w:rPr>
          <w:rFonts w:ascii="Arial Narrow" w:hAnsi="Arial Narrow"/>
          <w:sz w:val="18"/>
          <w:szCs w:val="18"/>
        </w:rPr>
      </w:pPr>
      <w:r w:rsidRPr="00181CA6">
        <w:rPr>
          <w:rFonts w:ascii="Arial Narrow" w:hAnsi="Arial Narrow"/>
          <w:sz w:val="18"/>
          <w:szCs w:val="18"/>
        </w:rPr>
        <w:t xml:space="preserve">Abbreviations: </w:t>
      </w:r>
      <w:proofErr w:type="spellStart"/>
      <w:r w:rsidRPr="00181CA6">
        <w:rPr>
          <w:rFonts w:ascii="Arial Narrow" w:hAnsi="Arial Narrow"/>
          <w:sz w:val="18"/>
          <w:szCs w:val="18"/>
        </w:rPr>
        <w:t>Dapa</w:t>
      </w:r>
      <w:proofErr w:type="spellEnd"/>
      <w:r w:rsidRPr="00181CA6">
        <w:rPr>
          <w:rFonts w:ascii="Arial Narrow" w:hAnsi="Arial Narrow"/>
          <w:sz w:val="18"/>
          <w:szCs w:val="18"/>
        </w:rPr>
        <w:t>, dapagliflozin; Exe, exenatide; PBO, placebo.</w:t>
      </w:r>
    </w:p>
    <w:p w:rsidR="00B2014E" w:rsidRPr="00181CA6" w:rsidRDefault="00B2014E" w:rsidP="00D06FD4">
      <w:pPr>
        <w:pStyle w:val="ListParagraph"/>
        <w:rPr>
          <w:rFonts w:ascii="Arial Narrow" w:hAnsi="Arial Narrow"/>
          <w:sz w:val="18"/>
          <w:szCs w:val="18"/>
        </w:rPr>
      </w:pPr>
      <w:proofErr w:type="gramStart"/>
      <w:r w:rsidRPr="00181CA6">
        <w:rPr>
          <w:rFonts w:ascii="Arial Narrow" w:hAnsi="Arial Narrow"/>
          <w:sz w:val="18"/>
          <w:szCs w:val="18"/>
          <w:vertAlign w:val="superscript"/>
        </w:rPr>
        <w:t>a</w:t>
      </w:r>
      <w:proofErr w:type="gramEnd"/>
      <w:r w:rsidRPr="00181CA6">
        <w:rPr>
          <w:rFonts w:ascii="Arial Narrow" w:hAnsi="Arial Narrow"/>
          <w:sz w:val="18"/>
          <w:szCs w:val="18"/>
        </w:rPr>
        <w:t xml:space="preserve"> Placebo arms were not comparable and included active comparators in </w:t>
      </w:r>
      <w:r w:rsidR="00096EDB" w:rsidRPr="00181CA6">
        <w:rPr>
          <w:rFonts w:ascii="Arial Narrow" w:hAnsi="Arial Narrow"/>
          <w:sz w:val="18"/>
          <w:szCs w:val="18"/>
        </w:rPr>
        <w:t>trial GWCO</w:t>
      </w:r>
      <w:r w:rsidRPr="00181CA6">
        <w:rPr>
          <w:rFonts w:ascii="Arial Narrow" w:hAnsi="Arial Narrow"/>
          <w:sz w:val="18"/>
          <w:szCs w:val="18"/>
        </w:rPr>
        <w:t>.</w:t>
      </w:r>
    </w:p>
    <w:p w:rsidR="00B2014E" w:rsidRPr="00181CA6" w:rsidRDefault="00B2014E" w:rsidP="00D06FD4">
      <w:pPr>
        <w:pStyle w:val="ListParagraph"/>
        <w:rPr>
          <w:rFonts w:ascii="Arial Narrow" w:hAnsi="Arial Narrow"/>
          <w:sz w:val="18"/>
          <w:szCs w:val="18"/>
        </w:rPr>
      </w:pPr>
      <w:proofErr w:type="gramStart"/>
      <w:r w:rsidRPr="00181CA6">
        <w:rPr>
          <w:rFonts w:ascii="Arial Narrow" w:hAnsi="Arial Narrow"/>
          <w:sz w:val="18"/>
          <w:szCs w:val="18"/>
          <w:vertAlign w:val="superscript"/>
        </w:rPr>
        <w:t>b</w:t>
      </w:r>
      <w:proofErr w:type="gramEnd"/>
      <w:r w:rsidRPr="00181CA6">
        <w:rPr>
          <w:rFonts w:ascii="Arial Narrow" w:hAnsi="Arial Narrow"/>
          <w:sz w:val="18"/>
          <w:szCs w:val="18"/>
        </w:rPr>
        <w:t xml:space="preserve"> </w:t>
      </w:r>
      <w:r w:rsidR="00096EDB" w:rsidRPr="00181CA6">
        <w:rPr>
          <w:rFonts w:ascii="Arial Narrow" w:hAnsi="Arial Narrow"/>
          <w:sz w:val="18"/>
          <w:szCs w:val="18"/>
        </w:rPr>
        <w:t>All treatment and placebo arms included concurrent insulin regimens.</w:t>
      </w:r>
    </w:p>
    <w:p w:rsidR="00B60939" w:rsidRPr="00181CA6" w:rsidRDefault="00B60939" w:rsidP="0004231D">
      <w:pPr>
        <w:rPr>
          <w:szCs w:val="22"/>
        </w:rPr>
      </w:pPr>
    </w:p>
    <w:p w:rsidR="006566C7" w:rsidRDefault="009C3167" w:rsidP="006566C7">
      <w:pPr>
        <w:pStyle w:val="ListParagraph"/>
        <w:widowControl/>
        <w:numPr>
          <w:ilvl w:val="1"/>
          <w:numId w:val="12"/>
        </w:numPr>
        <w:rPr>
          <w:szCs w:val="22"/>
        </w:rPr>
      </w:pPr>
      <w:r w:rsidRPr="006566C7">
        <w:rPr>
          <w:szCs w:val="22"/>
        </w:rPr>
        <w:t>On the basis of indirect</w:t>
      </w:r>
      <w:r w:rsidR="000C72AB" w:rsidRPr="006566C7">
        <w:rPr>
          <w:szCs w:val="22"/>
        </w:rPr>
        <w:t>, multistep comparison of dapagliflozin and up-titrated insulin presented</w:t>
      </w:r>
      <w:r w:rsidRPr="006566C7">
        <w:rPr>
          <w:szCs w:val="22"/>
        </w:rPr>
        <w:t xml:space="preserve"> </w:t>
      </w:r>
      <w:r w:rsidR="000C72AB" w:rsidRPr="006566C7">
        <w:rPr>
          <w:szCs w:val="22"/>
        </w:rPr>
        <w:t>in</w:t>
      </w:r>
      <w:r w:rsidRPr="006566C7">
        <w:rPr>
          <w:szCs w:val="22"/>
        </w:rPr>
        <w:t xml:space="preserve"> the </w:t>
      </w:r>
      <w:r w:rsidR="006D07FE" w:rsidRPr="006566C7">
        <w:rPr>
          <w:szCs w:val="22"/>
        </w:rPr>
        <w:t>resubmission</w:t>
      </w:r>
      <w:r w:rsidR="000C72AB" w:rsidRPr="006566C7">
        <w:rPr>
          <w:szCs w:val="22"/>
        </w:rPr>
        <w:t xml:space="preserve"> (using the</w:t>
      </w:r>
      <w:r w:rsidRPr="006566C7">
        <w:rPr>
          <w:szCs w:val="22"/>
        </w:rPr>
        <w:t xml:space="preserve"> comparison of dapagliflozin in combination with stable insulin and exenatide with optimised insulin</w:t>
      </w:r>
      <w:r w:rsidR="000C72AB" w:rsidRPr="006566C7">
        <w:rPr>
          <w:szCs w:val="22"/>
        </w:rPr>
        <w:t>), patients treated with dapagliflozin</w:t>
      </w:r>
      <w:r w:rsidR="006566C7" w:rsidRPr="006566C7">
        <w:rPr>
          <w:szCs w:val="22"/>
        </w:rPr>
        <w:t xml:space="preserve"> m</w:t>
      </w:r>
      <w:r w:rsidR="000C72AB" w:rsidRPr="006566C7">
        <w:rPr>
          <w:szCs w:val="22"/>
        </w:rPr>
        <w:t xml:space="preserve">ay get </w:t>
      </w:r>
      <w:r w:rsidRPr="006566C7">
        <w:rPr>
          <w:szCs w:val="22"/>
        </w:rPr>
        <w:t xml:space="preserve">approximately a 0.11% smaller reduction in HbA1c over 24-30 weeks. </w:t>
      </w:r>
      <w:r w:rsidR="000C72AB" w:rsidRPr="006566C7">
        <w:rPr>
          <w:szCs w:val="22"/>
        </w:rPr>
        <w:t xml:space="preserve">No long-term outcome data were provided. </w:t>
      </w:r>
    </w:p>
    <w:p w:rsidR="006566C7" w:rsidRDefault="006566C7" w:rsidP="006566C7">
      <w:pPr>
        <w:pStyle w:val="ListParagraph"/>
        <w:widowControl/>
        <w:rPr>
          <w:szCs w:val="22"/>
        </w:rPr>
      </w:pPr>
    </w:p>
    <w:p w:rsidR="00FC1884" w:rsidRPr="006566C7" w:rsidRDefault="00096EDB" w:rsidP="006566C7">
      <w:pPr>
        <w:pStyle w:val="ListParagraph"/>
        <w:widowControl/>
        <w:numPr>
          <w:ilvl w:val="1"/>
          <w:numId w:val="12"/>
        </w:numPr>
        <w:rPr>
          <w:szCs w:val="22"/>
        </w:rPr>
      </w:pPr>
      <w:r w:rsidRPr="002857E9">
        <w:t>On the basis of the indirect comparison</w:t>
      </w:r>
      <w:r w:rsidR="00EC00C9" w:rsidRPr="002857E9">
        <w:t xml:space="preserve">, for every 100 patients treated with </w:t>
      </w:r>
      <w:r w:rsidRPr="002857E9">
        <w:t>dapagliflozin</w:t>
      </w:r>
      <w:r w:rsidR="00EC00C9" w:rsidRPr="002857E9">
        <w:t xml:space="preserve"> </w:t>
      </w:r>
      <w:r w:rsidRPr="002857E9">
        <w:t xml:space="preserve">+ stable insulin </w:t>
      </w:r>
      <w:r w:rsidR="00EC00C9" w:rsidRPr="002857E9">
        <w:t xml:space="preserve">in comparison to </w:t>
      </w:r>
      <w:r w:rsidRPr="002857E9">
        <w:t>exenatide + optimised insulin</w:t>
      </w:r>
      <w:r w:rsidR="006566C7">
        <w:t>, a</w:t>
      </w:r>
      <w:r w:rsidR="00FC1884" w:rsidRPr="002857E9">
        <w:t xml:space="preserve">pproximately </w:t>
      </w:r>
      <w:r w:rsidRPr="002857E9">
        <w:t>5</w:t>
      </w:r>
      <w:r w:rsidR="00FC1884" w:rsidRPr="002857E9">
        <w:t xml:space="preserve"> additional patients would have </w:t>
      </w:r>
      <w:r w:rsidRPr="002857E9">
        <w:t>a genital infection</w:t>
      </w:r>
      <w:r w:rsidR="00FC1884" w:rsidRPr="002857E9">
        <w:t xml:space="preserve"> </w:t>
      </w:r>
      <w:r w:rsidR="005D3D1A">
        <w:t>during</w:t>
      </w:r>
      <w:r w:rsidR="00FC1884" w:rsidRPr="002857E9">
        <w:t xml:space="preserve"> </w:t>
      </w:r>
      <w:r w:rsidRPr="002857E9">
        <w:t>24-30</w:t>
      </w:r>
      <w:r w:rsidR="00FC1884" w:rsidRPr="002857E9">
        <w:t xml:space="preserve"> </w:t>
      </w:r>
      <w:r w:rsidRPr="002857E9">
        <w:t>weeks.</w:t>
      </w:r>
    </w:p>
    <w:p w:rsidR="001C6DC8" w:rsidRPr="002857E9" w:rsidRDefault="001C6DC8" w:rsidP="00FC1884"/>
    <w:p w:rsidR="00B60939" w:rsidRPr="00116159" w:rsidRDefault="00B60939" w:rsidP="00116159">
      <w:pPr>
        <w:pStyle w:val="BodyText"/>
        <w:rPr>
          <w:b/>
        </w:rPr>
      </w:pPr>
      <w:bookmarkStart w:id="11" w:name="_Toc398280633"/>
      <w:r w:rsidRPr="00116159">
        <w:rPr>
          <w:b/>
        </w:rPr>
        <w:t>Clinical claim</w:t>
      </w:r>
      <w:bookmarkEnd w:id="11"/>
    </w:p>
    <w:p w:rsidR="005C50F1" w:rsidRPr="002857E9" w:rsidRDefault="005C50F1" w:rsidP="005C50F1"/>
    <w:p w:rsidR="00DD0985" w:rsidRPr="002857E9" w:rsidRDefault="00DD0985" w:rsidP="00DD0985">
      <w:pPr>
        <w:pStyle w:val="ListParagraph"/>
        <w:widowControl/>
        <w:numPr>
          <w:ilvl w:val="1"/>
          <w:numId w:val="12"/>
        </w:numPr>
        <w:rPr>
          <w:szCs w:val="22"/>
        </w:rPr>
      </w:pPr>
      <w:r w:rsidRPr="002857E9">
        <w:t>The submission describes dapagliflozin in combination with insulin as non-inferior in terms of comparative effectiveness compared with exenatide, equivalent to 37.5 units of insulin and different but no worse than exenatide or insulin in terms of comparative safety. Th</w:t>
      </w:r>
      <w:r w:rsidR="00564278">
        <w:t xml:space="preserve">e ESC considered </w:t>
      </w:r>
      <w:r w:rsidR="00A06963">
        <w:t xml:space="preserve">that </w:t>
      </w:r>
      <w:r w:rsidR="00564278">
        <w:t>th</w:t>
      </w:r>
      <w:r w:rsidRPr="002857E9">
        <w:t>is claim is not adequately supported in terms of comparative effectiveness with exenatide and up-titration of insulin, but may be justified in terms of comparative safety.</w:t>
      </w:r>
      <w:r w:rsidR="00BA685A">
        <w:t xml:space="preserve"> </w:t>
      </w:r>
      <w:r w:rsidR="00F44F2D">
        <w:t>The PBAC considered that the overall claim of non-inferiority may be justified in this case</w:t>
      </w:r>
      <w:r w:rsidR="003306F5">
        <w:t xml:space="preserve"> (see below for further consideration)</w:t>
      </w:r>
      <w:r w:rsidR="00F44F2D">
        <w:t>.</w:t>
      </w:r>
    </w:p>
    <w:p w:rsidR="00DD0985" w:rsidRDefault="00DD0985" w:rsidP="00DD0985">
      <w:pPr>
        <w:pStyle w:val="ListParagraph"/>
        <w:widowControl/>
        <w:rPr>
          <w:szCs w:val="22"/>
        </w:rPr>
      </w:pPr>
    </w:p>
    <w:p w:rsidR="00DD0985" w:rsidRPr="002857E9" w:rsidRDefault="00DD0985" w:rsidP="00DD0985">
      <w:pPr>
        <w:pStyle w:val="ListParagraph"/>
        <w:widowControl/>
        <w:numPr>
          <w:ilvl w:val="1"/>
          <w:numId w:val="12"/>
        </w:numPr>
        <w:rPr>
          <w:szCs w:val="22"/>
        </w:rPr>
      </w:pPr>
      <w:r w:rsidRPr="002857E9">
        <w:t xml:space="preserve">The equivalence of dapagliflozin to a known dose of insulin up-titration is based on a multi-step informal indirect analysis. The </w:t>
      </w:r>
      <w:r w:rsidR="006D07FE" w:rsidRPr="002857E9">
        <w:t>resubmission</w:t>
      </w:r>
      <w:r w:rsidRPr="002857E9">
        <w:t xml:space="preserve"> acknowledges that lack of exchangeability between trials means a formal indirect comparison between dapagliflozin and insulin up-titration is not appropriate. Therefore, in the final step of </w:t>
      </w:r>
      <w:r w:rsidRPr="002857E9">
        <w:lastRenderedPageBreak/>
        <w:t>the multi-step informal indirect analysis insulin up-titration avoided by patients treated with exenatide is assumed to be applicable to dapagliflozin.</w:t>
      </w:r>
    </w:p>
    <w:p w:rsidR="00DD0985" w:rsidRPr="002857E9" w:rsidRDefault="00DD0985" w:rsidP="00DD0985">
      <w:pPr>
        <w:pStyle w:val="ListParagraph"/>
        <w:widowControl/>
        <w:rPr>
          <w:szCs w:val="22"/>
        </w:rPr>
      </w:pPr>
    </w:p>
    <w:p w:rsidR="00DD0985" w:rsidRPr="002857E9" w:rsidRDefault="00DD0985" w:rsidP="00DD0985">
      <w:pPr>
        <w:pStyle w:val="ListParagraph"/>
        <w:widowControl/>
        <w:numPr>
          <w:ilvl w:val="1"/>
          <w:numId w:val="12"/>
        </w:numPr>
        <w:rPr>
          <w:szCs w:val="22"/>
        </w:rPr>
      </w:pPr>
      <w:r w:rsidRPr="002857E9">
        <w:t>The claim of non-inferiority with exenatide is based on an indirect comparison of dapagliflozin versus exenatide (BD) using trials that are not comparable in terms of baseline insulin used, insulin used during the treatment phase, insulin titration protocols used during the treatment phase and management of hyperglycaemia.</w:t>
      </w:r>
    </w:p>
    <w:p w:rsidR="00DD0985" w:rsidRPr="002857E9" w:rsidRDefault="00DD0985" w:rsidP="00DD0985">
      <w:pPr>
        <w:pStyle w:val="ListParagraph"/>
        <w:widowControl/>
        <w:rPr>
          <w:szCs w:val="22"/>
        </w:rPr>
      </w:pPr>
    </w:p>
    <w:p w:rsidR="00DD0985" w:rsidRPr="002857E9" w:rsidRDefault="00DD0985" w:rsidP="00DD0985">
      <w:pPr>
        <w:pStyle w:val="ListParagraph"/>
        <w:widowControl/>
        <w:numPr>
          <w:ilvl w:val="1"/>
          <w:numId w:val="12"/>
        </w:numPr>
        <w:rPr>
          <w:szCs w:val="22"/>
        </w:rPr>
      </w:pPr>
      <w:r w:rsidRPr="002857E9">
        <w:t xml:space="preserve">The non-inferiority of dapagliflozin versus exenatide (in combination with insulin) is </w:t>
      </w:r>
      <w:proofErr w:type="gramStart"/>
      <w:r w:rsidRPr="002857E9">
        <w:t>borderline</w:t>
      </w:r>
      <w:proofErr w:type="gramEnd"/>
      <w:r w:rsidRPr="002857E9">
        <w:t xml:space="preserve"> in the indirect analysis comparing the CT-006 LOCF results with the GWCO MMRM results (upper confidence interval of 0.39% versus a non-inferiority margin of 0.40%).  Using the MMRM analyses for </w:t>
      </w:r>
      <w:proofErr w:type="gramStart"/>
      <w:r w:rsidRPr="002857E9">
        <w:t>both dapagliflozin</w:t>
      </w:r>
      <w:proofErr w:type="gramEnd"/>
      <w:r w:rsidRPr="002857E9">
        <w:t xml:space="preserve"> and exenatide, dapagliflozin fails to satisfy the non-inferiority margin of 0.40%.</w:t>
      </w:r>
    </w:p>
    <w:p w:rsidR="00DD0985" w:rsidRDefault="00DD0985" w:rsidP="00DD0985">
      <w:pPr>
        <w:ind w:left="709"/>
        <w:rPr>
          <w:szCs w:val="22"/>
        </w:rPr>
      </w:pPr>
    </w:p>
    <w:p w:rsidR="00BA685A" w:rsidRPr="00AA10C6" w:rsidRDefault="00BB0B6F" w:rsidP="00DD0985">
      <w:pPr>
        <w:pStyle w:val="ListParagraph"/>
        <w:widowControl/>
        <w:numPr>
          <w:ilvl w:val="1"/>
          <w:numId w:val="12"/>
        </w:numPr>
        <w:ind w:left="709"/>
        <w:rPr>
          <w:szCs w:val="22"/>
        </w:rPr>
      </w:pPr>
      <w:r w:rsidRPr="003306F5">
        <w:rPr>
          <w:szCs w:val="22"/>
        </w:rPr>
        <w:t xml:space="preserve">The PSCR (p2) claims the </w:t>
      </w:r>
      <w:r w:rsidR="007B1F35" w:rsidRPr="003306F5">
        <w:rPr>
          <w:szCs w:val="22"/>
        </w:rPr>
        <w:t xml:space="preserve">different </w:t>
      </w:r>
      <w:r w:rsidRPr="003306F5">
        <w:rPr>
          <w:szCs w:val="22"/>
        </w:rPr>
        <w:t>method</w:t>
      </w:r>
      <w:r w:rsidR="007B1F35" w:rsidRPr="003306F5">
        <w:rPr>
          <w:szCs w:val="22"/>
        </w:rPr>
        <w:t>s</w:t>
      </w:r>
      <w:r w:rsidRPr="003306F5">
        <w:rPr>
          <w:szCs w:val="22"/>
        </w:rPr>
        <w:t xml:space="preserve"> of imputation </w:t>
      </w:r>
      <w:r w:rsidR="007B1F35" w:rsidRPr="003306F5">
        <w:rPr>
          <w:szCs w:val="22"/>
        </w:rPr>
        <w:t>result in similar conclusions</w:t>
      </w:r>
      <w:r w:rsidRPr="003306F5">
        <w:rPr>
          <w:szCs w:val="22"/>
        </w:rPr>
        <w:t xml:space="preserve">, but </w:t>
      </w:r>
      <w:r w:rsidR="007B1F35" w:rsidRPr="003306F5">
        <w:rPr>
          <w:szCs w:val="22"/>
        </w:rPr>
        <w:t xml:space="preserve">does acknowledge that the result of non-inferiority is sensitive to the </w:t>
      </w:r>
      <w:r w:rsidR="00915BC2" w:rsidRPr="003306F5">
        <w:rPr>
          <w:szCs w:val="22"/>
        </w:rPr>
        <w:t>method.</w:t>
      </w:r>
      <w:r w:rsidRPr="003306F5">
        <w:rPr>
          <w:szCs w:val="22"/>
        </w:rPr>
        <w:t xml:space="preserve"> </w:t>
      </w:r>
      <w:r w:rsidR="00477AC6" w:rsidRPr="003306F5">
        <w:rPr>
          <w:szCs w:val="22"/>
        </w:rPr>
        <w:t xml:space="preserve"> Depending upon the pattern of missing data, LOCF correction can inflate Type 1 error rates and introduce bias in treatment effect estimates relative to the MMRM</w:t>
      </w:r>
      <w:r w:rsidR="00962C00" w:rsidRPr="003306F5">
        <w:rPr>
          <w:szCs w:val="22"/>
        </w:rPr>
        <w:t xml:space="preserve"> </w:t>
      </w:r>
      <w:r w:rsidR="00477AC6" w:rsidRPr="003306F5">
        <w:rPr>
          <w:szCs w:val="22"/>
        </w:rPr>
        <w:t xml:space="preserve">model approach, particularly where data is missing not at random (MNAR). Whilst LOCF performance may be comparable </w:t>
      </w:r>
      <w:r w:rsidR="00A71BEA" w:rsidRPr="003306F5">
        <w:rPr>
          <w:szCs w:val="22"/>
        </w:rPr>
        <w:t xml:space="preserve">to MMRM imputation where data is missing completely at random (MCAR) or missing at random (MAR) it is unlikely that the missing trial data in this instance follows a random pattern. More detail around how LOCF was assessed as the preferred approach over MMRM </w:t>
      </w:r>
      <w:r w:rsidR="00A71BEA" w:rsidRPr="002857E9">
        <w:t>would permit a more informed assessment of whether non-inferiority has actually been established at this particular stage of the indirect comparison.</w:t>
      </w:r>
      <w:r w:rsidR="00F44F2D">
        <w:t xml:space="preserve"> The PBAC acknowledged the </w:t>
      </w:r>
      <w:r w:rsidR="003306F5">
        <w:t xml:space="preserve">potential differences between the </w:t>
      </w:r>
      <w:r w:rsidR="00F44F2D">
        <w:t>methods of imputation</w:t>
      </w:r>
      <w:r w:rsidR="003306F5">
        <w:t xml:space="preserve">. The Committee </w:t>
      </w:r>
      <w:r w:rsidR="00F44F2D">
        <w:t>considered that in this case,</w:t>
      </w:r>
      <w:r w:rsidR="003306F5">
        <w:t xml:space="preserve"> on balance, </w:t>
      </w:r>
      <w:r w:rsidR="00F44F2D">
        <w:t xml:space="preserve">non-inferiority </w:t>
      </w:r>
      <w:r w:rsidR="003306F5">
        <w:t>might</w:t>
      </w:r>
      <w:r w:rsidR="00F44F2D">
        <w:t xml:space="preserve"> be </w:t>
      </w:r>
      <w:r w:rsidR="003306F5">
        <w:t>accepted</w:t>
      </w:r>
      <w:r w:rsidR="00F44F2D">
        <w:t>,</w:t>
      </w:r>
      <w:r w:rsidR="003306F5">
        <w:t xml:space="preserve"> given the difficulties of trying to create and interpret a </w:t>
      </w:r>
      <w:r w:rsidR="00F44F2D">
        <w:t>formal indirect comparison between dapagliflozin and up-titrated insulin</w:t>
      </w:r>
      <w:r w:rsidR="003306F5">
        <w:t xml:space="preserve"> co</w:t>
      </w:r>
      <w:r w:rsidR="00AA10C6">
        <w:t>m</w:t>
      </w:r>
      <w:r w:rsidR="003306F5">
        <w:t>pared to</w:t>
      </w:r>
      <w:r w:rsidR="00AA10C6">
        <w:t xml:space="preserve"> the use of insulin in practice</w:t>
      </w:r>
      <w:r w:rsidR="003306F5">
        <w:t>.</w:t>
      </w:r>
    </w:p>
    <w:p w:rsidR="00AA10C6" w:rsidRPr="00AA10C6" w:rsidRDefault="00AA10C6" w:rsidP="00AA10C6">
      <w:pPr>
        <w:widowControl/>
        <w:ind w:left="-11"/>
        <w:rPr>
          <w:szCs w:val="22"/>
        </w:rPr>
      </w:pPr>
    </w:p>
    <w:p w:rsidR="00B60939" w:rsidRPr="00116159" w:rsidRDefault="00B60939" w:rsidP="00116159">
      <w:pPr>
        <w:pStyle w:val="BodyText"/>
        <w:rPr>
          <w:b/>
        </w:rPr>
      </w:pPr>
      <w:bookmarkStart w:id="12" w:name="_Toc398280634"/>
      <w:r w:rsidRPr="00116159">
        <w:rPr>
          <w:b/>
        </w:rPr>
        <w:t>Economic analysis</w:t>
      </w:r>
      <w:bookmarkEnd w:id="12"/>
      <w:r w:rsidR="00491B3A" w:rsidRPr="00116159">
        <w:rPr>
          <w:b/>
        </w:rPr>
        <w:t xml:space="preserve"> </w:t>
      </w:r>
    </w:p>
    <w:p w:rsidR="0033780D" w:rsidRPr="00116159" w:rsidRDefault="0033780D" w:rsidP="00116159">
      <w:pPr>
        <w:pStyle w:val="BodyText"/>
        <w:rPr>
          <w:b/>
        </w:rPr>
      </w:pPr>
    </w:p>
    <w:p w:rsidR="0033780D" w:rsidRPr="002857E9" w:rsidRDefault="0033780D" w:rsidP="0033780D">
      <w:pPr>
        <w:pStyle w:val="ListParagraph"/>
        <w:widowControl/>
        <w:numPr>
          <w:ilvl w:val="1"/>
          <w:numId w:val="12"/>
        </w:numPr>
        <w:rPr>
          <w:szCs w:val="22"/>
        </w:rPr>
      </w:pPr>
      <w:r w:rsidRPr="002857E9">
        <w:t xml:space="preserve">The </w:t>
      </w:r>
      <w:r w:rsidR="006D07FE" w:rsidRPr="002857E9">
        <w:t>resubmission</w:t>
      </w:r>
      <w:r w:rsidRPr="002857E9">
        <w:t xml:space="preserve"> presents a cost-minimisation and a cost analysis.  The equi-effective doses are estimated as dapagliflozin 10mg once daily tablet and </w:t>
      </w:r>
      <w:proofErr w:type="gramStart"/>
      <w:r w:rsidRPr="002857E9">
        <w:t>exenatide (BD) 19.3</w:t>
      </w:r>
      <w:r w:rsidR="00FF7F39">
        <w:t xml:space="preserve"> </w:t>
      </w:r>
      <w:r w:rsidRPr="002857E9">
        <w:t>µg/day</w:t>
      </w:r>
      <w:proofErr w:type="gramEnd"/>
      <w:r w:rsidRPr="002857E9">
        <w:t xml:space="preserve"> by subcutaneous injection and insulin up-titration 37.5 units/day by subcutaneous injection (mixed insulin regimens). The </w:t>
      </w:r>
      <w:r w:rsidR="00962C00">
        <w:t xml:space="preserve">ESC advised that the </w:t>
      </w:r>
      <w:r w:rsidRPr="002857E9">
        <w:t xml:space="preserve">equi-effective doses are derived from a multi-step informal indirect comparison </w:t>
      </w:r>
      <w:r w:rsidR="00541001" w:rsidRPr="002857E9">
        <w:t xml:space="preserve">(dapagliflozin vs exenatide vs insulin up-titration) </w:t>
      </w:r>
      <w:r w:rsidRPr="002857E9">
        <w:t xml:space="preserve">using trials that are not comparable due to differences in baseline patient characteristics as well as insulin and oral diabetes treatment regimens, which may bias the calculation of the equi-effective doses in favour of dapagliflozin. Insulin doses in Trial GWDM are inappropriately derived from the difference in change from baseline insulin dose in the ITT population instead of the steady state doses reported at the trial end-point, as recommended in the PBAC Guidelines (v4.4, p.208). </w:t>
      </w:r>
    </w:p>
    <w:p w:rsidR="00541001" w:rsidRPr="002857E9" w:rsidRDefault="00541001" w:rsidP="00541001">
      <w:pPr>
        <w:pStyle w:val="ListParagraph"/>
        <w:widowControl/>
        <w:rPr>
          <w:szCs w:val="22"/>
        </w:rPr>
      </w:pPr>
    </w:p>
    <w:p w:rsidR="00A86E8B" w:rsidRPr="002857E9" w:rsidRDefault="0033780D" w:rsidP="00541001">
      <w:pPr>
        <w:pStyle w:val="ListParagraph"/>
        <w:widowControl/>
        <w:numPr>
          <w:ilvl w:val="1"/>
          <w:numId w:val="12"/>
        </w:numPr>
      </w:pPr>
      <w:r w:rsidRPr="002857E9">
        <w:t>The</w:t>
      </w:r>
      <w:r w:rsidR="00962C00">
        <w:t xml:space="preserve"> ESC further advised that the </w:t>
      </w:r>
      <w:r w:rsidRPr="002857E9">
        <w:t xml:space="preserve"> 1 Aug 2014 Therapeutic Relativity Sheet lists the equi-effective doses of exenatide and glargine in T2D as; (</w:t>
      </w:r>
      <w:proofErr w:type="spellStart"/>
      <w:r w:rsidRPr="002857E9">
        <w:t>i</w:t>
      </w:r>
      <w:proofErr w:type="spellEnd"/>
      <w:r w:rsidRPr="002857E9">
        <w:t xml:space="preserve">) exenatide 18.14µg daily equi-effective to 24.93units/day of glargine in triple therapy; and (ii) exenatide 18.7µg daily equi-effective to 27.30units/day of glargine in dual therapy. </w:t>
      </w:r>
      <w:r w:rsidR="005C50F1" w:rsidRPr="002857E9">
        <w:t xml:space="preserve">These doses </w:t>
      </w:r>
      <w:r w:rsidRPr="002857E9">
        <w:t xml:space="preserve">relativities </w:t>
      </w:r>
      <w:r w:rsidR="005C50F1" w:rsidRPr="002857E9">
        <w:t>suggest</w:t>
      </w:r>
      <w:r w:rsidRPr="002857E9">
        <w:t xml:space="preserve"> the equi-effective doses may be as follows; dapagliflozin 10mg </w:t>
      </w:r>
      <w:r w:rsidRPr="002857E9">
        <w:lastRenderedPageBreak/>
        <w:t>daily = exenatide 19.3µg daily = insulin glargine 26.5units/day (triple therapy) to 28.2units/day (dual therapy).</w:t>
      </w:r>
    </w:p>
    <w:p w:rsidR="00A86E8B" w:rsidRPr="002857E9" w:rsidRDefault="00A86E8B" w:rsidP="00A86E8B">
      <w:pPr>
        <w:widowControl/>
        <w:rPr>
          <w:szCs w:val="22"/>
        </w:rPr>
      </w:pPr>
    </w:p>
    <w:p w:rsidR="00055685" w:rsidRPr="002857E9" w:rsidRDefault="00541001" w:rsidP="005C50F1">
      <w:pPr>
        <w:pStyle w:val="ListParagraph"/>
        <w:widowControl/>
        <w:numPr>
          <w:ilvl w:val="1"/>
          <w:numId w:val="12"/>
        </w:numPr>
      </w:pPr>
      <w:r w:rsidRPr="002857E9">
        <w:t xml:space="preserve">The cost minimisation and </w:t>
      </w:r>
      <w:r w:rsidR="005C50F1" w:rsidRPr="002857E9">
        <w:t>cost analysis derive</w:t>
      </w:r>
      <w:r w:rsidRPr="002857E9">
        <w:t xml:space="preserve"> the requested price of dapagliflozin from the costs of insulin up-titration avoided;</w:t>
      </w:r>
    </w:p>
    <w:p w:rsidR="00055685" w:rsidRPr="002857E9" w:rsidRDefault="00055685" w:rsidP="00055685">
      <w:pPr>
        <w:pStyle w:val="ListParagraph"/>
      </w:pPr>
    </w:p>
    <w:p w:rsidR="00055685" w:rsidRPr="002857E9" w:rsidRDefault="00541001" w:rsidP="00055685">
      <w:pPr>
        <w:pStyle w:val="ListParagraph"/>
        <w:widowControl/>
        <w:numPr>
          <w:ilvl w:val="0"/>
          <w:numId w:val="35"/>
        </w:numPr>
      </w:pPr>
      <w:r w:rsidRPr="002857E9">
        <w:t>cost of long-acting (glargine), intermediate, fast-acting and intermediate and fast-acting insulin avoided;</w:t>
      </w:r>
    </w:p>
    <w:p w:rsidR="00055685" w:rsidRPr="002857E9" w:rsidRDefault="00541001" w:rsidP="00055685">
      <w:pPr>
        <w:pStyle w:val="ListParagraph"/>
        <w:widowControl/>
        <w:numPr>
          <w:ilvl w:val="0"/>
          <w:numId w:val="35"/>
        </w:numPr>
      </w:pPr>
      <w:r w:rsidRPr="002857E9">
        <w:t xml:space="preserve">cost of test strips, needles and diabetes educator visits associated with </w:t>
      </w:r>
      <w:r w:rsidR="00590AB0" w:rsidRPr="002857E9">
        <w:t xml:space="preserve">avoided </w:t>
      </w:r>
      <w:r w:rsidRPr="002857E9">
        <w:t xml:space="preserve">up-titration events; </w:t>
      </w:r>
    </w:p>
    <w:p w:rsidR="00055685" w:rsidRPr="002857E9" w:rsidRDefault="00541001" w:rsidP="00055685">
      <w:pPr>
        <w:pStyle w:val="ListParagraph"/>
        <w:widowControl/>
        <w:numPr>
          <w:ilvl w:val="0"/>
          <w:numId w:val="35"/>
        </w:numPr>
      </w:pPr>
      <w:r w:rsidRPr="002857E9">
        <w:t xml:space="preserve">cost of treating the differential in hypoglycaemia events avoided; </w:t>
      </w:r>
    </w:p>
    <w:p w:rsidR="00055685" w:rsidRPr="002857E9" w:rsidRDefault="00541001" w:rsidP="00055685">
      <w:pPr>
        <w:pStyle w:val="ListParagraph"/>
        <w:widowControl/>
        <w:numPr>
          <w:ilvl w:val="0"/>
          <w:numId w:val="35"/>
        </w:numPr>
      </w:pPr>
      <w:r w:rsidRPr="002857E9">
        <w:t xml:space="preserve">cost of reduced use of antihypertensive medicines; and </w:t>
      </w:r>
    </w:p>
    <w:p w:rsidR="005C50F1" w:rsidRPr="002857E9" w:rsidRDefault="00541001" w:rsidP="00055685">
      <w:pPr>
        <w:pStyle w:val="ListParagraph"/>
        <w:widowControl/>
        <w:numPr>
          <w:ilvl w:val="0"/>
          <w:numId w:val="35"/>
        </w:numPr>
      </w:pPr>
      <w:proofErr w:type="gramStart"/>
      <w:r w:rsidRPr="002857E9">
        <w:t>costs</w:t>
      </w:r>
      <w:proofErr w:type="gramEnd"/>
      <w:r w:rsidRPr="002857E9">
        <w:t xml:space="preserve"> of adverse event management. </w:t>
      </w:r>
    </w:p>
    <w:p w:rsidR="00055685" w:rsidRPr="002857E9" w:rsidRDefault="00055685" w:rsidP="00055685">
      <w:pPr>
        <w:pStyle w:val="ListParagraph"/>
      </w:pPr>
    </w:p>
    <w:p w:rsidR="00B73713" w:rsidRPr="002857E9" w:rsidRDefault="005C50F1" w:rsidP="00B73713">
      <w:pPr>
        <w:pStyle w:val="ListParagraph"/>
        <w:widowControl/>
        <w:numPr>
          <w:ilvl w:val="1"/>
          <w:numId w:val="12"/>
        </w:numPr>
      </w:pPr>
      <w:r w:rsidRPr="002857E9">
        <w:t xml:space="preserve">The cost of 37.5 units of each category of insulin is </w:t>
      </w:r>
      <w:r w:rsidR="00B73713" w:rsidRPr="002857E9">
        <w:t>calculated using</w:t>
      </w:r>
      <w:r w:rsidRPr="002857E9">
        <w:t xml:space="preserve"> the current PBS list prices (DPMQ)</w:t>
      </w:r>
      <w:r w:rsidR="00AC6C29" w:rsidRPr="002857E9">
        <w:t>. Costs are</w:t>
      </w:r>
      <w:r w:rsidRPr="002857E9">
        <w:t xml:space="preserve"> </w:t>
      </w:r>
      <w:r w:rsidR="00AC6C29" w:rsidRPr="002857E9">
        <w:t>weighted by</w:t>
      </w:r>
      <w:r w:rsidRPr="002857E9">
        <w:t xml:space="preserve"> the proportions of dispensed scripts for each category for all type 1 and type 2 diabetes patients (Medicare Australia PBS data). The </w:t>
      </w:r>
      <w:r w:rsidR="006D07FE" w:rsidRPr="002857E9">
        <w:t>resubmission</w:t>
      </w:r>
      <w:r w:rsidRPr="002857E9">
        <w:t xml:space="preserve"> notes that glargine is subject to a special price arrangement, and uses an estimated effective price in the </w:t>
      </w:r>
      <w:r w:rsidR="00B73713" w:rsidRPr="002857E9">
        <w:t>analysis.</w:t>
      </w:r>
    </w:p>
    <w:p w:rsidR="00B73713" w:rsidRPr="002857E9" w:rsidRDefault="00B73713" w:rsidP="00B73713">
      <w:pPr>
        <w:pStyle w:val="ListParagraph"/>
        <w:widowControl/>
      </w:pPr>
    </w:p>
    <w:p w:rsidR="00B73713" w:rsidRPr="002857E9" w:rsidRDefault="00AC6C29" w:rsidP="00B73713">
      <w:pPr>
        <w:pStyle w:val="ListParagraph"/>
        <w:widowControl/>
        <w:numPr>
          <w:ilvl w:val="1"/>
          <w:numId w:val="12"/>
        </w:numPr>
      </w:pPr>
      <w:r w:rsidRPr="002857E9">
        <w:t>Dapagliflozin is expected to substitute subcutaneous injection</w:t>
      </w:r>
      <w:r w:rsidR="00590AB0" w:rsidRPr="002857E9">
        <w:t>s</w:t>
      </w:r>
      <w:r w:rsidRPr="002857E9">
        <w:t xml:space="preserve"> of insulin and the related cost offsets included are based on those accepted by the PBAC in the </w:t>
      </w:r>
      <w:r w:rsidR="00B73713" w:rsidRPr="002857E9">
        <w:t xml:space="preserve">March 2010 exenatide </w:t>
      </w:r>
      <w:r w:rsidR="006D07FE" w:rsidRPr="002857E9">
        <w:t>resubmission</w:t>
      </w:r>
      <w:r w:rsidR="00B73713" w:rsidRPr="002857E9">
        <w:t xml:space="preserve"> for dual the</w:t>
      </w:r>
      <w:r w:rsidRPr="002857E9">
        <w:t>rapy in T2D.</w:t>
      </w:r>
      <w:r w:rsidR="00B73713" w:rsidRPr="002857E9">
        <w:t xml:space="preserve"> However, the PBAC rejected cost offsets for subcutaneous injected drug administration in the March 2013 liraglutide submission for dual and triple therapy, </w:t>
      </w:r>
      <w:r w:rsidR="00962C00">
        <w:t xml:space="preserve">and the ESC </w:t>
      </w:r>
      <w:r w:rsidR="00B73713" w:rsidRPr="002857E9">
        <w:t>suggest</w:t>
      </w:r>
      <w:r w:rsidR="00962C00">
        <w:t>ed</w:t>
      </w:r>
      <w:r w:rsidR="00B73713" w:rsidRPr="002857E9">
        <w:t xml:space="preserve"> these cost offsets should be adequately justified on a case by case basis.</w:t>
      </w:r>
    </w:p>
    <w:p w:rsidR="00B73713" w:rsidRPr="002857E9" w:rsidRDefault="00B73713" w:rsidP="00B73713">
      <w:pPr>
        <w:pStyle w:val="ListParagraph"/>
        <w:widowControl/>
      </w:pPr>
    </w:p>
    <w:p w:rsidR="00B73713" w:rsidRPr="002857E9" w:rsidRDefault="00AC6C29" w:rsidP="00B73713">
      <w:pPr>
        <w:pStyle w:val="ListParagraph"/>
        <w:widowControl/>
        <w:numPr>
          <w:ilvl w:val="1"/>
          <w:numId w:val="12"/>
        </w:numPr>
      </w:pPr>
      <w:r w:rsidRPr="002857E9">
        <w:t>W</w:t>
      </w:r>
      <w:r w:rsidR="00B73713" w:rsidRPr="002857E9">
        <w:t xml:space="preserve">hile the </w:t>
      </w:r>
      <w:r w:rsidRPr="002857E9">
        <w:t xml:space="preserve">offsets in the </w:t>
      </w:r>
      <w:r w:rsidR="00B73713" w:rsidRPr="002857E9">
        <w:t xml:space="preserve">March 2010 exenatide </w:t>
      </w:r>
      <w:r w:rsidR="006D07FE" w:rsidRPr="002857E9">
        <w:t>resubmission</w:t>
      </w:r>
      <w:r w:rsidR="00B73713" w:rsidRPr="002857E9">
        <w:t xml:space="preserve"> </w:t>
      </w:r>
      <w:r w:rsidRPr="002857E9">
        <w:t>were</w:t>
      </w:r>
      <w:r w:rsidR="00B73713" w:rsidRPr="002857E9">
        <w:t xml:space="preserve"> based on complete substitution of glargine, only a portion of glargine use is expected to be substituted by dapagliflozin in combination with insulin. </w:t>
      </w:r>
      <w:r w:rsidRPr="002857E9">
        <w:t>Therefore,</w:t>
      </w:r>
      <w:r w:rsidR="00B73713" w:rsidRPr="002857E9">
        <w:t xml:space="preserve"> </w:t>
      </w:r>
      <w:r w:rsidRPr="002857E9">
        <w:t xml:space="preserve">offsets related to </w:t>
      </w:r>
      <w:r w:rsidR="00B73713" w:rsidRPr="002857E9">
        <w:t>initiation of fast-acting/intermediate and fast-acting ins</w:t>
      </w:r>
      <w:r w:rsidRPr="002857E9">
        <w:t xml:space="preserve">ulin are assumed to be completely avoided while cost offsets related to long-acting and intermediate acting insulin </w:t>
      </w:r>
      <w:proofErr w:type="gramStart"/>
      <w:r w:rsidRPr="002857E9">
        <w:t>are</w:t>
      </w:r>
      <w:proofErr w:type="gramEnd"/>
      <w:r w:rsidRPr="002857E9">
        <w:t xml:space="preserve"> partially avoided</w:t>
      </w:r>
      <w:r w:rsidR="00B73713" w:rsidRPr="002857E9">
        <w:t>.</w:t>
      </w:r>
      <w:r w:rsidR="00590AB0" w:rsidRPr="002857E9">
        <w:t xml:space="preserve"> </w:t>
      </w:r>
    </w:p>
    <w:p w:rsidR="00B73713" w:rsidRPr="002857E9" w:rsidRDefault="00B73713" w:rsidP="00B73713">
      <w:pPr>
        <w:pStyle w:val="ListParagraph"/>
        <w:widowControl/>
      </w:pPr>
    </w:p>
    <w:p w:rsidR="00791E29" w:rsidRPr="002857E9" w:rsidRDefault="00590AB0" w:rsidP="00B73713">
      <w:pPr>
        <w:pStyle w:val="ListParagraph"/>
        <w:widowControl/>
        <w:numPr>
          <w:ilvl w:val="1"/>
          <w:numId w:val="12"/>
        </w:numPr>
      </w:pPr>
      <w:r w:rsidRPr="002857E9">
        <w:t xml:space="preserve">The </w:t>
      </w:r>
      <w:r w:rsidR="006D07FE" w:rsidRPr="002857E9">
        <w:t>resubmission</w:t>
      </w:r>
      <w:r w:rsidRPr="002857E9">
        <w:t xml:space="preserve"> assumes</w:t>
      </w:r>
      <w:r w:rsidR="00B73713" w:rsidRPr="002857E9">
        <w:t xml:space="preserve"> that the statistically significant difference in event rates reported for exenatide compared to up-titrated insulin in Trial GWDM (12.5%) are applicable to dapagliflozin, given the non-inferiority of dapagliflozin to exenatide in change in HbA1c from baseline in the indirect analysis.</w:t>
      </w:r>
    </w:p>
    <w:p w:rsidR="00055685" w:rsidRPr="002857E9" w:rsidRDefault="00055685" w:rsidP="00055685">
      <w:pPr>
        <w:pStyle w:val="ListParagraph"/>
      </w:pPr>
    </w:p>
    <w:p w:rsidR="00055685" w:rsidRPr="002857E9" w:rsidRDefault="00055685" w:rsidP="00055685">
      <w:pPr>
        <w:pStyle w:val="ListParagraph"/>
        <w:widowControl/>
        <w:numPr>
          <w:ilvl w:val="1"/>
          <w:numId w:val="12"/>
        </w:numPr>
        <w:rPr>
          <w:szCs w:val="22"/>
        </w:rPr>
      </w:pPr>
      <w:r w:rsidRPr="002857E9">
        <w:t xml:space="preserve">The ESC noted that </w:t>
      </w:r>
      <w:r w:rsidR="00197E5D" w:rsidRPr="002857E9">
        <w:t xml:space="preserve">in the </w:t>
      </w:r>
      <w:r w:rsidRPr="002857E9">
        <w:t>PBAC</w:t>
      </w:r>
      <w:r w:rsidR="00577561" w:rsidRPr="002857E9">
        <w:t>’s previous</w:t>
      </w:r>
      <w:r w:rsidRPr="002857E9">
        <w:t xml:space="preserve"> consideration </w:t>
      </w:r>
      <w:r w:rsidR="00197E5D" w:rsidRPr="002857E9">
        <w:t xml:space="preserve">on </w:t>
      </w:r>
      <w:r w:rsidRPr="002857E9">
        <w:t>needle cost</w:t>
      </w:r>
      <w:r w:rsidR="00577561" w:rsidRPr="002857E9">
        <w:t xml:space="preserve"> </w:t>
      </w:r>
      <w:r w:rsidR="00197E5D" w:rsidRPr="002857E9">
        <w:t>offset</w:t>
      </w:r>
      <w:r w:rsidRPr="002857E9">
        <w:t>s</w:t>
      </w:r>
      <w:r w:rsidR="00197E5D" w:rsidRPr="002857E9">
        <w:t xml:space="preserve"> associated with</w:t>
      </w:r>
      <w:r w:rsidRPr="002857E9">
        <w:rPr>
          <w:szCs w:val="22"/>
        </w:rPr>
        <w:t xml:space="preserve"> liraglutide</w:t>
      </w:r>
      <w:r w:rsidR="00197E5D" w:rsidRPr="002857E9">
        <w:rPr>
          <w:szCs w:val="22"/>
        </w:rPr>
        <w:t xml:space="preserve">, </w:t>
      </w:r>
      <w:r w:rsidRPr="002857E9">
        <w:rPr>
          <w:szCs w:val="22"/>
        </w:rPr>
        <w:t xml:space="preserve">at </w:t>
      </w:r>
      <w:r w:rsidR="00197E5D" w:rsidRPr="002857E9">
        <w:rPr>
          <w:szCs w:val="22"/>
        </w:rPr>
        <w:t>its</w:t>
      </w:r>
      <w:r w:rsidRPr="002857E9">
        <w:rPr>
          <w:szCs w:val="22"/>
        </w:rPr>
        <w:t xml:space="preserve"> March 2013 meeting, the PBAC did not accept the sponsor’s claim of cost offsets for one less needle per day compared with the comparator exenatide twice daily (Liraglutide Public Summary Document, March 2013). </w:t>
      </w:r>
      <w:r w:rsidR="00197E5D" w:rsidRPr="002857E9">
        <w:rPr>
          <w:szCs w:val="22"/>
        </w:rPr>
        <w:t xml:space="preserve">At its November 2013 meeting, whilst considering </w:t>
      </w:r>
      <w:r w:rsidRPr="002857E9">
        <w:rPr>
          <w:szCs w:val="22"/>
        </w:rPr>
        <w:t xml:space="preserve"> </w:t>
      </w:r>
      <w:r w:rsidR="00197E5D" w:rsidRPr="002857E9">
        <w:rPr>
          <w:szCs w:val="22"/>
        </w:rPr>
        <w:t xml:space="preserve">a submission for </w:t>
      </w:r>
      <w:r w:rsidRPr="002857E9">
        <w:rPr>
          <w:szCs w:val="22"/>
        </w:rPr>
        <w:t>exenatide once weekly</w:t>
      </w:r>
      <w:r w:rsidR="00197E5D" w:rsidRPr="002857E9">
        <w:rPr>
          <w:szCs w:val="22"/>
        </w:rPr>
        <w:t>, t</w:t>
      </w:r>
      <w:r w:rsidRPr="002857E9">
        <w:rPr>
          <w:szCs w:val="22"/>
        </w:rPr>
        <w:t>he PBAC recalled that cost-offsets for reduced needle use had not been accepted in its consideration of liraglutide, but that in the case of exenatide once weekly the required needles were provided with the product, compared to liraglutide still requiring some needles be provided through the National Diabetes Services Scheme (NDSS), and as such the savings were more likely to be realised, although not to the extent claimed.</w:t>
      </w:r>
      <w:r w:rsidRPr="002857E9">
        <w:t xml:space="preserve"> </w:t>
      </w:r>
      <w:r w:rsidRPr="002857E9">
        <w:rPr>
          <w:szCs w:val="22"/>
        </w:rPr>
        <w:t xml:space="preserve">Given that PBAC had not previously accepted the cost-offset claimed for differential needle use for liraglutide, and noting that the total </w:t>
      </w:r>
      <w:r w:rsidRPr="002857E9">
        <w:rPr>
          <w:szCs w:val="22"/>
        </w:rPr>
        <w:lastRenderedPageBreak/>
        <w:t xml:space="preserve">cost offset claimed in the case of exenatide (based on the assumption of 100% compliance with twice daily exenatide dosing and use of a new needle for each dose) was not substantiated by any data, the </w:t>
      </w:r>
      <w:r w:rsidR="00B81F22" w:rsidRPr="002857E9">
        <w:rPr>
          <w:szCs w:val="22"/>
        </w:rPr>
        <w:t>PBAC</w:t>
      </w:r>
      <w:r w:rsidRPr="002857E9">
        <w:rPr>
          <w:szCs w:val="22"/>
        </w:rPr>
        <w:t xml:space="preserve"> considered approximately 50% of that use would be a reasonable basis for a claimed offset.</w:t>
      </w:r>
    </w:p>
    <w:p w:rsidR="00055685" w:rsidRPr="002857E9" w:rsidRDefault="00055685" w:rsidP="00055685">
      <w:pPr>
        <w:widowControl/>
      </w:pPr>
    </w:p>
    <w:p w:rsidR="00055685" w:rsidRPr="002857E9" w:rsidRDefault="00055685" w:rsidP="00055685">
      <w:pPr>
        <w:pStyle w:val="ListParagraph"/>
        <w:widowControl/>
        <w:numPr>
          <w:ilvl w:val="1"/>
          <w:numId w:val="12"/>
        </w:numPr>
        <w:rPr>
          <w:szCs w:val="22"/>
        </w:rPr>
      </w:pPr>
      <w:r w:rsidRPr="002857E9">
        <w:rPr>
          <w:szCs w:val="22"/>
        </w:rPr>
        <w:t xml:space="preserve">The ESC considered that </w:t>
      </w:r>
      <w:r w:rsidR="00ED1CE3" w:rsidRPr="002857E9">
        <w:rPr>
          <w:szCs w:val="22"/>
        </w:rPr>
        <w:t>the</w:t>
      </w:r>
      <w:r w:rsidR="00915BC2" w:rsidRPr="002857E9">
        <w:rPr>
          <w:szCs w:val="22"/>
        </w:rPr>
        <w:t>re</w:t>
      </w:r>
      <w:r w:rsidR="00ED1CE3" w:rsidRPr="002857E9">
        <w:rPr>
          <w:szCs w:val="22"/>
        </w:rPr>
        <w:t xml:space="preserve"> would be no reduction in the number of </w:t>
      </w:r>
      <w:r w:rsidRPr="002857E9">
        <w:rPr>
          <w:szCs w:val="22"/>
        </w:rPr>
        <w:t xml:space="preserve">nurse educator visits </w:t>
      </w:r>
      <w:r w:rsidR="00ED1CE3" w:rsidRPr="002857E9">
        <w:rPr>
          <w:szCs w:val="22"/>
        </w:rPr>
        <w:t xml:space="preserve">as the content of these visits is not specific to titration and </w:t>
      </w:r>
      <w:r w:rsidR="002B7345" w:rsidRPr="002857E9">
        <w:rPr>
          <w:szCs w:val="22"/>
        </w:rPr>
        <w:t>additional visits would not be required simply to manage titration</w:t>
      </w:r>
      <w:r w:rsidR="00915BC2" w:rsidRPr="002857E9">
        <w:rPr>
          <w:szCs w:val="22"/>
        </w:rPr>
        <w:t>.</w:t>
      </w:r>
      <w:r w:rsidR="00962C00">
        <w:rPr>
          <w:szCs w:val="22"/>
        </w:rPr>
        <w:t xml:space="preserve"> The PBAC agreed with this advice.</w:t>
      </w:r>
    </w:p>
    <w:p w:rsidR="00791E29" w:rsidRPr="002857E9" w:rsidRDefault="00791E29" w:rsidP="00791E29">
      <w:pPr>
        <w:pStyle w:val="ListParagraph"/>
      </w:pPr>
    </w:p>
    <w:p w:rsidR="00B73713" w:rsidRPr="002857E9" w:rsidRDefault="001260C0" w:rsidP="00B73713">
      <w:pPr>
        <w:pStyle w:val="ListParagraph"/>
        <w:widowControl/>
        <w:numPr>
          <w:ilvl w:val="1"/>
          <w:numId w:val="12"/>
        </w:numPr>
      </w:pPr>
      <w:r>
        <w:t>The ESC advised that t</w:t>
      </w:r>
      <w:r w:rsidR="00791E29" w:rsidRPr="002857E9">
        <w:t xml:space="preserve">he estimated numbers of hypoglycaemia events are likely over-estimates as they are based on a meta-analysis including trial populations that may not be comparable to the Australian population (low body weight; high proportion of concomitant sulfonylurea use). </w:t>
      </w:r>
      <w:r w:rsidR="00590AB0" w:rsidRPr="002857E9">
        <w:t>The estimated cost of hypoglycaemia events is calculated separately for mild, moderate and severe events, assuming all severe events require hospitalisation, all moderate events are treated with intravenous glucagon, and mild events mak</w:t>
      </w:r>
      <w:r w:rsidR="00791E29" w:rsidRPr="002857E9">
        <w:t>e</w:t>
      </w:r>
      <w:r w:rsidR="00590AB0" w:rsidRPr="002857E9">
        <w:t xml:space="preserve"> up the remainder of all events. </w:t>
      </w:r>
      <w:r w:rsidR="00791E29" w:rsidRPr="002857E9">
        <w:t xml:space="preserve">These assumptions are likely to overestimate the cost offsets associated with dapagliflozin. </w:t>
      </w:r>
      <w:r w:rsidR="0046773F">
        <w:t xml:space="preserve">The PBAC agreed that the </w:t>
      </w:r>
      <w:r w:rsidR="001978D6">
        <w:t xml:space="preserve">reduced </w:t>
      </w:r>
      <w:r w:rsidR="0046773F">
        <w:t xml:space="preserve">offset attributed to dapagliflozin </w:t>
      </w:r>
      <w:r w:rsidR="001978D6">
        <w:t>in the pre-PBAC response</w:t>
      </w:r>
      <w:r w:rsidR="0046773F">
        <w:t xml:space="preserve"> was reasonable.</w:t>
      </w:r>
    </w:p>
    <w:p w:rsidR="00B73713" w:rsidRPr="002857E9" w:rsidRDefault="00B73713" w:rsidP="00B73713">
      <w:pPr>
        <w:pStyle w:val="ListParagraph"/>
        <w:widowControl/>
      </w:pPr>
    </w:p>
    <w:p w:rsidR="00B73713" w:rsidRPr="002857E9" w:rsidRDefault="00396F9F" w:rsidP="00B73713">
      <w:pPr>
        <w:pStyle w:val="ListParagraph"/>
        <w:widowControl/>
        <w:numPr>
          <w:ilvl w:val="1"/>
          <w:numId w:val="12"/>
        </w:numPr>
      </w:pPr>
      <w:r>
        <w:t>T</w:t>
      </w:r>
      <w:r w:rsidR="001260C0">
        <w:t xml:space="preserve">he ESC </w:t>
      </w:r>
      <w:r w:rsidR="0046773F">
        <w:t xml:space="preserve">also </w:t>
      </w:r>
      <w:r w:rsidR="001260C0">
        <w:t xml:space="preserve">advised that </w:t>
      </w:r>
      <w:r w:rsidR="00B73713" w:rsidRPr="002857E9">
        <w:t xml:space="preserve">reductions in systolic and diastolic blood pressure observed for dapagliflozin versus placebo (CT-006) and those observed for exenatide compared to up-titrated insulin (GWDM) and assumed to be applicable to dapagliflozin, are relied to support cost offsets for subsequent reductions in antihypertensive medicines. </w:t>
      </w:r>
      <w:r w:rsidR="003C4FEF" w:rsidRPr="002857E9">
        <w:t xml:space="preserve">The </w:t>
      </w:r>
      <w:r w:rsidR="00791E29" w:rsidRPr="002857E9">
        <w:t xml:space="preserve">assumed </w:t>
      </w:r>
      <w:r w:rsidR="003C4FEF" w:rsidRPr="002857E9">
        <w:t xml:space="preserve">50% reductions in antihypertensive medicine doses are based on a meta-analysis exploring the benefits of using lower dose combination antihypertensive regimens </w:t>
      </w:r>
      <w:r w:rsidR="00791E29" w:rsidRPr="002857E9">
        <w:t xml:space="preserve">that does </w:t>
      </w:r>
      <w:r w:rsidR="003C4FEF" w:rsidRPr="002857E9">
        <w:t>not support the proposed dose reductions.</w:t>
      </w:r>
      <w:r w:rsidR="001260C0">
        <w:t xml:space="preserve">  The PBAC noted that the sponsor had removed the claimed offset for antihypertensive medicines in its pre</w:t>
      </w:r>
      <w:r w:rsidR="001978D6">
        <w:t>-</w:t>
      </w:r>
      <w:r w:rsidR="001260C0">
        <w:t>PBAC response.</w:t>
      </w:r>
    </w:p>
    <w:p w:rsidR="00B73713" w:rsidRPr="002857E9" w:rsidRDefault="00B73713" w:rsidP="00B73713">
      <w:pPr>
        <w:widowControl/>
      </w:pPr>
    </w:p>
    <w:p w:rsidR="00B73713" w:rsidRPr="002857E9" w:rsidRDefault="00B73713" w:rsidP="00B73713">
      <w:pPr>
        <w:pStyle w:val="ListParagraph"/>
        <w:widowControl/>
        <w:numPr>
          <w:ilvl w:val="1"/>
          <w:numId w:val="12"/>
        </w:numPr>
      </w:pPr>
      <w:r w:rsidRPr="002857E9">
        <w:t xml:space="preserve">Cost of managing genital and urinary tract infections repeat the approach used to estimate these in the </w:t>
      </w:r>
      <w:r w:rsidR="00215166" w:rsidRPr="002857E9">
        <w:t>July</w:t>
      </w:r>
      <w:r w:rsidRPr="002857E9">
        <w:t xml:space="preserve"> 2013 </w:t>
      </w:r>
      <w:r w:rsidR="006D07FE" w:rsidRPr="002857E9">
        <w:t>resubmission</w:t>
      </w:r>
      <w:r w:rsidRPr="002857E9">
        <w:t xml:space="preserve"> for dapagliflozin in dual therapy (costs were estimated but not included in the economic analysis). The PBAC noted in consideration of that submission that the cost of monitoring events including additional visits to the doctor, treatment with antibiotics and antifungals, and mid-stream urine testing should be included.</w:t>
      </w:r>
    </w:p>
    <w:p w:rsidR="009A758B" w:rsidRPr="002857E9" w:rsidRDefault="009A758B" w:rsidP="009A758B">
      <w:pPr>
        <w:pStyle w:val="ListParagraph"/>
      </w:pPr>
    </w:p>
    <w:p w:rsidR="00107F2F" w:rsidRPr="002857E9" w:rsidRDefault="009A758B" w:rsidP="009A758B">
      <w:pPr>
        <w:pStyle w:val="ListParagraph"/>
        <w:widowControl/>
        <w:numPr>
          <w:ilvl w:val="1"/>
          <w:numId w:val="12"/>
        </w:numPr>
        <w:rPr>
          <w:szCs w:val="22"/>
        </w:rPr>
      </w:pPr>
      <w:r w:rsidRPr="002857E9">
        <w:rPr>
          <w:szCs w:val="22"/>
        </w:rPr>
        <w:t>The ESC considered that t</w:t>
      </w:r>
      <w:r w:rsidR="00107F2F" w:rsidRPr="002857E9">
        <w:rPr>
          <w:szCs w:val="22"/>
        </w:rPr>
        <w:t>he costs of infections associated with dapagliflozin were considered likely underestimates as treatment is complicated in these patients and would require at least one health care visit.</w:t>
      </w:r>
      <w:r w:rsidR="001260C0">
        <w:rPr>
          <w:szCs w:val="22"/>
        </w:rPr>
        <w:t xml:space="preserve">  The PBAC</w:t>
      </w:r>
      <w:r w:rsidR="0046773F">
        <w:rPr>
          <w:szCs w:val="22"/>
        </w:rPr>
        <w:t xml:space="preserve"> agreed that the cost-offset associated with this offset should be double that proposed by the submission.</w:t>
      </w:r>
      <w:r w:rsidR="001260C0">
        <w:rPr>
          <w:szCs w:val="22"/>
        </w:rPr>
        <w:t xml:space="preserve"> </w:t>
      </w:r>
    </w:p>
    <w:p w:rsidR="00107F2F" w:rsidRPr="002857E9" w:rsidRDefault="00107F2F" w:rsidP="008F3D87">
      <w:pPr>
        <w:widowControl/>
        <w:ind w:left="709"/>
        <w:rPr>
          <w:szCs w:val="22"/>
        </w:rPr>
      </w:pPr>
    </w:p>
    <w:p w:rsidR="00C25D9C" w:rsidRPr="00116159" w:rsidRDefault="008F3D87" w:rsidP="00116159">
      <w:pPr>
        <w:pStyle w:val="BodyText"/>
        <w:rPr>
          <w:b/>
        </w:rPr>
      </w:pPr>
      <w:bookmarkStart w:id="13" w:name="_Toc398280635"/>
      <w:r w:rsidRPr="00116159">
        <w:rPr>
          <w:b/>
        </w:rPr>
        <w:t>Drug cost/patient/year</w:t>
      </w:r>
      <w:r w:rsidR="00C25D9C" w:rsidRPr="00116159">
        <w:rPr>
          <w:b/>
        </w:rPr>
        <w:t>:</w:t>
      </w:r>
      <w:bookmarkEnd w:id="13"/>
    </w:p>
    <w:p w:rsidR="00C25D9C" w:rsidRPr="002857E9" w:rsidRDefault="00C25D9C" w:rsidP="00C25D9C">
      <w:pPr>
        <w:widowControl/>
        <w:rPr>
          <w:szCs w:val="22"/>
        </w:rPr>
      </w:pPr>
    </w:p>
    <w:p w:rsidR="00B60939" w:rsidRPr="002857E9" w:rsidRDefault="008F3D87" w:rsidP="001456B0">
      <w:pPr>
        <w:pStyle w:val="ListParagraph"/>
        <w:widowControl/>
        <w:numPr>
          <w:ilvl w:val="1"/>
          <w:numId w:val="12"/>
        </w:numPr>
        <w:snapToGrid w:val="0"/>
        <w:rPr>
          <w:szCs w:val="22"/>
        </w:rPr>
      </w:pPr>
      <w:r w:rsidRPr="002857E9">
        <w:rPr>
          <w:szCs w:val="22"/>
        </w:rPr>
        <w:t xml:space="preserve">The net cost of treating a patient with dapagliflozin per patient per year is </w:t>
      </w:r>
      <w:r w:rsidR="0046773F">
        <w:rPr>
          <w:szCs w:val="22"/>
        </w:rPr>
        <w:t xml:space="preserve">estimated by the submission to be </w:t>
      </w:r>
      <w:r w:rsidR="006A1008">
        <w:rPr>
          <w:noProof/>
          <w:color w:val="000000"/>
          <w:szCs w:val="22"/>
          <w:highlight w:val="black"/>
        </w:rPr>
        <w:t>'''''''''''''''''''''''</w:t>
      </w:r>
    </w:p>
    <w:p w:rsidR="008F3D87" w:rsidRPr="002857E9" w:rsidRDefault="008F3D87" w:rsidP="008F3D87">
      <w:pPr>
        <w:pStyle w:val="ListParagraph"/>
        <w:widowControl/>
        <w:snapToGrid w:val="0"/>
        <w:rPr>
          <w:szCs w:val="22"/>
        </w:rPr>
      </w:pPr>
    </w:p>
    <w:p w:rsidR="00B60939" w:rsidRPr="00116159" w:rsidRDefault="00B60939" w:rsidP="00116159">
      <w:pPr>
        <w:pStyle w:val="BodyText"/>
        <w:rPr>
          <w:b/>
        </w:rPr>
      </w:pPr>
      <w:bookmarkStart w:id="14" w:name="_Toc398280636"/>
      <w:r w:rsidRPr="00116159">
        <w:rPr>
          <w:b/>
        </w:rPr>
        <w:t>Estimated PBS usage &amp; financial implications</w:t>
      </w:r>
      <w:bookmarkEnd w:id="14"/>
    </w:p>
    <w:p w:rsidR="00B60939" w:rsidRPr="002857E9" w:rsidRDefault="00B60939" w:rsidP="00497F10"/>
    <w:p w:rsidR="00181CA6" w:rsidRPr="002857E9" w:rsidRDefault="00181CA6" w:rsidP="00181CA6">
      <w:pPr>
        <w:pStyle w:val="ListParagraph"/>
        <w:widowControl/>
        <w:numPr>
          <w:ilvl w:val="1"/>
          <w:numId w:val="12"/>
        </w:numPr>
        <w:snapToGrid w:val="0"/>
        <w:rPr>
          <w:bCs/>
          <w:szCs w:val="22"/>
        </w:rPr>
      </w:pPr>
      <w:r w:rsidRPr="002857E9">
        <w:rPr>
          <w:bCs/>
          <w:szCs w:val="22"/>
        </w:rPr>
        <w:lastRenderedPageBreak/>
        <w:t>Estimated extent of use and financial implications are discussed in the DUSC advice on this item.</w:t>
      </w:r>
    </w:p>
    <w:p w:rsidR="00536520" w:rsidRPr="002857E9" w:rsidRDefault="00536520" w:rsidP="00536520">
      <w:pPr>
        <w:pStyle w:val="ListParagraph"/>
        <w:widowControl/>
        <w:rPr>
          <w:szCs w:val="22"/>
        </w:rPr>
      </w:pPr>
    </w:p>
    <w:p w:rsidR="00D0474B" w:rsidRPr="00A940BD" w:rsidRDefault="00D0474B" w:rsidP="00A940BD">
      <w:pPr>
        <w:widowControl/>
        <w:ind w:firstLine="720"/>
        <w:rPr>
          <w:b/>
          <w:sz w:val="20"/>
        </w:rPr>
      </w:pPr>
      <w:r w:rsidRPr="00A940BD">
        <w:rPr>
          <w:b/>
          <w:sz w:val="20"/>
        </w:rPr>
        <w:t>Financial estimates for the re-submission compared with previous submission</w:t>
      </w:r>
    </w:p>
    <w:tbl>
      <w:tblPr>
        <w:tblW w:w="461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7"/>
        <w:gridCol w:w="1127"/>
        <w:gridCol w:w="1156"/>
        <w:gridCol w:w="1235"/>
        <w:gridCol w:w="1230"/>
        <w:gridCol w:w="1219"/>
      </w:tblGrid>
      <w:tr w:rsidR="00D0474B" w:rsidRPr="00A940BD" w:rsidTr="00A940BD">
        <w:trPr>
          <w:tblHeader/>
        </w:trPr>
        <w:tc>
          <w:tcPr>
            <w:tcW w:w="1440" w:type="pct"/>
            <w:shd w:val="clear" w:color="auto" w:fill="auto"/>
            <w:vAlign w:val="center"/>
          </w:tcPr>
          <w:p w:rsidR="00D0474B" w:rsidRPr="00A940BD" w:rsidRDefault="00D0474B" w:rsidP="00665271">
            <w:pPr>
              <w:widowControl/>
              <w:tabs>
                <w:tab w:val="left" w:pos="142"/>
              </w:tabs>
              <w:ind w:right="93"/>
              <w:jc w:val="left"/>
              <w:rPr>
                <w:rFonts w:ascii="Arial Narrow" w:hAnsi="Arial Narrow"/>
                <w:b/>
                <w:sz w:val="20"/>
              </w:rPr>
            </w:pPr>
          </w:p>
        </w:tc>
        <w:tc>
          <w:tcPr>
            <w:tcW w:w="676" w:type="pct"/>
            <w:shd w:val="clear" w:color="auto" w:fill="auto"/>
            <w:vAlign w:val="center"/>
          </w:tcPr>
          <w:p w:rsidR="00D0474B" w:rsidRPr="00A940BD" w:rsidRDefault="00D0474B" w:rsidP="00665271">
            <w:pPr>
              <w:widowControl/>
              <w:ind w:right="93"/>
              <w:jc w:val="center"/>
              <w:rPr>
                <w:rFonts w:ascii="Arial Narrow" w:hAnsi="Arial Narrow"/>
                <w:b/>
                <w:sz w:val="20"/>
              </w:rPr>
            </w:pPr>
            <w:r w:rsidRPr="00A940BD">
              <w:rPr>
                <w:rFonts w:ascii="Arial Narrow" w:hAnsi="Arial Narrow"/>
                <w:b/>
                <w:sz w:val="20"/>
              </w:rPr>
              <w:t>Year 1</w:t>
            </w:r>
          </w:p>
        </w:tc>
        <w:tc>
          <w:tcPr>
            <w:tcW w:w="677" w:type="pct"/>
            <w:shd w:val="clear" w:color="auto" w:fill="auto"/>
            <w:vAlign w:val="center"/>
          </w:tcPr>
          <w:p w:rsidR="00D0474B" w:rsidRPr="00A940BD" w:rsidRDefault="00D0474B" w:rsidP="00665271">
            <w:pPr>
              <w:widowControl/>
              <w:ind w:right="93"/>
              <w:jc w:val="center"/>
              <w:rPr>
                <w:rFonts w:ascii="Arial Narrow" w:hAnsi="Arial Narrow"/>
                <w:b/>
                <w:sz w:val="20"/>
              </w:rPr>
            </w:pPr>
            <w:r w:rsidRPr="00A940BD">
              <w:rPr>
                <w:rFonts w:ascii="Arial Narrow" w:hAnsi="Arial Narrow"/>
                <w:b/>
                <w:sz w:val="20"/>
              </w:rPr>
              <w:t>Year 2</w:t>
            </w:r>
          </w:p>
        </w:tc>
        <w:tc>
          <w:tcPr>
            <w:tcW w:w="740" w:type="pct"/>
            <w:shd w:val="clear" w:color="auto" w:fill="auto"/>
            <w:vAlign w:val="center"/>
          </w:tcPr>
          <w:p w:rsidR="00D0474B" w:rsidRPr="00A940BD" w:rsidRDefault="00D0474B" w:rsidP="00665271">
            <w:pPr>
              <w:widowControl/>
              <w:ind w:right="93"/>
              <w:jc w:val="center"/>
              <w:rPr>
                <w:rFonts w:ascii="Arial Narrow" w:hAnsi="Arial Narrow"/>
                <w:b/>
                <w:sz w:val="20"/>
              </w:rPr>
            </w:pPr>
            <w:r w:rsidRPr="00A940BD">
              <w:rPr>
                <w:rFonts w:ascii="Arial Narrow" w:hAnsi="Arial Narrow"/>
                <w:b/>
                <w:sz w:val="20"/>
              </w:rPr>
              <w:t>Year 3</w:t>
            </w:r>
          </w:p>
        </w:tc>
        <w:tc>
          <w:tcPr>
            <w:tcW w:w="737" w:type="pct"/>
            <w:shd w:val="clear" w:color="auto" w:fill="auto"/>
            <w:vAlign w:val="center"/>
          </w:tcPr>
          <w:p w:rsidR="00D0474B" w:rsidRPr="00A940BD" w:rsidRDefault="00D0474B" w:rsidP="00665271">
            <w:pPr>
              <w:widowControl/>
              <w:ind w:right="93"/>
              <w:jc w:val="center"/>
              <w:rPr>
                <w:rFonts w:ascii="Arial Narrow" w:hAnsi="Arial Narrow"/>
                <w:b/>
                <w:sz w:val="20"/>
              </w:rPr>
            </w:pPr>
            <w:r w:rsidRPr="00A940BD">
              <w:rPr>
                <w:rFonts w:ascii="Arial Narrow" w:hAnsi="Arial Narrow"/>
                <w:b/>
                <w:sz w:val="20"/>
              </w:rPr>
              <w:t>Year 4</w:t>
            </w:r>
          </w:p>
        </w:tc>
        <w:tc>
          <w:tcPr>
            <w:tcW w:w="730" w:type="pct"/>
            <w:shd w:val="clear" w:color="auto" w:fill="auto"/>
            <w:vAlign w:val="center"/>
          </w:tcPr>
          <w:p w:rsidR="00D0474B" w:rsidRPr="00A940BD" w:rsidRDefault="00D0474B" w:rsidP="00665271">
            <w:pPr>
              <w:widowControl/>
              <w:ind w:right="93"/>
              <w:jc w:val="center"/>
              <w:rPr>
                <w:rFonts w:ascii="Arial Narrow" w:hAnsi="Arial Narrow"/>
                <w:b/>
                <w:sz w:val="20"/>
              </w:rPr>
            </w:pPr>
            <w:r w:rsidRPr="00A940BD">
              <w:rPr>
                <w:rFonts w:ascii="Arial Narrow" w:hAnsi="Arial Narrow"/>
                <w:b/>
                <w:sz w:val="20"/>
              </w:rPr>
              <w:t>Year 5</w:t>
            </w:r>
          </w:p>
        </w:tc>
      </w:tr>
      <w:tr w:rsidR="00D0474B" w:rsidRPr="00A940BD" w:rsidTr="00A940BD">
        <w:tc>
          <w:tcPr>
            <w:tcW w:w="5000" w:type="pct"/>
            <w:gridSpan w:val="6"/>
            <w:shd w:val="clear" w:color="auto" w:fill="auto"/>
            <w:vAlign w:val="center"/>
          </w:tcPr>
          <w:p w:rsidR="00D0474B" w:rsidRPr="00A940BD" w:rsidRDefault="00D0474B" w:rsidP="00665271">
            <w:pPr>
              <w:widowControl/>
              <w:ind w:right="93"/>
              <w:jc w:val="left"/>
              <w:rPr>
                <w:rFonts w:ascii="Arial Narrow" w:hAnsi="Arial Narrow"/>
                <w:b/>
                <w:bCs/>
                <w:color w:val="000000"/>
                <w:sz w:val="20"/>
              </w:rPr>
            </w:pPr>
            <w:r w:rsidRPr="00A940BD">
              <w:rPr>
                <w:rFonts w:ascii="Arial Narrow" w:hAnsi="Arial Narrow"/>
                <w:b/>
                <w:bCs/>
                <w:color w:val="000000"/>
                <w:sz w:val="20"/>
              </w:rPr>
              <w:t>Estimated extent of use</w:t>
            </w:r>
          </w:p>
        </w:tc>
      </w:tr>
      <w:tr w:rsidR="00D0474B" w:rsidRPr="00A940BD" w:rsidTr="00A940BD">
        <w:tc>
          <w:tcPr>
            <w:tcW w:w="1440" w:type="pct"/>
            <w:shd w:val="clear" w:color="auto" w:fill="auto"/>
            <w:vAlign w:val="center"/>
          </w:tcPr>
          <w:p w:rsidR="00D0474B" w:rsidRPr="00A940BD" w:rsidRDefault="00D0474B" w:rsidP="00665271">
            <w:pPr>
              <w:widowControl/>
              <w:tabs>
                <w:tab w:val="left" w:pos="142"/>
              </w:tabs>
              <w:ind w:right="93"/>
              <w:jc w:val="left"/>
              <w:rPr>
                <w:rFonts w:ascii="Arial Narrow" w:hAnsi="Arial Narrow"/>
                <w:sz w:val="20"/>
              </w:rPr>
            </w:pPr>
            <w:r w:rsidRPr="00A940BD">
              <w:rPr>
                <w:rFonts w:ascii="Arial Narrow" w:hAnsi="Arial Narrow"/>
                <w:sz w:val="20"/>
              </w:rPr>
              <w:t>Number treated</w:t>
            </w:r>
          </w:p>
        </w:tc>
        <w:tc>
          <w:tcPr>
            <w:tcW w:w="676" w:type="pct"/>
            <w:shd w:val="clear" w:color="auto" w:fill="auto"/>
            <w:vAlign w:val="center"/>
          </w:tcPr>
          <w:p w:rsidR="00D0474B" w:rsidRPr="006A1008" w:rsidRDefault="006A1008" w:rsidP="00665271">
            <w:pPr>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77" w:type="pct"/>
            <w:shd w:val="clear" w:color="auto" w:fill="auto"/>
            <w:vAlign w:val="center"/>
          </w:tcPr>
          <w:p w:rsidR="00D0474B" w:rsidRPr="006A1008" w:rsidRDefault="006A1008" w:rsidP="00665271">
            <w:pPr>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740" w:type="pct"/>
            <w:shd w:val="clear" w:color="auto" w:fill="auto"/>
            <w:vAlign w:val="center"/>
          </w:tcPr>
          <w:p w:rsidR="00D0474B" w:rsidRPr="006A1008" w:rsidRDefault="006A1008" w:rsidP="00665271">
            <w:pPr>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737" w:type="pct"/>
            <w:shd w:val="clear" w:color="auto" w:fill="auto"/>
            <w:vAlign w:val="center"/>
          </w:tcPr>
          <w:p w:rsidR="00D0474B" w:rsidRPr="006A1008" w:rsidRDefault="006A1008" w:rsidP="00665271">
            <w:pPr>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730" w:type="pct"/>
            <w:shd w:val="clear" w:color="auto" w:fill="auto"/>
            <w:vAlign w:val="center"/>
          </w:tcPr>
          <w:p w:rsidR="00D0474B" w:rsidRPr="006A1008" w:rsidRDefault="006A1008" w:rsidP="00665271">
            <w:pPr>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r>
      <w:tr w:rsidR="00A940BD" w:rsidRPr="00A940BD" w:rsidTr="00A940BD">
        <w:tc>
          <w:tcPr>
            <w:tcW w:w="1440" w:type="pct"/>
            <w:shd w:val="clear" w:color="auto" w:fill="auto"/>
            <w:vAlign w:val="center"/>
          </w:tcPr>
          <w:p w:rsidR="00D0474B" w:rsidRPr="00A940BD" w:rsidRDefault="00D0474B" w:rsidP="00665271">
            <w:pPr>
              <w:widowControl/>
              <w:tabs>
                <w:tab w:val="left" w:pos="142"/>
              </w:tabs>
              <w:ind w:right="93"/>
              <w:jc w:val="left"/>
              <w:rPr>
                <w:rFonts w:ascii="Arial Narrow" w:hAnsi="Arial Narrow"/>
                <w:sz w:val="20"/>
              </w:rPr>
            </w:pPr>
            <w:r w:rsidRPr="00A940BD">
              <w:rPr>
                <w:rFonts w:ascii="Arial Narrow" w:hAnsi="Arial Narrow"/>
                <w:sz w:val="20"/>
              </w:rPr>
              <w:t>Number treated - March 2012</w:t>
            </w:r>
          </w:p>
        </w:tc>
        <w:tc>
          <w:tcPr>
            <w:tcW w:w="676"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77"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740"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737"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730"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r>
      <w:tr w:rsidR="00A940BD" w:rsidRPr="00A940BD" w:rsidTr="00A940BD">
        <w:tc>
          <w:tcPr>
            <w:tcW w:w="1440" w:type="pct"/>
            <w:shd w:val="clear" w:color="auto" w:fill="auto"/>
            <w:vAlign w:val="center"/>
          </w:tcPr>
          <w:p w:rsidR="00D0474B" w:rsidRPr="00A940BD" w:rsidRDefault="00D0474B" w:rsidP="00665271">
            <w:pPr>
              <w:widowControl/>
              <w:tabs>
                <w:tab w:val="left" w:pos="142"/>
              </w:tabs>
              <w:ind w:right="93"/>
              <w:jc w:val="left"/>
              <w:rPr>
                <w:rFonts w:ascii="Arial Narrow" w:hAnsi="Arial Narrow"/>
                <w:sz w:val="20"/>
              </w:rPr>
            </w:pPr>
            <w:r w:rsidRPr="00A940BD">
              <w:rPr>
                <w:rFonts w:ascii="Arial Narrow" w:hAnsi="Arial Narrow"/>
                <w:sz w:val="20"/>
              </w:rPr>
              <w:t>Number of scripts*</w:t>
            </w:r>
          </w:p>
        </w:tc>
        <w:tc>
          <w:tcPr>
            <w:tcW w:w="676" w:type="pct"/>
            <w:shd w:val="clear" w:color="auto" w:fill="auto"/>
            <w:vAlign w:val="center"/>
          </w:tcPr>
          <w:p w:rsidR="00D0474B" w:rsidRPr="006A1008" w:rsidRDefault="006A1008" w:rsidP="00665271">
            <w:pPr>
              <w:widowControl/>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677" w:type="pct"/>
            <w:shd w:val="clear" w:color="auto" w:fill="auto"/>
            <w:vAlign w:val="center"/>
          </w:tcPr>
          <w:p w:rsidR="00D0474B" w:rsidRPr="006A1008" w:rsidRDefault="006A1008" w:rsidP="00665271">
            <w:pPr>
              <w:widowControl/>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740" w:type="pct"/>
            <w:shd w:val="clear" w:color="auto" w:fill="auto"/>
            <w:vAlign w:val="center"/>
          </w:tcPr>
          <w:p w:rsidR="00D0474B" w:rsidRPr="006A1008" w:rsidRDefault="006A1008" w:rsidP="00665271">
            <w:pPr>
              <w:widowControl/>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737" w:type="pct"/>
            <w:shd w:val="clear" w:color="auto" w:fill="auto"/>
            <w:vAlign w:val="center"/>
          </w:tcPr>
          <w:p w:rsidR="00D0474B" w:rsidRPr="006A1008" w:rsidRDefault="006A1008" w:rsidP="00665271">
            <w:pPr>
              <w:widowControl/>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730" w:type="pct"/>
            <w:shd w:val="clear" w:color="auto" w:fill="auto"/>
            <w:vAlign w:val="center"/>
          </w:tcPr>
          <w:p w:rsidR="00D0474B" w:rsidRPr="006A1008" w:rsidRDefault="006A1008" w:rsidP="00665271">
            <w:pPr>
              <w:widowControl/>
              <w:tabs>
                <w:tab w:val="left" w:pos="3210"/>
              </w:tabs>
              <w:jc w:val="center"/>
              <w:rPr>
                <w:rFonts w:ascii="Arial Narrow" w:hAnsi="Arial Narrow"/>
                <w:sz w:val="20"/>
                <w:highlight w:val="black"/>
              </w:rPr>
            </w:pPr>
            <w:r>
              <w:rPr>
                <w:rFonts w:ascii="Arial Narrow" w:hAnsi="Arial Narrow"/>
                <w:noProof/>
                <w:color w:val="000000"/>
                <w:sz w:val="20"/>
                <w:highlight w:val="black"/>
              </w:rPr>
              <w:t>''''''''''''''''''''</w:t>
            </w:r>
          </w:p>
        </w:tc>
      </w:tr>
      <w:tr w:rsidR="00A940BD" w:rsidRPr="00A940BD" w:rsidTr="00A940BD">
        <w:tc>
          <w:tcPr>
            <w:tcW w:w="1440" w:type="pct"/>
            <w:shd w:val="clear" w:color="auto" w:fill="auto"/>
            <w:vAlign w:val="center"/>
          </w:tcPr>
          <w:p w:rsidR="00D0474B" w:rsidRPr="00A940BD" w:rsidRDefault="00D0474B" w:rsidP="00665271">
            <w:pPr>
              <w:widowControl/>
              <w:tabs>
                <w:tab w:val="left" w:pos="142"/>
              </w:tabs>
              <w:ind w:right="93"/>
              <w:jc w:val="left"/>
              <w:rPr>
                <w:rFonts w:ascii="Arial Narrow" w:hAnsi="Arial Narrow"/>
                <w:sz w:val="20"/>
              </w:rPr>
            </w:pPr>
            <w:r w:rsidRPr="00A940BD">
              <w:rPr>
                <w:rFonts w:ascii="Arial Narrow" w:hAnsi="Arial Narrow"/>
                <w:sz w:val="20"/>
              </w:rPr>
              <w:t>Number of scripts - March 2012</w:t>
            </w:r>
          </w:p>
        </w:tc>
        <w:tc>
          <w:tcPr>
            <w:tcW w:w="676"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7"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40"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37"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30"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r>
      <w:tr w:rsidR="00A940BD" w:rsidRPr="00A940BD" w:rsidTr="00A940BD">
        <w:tc>
          <w:tcPr>
            <w:tcW w:w="1440" w:type="pct"/>
            <w:shd w:val="clear" w:color="auto" w:fill="auto"/>
            <w:vAlign w:val="center"/>
          </w:tcPr>
          <w:p w:rsidR="00D0474B" w:rsidRPr="00A940BD" w:rsidRDefault="00D0474B" w:rsidP="00665271">
            <w:pPr>
              <w:widowControl/>
              <w:tabs>
                <w:tab w:val="left" w:pos="142"/>
              </w:tabs>
              <w:ind w:right="93"/>
              <w:jc w:val="left"/>
              <w:rPr>
                <w:rFonts w:ascii="Arial Narrow" w:hAnsi="Arial Narrow"/>
                <w:sz w:val="20"/>
              </w:rPr>
            </w:pPr>
            <w:r w:rsidRPr="00A940BD">
              <w:rPr>
                <w:rFonts w:ascii="Arial Narrow" w:hAnsi="Arial Narrow"/>
                <w:sz w:val="20"/>
              </w:rPr>
              <w:t>Uptake rate</w:t>
            </w:r>
          </w:p>
        </w:tc>
        <w:tc>
          <w:tcPr>
            <w:tcW w:w="676"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7"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40"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37"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30"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r>
      <w:tr w:rsidR="00A940BD" w:rsidRPr="00A940BD" w:rsidTr="00A940BD">
        <w:tc>
          <w:tcPr>
            <w:tcW w:w="1440" w:type="pct"/>
            <w:shd w:val="clear" w:color="auto" w:fill="auto"/>
            <w:vAlign w:val="center"/>
          </w:tcPr>
          <w:p w:rsidR="00D0474B" w:rsidRPr="00A940BD" w:rsidRDefault="00D0474B" w:rsidP="00665271">
            <w:pPr>
              <w:widowControl/>
              <w:tabs>
                <w:tab w:val="left" w:pos="142"/>
              </w:tabs>
              <w:ind w:right="93"/>
              <w:jc w:val="left"/>
              <w:rPr>
                <w:rFonts w:ascii="Arial Narrow" w:hAnsi="Arial Narrow"/>
                <w:sz w:val="20"/>
              </w:rPr>
            </w:pPr>
            <w:r w:rsidRPr="00A940BD">
              <w:rPr>
                <w:rFonts w:ascii="Arial Narrow" w:hAnsi="Arial Narrow"/>
                <w:sz w:val="20"/>
              </w:rPr>
              <w:t>Uptake rate March 2012</w:t>
            </w:r>
          </w:p>
        </w:tc>
        <w:tc>
          <w:tcPr>
            <w:tcW w:w="676"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7"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40"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37"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30"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r>
      <w:tr w:rsidR="00A940BD" w:rsidRPr="00A940BD" w:rsidTr="00A940BD">
        <w:tc>
          <w:tcPr>
            <w:tcW w:w="5000" w:type="pct"/>
            <w:gridSpan w:val="6"/>
            <w:shd w:val="clear" w:color="auto" w:fill="auto"/>
            <w:vAlign w:val="center"/>
          </w:tcPr>
          <w:p w:rsidR="00D0474B" w:rsidRPr="00A940BD" w:rsidRDefault="00D0474B" w:rsidP="00665271">
            <w:pPr>
              <w:widowControl/>
              <w:ind w:right="93"/>
              <w:jc w:val="left"/>
              <w:rPr>
                <w:rFonts w:ascii="Arial Narrow" w:hAnsi="Arial Narrow"/>
                <w:b/>
                <w:bCs/>
                <w:sz w:val="20"/>
              </w:rPr>
            </w:pPr>
            <w:r w:rsidRPr="00A940BD">
              <w:rPr>
                <w:rFonts w:ascii="Arial Narrow" w:hAnsi="Arial Narrow"/>
                <w:b/>
                <w:bCs/>
                <w:sz w:val="20"/>
              </w:rPr>
              <w:t>Estimated net cost to PBS/MBS</w:t>
            </w:r>
          </w:p>
        </w:tc>
      </w:tr>
      <w:tr w:rsidR="00A940BD" w:rsidRPr="00A940BD" w:rsidTr="00A940BD">
        <w:tc>
          <w:tcPr>
            <w:tcW w:w="1440" w:type="pct"/>
            <w:shd w:val="clear" w:color="auto" w:fill="auto"/>
            <w:vAlign w:val="center"/>
          </w:tcPr>
          <w:p w:rsidR="00D0474B" w:rsidRPr="00A940BD" w:rsidRDefault="00D0474B" w:rsidP="00665271">
            <w:pPr>
              <w:widowControl/>
              <w:tabs>
                <w:tab w:val="left" w:pos="142"/>
              </w:tabs>
              <w:ind w:right="93"/>
              <w:jc w:val="left"/>
              <w:rPr>
                <w:rFonts w:ascii="Arial Narrow" w:hAnsi="Arial Narrow"/>
                <w:sz w:val="20"/>
              </w:rPr>
            </w:pPr>
            <w:r w:rsidRPr="00A940BD">
              <w:rPr>
                <w:rFonts w:ascii="Arial Narrow" w:hAnsi="Arial Narrow"/>
                <w:sz w:val="20"/>
              </w:rPr>
              <w:t xml:space="preserve">Net cost to PBS </w:t>
            </w:r>
          </w:p>
        </w:tc>
        <w:tc>
          <w:tcPr>
            <w:tcW w:w="676"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7"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740"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737"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730"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r>
      <w:tr w:rsidR="00A940BD" w:rsidRPr="00A940BD" w:rsidTr="00A940BD">
        <w:tc>
          <w:tcPr>
            <w:tcW w:w="1440" w:type="pct"/>
            <w:shd w:val="clear" w:color="auto" w:fill="auto"/>
            <w:vAlign w:val="center"/>
          </w:tcPr>
          <w:p w:rsidR="00D0474B" w:rsidRPr="00A940BD" w:rsidRDefault="00D0474B" w:rsidP="00665271">
            <w:pPr>
              <w:widowControl/>
              <w:tabs>
                <w:tab w:val="left" w:pos="142"/>
              </w:tabs>
              <w:ind w:right="93"/>
              <w:jc w:val="left"/>
              <w:rPr>
                <w:rFonts w:ascii="Arial Narrow" w:hAnsi="Arial Narrow"/>
                <w:sz w:val="20"/>
              </w:rPr>
            </w:pPr>
            <w:r w:rsidRPr="00A940BD">
              <w:rPr>
                <w:rFonts w:ascii="Arial Narrow" w:hAnsi="Arial Narrow"/>
                <w:sz w:val="20"/>
              </w:rPr>
              <w:t>Net cost to PBS March 2012</w:t>
            </w:r>
          </w:p>
        </w:tc>
        <w:tc>
          <w:tcPr>
            <w:tcW w:w="676" w:type="pct"/>
            <w:shd w:val="clear" w:color="auto" w:fill="auto"/>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7" w:type="pct"/>
            <w:shd w:val="clear" w:color="auto" w:fill="auto"/>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40" w:type="pct"/>
            <w:shd w:val="clear" w:color="auto" w:fill="auto"/>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37" w:type="pct"/>
            <w:shd w:val="clear" w:color="auto" w:fill="auto"/>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30" w:type="pct"/>
            <w:shd w:val="clear" w:color="auto" w:fill="auto"/>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r>
      <w:tr w:rsidR="00A940BD" w:rsidRPr="00A940BD" w:rsidTr="00A940BD">
        <w:tc>
          <w:tcPr>
            <w:tcW w:w="1440" w:type="pct"/>
            <w:shd w:val="clear" w:color="auto" w:fill="auto"/>
            <w:vAlign w:val="center"/>
          </w:tcPr>
          <w:p w:rsidR="00D0474B" w:rsidRPr="00A940BD" w:rsidRDefault="00D0474B" w:rsidP="00665271">
            <w:pPr>
              <w:widowControl/>
              <w:tabs>
                <w:tab w:val="left" w:pos="142"/>
              </w:tabs>
              <w:ind w:right="93"/>
              <w:jc w:val="left"/>
              <w:rPr>
                <w:rFonts w:ascii="Arial Narrow" w:hAnsi="Arial Narrow"/>
                <w:sz w:val="20"/>
              </w:rPr>
            </w:pPr>
            <w:r w:rsidRPr="00A940BD">
              <w:rPr>
                <w:rFonts w:ascii="Arial Narrow" w:hAnsi="Arial Narrow"/>
                <w:sz w:val="20"/>
              </w:rPr>
              <w:t>Net savings to MBS</w:t>
            </w:r>
          </w:p>
        </w:tc>
        <w:tc>
          <w:tcPr>
            <w:tcW w:w="676"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7"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40"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37"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30" w:type="pct"/>
            <w:shd w:val="clear" w:color="auto" w:fill="auto"/>
            <w:vAlign w:val="center"/>
          </w:tcPr>
          <w:p w:rsidR="00D0474B" w:rsidRPr="006A1008" w:rsidRDefault="006A1008" w:rsidP="00665271">
            <w:pPr>
              <w:widowControl/>
              <w:ind w:right="93"/>
              <w:jc w:val="center"/>
              <w:rPr>
                <w:rFonts w:ascii="Arial Narrow" w:hAnsi="Arial Narrow"/>
                <w:sz w:val="20"/>
                <w:highlight w:val="black"/>
              </w:rPr>
            </w:pPr>
            <w:r>
              <w:rPr>
                <w:rFonts w:ascii="Arial Narrow" w:hAnsi="Arial Narrow"/>
                <w:noProof/>
                <w:color w:val="000000"/>
                <w:sz w:val="20"/>
                <w:highlight w:val="black"/>
              </w:rPr>
              <w:t>''''''''''''''''''''''''''''</w:t>
            </w:r>
          </w:p>
        </w:tc>
      </w:tr>
      <w:tr w:rsidR="00A940BD" w:rsidRPr="00A940BD" w:rsidTr="00A940BD">
        <w:tc>
          <w:tcPr>
            <w:tcW w:w="1440" w:type="pct"/>
            <w:shd w:val="clear" w:color="auto" w:fill="auto"/>
            <w:vAlign w:val="center"/>
          </w:tcPr>
          <w:p w:rsidR="00D0474B" w:rsidRPr="00A940BD" w:rsidRDefault="00D0474B" w:rsidP="00665271">
            <w:pPr>
              <w:widowControl/>
              <w:tabs>
                <w:tab w:val="left" w:pos="142"/>
              </w:tabs>
              <w:ind w:right="93"/>
              <w:jc w:val="left"/>
              <w:rPr>
                <w:rFonts w:ascii="Arial Narrow" w:hAnsi="Arial Narrow"/>
                <w:sz w:val="20"/>
              </w:rPr>
            </w:pPr>
            <w:r w:rsidRPr="00A940BD">
              <w:rPr>
                <w:rFonts w:ascii="Arial Narrow" w:hAnsi="Arial Narrow"/>
                <w:sz w:val="20"/>
              </w:rPr>
              <w:t>Net cost to MBS March 2012</w:t>
            </w:r>
          </w:p>
        </w:tc>
        <w:tc>
          <w:tcPr>
            <w:tcW w:w="676"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7"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740"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737"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730"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r>
      <w:tr w:rsidR="00A940BD" w:rsidRPr="00A940BD" w:rsidTr="00A940BD">
        <w:tc>
          <w:tcPr>
            <w:tcW w:w="5000" w:type="pct"/>
            <w:gridSpan w:val="6"/>
            <w:shd w:val="clear" w:color="auto" w:fill="auto"/>
            <w:vAlign w:val="center"/>
          </w:tcPr>
          <w:p w:rsidR="00D0474B" w:rsidRPr="00A940BD" w:rsidRDefault="00D0474B" w:rsidP="00665271">
            <w:pPr>
              <w:widowControl/>
              <w:ind w:right="93"/>
              <w:jc w:val="left"/>
              <w:rPr>
                <w:rFonts w:ascii="Arial Narrow" w:hAnsi="Arial Narrow"/>
                <w:b/>
                <w:sz w:val="20"/>
              </w:rPr>
            </w:pPr>
            <w:r w:rsidRPr="00A940BD">
              <w:rPr>
                <w:rFonts w:ascii="Arial Narrow" w:hAnsi="Arial Narrow"/>
                <w:b/>
                <w:sz w:val="20"/>
              </w:rPr>
              <w:t>Estimated total net cost</w:t>
            </w:r>
          </w:p>
        </w:tc>
      </w:tr>
      <w:tr w:rsidR="00A940BD" w:rsidRPr="00A940BD" w:rsidTr="00A940BD">
        <w:tc>
          <w:tcPr>
            <w:tcW w:w="1440" w:type="pct"/>
            <w:shd w:val="clear" w:color="auto" w:fill="auto"/>
            <w:vAlign w:val="center"/>
          </w:tcPr>
          <w:p w:rsidR="00D0474B" w:rsidRPr="00A940BD" w:rsidRDefault="00D0474B" w:rsidP="00665271">
            <w:pPr>
              <w:widowControl/>
              <w:tabs>
                <w:tab w:val="left" w:pos="142"/>
              </w:tabs>
              <w:ind w:right="93"/>
              <w:jc w:val="left"/>
              <w:rPr>
                <w:rFonts w:ascii="Arial Narrow" w:hAnsi="Arial Narrow"/>
                <w:b/>
                <w:sz w:val="20"/>
              </w:rPr>
            </w:pPr>
            <w:r w:rsidRPr="00A940BD">
              <w:rPr>
                <w:rFonts w:ascii="Arial Narrow" w:hAnsi="Arial Narrow"/>
                <w:b/>
                <w:bCs/>
                <w:sz w:val="20"/>
              </w:rPr>
              <w:t>Net savings PBS/MBS</w:t>
            </w:r>
          </w:p>
        </w:tc>
        <w:tc>
          <w:tcPr>
            <w:tcW w:w="676"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7"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740"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737"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730" w:type="pct"/>
            <w:shd w:val="clear" w:color="auto" w:fill="auto"/>
            <w:vAlign w:val="center"/>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r>
      <w:tr w:rsidR="00A940BD" w:rsidRPr="00A940BD" w:rsidTr="00A940BD">
        <w:tc>
          <w:tcPr>
            <w:tcW w:w="1440" w:type="pct"/>
            <w:shd w:val="clear" w:color="auto" w:fill="auto"/>
            <w:vAlign w:val="center"/>
          </w:tcPr>
          <w:p w:rsidR="00D0474B" w:rsidRPr="00A940BD" w:rsidRDefault="00D0474B" w:rsidP="00665271">
            <w:pPr>
              <w:widowControl/>
              <w:tabs>
                <w:tab w:val="left" w:pos="142"/>
              </w:tabs>
              <w:ind w:right="93"/>
              <w:jc w:val="left"/>
              <w:rPr>
                <w:rFonts w:ascii="Arial Narrow" w:hAnsi="Arial Narrow"/>
                <w:sz w:val="20"/>
              </w:rPr>
            </w:pPr>
            <w:r w:rsidRPr="00A940BD">
              <w:rPr>
                <w:rFonts w:ascii="Arial Narrow" w:hAnsi="Arial Narrow"/>
                <w:bCs/>
                <w:sz w:val="20"/>
              </w:rPr>
              <w:t>Net cost PBS/MBS Nov 2013</w:t>
            </w:r>
          </w:p>
        </w:tc>
        <w:tc>
          <w:tcPr>
            <w:tcW w:w="676" w:type="pct"/>
            <w:shd w:val="clear" w:color="auto" w:fill="auto"/>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7" w:type="pct"/>
            <w:shd w:val="clear" w:color="auto" w:fill="auto"/>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740" w:type="pct"/>
            <w:shd w:val="clear" w:color="auto" w:fill="auto"/>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737" w:type="pct"/>
            <w:shd w:val="clear" w:color="auto" w:fill="auto"/>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730" w:type="pct"/>
            <w:shd w:val="clear" w:color="auto" w:fill="auto"/>
          </w:tcPr>
          <w:p w:rsidR="00D0474B" w:rsidRPr="006A1008" w:rsidRDefault="006A1008" w:rsidP="00665271">
            <w:pPr>
              <w:widowControl/>
              <w:ind w:right="93"/>
              <w:jc w:val="center"/>
              <w:rPr>
                <w:rFonts w:ascii="Arial Narrow" w:hAnsi="Arial Narrow"/>
                <w:bCs/>
                <w:sz w:val="20"/>
                <w:highlight w:val="black"/>
              </w:rPr>
            </w:pPr>
            <w:r>
              <w:rPr>
                <w:rFonts w:ascii="Arial Narrow" w:hAnsi="Arial Narrow"/>
                <w:noProof/>
                <w:color w:val="000000"/>
                <w:sz w:val="20"/>
                <w:highlight w:val="black"/>
              </w:rPr>
              <w:t>'''''''''''''''''''''</w:t>
            </w:r>
          </w:p>
        </w:tc>
      </w:tr>
    </w:tbl>
    <w:p w:rsidR="00D0474B" w:rsidRPr="00A940BD" w:rsidRDefault="00D0474B" w:rsidP="00A940BD">
      <w:pPr>
        <w:pStyle w:val="TableFooter"/>
        <w:widowControl/>
        <w:ind w:firstLine="720"/>
        <w:jc w:val="left"/>
      </w:pPr>
      <w:r w:rsidRPr="00A940BD">
        <w:t>Source: Table 8, Executive Summary of the Commentary, compiled during the evaluation</w:t>
      </w:r>
    </w:p>
    <w:p w:rsidR="00D0474B" w:rsidRPr="00A940BD" w:rsidRDefault="00D0474B" w:rsidP="00A940BD">
      <w:pPr>
        <w:pStyle w:val="TableFooter"/>
        <w:widowControl/>
        <w:ind w:firstLine="720"/>
        <w:jc w:val="left"/>
        <w:rPr>
          <w:szCs w:val="22"/>
        </w:rPr>
      </w:pPr>
      <w:r w:rsidRPr="00A940BD">
        <w:t>* Number of prescriptions corrected as noted in Pre-Sub-Committee Response</w:t>
      </w:r>
    </w:p>
    <w:p w:rsidR="00D0474B" w:rsidRDefault="00D0474B">
      <w:pPr>
        <w:widowControl/>
        <w:jc w:val="left"/>
      </w:pPr>
    </w:p>
    <w:p w:rsidR="00D04239" w:rsidRDefault="00D04239" w:rsidP="00D04239">
      <w:pPr>
        <w:widowControl/>
        <w:ind w:firstLine="720"/>
        <w:jc w:val="left"/>
      </w:pPr>
      <w:r>
        <w:t>The redacted table above shows:</w:t>
      </w:r>
    </w:p>
    <w:p w:rsidR="001C120A" w:rsidRDefault="001C120A" w:rsidP="00D04239">
      <w:pPr>
        <w:widowControl/>
        <w:ind w:firstLine="720"/>
        <w:jc w:val="left"/>
      </w:pPr>
      <w:r>
        <w:t xml:space="preserve">Estimated patient numbers: less than 10,000 per year in Year 1, increasing to </w:t>
      </w:r>
    </w:p>
    <w:p w:rsidR="001C120A" w:rsidRDefault="001C120A" w:rsidP="001C120A">
      <w:pPr>
        <w:widowControl/>
        <w:ind w:firstLine="720"/>
        <w:jc w:val="left"/>
      </w:pPr>
      <w:r>
        <w:t>50,0</w:t>
      </w:r>
      <w:r w:rsidR="00D04239">
        <w:t>00 – 100,000 per year in Year 5;</w:t>
      </w:r>
    </w:p>
    <w:p w:rsidR="001C120A" w:rsidRDefault="001C120A" w:rsidP="001C120A">
      <w:pPr>
        <w:widowControl/>
        <w:ind w:left="720"/>
        <w:jc w:val="left"/>
      </w:pPr>
      <w:r>
        <w:t xml:space="preserve">Estimated scripts: 100,000 – 200,000 per year in Year 1, increasing to </w:t>
      </w:r>
      <w:r w:rsidR="00D04239">
        <w:t>over 200,000 per year in Year 5;</w:t>
      </w:r>
    </w:p>
    <w:p w:rsidR="001C120A" w:rsidRDefault="001C120A" w:rsidP="00C87BF6">
      <w:pPr>
        <w:widowControl/>
        <w:ind w:left="720"/>
        <w:jc w:val="left"/>
      </w:pPr>
      <w:r>
        <w:t xml:space="preserve">Estimated financial impact: </w:t>
      </w:r>
      <w:r w:rsidR="00C87BF6">
        <w:t>Savings of less than $10 million per year in Year 1, increasing to savings of less than $10 million per year in Year 5.</w:t>
      </w:r>
    </w:p>
    <w:p w:rsidR="001C120A" w:rsidRPr="00A940BD" w:rsidRDefault="001C120A">
      <w:pPr>
        <w:widowControl/>
        <w:jc w:val="left"/>
      </w:pPr>
    </w:p>
    <w:p w:rsidR="00A940BD" w:rsidRDefault="00A940BD" w:rsidP="00A940BD">
      <w:pPr>
        <w:pStyle w:val="ListParagraph"/>
        <w:widowControl/>
        <w:numPr>
          <w:ilvl w:val="1"/>
          <w:numId w:val="12"/>
        </w:numPr>
        <w:snapToGrid w:val="0"/>
        <w:rPr>
          <w:szCs w:val="22"/>
        </w:rPr>
      </w:pPr>
      <w:r w:rsidRPr="00A940BD">
        <w:rPr>
          <w:szCs w:val="22"/>
        </w:rPr>
        <w:t>The DUSC considered the estimates presented in the submission to be overestimated.  The main issues are as follows</w:t>
      </w:r>
      <w:r w:rsidR="00A06963">
        <w:rPr>
          <w:szCs w:val="22"/>
        </w:rPr>
        <w:t>:</w:t>
      </w:r>
    </w:p>
    <w:p w:rsidR="00A06963" w:rsidRPr="00A940BD" w:rsidRDefault="00A06963" w:rsidP="00A06963">
      <w:pPr>
        <w:pStyle w:val="ListParagraph"/>
        <w:widowControl/>
        <w:snapToGrid w:val="0"/>
        <w:rPr>
          <w:szCs w:val="22"/>
        </w:rPr>
      </w:pPr>
    </w:p>
    <w:p w:rsidR="00A06963" w:rsidRDefault="00A940BD" w:rsidP="00A06963">
      <w:pPr>
        <w:pStyle w:val="ListParagraph"/>
        <w:widowControl/>
        <w:numPr>
          <w:ilvl w:val="0"/>
          <w:numId w:val="37"/>
        </w:numPr>
        <w:snapToGrid w:val="0"/>
      </w:pPr>
      <w:r w:rsidRPr="00A940BD">
        <w:t xml:space="preserve">The clinical place of dapagliflozin with insulin has not been adequately defined. This is needed to estimate the size of the population who will be treated with dapagliflozin in combination with insulin. </w:t>
      </w:r>
    </w:p>
    <w:p w:rsidR="00A06963" w:rsidRDefault="00A940BD" w:rsidP="00A06963">
      <w:pPr>
        <w:pStyle w:val="ListParagraph"/>
        <w:widowControl/>
        <w:numPr>
          <w:ilvl w:val="0"/>
          <w:numId w:val="37"/>
        </w:numPr>
        <w:snapToGrid w:val="0"/>
      </w:pPr>
      <w:r w:rsidRPr="00A940BD">
        <w:t xml:space="preserve">The use of volume caps from the SGLT2 dual therapy risk share agreement is an unconventional starting point for a market share approach and is not in accordance with the PBAC guidelines. </w:t>
      </w:r>
    </w:p>
    <w:p w:rsidR="00A06963" w:rsidRDefault="00A940BD" w:rsidP="00A06963">
      <w:pPr>
        <w:pStyle w:val="ListParagraph"/>
        <w:widowControl/>
        <w:numPr>
          <w:ilvl w:val="0"/>
          <w:numId w:val="37"/>
        </w:numPr>
        <w:snapToGrid w:val="0"/>
      </w:pPr>
      <w:r w:rsidRPr="00A940BD">
        <w:t xml:space="preserve">The assumption that pioglitazone utilisation between the dual therapy and combination with insulin indications from 2003 to 2008 can be extrapolated to current dapagliflozin use may not be reasonable. Many changes occurred in clinical practice over the study period that may have influenced medicine use patterns, including additional indications for glitazones and the availability of long acting </w:t>
      </w:r>
      <w:proofErr w:type="spellStart"/>
      <w:r w:rsidRPr="00A940BD">
        <w:t>insulins</w:t>
      </w:r>
      <w:proofErr w:type="spellEnd"/>
      <w:r w:rsidRPr="00A940BD">
        <w:t xml:space="preserve"> (2006). The type 2 diabetes treatment algorithm has undergone further change since the nominated study period, including the introduction of gliptins (2008) and dapagliflozin itself, such that the ratio of use for pioglitazone in 2003-2008 is not relevant to the current market. </w:t>
      </w:r>
    </w:p>
    <w:p w:rsidR="00A940BD" w:rsidRPr="00A940BD" w:rsidRDefault="00A940BD" w:rsidP="00A06963">
      <w:pPr>
        <w:pStyle w:val="ListParagraph"/>
        <w:widowControl/>
        <w:numPr>
          <w:ilvl w:val="0"/>
          <w:numId w:val="37"/>
        </w:numPr>
        <w:snapToGrid w:val="0"/>
      </w:pPr>
      <w:r w:rsidRPr="00A940BD">
        <w:lastRenderedPageBreak/>
        <w:t xml:space="preserve">Cost offsets included in the estimates of financial implications to government are based on those calculated in the cost analysis, and are unlikely to be realised. </w:t>
      </w:r>
    </w:p>
    <w:p w:rsidR="00A940BD" w:rsidRPr="00A940BD" w:rsidRDefault="00A940BD" w:rsidP="00A940BD">
      <w:pPr>
        <w:pStyle w:val="ListParagraph"/>
        <w:ind w:firstLine="720"/>
      </w:pPr>
      <w:r>
        <w:t xml:space="preserve">- </w:t>
      </w:r>
      <w:r w:rsidRPr="00A940BD">
        <w:t xml:space="preserve">Insulin substitution is likely overestimated. </w:t>
      </w:r>
    </w:p>
    <w:p w:rsidR="00A940BD" w:rsidRPr="00A940BD" w:rsidRDefault="00A940BD" w:rsidP="00A940BD">
      <w:pPr>
        <w:pStyle w:val="ListParagraph"/>
        <w:ind w:firstLine="720"/>
      </w:pPr>
      <w:r>
        <w:t xml:space="preserve">- </w:t>
      </w:r>
      <w:r w:rsidRPr="00A940BD">
        <w:t>Glucagon substitution is likely overestimated.</w:t>
      </w:r>
    </w:p>
    <w:p w:rsidR="00A940BD" w:rsidRPr="00A940BD" w:rsidRDefault="00A940BD" w:rsidP="00A940BD">
      <w:pPr>
        <w:pStyle w:val="ListParagraph"/>
        <w:ind w:firstLine="720"/>
      </w:pPr>
      <w:r>
        <w:t xml:space="preserve">- </w:t>
      </w:r>
      <w:r w:rsidRPr="00A940BD">
        <w:t>Antihypertensive therapy is not a relevant cost offset.</w:t>
      </w:r>
    </w:p>
    <w:p w:rsidR="00A940BD" w:rsidRPr="00A940BD" w:rsidRDefault="00A940BD" w:rsidP="00A940BD">
      <w:pPr>
        <w:pStyle w:val="PBACheading1"/>
        <w:numPr>
          <w:ilvl w:val="0"/>
          <w:numId w:val="0"/>
        </w:numPr>
        <w:ind w:left="720" w:hanging="720"/>
      </w:pPr>
    </w:p>
    <w:p w:rsidR="00A940BD" w:rsidRDefault="0046773F" w:rsidP="00A940BD">
      <w:pPr>
        <w:pStyle w:val="ListParagraph"/>
        <w:widowControl/>
        <w:numPr>
          <w:ilvl w:val="1"/>
          <w:numId w:val="12"/>
        </w:numPr>
        <w:snapToGrid w:val="0"/>
      </w:pPr>
      <w:r>
        <w:t>Overall, the DUSC consider</w:t>
      </w:r>
      <w:r w:rsidR="00AA3880">
        <w:t>e</w:t>
      </w:r>
      <w:r>
        <w:t>d that t</w:t>
      </w:r>
      <w:r w:rsidR="00A940BD" w:rsidRPr="00A940BD">
        <w:t>he resubmission’s estimates of the number of dapagliflozin scripts over five years is substantially higher than estimated in the previous submission, and is most likely an overestimate.</w:t>
      </w:r>
    </w:p>
    <w:p w:rsidR="00AA3880" w:rsidRDefault="00AA3880" w:rsidP="00AA3880">
      <w:pPr>
        <w:pStyle w:val="ListParagraph"/>
        <w:widowControl/>
        <w:snapToGrid w:val="0"/>
      </w:pPr>
    </w:p>
    <w:p w:rsidR="00AA3880" w:rsidRDefault="00AA3880" w:rsidP="00A940BD">
      <w:pPr>
        <w:pStyle w:val="ListParagraph"/>
        <w:widowControl/>
        <w:numPr>
          <w:ilvl w:val="1"/>
          <w:numId w:val="12"/>
        </w:numPr>
        <w:snapToGrid w:val="0"/>
      </w:pPr>
      <w:r>
        <w:t>The PBAC accepted the DUSC’s advice with respect to the submission’s estimates and noted that the estimates would also require revision to take account of its recommended revisions to the basis for pricing dapagliflozin.</w:t>
      </w:r>
    </w:p>
    <w:p w:rsidR="00D0474B" w:rsidRDefault="00D0474B" w:rsidP="00116159">
      <w:pPr>
        <w:pStyle w:val="BodyText"/>
        <w:rPr>
          <w:b/>
        </w:rPr>
      </w:pPr>
    </w:p>
    <w:p w:rsidR="00900027" w:rsidRPr="00116159" w:rsidRDefault="00900027" w:rsidP="00116159">
      <w:pPr>
        <w:pStyle w:val="BodyText"/>
        <w:rPr>
          <w:b/>
        </w:rPr>
      </w:pPr>
      <w:r w:rsidRPr="00116159">
        <w:rPr>
          <w:b/>
        </w:rPr>
        <w:t>Quality Use of Medicine</w:t>
      </w:r>
    </w:p>
    <w:p w:rsidR="00900027" w:rsidRPr="002857E9" w:rsidRDefault="00900027" w:rsidP="00900027"/>
    <w:p w:rsidR="00900027" w:rsidRPr="002857E9" w:rsidRDefault="00900027" w:rsidP="00900027">
      <w:pPr>
        <w:pStyle w:val="ListParagraph"/>
        <w:widowControl/>
        <w:numPr>
          <w:ilvl w:val="1"/>
          <w:numId w:val="12"/>
        </w:numPr>
        <w:rPr>
          <w:szCs w:val="22"/>
        </w:rPr>
      </w:pPr>
      <w:r w:rsidRPr="002857E9">
        <w:rPr>
          <w:szCs w:val="22"/>
        </w:rPr>
        <w:t xml:space="preserve">The ESC expressed concern </w:t>
      </w:r>
      <w:r w:rsidR="005E3868" w:rsidRPr="002857E9">
        <w:rPr>
          <w:szCs w:val="22"/>
        </w:rPr>
        <w:t>about</w:t>
      </w:r>
      <w:r w:rsidRPr="002857E9">
        <w:rPr>
          <w:szCs w:val="22"/>
        </w:rPr>
        <w:t xml:space="preserve"> </w:t>
      </w:r>
      <w:proofErr w:type="spellStart"/>
      <w:r w:rsidRPr="002857E9">
        <w:rPr>
          <w:szCs w:val="22"/>
        </w:rPr>
        <w:t>polypharmacy</w:t>
      </w:r>
      <w:proofErr w:type="spellEnd"/>
      <w:r w:rsidRPr="002857E9">
        <w:rPr>
          <w:szCs w:val="22"/>
        </w:rPr>
        <w:t xml:space="preserve"> with another agent for use in combination with insulin. The ESC considered that the role of dapagliflozin in combination with insulin in clinical practice is unclear.</w:t>
      </w:r>
    </w:p>
    <w:p w:rsidR="00900027" w:rsidRPr="002857E9" w:rsidRDefault="00900027" w:rsidP="00900027">
      <w:pPr>
        <w:widowControl/>
        <w:rPr>
          <w:szCs w:val="22"/>
        </w:rPr>
      </w:pPr>
    </w:p>
    <w:p w:rsidR="00576972" w:rsidRPr="00116159" w:rsidRDefault="00576972" w:rsidP="00116159">
      <w:pPr>
        <w:pStyle w:val="BodyText"/>
        <w:rPr>
          <w:b/>
        </w:rPr>
      </w:pPr>
      <w:bookmarkStart w:id="15" w:name="_Toc398280638"/>
      <w:r w:rsidRPr="00116159">
        <w:rPr>
          <w:b/>
        </w:rPr>
        <w:t>Financi</w:t>
      </w:r>
      <w:bookmarkStart w:id="16" w:name="_GoBack"/>
      <w:bookmarkEnd w:id="16"/>
      <w:r w:rsidRPr="00116159">
        <w:rPr>
          <w:b/>
        </w:rPr>
        <w:t>al Management – Risk Sharing Arrangements</w:t>
      </w:r>
      <w:bookmarkEnd w:id="15"/>
    </w:p>
    <w:p w:rsidR="00C25D9C" w:rsidRPr="002857E9" w:rsidRDefault="00C25D9C" w:rsidP="00576972">
      <w:pPr>
        <w:widowControl/>
        <w:rPr>
          <w:szCs w:val="22"/>
        </w:rPr>
      </w:pPr>
    </w:p>
    <w:p w:rsidR="00C25D9C" w:rsidRPr="002857E9" w:rsidRDefault="00BA58AA" w:rsidP="00135FF4">
      <w:pPr>
        <w:pStyle w:val="ListParagraph"/>
        <w:widowControl/>
        <w:numPr>
          <w:ilvl w:val="1"/>
          <w:numId w:val="12"/>
        </w:numPr>
        <w:rPr>
          <w:szCs w:val="22"/>
        </w:rPr>
      </w:pPr>
      <w:r w:rsidRPr="002857E9">
        <w:t xml:space="preserve">The </w:t>
      </w:r>
      <w:r w:rsidR="006D07FE" w:rsidRPr="002857E9">
        <w:t>resubmission</w:t>
      </w:r>
      <w:r w:rsidRPr="002857E9">
        <w:t xml:space="preserve"> advises that a Risk Share Arrangement for dapagliflozin in restricted dual therapy, including pack volume caps based on predicted substitution patterns of the SGLT2s for the gliptins and other therapies in the dual therapy setting, may be terminated if a </w:t>
      </w:r>
      <w:r w:rsidRPr="002857E9">
        <w:rPr>
          <w:lang w:val="en-GB"/>
        </w:rPr>
        <w:t>request for a ‘true dual therapy’ second line listing for dapagliflozin is approved</w:t>
      </w:r>
    </w:p>
    <w:p w:rsidR="00D1798A" w:rsidRDefault="00D1798A" w:rsidP="002857E9">
      <w:pPr>
        <w:pStyle w:val="PBACheading1"/>
        <w:numPr>
          <w:ilvl w:val="0"/>
          <w:numId w:val="0"/>
        </w:numPr>
        <w:ind w:left="720"/>
        <w:rPr>
          <w:highlight w:val="yellow"/>
        </w:rPr>
      </w:pPr>
    </w:p>
    <w:p w:rsidR="00D04239" w:rsidRDefault="00D04239" w:rsidP="002857E9">
      <w:pPr>
        <w:pStyle w:val="PBACheading1"/>
        <w:numPr>
          <w:ilvl w:val="0"/>
          <w:numId w:val="0"/>
        </w:numPr>
        <w:ind w:left="720"/>
        <w:rPr>
          <w:highlight w:val="yellow"/>
        </w:rPr>
      </w:pPr>
    </w:p>
    <w:p w:rsidR="002857E9" w:rsidRPr="00E21391" w:rsidRDefault="002857E9" w:rsidP="00D04239">
      <w:pPr>
        <w:pStyle w:val="PBACheading1"/>
        <w:numPr>
          <w:ilvl w:val="0"/>
          <w:numId w:val="0"/>
        </w:numPr>
        <w:ind w:left="720"/>
        <w:rPr>
          <w:i/>
        </w:rPr>
      </w:pPr>
      <w:r w:rsidRPr="00E21391">
        <w:rPr>
          <w:i/>
        </w:rPr>
        <w:t xml:space="preserve">For </w:t>
      </w:r>
      <w:r w:rsidR="00420DDD">
        <w:rPr>
          <w:i/>
        </w:rPr>
        <w:t xml:space="preserve">more </w:t>
      </w:r>
      <w:r w:rsidRPr="00E21391">
        <w:rPr>
          <w:i/>
        </w:rPr>
        <w:t>detail on PBAC’s view, see section 7 “PBAC outcome”</w:t>
      </w:r>
    </w:p>
    <w:p w:rsidR="00576972" w:rsidRPr="00181CA6" w:rsidRDefault="00576972" w:rsidP="00576972">
      <w:pPr>
        <w:widowControl/>
        <w:rPr>
          <w:szCs w:val="22"/>
        </w:rPr>
      </w:pPr>
    </w:p>
    <w:p w:rsidR="00D1798A" w:rsidRDefault="00D1798A" w:rsidP="00D1798A">
      <w:pPr>
        <w:rPr>
          <w:b/>
          <w:bCs/>
          <w:szCs w:val="22"/>
        </w:rPr>
      </w:pPr>
    </w:p>
    <w:p w:rsidR="00D1798A" w:rsidRPr="00AE5533" w:rsidRDefault="00D1798A" w:rsidP="00D1798A">
      <w:pPr>
        <w:numPr>
          <w:ilvl w:val="0"/>
          <w:numId w:val="12"/>
        </w:numPr>
        <w:rPr>
          <w:b/>
          <w:bCs/>
          <w:szCs w:val="22"/>
        </w:rPr>
      </w:pPr>
      <w:r w:rsidRPr="00AE5533">
        <w:rPr>
          <w:b/>
          <w:bCs/>
          <w:szCs w:val="22"/>
        </w:rPr>
        <w:t>PBAC Outcome</w:t>
      </w:r>
    </w:p>
    <w:p w:rsidR="00D1798A" w:rsidRPr="006C307E" w:rsidRDefault="00D1798A" w:rsidP="00D1798A">
      <w:pPr>
        <w:contextualSpacing/>
        <w:rPr>
          <w:b/>
          <w:bCs/>
          <w:szCs w:val="22"/>
          <w:highlight w:val="yellow"/>
          <w:lang w:val="en-GB"/>
        </w:rPr>
      </w:pPr>
    </w:p>
    <w:p w:rsidR="00B86DC5" w:rsidRPr="00B86DC5" w:rsidRDefault="005A3E5B" w:rsidP="00B86DC5">
      <w:pPr>
        <w:pStyle w:val="ListParagraph"/>
        <w:numPr>
          <w:ilvl w:val="1"/>
          <w:numId w:val="12"/>
        </w:numPr>
        <w:rPr>
          <w:szCs w:val="22"/>
          <w:lang w:val="en-GB"/>
        </w:rPr>
      </w:pPr>
      <w:r w:rsidRPr="00B86DC5">
        <w:rPr>
          <w:szCs w:val="22"/>
          <w:lang w:val="en-GB"/>
        </w:rPr>
        <w:t xml:space="preserve">The PBAC recommended the listing of </w:t>
      </w:r>
      <w:r w:rsidR="00630D46" w:rsidRPr="00B86DC5">
        <w:rPr>
          <w:szCs w:val="22"/>
          <w:lang w:val="en-GB"/>
        </w:rPr>
        <w:t xml:space="preserve">dapagliflozin for the treatment of type 2 diabetes in combination with insulin. The recommendation was formed on the basis of a cost-minimisation </w:t>
      </w:r>
      <w:r w:rsidR="00B86DC5">
        <w:rPr>
          <w:szCs w:val="22"/>
          <w:lang w:val="en-GB"/>
        </w:rPr>
        <w:t xml:space="preserve">and cost-analysis derived from the costs of insulin up-titration avoided. </w:t>
      </w:r>
    </w:p>
    <w:p w:rsidR="00AE5533" w:rsidRDefault="00AE5533" w:rsidP="00AE5533">
      <w:pPr>
        <w:ind w:left="720"/>
        <w:contextualSpacing/>
        <w:rPr>
          <w:b/>
          <w:bCs/>
          <w:szCs w:val="22"/>
          <w:lang w:val="en-GB"/>
        </w:rPr>
      </w:pPr>
    </w:p>
    <w:p w:rsidR="00A155C1" w:rsidRPr="00A155C1" w:rsidRDefault="008970FA" w:rsidP="009E3549">
      <w:pPr>
        <w:numPr>
          <w:ilvl w:val="1"/>
          <w:numId w:val="12"/>
        </w:numPr>
        <w:contextualSpacing/>
        <w:rPr>
          <w:b/>
          <w:bCs/>
          <w:strike/>
          <w:szCs w:val="22"/>
          <w:lang w:val="en-GB"/>
        </w:rPr>
      </w:pPr>
      <w:r w:rsidRPr="00B86DC5">
        <w:rPr>
          <w:szCs w:val="22"/>
          <w:lang w:val="en-GB"/>
        </w:rPr>
        <w:t>The PBAC considered that up</w:t>
      </w:r>
      <w:r w:rsidR="00DF4D00">
        <w:rPr>
          <w:szCs w:val="22"/>
          <w:lang w:val="en-GB"/>
        </w:rPr>
        <w:t>-</w:t>
      </w:r>
      <w:r w:rsidRPr="00B86DC5">
        <w:rPr>
          <w:szCs w:val="22"/>
          <w:lang w:val="en-GB"/>
        </w:rPr>
        <w:t>titrated insulin was the appropriate comparator but</w:t>
      </w:r>
      <w:r w:rsidRPr="00AE5533">
        <w:rPr>
          <w:szCs w:val="22"/>
          <w:lang w:val="en-GB"/>
        </w:rPr>
        <w:t xml:space="preserve"> noted that </w:t>
      </w:r>
      <w:r w:rsidR="008D77A9" w:rsidRPr="00AE5533">
        <w:rPr>
          <w:szCs w:val="22"/>
          <w:lang w:val="en-GB"/>
        </w:rPr>
        <w:t xml:space="preserve">clinical data </w:t>
      </w:r>
      <w:r w:rsidR="00764801" w:rsidRPr="00AE5533">
        <w:rPr>
          <w:szCs w:val="22"/>
          <w:lang w:val="en-GB"/>
        </w:rPr>
        <w:t>clarifying</w:t>
      </w:r>
      <w:r w:rsidR="008D77A9" w:rsidRPr="00AE5533">
        <w:rPr>
          <w:szCs w:val="22"/>
          <w:lang w:val="en-GB"/>
        </w:rPr>
        <w:t xml:space="preserve"> the efficacy</w:t>
      </w:r>
      <w:r w:rsidR="00A155C1">
        <w:rPr>
          <w:szCs w:val="22"/>
          <w:lang w:val="en-GB"/>
        </w:rPr>
        <w:t xml:space="preserve"> of dapagliflozin and insulin </w:t>
      </w:r>
      <w:r w:rsidR="008D77A9" w:rsidRPr="00AE5533">
        <w:rPr>
          <w:szCs w:val="22"/>
          <w:lang w:val="en-GB"/>
        </w:rPr>
        <w:t>with</w:t>
      </w:r>
      <w:r w:rsidR="00A155C1">
        <w:rPr>
          <w:szCs w:val="22"/>
          <w:lang w:val="en-GB"/>
        </w:rPr>
        <w:t xml:space="preserve"> and without concomitant</w:t>
      </w:r>
      <w:r w:rsidR="008D77A9" w:rsidRPr="00AE5533">
        <w:rPr>
          <w:szCs w:val="22"/>
          <w:lang w:val="en-GB"/>
        </w:rPr>
        <w:t xml:space="preserve"> metformin</w:t>
      </w:r>
      <w:r w:rsidR="00764801" w:rsidRPr="00AE5533">
        <w:rPr>
          <w:szCs w:val="22"/>
          <w:lang w:val="en-GB"/>
        </w:rPr>
        <w:t xml:space="preserve"> were not presented</w:t>
      </w:r>
      <w:r w:rsidR="008D77A9" w:rsidRPr="00AE5533">
        <w:rPr>
          <w:szCs w:val="22"/>
          <w:lang w:val="en-GB"/>
        </w:rPr>
        <w:t xml:space="preserve">. </w:t>
      </w:r>
      <w:r w:rsidR="00A155C1">
        <w:rPr>
          <w:szCs w:val="22"/>
          <w:lang w:val="en-GB"/>
        </w:rPr>
        <w:t xml:space="preserve">The PBAC agreed with </w:t>
      </w:r>
      <w:r w:rsidR="00420DDD">
        <w:rPr>
          <w:szCs w:val="22"/>
          <w:lang w:val="en-GB"/>
        </w:rPr>
        <w:t>the</w:t>
      </w:r>
      <w:r w:rsidR="00A155C1">
        <w:rPr>
          <w:szCs w:val="22"/>
          <w:lang w:val="en-GB"/>
        </w:rPr>
        <w:t xml:space="preserve"> DUSC that patients should not be prevented from taking metformin in combination with PBS subsidised dapagliflozin and insulin</w:t>
      </w:r>
      <w:r w:rsidR="00396F9F">
        <w:rPr>
          <w:szCs w:val="22"/>
          <w:lang w:val="en-GB"/>
        </w:rPr>
        <w:t>.</w:t>
      </w:r>
      <w:r w:rsidR="00A155C1">
        <w:rPr>
          <w:szCs w:val="22"/>
          <w:lang w:val="en-GB"/>
        </w:rPr>
        <w:t xml:space="preserve"> In particular</w:t>
      </w:r>
      <w:r w:rsidR="00396F9F">
        <w:rPr>
          <w:szCs w:val="22"/>
          <w:lang w:val="en-GB"/>
        </w:rPr>
        <w:t>,</w:t>
      </w:r>
      <w:r w:rsidR="00A155C1">
        <w:rPr>
          <w:szCs w:val="22"/>
          <w:lang w:val="en-GB"/>
        </w:rPr>
        <w:t xml:space="preserve"> </w:t>
      </w:r>
      <w:r w:rsidR="00396F9F">
        <w:rPr>
          <w:szCs w:val="22"/>
          <w:lang w:val="en-GB"/>
        </w:rPr>
        <w:t xml:space="preserve">the </w:t>
      </w:r>
      <w:r w:rsidR="00A155C1">
        <w:rPr>
          <w:szCs w:val="22"/>
          <w:lang w:val="en-GB"/>
        </w:rPr>
        <w:t>PBAC considered it clinical</w:t>
      </w:r>
      <w:r w:rsidR="00396F9F">
        <w:rPr>
          <w:szCs w:val="22"/>
          <w:lang w:val="en-GB"/>
        </w:rPr>
        <w:t>ly</w:t>
      </w:r>
      <w:r w:rsidR="00A155C1">
        <w:rPr>
          <w:szCs w:val="22"/>
          <w:lang w:val="en-GB"/>
        </w:rPr>
        <w:t xml:space="preserve"> inappropriate for a patient being treated with metformin and insulin to have to discontinue the metformin in order to commence dapagliflozin.</w:t>
      </w:r>
    </w:p>
    <w:p w:rsidR="00A155C1" w:rsidRDefault="00A155C1" w:rsidP="00A155C1">
      <w:pPr>
        <w:pStyle w:val="ListParagraph"/>
        <w:rPr>
          <w:szCs w:val="22"/>
          <w:lang w:val="en-GB"/>
        </w:rPr>
      </w:pPr>
    </w:p>
    <w:p w:rsidR="00AE5533" w:rsidRPr="00B10461" w:rsidRDefault="00A155C1" w:rsidP="009E3549">
      <w:pPr>
        <w:numPr>
          <w:ilvl w:val="1"/>
          <w:numId w:val="12"/>
        </w:numPr>
        <w:contextualSpacing/>
        <w:rPr>
          <w:b/>
          <w:bCs/>
          <w:strike/>
          <w:szCs w:val="22"/>
          <w:lang w:val="en-GB"/>
        </w:rPr>
      </w:pPr>
      <w:r>
        <w:rPr>
          <w:szCs w:val="22"/>
          <w:lang w:val="en-GB"/>
        </w:rPr>
        <w:t xml:space="preserve">The PBAC </w:t>
      </w:r>
      <w:r w:rsidR="00346337">
        <w:rPr>
          <w:szCs w:val="22"/>
          <w:lang w:val="en-GB"/>
        </w:rPr>
        <w:t xml:space="preserve">agreed with the ESC and the sponsor that the trials included in the informal indirect comparison lacked exchangeability and considered that, in addition, the patients in the clinical trial that included dapagliflozin were not representative of </w:t>
      </w:r>
      <w:r w:rsidR="00346337">
        <w:rPr>
          <w:szCs w:val="22"/>
          <w:lang w:val="en-GB"/>
        </w:rPr>
        <w:lastRenderedPageBreak/>
        <w:t xml:space="preserve">the Australian population who would be treated through the PBS particularly in terms of their age at diagnosis and their ethnicity. </w:t>
      </w:r>
    </w:p>
    <w:p w:rsidR="00AE5533" w:rsidRDefault="00AE5533" w:rsidP="00AE5533">
      <w:pPr>
        <w:pStyle w:val="ListParagraph"/>
        <w:rPr>
          <w:szCs w:val="22"/>
          <w:lang w:val="en-GB"/>
        </w:rPr>
      </w:pPr>
    </w:p>
    <w:p w:rsidR="00AA10C6" w:rsidRPr="00AA10C6" w:rsidRDefault="00A30854" w:rsidP="00AA10C6">
      <w:pPr>
        <w:pStyle w:val="ListParagraph"/>
        <w:numPr>
          <w:ilvl w:val="1"/>
          <w:numId w:val="12"/>
        </w:numPr>
        <w:rPr>
          <w:szCs w:val="22"/>
          <w:lang w:val="en-GB"/>
        </w:rPr>
      </w:pPr>
      <w:r w:rsidRPr="00AA10C6">
        <w:rPr>
          <w:szCs w:val="22"/>
          <w:lang w:val="en-GB"/>
        </w:rPr>
        <w:t xml:space="preserve">The PBAC </w:t>
      </w:r>
      <w:r w:rsidR="00FF51B2" w:rsidRPr="00AA10C6">
        <w:rPr>
          <w:szCs w:val="22"/>
          <w:lang w:val="en-GB"/>
        </w:rPr>
        <w:t xml:space="preserve">noted the </w:t>
      </w:r>
      <w:r w:rsidR="00346337" w:rsidRPr="00AA10C6">
        <w:rPr>
          <w:szCs w:val="22"/>
          <w:lang w:val="en-GB"/>
        </w:rPr>
        <w:t xml:space="preserve">ESC’s </w:t>
      </w:r>
      <w:r w:rsidR="00FF51B2" w:rsidRPr="00AA10C6">
        <w:rPr>
          <w:szCs w:val="22"/>
          <w:lang w:val="en-GB"/>
        </w:rPr>
        <w:t xml:space="preserve">concerns </w:t>
      </w:r>
      <w:r w:rsidR="00346337" w:rsidRPr="00AA10C6">
        <w:rPr>
          <w:szCs w:val="22"/>
          <w:lang w:val="en-GB"/>
        </w:rPr>
        <w:t xml:space="preserve">about </w:t>
      </w:r>
      <w:r w:rsidR="00FF51B2" w:rsidRPr="00AA10C6">
        <w:rPr>
          <w:szCs w:val="22"/>
          <w:lang w:val="en-GB"/>
        </w:rPr>
        <w:t>describing dapagliflozin</w:t>
      </w:r>
      <w:r w:rsidR="00346337" w:rsidRPr="00AA10C6">
        <w:rPr>
          <w:szCs w:val="22"/>
          <w:lang w:val="en-GB"/>
        </w:rPr>
        <w:t>,</w:t>
      </w:r>
      <w:r w:rsidR="00FF51B2" w:rsidRPr="00AA10C6">
        <w:rPr>
          <w:szCs w:val="22"/>
          <w:lang w:val="en-GB"/>
        </w:rPr>
        <w:t xml:space="preserve"> in combination with insulin</w:t>
      </w:r>
      <w:r w:rsidR="00346337" w:rsidRPr="00AA10C6">
        <w:rPr>
          <w:szCs w:val="22"/>
          <w:lang w:val="en-GB"/>
        </w:rPr>
        <w:t>,</w:t>
      </w:r>
      <w:r w:rsidR="00FF51B2" w:rsidRPr="00AA10C6">
        <w:rPr>
          <w:szCs w:val="22"/>
          <w:lang w:val="en-GB"/>
        </w:rPr>
        <w:t xml:space="preserve"> as non-inferior in terms of comparative effectiveness compared with exenatide and </w:t>
      </w:r>
      <w:r w:rsidR="00346337" w:rsidRPr="00AA10C6">
        <w:rPr>
          <w:szCs w:val="22"/>
          <w:lang w:val="en-GB"/>
        </w:rPr>
        <w:t xml:space="preserve">as having </w:t>
      </w:r>
      <w:r w:rsidR="00FF51B2" w:rsidRPr="00AA10C6">
        <w:rPr>
          <w:szCs w:val="22"/>
          <w:lang w:val="en-GB"/>
        </w:rPr>
        <w:t>a different</w:t>
      </w:r>
      <w:r w:rsidR="00346337" w:rsidRPr="00AA10C6">
        <w:rPr>
          <w:szCs w:val="22"/>
          <w:lang w:val="en-GB"/>
        </w:rPr>
        <w:t>,</w:t>
      </w:r>
      <w:r w:rsidR="00FF51B2" w:rsidRPr="00AA10C6">
        <w:rPr>
          <w:szCs w:val="22"/>
          <w:lang w:val="en-GB"/>
        </w:rPr>
        <w:t xml:space="preserve"> but no</w:t>
      </w:r>
      <w:r w:rsidR="00346337" w:rsidRPr="00AA10C6">
        <w:rPr>
          <w:szCs w:val="22"/>
          <w:lang w:val="en-GB"/>
        </w:rPr>
        <w:t>t</w:t>
      </w:r>
      <w:r w:rsidR="00FF51B2" w:rsidRPr="00AA10C6">
        <w:rPr>
          <w:szCs w:val="22"/>
          <w:lang w:val="en-GB"/>
        </w:rPr>
        <w:t xml:space="preserve"> worse</w:t>
      </w:r>
      <w:r w:rsidR="00346337" w:rsidRPr="00AA10C6">
        <w:rPr>
          <w:szCs w:val="22"/>
          <w:lang w:val="en-GB"/>
        </w:rPr>
        <w:t>,</w:t>
      </w:r>
      <w:r w:rsidR="00FF51B2" w:rsidRPr="00AA10C6">
        <w:rPr>
          <w:szCs w:val="22"/>
          <w:lang w:val="en-GB"/>
        </w:rPr>
        <w:t xml:space="preserve"> safety profile than exenatide or insulin in terms of the comparative safety. </w:t>
      </w:r>
      <w:r w:rsidR="004603F1" w:rsidRPr="00AA10C6">
        <w:rPr>
          <w:szCs w:val="22"/>
          <w:lang w:val="en-GB"/>
        </w:rPr>
        <w:t>The PBAC acknowledged</w:t>
      </w:r>
      <w:r w:rsidR="00904C99" w:rsidRPr="00AA10C6">
        <w:rPr>
          <w:szCs w:val="22"/>
          <w:lang w:val="en-GB"/>
        </w:rPr>
        <w:t xml:space="preserve"> the differing views of the ESC and the Sponsor in terms of the </w:t>
      </w:r>
      <w:r w:rsidR="004603F1" w:rsidRPr="00AA10C6">
        <w:rPr>
          <w:szCs w:val="22"/>
          <w:lang w:val="en-GB"/>
        </w:rPr>
        <w:t xml:space="preserve">result of non-inferiority </w:t>
      </w:r>
      <w:r w:rsidR="00904C99" w:rsidRPr="00AA10C6">
        <w:rPr>
          <w:szCs w:val="22"/>
          <w:lang w:val="en-GB"/>
        </w:rPr>
        <w:t>being</w:t>
      </w:r>
      <w:r w:rsidR="004603F1" w:rsidRPr="00AA10C6">
        <w:rPr>
          <w:szCs w:val="22"/>
          <w:lang w:val="en-GB"/>
        </w:rPr>
        <w:t xml:space="preserve"> sensitive to the methods of imputation. </w:t>
      </w:r>
      <w:r w:rsidR="00346337" w:rsidRPr="00AA10C6">
        <w:rPr>
          <w:szCs w:val="22"/>
          <w:lang w:val="en-GB"/>
        </w:rPr>
        <w:t xml:space="preserve">However, </w:t>
      </w:r>
      <w:r w:rsidR="00AA10C6">
        <w:rPr>
          <w:szCs w:val="22"/>
          <w:lang w:val="en-GB"/>
        </w:rPr>
        <w:t>t</w:t>
      </w:r>
      <w:r w:rsidR="00AA10C6" w:rsidRPr="00AA10C6">
        <w:rPr>
          <w:szCs w:val="22"/>
          <w:lang w:val="en-GB"/>
        </w:rPr>
        <w:t>he Committee considered that in this case, on balance, non-inferiority might be accepted, given the difficulties of trying to create and interpret a formal indirect comparison between dapagliflozin and up-titrated insulin compared to the use of insulin in practice.</w:t>
      </w:r>
    </w:p>
    <w:p w:rsidR="00946F91" w:rsidRDefault="00946F91" w:rsidP="00FF51B2">
      <w:pPr>
        <w:ind w:left="720"/>
        <w:contextualSpacing/>
        <w:rPr>
          <w:szCs w:val="22"/>
          <w:lang w:val="en-GB"/>
        </w:rPr>
      </w:pPr>
    </w:p>
    <w:p w:rsidR="00A30854" w:rsidRPr="00396F9F" w:rsidRDefault="001978D6" w:rsidP="00A30854">
      <w:pPr>
        <w:numPr>
          <w:ilvl w:val="1"/>
          <w:numId w:val="12"/>
        </w:numPr>
        <w:contextualSpacing/>
        <w:rPr>
          <w:szCs w:val="22"/>
          <w:lang w:val="en-GB"/>
        </w:rPr>
      </w:pPr>
      <w:r>
        <w:rPr>
          <w:szCs w:val="22"/>
          <w:lang w:val="en-GB"/>
        </w:rPr>
        <w:t>On the other hand, t</w:t>
      </w:r>
      <w:r w:rsidR="006A7297" w:rsidRPr="001978D6">
        <w:rPr>
          <w:szCs w:val="22"/>
          <w:lang w:val="en-GB"/>
        </w:rPr>
        <w:t xml:space="preserve">he PBAC considered that the estimate </w:t>
      </w:r>
      <w:r w:rsidR="00396F9F">
        <w:rPr>
          <w:szCs w:val="22"/>
          <w:lang w:val="en-GB"/>
        </w:rPr>
        <w:t xml:space="preserve">of </w:t>
      </w:r>
      <w:r w:rsidR="006A7297" w:rsidRPr="001978D6">
        <w:rPr>
          <w:szCs w:val="22"/>
          <w:lang w:val="en-GB"/>
        </w:rPr>
        <w:t xml:space="preserve">equi-effective doses from the multi-step informal indirect comparison was </w:t>
      </w:r>
      <w:r w:rsidR="0082609C" w:rsidRPr="001978D6">
        <w:rPr>
          <w:szCs w:val="22"/>
          <w:lang w:val="en-GB"/>
        </w:rPr>
        <w:t xml:space="preserve">difficult to support due to the </w:t>
      </w:r>
      <w:r>
        <w:rPr>
          <w:szCs w:val="22"/>
          <w:lang w:val="en-GB"/>
        </w:rPr>
        <w:t xml:space="preserve">lack of interchangeability between the clinical trials. </w:t>
      </w:r>
      <w:r w:rsidR="00396F9F">
        <w:rPr>
          <w:szCs w:val="22"/>
          <w:lang w:val="en-GB"/>
        </w:rPr>
        <w:t xml:space="preserve"> </w:t>
      </w:r>
      <w:r w:rsidR="00396F9F" w:rsidRPr="00396F9F">
        <w:rPr>
          <w:szCs w:val="22"/>
          <w:lang w:val="en-GB"/>
        </w:rPr>
        <w:t>H</w:t>
      </w:r>
      <w:r w:rsidR="003B1300" w:rsidRPr="00396F9F">
        <w:rPr>
          <w:szCs w:val="22"/>
          <w:lang w:val="en-GB"/>
        </w:rPr>
        <w:t>ence t</w:t>
      </w:r>
      <w:r w:rsidR="006A7297" w:rsidRPr="00396F9F">
        <w:rPr>
          <w:szCs w:val="22"/>
          <w:lang w:val="en-GB"/>
        </w:rPr>
        <w:t>he committee</w:t>
      </w:r>
      <w:r w:rsidR="00FF51B2" w:rsidRPr="00396F9F">
        <w:rPr>
          <w:szCs w:val="22"/>
          <w:lang w:val="en-GB"/>
        </w:rPr>
        <w:t xml:space="preserve"> </w:t>
      </w:r>
      <w:r w:rsidRPr="00396F9F">
        <w:rPr>
          <w:szCs w:val="22"/>
          <w:lang w:val="en-GB"/>
        </w:rPr>
        <w:t xml:space="preserve">considered </w:t>
      </w:r>
      <w:r w:rsidR="006A7297" w:rsidRPr="00396F9F">
        <w:rPr>
          <w:szCs w:val="22"/>
          <w:lang w:val="en-GB"/>
        </w:rPr>
        <w:t xml:space="preserve">that the dose equivalence </w:t>
      </w:r>
      <w:r w:rsidRPr="00396F9F">
        <w:rPr>
          <w:szCs w:val="22"/>
          <w:lang w:val="en-GB"/>
        </w:rPr>
        <w:t xml:space="preserve">should be based on the established relativity between exenatide and insulin glargine as reflected in </w:t>
      </w:r>
      <w:r w:rsidR="00FF51B2" w:rsidRPr="00396F9F">
        <w:rPr>
          <w:szCs w:val="22"/>
          <w:lang w:val="en-GB"/>
        </w:rPr>
        <w:t>the 1 August 2014 Therapeutic Relativity Sheets</w:t>
      </w:r>
      <w:r w:rsidR="006A7297" w:rsidRPr="00396F9F">
        <w:rPr>
          <w:szCs w:val="22"/>
          <w:lang w:val="en-GB"/>
        </w:rPr>
        <w:t>:</w:t>
      </w:r>
      <w:r w:rsidR="00396F9F" w:rsidRPr="00396F9F">
        <w:rPr>
          <w:szCs w:val="22"/>
          <w:lang w:val="en-GB"/>
        </w:rPr>
        <w:t xml:space="preserve"> </w:t>
      </w:r>
      <w:r w:rsidR="00B10461" w:rsidRPr="00396F9F">
        <w:rPr>
          <w:szCs w:val="22"/>
          <w:lang w:val="en-GB"/>
        </w:rPr>
        <w:t>d</w:t>
      </w:r>
      <w:r w:rsidR="006A7297" w:rsidRPr="00396F9F">
        <w:rPr>
          <w:szCs w:val="22"/>
          <w:lang w:val="en-GB"/>
        </w:rPr>
        <w:t xml:space="preserve">apagliflozin 10 mg daily is equivalent </w:t>
      </w:r>
      <w:proofErr w:type="gramStart"/>
      <w:r w:rsidR="006A7297" w:rsidRPr="00396F9F">
        <w:rPr>
          <w:szCs w:val="22"/>
          <w:lang w:val="en-GB"/>
        </w:rPr>
        <w:t>to insulin glargine 26.5 units/day (triple therapy)</w:t>
      </w:r>
      <w:proofErr w:type="gramEnd"/>
      <w:r w:rsidR="006A7297" w:rsidRPr="00396F9F">
        <w:rPr>
          <w:szCs w:val="22"/>
          <w:lang w:val="en-GB"/>
        </w:rPr>
        <w:t xml:space="preserve"> </w:t>
      </w:r>
      <w:r w:rsidR="00B10461" w:rsidRPr="00396F9F">
        <w:rPr>
          <w:szCs w:val="22"/>
          <w:lang w:val="en-GB"/>
        </w:rPr>
        <w:t>and 28.2 units/day (dual therapy)</w:t>
      </w:r>
      <w:r w:rsidR="00A30854" w:rsidRPr="00396F9F">
        <w:rPr>
          <w:szCs w:val="22"/>
          <w:lang w:val="en-GB"/>
        </w:rPr>
        <w:t>.</w:t>
      </w:r>
    </w:p>
    <w:p w:rsidR="00A30854" w:rsidRDefault="00A30854" w:rsidP="007551B2">
      <w:pPr>
        <w:ind w:left="709" w:hanging="709"/>
        <w:rPr>
          <w:szCs w:val="22"/>
          <w:lang w:val="en-GB"/>
        </w:rPr>
      </w:pPr>
    </w:p>
    <w:p w:rsidR="00D8303B" w:rsidRPr="00E1487C" w:rsidRDefault="00D8303B" w:rsidP="00D8303B">
      <w:pPr>
        <w:numPr>
          <w:ilvl w:val="1"/>
          <w:numId w:val="12"/>
        </w:numPr>
        <w:contextualSpacing/>
        <w:rPr>
          <w:szCs w:val="22"/>
          <w:lang w:val="en-GB"/>
        </w:rPr>
      </w:pPr>
      <w:r w:rsidRPr="00E1487C">
        <w:rPr>
          <w:szCs w:val="22"/>
          <w:lang w:val="en-GB"/>
        </w:rPr>
        <w:t xml:space="preserve">The PBAC agreed that all non-insulin costs associated with the use of fast/intermediate acting insulin can be avoided when </w:t>
      </w:r>
      <w:proofErr w:type="gramStart"/>
      <w:r w:rsidRPr="00E1487C">
        <w:rPr>
          <w:szCs w:val="22"/>
          <w:lang w:val="en-GB"/>
        </w:rPr>
        <w:t>a fast</w:t>
      </w:r>
      <w:proofErr w:type="gramEnd"/>
      <w:r w:rsidRPr="00E1487C">
        <w:rPr>
          <w:szCs w:val="22"/>
          <w:lang w:val="en-GB"/>
        </w:rPr>
        <w:t xml:space="preserve">/intermediate acting insulin is replaced with dapagliflozin. The committee further considered that when </w:t>
      </w:r>
      <w:proofErr w:type="gramStart"/>
      <w:r w:rsidRPr="00E1487C">
        <w:rPr>
          <w:szCs w:val="22"/>
          <w:lang w:val="en-GB"/>
        </w:rPr>
        <w:t>a long</w:t>
      </w:r>
      <w:proofErr w:type="gramEnd"/>
      <w:r w:rsidRPr="00E1487C">
        <w:rPr>
          <w:szCs w:val="22"/>
          <w:lang w:val="en-GB"/>
        </w:rPr>
        <w:t>/intermediate acting insulin is partially replaced with dapagliflozin, then only some of the costs associated with that insulin may be avoided.</w:t>
      </w:r>
    </w:p>
    <w:p w:rsidR="00D8303B" w:rsidRPr="00E1487C" w:rsidRDefault="00D8303B" w:rsidP="00D8303B">
      <w:pPr>
        <w:pStyle w:val="ListParagraph"/>
        <w:rPr>
          <w:szCs w:val="22"/>
          <w:lang w:val="en-GB"/>
        </w:rPr>
      </w:pPr>
    </w:p>
    <w:p w:rsidR="00D8303B" w:rsidRPr="00E1487C" w:rsidRDefault="00D8303B" w:rsidP="00D8303B">
      <w:pPr>
        <w:numPr>
          <w:ilvl w:val="1"/>
          <w:numId w:val="12"/>
        </w:numPr>
        <w:contextualSpacing/>
        <w:rPr>
          <w:szCs w:val="22"/>
          <w:lang w:val="en-GB"/>
        </w:rPr>
      </w:pPr>
      <w:r w:rsidRPr="00E1487C">
        <w:rPr>
          <w:szCs w:val="22"/>
          <w:lang w:val="en-GB"/>
        </w:rPr>
        <w:t xml:space="preserve">However, the PBAC did not accept that all the non-insulin costs proposed by the submission as offsets were appropriate.  In reaching the view that not all the offsets proposed were appropriate, the PBAC noted that the exenatide (BD) March 2010 submission nominated by the submission was not an entirely relevant precedent. In the exenatide submission it was assumed insulin would be completely replaced by exenatide. In the case of dapagliflozin, all patients, even those able to completely discontinue fast/intermediate acting insulin will remain on some insulin treatment. Dapagliflozin and exenatide have different mechanisms of action and thus the requirements for monitoring when switching from insulin to one of these drugs are not the same. Lastly, the Australian guidelines for managing diabetes have changed since 2010 with associated changes in the way diabetes nurse educators are used.   </w:t>
      </w:r>
    </w:p>
    <w:p w:rsidR="00D8303B" w:rsidRPr="00E1487C" w:rsidRDefault="00D8303B" w:rsidP="00D8303B">
      <w:pPr>
        <w:rPr>
          <w:szCs w:val="22"/>
          <w:lang w:val="en-GB"/>
        </w:rPr>
      </w:pPr>
    </w:p>
    <w:p w:rsidR="00D8303B" w:rsidRPr="00E1487C" w:rsidRDefault="00D8303B" w:rsidP="00D8303B">
      <w:pPr>
        <w:numPr>
          <w:ilvl w:val="1"/>
          <w:numId w:val="12"/>
        </w:numPr>
        <w:contextualSpacing/>
        <w:rPr>
          <w:szCs w:val="22"/>
          <w:lang w:val="en-GB"/>
        </w:rPr>
      </w:pPr>
      <w:r w:rsidRPr="00E1487C">
        <w:rPr>
          <w:szCs w:val="22"/>
          <w:lang w:val="en-GB"/>
        </w:rPr>
        <w:t>The PBAC noted that there is little data available on use of non-insulin consumables with different combinations of diabetes medicines, making it difficult to determine what offsets will be realised in clinical practice. The PBAC considered that, on balance, the following non-insulin cost offsets were appropriate for dapagliflozin (with insulin):</w:t>
      </w:r>
    </w:p>
    <w:p w:rsidR="00D8303B" w:rsidRPr="00E1487C" w:rsidRDefault="00D8303B" w:rsidP="00D8303B">
      <w:pPr>
        <w:pStyle w:val="ListParagraph"/>
        <w:numPr>
          <w:ilvl w:val="0"/>
          <w:numId w:val="39"/>
        </w:numPr>
        <w:ind w:left="1134" w:hanging="425"/>
        <w:rPr>
          <w:szCs w:val="22"/>
          <w:lang w:val="en-GB"/>
        </w:rPr>
      </w:pPr>
      <w:r w:rsidRPr="00E1487C">
        <w:rPr>
          <w:szCs w:val="22"/>
          <w:lang w:val="en-GB"/>
        </w:rPr>
        <w:t>an approximate 50% reduction in needle costs for patients receiving a fast or intermediate acting insulin is reasonable based on the previous consideration of exenatide (once weekly) in November 2013; and</w:t>
      </w:r>
    </w:p>
    <w:p w:rsidR="00D8303B" w:rsidRPr="00E1487C" w:rsidRDefault="00D8303B" w:rsidP="00D8303B">
      <w:pPr>
        <w:pStyle w:val="ListParagraph"/>
        <w:numPr>
          <w:ilvl w:val="0"/>
          <w:numId w:val="39"/>
        </w:numPr>
        <w:ind w:left="1134" w:hanging="425"/>
        <w:rPr>
          <w:lang w:val="en-GB"/>
        </w:rPr>
      </w:pPr>
      <w:r w:rsidRPr="00E1487C">
        <w:rPr>
          <w:szCs w:val="22"/>
          <w:lang w:val="en-GB"/>
        </w:rPr>
        <w:t xml:space="preserve">a reduction in the use of blood glucose test strips for all patients of, on average, one test strip per day, is reasonable on the basis that patients will continue to use some insulin and will likely, at least initially on adding dapagliflozin, continue to test their blood glucose at the same frequency as before; but once they have </w:t>
      </w:r>
      <w:r w:rsidRPr="00E1487C">
        <w:rPr>
          <w:szCs w:val="22"/>
          <w:lang w:val="en-GB"/>
        </w:rPr>
        <w:lastRenderedPageBreak/>
        <w:t xml:space="preserve">been stabilised on dapagliflozin and insulin, they will be able to reduce by one the number of tests they conduct each day; and </w:t>
      </w:r>
    </w:p>
    <w:p w:rsidR="00D8303B" w:rsidRPr="00E1487C" w:rsidRDefault="00D8303B" w:rsidP="00D8303B">
      <w:pPr>
        <w:pStyle w:val="ListParagraph"/>
        <w:numPr>
          <w:ilvl w:val="0"/>
          <w:numId w:val="39"/>
        </w:numPr>
        <w:ind w:left="1134" w:hanging="425"/>
        <w:rPr>
          <w:lang w:val="en-GB"/>
        </w:rPr>
      </w:pPr>
      <w:proofErr w:type="gramStart"/>
      <w:r w:rsidRPr="00E1487C">
        <w:rPr>
          <w:lang w:val="en-GB"/>
        </w:rPr>
        <w:t>the</w:t>
      </w:r>
      <w:proofErr w:type="gramEnd"/>
      <w:r w:rsidRPr="00E1487C">
        <w:rPr>
          <w:lang w:val="en-GB"/>
        </w:rPr>
        <w:t xml:space="preserve"> cost offset for hypoglycaemia as proposed in the Pre-PBAC Response, and based on the advice of the ESC. </w:t>
      </w:r>
    </w:p>
    <w:p w:rsidR="00D8303B" w:rsidRPr="00E1487C" w:rsidRDefault="00D8303B" w:rsidP="00D8303B">
      <w:pPr>
        <w:pStyle w:val="ListParagraph"/>
        <w:ind w:left="1134"/>
        <w:rPr>
          <w:lang w:val="en-GB"/>
        </w:rPr>
      </w:pPr>
      <w:r w:rsidRPr="00E1487C">
        <w:rPr>
          <w:szCs w:val="22"/>
          <w:lang w:val="en-GB"/>
        </w:rPr>
        <w:t xml:space="preserve"> </w:t>
      </w:r>
    </w:p>
    <w:p w:rsidR="00D8303B" w:rsidRPr="00E1487C" w:rsidRDefault="00D8303B" w:rsidP="00D8303B">
      <w:pPr>
        <w:numPr>
          <w:ilvl w:val="1"/>
          <w:numId w:val="12"/>
        </w:numPr>
        <w:contextualSpacing/>
        <w:rPr>
          <w:szCs w:val="22"/>
          <w:lang w:val="en-GB"/>
        </w:rPr>
      </w:pPr>
      <w:r w:rsidRPr="00E1487C">
        <w:rPr>
          <w:szCs w:val="22"/>
          <w:lang w:val="en-GB"/>
        </w:rPr>
        <w:t>The PBAC agreed with the ESC that a cost offset for savings in anti-hypertensive medications is not appropriate as data from the meta-analysis exploring benefits of using lower dose combination anti-hypertensive regimens does not support the proposed dose reductions, and noted that the sponsor had accepted this approach in its Pre-PBAC Response.</w:t>
      </w:r>
    </w:p>
    <w:p w:rsidR="00D8303B" w:rsidRPr="00E1487C" w:rsidRDefault="00D8303B" w:rsidP="00D8303B">
      <w:pPr>
        <w:pStyle w:val="ListParagraph"/>
        <w:rPr>
          <w:szCs w:val="22"/>
          <w:lang w:val="en-GB"/>
        </w:rPr>
      </w:pPr>
    </w:p>
    <w:p w:rsidR="00D8303B" w:rsidRPr="00E1487C" w:rsidRDefault="00D8303B" w:rsidP="00D8303B">
      <w:pPr>
        <w:numPr>
          <w:ilvl w:val="1"/>
          <w:numId w:val="12"/>
        </w:numPr>
        <w:contextualSpacing/>
        <w:rPr>
          <w:b/>
          <w:szCs w:val="22"/>
          <w:lang w:val="en-GB"/>
        </w:rPr>
      </w:pPr>
      <w:r w:rsidRPr="00E1487C">
        <w:rPr>
          <w:szCs w:val="22"/>
          <w:lang w:val="en-GB"/>
        </w:rPr>
        <w:t>The committee agreed with the ESC advice that</w:t>
      </w:r>
      <w:r w:rsidRPr="00E1487C">
        <w:rPr>
          <w:bCs/>
          <w:szCs w:val="22"/>
          <w:lang w:val="en-GB"/>
        </w:rPr>
        <w:t xml:space="preserve"> “no reduction in the number of nurse educator visits” is appropriate irrespective of the type of insulin being replaced or the extent to which that insulin is replaced.  In forming this view, the PBAC considered that the content of these visits is not specific to titration (as claimed by the submission), that the guidelines for nurse educator visits have changed since 2010 and that the addition of dapagliflozin to background insulin treatment may, in the short term, result in more frequent episodes of hypoglycaemia, with the possibility that more, rather than less, nurse educator visits are appropriate in this setting.</w:t>
      </w:r>
    </w:p>
    <w:p w:rsidR="00D8303B" w:rsidRPr="00E1487C" w:rsidRDefault="00D8303B" w:rsidP="00D8303B">
      <w:pPr>
        <w:contextualSpacing/>
        <w:rPr>
          <w:b/>
          <w:szCs w:val="22"/>
          <w:lang w:val="en-GB"/>
        </w:rPr>
      </w:pPr>
    </w:p>
    <w:p w:rsidR="00D8303B" w:rsidRPr="00E1487C" w:rsidRDefault="00D8303B" w:rsidP="00D8303B">
      <w:pPr>
        <w:numPr>
          <w:ilvl w:val="1"/>
          <w:numId w:val="12"/>
        </w:numPr>
        <w:contextualSpacing/>
        <w:rPr>
          <w:szCs w:val="22"/>
          <w:lang w:val="en-GB"/>
        </w:rPr>
      </w:pPr>
      <w:r w:rsidRPr="00E1487C">
        <w:rPr>
          <w:bCs/>
          <w:szCs w:val="22"/>
          <w:lang w:val="en-GB"/>
        </w:rPr>
        <w:t>The PBAC considered that the cost of monitoring adverse events including additional visits to the doctor, treatment with antibiotics and antifungals, and mid-stream urine testing should be included as an offset.</w:t>
      </w:r>
      <w:r w:rsidRPr="00E1487C">
        <w:t xml:space="preserve"> </w:t>
      </w:r>
      <w:r w:rsidRPr="00E1487C">
        <w:rPr>
          <w:bCs/>
          <w:szCs w:val="22"/>
          <w:lang w:val="en-GB"/>
        </w:rPr>
        <w:t>The PBAC agreed with the ESC that the cost-offset associated with this offset should be double that proposed by the submission.</w:t>
      </w:r>
    </w:p>
    <w:p w:rsidR="00D8303B" w:rsidRPr="00E1487C" w:rsidRDefault="00D8303B" w:rsidP="00D8303B">
      <w:pPr>
        <w:contextualSpacing/>
        <w:rPr>
          <w:szCs w:val="22"/>
          <w:lang w:val="en-GB"/>
        </w:rPr>
      </w:pPr>
    </w:p>
    <w:p w:rsidR="00D8303B" w:rsidRPr="00E1487C" w:rsidRDefault="00D8303B" w:rsidP="00D8303B">
      <w:pPr>
        <w:numPr>
          <w:ilvl w:val="1"/>
          <w:numId w:val="12"/>
        </w:numPr>
        <w:contextualSpacing/>
        <w:rPr>
          <w:szCs w:val="22"/>
          <w:lang w:val="en-GB"/>
        </w:rPr>
      </w:pPr>
      <w:r w:rsidRPr="00E1487C">
        <w:rPr>
          <w:szCs w:val="22"/>
        </w:rPr>
        <w:t>The PBAC recommended that the Safety Net 20 Day Rule should apply for dapagliflozin in combination with insulin.</w:t>
      </w:r>
    </w:p>
    <w:p w:rsidR="00D8303B" w:rsidRPr="00E1487C" w:rsidRDefault="00D8303B" w:rsidP="00D8303B">
      <w:pPr>
        <w:contextualSpacing/>
        <w:rPr>
          <w:szCs w:val="22"/>
          <w:lang w:val="en-GB"/>
        </w:rPr>
      </w:pPr>
    </w:p>
    <w:p w:rsidR="00D8303B" w:rsidRPr="00E1487C" w:rsidRDefault="00D8303B" w:rsidP="00D8303B">
      <w:pPr>
        <w:numPr>
          <w:ilvl w:val="1"/>
          <w:numId w:val="12"/>
        </w:numPr>
        <w:contextualSpacing/>
        <w:rPr>
          <w:szCs w:val="22"/>
          <w:lang w:val="en-GB"/>
        </w:rPr>
      </w:pPr>
      <w:r w:rsidRPr="00E1487C">
        <w:rPr>
          <w:szCs w:val="22"/>
          <w:lang w:val="en-GB"/>
        </w:rPr>
        <w:t>The PBAC recommended dapagliflozin (with insulin) is suitable for inclusion in the PBS medicines for prescribing by nurse practitioners under Continuing Therapy Only.</w:t>
      </w:r>
    </w:p>
    <w:p w:rsidR="00D8303B" w:rsidRPr="00E1487C" w:rsidRDefault="00D8303B" w:rsidP="00D8303B">
      <w:pPr>
        <w:contextualSpacing/>
        <w:rPr>
          <w:szCs w:val="22"/>
        </w:rPr>
      </w:pPr>
    </w:p>
    <w:p w:rsidR="00BA38E9" w:rsidRDefault="00BA38E9" w:rsidP="00BA38E9">
      <w:pPr>
        <w:rPr>
          <w:b/>
          <w:bCs/>
          <w:szCs w:val="22"/>
          <w:lang w:val="en-GB"/>
        </w:rPr>
      </w:pPr>
    </w:p>
    <w:p w:rsidR="003D18A3" w:rsidRPr="00B86DC5" w:rsidRDefault="003D18A3" w:rsidP="00D1798A">
      <w:pPr>
        <w:rPr>
          <w:b/>
          <w:bCs/>
          <w:szCs w:val="22"/>
          <w:lang w:val="en-GB"/>
        </w:rPr>
      </w:pPr>
      <w:r w:rsidRPr="00B86DC5">
        <w:rPr>
          <w:b/>
          <w:bCs/>
          <w:szCs w:val="22"/>
          <w:lang w:val="en-GB"/>
        </w:rPr>
        <w:t>Outcome:</w:t>
      </w:r>
    </w:p>
    <w:p w:rsidR="003D18A3" w:rsidRPr="00B86DC5" w:rsidRDefault="003D18A3" w:rsidP="00D1798A">
      <w:pPr>
        <w:rPr>
          <w:bCs/>
          <w:szCs w:val="22"/>
          <w:lang w:val="en-GB"/>
        </w:rPr>
      </w:pPr>
      <w:r w:rsidRPr="00B86DC5">
        <w:rPr>
          <w:bCs/>
          <w:szCs w:val="22"/>
          <w:lang w:val="en-GB"/>
        </w:rPr>
        <w:t>Recommended</w:t>
      </w:r>
    </w:p>
    <w:p w:rsidR="00D1798A" w:rsidRDefault="00D1798A" w:rsidP="00D1798A">
      <w:pPr>
        <w:rPr>
          <w:bCs/>
          <w:szCs w:val="22"/>
          <w:highlight w:val="yellow"/>
          <w:lang w:val="en-GB"/>
        </w:rPr>
      </w:pPr>
    </w:p>
    <w:p w:rsidR="00420DDD" w:rsidRDefault="00420DDD">
      <w:pPr>
        <w:widowControl/>
        <w:jc w:val="left"/>
        <w:rPr>
          <w:bCs/>
          <w:szCs w:val="22"/>
          <w:highlight w:val="yellow"/>
          <w:lang w:val="en-GB"/>
        </w:rPr>
      </w:pPr>
    </w:p>
    <w:p w:rsidR="00D1798A" w:rsidRPr="00C92CC9" w:rsidRDefault="00D1798A" w:rsidP="00D1798A">
      <w:pPr>
        <w:numPr>
          <w:ilvl w:val="0"/>
          <w:numId w:val="12"/>
        </w:numPr>
        <w:rPr>
          <w:b/>
          <w:bCs/>
          <w:i/>
          <w:szCs w:val="22"/>
          <w:lang w:val="en-GB"/>
        </w:rPr>
      </w:pPr>
      <w:r w:rsidRPr="00C92CC9">
        <w:rPr>
          <w:b/>
          <w:bCs/>
          <w:szCs w:val="22"/>
          <w:lang w:val="en-GB"/>
        </w:rPr>
        <w:t>Recommended listing</w:t>
      </w:r>
    </w:p>
    <w:p w:rsidR="00D1798A" w:rsidRPr="006C307E" w:rsidRDefault="00D1798A" w:rsidP="00D1798A">
      <w:pPr>
        <w:rPr>
          <w:b/>
          <w:bCs/>
          <w:i/>
          <w:szCs w:val="22"/>
          <w:highlight w:val="yellow"/>
          <w:lang w:val="en-GB"/>
        </w:rPr>
      </w:pPr>
    </w:p>
    <w:p w:rsidR="00D1798A" w:rsidRPr="00C92CC9" w:rsidRDefault="00D1798A" w:rsidP="00D97C3A">
      <w:pPr>
        <w:numPr>
          <w:ilvl w:val="1"/>
          <w:numId w:val="12"/>
        </w:numPr>
        <w:contextualSpacing/>
        <w:rPr>
          <w:bCs/>
          <w:szCs w:val="22"/>
        </w:rPr>
      </w:pPr>
      <w:r w:rsidRPr="00C92CC9">
        <w:rPr>
          <w:bCs/>
          <w:szCs w:val="22"/>
        </w:rPr>
        <w:t>Amend existing/recommended listing as follows:</w:t>
      </w:r>
    </w:p>
    <w:p w:rsidR="00D1798A" w:rsidRPr="006C307E" w:rsidRDefault="00D1798A" w:rsidP="00D1798A">
      <w:pPr>
        <w:ind w:firstLine="709"/>
        <w:rPr>
          <w:bCs/>
          <w:szCs w:val="22"/>
          <w:highlight w:val="yellow"/>
        </w:rPr>
      </w:pPr>
    </w:p>
    <w:tbl>
      <w:tblPr>
        <w:tblW w:w="7933" w:type="dxa"/>
        <w:tblInd w:w="817" w:type="dxa"/>
        <w:tblLayout w:type="fixed"/>
        <w:tblLook w:val="0000" w:firstRow="0" w:lastRow="0" w:firstColumn="0" w:lastColumn="0" w:noHBand="0" w:noVBand="0"/>
      </w:tblPr>
      <w:tblGrid>
        <w:gridCol w:w="3544"/>
        <w:gridCol w:w="709"/>
        <w:gridCol w:w="756"/>
        <w:gridCol w:w="265"/>
        <w:gridCol w:w="1462"/>
        <w:gridCol w:w="1197"/>
      </w:tblGrid>
      <w:tr w:rsidR="00B86DC5" w:rsidRPr="001A1D3D" w:rsidTr="00564278">
        <w:trPr>
          <w:cantSplit/>
          <w:trHeight w:val="526"/>
        </w:trPr>
        <w:tc>
          <w:tcPr>
            <w:tcW w:w="3544" w:type="dxa"/>
            <w:tcBorders>
              <w:bottom w:val="single" w:sz="4" w:space="0" w:color="auto"/>
            </w:tcBorders>
          </w:tcPr>
          <w:p w:rsidR="00B86DC5" w:rsidRPr="001A1D3D" w:rsidRDefault="00B86DC5" w:rsidP="00564278">
            <w:pPr>
              <w:keepNext/>
              <w:ind w:left="-108"/>
              <w:rPr>
                <w:rFonts w:ascii="Arial Narrow" w:hAnsi="Arial Narrow"/>
                <w:sz w:val="20"/>
                <w:szCs w:val="22"/>
              </w:rPr>
            </w:pPr>
            <w:r w:rsidRPr="001A1D3D">
              <w:rPr>
                <w:rFonts w:ascii="Arial Narrow" w:hAnsi="Arial Narrow"/>
                <w:sz w:val="20"/>
                <w:szCs w:val="22"/>
              </w:rPr>
              <w:t>Name, Restriction,</w:t>
            </w:r>
          </w:p>
          <w:p w:rsidR="00B86DC5" w:rsidRPr="001A1D3D" w:rsidRDefault="00B86DC5" w:rsidP="00564278">
            <w:pPr>
              <w:keepNext/>
              <w:ind w:left="-108"/>
              <w:rPr>
                <w:rFonts w:ascii="Arial Narrow" w:hAnsi="Arial Narrow"/>
                <w:sz w:val="20"/>
                <w:szCs w:val="22"/>
              </w:rPr>
            </w:pPr>
            <w:r w:rsidRPr="001A1D3D">
              <w:rPr>
                <w:rFonts w:ascii="Arial Narrow" w:hAnsi="Arial Narrow"/>
                <w:sz w:val="20"/>
                <w:szCs w:val="22"/>
              </w:rPr>
              <w:t>Manner of administration and form</w:t>
            </w:r>
          </w:p>
        </w:tc>
        <w:tc>
          <w:tcPr>
            <w:tcW w:w="709" w:type="dxa"/>
            <w:tcBorders>
              <w:bottom w:val="single" w:sz="4" w:space="0" w:color="auto"/>
            </w:tcBorders>
          </w:tcPr>
          <w:p w:rsidR="00B86DC5" w:rsidRPr="001A1D3D" w:rsidRDefault="00B86DC5" w:rsidP="00564278">
            <w:pPr>
              <w:keepNext/>
              <w:ind w:left="-108"/>
              <w:rPr>
                <w:rFonts w:ascii="Arial Narrow" w:hAnsi="Arial Narrow"/>
                <w:sz w:val="20"/>
                <w:szCs w:val="22"/>
              </w:rPr>
            </w:pPr>
            <w:r w:rsidRPr="001A1D3D">
              <w:rPr>
                <w:rFonts w:ascii="Arial Narrow" w:hAnsi="Arial Narrow"/>
                <w:sz w:val="20"/>
                <w:szCs w:val="22"/>
              </w:rPr>
              <w:t>Max</w:t>
            </w:r>
          </w:p>
          <w:p w:rsidR="00B86DC5" w:rsidRPr="001A1D3D" w:rsidRDefault="00B86DC5" w:rsidP="00564278">
            <w:pPr>
              <w:keepNext/>
              <w:ind w:left="-108"/>
              <w:rPr>
                <w:rFonts w:ascii="Arial Narrow" w:hAnsi="Arial Narrow"/>
                <w:sz w:val="20"/>
                <w:szCs w:val="22"/>
              </w:rPr>
            </w:pPr>
            <w:r w:rsidRPr="001A1D3D">
              <w:rPr>
                <w:rFonts w:ascii="Arial Narrow" w:hAnsi="Arial Narrow"/>
                <w:sz w:val="20"/>
                <w:szCs w:val="22"/>
              </w:rPr>
              <w:t>Qty</w:t>
            </w:r>
          </w:p>
        </w:tc>
        <w:tc>
          <w:tcPr>
            <w:tcW w:w="756" w:type="dxa"/>
            <w:tcBorders>
              <w:bottom w:val="single" w:sz="4" w:space="0" w:color="auto"/>
            </w:tcBorders>
          </w:tcPr>
          <w:p w:rsidR="00B86DC5" w:rsidRPr="001A1D3D" w:rsidRDefault="00B86DC5" w:rsidP="00564278">
            <w:pPr>
              <w:keepNext/>
              <w:ind w:left="-108"/>
              <w:rPr>
                <w:rFonts w:ascii="Arial Narrow" w:hAnsi="Arial Narrow"/>
                <w:sz w:val="20"/>
                <w:szCs w:val="22"/>
              </w:rPr>
            </w:pPr>
            <w:r w:rsidRPr="001A1D3D">
              <w:rPr>
                <w:rFonts w:ascii="Arial Narrow" w:hAnsi="Arial Narrow"/>
                <w:sz w:val="20"/>
                <w:szCs w:val="22"/>
              </w:rPr>
              <w:t>№.of</w:t>
            </w:r>
          </w:p>
          <w:p w:rsidR="00B86DC5" w:rsidRPr="001A1D3D" w:rsidRDefault="00B86DC5" w:rsidP="00564278">
            <w:pPr>
              <w:keepNext/>
              <w:ind w:left="-108"/>
              <w:rPr>
                <w:rFonts w:ascii="Arial Narrow" w:hAnsi="Arial Narrow"/>
                <w:sz w:val="20"/>
                <w:szCs w:val="22"/>
              </w:rPr>
            </w:pPr>
            <w:r w:rsidRPr="001A1D3D">
              <w:rPr>
                <w:rFonts w:ascii="Arial Narrow" w:hAnsi="Arial Narrow"/>
                <w:sz w:val="20"/>
                <w:szCs w:val="22"/>
              </w:rPr>
              <w:t>Rpts</w:t>
            </w:r>
          </w:p>
        </w:tc>
        <w:tc>
          <w:tcPr>
            <w:tcW w:w="265" w:type="dxa"/>
            <w:tcBorders>
              <w:bottom w:val="single" w:sz="4" w:space="0" w:color="auto"/>
            </w:tcBorders>
          </w:tcPr>
          <w:p w:rsidR="00B86DC5" w:rsidRPr="001A1D3D" w:rsidRDefault="00B86DC5" w:rsidP="00564278">
            <w:pPr>
              <w:keepNext/>
              <w:ind w:left="-108"/>
              <w:rPr>
                <w:rFonts w:ascii="Arial Narrow" w:hAnsi="Arial Narrow"/>
                <w:sz w:val="20"/>
                <w:szCs w:val="22"/>
              </w:rPr>
            </w:pPr>
          </w:p>
        </w:tc>
        <w:tc>
          <w:tcPr>
            <w:tcW w:w="2659" w:type="dxa"/>
            <w:gridSpan w:val="2"/>
            <w:tcBorders>
              <w:bottom w:val="single" w:sz="4" w:space="0" w:color="auto"/>
            </w:tcBorders>
          </w:tcPr>
          <w:p w:rsidR="00B86DC5" w:rsidRPr="001A1D3D" w:rsidRDefault="00B86DC5" w:rsidP="00564278">
            <w:pPr>
              <w:keepNext/>
              <w:rPr>
                <w:rFonts w:ascii="Arial Narrow" w:hAnsi="Arial Narrow"/>
                <w:sz w:val="20"/>
                <w:szCs w:val="22"/>
                <w:lang w:val="fr-FR"/>
              </w:rPr>
            </w:pPr>
            <w:r w:rsidRPr="001A1D3D">
              <w:rPr>
                <w:rFonts w:ascii="Arial Narrow" w:hAnsi="Arial Narrow"/>
                <w:sz w:val="20"/>
                <w:szCs w:val="22"/>
              </w:rPr>
              <w:t>Proprietary Name and Manufacturer</w:t>
            </w:r>
          </w:p>
        </w:tc>
      </w:tr>
      <w:tr w:rsidR="00B86DC5" w:rsidRPr="001A1D3D" w:rsidTr="00564278">
        <w:trPr>
          <w:cantSplit/>
          <w:trHeight w:val="645"/>
        </w:trPr>
        <w:tc>
          <w:tcPr>
            <w:tcW w:w="3544" w:type="dxa"/>
          </w:tcPr>
          <w:p w:rsidR="00B86DC5" w:rsidRPr="001A1D3D" w:rsidRDefault="00B86DC5" w:rsidP="00564278">
            <w:pPr>
              <w:ind w:left="-108"/>
              <w:rPr>
                <w:rFonts w:ascii="Arial Narrow" w:hAnsi="Arial Narrow"/>
                <w:sz w:val="20"/>
                <w:szCs w:val="22"/>
              </w:rPr>
            </w:pPr>
            <w:r w:rsidRPr="001A1D3D">
              <w:rPr>
                <w:rFonts w:ascii="Arial Narrow" w:hAnsi="Arial Narrow"/>
                <w:sz w:val="20"/>
                <w:szCs w:val="22"/>
              </w:rPr>
              <w:t>DAPAGLIFLOZIN</w:t>
            </w:r>
          </w:p>
          <w:p w:rsidR="00B86DC5" w:rsidRPr="001A1D3D" w:rsidRDefault="00B86DC5" w:rsidP="00564278">
            <w:pPr>
              <w:keepNext/>
              <w:ind w:left="-108"/>
              <w:rPr>
                <w:rFonts w:ascii="Arial Narrow" w:hAnsi="Arial Narrow"/>
                <w:sz w:val="20"/>
                <w:szCs w:val="22"/>
              </w:rPr>
            </w:pPr>
            <w:r w:rsidRPr="001A1D3D">
              <w:rPr>
                <w:rFonts w:ascii="Arial Narrow" w:hAnsi="Arial Narrow"/>
                <w:sz w:val="20"/>
                <w:szCs w:val="22"/>
              </w:rPr>
              <w:t>dapagliflozin 10 mg tablet, 28</w:t>
            </w:r>
          </w:p>
        </w:tc>
        <w:tc>
          <w:tcPr>
            <w:tcW w:w="709" w:type="dxa"/>
          </w:tcPr>
          <w:p w:rsidR="00B86DC5" w:rsidRPr="001A1D3D" w:rsidRDefault="00B86DC5" w:rsidP="00564278">
            <w:pPr>
              <w:keepNext/>
              <w:ind w:left="-108"/>
              <w:rPr>
                <w:rFonts w:ascii="Arial Narrow" w:hAnsi="Arial Narrow"/>
                <w:sz w:val="20"/>
                <w:szCs w:val="22"/>
              </w:rPr>
            </w:pPr>
          </w:p>
          <w:p w:rsidR="00B86DC5" w:rsidRPr="001A1D3D" w:rsidRDefault="00B86DC5" w:rsidP="00564278">
            <w:pPr>
              <w:keepNext/>
              <w:ind w:left="-108"/>
              <w:rPr>
                <w:rFonts w:ascii="Arial Narrow" w:hAnsi="Arial Narrow"/>
                <w:sz w:val="20"/>
                <w:szCs w:val="22"/>
              </w:rPr>
            </w:pPr>
            <w:r w:rsidRPr="001A1D3D">
              <w:rPr>
                <w:rFonts w:ascii="Arial Narrow" w:hAnsi="Arial Narrow"/>
                <w:sz w:val="20"/>
                <w:szCs w:val="22"/>
              </w:rPr>
              <w:t>1</w:t>
            </w:r>
          </w:p>
        </w:tc>
        <w:tc>
          <w:tcPr>
            <w:tcW w:w="756" w:type="dxa"/>
          </w:tcPr>
          <w:p w:rsidR="00B86DC5" w:rsidRPr="001A1D3D" w:rsidRDefault="00B86DC5" w:rsidP="00564278">
            <w:pPr>
              <w:keepNext/>
              <w:ind w:left="-108"/>
              <w:rPr>
                <w:rFonts w:ascii="Arial Narrow" w:hAnsi="Arial Narrow"/>
                <w:sz w:val="20"/>
                <w:szCs w:val="22"/>
              </w:rPr>
            </w:pPr>
          </w:p>
          <w:p w:rsidR="00B86DC5" w:rsidRPr="001A1D3D" w:rsidRDefault="00B86DC5" w:rsidP="00564278">
            <w:pPr>
              <w:keepNext/>
              <w:ind w:left="-108"/>
              <w:rPr>
                <w:rFonts w:ascii="Arial Narrow" w:hAnsi="Arial Narrow"/>
                <w:sz w:val="20"/>
                <w:szCs w:val="22"/>
              </w:rPr>
            </w:pPr>
            <w:r w:rsidRPr="001A1D3D">
              <w:rPr>
                <w:rFonts w:ascii="Arial Narrow" w:hAnsi="Arial Narrow"/>
                <w:sz w:val="20"/>
                <w:szCs w:val="22"/>
              </w:rPr>
              <w:t>5</w:t>
            </w:r>
          </w:p>
        </w:tc>
        <w:tc>
          <w:tcPr>
            <w:tcW w:w="265" w:type="dxa"/>
          </w:tcPr>
          <w:p w:rsidR="00B86DC5" w:rsidRPr="001A1D3D" w:rsidRDefault="00B86DC5" w:rsidP="00564278">
            <w:pPr>
              <w:keepNext/>
              <w:ind w:left="-108"/>
              <w:rPr>
                <w:rFonts w:ascii="Arial Narrow" w:hAnsi="Arial Narrow"/>
                <w:sz w:val="20"/>
                <w:szCs w:val="22"/>
              </w:rPr>
            </w:pPr>
          </w:p>
        </w:tc>
        <w:tc>
          <w:tcPr>
            <w:tcW w:w="1462" w:type="dxa"/>
          </w:tcPr>
          <w:p w:rsidR="00B86DC5" w:rsidRPr="001A1D3D" w:rsidRDefault="00B86DC5" w:rsidP="00564278">
            <w:pPr>
              <w:keepNext/>
              <w:rPr>
                <w:rFonts w:ascii="Arial Narrow" w:hAnsi="Arial Narrow"/>
                <w:sz w:val="20"/>
                <w:szCs w:val="22"/>
              </w:rPr>
            </w:pPr>
          </w:p>
          <w:p w:rsidR="00B86DC5" w:rsidRPr="001A1D3D" w:rsidRDefault="00B86DC5" w:rsidP="00564278">
            <w:pPr>
              <w:ind w:left="-108"/>
              <w:rPr>
                <w:rFonts w:ascii="Arial Narrow" w:hAnsi="Arial Narrow"/>
                <w:sz w:val="20"/>
                <w:szCs w:val="22"/>
              </w:rPr>
            </w:pPr>
            <w:r w:rsidRPr="001A1D3D">
              <w:rPr>
                <w:rFonts w:ascii="Arial Narrow" w:hAnsi="Arial Narrow"/>
                <w:sz w:val="20"/>
                <w:szCs w:val="22"/>
              </w:rPr>
              <w:t>FORXIGA</w:t>
            </w:r>
          </w:p>
        </w:tc>
        <w:tc>
          <w:tcPr>
            <w:tcW w:w="1197" w:type="dxa"/>
          </w:tcPr>
          <w:p w:rsidR="00B86DC5" w:rsidRPr="001A1D3D" w:rsidRDefault="00B86DC5" w:rsidP="00564278">
            <w:pPr>
              <w:keepNext/>
              <w:rPr>
                <w:rFonts w:ascii="Arial Narrow" w:hAnsi="Arial Narrow"/>
                <w:sz w:val="20"/>
                <w:szCs w:val="22"/>
              </w:rPr>
            </w:pPr>
          </w:p>
          <w:p w:rsidR="00B86DC5" w:rsidRPr="001A1D3D" w:rsidRDefault="00B86DC5" w:rsidP="00564278">
            <w:pPr>
              <w:keepNext/>
              <w:rPr>
                <w:rFonts w:ascii="Arial Narrow" w:hAnsi="Arial Narrow"/>
                <w:sz w:val="20"/>
                <w:szCs w:val="22"/>
              </w:rPr>
            </w:pPr>
            <w:r w:rsidRPr="001A1D3D">
              <w:rPr>
                <w:rFonts w:ascii="Arial Narrow" w:hAnsi="Arial Narrow"/>
                <w:sz w:val="20"/>
                <w:szCs w:val="22"/>
              </w:rPr>
              <w:t>AZ</w:t>
            </w:r>
          </w:p>
        </w:tc>
      </w:tr>
    </w:tbl>
    <w:p w:rsidR="00B86DC5" w:rsidRPr="00392BC4" w:rsidRDefault="00B86DC5" w:rsidP="00B86DC5">
      <w:pPr>
        <w:ind w:left="709"/>
        <w:rPr>
          <w:rFonts w:ascii="Arial Narrow" w:hAnsi="Arial Narrow"/>
          <w:b/>
          <w:i/>
          <w:sz w:val="20"/>
          <w:u w:val="single"/>
        </w:rPr>
      </w:pPr>
      <w:r w:rsidRPr="001A1D3D">
        <w:rPr>
          <w:rFonts w:ascii="Arial Narrow" w:hAnsi="Arial Narrow"/>
          <w:b/>
          <w:sz w:val="20"/>
          <w:u w:val="single"/>
        </w:rPr>
        <w:t>Authority Required</w:t>
      </w:r>
      <w:r w:rsidRPr="00E73509">
        <w:rPr>
          <w:rFonts w:ascii="Arial Narrow" w:hAnsi="Arial Narrow"/>
          <w:b/>
          <w:sz w:val="20"/>
          <w:u w:val="single"/>
        </w:rPr>
        <w:t xml:space="preserve"> (STREAMLINED)</w:t>
      </w:r>
    </w:p>
    <w:p w:rsidR="00B86DC5" w:rsidRPr="001A1D3D" w:rsidRDefault="00B86DC5" w:rsidP="00B86DC5">
      <w:pPr>
        <w:ind w:left="709"/>
        <w:rPr>
          <w:rFonts w:ascii="Arial Narrow" w:hAnsi="Arial Narrow"/>
          <w:b/>
          <w:sz w:val="20"/>
        </w:rPr>
      </w:pPr>
      <w:r w:rsidRPr="001A1D3D">
        <w:rPr>
          <w:rFonts w:ascii="Arial Narrow" w:hAnsi="Arial Narrow"/>
          <w:b/>
          <w:sz w:val="20"/>
        </w:rPr>
        <w:t>Diabetes mellitus type 2</w:t>
      </w:r>
    </w:p>
    <w:p w:rsidR="00B86DC5" w:rsidRDefault="00B86DC5" w:rsidP="00B86DC5">
      <w:pPr>
        <w:ind w:left="709"/>
        <w:rPr>
          <w:rFonts w:ascii="Arial Narrow" w:hAnsi="Arial Narrow"/>
          <w:b/>
          <w:sz w:val="20"/>
        </w:rPr>
      </w:pPr>
    </w:p>
    <w:p w:rsidR="00B86DC5" w:rsidRDefault="00B86DC5" w:rsidP="00B86DC5">
      <w:pPr>
        <w:ind w:left="709"/>
        <w:rPr>
          <w:rFonts w:ascii="Arial Narrow" w:hAnsi="Arial Narrow"/>
          <w:b/>
          <w:sz w:val="20"/>
        </w:rPr>
      </w:pPr>
    </w:p>
    <w:p w:rsidR="00B86DC5" w:rsidRPr="001A1D3D" w:rsidRDefault="00B86DC5" w:rsidP="00B86DC5">
      <w:pPr>
        <w:ind w:left="709"/>
        <w:rPr>
          <w:rFonts w:ascii="Arial Narrow" w:hAnsi="Arial Narrow"/>
          <w:b/>
          <w:sz w:val="20"/>
        </w:rPr>
      </w:pPr>
      <w:r w:rsidRPr="001A1D3D">
        <w:rPr>
          <w:rFonts w:ascii="Arial Narrow" w:hAnsi="Arial Narrow"/>
          <w:b/>
          <w:sz w:val="20"/>
        </w:rPr>
        <w:t>Clinical criteria:</w:t>
      </w:r>
    </w:p>
    <w:p w:rsidR="00B86DC5" w:rsidRPr="00C32F28" w:rsidRDefault="00B86DC5" w:rsidP="00B86DC5">
      <w:pPr>
        <w:ind w:left="709"/>
        <w:rPr>
          <w:rFonts w:ascii="Arial Narrow" w:hAnsi="Arial Narrow"/>
          <w:i/>
          <w:sz w:val="20"/>
        </w:rPr>
      </w:pPr>
      <w:r w:rsidRPr="00C32F28">
        <w:rPr>
          <w:rFonts w:ascii="Arial Narrow" w:hAnsi="Arial Narrow"/>
          <w:i/>
          <w:sz w:val="20"/>
        </w:rPr>
        <w:t>The treatment must be in combination with insulin,</w:t>
      </w:r>
    </w:p>
    <w:p w:rsidR="00B86DC5" w:rsidRPr="001A1D3D" w:rsidRDefault="00B86DC5" w:rsidP="00B86DC5">
      <w:pPr>
        <w:ind w:left="709"/>
        <w:rPr>
          <w:rFonts w:ascii="Arial Narrow" w:hAnsi="Arial Narrow"/>
          <w:b/>
          <w:sz w:val="20"/>
        </w:rPr>
      </w:pPr>
      <w:r w:rsidRPr="001A1D3D">
        <w:rPr>
          <w:rFonts w:ascii="Arial Narrow" w:hAnsi="Arial Narrow"/>
          <w:b/>
          <w:sz w:val="20"/>
        </w:rPr>
        <w:lastRenderedPageBreak/>
        <w:t>AND</w:t>
      </w:r>
    </w:p>
    <w:p w:rsidR="00B86DC5" w:rsidRPr="001A1D3D" w:rsidRDefault="00B86DC5" w:rsidP="00B86DC5">
      <w:pPr>
        <w:ind w:left="709"/>
        <w:rPr>
          <w:rFonts w:ascii="Arial Narrow" w:hAnsi="Arial Narrow"/>
          <w:sz w:val="20"/>
        </w:rPr>
      </w:pPr>
      <w:r w:rsidRPr="001A1D3D">
        <w:rPr>
          <w:rFonts w:ascii="Arial Narrow" w:hAnsi="Arial Narrow"/>
          <w:sz w:val="20"/>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p>
    <w:p w:rsidR="00B86DC5" w:rsidRPr="001A1D3D" w:rsidRDefault="00B86DC5" w:rsidP="00B86DC5">
      <w:pPr>
        <w:ind w:left="709"/>
        <w:rPr>
          <w:rFonts w:ascii="Arial Narrow" w:hAnsi="Arial Narrow"/>
          <w:sz w:val="20"/>
        </w:rPr>
      </w:pPr>
      <w:r w:rsidRPr="001A1D3D">
        <w:rPr>
          <w:rFonts w:ascii="Arial Narrow" w:hAnsi="Arial Narrow"/>
          <w:sz w:val="20"/>
        </w:rPr>
        <w:t xml:space="preserve">Patient must have, or have had, where HbA1c measurement is clinically inappropriate, blood glucose levels greater than 10 </w:t>
      </w:r>
      <w:proofErr w:type="spellStart"/>
      <w:r w:rsidRPr="001A1D3D">
        <w:rPr>
          <w:rFonts w:ascii="Arial Narrow" w:hAnsi="Arial Narrow"/>
          <w:sz w:val="20"/>
        </w:rPr>
        <w:t>mmol</w:t>
      </w:r>
      <w:proofErr w:type="spellEnd"/>
      <w:r w:rsidRPr="001A1D3D">
        <w:rPr>
          <w:rFonts w:ascii="Arial Narrow" w:hAnsi="Arial Narrow"/>
          <w:sz w:val="20"/>
        </w:rPr>
        <w:t xml:space="preserve"> per L in more than 20% of tests over a 2 week period prior to initiation with a gliptin, a glitazone, a glucagon-like peptide-1 or an SGLT2 inhibitor despite treatment with insulin and oral antidiabetic agents, or insulin alone where metformin is contraindicated.</w:t>
      </w:r>
    </w:p>
    <w:p w:rsidR="00B86DC5" w:rsidRDefault="00B86DC5" w:rsidP="00B86DC5">
      <w:pPr>
        <w:ind w:left="709"/>
        <w:rPr>
          <w:rFonts w:ascii="Arial Narrow" w:hAnsi="Arial Narrow"/>
          <w:sz w:val="20"/>
        </w:rPr>
      </w:pPr>
    </w:p>
    <w:p w:rsidR="00B86DC5" w:rsidRPr="001A1D3D" w:rsidRDefault="00B86DC5" w:rsidP="00B86DC5">
      <w:pPr>
        <w:ind w:left="709"/>
        <w:rPr>
          <w:rFonts w:ascii="Arial Narrow" w:hAnsi="Arial Narrow"/>
          <w:b/>
          <w:sz w:val="20"/>
        </w:rPr>
      </w:pPr>
      <w:r w:rsidRPr="001A1D3D">
        <w:rPr>
          <w:rFonts w:ascii="Arial Narrow" w:hAnsi="Arial Narrow"/>
          <w:b/>
          <w:sz w:val="20"/>
        </w:rPr>
        <w:t>Prescriber Instruction</w:t>
      </w:r>
    </w:p>
    <w:p w:rsidR="00B86DC5" w:rsidRPr="001A1D3D" w:rsidRDefault="00B86DC5" w:rsidP="00B86DC5">
      <w:pPr>
        <w:ind w:left="709"/>
        <w:rPr>
          <w:rFonts w:ascii="Arial Narrow" w:hAnsi="Arial Narrow"/>
          <w:sz w:val="20"/>
        </w:rPr>
      </w:pPr>
      <w:r w:rsidRPr="001A1D3D">
        <w:rPr>
          <w:rFonts w:ascii="Arial Narrow" w:hAnsi="Arial Narrow"/>
          <w:sz w:val="20"/>
        </w:rPr>
        <w:t>The date and level of the qualifying HbA1c measurement must be, or must have been, documented in the patient's medical records at the time treatment with a gliptin, a glitazone, a glucagon-like peptide-1 or an SGLT2 inhibitor is initiated.</w:t>
      </w:r>
    </w:p>
    <w:p w:rsidR="00B86DC5" w:rsidRDefault="00B86DC5" w:rsidP="00B86DC5">
      <w:pPr>
        <w:ind w:left="709"/>
        <w:rPr>
          <w:rFonts w:ascii="Arial Narrow" w:hAnsi="Arial Narrow"/>
          <w:sz w:val="20"/>
        </w:rPr>
      </w:pPr>
    </w:p>
    <w:p w:rsidR="00B86DC5" w:rsidRPr="001A1D3D" w:rsidRDefault="00B86DC5" w:rsidP="00B86DC5">
      <w:pPr>
        <w:ind w:left="709"/>
        <w:rPr>
          <w:rFonts w:ascii="Arial Narrow" w:hAnsi="Arial Narrow"/>
          <w:b/>
          <w:sz w:val="20"/>
        </w:rPr>
      </w:pPr>
      <w:r w:rsidRPr="001A1D3D">
        <w:rPr>
          <w:rFonts w:ascii="Arial Narrow" w:hAnsi="Arial Narrow"/>
          <w:b/>
          <w:sz w:val="20"/>
        </w:rPr>
        <w:t>Prescriber Instruction</w:t>
      </w:r>
    </w:p>
    <w:p w:rsidR="00B86DC5" w:rsidRPr="001A1D3D" w:rsidRDefault="00B86DC5" w:rsidP="00B86DC5">
      <w:pPr>
        <w:ind w:left="709"/>
        <w:rPr>
          <w:rFonts w:ascii="Arial Narrow" w:hAnsi="Arial Narrow"/>
          <w:sz w:val="20"/>
        </w:rPr>
      </w:pPr>
      <w:r w:rsidRPr="001A1D3D">
        <w:rPr>
          <w:rFonts w:ascii="Arial Narrow" w:hAnsi="Arial Narrow"/>
          <w:sz w:val="20"/>
        </w:rPr>
        <w:t>The HbA1c must be no more than 4 months old at the time treatment with a gliptin, a glitazone, a glucagon-like peptide-1 or an SGLT2 inhibitor was initiated.</w:t>
      </w:r>
    </w:p>
    <w:p w:rsidR="00B86DC5" w:rsidRDefault="00B86DC5" w:rsidP="00B86DC5">
      <w:pPr>
        <w:ind w:left="709"/>
        <w:rPr>
          <w:rFonts w:ascii="Arial Narrow" w:hAnsi="Arial Narrow"/>
          <w:sz w:val="20"/>
        </w:rPr>
      </w:pPr>
    </w:p>
    <w:p w:rsidR="00B86DC5" w:rsidRPr="001A1D3D" w:rsidRDefault="00B86DC5" w:rsidP="00B86DC5">
      <w:pPr>
        <w:ind w:left="709"/>
        <w:rPr>
          <w:rFonts w:ascii="Arial Narrow" w:hAnsi="Arial Narrow"/>
          <w:b/>
          <w:sz w:val="20"/>
        </w:rPr>
      </w:pPr>
      <w:r w:rsidRPr="001A1D3D">
        <w:rPr>
          <w:rFonts w:ascii="Arial Narrow" w:hAnsi="Arial Narrow"/>
          <w:b/>
          <w:sz w:val="20"/>
        </w:rPr>
        <w:t>Prescriber Instruction</w:t>
      </w:r>
    </w:p>
    <w:p w:rsidR="00B86DC5" w:rsidRPr="001A1D3D" w:rsidRDefault="00B86DC5" w:rsidP="00B86DC5">
      <w:pPr>
        <w:ind w:left="709"/>
        <w:rPr>
          <w:rFonts w:ascii="Arial Narrow" w:hAnsi="Arial Narrow"/>
          <w:sz w:val="20"/>
        </w:rPr>
      </w:pPr>
      <w:r w:rsidRPr="001A1D3D">
        <w:rPr>
          <w:rFonts w:ascii="Arial Narrow" w:hAnsi="Arial Narrow"/>
          <w:sz w:val="20"/>
        </w:rPr>
        <w:t>Blood glucose monitoring may be used as an alternative assessment to HbA1c levels in the following circumstances:</w:t>
      </w:r>
    </w:p>
    <w:p w:rsidR="00B86DC5" w:rsidRPr="001A1D3D" w:rsidRDefault="00B86DC5" w:rsidP="00B86DC5">
      <w:pPr>
        <w:ind w:left="709"/>
        <w:rPr>
          <w:rFonts w:ascii="Arial Narrow" w:hAnsi="Arial Narrow"/>
          <w:sz w:val="20"/>
        </w:rPr>
      </w:pPr>
      <w:r w:rsidRPr="001A1D3D">
        <w:rPr>
          <w:rFonts w:ascii="Arial Narrow" w:hAnsi="Arial Narrow"/>
          <w:sz w:val="20"/>
        </w:rPr>
        <w:t xml:space="preserve">(a) A clinical condition with reduced red blood cell survival, including haemolytic </w:t>
      </w:r>
      <w:proofErr w:type="spellStart"/>
      <w:r w:rsidRPr="001A1D3D">
        <w:rPr>
          <w:rFonts w:ascii="Arial Narrow" w:hAnsi="Arial Narrow"/>
          <w:sz w:val="20"/>
        </w:rPr>
        <w:t>anaemias</w:t>
      </w:r>
      <w:proofErr w:type="spellEnd"/>
      <w:r w:rsidRPr="001A1D3D">
        <w:rPr>
          <w:rFonts w:ascii="Arial Narrow" w:hAnsi="Arial Narrow"/>
          <w:sz w:val="20"/>
        </w:rPr>
        <w:t xml:space="preserve"> and </w:t>
      </w:r>
      <w:proofErr w:type="spellStart"/>
      <w:r w:rsidRPr="001A1D3D">
        <w:rPr>
          <w:rFonts w:ascii="Arial Narrow" w:hAnsi="Arial Narrow"/>
          <w:sz w:val="20"/>
        </w:rPr>
        <w:t>haemoglobinopathies</w:t>
      </w:r>
      <w:proofErr w:type="spellEnd"/>
      <w:r w:rsidRPr="001A1D3D">
        <w:rPr>
          <w:rFonts w:ascii="Arial Narrow" w:hAnsi="Arial Narrow"/>
          <w:sz w:val="20"/>
        </w:rPr>
        <w:t>; and/or</w:t>
      </w:r>
    </w:p>
    <w:p w:rsidR="00B86DC5" w:rsidRPr="001A1D3D" w:rsidRDefault="00B86DC5" w:rsidP="00B86DC5">
      <w:pPr>
        <w:ind w:left="709"/>
        <w:rPr>
          <w:rFonts w:ascii="Arial Narrow" w:hAnsi="Arial Narrow"/>
          <w:sz w:val="20"/>
        </w:rPr>
      </w:pPr>
      <w:r w:rsidRPr="001A1D3D">
        <w:rPr>
          <w:rFonts w:ascii="Arial Narrow" w:hAnsi="Arial Narrow"/>
          <w:sz w:val="20"/>
        </w:rPr>
        <w:t>(b) Had red cell transfusion within the previous 3 months.</w:t>
      </w:r>
    </w:p>
    <w:p w:rsidR="00B86DC5" w:rsidRDefault="00B86DC5" w:rsidP="00B86DC5">
      <w:pPr>
        <w:ind w:left="709"/>
        <w:rPr>
          <w:rFonts w:ascii="Arial Narrow" w:hAnsi="Arial Narrow"/>
          <w:sz w:val="20"/>
        </w:rPr>
      </w:pPr>
    </w:p>
    <w:p w:rsidR="00B86DC5" w:rsidRPr="001A1D3D" w:rsidRDefault="00B86DC5" w:rsidP="00B86DC5">
      <w:pPr>
        <w:ind w:left="709"/>
        <w:rPr>
          <w:rFonts w:ascii="Arial Narrow" w:hAnsi="Arial Narrow"/>
          <w:b/>
          <w:sz w:val="20"/>
        </w:rPr>
      </w:pPr>
      <w:r w:rsidRPr="001A1D3D">
        <w:rPr>
          <w:rFonts w:ascii="Arial Narrow" w:hAnsi="Arial Narrow"/>
          <w:b/>
          <w:sz w:val="20"/>
        </w:rPr>
        <w:t>Prescriber Instruction</w:t>
      </w:r>
    </w:p>
    <w:p w:rsidR="00B86DC5" w:rsidRPr="001A1D3D" w:rsidRDefault="00B86DC5" w:rsidP="00B86DC5">
      <w:pPr>
        <w:ind w:left="709"/>
        <w:rPr>
          <w:rFonts w:ascii="Arial Narrow" w:hAnsi="Arial Narrow"/>
          <w:sz w:val="20"/>
        </w:rPr>
      </w:pPr>
      <w:r w:rsidRPr="001A1D3D">
        <w:rPr>
          <w:rFonts w:ascii="Arial Narrow" w:hAnsi="Arial Narrow"/>
          <w:sz w:val="20"/>
        </w:rPr>
        <w:t>The results of the blood glucose monitoring, which must be no more than 4 months old at the time of initiation of treatment with a gliptin, a glitazone, a glucagon-like peptide-1 or an SGLT2 inhibitor, must be documented in the patient's medical records.</w:t>
      </w:r>
    </w:p>
    <w:p w:rsidR="00B86DC5" w:rsidRDefault="00B86DC5" w:rsidP="00B86DC5">
      <w:pPr>
        <w:ind w:left="709"/>
        <w:rPr>
          <w:rFonts w:ascii="Arial Narrow" w:hAnsi="Arial Narrow"/>
          <w:b/>
          <w:sz w:val="20"/>
        </w:rPr>
      </w:pPr>
    </w:p>
    <w:p w:rsidR="00B86DC5" w:rsidRPr="001A1D3D" w:rsidRDefault="00B86DC5" w:rsidP="00B86DC5">
      <w:pPr>
        <w:ind w:left="709"/>
        <w:rPr>
          <w:rFonts w:ascii="Arial Narrow" w:hAnsi="Arial Narrow"/>
          <w:b/>
          <w:sz w:val="20"/>
          <w:u w:val="single"/>
        </w:rPr>
      </w:pPr>
      <w:r w:rsidRPr="001A1D3D">
        <w:rPr>
          <w:rFonts w:ascii="Arial Narrow" w:hAnsi="Arial Narrow"/>
          <w:b/>
          <w:sz w:val="20"/>
          <w:u w:val="single"/>
        </w:rPr>
        <w:t>Note</w:t>
      </w:r>
    </w:p>
    <w:p w:rsidR="00B86DC5" w:rsidRPr="001A1D3D" w:rsidRDefault="00B86DC5" w:rsidP="00B86DC5">
      <w:pPr>
        <w:ind w:left="709"/>
        <w:rPr>
          <w:rFonts w:ascii="Arial Narrow" w:hAnsi="Arial Narrow"/>
          <w:b/>
          <w:sz w:val="20"/>
        </w:rPr>
      </w:pPr>
      <w:r w:rsidRPr="001A1D3D">
        <w:rPr>
          <w:rFonts w:ascii="Arial Narrow" w:hAnsi="Arial Narrow"/>
          <w:b/>
          <w:sz w:val="20"/>
        </w:rPr>
        <w:t>Continuing Therapy Only:</w:t>
      </w:r>
    </w:p>
    <w:p w:rsidR="00B86DC5" w:rsidRDefault="00B86DC5" w:rsidP="00B86DC5">
      <w:pPr>
        <w:ind w:left="709"/>
        <w:rPr>
          <w:rFonts w:ascii="Arial Narrow" w:hAnsi="Arial Narrow"/>
          <w:sz w:val="20"/>
        </w:rPr>
      </w:pPr>
      <w:r w:rsidRPr="001A1D3D">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B86DC5" w:rsidRDefault="00B86DC5" w:rsidP="00B86DC5">
      <w:pPr>
        <w:ind w:left="709"/>
        <w:rPr>
          <w:rFonts w:ascii="Arial Narrow" w:hAnsi="Arial Narrow"/>
          <w:sz w:val="20"/>
        </w:rPr>
      </w:pPr>
    </w:p>
    <w:p w:rsidR="00B86DC5" w:rsidRPr="00392BC4" w:rsidRDefault="00FB1576" w:rsidP="00B86DC5">
      <w:pPr>
        <w:ind w:left="709"/>
        <w:rPr>
          <w:rFonts w:ascii="Arial Narrow" w:hAnsi="Arial Narrow"/>
          <w:b/>
          <w:i/>
          <w:sz w:val="20"/>
          <w:u w:val="single"/>
        </w:rPr>
      </w:pPr>
      <w:r>
        <w:rPr>
          <w:rFonts w:ascii="Arial Narrow" w:hAnsi="Arial Narrow"/>
          <w:b/>
          <w:i/>
          <w:sz w:val="20"/>
          <w:u w:val="single"/>
        </w:rPr>
        <w:t>Note</w:t>
      </w:r>
    </w:p>
    <w:p w:rsidR="00B86DC5" w:rsidRDefault="00B86DC5" w:rsidP="00B86DC5">
      <w:pPr>
        <w:ind w:left="709"/>
        <w:rPr>
          <w:rFonts w:ascii="Arial Narrow" w:hAnsi="Arial Narrow"/>
          <w:i/>
          <w:sz w:val="20"/>
        </w:rPr>
      </w:pPr>
      <w:r w:rsidRPr="00F14047">
        <w:rPr>
          <w:rFonts w:ascii="Arial Narrow" w:hAnsi="Arial Narrow"/>
          <w:i/>
          <w:sz w:val="20"/>
        </w:rPr>
        <w:t xml:space="preserve">Dapagliflozin is not PBS-subsidised for use in combination with metformin and a sulfonylurea (triple oral therapy), as monotherapy or in combination with a thiazolidinedione (glitazone), a dipeptidyl peptidase </w:t>
      </w:r>
      <w:proofErr w:type="gramStart"/>
      <w:r w:rsidRPr="00F14047">
        <w:rPr>
          <w:rFonts w:ascii="Arial Narrow" w:hAnsi="Arial Narrow"/>
          <w:i/>
          <w:sz w:val="20"/>
        </w:rPr>
        <w:t>4 inhibitor (gliptin)</w:t>
      </w:r>
      <w:proofErr w:type="gramEnd"/>
      <w:r w:rsidRPr="00F14047">
        <w:rPr>
          <w:rFonts w:ascii="Arial Narrow" w:hAnsi="Arial Narrow"/>
          <w:i/>
          <w:sz w:val="20"/>
        </w:rPr>
        <w:t xml:space="preserve"> or a glucagon-like peptide-1.’</w:t>
      </w:r>
    </w:p>
    <w:p w:rsidR="00B1647F" w:rsidRDefault="00B1647F" w:rsidP="00B1647F">
      <w:pPr>
        <w:pStyle w:val="PBACheading1"/>
        <w:numPr>
          <w:ilvl w:val="0"/>
          <w:numId w:val="0"/>
        </w:numPr>
        <w:ind w:left="720"/>
      </w:pPr>
    </w:p>
    <w:p w:rsidR="00B1647F" w:rsidRPr="00D4420F" w:rsidRDefault="00B1647F" w:rsidP="00B1647F">
      <w:pPr>
        <w:pStyle w:val="PBACheading1"/>
        <w:numPr>
          <w:ilvl w:val="0"/>
          <w:numId w:val="0"/>
        </w:numPr>
        <w:ind w:left="720"/>
      </w:pPr>
    </w:p>
    <w:p w:rsidR="001D644A" w:rsidRPr="00B1647F" w:rsidRDefault="001D644A" w:rsidP="00B1647F">
      <w:pPr>
        <w:numPr>
          <w:ilvl w:val="0"/>
          <w:numId w:val="12"/>
        </w:numPr>
        <w:rPr>
          <w:b/>
          <w:bCs/>
          <w:szCs w:val="22"/>
          <w:lang w:val="en-GB"/>
        </w:rPr>
      </w:pPr>
      <w:r w:rsidRPr="00B1647F">
        <w:rPr>
          <w:b/>
          <w:bCs/>
          <w:szCs w:val="22"/>
          <w:lang w:val="en-GB"/>
        </w:rPr>
        <w:t>Context for Decision</w:t>
      </w:r>
    </w:p>
    <w:p w:rsidR="001D644A" w:rsidRPr="00D4420F" w:rsidRDefault="001D644A" w:rsidP="001D644A">
      <w:pPr>
        <w:pStyle w:val="ListParagraph"/>
        <w:rPr>
          <w:b/>
        </w:rPr>
      </w:pPr>
    </w:p>
    <w:p w:rsidR="001D644A" w:rsidRPr="00D4420F" w:rsidRDefault="001D644A" w:rsidP="001D644A">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D644A" w:rsidRDefault="001D644A" w:rsidP="001D644A"/>
    <w:p w:rsidR="00B1647F" w:rsidRPr="00D4420F" w:rsidRDefault="00B1647F" w:rsidP="001D644A"/>
    <w:p w:rsidR="001D644A" w:rsidRDefault="001D644A" w:rsidP="001D644A">
      <w:pPr>
        <w:pStyle w:val="ListParagraph"/>
        <w:widowControl/>
        <w:numPr>
          <w:ilvl w:val="0"/>
          <w:numId w:val="12"/>
        </w:numPr>
        <w:rPr>
          <w:b/>
        </w:rPr>
      </w:pPr>
      <w:r w:rsidRPr="00D4420F">
        <w:rPr>
          <w:b/>
        </w:rPr>
        <w:t>Sponsor’s Comment</w:t>
      </w:r>
    </w:p>
    <w:p w:rsidR="001D644A" w:rsidRDefault="001D644A" w:rsidP="00B86DC5">
      <w:pPr>
        <w:ind w:left="709"/>
        <w:rPr>
          <w:rFonts w:ascii="Arial Narrow" w:hAnsi="Arial Narrow"/>
          <w:i/>
          <w:sz w:val="20"/>
        </w:rPr>
      </w:pPr>
    </w:p>
    <w:p w:rsidR="005B6A10" w:rsidRPr="00277113" w:rsidRDefault="005B6A10" w:rsidP="005B6A10">
      <w:pPr>
        <w:ind w:firstLine="720"/>
        <w:rPr>
          <w:bCs/>
          <w:szCs w:val="22"/>
          <w:lang w:val="en-GB"/>
        </w:rPr>
      </w:pPr>
      <w:r w:rsidRPr="00D32E01">
        <w:rPr>
          <w:bCs/>
          <w:szCs w:val="22"/>
          <w:lang w:val="en-GB"/>
        </w:rPr>
        <w:t>The sponsor had no comment.</w:t>
      </w:r>
    </w:p>
    <w:sectPr w:rsidR="005B6A10" w:rsidRPr="00277113" w:rsidSect="00181CA6">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008" w:rsidRDefault="006A1008" w:rsidP="00124A51">
      <w:r>
        <w:separator/>
      </w:r>
    </w:p>
  </w:endnote>
  <w:endnote w:type="continuationSeparator" w:id="0">
    <w:p w:rsidR="006A1008" w:rsidRDefault="006A1008"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rPr>
    </w:sdtEndPr>
    <w:sdtContent>
      <w:p w:rsidR="00B1647F" w:rsidRDefault="00B1647F" w:rsidP="002857E9">
        <w:pPr>
          <w:pStyle w:val="Footer"/>
          <w:ind w:left="360"/>
          <w:jc w:val="center"/>
        </w:pPr>
      </w:p>
      <w:p w:rsidR="00B1647F" w:rsidRPr="00651169" w:rsidRDefault="00B1647F" w:rsidP="002857E9">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116159">
          <w:rPr>
            <w:noProof/>
            <w:sz w:val="20"/>
          </w:rPr>
          <w:t>15</w:t>
        </w:r>
        <w:r w:rsidRPr="00651169">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008" w:rsidRDefault="006A1008" w:rsidP="00124A51">
      <w:r>
        <w:separator/>
      </w:r>
    </w:p>
  </w:footnote>
  <w:footnote w:type="continuationSeparator" w:id="0">
    <w:p w:rsidR="006A1008" w:rsidRDefault="006A1008"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7F" w:rsidRPr="00DF217D" w:rsidRDefault="00B1647F" w:rsidP="002857E9">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B1647F" w:rsidRPr="002857E9" w:rsidRDefault="00B1647F" w:rsidP="002857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D4E"/>
    <w:multiLevelType w:val="hybridMultilevel"/>
    <w:tmpl w:val="67AA6A36"/>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875E1"/>
    <w:multiLevelType w:val="hybridMultilevel"/>
    <w:tmpl w:val="29A6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4C548E"/>
    <w:multiLevelType w:val="multilevel"/>
    <w:tmpl w:val="45C2816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E4157E"/>
    <w:multiLevelType w:val="hybridMultilevel"/>
    <w:tmpl w:val="820C86F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nsid w:val="25A5642C"/>
    <w:multiLevelType w:val="hybridMultilevel"/>
    <w:tmpl w:val="4F1C4A10"/>
    <w:lvl w:ilvl="0" w:tplc="B94E91A4">
      <w:start w:val="1"/>
      <w:numFmt w:val="bullet"/>
      <w:lvlText w:val="•"/>
      <w:lvlJc w:val="left"/>
      <w:pPr>
        <w:tabs>
          <w:tab w:val="num" w:pos="720"/>
        </w:tabs>
        <w:ind w:left="720" w:hanging="360"/>
      </w:pPr>
      <w:rPr>
        <w:rFonts w:ascii="Arial" w:hAnsi="Arial" w:hint="default"/>
      </w:rPr>
    </w:lvl>
    <w:lvl w:ilvl="1" w:tplc="B5003C48" w:tentative="1">
      <w:start w:val="1"/>
      <w:numFmt w:val="bullet"/>
      <w:lvlText w:val="•"/>
      <w:lvlJc w:val="left"/>
      <w:pPr>
        <w:tabs>
          <w:tab w:val="num" w:pos="1440"/>
        </w:tabs>
        <w:ind w:left="1440" w:hanging="360"/>
      </w:pPr>
      <w:rPr>
        <w:rFonts w:ascii="Arial" w:hAnsi="Arial" w:hint="default"/>
      </w:rPr>
    </w:lvl>
    <w:lvl w:ilvl="2" w:tplc="EC3E85DE" w:tentative="1">
      <w:start w:val="1"/>
      <w:numFmt w:val="bullet"/>
      <w:lvlText w:val="•"/>
      <w:lvlJc w:val="left"/>
      <w:pPr>
        <w:tabs>
          <w:tab w:val="num" w:pos="2160"/>
        </w:tabs>
        <w:ind w:left="2160" w:hanging="360"/>
      </w:pPr>
      <w:rPr>
        <w:rFonts w:ascii="Arial" w:hAnsi="Arial" w:hint="default"/>
      </w:rPr>
    </w:lvl>
    <w:lvl w:ilvl="3" w:tplc="21507B84" w:tentative="1">
      <w:start w:val="1"/>
      <w:numFmt w:val="bullet"/>
      <w:lvlText w:val="•"/>
      <w:lvlJc w:val="left"/>
      <w:pPr>
        <w:tabs>
          <w:tab w:val="num" w:pos="2880"/>
        </w:tabs>
        <w:ind w:left="2880" w:hanging="360"/>
      </w:pPr>
      <w:rPr>
        <w:rFonts w:ascii="Arial" w:hAnsi="Arial" w:hint="default"/>
      </w:rPr>
    </w:lvl>
    <w:lvl w:ilvl="4" w:tplc="EBBAEFA6" w:tentative="1">
      <w:start w:val="1"/>
      <w:numFmt w:val="bullet"/>
      <w:lvlText w:val="•"/>
      <w:lvlJc w:val="left"/>
      <w:pPr>
        <w:tabs>
          <w:tab w:val="num" w:pos="3600"/>
        </w:tabs>
        <w:ind w:left="3600" w:hanging="360"/>
      </w:pPr>
      <w:rPr>
        <w:rFonts w:ascii="Arial" w:hAnsi="Arial" w:hint="default"/>
      </w:rPr>
    </w:lvl>
    <w:lvl w:ilvl="5" w:tplc="68E6D3D2" w:tentative="1">
      <w:start w:val="1"/>
      <w:numFmt w:val="bullet"/>
      <w:lvlText w:val="•"/>
      <w:lvlJc w:val="left"/>
      <w:pPr>
        <w:tabs>
          <w:tab w:val="num" w:pos="4320"/>
        </w:tabs>
        <w:ind w:left="4320" w:hanging="360"/>
      </w:pPr>
      <w:rPr>
        <w:rFonts w:ascii="Arial" w:hAnsi="Arial" w:hint="default"/>
      </w:rPr>
    </w:lvl>
    <w:lvl w:ilvl="6" w:tplc="C6B6E82E" w:tentative="1">
      <w:start w:val="1"/>
      <w:numFmt w:val="bullet"/>
      <w:lvlText w:val="•"/>
      <w:lvlJc w:val="left"/>
      <w:pPr>
        <w:tabs>
          <w:tab w:val="num" w:pos="5040"/>
        </w:tabs>
        <w:ind w:left="5040" w:hanging="360"/>
      </w:pPr>
      <w:rPr>
        <w:rFonts w:ascii="Arial" w:hAnsi="Arial" w:hint="default"/>
      </w:rPr>
    </w:lvl>
    <w:lvl w:ilvl="7" w:tplc="F022C832" w:tentative="1">
      <w:start w:val="1"/>
      <w:numFmt w:val="bullet"/>
      <w:lvlText w:val="•"/>
      <w:lvlJc w:val="left"/>
      <w:pPr>
        <w:tabs>
          <w:tab w:val="num" w:pos="5760"/>
        </w:tabs>
        <w:ind w:left="5760" w:hanging="360"/>
      </w:pPr>
      <w:rPr>
        <w:rFonts w:ascii="Arial" w:hAnsi="Arial" w:hint="default"/>
      </w:rPr>
    </w:lvl>
    <w:lvl w:ilvl="8" w:tplc="999C7D58" w:tentative="1">
      <w:start w:val="1"/>
      <w:numFmt w:val="bullet"/>
      <w:lvlText w:val="•"/>
      <w:lvlJc w:val="left"/>
      <w:pPr>
        <w:tabs>
          <w:tab w:val="num" w:pos="6480"/>
        </w:tabs>
        <w:ind w:left="6480" w:hanging="360"/>
      </w:pPr>
      <w:rPr>
        <w:rFonts w:ascii="Arial" w:hAnsi="Arial" w:hint="default"/>
      </w:rPr>
    </w:lvl>
  </w:abstractNum>
  <w:abstractNum w:abstractNumId="7">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8">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0">
    <w:nsid w:val="2A606C68"/>
    <w:multiLevelType w:val="hybridMultilevel"/>
    <w:tmpl w:val="2DF440F6"/>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B9C4948"/>
    <w:multiLevelType w:val="hybridMultilevel"/>
    <w:tmpl w:val="2E329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392EF9"/>
    <w:multiLevelType w:val="hybridMultilevel"/>
    <w:tmpl w:val="86305310"/>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5E006C1"/>
    <w:multiLevelType w:val="hybridMultilevel"/>
    <w:tmpl w:val="8ADCAF52"/>
    <w:lvl w:ilvl="0" w:tplc="1E44919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B059D7"/>
    <w:multiLevelType w:val="hybridMultilevel"/>
    <w:tmpl w:val="F43E8EF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B7C34E2"/>
    <w:multiLevelType w:val="hybridMultilevel"/>
    <w:tmpl w:val="7DC21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C5A16AC"/>
    <w:multiLevelType w:val="hybridMultilevel"/>
    <w:tmpl w:val="FE3269D8"/>
    <w:lvl w:ilvl="0" w:tplc="0C09000F">
      <w:start w:val="1"/>
      <w:numFmt w:val="decimal"/>
      <w:lvlText w:val="%1."/>
      <w:lvlJc w:val="lef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8">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9">
    <w:nsid w:val="415F1347"/>
    <w:multiLevelType w:val="hybridMultilevel"/>
    <w:tmpl w:val="B0146E8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5EE0DE3"/>
    <w:multiLevelType w:val="hybridMultilevel"/>
    <w:tmpl w:val="57BE82E8"/>
    <w:lvl w:ilvl="0" w:tplc="47947824">
      <w:start w:val="1"/>
      <w:numFmt w:val="bullet"/>
      <w:lvlText w:val=""/>
      <w:lvlJc w:val="left"/>
      <w:pPr>
        <w:ind w:left="107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nsid w:val="4B832909"/>
    <w:multiLevelType w:val="hybridMultilevel"/>
    <w:tmpl w:val="90A476BC"/>
    <w:lvl w:ilvl="0" w:tplc="0C09000F">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3">
    <w:nsid w:val="4DD642F9"/>
    <w:multiLevelType w:val="hybridMultilevel"/>
    <w:tmpl w:val="2D4E8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51C5A00"/>
    <w:multiLevelType w:val="hybridMultilevel"/>
    <w:tmpl w:val="6338DE46"/>
    <w:lvl w:ilvl="0" w:tplc="B0E273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9BC5196"/>
    <w:multiLevelType w:val="multilevel"/>
    <w:tmpl w:val="828496E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E70C7F"/>
    <w:multiLevelType w:val="hybridMultilevel"/>
    <w:tmpl w:val="61F2DAB8"/>
    <w:lvl w:ilvl="0" w:tplc="D570ABF4">
      <w:start w:val="1"/>
      <w:numFmt w:val="lowerRoman"/>
      <w:lvlText w:val="(%1)"/>
      <w:lvlJc w:val="left"/>
      <w:pPr>
        <w:ind w:left="1500" w:hanging="72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27">
    <w:nsid w:val="5CD7781C"/>
    <w:multiLevelType w:val="hybridMultilevel"/>
    <w:tmpl w:val="3BC09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3575F5C"/>
    <w:multiLevelType w:val="hybridMultilevel"/>
    <w:tmpl w:val="1328256C"/>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0">
    <w:nsid w:val="687C1E16"/>
    <w:multiLevelType w:val="hybridMultilevel"/>
    <w:tmpl w:val="AC2E15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68DB5BBB"/>
    <w:multiLevelType w:val="hybridMultilevel"/>
    <w:tmpl w:val="973C4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B851CAE"/>
    <w:multiLevelType w:val="hybridMultilevel"/>
    <w:tmpl w:val="5E706DD6"/>
    <w:lvl w:ilvl="0" w:tplc="7A7E92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C3465A0"/>
    <w:multiLevelType w:val="hybridMultilevel"/>
    <w:tmpl w:val="CAA00E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30B4C6A"/>
    <w:multiLevelType w:val="hybridMultilevel"/>
    <w:tmpl w:val="8CB80C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7566237F"/>
    <w:multiLevelType w:val="hybridMultilevel"/>
    <w:tmpl w:val="0C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5C73123"/>
    <w:multiLevelType w:val="hybridMultilevel"/>
    <w:tmpl w:val="7B249A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84D033C"/>
    <w:multiLevelType w:val="multilevel"/>
    <w:tmpl w:val="C2F25EB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8"/>
  </w:num>
  <w:num w:numId="3">
    <w:abstractNumId w:val="14"/>
  </w:num>
  <w:num w:numId="4">
    <w:abstractNumId w:val="35"/>
  </w:num>
  <w:num w:numId="5">
    <w:abstractNumId w:val="9"/>
  </w:num>
  <w:num w:numId="6">
    <w:abstractNumId w:val="7"/>
  </w:num>
  <w:num w:numId="7">
    <w:abstractNumId w:val="3"/>
  </w:num>
  <w:num w:numId="8">
    <w:abstractNumId w:val="38"/>
  </w:num>
  <w:num w:numId="9">
    <w:abstractNumId w:val="21"/>
  </w:num>
  <w:num w:numId="10">
    <w:abstractNumId w:val="16"/>
  </w:num>
  <w:num w:numId="11">
    <w:abstractNumId w:val="1"/>
  </w:num>
  <w:num w:numId="12">
    <w:abstractNumId w:val="37"/>
  </w:num>
  <w:num w:numId="13">
    <w:abstractNumId w:val="25"/>
  </w:num>
  <w:num w:numId="14">
    <w:abstractNumId w:val="13"/>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0"/>
  </w:num>
  <w:num w:numId="18">
    <w:abstractNumId w:val="22"/>
  </w:num>
  <w:num w:numId="19">
    <w:abstractNumId w:val="27"/>
  </w:num>
  <w:num w:numId="20">
    <w:abstractNumId w:val="15"/>
  </w:num>
  <w:num w:numId="21">
    <w:abstractNumId w:val="36"/>
  </w:num>
  <w:num w:numId="22">
    <w:abstractNumId w:val="12"/>
  </w:num>
  <w:num w:numId="23">
    <w:abstractNumId w:val="23"/>
  </w:num>
  <w:num w:numId="24">
    <w:abstractNumId w:val="31"/>
  </w:num>
  <w:num w:numId="25">
    <w:abstractNumId w:val="2"/>
  </w:num>
  <w:num w:numId="26">
    <w:abstractNumId w:val="29"/>
  </w:num>
  <w:num w:numId="27">
    <w:abstractNumId w:val="17"/>
  </w:num>
  <w:num w:numId="28">
    <w:abstractNumId w:val="33"/>
  </w:num>
  <w:num w:numId="29">
    <w:abstractNumId w:val="24"/>
  </w:num>
  <w:num w:numId="30">
    <w:abstractNumId w:val="0"/>
  </w:num>
  <w:num w:numId="31">
    <w:abstractNumId w:val="30"/>
  </w:num>
  <w:num w:numId="32">
    <w:abstractNumId w:val="19"/>
  </w:num>
  <w:num w:numId="33">
    <w:abstractNumId w:val="6"/>
  </w:num>
  <w:num w:numId="34">
    <w:abstractNumId w:val="11"/>
  </w:num>
  <w:num w:numId="35">
    <w:abstractNumId w:val="26"/>
  </w:num>
  <w:num w:numId="36">
    <w:abstractNumId w:val="20"/>
  </w:num>
  <w:num w:numId="37">
    <w:abstractNumId w:val="34"/>
  </w:num>
  <w:num w:numId="38">
    <w:abstractNumId w:val="4"/>
  </w:num>
  <w:num w:numId="39">
    <w:abstractNumId w:val="5"/>
  </w:num>
  <w:num w:numId="4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A74"/>
    <w:rsid w:val="0000110B"/>
    <w:rsid w:val="0000153B"/>
    <w:rsid w:val="00004166"/>
    <w:rsid w:val="00004DEB"/>
    <w:rsid w:val="000051A5"/>
    <w:rsid w:val="000056E5"/>
    <w:rsid w:val="00005944"/>
    <w:rsid w:val="00005AB0"/>
    <w:rsid w:val="00010DB2"/>
    <w:rsid w:val="00010FC7"/>
    <w:rsid w:val="00013247"/>
    <w:rsid w:val="00014D92"/>
    <w:rsid w:val="00015886"/>
    <w:rsid w:val="000162EF"/>
    <w:rsid w:val="00017D80"/>
    <w:rsid w:val="000201CC"/>
    <w:rsid w:val="0002225F"/>
    <w:rsid w:val="00022553"/>
    <w:rsid w:val="00022DC8"/>
    <w:rsid w:val="00023763"/>
    <w:rsid w:val="00027FEF"/>
    <w:rsid w:val="00030221"/>
    <w:rsid w:val="00031868"/>
    <w:rsid w:val="0003194A"/>
    <w:rsid w:val="00031CE4"/>
    <w:rsid w:val="000350C1"/>
    <w:rsid w:val="00035150"/>
    <w:rsid w:val="00037D81"/>
    <w:rsid w:val="00040895"/>
    <w:rsid w:val="0004207F"/>
    <w:rsid w:val="0004231D"/>
    <w:rsid w:val="00043C37"/>
    <w:rsid w:val="00046050"/>
    <w:rsid w:val="00046331"/>
    <w:rsid w:val="00046A15"/>
    <w:rsid w:val="00050859"/>
    <w:rsid w:val="00053ACD"/>
    <w:rsid w:val="000546D7"/>
    <w:rsid w:val="0005509D"/>
    <w:rsid w:val="00055685"/>
    <w:rsid w:val="00055DC0"/>
    <w:rsid w:val="00056FDE"/>
    <w:rsid w:val="00060A78"/>
    <w:rsid w:val="000614B7"/>
    <w:rsid w:val="00061522"/>
    <w:rsid w:val="00066B5E"/>
    <w:rsid w:val="0006756D"/>
    <w:rsid w:val="00071248"/>
    <w:rsid w:val="00071439"/>
    <w:rsid w:val="000720B9"/>
    <w:rsid w:val="000731F3"/>
    <w:rsid w:val="00073E7F"/>
    <w:rsid w:val="0007502E"/>
    <w:rsid w:val="00076CEA"/>
    <w:rsid w:val="00076DD2"/>
    <w:rsid w:val="00080FB6"/>
    <w:rsid w:val="000812CA"/>
    <w:rsid w:val="00082784"/>
    <w:rsid w:val="00090C7E"/>
    <w:rsid w:val="00091615"/>
    <w:rsid w:val="00092047"/>
    <w:rsid w:val="000927C8"/>
    <w:rsid w:val="0009465A"/>
    <w:rsid w:val="00096EDB"/>
    <w:rsid w:val="00097A42"/>
    <w:rsid w:val="000A1556"/>
    <w:rsid w:val="000A24A6"/>
    <w:rsid w:val="000A303E"/>
    <w:rsid w:val="000A69C0"/>
    <w:rsid w:val="000B2356"/>
    <w:rsid w:val="000B79F4"/>
    <w:rsid w:val="000C0B3C"/>
    <w:rsid w:val="000C1F9A"/>
    <w:rsid w:val="000C445A"/>
    <w:rsid w:val="000C5A70"/>
    <w:rsid w:val="000C72AB"/>
    <w:rsid w:val="000C7857"/>
    <w:rsid w:val="000D18D2"/>
    <w:rsid w:val="000D1BFC"/>
    <w:rsid w:val="000D22DF"/>
    <w:rsid w:val="000D5CCA"/>
    <w:rsid w:val="000D63F3"/>
    <w:rsid w:val="000E1EA9"/>
    <w:rsid w:val="000E2B83"/>
    <w:rsid w:val="000E42AF"/>
    <w:rsid w:val="000E469A"/>
    <w:rsid w:val="000E5000"/>
    <w:rsid w:val="000E5A88"/>
    <w:rsid w:val="000E6045"/>
    <w:rsid w:val="000F05BD"/>
    <w:rsid w:val="00100F8A"/>
    <w:rsid w:val="0010182E"/>
    <w:rsid w:val="001024E4"/>
    <w:rsid w:val="00107F2F"/>
    <w:rsid w:val="0011032E"/>
    <w:rsid w:val="001112CD"/>
    <w:rsid w:val="00112830"/>
    <w:rsid w:val="0011289B"/>
    <w:rsid w:val="0011334E"/>
    <w:rsid w:val="00113E58"/>
    <w:rsid w:val="00115F5A"/>
    <w:rsid w:val="00116159"/>
    <w:rsid w:val="001162A1"/>
    <w:rsid w:val="001200EA"/>
    <w:rsid w:val="00120171"/>
    <w:rsid w:val="00121799"/>
    <w:rsid w:val="0012188C"/>
    <w:rsid w:val="001222FC"/>
    <w:rsid w:val="00123338"/>
    <w:rsid w:val="00124A51"/>
    <w:rsid w:val="00125984"/>
    <w:rsid w:val="001260C0"/>
    <w:rsid w:val="00126621"/>
    <w:rsid w:val="0012662B"/>
    <w:rsid w:val="00127F8E"/>
    <w:rsid w:val="001301E9"/>
    <w:rsid w:val="001304AD"/>
    <w:rsid w:val="00131E0D"/>
    <w:rsid w:val="00134629"/>
    <w:rsid w:val="00134810"/>
    <w:rsid w:val="00135AF1"/>
    <w:rsid w:val="00135FF4"/>
    <w:rsid w:val="00137645"/>
    <w:rsid w:val="0014015A"/>
    <w:rsid w:val="00140E99"/>
    <w:rsid w:val="001413C3"/>
    <w:rsid w:val="001456B0"/>
    <w:rsid w:val="00150234"/>
    <w:rsid w:val="00150FE6"/>
    <w:rsid w:val="00151A73"/>
    <w:rsid w:val="001527E4"/>
    <w:rsid w:val="00152F61"/>
    <w:rsid w:val="00153B3A"/>
    <w:rsid w:val="00157130"/>
    <w:rsid w:val="00160F5B"/>
    <w:rsid w:val="001624E3"/>
    <w:rsid w:val="00162913"/>
    <w:rsid w:val="00162D84"/>
    <w:rsid w:val="00163012"/>
    <w:rsid w:val="00163EFF"/>
    <w:rsid w:val="00165A0E"/>
    <w:rsid w:val="001661FB"/>
    <w:rsid w:val="00170D1D"/>
    <w:rsid w:val="00174CDF"/>
    <w:rsid w:val="00181CA6"/>
    <w:rsid w:val="001915DC"/>
    <w:rsid w:val="00195222"/>
    <w:rsid w:val="001971A6"/>
    <w:rsid w:val="001975D8"/>
    <w:rsid w:val="001978D6"/>
    <w:rsid w:val="001979A6"/>
    <w:rsid w:val="00197E5D"/>
    <w:rsid w:val="001A0BBA"/>
    <w:rsid w:val="001A2128"/>
    <w:rsid w:val="001A289E"/>
    <w:rsid w:val="001B2D68"/>
    <w:rsid w:val="001B3443"/>
    <w:rsid w:val="001B6188"/>
    <w:rsid w:val="001C0D9F"/>
    <w:rsid w:val="001C1030"/>
    <w:rsid w:val="001C120A"/>
    <w:rsid w:val="001C197C"/>
    <w:rsid w:val="001C2CD7"/>
    <w:rsid w:val="001C3EEC"/>
    <w:rsid w:val="001C51A4"/>
    <w:rsid w:val="001C6DC8"/>
    <w:rsid w:val="001C6E66"/>
    <w:rsid w:val="001D0C73"/>
    <w:rsid w:val="001D112E"/>
    <w:rsid w:val="001D644A"/>
    <w:rsid w:val="001E1D29"/>
    <w:rsid w:val="001E238E"/>
    <w:rsid w:val="001E2C29"/>
    <w:rsid w:val="001E2FA1"/>
    <w:rsid w:val="001E3A08"/>
    <w:rsid w:val="001E52EB"/>
    <w:rsid w:val="001E740C"/>
    <w:rsid w:val="001F04C9"/>
    <w:rsid w:val="001F1235"/>
    <w:rsid w:val="001F1CB3"/>
    <w:rsid w:val="001F21CA"/>
    <w:rsid w:val="001F305E"/>
    <w:rsid w:val="001F7361"/>
    <w:rsid w:val="00200925"/>
    <w:rsid w:val="002025FE"/>
    <w:rsid w:val="002070AA"/>
    <w:rsid w:val="0020717B"/>
    <w:rsid w:val="002105C1"/>
    <w:rsid w:val="00212BB6"/>
    <w:rsid w:val="00215166"/>
    <w:rsid w:val="00215C72"/>
    <w:rsid w:val="00220329"/>
    <w:rsid w:val="00221583"/>
    <w:rsid w:val="00223B49"/>
    <w:rsid w:val="0022409B"/>
    <w:rsid w:val="00224DD4"/>
    <w:rsid w:val="002267B0"/>
    <w:rsid w:val="00226ED8"/>
    <w:rsid w:val="002309CC"/>
    <w:rsid w:val="002359D9"/>
    <w:rsid w:val="00237D7B"/>
    <w:rsid w:val="00240AF5"/>
    <w:rsid w:val="00241527"/>
    <w:rsid w:val="00242F60"/>
    <w:rsid w:val="00244405"/>
    <w:rsid w:val="0024457B"/>
    <w:rsid w:val="00245FC3"/>
    <w:rsid w:val="00246115"/>
    <w:rsid w:val="00246F29"/>
    <w:rsid w:val="00251F4C"/>
    <w:rsid w:val="002520AF"/>
    <w:rsid w:val="0025367C"/>
    <w:rsid w:val="0025419A"/>
    <w:rsid w:val="00254EF2"/>
    <w:rsid w:val="0025534B"/>
    <w:rsid w:val="00255BB7"/>
    <w:rsid w:val="002570C5"/>
    <w:rsid w:val="00257C26"/>
    <w:rsid w:val="00257E0A"/>
    <w:rsid w:val="00262A87"/>
    <w:rsid w:val="00267271"/>
    <w:rsid w:val="0027213A"/>
    <w:rsid w:val="00273E88"/>
    <w:rsid w:val="00275C5A"/>
    <w:rsid w:val="002777FB"/>
    <w:rsid w:val="00277EE6"/>
    <w:rsid w:val="002830EB"/>
    <w:rsid w:val="00283C99"/>
    <w:rsid w:val="00283D4B"/>
    <w:rsid w:val="002857E9"/>
    <w:rsid w:val="00286C35"/>
    <w:rsid w:val="002871A5"/>
    <w:rsid w:val="00293841"/>
    <w:rsid w:val="00293A85"/>
    <w:rsid w:val="00293C94"/>
    <w:rsid w:val="002946E4"/>
    <w:rsid w:val="00294A07"/>
    <w:rsid w:val="0029536E"/>
    <w:rsid w:val="002963CA"/>
    <w:rsid w:val="002967AD"/>
    <w:rsid w:val="002A0F92"/>
    <w:rsid w:val="002A14AB"/>
    <w:rsid w:val="002A3CCA"/>
    <w:rsid w:val="002A50BF"/>
    <w:rsid w:val="002A5877"/>
    <w:rsid w:val="002B1C1F"/>
    <w:rsid w:val="002B2710"/>
    <w:rsid w:val="002B3CB3"/>
    <w:rsid w:val="002B432F"/>
    <w:rsid w:val="002B60B5"/>
    <w:rsid w:val="002B62BC"/>
    <w:rsid w:val="002B6CCE"/>
    <w:rsid w:val="002B7345"/>
    <w:rsid w:val="002C19D3"/>
    <w:rsid w:val="002C27C1"/>
    <w:rsid w:val="002C6A54"/>
    <w:rsid w:val="002C6E8B"/>
    <w:rsid w:val="002E18C6"/>
    <w:rsid w:val="002E22A6"/>
    <w:rsid w:val="002E54D6"/>
    <w:rsid w:val="002E6302"/>
    <w:rsid w:val="002F035C"/>
    <w:rsid w:val="002F2C86"/>
    <w:rsid w:val="002F47FA"/>
    <w:rsid w:val="002F50D0"/>
    <w:rsid w:val="002F5745"/>
    <w:rsid w:val="002F5840"/>
    <w:rsid w:val="002F74C7"/>
    <w:rsid w:val="00301017"/>
    <w:rsid w:val="00302D95"/>
    <w:rsid w:val="0030786C"/>
    <w:rsid w:val="0031031A"/>
    <w:rsid w:val="0031431B"/>
    <w:rsid w:val="00315498"/>
    <w:rsid w:val="00316400"/>
    <w:rsid w:val="0031708A"/>
    <w:rsid w:val="00317594"/>
    <w:rsid w:val="0032172C"/>
    <w:rsid w:val="003235E3"/>
    <w:rsid w:val="003247A8"/>
    <w:rsid w:val="00326249"/>
    <w:rsid w:val="003306F5"/>
    <w:rsid w:val="00331FE0"/>
    <w:rsid w:val="00333394"/>
    <w:rsid w:val="00333870"/>
    <w:rsid w:val="003366C9"/>
    <w:rsid w:val="00337477"/>
    <w:rsid w:val="0033780D"/>
    <w:rsid w:val="00340906"/>
    <w:rsid w:val="00340E62"/>
    <w:rsid w:val="00342160"/>
    <w:rsid w:val="003434B2"/>
    <w:rsid w:val="00344E12"/>
    <w:rsid w:val="00344E54"/>
    <w:rsid w:val="00345B5D"/>
    <w:rsid w:val="00346337"/>
    <w:rsid w:val="003527B2"/>
    <w:rsid w:val="00355D55"/>
    <w:rsid w:val="0035620E"/>
    <w:rsid w:val="00357A1C"/>
    <w:rsid w:val="00357DF2"/>
    <w:rsid w:val="0036194D"/>
    <w:rsid w:val="0036239A"/>
    <w:rsid w:val="00362BBA"/>
    <w:rsid w:val="00363F47"/>
    <w:rsid w:val="003703B3"/>
    <w:rsid w:val="0037063F"/>
    <w:rsid w:val="00370913"/>
    <w:rsid w:val="003720E8"/>
    <w:rsid w:val="00376CFA"/>
    <w:rsid w:val="003829A7"/>
    <w:rsid w:val="0038365C"/>
    <w:rsid w:val="00385059"/>
    <w:rsid w:val="00385587"/>
    <w:rsid w:val="00385E9A"/>
    <w:rsid w:val="00386348"/>
    <w:rsid w:val="00393F75"/>
    <w:rsid w:val="003942DB"/>
    <w:rsid w:val="00395513"/>
    <w:rsid w:val="00395D47"/>
    <w:rsid w:val="00396F9F"/>
    <w:rsid w:val="00396FD0"/>
    <w:rsid w:val="003A1A7A"/>
    <w:rsid w:val="003A2C74"/>
    <w:rsid w:val="003A31BE"/>
    <w:rsid w:val="003B07AF"/>
    <w:rsid w:val="003B1300"/>
    <w:rsid w:val="003B16D5"/>
    <w:rsid w:val="003B2E17"/>
    <w:rsid w:val="003B573A"/>
    <w:rsid w:val="003B7D28"/>
    <w:rsid w:val="003B7DB4"/>
    <w:rsid w:val="003C4646"/>
    <w:rsid w:val="003C4FEF"/>
    <w:rsid w:val="003C55C7"/>
    <w:rsid w:val="003C5979"/>
    <w:rsid w:val="003C72F3"/>
    <w:rsid w:val="003D0886"/>
    <w:rsid w:val="003D1828"/>
    <w:rsid w:val="003D18A3"/>
    <w:rsid w:val="003D22FD"/>
    <w:rsid w:val="003D2422"/>
    <w:rsid w:val="003D34D8"/>
    <w:rsid w:val="003D3A69"/>
    <w:rsid w:val="003D6F30"/>
    <w:rsid w:val="003E4D73"/>
    <w:rsid w:val="003E51A7"/>
    <w:rsid w:val="003E5370"/>
    <w:rsid w:val="003E5E4A"/>
    <w:rsid w:val="003E60C0"/>
    <w:rsid w:val="003F4156"/>
    <w:rsid w:val="003F6965"/>
    <w:rsid w:val="00400A37"/>
    <w:rsid w:val="0040261F"/>
    <w:rsid w:val="0040362A"/>
    <w:rsid w:val="00404B7E"/>
    <w:rsid w:val="00404C39"/>
    <w:rsid w:val="004102AF"/>
    <w:rsid w:val="00410C2A"/>
    <w:rsid w:val="00410EC7"/>
    <w:rsid w:val="004115E0"/>
    <w:rsid w:val="00412F4B"/>
    <w:rsid w:val="00414476"/>
    <w:rsid w:val="0041450E"/>
    <w:rsid w:val="004170DE"/>
    <w:rsid w:val="00420108"/>
    <w:rsid w:val="00420B9F"/>
    <w:rsid w:val="00420DDD"/>
    <w:rsid w:val="004216B9"/>
    <w:rsid w:val="00422404"/>
    <w:rsid w:val="00425CB2"/>
    <w:rsid w:val="00425ECF"/>
    <w:rsid w:val="00426E70"/>
    <w:rsid w:val="004319F8"/>
    <w:rsid w:val="00435BDA"/>
    <w:rsid w:val="004366D6"/>
    <w:rsid w:val="00437C66"/>
    <w:rsid w:val="004412FC"/>
    <w:rsid w:val="004438E7"/>
    <w:rsid w:val="00443F3B"/>
    <w:rsid w:val="00443F83"/>
    <w:rsid w:val="00444287"/>
    <w:rsid w:val="004443A7"/>
    <w:rsid w:val="00444AEF"/>
    <w:rsid w:val="00445186"/>
    <w:rsid w:val="0044606F"/>
    <w:rsid w:val="004464EB"/>
    <w:rsid w:val="00446F66"/>
    <w:rsid w:val="004471CD"/>
    <w:rsid w:val="00451C7E"/>
    <w:rsid w:val="00452D19"/>
    <w:rsid w:val="00455D45"/>
    <w:rsid w:val="004603F1"/>
    <w:rsid w:val="00462D67"/>
    <w:rsid w:val="0046340F"/>
    <w:rsid w:val="0046405F"/>
    <w:rsid w:val="00464595"/>
    <w:rsid w:val="004649CB"/>
    <w:rsid w:val="00465FB1"/>
    <w:rsid w:val="0046773F"/>
    <w:rsid w:val="0046789C"/>
    <w:rsid w:val="00470458"/>
    <w:rsid w:val="00472359"/>
    <w:rsid w:val="0047456A"/>
    <w:rsid w:val="0047478D"/>
    <w:rsid w:val="00476780"/>
    <w:rsid w:val="00477221"/>
    <w:rsid w:val="00477AC6"/>
    <w:rsid w:val="0048005D"/>
    <w:rsid w:val="00481232"/>
    <w:rsid w:val="00482705"/>
    <w:rsid w:val="00484F29"/>
    <w:rsid w:val="0048566E"/>
    <w:rsid w:val="00485AA6"/>
    <w:rsid w:val="004861E3"/>
    <w:rsid w:val="004867E2"/>
    <w:rsid w:val="004874FC"/>
    <w:rsid w:val="00491B3A"/>
    <w:rsid w:val="0049303E"/>
    <w:rsid w:val="00493AA0"/>
    <w:rsid w:val="00494ECE"/>
    <w:rsid w:val="00495398"/>
    <w:rsid w:val="00497F10"/>
    <w:rsid w:val="004A0DA1"/>
    <w:rsid w:val="004A283B"/>
    <w:rsid w:val="004A371F"/>
    <w:rsid w:val="004A50CE"/>
    <w:rsid w:val="004A6597"/>
    <w:rsid w:val="004A7338"/>
    <w:rsid w:val="004B2B62"/>
    <w:rsid w:val="004B2F18"/>
    <w:rsid w:val="004B3DDB"/>
    <w:rsid w:val="004B4237"/>
    <w:rsid w:val="004B44FD"/>
    <w:rsid w:val="004B5399"/>
    <w:rsid w:val="004B5CFC"/>
    <w:rsid w:val="004B79B7"/>
    <w:rsid w:val="004C1F52"/>
    <w:rsid w:val="004C2AE2"/>
    <w:rsid w:val="004C31EE"/>
    <w:rsid w:val="004C4AED"/>
    <w:rsid w:val="004C5850"/>
    <w:rsid w:val="004D19AA"/>
    <w:rsid w:val="004D1DCC"/>
    <w:rsid w:val="004D20FF"/>
    <w:rsid w:val="004D3915"/>
    <w:rsid w:val="004D6D72"/>
    <w:rsid w:val="004D6FEC"/>
    <w:rsid w:val="004E0EB8"/>
    <w:rsid w:val="004E19DC"/>
    <w:rsid w:val="004E2ADC"/>
    <w:rsid w:val="004E4A1F"/>
    <w:rsid w:val="004E7DF6"/>
    <w:rsid w:val="004F1D02"/>
    <w:rsid w:val="004F2679"/>
    <w:rsid w:val="004F33E9"/>
    <w:rsid w:val="004F46A1"/>
    <w:rsid w:val="004F648A"/>
    <w:rsid w:val="0050229A"/>
    <w:rsid w:val="00503B9B"/>
    <w:rsid w:val="0050499C"/>
    <w:rsid w:val="0050548D"/>
    <w:rsid w:val="00506E16"/>
    <w:rsid w:val="00510C98"/>
    <w:rsid w:val="00512947"/>
    <w:rsid w:val="00512C6C"/>
    <w:rsid w:val="00514643"/>
    <w:rsid w:val="00514EE0"/>
    <w:rsid w:val="005152B5"/>
    <w:rsid w:val="00521319"/>
    <w:rsid w:val="00523C28"/>
    <w:rsid w:val="00523EC7"/>
    <w:rsid w:val="00524AD4"/>
    <w:rsid w:val="00525201"/>
    <w:rsid w:val="0053180A"/>
    <w:rsid w:val="00534C19"/>
    <w:rsid w:val="00536520"/>
    <w:rsid w:val="00541001"/>
    <w:rsid w:val="00546C17"/>
    <w:rsid w:val="00554539"/>
    <w:rsid w:val="005547FC"/>
    <w:rsid w:val="00555109"/>
    <w:rsid w:val="0056276A"/>
    <w:rsid w:val="00563C69"/>
    <w:rsid w:val="00563FCD"/>
    <w:rsid w:val="00564278"/>
    <w:rsid w:val="00564B75"/>
    <w:rsid w:val="00564DC6"/>
    <w:rsid w:val="005659F7"/>
    <w:rsid w:val="0056696F"/>
    <w:rsid w:val="00572476"/>
    <w:rsid w:val="00574CDF"/>
    <w:rsid w:val="00575447"/>
    <w:rsid w:val="00576972"/>
    <w:rsid w:val="00576A4F"/>
    <w:rsid w:val="00577561"/>
    <w:rsid w:val="00577717"/>
    <w:rsid w:val="005801E9"/>
    <w:rsid w:val="00580B23"/>
    <w:rsid w:val="00582931"/>
    <w:rsid w:val="005830DE"/>
    <w:rsid w:val="00583699"/>
    <w:rsid w:val="005874AE"/>
    <w:rsid w:val="00590AB0"/>
    <w:rsid w:val="005A0D34"/>
    <w:rsid w:val="005A3912"/>
    <w:rsid w:val="005A3E5B"/>
    <w:rsid w:val="005A5BD3"/>
    <w:rsid w:val="005A5E7B"/>
    <w:rsid w:val="005B0056"/>
    <w:rsid w:val="005B1444"/>
    <w:rsid w:val="005B3730"/>
    <w:rsid w:val="005B5857"/>
    <w:rsid w:val="005B6A10"/>
    <w:rsid w:val="005C1B83"/>
    <w:rsid w:val="005C346B"/>
    <w:rsid w:val="005C35ED"/>
    <w:rsid w:val="005C4D5E"/>
    <w:rsid w:val="005C50F1"/>
    <w:rsid w:val="005D033F"/>
    <w:rsid w:val="005D136D"/>
    <w:rsid w:val="005D179E"/>
    <w:rsid w:val="005D18AD"/>
    <w:rsid w:val="005D1D0A"/>
    <w:rsid w:val="005D346E"/>
    <w:rsid w:val="005D3727"/>
    <w:rsid w:val="005D3C18"/>
    <w:rsid w:val="005D3D1A"/>
    <w:rsid w:val="005D42CB"/>
    <w:rsid w:val="005D7E3E"/>
    <w:rsid w:val="005E3040"/>
    <w:rsid w:val="005E3868"/>
    <w:rsid w:val="005E59C5"/>
    <w:rsid w:val="005E5F65"/>
    <w:rsid w:val="005F2706"/>
    <w:rsid w:val="005F3A35"/>
    <w:rsid w:val="005F6176"/>
    <w:rsid w:val="005F6346"/>
    <w:rsid w:val="005F6A8F"/>
    <w:rsid w:val="00601964"/>
    <w:rsid w:val="00602B4E"/>
    <w:rsid w:val="00602BFB"/>
    <w:rsid w:val="00603B93"/>
    <w:rsid w:val="0060483A"/>
    <w:rsid w:val="00606CDC"/>
    <w:rsid w:val="00607669"/>
    <w:rsid w:val="00607FAF"/>
    <w:rsid w:val="006119E8"/>
    <w:rsid w:val="00612F97"/>
    <w:rsid w:val="0061383F"/>
    <w:rsid w:val="00614152"/>
    <w:rsid w:val="00615A16"/>
    <w:rsid w:val="00615A25"/>
    <w:rsid w:val="00615BF9"/>
    <w:rsid w:val="00616802"/>
    <w:rsid w:val="00617E12"/>
    <w:rsid w:val="006202A4"/>
    <w:rsid w:val="00621477"/>
    <w:rsid w:val="00622CDF"/>
    <w:rsid w:val="00625DF9"/>
    <w:rsid w:val="00627039"/>
    <w:rsid w:val="00630D46"/>
    <w:rsid w:val="00631D6B"/>
    <w:rsid w:val="00631EB1"/>
    <w:rsid w:val="006321CB"/>
    <w:rsid w:val="00633AA3"/>
    <w:rsid w:val="00633D27"/>
    <w:rsid w:val="0063479F"/>
    <w:rsid w:val="006364A1"/>
    <w:rsid w:val="00637BFD"/>
    <w:rsid w:val="006436E8"/>
    <w:rsid w:val="0064495A"/>
    <w:rsid w:val="00645500"/>
    <w:rsid w:val="006465B5"/>
    <w:rsid w:val="006471CC"/>
    <w:rsid w:val="006501A9"/>
    <w:rsid w:val="0065079F"/>
    <w:rsid w:val="00651AF8"/>
    <w:rsid w:val="00652AEA"/>
    <w:rsid w:val="006532E0"/>
    <w:rsid w:val="00655954"/>
    <w:rsid w:val="006566C7"/>
    <w:rsid w:val="006613CB"/>
    <w:rsid w:val="00661FA4"/>
    <w:rsid w:val="00662542"/>
    <w:rsid w:val="00665271"/>
    <w:rsid w:val="006664C2"/>
    <w:rsid w:val="00674E42"/>
    <w:rsid w:val="00677C59"/>
    <w:rsid w:val="00677C69"/>
    <w:rsid w:val="00682112"/>
    <w:rsid w:val="00682302"/>
    <w:rsid w:val="0068326E"/>
    <w:rsid w:val="006852A0"/>
    <w:rsid w:val="006854C6"/>
    <w:rsid w:val="00687222"/>
    <w:rsid w:val="00694DC6"/>
    <w:rsid w:val="00694F44"/>
    <w:rsid w:val="006A0357"/>
    <w:rsid w:val="006A1008"/>
    <w:rsid w:val="006A18F0"/>
    <w:rsid w:val="006A475A"/>
    <w:rsid w:val="006A5F3D"/>
    <w:rsid w:val="006A7297"/>
    <w:rsid w:val="006A7651"/>
    <w:rsid w:val="006B763F"/>
    <w:rsid w:val="006C2A8E"/>
    <w:rsid w:val="006C3B31"/>
    <w:rsid w:val="006C69F6"/>
    <w:rsid w:val="006D07FE"/>
    <w:rsid w:val="006D14C2"/>
    <w:rsid w:val="006D22E1"/>
    <w:rsid w:val="006D3C7D"/>
    <w:rsid w:val="006D6065"/>
    <w:rsid w:val="006D6608"/>
    <w:rsid w:val="006D67AD"/>
    <w:rsid w:val="006E0667"/>
    <w:rsid w:val="006E0B42"/>
    <w:rsid w:val="006E4030"/>
    <w:rsid w:val="006E4C4F"/>
    <w:rsid w:val="006E5B6C"/>
    <w:rsid w:val="006F07C3"/>
    <w:rsid w:val="006F2881"/>
    <w:rsid w:val="006F3E61"/>
    <w:rsid w:val="006F5DDB"/>
    <w:rsid w:val="006F63A5"/>
    <w:rsid w:val="00700DAD"/>
    <w:rsid w:val="007024EA"/>
    <w:rsid w:val="0070276E"/>
    <w:rsid w:val="00704123"/>
    <w:rsid w:val="007066BC"/>
    <w:rsid w:val="00707482"/>
    <w:rsid w:val="007101FF"/>
    <w:rsid w:val="00710F08"/>
    <w:rsid w:val="00711A36"/>
    <w:rsid w:val="0071244F"/>
    <w:rsid w:val="007140F5"/>
    <w:rsid w:val="00714A1F"/>
    <w:rsid w:val="00715147"/>
    <w:rsid w:val="007165A9"/>
    <w:rsid w:val="00716C84"/>
    <w:rsid w:val="007172AD"/>
    <w:rsid w:val="007219EC"/>
    <w:rsid w:val="00721E66"/>
    <w:rsid w:val="0072262C"/>
    <w:rsid w:val="00722D43"/>
    <w:rsid w:val="00722E7E"/>
    <w:rsid w:val="007230A4"/>
    <w:rsid w:val="007265FB"/>
    <w:rsid w:val="007267F2"/>
    <w:rsid w:val="00734B21"/>
    <w:rsid w:val="00735328"/>
    <w:rsid w:val="00735552"/>
    <w:rsid w:val="0073685B"/>
    <w:rsid w:val="00741525"/>
    <w:rsid w:val="00744B97"/>
    <w:rsid w:val="007474AD"/>
    <w:rsid w:val="0075070F"/>
    <w:rsid w:val="007538AA"/>
    <w:rsid w:val="007541DF"/>
    <w:rsid w:val="00754DC4"/>
    <w:rsid w:val="007551B2"/>
    <w:rsid w:val="00755283"/>
    <w:rsid w:val="007552DC"/>
    <w:rsid w:val="00760A69"/>
    <w:rsid w:val="00764801"/>
    <w:rsid w:val="00764B72"/>
    <w:rsid w:val="00764F0C"/>
    <w:rsid w:val="00765259"/>
    <w:rsid w:val="007708F6"/>
    <w:rsid w:val="00770A7A"/>
    <w:rsid w:val="00770ABB"/>
    <w:rsid w:val="007730D0"/>
    <w:rsid w:val="007744EE"/>
    <w:rsid w:val="0077528E"/>
    <w:rsid w:val="0078068C"/>
    <w:rsid w:val="00780BD2"/>
    <w:rsid w:val="007815B2"/>
    <w:rsid w:val="00782610"/>
    <w:rsid w:val="00784912"/>
    <w:rsid w:val="00791628"/>
    <w:rsid w:val="00791A5E"/>
    <w:rsid w:val="00791E29"/>
    <w:rsid w:val="00793650"/>
    <w:rsid w:val="00793988"/>
    <w:rsid w:val="00793FFD"/>
    <w:rsid w:val="007A30D5"/>
    <w:rsid w:val="007A4AD5"/>
    <w:rsid w:val="007A639E"/>
    <w:rsid w:val="007A69DB"/>
    <w:rsid w:val="007A72CB"/>
    <w:rsid w:val="007A743A"/>
    <w:rsid w:val="007B179A"/>
    <w:rsid w:val="007B1F35"/>
    <w:rsid w:val="007B251D"/>
    <w:rsid w:val="007B29C2"/>
    <w:rsid w:val="007B578B"/>
    <w:rsid w:val="007B77D1"/>
    <w:rsid w:val="007C031F"/>
    <w:rsid w:val="007C37D9"/>
    <w:rsid w:val="007C3DA3"/>
    <w:rsid w:val="007C4691"/>
    <w:rsid w:val="007D0B38"/>
    <w:rsid w:val="007D0E0F"/>
    <w:rsid w:val="007D197D"/>
    <w:rsid w:val="007D70A6"/>
    <w:rsid w:val="007D7B9E"/>
    <w:rsid w:val="007E272C"/>
    <w:rsid w:val="007E376B"/>
    <w:rsid w:val="007E3AB3"/>
    <w:rsid w:val="007E578B"/>
    <w:rsid w:val="007E57F3"/>
    <w:rsid w:val="007E6C0B"/>
    <w:rsid w:val="007F01DD"/>
    <w:rsid w:val="007F1017"/>
    <w:rsid w:val="007F1D7C"/>
    <w:rsid w:val="007F48FB"/>
    <w:rsid w:val="007F4A3F"/>
    <w:rsid w:val="007F4A89"/>
    <w:rsid w:val="007F6AD7"/>
    <w:rsid w:val="00800A12"/>
    <w:rsid w:val="0080110C"/>
    <w:rsid w:val="00802D1C"/>
    <w:rsid w:val="008032F0"/>
    <w:rsid w:val="00804383"/>
    <w:rsid w:val="00805142"/>
    <w:rsid w:val="008067CC"/>
    <w:rsid w:val="00806949"/>
    <w:rsid w:val="00806D69"/>
    <w:rsid w:val="00807593"/>
    <w:rsid w:val="008079B9"/>
    <w:rsid w:val="00807A8B"/>
    <w:rsid w:val="00812149"/>
    <w:rsid w:val="008143B3"/>
    <w:rsid w:val="00815521"/>
    <w:rsid w:val="008166EF"/>
    <w:rsid w:val="008171C6"/>
    <w:rsid w:val="008202A0"/>
    <w:rsid w:val="00821400"/>
    <w:rsid w:val="0082457C"/>
    <w:rsid w:val="0082609C"/>
    <w:rsid w:val="008264EB"/>
    <w:rsid w:val="00827419"/>
    <w:rsid w:val="00831874"/>
    <w:rsid w:val="00831CBE"/>
    <w:rsid w:val="00832654"/>
    <w:rsid w:val="0083391A"/>
    <w:rsid w:val="008356BD"/>
    <w:rsid w:val="0083664C"/>
    <w:rsid w:val="00840749"/>
    <w:rsid w:val="00840CA2"/>
    <w:rsid w:val="008411CB"/>
    <w:rsid w:val="00842D99"/>
    <w:rsid w:val="0084341D"/>
    <w:rsid w:val="0084479F"/>
    <w:rsid w:val="00845299"/>
    <w:rsid w:val="0084688B"/>
    <w:rsid w:val="008513A3"/>
    <w:rsid w:val="008521C3"/>
    <w:rsid w:val="00856E9A"/>
    <w:rsid w:val="00860BD7"/>
    <w:rsid w:val="00861BBF"/>
    <w:rsid w:val="008630F1"/>
    <w:rsid w:val="00863ECF"/>
    <w:rsid w:val="00870CA1"/>
    <w:rsid w:val="0087298B"/>
    <w:rsid w:val="00874022"/>
    <w:rsid w:val="0087550F"/>
    <w:rsid w:val="00875DEB"/>
    <w:rsid w:val="00876956"/>
    <w:rsid w:val="00877F28"/>
    <w:rsid w:val="00882874"/>
    <w:rsid w:val="00883787"/>
    <w:rsid w:val="00887C82"/>
    <w:rsid w:val="00891B26"/>
    <w:rsid w:val="00891ECC"/>
    <w:rsid w:val="00893696"/>
    <w:rsid w:val="008963A5"/>
    <w:rsid w:val="00896B53"/>
    <w:rsid w:val="008970FA"/>
    <w:rsid w:val="008A0FB2"/>
    <w:rsid w:val="008A1504"/>
    <w:rsid w:val="008A312C"/>
    <w:rsid w:val="008A3C3E"/>
    <w:rsid w:val="008A41E2"/>
    <w:rsid w:val="008A54AB"/>
    <w:rsid w:val="008A770C"/>
    <w:rsid w:val="008A79DE"/>
    <w:rsid w:val="008B1413"/>
    <w:rsid w:val="008B4C03"/>
    <w:rsid w:val="008B59D8"/>
    <w:rsid w:val="008B5AB7"/>
    <w:rsid w:val="008B7D7E"/>
    <w:rsid w:val="008C040A"/>
    <w:rsid w:val="008C6485"/>
    <w:rsid w:val="008C7ECB"/>
    <w:rsid w:val="008D026D"/>
    <w:rsid w:val="008D0C60"/>
    <w:rsid w:val="008D2074"/>
    <w:rsid w:val="008D2C26"/>
    <w:rsid w:val="008D4FAE"/>
    <w:rsid w:val="008D77A9"/>
    <w:rsid w:val="008D7E1A"/>
    <w:rsid w:val="008E00FC"/>
    <w:rsid w:val="008E1735"/>
    <w:rsid w:val="008E1B9E"/>
    <w:rsid w:val="008E59F1"/>
    <w:rsid w:val="008E72BF"/>
    <w:rsid w:val="008E7D35"/>
    <w:rsid w:val="008F3404"/>
    <w:rsid w:val="008F3D87"/>
    <w:rsid w:val="008F48EB"/>
    <w:rsid w:val="008F4F0B"/>
    <w:rsid w:val="008F5460"/>
    <w:rsid w:val="008F5588"/>
    <w:rsid w:val="008F655F"/>
    <w:rsid w:val="008F6C8A"/>
    <w:rsid w:val="008F7176"/>
    <w:rsid w:val="00900027"/>
    <w:rsid w:val="00900BDF"/>
    <w:rsid w:val="00900D61"/>
    <w:rsid w:val="0090152C"/>
    <w:rsid w:val="009034B8"/>
    <w:rsid w:val="00904C82"/>
    <w:rsid w:val="00904C99"/>
    <w:rsid w:val="00905ABF"/>
    <w:rsid w:val="009062A5"/>
    <w:rsid w:val="0090742B"/>
    <w:rsid w:val="00911272"/>
    <w:rsid w:val="009142C4"/>
    <w:rsid w:val="00915BC2"/>
    <w:rsid w:val="00920485"/>
    <w:rsid w:val="00921A14"/>
    <w:rsid w:val="00924258"/>
    <w:rsid w:val="0092441D"/>
    <w:rsid w:val="00925071"/>
    <w:rsid w:val="00925B54"/>
    <w:rsid w:val="00926740"/>
    <w:rsid w:val="009267CA"/>
    <w:rsid w:val="009268DE"/>
    <w:rsid w:val="00926AD1"/>
    <w:rsid w:val="00926BA3"/>
    <w:rsid w:val="009349FE"/>
    <w:rsid w:val="00942B41"/>
    <w:rsid w:val="00946E05"/>
    <w:rsid w:val="00946F91"/>
    <w:rsid w:val="009512DB"/>
    <w:rsid w:val="00951D17"/>
    <w:rsid w:val="009537F1"/>
    <w:rsid w:val="00953DFB"/>
    <w:rsid w:val="00954B8B"/>
    <w:rsid w:val="00957477"/>
    <w:rsid w:val="00961817"/>
    <w:rsid w:val="009619A9"/>
    <w:rsid w:val="00961AF9"/>
    <w:rsid w:val="00962C00"/>
    <w:rsid w:val="00962CB9"/>
    <w:rsid w:val="00964312"/>
    <w:rsid w:val="0096626D"/>
    <w:rsid w:val="00970727"/>
    <w:rsid w:val="00973042"/>
    <w:rsid w:val="00976250"/>
    <w:rsid w:val="00976BF9"/>
    <w:rsid w:val="0098002F"/>
    <w:rsid w:val="0098009B"/>
    <w:rsid w:val="00981DEC"/>
    <w:rsid w:val="00983E57"/>
    <w:rsid w:val="00987E67"/>
    <w:rsid w:val="00991714"/>
    <w:rsid w:val="00991E62"/>
    <w:rsid w:val="009921F0"/>
    <w:rsid w:val="00992B7D"/>
    <w:rsid w:val="00993AD7"/>
    <w:rsid w:val="00996B1A"/>
    <w:rsid w:val="00997A7F"/>
    <w:rsid w:val="009A0418"/>
    <w:rsid w:val="009A192C"/>
    <w:rsid w:val="009A1D4A"/>
    <w:rsid w:val="009A38CE"/>
    <w:rsid w:val="009A4197"/>
    <w:rsid w:val="009A4AF0"/>
    <w:rsid w:val="009A508A"/>
    <w:rsid w:val="009A5503"/>
    <w:rsid w:val="009A5ACD"/>
    <w:rsid w:val="009A6035"/>
    <w:rsid w:val="009A758B"/>
    <w:rsid w:val="009B2DAC"/>
    <w:rsid w:val="009B3E26"/>
    <w:rsid w:val="009B6526"/>
    <w:rsid w:val="009B67E8"/>
    <w:rsid w:val="009B7CA9"/>
    <w:rsid w:val="009C0229"/>
    <w:rsid w:val="009C0F8F"/>
    <w:rsid w:val="009C222E"/>
    <w:rsid w:val="009C2412"/>
    <w:rsid w:val="009C3167"/>
    <w:rsid w:val="009C3ADD"/>
    <w:rsid w:val="009D0B4D"/>
    <w:rsid w:val="009D2CEA"/>
    <w:rsid w:val="009D5B91"/>
    <w:rsid w:val="009E00A6"/>
    <w:rsid w:val="009E20F3"/>
    <w:rsid w:val="009E2193"/>
    <w:rsid w:val="009E223F"/>
    <w:rsid w:val="009E3549"/>
    <w:rsid w:val="009E4C07"/>
    <w:rsid w:val="009E5EFC"/>
    <w:rsid w:val="009E7217"/>
    <w:rsid w:val="009E7E4F"/>
    <w:rsid w:val="009F4B3C"/>
    <w:rsid w:val="00A00621"/>
    <w:rsid w:val="00A02B78"/>
    <w:rsid w:val="00A03D43"/>
    <w:rsid w:val="00A04380"/>
    <w:rsid w:val="00A06963"/>
    <w:rsid w:val="00A07322"/>
    <w:rsid w:val="00A13948"/>
    <w:rsid w:val="00A1451A"/>
    <w:rsid w:val="00A14BB1"/>
    <w:rsid w:val="00A155BC"/>
    <w:rsid w:val="00A155C1"/>
    <w:rsid w:val="00A23281"/>
    <w:rsid w:val="00A2474A"/>
    <w:rsid w:val="00A25A66"/>
    <w:rsid w:val="00A27AEC"/>
    <w:rsid w:val="00A307BF"/>
    <w:rsid w:val="00A30854"/>
    <w:rsid w:val="00A30DDA"/>
    <w:rsid w:val="00A30F33"/>
    <w:rsid w:val="00A31A9D"/>
    <w:rsid w:val="00A31E18"/>
    <w:rsid w:val="00A35D16"/>
    <w:rsid w:val="00A35E78"/>
    <w:rsid w:val="00A37579"/>
    <w:rsid w:val="00A40CE2"/>
    <w:rsid w:val="00A43C59"/>
    <w:rsid w:val="00A467A3"/>
    <w:rsid w:val="00A479A4"/>
    <w:rsid w:val="00A50ECD"/>
    <w:rsid w:val="00A52729"/>
    <w:rsid w:val="00A53675"/>
    <w:rsid w:val="00A56A5B"/>
    <w:rsid w:val="00A56B6A"/>
    <w:rsid w:val="00A578DC"/>
    <w:rsid w:val="00A602DD"/>
    <w:rsid w:val="00A60505"/>
    <w:rsid w:val="00A60957"/>
    <w:rsid w:val="00A6493C"/>
    <w:rsid w:val="00A6541D"/>
    <w:rsid w:val="00A6725B"/>
    <w:rsid w:val="00A7149B"/>
    <w:rsid w:val="00A71BEA"/>
    <w:rsid w:val="00A744D7"/>
    <w:rsid w:val="00A746B8"/>
    <w:rsid w:val="00A7558B"/>
    <w:rsid w:val="00A80123"/>
    <w:rsid w:val="00A819A8"/>
    <w:rsid w:val="00A84A2A"/>
    <w:rsid w:val="00A84FCE"/>
    <w:rsid w:val="00A86275"/>
    <w:rsid w:val="00A86D00"/>
    <w:rsid w:val="00A86E8B"/>
    <w:rsid w:val="00A904E7"/>
    <w:rsid w:val="00A92C37"/>
    <w:rsid w:val="00A93072"/>
    <w:rsid w:val="00A940BD"/>
    <w:rsid w:val="00A96197"/>
    <w:rsid w:val="00AA0A07"/>
    <w:rsid w:val="00AA0A87"/>
    <w:rsid w:val="00AA10C6"/>
    <w:rsid w:val="00AA3880"/>
    <w:rsid w:val="00AA69FE"/>
    <w:rsid w:val="00AB042A"/>
    <w:rsid w:val="00AB24DD"/>
    <w:rsid w:val="00AB3430"/>
    <w:rsid w:val="00AB6EBA"/>
    <w:rsid w:val="00AB7CFA"/>
    <w:rsid w:val="00AC47A7"/>
    <w:rsid w:val="00AC53B0"/>
    <w:rsid w:val="00AC6C29"/>
    <w:rsid w:val="00AC765F"/>
    <w:rsid w:val="00AC7D34"/>
    <w:rsid w:val="00AC7F3E"/>
    <w:rsid w:val="00AD1A14"/>
    <w:rsid w:val="00AD42AE"/>
    <w:rsid w:val="00AD4DA5"/>
    <w:rsid w:val="00AD52EE"/>
    <w:rsid w:val="00AD68DA"/>
    <w:rsid w:val="00AE053B"/>
    <w:rsid w:val="00AE23C5"/>
    <w:rsid w:val="00AE2510"/>
    <w:rsid w:val="00AE315C"/>
    <w:rsid w:val="00AE4AD6"/>
    <w:rsid w:val="00AE5533"/>
    <w:rsid w:val="00AE6C8D"/>
    <w:rsid w:val="00AF3105"/>
    <w:rsid w:val="00AF5432"/>
    <w:rsid w:val="00AF6720"/>
    <w:rsid w:val="00AF67AF"/>
    <w:rsid w:val="00AF7FB9"/>
    <w:rsid w:val="00B020C2"/>
    <w:rsid w:val="00B048E0"/>
    <w:rsid w:val="00B075EA"/>
    <w:rsid w:val="00B07C27"/>
    <w:rsid w:val="00B10461"/>
    <w:rsid w:val="00B11870"/>
    <w:rsid w:val="00B12AE0"/>
    <w:rsid w:val="00B130B9"/>
    <w:rsid w:val="00B14268"/>
    <w:rsid w:val="00B14719"/>
    <w:rsid w:val="00B158E7"/>
    <w:rsid w:val="00B1647F"/>
    <w:rsid w:val="00B2014E"/>
    <w:rsid w:val="00B214AB"/>
    <w:rsid w:val="00B21F00"/>
    <w:rsid w:val="00B21F96"/>
    <w:rsid w:val="00B22308"/>
    <w:rsid w:val="00B23345"/>
    <w:rsid w:val="00B271A1"/>
    <w:rsid w:val="00B316D9"/>
    <w:rsid w:val="00B33315"/>
    <w:rsid w:val="00B34623"/>
    <w:rsid w:val="00B34D81"/>
    <w:rsid w:val="00B42851"/>
    <w:rsid w:val="00B42B4B"/>
    <w:rsid w:val="00B43232"/>
    <w:rsid w:val="00B436CC"/>
    <w:rsid w:val="00B4528D"/>
    <w:rsid w:val="00B46430"/>
    <w:rsid w:val="00B4737C"/>
    <w:rsid w:val="00B52AD2"/>
    <w:rsid w:val="00B532B7"/>
    <w:rsid w:val="00B53B0C"/>
    <w:rsid w:val="00B5430E"/>
    <w:rsid w:val="00B54B5B"/>
    <w:rsid w:val="00B5562E"/>
    <w:rsid w:val="00B561A1"/>
    <w:rsid w:val="00B57000"/>
    <w:rsid w:val="00B604C8"/>
    <w:rsid w:val="00B608CF"/>
    <w:rsid w:val="00B60939"/>
    <w:rsid w:val="00B60AFD"/>
    <w:rsid w:val="00B62715"/>
    <w:rsid w:val="00B66A22"/>
    <w:rsid w:val="00B66BBC"/>
    <w:rsid w:val="00B72E39"/>
    <w:rsid w:val="00B73713"/>
    <w:rsid w:val="00B752D1"/>
    <w:rsid w:val="00B762F6"/>
    <w:rsid w:val="00B76748"/>
    <w:rsid w:val="00B77A3A"/>
    <w:rsid w:val="00B818A4"/>
    <w:rsid w:val="00B81F22"/>
    <w:rsid w:val="00B83161"/>
    <w:rsid w:val="00B8649C"/>
    <w:rsid w:val="00B86DC5"/>
    <w:rsid w:val="00B92B17"/>
    <w:rsid w:val="00B92D0B"/>
    <w:rsid w:val="00B937B3"/>
    <w:rsid w:val="00B94734"/>
    <w:rsid w:val="00B94945"/>
    <w:rsid w:val="00B95087"/>
    <w:rsid w:val="00B9641A"/>
    <w:rsid w:val="00B96C80"/>
    <w:rsid w:val="00B9705B"/>
    <w:rsid w:val="00BA38E9"/>
    <w:rsid w:val="00BA58AA"/>
    <w:rsid w:val="00BA685A"/>
    <w:rsid w:val="00BA6D07"/>
    <w:rsid w:val="00BB0B6F"/>
    <w:rsid w:val="00BB2F5E"/>
    <w:rsid w:val="00BB4101"/>
    <w:rsid w:val="00BB5603"/>
    <w:rsid w:val="00BB5C68"/>
    <w:rsid w:val="00BB5F46"/>
    <w:rsid w:val="00BB6DBE"/>
    <w:rsid w:val="00BC156D"/>
    <w:rsid w:val="00BC24E7"/>
    <w:rsid w:val="00BC3AC9"/>
    <w:rsid w:val="00BC4B45"/>
    <w:rsid w:val="00BC4FA3"/>
    <w:rsid w:val="00BC7364"/>
    <w:rsid w:val="00BC7A79"/>
    <w:rsid w:val="00BD057C"/>
    <w:rsid w:val="00BD2DCF"/>
    <w:rsid w:val="00BD36B6"/>
    <w:rsid w:val="00BD57FF"/>
    <w:rsid w:val="00BD778E"/>
    <w:rsid w:val="00BE2180"/>
    <w:rsid w:val="00BE241B"/>
    <w:rsid w:val="00BE4275"/>
    <w:rsid w:val="00BE7091"/>
    <w:rsid w:val="00BE7480"/>
    <w:rsid w:val="00BF23ED"/>
    <w:rsid w:val="00BF2433"/>
    <w:rsid w:val="00BF2FD8"/>
    <w:rsid w:val="00BF4D92"/>
    <w:rsid w:val="00BF508C"/>
    <w:rsid w:val="00BF61C9"/>
    <w:rsid w:val="00BF633F"/>
    <w:rsid w:val="00BF7473"/>
    <w:rsid w:val="00BF7F37"/>
    <w:rsid w:val="00C049EB"/>
    <w:rsid w:val="00C131CA"/>
    <w:rsid w:val="00C136D5"/>
    <w:rsid w:val="00C13722"/>
    <w:rsid w:val="00C15A4D"/>
    <w:rsid w:val="00C15EC4"/>
    <w:rsid w:val="00C17966"/>
    <w:rsid w:val="00C2046D"/>
    <w:rsid w:val="00C21BC9"/>
    <w:rsid w:val="00C23884"/>
    <w:rsid w:val="00C24D0D"/>
    <w:rsid w:val="00C25418"/>
    <w:rsid w:val="00C2584F"/>
    <w:rsid w:val="00C25A61"/>
    <w:rsid w:val="00C25D9C"/>
    <w:rsid w:val="00C31649"/>
    <w:rsid w:val="00C32F28"/>
    <w:rsid w:val="00C40385"/>
    <w:rsid w:val="00C419ED"/>
    <w:rsid w:val="00C41D52"/>
    <w:rsid w:val="00C44D18"/>
    <w:rsid w:val="00C4508D"/>
    <w:rsid w:val="00C45D76"/>
    <w:rsid w:val="00C514E8"/>
    <w:rsid w:val="00C524ED"/>
    <w:rsid w:val="00C5493E"/>
    <w:rsid w:val="00C55B77"/>
    <w:rsid w:val="00C6295B"/>
    <w:rsid w:val="00C64101"/>
    <w:rsid w:val="00C65576"/>
    <w:rsid w:val="00C66165"/>
    <w:rsid w:val="00C67B80"/>
    <w:rsid w:val="00C701C0"/>
    <w:rsid w:val="00C71DEA"/>
    <w:rsid w:val="00C71E58"/>
    <w:rsid w:val="00C72E7E"/>
    <w:rsid w:val="00C731DE"/>
    <w:rsid w:val="00C75746"/>
    <w:rsid w:val="00C779CF"/>
    <w:rsid w:val="00C800D8"/>
    <w:rsid w:val="00C8213F"/>
    <w:rsid w:val="00C82192"/>
    <w:rsid w:val="00C8262E"/>
    <w:rsid w:val="00C82775"/>
    <w:rsid w:val="00C8398C"/>
    <w:rsid w:val="00C83F92"/>
    <w:rsid w:val="00C84551"/>
    <w:rsid w:val="00C8797A"/>
    <w:rsid w:val="00C87BF6"/>
    <w:rsid w:val="00C90810"/>
    <w:rsid w:val="00C92ABC"/>
    <w:rsid w:val="00C92CC9"/>
    <w:rsid w:val="00C938CF"/>
    <w:rsid w:val="00C97071"/>
    <w:rsid w:val="00C97E54"/>
    <w:rsid w:val="00CA1CF0"/>
    <w:rsid w:val="00CA4359"/>
    <w:rsid w:val="00CA5245"/>
    <w:rsid w:val="00CA7B09"/>
    <w:rsid w:val="00CB4AA3"/>
    <w:rsid w:val="00CB5B1A"/>
    <w:rsid w:val="00CB66DE"/>
    <w:rsid w:val="00CC05C1"/>
    <w:rsid w:val="00CC1964"/>
    <w:rsid w:val="00CC238E"/>
    <w:rsid w:val="00CC65CF"/>
    <w:rsid w:val="00CC7B01"/>
    <w:rsid w:val="00CD2957"/>
    <w:rsid w:val="00CD576D"/>
    <w:rsid w:val="00CD62F4"/>
    <w:rsid w:val="00CD6ADC"/>
    <w:rsid w:val="00CE4A13"/>
    <w:rsid w:val="00CE6274"/>
    <w:rsid w:val="00CE672F"/>
    <w:rsid w:val="00CE7A8B"/>
    <w:rsid w:val="00CE7D02"/>
    <w:rsid w:val="00CF0143"/>
    <w:rsid w:val="00CF0730"/>
    <w:rsid w:val="00CF2DC9"/>
    <w:rsid w:val="00CF31A8"/>
    <w:rsid w:val="00CF456B"/>
    <w:rsid w:val="00CF47CD"/>
    <w:rsid w:val="00CF4882"/>
    <w:rsid w:val="00CF5A22"/>
    <w:rsid w:val="00D0262E"/>
    <w:rsid w:val="00D04239"/>
    <w:rsid w:val="00D0474B"/>
    <w:rsid w:val="00D04AA4"/>
    <w:rsid w:val="00D04C42"/>
    <w:rsid w:val="00D052F7"/>
    <w:rsid w:val="00D06FD4"/>
    <w:rsid w:val="00D110BD"/>
    <w:rsid w:val="00D123C0"/>
    <w:rsid w:val="00D1265B"/>
    <w:rsid w:val="00D12AF5"/>
    <w:rsid w:val="00D12EA7"/>
    <w:rsid w:val="00D13865"/>
    <w:rsid w:val="00D155AB"/>
    <w:rsid w:val="00D15DDC"/>
    <w:rsid w:val="00D16997"/>
    <w:rsid w:val="00D1798A"/>
    <w:rsid w:val="00D17C8E"/>
    <w:rsid w:val="00D17D6C"/>
    <w:rsid w:val="00D230A7"/>
    <w:rsid w:val="00D23224"/>
    <w:rsid w:val="00D249BC"/>
    <w:rsid w:val="00D30FEC"/>
    <w:rsid w:val="00D32FC2"/>
    <w:rsid w:val="00D35458"/>
    <w:rsid w:val="00D37588"/>
    <w:rsid w:val="00D4579C"/>
    <w:rsid w:val="00D514AF"/>
    <w:rsid w:val="00D54F82"/>
    <w:rsid w:val="00D556C1"/>
    <w:rsid w:val="00D57F57"/>
    <w:rsid w:val="00D628A7"/>
    <w:rsid w:val="00D668C3"/>
    <w:rsid w:val="00D67367"/>
    <w:rsid w:val="00D7033F"/>
    <w:rsid w:val="00D71068"/>
    <w:rsid w:val="00D71E74"/>
    <w:rsid w:val="00D7230C"/>
    <w:rsid w:val="00D73799"/>
    <w:rsid w:val="00D73C93"/>
    <w:rsid w:val="00D75B3D"/>
    <w:rsid w:val="00D76203"/>
    <w:rsid w:val="00D7685C"/>
    <w:rsid w:val="00D76A44"/>
    <w:rsid w:val="00D7753F"/>
    <w:rsid w:val="00D8303B"/>
    <w:rsid w:val="00D849FF"/>
    <w:rsid w:val="00D84DEA"/>
    <w:rsid w:val="00D904F6"/>
    <w:rsid w:val="00D926C5"/>
    <w:rsid w:val="00D933C4"/>
    <w:rsid w:val="00D93753"/>
    <w:rsid w:val="00D9596B"/>
    <w:rsid w:val="00D95E0B"/>
    <w:rsid w:val="00D97C3A"/>
    <w:rsid w:val="00DA007F"/>
    <w:rsid w:val="00DA221F"/>
    <w:rsid w:val="00DA370A"/>
    <w:rsid w:val="00DA3A2C"/>
    <w:rsid w:val="00DA77A5"/>
    <w:rsid w:val="00DA79B0"/>
    <w:rsid w:val="00DB334B"/>
    <w:rsid w:val="00DB462F"/>
    <w:rsid w:val="00DB4F2E"/>
    <w:rsid w:val="00DB502A"/>
    <w:rsid w:val="00DB7E7E"/>
    <w:rsid w:val="00DC235D"/>
    <w:rsid w:val="00DC25FB"/>
    <w:rsid w:val="00DC49E0"/>
    <w:rsid w:val="00DC5501"/>
    <w:rsid w:val="00DC693C"/>
    <w:rsid w:val="00DD0985"/>
    <w:rsid w:val="00DD1D70"/>
    <w:rsid w:val="00DD2072"/>
    <w:rsid w:val="00DD3F28"/>
    <w:rsid w:val="00DD4537"/>
    <w:rsid w:val="00DD4E15"/>
    <w:rsid w:val="00DD6F5C"/>
    <w:rsid w:val="00DE0028"/>
    <w:rsid w:val="00DE4D1A"/>
    <w:rsid w:val="00DE4FCB"/>
    <w:rsid w:val="00DE51B7"/>
    <w:rsid w:val="00DF00EF"/>
    <w:rsid w:val="00DF12EE"/>
    <w:rsid w:val="00DF2381"/>
    <w:rsid w:val="00DF3840"/>
    <w:rsid w:val="00DF3CBF"/>
    <w:rsid w:val="00DF3EA1"/>
    <w:rsid w:val="00DF43FC"/>
    <w:rsid w:val="00DF4D00"/>
    <w:rsid w:val="00E012F9"/>
    <w:rsid w:val="00E01C2A"/>
    <w:rsid w:val="00E01D47"/>
    <w:rsid w:val="00E04E5C"/>
    <w:rsid w:val="00E0638B"/>
    <w:rsid w:val="00E07DF3"/>
    <w:rsid w:val="00E10149"/>
    <w:rsid w:val="00E10388"/>
    <w:rsid w:val="00E13376"/>
    <w:rsid w:val="00E155DD"/>
    <w:rsid w:val="00E16372"/>
    <w:rsid w:val="00E172B0"/>
    <w:rsid w:val="00E20ED6"/>
    <w:rsid w:val="00E21358"/>
    <w:rsid w:val="00E21391"/>
    <w:rsid w:val="00E21A7F"/>
    <w:rsid w:val="00E2249B"/>
    <w:rsid w:val="00E23261"/>
    <w:rsid w:val="00E23477"/>
    <w:rsid w:val="00E26121"/>
    <w:rsid w:val="00E2771E"/>
    <w:rsid w:val="00E35772"/>
    <w:rsid w:val="00E35939"/>
    <w:rsid w:val="00E36680"/>
    <w:rsid w:val="00E366A4"/>
    <w:rsid w:val="00E37569"/>
    <w:rsid w:val="00E40202"/>
    <w:rsid w:val="00E41E30"/>
    <w:rsid w:val="00E43428"/>
    <w:rsid w:val="00E4509A"/>
    <w:rsid w:val="00E469F4"/>
    <w:rsid w:val="00E47B2C"/>
    <w:rsid w:val="00E503C1"/>
    <w:rsid w:val="00E517C2"/>
    <w:rsid w:val="00E5337E"/>
    <w:rsid w:val="00E5453A"/>
    <w:rsid w:val="00E55424"/>
    <w:rsid w:val="00E57391"/>
    <w:rsid w:val="00E574BA"/>
    <w:rsid w:val="00E60548"/>
    <w:rsid w:val="00E61B9E"/>
    <w:rsid w:val="00E65E79"/>
    <w:rsid w:val="00E660B8"/>
    <w:rsid w:val="00E6705F"/>
    <w:rsid w:val="00E67416"/>
    <w:rsid w:val="00E700CD"/>
    <w:rsid w:val="00E718B6"/>
    <w:rsid w:val="00E73409"/>
    <w:rsid w:val="00E73581"/>
    <w:rsid w:val="00E74B29"/>
    <w:rsid w:val="00E7661C"/>
    <w:rsid w:val="00E772B0"/>
    <w:rsid w:val="00E8174D"/>
    <w:rsid w:val="00E83BDF"/>
    <w:rsid w:val="00E8635E"/>
    <w:rsid w:val="00E8735B"/>
    <w:rsid w:val="00E903FA"/>
    <w:rsid w:val="00E90DB5"/>
    <w:rsid w:val="00E91583"/>
    <w:rsid w:val="00E931C3"/>
    <w:rsid w:val="00EA1217"/>
    <w:rsid w:val="00EA1922"/>
    <w:rsid w:val="00EA3864"/>
    <w:rsid w:val="00EA493E"/>
    <w:rsid w:val="00EA7FD2"/>
    <w:rsid w:val="00EB0149"/>
    <w:rsid w:val="00EB14C5"/>
    <w:rsid w:val="00EB3835"/>
    <w:rsid w:val="00EB4A07"/>
    <w:rsid w:val="00EB4F75"/>
    <w:rsid w:val="00EB5B99"/>
    <w:rsid w:val="00EB71FF"/>
    <w:rsid w:val="00EC00C9"/>
    <w:rsid w:val="00EC34B4"/>
    <w:rsid w:val="00EC3739"/>
    <w:rsid w:val="00EC6ECE"/>
    <w:rsid w:val="00EC7F7E"/>
    <w:rsid w:val="00ED1CE3"/>
    <w:rsid w:val="00ED58D4"/>
    <w:rsid w:val="00ED61C5"/>
    <w:rsid w:val="00ED6CF6"/>
    <w:rsid w:val="00ED7065"/>
    <w:rsid w:val="00EE07D3"/>
    <w:rsid w:val="00EE1887"/>
    <w:rsid w:val="00EE210A"/>
    <w:rsid w:val="00EE238B"/>
    <w:rsid w:val="00EE5E54"/>
    <w:rsid w:val="00EF419F"/>
    <w:rsid w:val="00EF4401"/>
    <w:rsid w:val="00EF7836"/>
    <w:rsid w:val="00F03356"/>
    <w:rsid w:val="00F033BF"/>
    <w:rsid w:val="00F058C9"/>
    <w:rsid w:val="00F05E4F"/>
    <w:rsid w:val="00F067A2"/>
    <w:rsid w:val="00F06E5B"/>
    <w:rsid w:val="00F10673"/>
    <w:rsid w:val="00F1128C"/>
    <w:rsid w:val="00F12289"/>
    <w:rsid w:val="00F12753"/>
    <w:rsid w:val="00F12872"/>
    <w:rsid w:val="00F1313B"/>
    <w:rsid w:val="00F132B0"/>
    <w:rsid w:val="00F13669"/>
    <w:rsid w:val="00F13D05"/>
    <w:rsid w:val="00F14618"/>
    <w:rsid w:val="00F17C10"/>
    <w:rsid w:val="00F20218"/>
    <w:rsid w:val="00F22825"/>
    <w:rsid w:val="00F231F1"/>
    <w:rsid w:val="00F2407D"/>
    <w:rsid w:val="00F24837"/>
    <w:rsid w:val="00F2575F"/>
    <w:rsid w:val="00F26934"/>
    <w:rsid w:val="00F30661"/>
    <w:rsid w:val="00F30CF4"/>
    <w:rsid w:val="00F333AC"/>
    <w:rsid w:val="00F338FF"/>
    <w:rsid w:val="00F33DE9"/>
    <w:rsid w:val="00F344D1"/>
    <w:rsid w:val="00F3619A"/>
    <w:rsid w:val="00F37F31"/>
    <w:rsid w:val="00F408CD"/>
    <w:rsid w:val="00F40910"/>
    <w:rsid w:val="00F424D8"/>
    <w:rsid w:val="00F42C00"/>
    <w:rsid w:val="00F444D4"/>
    <w:rsid w:val="00F44F2D"/>
    <w:rsid w:val="00F46CB6"/>
    <w:rsid w:val="00F4703F"/>
    <w:rsid w:val="00F50014"/>
    <w:rsid w:val="00F515C0"/>
    <w:rsid w:val="00F531BC"/>
    <w:rsid w:val="00F53E9E"/>
    <w:rsid w:val="00F540BD"/>
    <w:rsid w:val="00F55E73"/>
    <w:rsid w:val="00F607D3"/>
    <w:rsid w:val="00F61330"/>
    <w:rsid w:val="00F617EA"/>
    <w:rsid w:val="00F633B2"/>
    <w:rsid w:val="00F651DF"/>
    <w:rsid w:val="00F662CE"/>
    <w:rsid w:val="00F673E4"/>
    <w:rsid w:val="00F708A6"/>
    <w:rsid w:val="00F721CC"/>
    <w:rsid w:val="00F74FA1"/>
    <w:rsid w:val="00F76CCD"/>
    <w:rsid w:val="00F77274"/>
    <w:rsid w:val="00F774DC"/>
    <w:rsid w:val="00F80E5D"/>
    <w:rsid w:val="00F83A03"/>
    <w:rsid w:val="00F83F7E"/>
    <w:rsid w:val="00F84289"/>
    <w:rsid w:val="00F851CE"/>
    <w:rsid w:val="00F85C55"/>
    <w:rsid w:val="00F8667F"/>
    <w:rsid w:val="00F93FEE"/>
    <w:rsid w:val="00F95B73"/>
    <w:rsid w:val="00F97A78"/>
    <w:rsid w:val="00FA03B9"/>
    <w:rsid w:val="00FA16AA"/>
    <w:rsid w:val="00FA1796"/>
    <w:rsid w:val="00FA6896"/>
    <w:rsid w:val="00FA68DF"/>
    <w:rsid w:val="00FB01E1"/>
    <w:rsid w:val="00FB1576"/>
    <w:rsid w:val="00FB21E4"/>
    <w:rsid w:val="00FB2FCB"/>
    <w:rsid w:val="00FB36E6"/>
    <w:rsid w:val="00FB5440"/>
    <w:rsid w:val="00FC1074"/>
    <w:rsid w:val="00FC1884"/>
    <w:rsid w:val="00FC3594"/>
    <w:rsid w:val="00FC3993"/>
    <w:rsid w:val="00FC635B"/>
    <w:rsid w:val="00FC6642"/>
    <w:rsid w:val="00FD2100"/>
    <w:rsid w:val="00FD2530"/>
    <w:rsid w:val="00FD2F43"/>
    <w:rsid w:val="00FD334F"/>
    <w:rsid w:val="00FD446D"/>
    <w:rsid w:val="00FD529E"/>
    <w:rsid w:val="00FE03A6"/>
    <w:rsid w:val="00FE2716"/>
    <w:rsid w:val="00FE2C4B"/>
    <w:rsid w:val="00FE3BB7"/>
    <w:rsid w:val="00FE3CB9"/>
    <w:rsid w:val="00FE70B2"/>
    <w:rsid w:val="00FF127F"/>
    <w:rsid w:val="00FF3DCF"/>
    <w:rsid w:val="00FF51B2"/>
    <w:rsid w:val="00FF5AA3"/>
    <w:rsid w:val="00FF7F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D19AA"/>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2"/>
      </w:numPr>
    </w:pPr>
    <w:rPr>
      <w:rFonts w:ascii="Arial" w:hAnsi="Arial" w:cs="Arial"/>
      <w:snapToGrid w:val="0"/>
      <w:sz w:val="22"/>
      <w:szCs w:val="22"/>
      <w:lang w:eastAsia="en-US"/>
    </w:rPr>
  </w:style>
  <w:style w:type="paragraph" w:customStyle="1" w:styleId="TableText1">
    <w:name w:val="Table Text"/>
    <w:basedOn w:val="Normal"/>
    <w:link w:val="TableTextChar1"/>
    <w:qFormat/>
    <w:rsid w:val="00D73C93"/>
    <w:pPr>
      <w:widowControl/>
      <w:spacing w:line="360" w:lineRule="auto"/>
      <w:jc w:val="left"/>
    </w:pPr>
    <w:rPr>
      <w:rFonts w:eastAsia="SimSun" w:cs="Times New Roman"/>
      <w:snapToGrid/>
      <w:sz w:val="20"/>
      <w:lang w:eastAsia="zh-CN"/>
    </w:rPr>
  </w:style>
  <w:style w:type="character" w:customStyle="1" w:styleId="TableTextChar1">
    <w:name w:val="Table Text Char"/>
    <w:link w:val="TableText1"/>
    <w:rsid w:val="00D73C93"/>
    <w:rPr>
      <w:rFonts w:ascii="Arial" w:eastAsia="SimSun" w:hAnsi="Arial"/>
      <w:lang w:eastAsia="zh-CN"/>
    </w:rPr>
  </w:style>
  <w:style w:type="paragraph" w:customStyle="1" w:styleId="COMtbl-textLeftAligned">
    <w:name w:val="COMtbl-text Left Aligned"/>
    <w:basedOn w:val="Normal"/>
    <w:qFormat/>
    <w:rsid w:val="00E01D47"/>
    <w:pPr>
      <w:tabs>
        <w:tab w:val="left" w:pos="720"/>
      </w:tabs>
      <w:jc w:val="left"/>
    </w:pPr>
    <w:rPr>
      <w:rFonts w:ascii="Arial Narrow" w:hAnsi="Arial Narrow"/>
      <w:sz w:val="20"/>
    </w:rPr>
  </w:style>
  <w:style w:type="character" w:customStyle="1" w:styleId="TableTextChar0">
    <w:name w:val="TableText Char"/>
    <w:link w:val="TableText0"/>
    <w:rsid w:val="00F2407D"/>
    <w:rPr>
      <w:rFonts w:ascii="Arial Narrow" w:hAnsi="Arial Narrow" w:cs="Arial Narrow"/>
      <w:lang w:eastAsia="en-US"/>
    </w:rPr>
  </w:style>
  <w:style w:type="character" w:customStyle="1" w:styleId="TableFooterChar">
    <w:name w:val="Table Footer Char"/>
    <w:link w:val="TableFooter"/>
    <w:rsid w:val="000D22DF"/>
    <w:rPr>
      <w:rFonts w:ascii="Arial Narrow" w:hAnsi="Arial Narrow" w:cs="Arial"/>
      <w:snapToGrid w:val="0"/>
      <w:sz w:val="18"/>
      <w:lang w:eastAsia="en-US"/>
    </w:rPr>
  </w:style>
  <w:style w:type="paragraph" w:customStyle="1" w:styleId="COMtbl-HEADLeftAligned">
    <w:name w:val="COMtbl-HEAD Left Aligned"/>
    <w:basedOn w:val="Normal"/>
    <w:qFormat/>
    <w:rsid w:val="0053180A"/>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53180A"/>
    <w:pPr>
      <w:jc w:val="center"/>
    </w:pPr>
  </w:style>
  <w:style w:type="paragraph" w:customStyle="1" w:styleId="COMBody">
    <w:name w:val="COMBody"/>
    <w:basedOn w:val="Normal"/>
    <w:link w:val="COMBodyChar"/>
    <w:qFormat/>
    <w:rsid w:val="0053180A"/>
  </w:style>
  <w:style w:type="character" w:customStyle="1" w:styleId="COMBodyChar">
    <w:name w:val="COMBody Char"/>
    <w:basedOn w:val="DefaultParagraphFont"/>
    <w:link w:val="COMBody"/>
    <w:rsid w:val="0053180A"/>
    <w:rPr>
      <w:rFonts w:ascii="Arial" w:hAnsi="Arial" w:cs="Arial"/>
      <w:snapToGrid w:val="0"/>
      <w:sz w:val="22"/>
      <w:lang w:eastAsia="en-US"/>
    </w:rPr>
  </w:style>
  <w:style w:type="paragraph" w:customStyle="1" w:styleId="COMTbl-cap">
    <w:name w:val="COMTbl-cap"/>
    <w:basedOn w:val="Normal"/>
    <w:link w:val="COMTbl-capChar"/>
    <w:qFormat/>
    <w:rsid w:val="0053180A"/>
    <w:pPr>
      <w:keepNext/>
    </w:pPr>
    <w:rPr>
      <w:rFonts w:ascii="Arial Narrow" w:hAnsi="Arial Narrow"/>
      <w:b/>
      <w:sz w:val="20"/>
    </w:rPr>
  </w:style>
  <w:style w:type="character" w:customStyle="1" w:styleId="COMTbl-capChar">
    <w:name w:val="COMTbl-cap Char"/>
    <w:basedOn w:val="DefaultParagraphFont"/>
    <w:link w:val="COMTbl-cap"/>
    <w:rsid w:val="0053180A"/>
    <w:rPr>
      <w:rFonts w:ascii="Arial Narrow" w:hAnsi="Arial Narrow" w:cs="Arial"/>
      <w:b/>
      <w:snapToGrid w:val="0"/>
      <w:lang w:eastAsia="en-US"/>
    </w:rPr>
  </w:style>
  <w:style w:type="paragraph" w:customStyle="1" w:styleId="COMTbl-foot">
    <w:name w:val="COMTbl-foot"/>
    <w:basedOn w:val="TableFooter"/>
    <w:link w:val="COMTbl-footChar"/>
    <w:qFormat/>
    <w:rsid w:val="0053180A"/>
  </w:style>
  <w:style w:type="character" w:customStyle="1" w:styleId="COMTbl-footChar">
    <w:name w:val="COMTbl-foot Char"/>
    <w:basedOn w:val="TableFooterChar"/>
    <w:link w:val="COMTbl-foot"/>
    <w:rsid w:val="0053180A"/>
    <w:rPr>
      <w:rFonts w:ascii="Arial Narrow" w:hAnsi="Arial Narrow" w:cs="Arial"/>
      <w:snapToGrid w:val="0"/>
      <w:sz w:val="18"/>
      <w:lang w:eastAsia="en-US"/>
    </w:rPr>
  </w:style>
  <w:style w:type="paragraph" w:customStyle="1" w:styleId="COMtbl-textCentred">
    <w:name w:val="COMtbl-text Centred"/>
    <w:basedOn w:val="COMtbl-HEADCentred"/>
    <w:qFormat/>
    <w:rsid w:val="0053180A"/>
    <w:rPr>
      <w:b w:val="0"/>
    </w:rPr>
  </w:style>
  <w:style w:type="character" w:customStyle="1" w:styleId="TableHeadingChar">
    <w:name w:val="TableHeading Char"/>
    <w:link w:val="TableHeading"/>
    <w:rsid w:val="00564DC6"/>
    <w:rPr>
      <w:rFonts w:ascii="Arial Narrow" w:hAnsi="Arial Narrow" w:cs="Arial Narrow"/>
      <w:b/>
      <w:bCs/>
      <w:lang w:eastAsia="en-US"/>
    </w:rPr>
  </w:style>
  <w:style w:type="table" w:customStyle="1" w:styleId="TableGrid1">
    <w:name w:val="Table Grid1"/>
    <w:basedOn w:val="TableNormal"/>
    <w:next w:val="TableGrid"/>
    <w:rsid w:val="000E5000"/>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85059"/>
    <w:pPr>
      <w:widowControl/>
      <w:spacing w:after="160" w:line="240" w:lineRule="exact"/>
      <w:jc w:val="left"/>
    </w:pPr>
    <w:rPr>
      <w:rFonts w:ascii="Verdana" w:eastAsia="MS Mincho" w:hAnsi="Verdana" w:cs="Verdana"/>
      <w:snapToGrid/>
      <w:sz w:val="20"/>
      <w:lang w:val="en-US"/>
    </w:rPr>
  </w:style>
  <w:style w:type="paragraph" w:styleId="Subtitle">
    <w:name w:val="Subtitle"/>
    <w:basedOn w:val="Normal"/>
    <w:link w:val="SubtitleChar"/>
    <w:qFormat/>
    <w:rsid w:val="00793FFD"/>
    <w:pPr>
      <w:widowControl/>
    </w:pPr>
    <w:rPr>
      <w:rFonts w:ascii="Times New Roman" w:hAnsi="Times New Roman" w:cs="Times New Roman"/>
      <w:b/>
      <w:snapToGrid/>
      <w:sz w:val="24"/>
      <w:lang w:eastAsia="en-AU"/>
    </w:rPr>
  </w:style>
  <w:style w:type="character" w:customStyle="1" w:styleId="SubtitleChar">
    <w:name w:val="Subtitle Char"/>
    <w:basedOn w:val="DefaultParagraphFont"/>
    <w:link w:val="Subtitle"/>
    <w:rsid w:val="00793FFD"/>
    <w:rPr>
      <w:b/>
      <w:sz w:val="24"/>
    </w:rPr>
  </w:style>
  <w:style w:type="paragraph" w:customStyle="1" w:styleId="PBACHeading10">
    <w:name w:val="PBAC Heading 1"/>
    <w:qFormat/>
    <w:rsid w:val="002857E9"/>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34"/>
    <w:rsid w:val="001D644A"/>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D19AA"/>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2"/>
      </w:numPr>
    </w:pPr>
    <w:rPr>
      <w:rFonts w:ascii="Arial" w:hAnsi="Arial" w:cs="Arial"/>
      <w:snapToGrid w:val="0"/>
      <w:sz w:val="22"/>
      <w:szCs w:val="22"/>
      <w:lang w:eastAsia="en-US"/>
    </w:rPr>
  </w:style>
  <w:style w:type="paragraph" w:customStyle="1" w:styleId="TableText1">
    <w:name w:val="Table Text"/>
    <w:basedOn w:val="Normal"/>
    <w:link w:val="TableTextChar1"/>
    <w:qFormat/>
    <w:rsid w:val="00D73C93"/>
    <w:pPr>
      <w:widowControl/>
      <w:spacing w:line="360" w:lineRule="auto"/>
      <w:jc w:val="left"/>
    </w:pPr>
    <w:rPr>
      <w:rFonts w:eastAsia="SimSun" w:cs="Times New Roman"/>
      <w:snapToGrid/>
      <w:sz w:val="20"/>
      <w:lang w:eastAsia="zh-CN"/>
    </w:rPr>
  </w:style>
  <w:style w:type="character" w:customStyle="1" w:styleId="TableTextChar1">
    <w:name w:val="Table Text Char"/>
    <w:link w:val="TableText1"/>
    <w:rsid w:val="00D73C93"/>
    <w:rPr>
      <w:rFonts w:ascii="Arial" w:eastAsia="SimSun" w:hAnsi="Arial"/>
      <w:lang w:eastAsia="zh-CN"/>
    </w:rPr>
  </w:style>
  <w:style w:type="paragraph" w:customStyle="1" w:styleId="COMtbl-textLeftAligned">
    <w:name w:val="COMtbl-text Left Aligned"/>
    <w:basedOn w:val="Normal"/>
    <w:qFormat/>
    <w:rsid w:val="00E01D47"/>
    <w:pPr>
      <w:tabs>
        <w:tab w:val="left" w:pos="720"/>
      </w:tabs>
      <w:jc w:val="left"/>
    </w:pPr>
    <w:rPr>
      <w:rFonts w:ascii="Arial Narrow" w:hAnsi="Arial Narrow"/>
      <w:sz w:val="20"/>
    </w:rPr>
  </w:style>
  <w:style w:type="character" w:customStyle="1" w:styleId="TableTextChar0">
    <w:name w:val="TableText Char"/>
    <w:link w:val="TableText0"/>
    <w:rsid w:val="00F2407D"/>
    <w:rPr>
      <w:rFonts w:ascii="Arial Narrow" w:hAnsi="Arial Narrow" w:cs="Arial Narrow"/>
      <w:lang w:eastAsia="en-US"/>
    </w:rPr>
  </w:style>
  <w:style w:type="character" w:customStyle="1" w:styleId="TableFooterChar">
    <w:name w:val="Table Footer Char"/>
    <w:link w:val="TableFooter"/>
    <w:rsid w:val="000D22DF"/>
    <w:rPr>
      <w:rFonts w:ascii="Arial Narrow" w:hAnsi="Arial Narrow" w:cs="Arial"/>
      <w:snapToGrid w:val="0"/>
      <w:sz w:val="18"/>
      <w:lang w:eastAsia="en-US"/>
    </w:rPr>
  </w:style>
  <w:style w:type="paragraph" w:customStyle="1" w:styleId="COMtbl-HEADLeftAligned">
    <w:name w:val="COMtbl-HEAD Left Aligned"/>
    <w:basedOn w:val="Normal"/>
    <w:qFormat/>
    <w:rsid w:val="0053180A"/>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53180A"/>
    <w:pPr>
      <w:jc w:val="center"/>
    </w:pPr>
  </w:style>
  <w:style w:type="paragraph" w:customStyle="1" w:styleId="COMBody">
    <w:name w:val="COMBody"/>
    <w:basedOn w:val="Normal"/>
    <w:link w:val="COMBodyChar"/>
    <w:qFormat/>
    <w:rsid w:val="0053180A"/>
  </w:style>
  <w:style w:type="character" w:customStyle="1" w:styleId="COMBodyChar">
    <w:name w:val="COMBody Char"/>
    <w:basedOn w:val="DefaultParagraphFont"/>
    <w:link w:val="COMBody"/>
    <w:rsid w:val="0053180A"/>
    <w:rPr>
      <w:rFonts w:ascii="Arial" w:hAnsi="Arial" w:cs="Arial"/>
      <w:snapToGrid w:val="0"/>
      <w:sz w:val="22"/>
      <w:lang w:eastAsia="en-US"/>
    </w:rPr>
  </w:style>
  <w:style w:type="paragraph" w:customStyle="1" w:styleId="COMTbl-cap">
    <w:name w:val="COMTbl-cap"/>
    <w:basedOn w:val="Normal"/>
    <w:link w:val="COMTbl-capChar"/>
    <w:qFormat/>
    <w:rsid w:val="0053180A"/>
    <w:pPr>
      <w:keepNext/>
    </w:pPr>
    <w:rPr>
      <w:rFonts w:ascii="Arial Narrow" w:hAnsi="Arial Narrow"/>
      <w:b/>
      <w:sz w:val="20"/>
    </w:rPr>
  </w:style>
  <w:style w:type="character" w:customStyle="1" w:styleId="COMTbl-capChar">
    <w:name w:val="COMTbl-cap Char"/>
    <w:basedOn w:val="DefaultParagraphFont"/>
    <w:link w:val="COMTbl-cap"/>
    <w:rsid w:val="0053180A"/>
    <w:rPr>
      <w:rFonts w:ascii="Arial Narrow" w:hAnsi="Arial Narrow" w:cs="Arial"/>
      <w:b/>
      <w:snapToGrid w:val="0"/>
      <w:lang w:eastAsia="en-US"/>
    </w:rPr>
  </w:style>
  <w:style w:type="paragraph" w:customStyle="1" w:styleId="COMTbl-foot">
    <w:name w:val="COMTbl-foot"/>
    <w:basedOn w:val="TableFooter"/>
    <w:link w:val="COMTbl-footChar"/>
    <w:qFormat/>
    <w:rsid w:val="0053180A"/>
  </w:style>
  <w:style w:type="character" w:customStyle="1" w:styleId="COMTbl-footChar">
    <w:name w:val="COMTbl-foot Char"/>
    <w:basedOn w:val="TableFooterChar"/>
    <w:link w:val="COMTbl-foot"/>
    <w:rsid w:val="0053180A"/>
    <w:rPr>
      <w:rFonts w:ascii="Arial Narrow" w:hAnsi="Arial Narrow" w:cs="Arial"/>
      <w:snapToGrid w:val="0"/>
      <w:sz w:val="18"/>
      <w:lang w:eastAsia="en-US"/>
    </w:rPr>
  </w:style>
  <w:style w:type="paragraph" w:customStyle="1" w:styleId="COMtbl-textCentred">
    <w:name w:val="COMtbl-text Centred"/>
    <w:basedOn w:val="COMtbl-HEADCentred"/>
    <w:qFormat/>
    <w:rsid w:val="0053180A"/>
    <w:rPr>
      <w:b w:val="0"/>
    </w:rPr>
  </w:style>
  <w:style w:type="character" w:customStyle="1" w:styleId="TableHeadingChar">
    <w:name w:val="TableHeading Char"/>
    <w:link w:val="TableHeading"/>
    <w:rsid w:val="00564DC6"/>
    <w:rPr>
      <w:rFonts w:ascii="Arial Narrow" w:hAnsi="Arial Narrow" w:cs="Arial Narrow"/>
      <w:b/>
      <w:bCs/>
      <w:lang w:eastAsia="en-US"/>
    </w:rPr>
  </w:style>
  <w:style w:type="table" w:customStyle="1" w:styleId="TableGrid1">
    <w:name w:val="Table Grid1"/>
    <w:basedOn w:val="TableNormal"/>
    <w:next w:val="TableGrid"/>
    <w:rsid w:val="000E5000"/>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85059"/>
    <w:pPr>
      <w:widowControl/>
      <w:spacing w:after="160" w:line="240" w:lineRule="exact"/>
      <w:jc w:val="left"/>
    </w:pPr>
    <w:rPr>
      <w:rFonts w:ascii="Verdana" w:eastAsia="MS Mincho" w:hAnsi="Verdana" w:cs="Verdana"/>
      <w:snapToGrid/>
      <w:sz w:val="20"/>
      <w:lang w:val="en-US"/>
    </w:rPr>
  </w:style>
  <w:style w:type="paragraph" w:styleId="Subtitle">
    <w:name w:val="Subtitle"/>
    <w:basedOn w:val="Normal"/>
    <w:link w:val="SubtitleChar"/>
    <w:qFormat/>
    <w:rsid w:val="00793FFD"/>
    <w:pPr>
      <w:widowControl/>
    </w:pPr>
    <w:rPr>
      <w:rFonts w:ascii="Times New Roman" w:hAnsi="Times New Roman" w:cs="Times New Roman"/>
      <w:b/>
      <w:snapToGrid/>
      <w:sz w:val="24"/>
      <w:lang w:eastAsia="en-AU"/>
    </w:rPr>
  </w:style>
  <w:style w:type="character" w:customStyle="1" w:styleId="SubtitleChar">
    <w:name w:val="Subtitle Char"/>
    <w:basedOn w:val="DefaultParagraphFont"/>
    <w:link w:val="Subtitle"/>
    <w:rsid w:val="00793FFD"/>
    <w:rPr>
      <w:b/>
      <w:sz w:val="24"/>
    </w:rPr>
  </w:style>
  <w:style w:type="paragraph" w:customStyle="1" w:styleId="PBACHeading10">
    <w:name w:val="PBAC Heading 1"/>
    <w:qFormat/>
    <w:rsid w:val="002857E9"/>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34"/>
    <w:rsid w:val="001D644A"/>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15002">
      <w:bodyDiv w:val="1"/>
      <w:marLeft w:val="0"/>
      <w:marRight w:val="0"/>
      <w:marTop w:val="0"/>
      <w:marBottom w:val="0"/>
      <w:divBdr>
        <w:top w:val="none" w:sz="0" w:space="0" w:color="auto"/>
        <w:left w:val="none" w:sz="0" w:space="0" w:color="auto"/>
        <w:bottom w:val="none" w:sz="0" w:space="0" w:color="auto"/>
        <w:right w:val="none" w:sz="0" w:space="0" w:color="auto"/>
      </w:divBdr>
      <w:divsChild>
        <w:div w:id="1970939834">
          <w:marLeft w:val="547"/>
          <w:marRight w:val="0"/>
          <w:marTop w:val="130"/>
          <w:marBottom w:val="0"/>
          <w:divBdr>
            <w:top w:val="none" w:sz="0" w:space="0" w:color="auto"/>
            <w:left w:val="none" w:sz="0" w:space="0" w:color="auto"/>
            <w:bottom w:val="none" w:sz="0" w:space="0" w:color="auto"/>
            <w:right w:val="none" w:sz="0" w:space="0" w:color="auto"/>
          </w:divBdr>
        </w:div>
      </w:divsChild>
    </w:div>
    <w:div w:id="1492521890">
      <w:bodyDiv w:val="1"/>
      <w:marLeft w:val="0"/>
      <w:marRight w:val="0"/>
      <w:marTop w:val="0"/>
      <w:marBottom w:val="0"/>
      <w:divBdr>
        <w:top w:val="none" w:sz="0" w:space="0" w:color="auto"/>
        <w:left w:val="none" w:sz="0" w:space="0" w:color="auto"/>
        <w:bottom w:val="none" w:sz="0" w:space="0" w:color="auto"/>
        <w:right w:val="none" w:sz="0" w:space="0" w:color="auto"/>
      </w:divBdr>
      <w:divsChild>
        <w:div w:id="597910491">
          <w:marLeft w:val="432"/>
          <w:marRight w:val="0"/>
          <w:marTop w:val="115"/>
          <w:marBottom w:val="0"/>
          <w:divBdr>
            <w:top w:val="none" w:sz="0" w:space="0" w:color="auto"/>
            <w:left w:val="none" w:sz="0" w:space="0" w:color="auto"/>
            <w:bottom w:val="none" w:sz="0" w:space="0" w:color="auto"/>
            <w:right w:val="none" w:sz="0" w:space="0" w:color="auto"/>
          </w:divBdr>
        </w:div>
        <w:div w:id="531766829">
          <w:marLeft w:val="432"/>
          <w:marRight w:val="0"/>
          <w:marTop w:val="115"/>
          <w:marBottom w:val="0"/>
          <w:divBdr>
            <w:top w:val="none" w:sz="0" w:space="0" w:color="auto"/>
            <w:left w:val="none" w:sz="0" w:space="0" w:color="auto"/>
            <w:bottom w:val="none" w:sz="0" w:space="0" w:color="auto"/>
            <w:right w:val="none" w:sz="0" w:space="0" w:color="auto"/>
          </w:divBdr>
        </w:div>
        <w:div w:id="1830558858">
          <w:marLeft w:val="432"/>
          <w:marRight w:val="0"/>
          <w:marTop w:val="115"/>
          <w:marBottom w:val="0"/>
          <w:divBdr>
            <w:top w:val="none" w:sz="0" w:space="0" w:color="auto"/>
            <w:left w:val="none" w:sz="0" w:space="0" w:color="auto"/>
            <w:bottom w:val="none" w:sz="0" w:space="0" w:color="auto"/>
            <w:right w:val="none" w:sz="0" w:space="0" w:color="auto"/>
          </w:divBdr>
        </w:div>
      </w:divsChild>
    </w:div>
    <w:div w:id="1598292885">
      <w:bodyDiv w:val="1"/>
      <w:marLeft w:val="0"/>
      <w:marRight w:val="0"/>
      <w:marTop w:val="0"/>
      <w:marBottom w:val="0"/>
      <w:divBdr>
        <w:top w:val="none" w:sz="0" w:space="0" w:color="auto"/>
        <w:left w:val="none" w:sz="0" w:space="0" w:color="auto"/>
        <w:bottom w:val="none" w:sz="0" w:space="0" w:color="auto"/>
        <w:right w:val="none" w:sz="0" w:space="0" w:color="auto"/>
      </w:divBdr>
    </w:div>
    <w:div w:id="1919166991">
      <w:bodyDiv w:val="1"/>
      <w:marLeft w:val="0"/>
      <w:marRight w:val="0"/>
      <w:marTop w:val="0"/>
      <w:marBottom w:val="0"/>
      <w:divBdr>
        <w:top w:val="none" w:sz="0" w:space="0" w:color="auto"/>
        <w:left w:val="none" w:sz="0" w:space="0" w:color="auto"/>
        <w:bottom w:val="none" w:sz="0" w:space="0" w:color="auto"/>
        <w:right w:val="none" w:sz="0" w:space="0" w:color="auto"/>
      </w:divBdr>
      <w:divsChild>
        <w:div w:id="458186838">
          <w:marLeft w:val="0"/>
          <w:marRight w:val="0"/>
          <w:marTop w:val="0"/>
          <w:marBottom w:val="360"/>
          <w:divBdr>
            <w:top w:val="none" w:sz="0" w:space="0" w:color="auto"/>
            <w:left w:val="none" w:sz="0" w:space="0" w:color="auto"/>
            <w:bottom w:val="none" w:sz="0" w:space="0" w:color="auto"/>
            <w:right w:val="none" w:sz="0" w:space="0" w:color="auto"/>
          </w:divBdr>
          <w:divsChild>
            <w:div w:id="98379182">
              <w:marLeft w:val="0"/>
              <w:marRight w:val="0"/>
              <w:marTop w:val="0"/>
              <w:marBottom w:val="0"/>
              <w:divBdr>
                <w:top w:val="none" w:sz="0" w:space="0" w:color="auto"/>
                <w:left w:val="none" w:sz="0" w:space="0" w:color="auto"/>
                <w:bottom w:val="none" w:sz="0" w:space="0" w:color="auto"/>
                <w:right w:val="none" w:sz="0" w:space="0" w:color="auto"/>
              </w:divBdr>
              <w:divsChild>
                <w:div w:id="1154832273">
                  <w:marLeft w:val="0"/>
                  <w:marRight w:val="0"/>
                  <w:marTop w:val="0"/>
                  <w:marBottom w:val="0"/>
                  <w:divBdr>
                    <w:top w:val="none" w:sz="0" w:space="0" w:color="auto"/>
                    <w:left w:val="none" w:sz="0" w:space="0" w:color="auto"/>
                    <w:bottom w:val="none" w:sz="0" w:space="0" w:color="auto"/>
                    <w:right w:val="none" w:sz="0" w:space="0" w:color="auto"/>
                  </w:divBdr>
                  <w:divsChild>
                    <w:div w:id="13747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70859-4241-4F90-9A54-32D80B0B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7808</Words>
  <Characters>45504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Jun</dc:creator>
  <cp:lastModifiedBy>Yin Jun</cp:lastModifiedBy>
  <cp:revision>2</cp:revision>
  <cp:lastPrinted>2014-11-11T23:00:00Z</cp:lastPrinted>
  <dcterms:created xsi:type="dcterms:W3CDTF">2015-02-23T03:15:00Z</dcterms:created>
  <dcterms:modified xsi:type="dcterms:W3CDTF">2015-03-03T03:12:00Z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