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9FD" w:rsidRDefault="006C04BB" w:rsidP="0026608F">
      <w:pPr>
        <w:pStyle w:val="BodyText"/>
        <w:ind w:left="709" w:hanging="709"/>
        <w:rPr>
          <w:b/>
          <w:sz w:val="28"/>
        </w:rPr>
      </w:pPr>
      <w:bookmarkStart w:id="0" w:name="_Toc398652592"/>
      <w:r w:rsidRPr="0026608F">
        <w:rPr>
          <w:b/>
          <w:sz w:val="28"/>
        </w:rPr>
        <w:t>6.2</w:t>
      </w:r>
      <w:r w:rsidR="00B60939" w:rsidRPr="0026608F">
        <w:rPr>
          <w:b/>
          <w:sz w:val="28"/>
        </w:rPr>
        <w:tab/>
      </w:r>
      <w:r w:rsidR="0026608F" w:rsidRPr="0026608F">
        <w:rPr>
          <w:b/>
          <w:sz w:val="28"/>
        </w:rPr>
        <w:t>AFLIBERCEPT</w:t>
      </w:r>
      <w:bookmarkEnd w:id="0"/>
    </w:p>
    <w:p w:rsidR="004A49FD" w:rsidRDefault="0026608F" w:rsidP="004A49FD">
      <w:pPr>
        <w:pStyle w:val="BodyText"/>
        <w:ind w:left="709"/>
        <w:rPr>
          <w:b/>
          <w:sz w:val="28"/>
          <w:szCs w:val="32"/>
        </w:rPr>
      </w:pPr>
      <w:r w:rsidRPr="0026608F">
        <w:rPr>
          <w:b/>
          <w:sz w:val="28"/>
          <w:szCs w:val="32"/>
        </w:rPr>
        <w:t xml:space="preserve">4 mg/0.1 mL injection, 1 x 0.1 mL vial, </w:t>
      </w:r>
    </w:p>
    <w:p w:rsidR="004A49FD" w:rsidRDefault="0026608F" w:rsidP="004A49FD">
      <w:pPr>
        <w:pStyle w:val="BodyText"/>
        <w:ind w:left="709"/>
        <w:rPr>
          <w:b/>
          <w:sz w:val="28"/>
          <w:szCs w:val="32"/>
        </w:rPr>
      </w:pPr>
      <w:r w:rsidRPr="0026608F">
        <w:rPr>
          <w:b/>
          <w:sz w:val="28"/>
          <w:szCs w:val="32"/>
        </w:rPr>
        <w:t xml:space="preserve">4 mg/0.1 mL </w:t>
      </w:r>
      <w:r w:rsidR="00DD7C05">
        <w:rPr>
          <w:b/>
          <w:sz w:val="28"/>
          <w:szCs w:val="32"/>
        </w:rPr>
        <w:t>injection, 1 x 0.09 mL syringe;</w:t>
      </w:r>
    </w:p>
    <w:p w:rsidR="0026608F" w:rsidRPr="0026608F" w:rsidRDefault="0026608F" w:rsidP="004A49FD">
      <w:pPr>
        <w:pStyle w:val="BodyText"/>
        <w:ind w:left="709"/>
        <w:rPr>
          <w:b/>
          <w:sz w:val="28"/>
          <w:szCs w:val="32"/>
        </w:rPr>
      </w:pPr>
      <w:proofErr w:type="spellStart"/>
      <w:proofErr w:type="gramStart"/>
      <w:r w:rsidRPr="0026608F">
        <w:rPr>
          <w:b/>
          <w:sz w:val="28"/>
          <w:szCs w:val="32"/>
        </w:rPr>
        <w:t>Eylea</w:t>
      </w:r>
      <w:proofErr w:type="spellEnd"/>
      <w:r w:rsidRPr="0026608F">
        <w:rPr>
          <w:b/>
          <w:sz w:val="28"/>
          <w:szCs w:val="32"/>
          <w:vertAlign w:val="superscript"/>
        </w:rPr>
        <w:t>®</w:t>
      </w:r>
      <w:r w:rsidR="00DD7C05">
        <w:rPr>
          <w:b/>
          <w:sz w:val="28"/>
          <w:szCs w:val="32"/>
        </w:rPr>
        <w:t>;</w:t>
      </w:r>
      <w:r w:rsidRPr="0026608F">
        <w:rPr>
          <w:b/>
          <w:sz w:val="28"/>
          <w:szCs w:val="32"/>
        </w:rPr>
        <w:t xml:space="preserve"> Bayer Australia Ltd.</w:t>
      </w:r>
      <w:proofErr w:type="gramEnd"/>
    </w:p>
    <w:p w:rsidR="0026608F" w:rsidRPr="00DD7C05" w:rsidRDefault="0026608F" w:rsidP="00DD7C05"/>
    <w:p w:rsidR="0018144D" w:rsidRDefault="0018144D" w:rsidP="00207D00"/>
    <w:p w:rsidR="00B50DB8" w:rsidRPr="00407F2D" w:rsidRDefault="00B50DB8" w:rsidP="00BD6CF3">
      <w:pPr>
        <w:pStyle w:val="PBACHeading1"/>
      </w:pPr>
      <w:bookmarkStart w:id="1" w:name="_Toc398652594"/>
      <w:r w:rsidRPr="00407F2D">
        <w:t xml:space="preserve">Purpose of </w:t>
      </w:r>
      <w:r w:rsidR="00AF50B9" w:rsidRPr="00407F2D">
        <w:t>a</w:t>
      </w:r>
      <w:r w:rsidRPr="00407F2D">
        <w:t>pplication</w:t>
      </w:r>
      <w:bookmarkEnd w:id="1"/>
    </w:p>
    <w:p w:rsidR="00B60939" w:rsidRPr="00882085" w:rsidRDefault="00B60939" w:rsidP="00B60939">
      <w:pPr>
        <w:rPr>
          <w:szCs w:val="22"/>
        </w:rPr>
      </w:pPr>
    </w:p>
    <w:p w:rsidR="00B60939" w:rsidRDefault="002A40FA" w:rsidP="002A40FA">
      <w:pPr>
        <w:ind w:left="709" w:hanging="709"/>
      </w:pPr>
      <w:r w:rsidRPr="002A40FA">
        <w:t>1.1</w:t>
      </w:r>
      <w:r w:rsidRPr="002A40FA">
        <w:tab/>
        <w:t xml:space="preserve">To extend the current Authority </w:t>
      </w:r>
      <w:proofErr w:type="gramStart"/>
      <w:r w:rsidRPr="002A40FA">
        <w:t>Required</w:t>
      </w:r>
      <w:proofErr w:type="gramEnd"/>
      <w:r w:rsidRPr="002A40FA">
        <w:t xml:space="preserve"> listing </w:t>
      </w:r>
      <w:r w:rsidR="00AF50B9">
        <w:t xml:space="preserve">of aflibercept </w:t>
      </w:r>
      <w:r w:rsidRPr="002A40FA">
        <w:t xml:space="preserve">(for treatment of </w:t>
      </w:r>
      <w:proofErr w:type="spellStart"/>
      <w:r w:rsidRPr="002A40FA">
        <w:t>subfoveal</w:t>
      </w:r>
      <w:proofErr w:type="spellEnd"/>
      <w:r w:rsidRPr="002A40FA">
        <w:t xml:space="preserve"> </w:t>
      </w:r>
      <w:proofErr w:type="spellStart"/>
      <w:r w:rsidRPr="002A40FA">
        <w:t>choroidal</w:t>
      </w:r>
      <w:proofErr w:type="spellEnd"/>
      <w:r w:rsidRPr="002A40FA">
        <w:t xml:space="preserve"> neovascularisation due to age-related macular degeneration) to include treatment of a patient with visual impairment due to diabetic macular oedema (DME)</w:t>
      </w:r>
      <w:r w:rsidR="00EC2DC5">
        <w:t>.</w:t>
      </w:r>
    </w:p>
    <w:p w:rsidR="009C14CE" w:rsidRDefault="009C14CE" w:rsidP="002A40FA">
      <w:pPr>
        <w:ind w:left="709" w:hanging="709"/>
      </w:pPr>
    </w:p>
    <w:p w:rsidR="009C14CE" w:rsidRDefault="009C14CE" w:rsidP="002A40FA">
      <w:pPr>
        <w:ind w:left="709" w:hanging="709"/>
      </w:pPr>
    </w:p>
    <w:p w:rsidR="00B50DB8" w:rsidRPr="00407F2D" w:rsidRDefault="00B50DB8" w:rsidP="00BD6CF3">
      <w:pPr>
        <w:pStyle w:val="PBACHeading1"/>
      </w:pPr>
      <w:bookmarkStart w:id="2" w:name="_Toc398652595"/>
      <w:r w:rsidRPr="00407F2D">
        <w:t>Requested listing</w:t>
      </w:r>
      <w:bookmarkEnd w:id="2"/>
    </w:p>
    <w:p w:rsidR="007B7E17" w:rsidRPr="007B7E17" w:rsidRDefault="007B7E17" w:rsidP="007B7E17">
      <w:pPr>
        <w:widowControl/>
      </w:pPr>
    </w:p>
    <w:p w:rsidR="007B7E17" w:rsidRPr="008E7AF6" w:rsidRDefault="005C2560" w:rsidP="007B7E17">
      <w:pPr>
        <w:pStyle w:val="ListParagraph"/>
        <w:widowControl/>
        <w:numPr>
          <w:ilvl w:val="1"/>
          <w:numId w:val="3"/>
        </w:numPr>
      </w:pPr>
      <w:r w:rsidRPr="008E7AF6">
        <w:rPr>
          <w:iCs/>
          <w:snapToGrid/>
          <w:color w:val="000000"/>
          <w:szCs w:val="22"/>
          <w:lang w:eastAsia="en-AU"/>
        </w:rPr>
        <w:t>Suggestions and additions proposed by the Secretariat to the requested listing are added in italics and suggested deletions are crossed out with strikethrough</w:t>
      </w:r>
      <w:r w:rsidR="007B7E17" w:rsidRPr="008E7AF6">
        <w:rPr>
          <w:szCs w:val="22"/>
        </w:rPr>
        <w:t>.</w:t>
      </w:r>
    </w:p>
    <w:p w:rsidR="007B7E17" w:rsidRDefault="007B7E17" w:rsidP="007B7E17"/>
    <w:tbl>
      <w:tblPr>
        <w:tblW w:w="4509" w:type="pct"/>
        <w:tblInd w:w="817" w:type="dxa"/>
        <w:tblLayout w:type="fixed"/>
        <w:tblLook w:val="0000" w:firstRow="0" w:lastRow="0" w:firstColumn="0" w:lastColumn="0" w:noHBand="0" w:noVBand="0"/>
      </w:tblPr>
      <w:tblGrid>
        <w:gridCol w:w="3167"/>
        <w:gridCol w:w="1001"/>
        <w:gridCol w:w="673"/>
        <w:gridCol w:w="333"/>
        <w:gridCol w:w="1944"/>
        <w:gridCol w:w="1217"/>
      </w:tblGrid>
      <w:tr w:rsidR="00872EC5" w:rsidRPr="00AE041C" w:rsidTr="00872EC5">
        <w:trPr>
          <w:cantSplit/>
          <w:trHeight w:val="477"/>
        </w:trPr>
        <w:tc>
          <w:tcPr>
            <w:tcW w:w="1899" w:type="pct"/>
            <w:tcBorders>
              <w:bottom w:val="single" w:sz="4" w:space="0" w:color="auto"/>
            </w:tcBorders>
          </w:tcPr>
          <w:p w:rsidR="00872EC5" w:rsidRPr="00AE041C" w:rsidRDefault="00872EC5" w:rsidP="00CD4D5F">
            <w:pPr>
              <w:keepNext/>
              <w:widowControl/>
              <w:ind w:left="-108"/>
              <w:rPr>
                <w:rFonts w:ascii="Arial Narrow" w:eastAsia="Calibri" w:hAnsi="Arial Narrow"/>
                <w:snapToGrid/>
                <w:sz w:val="20"/>
              </w:rPr>
            </w:pPr>
            <w:r w:rsidRPr="00AE041C">
              <w:rPr>
                <w:rFonts w:ascii="Arial Narrow" w:eastAsia="Calibri" w:hAnsi="Arial Narrow"/>
                <w:snapToGrid/>
                <w:sz w:val="20"/>
              </w:rPr>
              <w:t>Name, Restriction,</w:t>
            </w:r>
          </w:p>
          <w:p w:rsidR="00872EC5" w:rsidRPr="00AE041C" w:rsidRDefault="00872EC5" w:rsidP="00CD4D5F">
            <w:pPr>
              <w:keepNext/>
              <w:widowControl/>
              <w:ind w:left="-108"/>
              <w:rPr>
                <w:rFonts w:ascii="Arial Narrow" w:eastAsia="Calibri" w:hAnsi="Arial Narrow"/>
                <w:snapToGrid/>
                <w:sz w:val="20"/>
              </w:rPr>
            </w:pPr>
            <w:r w:rsidRPr="00AE041C">
              <w:rPr>
                <w:rFonts w:ascii="Arial Narrow" w:eastAsia="Calibri" w:hAnsi="Arial Narrow"/>
                <w:snapToGrid/>
                <w:sz w:val="20"/>
              </w:rPr>
              <w:t xml:space="preserve">Manner of administration </w:t>
            </w:r>
          </w:p>
          <w:p w:rsidR="00872EC5" w:rsidRPr="00AE041C" w:rsidRDefault="00872EC5" w:rsidP="00CD4D5F">
            <w:pPr>
              <w:keepNext/>
              <w:widowControl/>
              <w:ind w:left="-108"/>
              <w:rPr>
                <w:rFonts w:ascii="Arial Narrow" w:eastAsia="Calibri" w:hAnsi="Arial Narrow"/>
                <w:snapToGrid/>
                <w:sz w:val="20"/>
              </w:rPr>
            </w:pPr>
            <w:r w:rsidRPr="00AE041C">
              <w:rPr>
                <w:rFonts w:ascii="Arial Narrow" w:eastAsia="Calibri" w:hAnsi="Arial Narrow"/>
                <w:snapToGrid/>
                <w:sz w:val="20"/>
              </w:rPr>
              <w:t>and form</w:t>
            </w:r>
          </w:p>
        </w:tc>
        <w:tc>
          <w:tcPr>
            <w:tcW w:w="600" w:type="pct"/>
            <w:tcBorders>
              <w:bottom w:val="single" w:sz="4" w:space="0" w:color="auto"/>
            </w:tcBorders>
          </w:tcPr>
          <w:p w:rsidR="00872EC5" w:rsidRPr="00DD7C05" w:rsidRDefault="00872EC5" w:rsidP="00CD4D5F">
            <w:pPr>
              <w:keepNext/>
              <w:widowControl/>
              <w:ind w:left="-108"/>
              <w:rPr>
                <w:rFonts w:ascii="Arial Narrow" w:eastAsia="Calibri" w:hAnsi="Arial Narrow"/>
                <w:snapToGrid/>
                <w:sz w:val="20"/>
              </w:rPr>
            </w:pPr>
            <w:r w:rsidRPr="00DD7C05">
              <w:rPr>
                <w:rFonts w:ascii="Arial Narrow" w:eastAsia="Calibri" w:hAnsi="Arial Narrow"/>
                <w:snapToGrid/>
                <w:sz w:val="20"/>
              </w:rPr>
              <w:t>Max.</w:t>
            </w:r>
          </w:p>
          <w:p w:rsidR="00872EC5" w:rsidRPr="00DD7C05" w:rsidRDefault="00872EC5" w:rsidP="00CD4D5F">
            <w:pPr>
              <w:keepNext/>
              <w:widowControl/>
              <w:ind w:left="-108"/>
              <w:rPr>
                <w:rFonts w:ascii="Arial Narrow" w:eastAsia="Calibri" w:hAnsi="Arial Narrow"/>
                <w:snapToGrid/>
                <w:sz w:val="20"/>
              </w:rPr>
            </w:pPr>
            <w:r w:rsidRPr="00DD7C05">
              <w:rPr>
                <w:rFonts w:ascii="Arial Narrow" w:eastAsia="Calibri" w:hAnsi="Arial Narrow"/>
                <w:snapToGrid/>
                <w:sz w:val="20"/>
              </w:rPr>
              <w:t>Qty</w:t>
            </w:r>
          </w:p>
        </w:tc>
        <w:tc>
          <w:tcPr>
            <w:tcW w:w="404" w:type="pct"/>
            <w:tcBorders>
              <w:bottom w:val="single" w:sz="4" w:space="0" w:color="auto"/>
            </w:tcBorders>
          </w:tcPr>
          <w:p w:rsidR="00872EC5" w:rsidRPr="00DD7C05" w:rsidRDefault="00872EC5" w:rsidP="00CD4D5F">
            <w:pPr>
              <w:keepNext/>
              <w:widowControl/>
              <w:ind w:left="-108"/>
              <w:rPr>
                <w:rFonts w:ascii="Arial Narrow" w:eastAsia="Calibri" w:hAnsi="Arial Narrow"/>
                <w:snapToGrid/>
                <w:sz w:val="20"/>
              </w:rPr>
            </w:pPr>
            <w:r w:rsidRPr="00DD7C05">
              <w:rPr>
                <w:rFonts w:ascii="Arial Narrow" w:eastAsia="Calibri" w:hAnsi="Arial Narrow"/>
                <w:snapToGrid/>
                <w:sz w:val="20"/>
              </w:rPr>
              <w:t>№.of</w:t>
            </w:r>
          </w:p>
          <w:p w:rsidR="00872EC5" w:rsidRPr="00DD7C05" w:rsidRDefault="00872EC5" w:rsidP="00CD4D5F">
            <w:pPr>
              <w:keepNext/>
              <w:widowControl/>
              <w:ind w:left="-108"/>
              <w:rPr>
                <w:rFonts w:ascii="Arial Narrow" w:eastAsia="Calibri" w:hAnsi="Arial Narrow"/>
                <w:snapToGrid/>
                <w:sz w:val="20"/>
              </w:rPr>
            </w:pPr>
            <w:r w:rsidRPr="00DD7C05">
              <w:rPr>
                <w:rFonts w:ascii="Arial Narrow" w:eastAsia="Calibri" w:hAnsi="Arial Narrow"/>
                <w:snapToGrid/>
                <w:sz w:val="20"/>
              </w:rPr>
              <w:t>Rpts</w:t>
            </w:r>
          </w:p>
        </w:tc>
        <w:tc>
          <w:tcPr>
            <w:tcW w:w="200" w:type="pct"/>
            <w:tcBorders>
              <w:bottom w:val="single" w:sz="4" w:space="0" w:color="auto"/>
            </w:tcBorders>
          </w:tcPr>
          <w:p w:rsidR="00872EC5" w:rsidRPr="00DD7C05" w:rsidRDefault="00872EC5" w:rsidP="00CD4D5F">
            <w:pPr>
              <w:keepNext/>
              <w:widowControl/>
              <w:ind w:left="-108"/>
              <w:rPr>
                <w:rFonts w:ascii="Arial Narrow" w:eastAsia="Calibri" w:hAnsi="Arial Narrow"/>
                <w:snapToGrid/>
                <w:sz w:val="20"/>
              </w:rPr>
            </w:pPr>
          </w:p>
        </w:tc>
        <w:tc>
          <w:tcPr>
            <w:tcW w:w="1896" w:type="pct"/>
            <w:gridSpan w:val="2"/>
            <w:tcBorders>
              <w:bottom w:val="single" w:sz="4" w:space="0" w:color="auto"/>
            </w:tcBorders>
          </w:tcPr>
          <w:p w:rsidR="00872EC5" w:rsidRPr="00DD7C05" w:rsidRDefault="00872EC5" w:rsidP="00CD4D5F">
            <w:pPr>
              <w:keepNext/>
              <w:widowControl/>
              <w:rPr>
                <w:rFonts w:ascii="Arial Narrow" w:eastAsia="Calibri" w:hAnsi="Arial Narrow"/>
                <w:snapToGrid/>
                <w:sz w:val="20"/>
              </w:rPr>
            </w:pPr>
            <w:r w:rsidRPr="00DD7C05">
              <w:rPr>
                <w:rFonts w:ascii="Arial Narrow" w:eastAsia="Calibri" w:hAnsi="Arial Narrow"/>
                <w:snapToGrid/>
                <w:sz w:val="20"/>
              </w:rPr>
              <w:t xml:space="preserve">Proprietary Name </w:t>
            </w:r>
          </w:p>
          <w:p w:rsidR="00872EC5" w:rsidRPr="00DD7C05" w:rsidRDefault="00872EC5" w:rsidP="00CD4D5F">
            <w:pPr>
              <w:keepNext/>
              <w:widowControl/>
              <w:rPr>
                <w:rFonts w:ascii="Arial Narrow" w:eastAsia="Calibri" w:hAnsi="Arial Narrow"/>
                <w:snapToGrid/>
                <w:sz w:val="20"/>
                <w:lang w:val="fr-FR"/>
              </w:rPr>
            </w:pPr>
            <w:r w:rsidRPr="00DD7C05">
              <w:rPr>
                <w:rFonts w:ascii="Arial Narrow" w:eastAsia="Calibri" w:hAnsi="Arial Narrow"/>
                <w:snapToGrid/>
                <w:sz w:val="20"/>
              </w:rPr>
              <w:t>and Manufacturer</w:t>
            </w:r>
          </w:p>
        </w:tc>
      </w:tr>
      <w:tr w:rsidR="00872EC5" w:rsidRPr="00AE041C" w:rsidTr="00872EC5">
        <w:trPr>
          <w:cantSplit/>
          <w:trHeight w:val="585"/>
        </w:trPr>
        <w:tc>
          <w:tcPr>
            <w:tcW w:w="1899" w:type="pct"/>
          </w:tcPr>
          <w:p w:rsidR="00872EC5" w:rsidRPr="00AE041C" w:rsidRDefault="00872EC5" w:rsidP="00CD4D5F">
            <w:pPr>
              <w:keepNext/>
              <w:widowControl/>
              <w:ind w:left="-108"/>
              <w:rPr>
                <w:rFonts w:ascii="Arial Narrow" w:eastAsia="Calibri" w:hAnsi="Arial Narrow"/>
                <w:snapToGrid/>
                <w:sz w:val="20"/>
              </w:rPr>
            </w:pPr>
            <w:r w:rsidRPr="00AE041C">
              <w:rPr>
                <w:rFonts w:ascii="Arial Narrow" w:eastAsia="Calibri" w:hAnsi="Arial Narrow"/>
                <w:smallCaps/>
                <w:snapToGrid/>
                <w:sz w:val="20"/>
              </w:rPr>
              <w:t>AFLIBERCEPT</w:t>
            </w:r>
          </w:p>
          <w:p w:rsidR="00872EC5" w:rsidRPr="00AE041C" w:rsidRDefault="00872EC5" w:rsidP="00CD4D5F">
            <w:pPr>
              <w:keepNext/>
              <w:widowControl/>
              <w:ind w:left="-108"/>
              <w:rPr>
                <w:rFonts w:ascii="Arial Narrow" w:eastAsia="Calibri" w:hAnsi="Arial Narrow"/>
                <w:snapToGrid/>
                <w:sz w:val="20"/>
              </w:rPr>
            </w:pPr>
          </w:p>
          <w:p w:rsidR="00872EC5" w:rsidRPr="00AE041C" w:rsidRDefault="00872EC5" w:rsidP="006027ED">
            <w:pPr>
              <w:keepNext/>
              <w:widowControl/>
              <w:ind w:left="-108"/>
              <w:rPr>
                <w:rFonts w:ascii="Arial Narrow" w:eastAsia="Calibri" w:hAnsi="Arial Narrow"/>
                <w:snapToGrid/>
                <w:sz w:val="20"/>
                <w:lang w:eastAsia="zh-CN"/>
              </w:rPr>
            </w:pPr>
            <w:r w:rsidRPr="00AE041C">
              <w:rPr>
                <w:rFonts w:ascii="Arial Narrow" w:eastAsia="Calibri" w:hAnsi="Arial Narrow"/>
                <w:snapToGrid/>
                <w:sz w:val="20"/>
              </w:rPr>
              <w:t>aflibercept 4mg/</w:t>
            </w:r>
            <w:r w:rsidRPr="00AE041C">
              <w:rPr>
                <w:rFonts w:ascii="Arial Narrow" w:eastAsia="Calibri" w:hAnsi="Arial Narrow"/>
                <w:snapToGrid/>
                <w:sz w:val="20"/>
                <w:lang w:eastAsia="zh-CN"/>
              </w:rPr>
              <w:t>0.1</w:t>
            </w:r>
            <w:r w:rsidRPr="00AE041C">
              <w:rPr>
                <w:rFonts w:ascii="Arial Narrow" w:eastAsia="Calibri" w:hAnsi="Arial Narrow"/>
                <w:snapToGrid/>
                <w:sz w:val="20"/>
              </w:rPr>
              <w:t>mL injection, 1 x</w:t>
            </w:r>
            <w:r w:rsidRPr="00AE041C">
              <w:rPr>
                <w:rFonts w:ascii="Arial Narrow" w:eastAsia="Calibri" w:hAnsi="Arial Narrow"/>
                <w:snapToGrid/>
                <w:sz w:val="20"/>
                <w:lang w:eastAsia="zh-CN"/>
              </w:rPr>
              <w:t xml:space="preserve"> 0.1 mL </w:t>
            </w:r>
            <w:r w:rsidRPr="00AE041C">
              <w:rPr>
                <w:rFonts w:ascii="Arial Narrow" w:eastAsia="Calibri" w:hAnsi="Arial Narrow"/>
                <w:snapToGrid/>
                <w:sz w:val="20"/>
              </w:rPr>
              <w:t>vial</w:t>
            </w:r>
          </w:p>
          <w:p w:rsidR="00872EC5" w:rsidRDefault="00872EC5" w:rsidP="00CD4D5F">
            <w:pPr>
              <w:keepNext/>
              <w:widowControl/>
              <w:ind w:left="-108"/>
              <w:rPr>
                <w:rFonts w:ascii="Arial Narrow" w:eastAsia="Calibri" w:hAnsi="Arial Narrow"/>
                <w:snapToGrid/>
                <w:sz w:val="20"/>
              </w:rPr>
            </w:pPr>
            <w:r w:rsidRPr="00AE041C">
              <w:rPr>
                <w:rFonts w:ascii="Arial Narrow" w:eastAsia="Calibri" w:hAnsi="Arial Narrow"/>
                <w:snapToGrid/>
                <w:sz w:val="20"/>
              </w:rPr>
              <w:t>aflibercept 4mg/</w:t>
            </w:r>
            <w:r w:rsidRPr="00AE041C">
              <w:rPr>
                <w:rFonts w:ascii="Arial Narrow" w:eastAsia="Calibri" w:hAnsi="Arial Narrow"/>
                <w:snapToGrid/>
                <w:sz w:val="20"/>
                <w:lang w:eastAsia="zh-CN"/>
              </w:rPr>
              <w:t>0.1</w:t>
            </w:r>
            <w:r w:rsidRPr="00AE041C">
              <w:rPr>
                <w:rFonts w:ascii="Arial Narrow" w:eastAsia="Calibri" w:hAnsi="Arial Narrow"/>
                <w:snapToGrid/>
                <w:sz w:val="20"/>
              </w:rPr>
              <w:t xml:space="preserve">mL injection, </w:t>
            </w:r>
          </w:p>
          <w:p w:rsidR="00872EC5" w:rsidRPr="00AE041C" w:rsidRDefault="00872EC5" w:rsidP="00CD4D5F">
            <w:pPr>
              <w:keepNext/>
              <w:widowControl/>
              <w:ind w:left="-108"/>
              <w:rPr>
                <w:rFonts w:ascii="Arial Narrow" w:eastAsia="Calibri" w:hAnsi="Arial Narrow"/>
                <w:snapToGrid/>
                <w:sz w:val="20"/>
                <w:lang w:eastAsia="zh-CN"/>
              </w:rPr>
            </w:pPr>
            <w:r w:rsidRPr="00AE041C">
              <w:rPr>
                <w:rFonts w:ascii="Arial Narrow" w:eastAsia="Calibri" w:hAnsi="Arial Narrow"/>
                <w:snapToGrid/>
                <w:sz w:val="20"/>
              </w:rPr>
              <w:t>1 x</w:t>
            </w:r>
            <w:r w:rsidRPr="00AE041C">
              <w:rPr>
                <w:rFonts w:ascii="Arial Narrow" w:eastAsia="Calibri" w:hAnsi="Arial Narrow"/>
                <w:snapToGrid/>
                <w:sz w:val="20"/>
                <w:lang w:eastAsia="zh-CN"/>
              </w:rPr>
              <w:t xml:space="preserve"> 0.09 mL pre-filled syringe</w:t>
            </w:r>
          </w:p>
        </w:tc>
        <w:tc>
          <w:tcPr>
            <w:tcW w:w="600" w:type="pct"/>
          </w:tcPr>
          <w:p w:rsidR="00872EC5" w:rsidRPr="00AE041C" w:rsidRDefault="00872EC5" w:rsidP="00CD4D5F">
            <w:pPr>
              <w:keepNext/>
              <w:widowControl/>
              <w:ind w:left="-108"/>
              <w:rPr>
                <w:rFonts w:ascii="Arial Narrow" w:eastAsia="Calibri" w:hAnsi="Arial Narrow"/>
                <w:snapToGrid/>
                <w:sz w:val="20"/>
              </w:rPr>
            </w:pPr>
          </w:p>
          <w:p w:rsidR="00872EC5" w:rsidRPr="00AE041C" w:rsidRDefault="00872EC5" w:rsidP="00CD4D5F">
            <w:pPr>
              <w:keepNext/>
              <w:widowControl/>
              <w:ind w:left="-108"/>
              <w:rPr>
                <w:rFonts w:ascii="Arial Narrow" w:eastAsia="Calibri" w:hAnsi="Arial Narrow"/>
                <w:snapToGrid/>
                <w:sz w:val="20"/>
              </w:rPr>
            </w:pPr>
          </w:p>
          <w:p w:rsidR="00872EC5" w:rsidRPr="00AE041C" w:rsidRDefault="00872EC5" w:rsidP="00CD4D5F">
            <w:pPr>
              <w:keepNext/>
              <w:widowControl/>
              <w:ind w:left="-108"/>
              <w:rPr>
                <w:rFonts w:ascii="Arial Narrow" w:eastAsia="Calibri" w:hAnsi="Arial Narrow"/>
                <w:snapToGrid/>
                <w:sz w:val="20"/>
                <w:lang w:eastAsia="zh-CN"/>
              </w:rPr>
            </w:pPr>
            <w:r w:rsidRPr="00AE041C">
              <w:rPr>
                <w:rFonts w:ascii="Arial Narrow" w:eastAsia="Calibri" w:hAnsi="Arial Narrow"/>
                <w:snapToGrid/>
                <w:sz w:val="20"/>
              </w:rPr>
              <w:t>1</w:t>
            </w:r>
          </w:p>
          <w:p w:rsidR="00872EC5" w:rsidRPr="00AE041C" w:rsidRDefault="00872EC5" w:rsidP="00CD4D5F">
            <w:pPr>
              <w:keepNext/>
              <w:widowControl/>
              <w:ind w:left="-108"/>
              <w:rPr>
                <w:rFonts w:ascii="Arial Narrow" w:eastAsia="Calibri" w:hAnsi="Arial Narrow"/>
                <w:snapToGrid/>
                <w:sz w:val="20"/>
                <w:lang w:eastAsia="zh-CN"/>
              </w:rPr>
            </w:pPr>
          </w:p>
          <w:p w:rsidR="00872EC5" w:rsidRPr="00AE041C" w:rsidRDefault="00872EC5" w:rsidP="00CD4D5F">
            <w:pPr>
              <w:keepNext/>
              <w:widowControl/>
              <w:ind w:left="-108"/>
              <w:rPr>
                <w:rFonts w:ascii="Arial Narrow" w:eastAsia="Calibri" w:hAnsi="Arial Narrow"/>
                <w:snapToGrid/>
                <w:sz w:val="20"/>
                <w:lang w:eastAsia="zh-CN"/>
              </w:rPr>
            </w:pPr>
          </w:p>
          <w:p w:rsidR="00872EC5" w:rsidRPr="00AE041C" w:rsidRDefault="00872EC5" w:rsidP="00CD4D5F">
            <w:pPr>
              <w:keepNext/>
              <w:widowControl/>
              <w:ind w:left="-108"/>
              <w:rPr>
                <w:rFonts w:ascii="Arial Narrow" w:eastAsia="Calibri" w:hAnsi="Arial Narrow"/>
                <w:snapToGrid/>
                <w:sz w:val="20"/>
                <w:lang w:eastAsia="zh-CN"/>
              </w:rPr>
            </w:pPr>
            <w:r w:rsidRPr="00AE041C">
              <w:rPr>
                <w:rFonts w:ascii="Arial Narrow" w:eastAsia="Calibri" w:hAnsi="Arial Narrow"/>
                <w:snapToGrid/>
                <w:sz w:val="20"/>
                <w:lang w:eastAsia="zh-CN"/>
              </w:rPr>
              <w:t>1</w:t>
            </w:r>
          </w:p>
        </w:tc>
        <w:tc>
          <w:tcPr>
            <w:tcW w:w="404" w:type="pct"/>
          </w:tcPr>
          <w:p w:rsidR="00872EC5" w:rsidRPr="00AE041C" w:rsidRDefault="00872EC5" w:rsidP="00CD4D5F">
            <w:pPr>
              <w:keepNext/>
              <w:widowControl/>
              <w:rPr>
                <w:rFonts w:ascii="Arial Narrow" w:eastAsia="Calibri" w:hAnsi="Arial Narrow"/>
                <w:snapToGrid/>
                <w:sz w:val="20"/>
              </w:rPr>
            </w:pPr>
          </w:p>
          <w:p w:rsidR="00872EC5" w:rsidRPr="00AE041C" w:rsidRDefault="00872EC5" w:rsidP="00CD4D5F">
            <w:pPr>
              <w:keepNext/>
              <w:widowControl/>
              <w:rPr>
                <w:rFonts w:ascii="Arial Narrow" w:eastAsia="Calibri" w:hAnsi="Arial Narrow"/>
                <w:snapToGrid/>
                <w:sz w:val="20"/>
              </w:rPr>
            </w:pPr>
          </w:p>
          <w:p w:rsidR="00872EC5" w:rsidRPr="00AE041C" w:rsidRDefault="00872EC5" w:rsidP="00CD4D5F">
            <w:pPr>
              <w:keepNext/>
              <w:widowControl/>
              <w:rPr>
                <w:rFonts w:ascii="Arial Narrow" w:eastAsia="Calibri" w:hAnsi="Arial Narrow"/>
                <w:i/>
                <w:snapToGrid/>
                <w:sz w:val="20"/>
                <w:lang w:eastAsia="zh-CN"/>
              </w:rPr>
            </w:pPr>
          </w:p>
          <w:p w:rsidR="00872EC5" w:rsidRPr="00AE041C" w:rsidRDefault="00872EC5" w:rsidP="00CD4D5F">
            <w:pPr>
              <w:keepNext/>
              <w:widowControl/>
              <w:rPr>
                <w:rFonts w:ascii="Arial Narrow" w:eastAsia="Calibri" w:hAnsi="Arial Narrow"/>
                <w:snapToGrid/>
                <w:sz w:val="20"/>
                <w:lang w:eastAsia="zh-CN"/>
              </w:rPr>
            </w:pPr>
          </w:p>
          <w:p w:rsidR="00872EC5" w:rsidRPr="00AE041C" w:rsidRDefault="00872EC5" w:rsidP="00CD4D5F">
            <w:pPr>
              <w:keepNext/>
              <w:widowControl/>
              <w:ind w:left="-108"/>
              <w:rPr>
                <w:rFonts w:ascii="Arial Narrow" w:eastAsia="Calibri" w:hAnsi="Arial Narrow"/>
                <w:strike/>
                <w:snapToGrid/>
                <w:sz w:val="20"/>
                <w:lang w:eastAsia="zh-CN"/>
              </w:rPr>
            </w:pPr>
          </w:p>
          <w:p w:rsidR="00872EC5" w:rsidRPr="00AE041C" w:rsidRDefault="00872EC5" w:rsidP="00CD4D5F">
            <w:pPr>
              <w:keepNext/>
              <w:widowControl/>
              <w:ind w:left="-108"/>
              <w:rPr>
                <w:rFonts w:ascii="Arial Narrow" w:eastAsia="Calibri" w:hAnsi="Arial Narrow"/>
                <w:snapToGrid/>
                <w:sz w:val="20"/>
                <w:lang w:eastAsia="zh-CN"/>
              </w:rPr>
            </w:pPr>
            <w:r w:rsidRPr="00AE041C">
              <w:rPr>
                <w:rFonts w:ascii="Arial Narrow" w:eastAsia="Calibri" w:hAnsi="Arial Narrow"/>
                <w:i/>
                <w:snapToGrid/>
                <w:sz w:val="20"/>
                <w:lang w:eastAsia="zh-CN"/>
              </w:rPr>
              <w:t xml:space="preserve"> </w:t>
            </w:r>
          </w:p>
        </w:tc>
        <w:tc>
          <w:tcPr>
            <w:tcW w:w="200" w:type="pct"/>
          </w:tcPr>
          <w:p w:rsidR="00872EC5" w:rsidRPr="00AE041C" w:rsidRDefault="00872EC5" w:rsidP="00CD4D5F">
            <w:pPr>
              <w:keepNext/>
              <w:widowControl/>
              <w:ind w:left="-108"/>
              <w:rPr>
                <w:rFonts w:ascii="Arial Narrow" w:eastAsia="Calibri" w:hAnsi="Arial Narrow"/>
                <w:snapToGrid/>
                <w:sz w:val="20"/>
              </w:rPr>
            </w:pPr>
          </w:p>
          <w:p w:rsidR="00872EC5" w:rsidRPr="00AE041C" w:rsidRDefault="00872EC5" w:rsidP="00CD4D5F">
            <w:pPr>
              <w:keepNext/>
              <w:widowControl/>
              <w:ind w:left="-108"/>
              <w:rPr>
                <w:rFonts w:ascii="Arial Narrow" w:eastAsia="Calibri" w:hAnsi="Arial Narrow"/>
                <w:snapToGrid/>
                <w:sz w:val="20"/>
              </w:rPr>
            </w:pPr>
          </w:p>
          <w:p w:rsidR="00872EC5" w:rsidRPr="00AE041C" w:rsidRDefault="00872EC5" w:rsidP="00CD4D5F">
            <w:pPr>
              <w:keepNext/>
              <w:widowControl/>
              <w:ind w:left="-108"/>
              <w:rPr>
                <w:rFonts w:ascii="Arial Narrow" w:eastAsia="Calibri" w:hAnsi="Arial Narrow"/>
                <w:snapToGrid/>
                <w:sz w:val="20"/>
                <w:lang w:eastAsia="zh-CN"/>
              </w:rPr>
            </w:pPr>
          </w:p>
          <w:p w:rsidR="00872EC5" w:rsidRPr="00AE041C" w:rsidRDefault="00872EC5" w:rsidP="00CD4D5F">
            <w:pPr>
              <w:keepNext/>
              <w:widowControl/>
              <w:ind w:left="-108"/>
              <w:rPr>
                <w:rFonts w:ascii="Arial Narrow" w:eastAsia="Calibri" w:hAnsi="Arial Narrow"/>
                <w:snapToGrid/>
                <w:sz w:val="20"/>
                <w:lang w:eastAsia="zh-CN"/>
              </w:rPr>
            </w:pPr>
          </w:p>
          <w:p w:rsidR="00872EC5" w:rsidRPr="00AE041C" w:rsidRDefault="00872EC5" w:rsidP="00CD4D5F">
            <w:pPr>
              <w:keepNext/>
              <w:widowControl/>
              <w:ind w:left="-108"/>
              <w:rPr>
                <w:rFonts w:ascii="Arial Narrow" w:eastAsia="Calibri" w:hAnsi="Arial Narrow"/>
                <w:snapToGrid/>
                <w:sz w:val="20"/>
                <w:lang w:eastAsia="zh-CN"/>
              </w:rPr>
            </w:pPr>
          </w:p>
        </w:tc>
        <w:tc>
          <w:tcPr>
            <w:tcW w:w="1166" w:type="pct"/>
          </w:tcPr>
          <w:p w:rsidR="00872EC5" w:rsidRPr="00AE041C" w:rsidRDefault="00872EC5" w:rsidP="00CD4D5F">
            <w:pPr>
              <w:keepNext/>
              <w:widowControl/>
              <w:rPr>
                <w:rFonts w:ascii="Arial Narrow" w:eastAsia="Calibri" w:hAnsi="Arial Narrow"/>
                <w:snapToGrid/>
                <w:sz w:val="20"/>
              </w:rPr>
            </w:pPr>
          </w:p>
          <w:p w:rsidR="00872EC5" w:rsidRPr="00AE041C" w:rsidRDefault="00872EC5" w:rsidP="00CD4D5F">
            <w:pPr>
              <w:keepNext/>
              <w:widowControl/>
              <w:rPr>
                <w:rFonts w:ascii="Arial Narrow" w:eastAsia="Calibri" w:hAnsi="Arial Narrow"/>
                <w:snapToGrid/>
                <w:sz w:val="20"/>
              </w:rPr>
            </w:pPr>
          </w:p>
          <w:p w:rsidR="00872EC5" w:rsidRPr="00AE041C" w:rsidRDefault="00872EC5" w:rsidP="00CD4D5F">
            <w:pPr>
              <w:keepNext/>
              <w:widowControl/>
              <w:rPr>
                <w:rFonts w:ascii="Arial Narrow" w:eastAsia="Calibri" w:hAnsi="Arial Narrow"/>
                <w:snapToGrid/>
                <w:sz w:val="20"/>
                <w:lang w:eastAsia="zh-CN"/>
              </w:rPr>
            </w:pPr>
            <w:proofErr w:type="spellStart"/>
            <w:r w:rsidRPr="00AE041C">
              <w:rPr>
                <w:rFonts w:ascii="Arial Narrow" w:eastAsia="Calibri" w:hAnsi="Arial Narrow"/>
                <w:snapToGrid/>
                <w:sz w:val="20"/>
              </w:rPr>
              <w:t>Eylea</w:t>
            </w:r>
            <w:proofErr w:type="spellEnd"/>
          </w:p>
          <w:p w:rsidR="00872EC5" w:rsidRPr="00AE041C" w:rsidRDefault="00872EC5" w:rsidP="00CD4D5F">
            <w:pPr>
              <w:keepNext/>
              <w:widowControl/>
              <w:rPr>
                <w:rFonts w:ascii="Arial Narrow" w:eastAsia="Calibri" w:hAnsi="Arial Narrow"/>
                <w:snapToGrid/>
                <w:sz w:val="20"/>
                <w:lang w:eastAsia="zh-CN"/>
              </w:rPr>
            </w:pPr>
          </w:p>
          <w:p w:rsidR="00872EC5" w:rsidRPr="00AE041C" w:rsidRDefault="00872EC5" w:rsidP="00CD4D5F">
            <w:pPr>
              <w:keepNext/>
              <w:widowControl/>
              <w:rPr>
                <w:rFonts w:ascii="Arial Narrow" w:eastAsia="Calibri" w:hAnsi="Arial Narrow"/>
                <w:snapToGrid/>
                <w:sz w:val="20"/>
                <w:lang w:eastAsia="zh-CN"/>
              </w:rPr>
            </w:pPr>
          </w:p>
          <w:p w:rsidR="00872EC5" w:rsidRPr="00AE041C" w:rsidRDefault="00872EC5" w:rsidP="00CD4D5F">
            <w:pPr>
              <w:keepNext/>
              <w:widowControl/>
              <w:rPr>
                <w:rFonts w:ascii="Arial Narrow" w:eastAsia="Calibri" w:hAnsi="Arial Narrow"/>
                <w:snapToGrid/>
                <w:sz w:val="20"/>
                <w:lang w:eastAsia="zh-CN"/>
              </w:rPr>
            </w:pPr>
            <w:proofErr w:type="spellStart"/>
            <w:r w:rsidRPr="00AE041C">
              <w:rPr>
                <w:rFonts w:ascii="Arial Narrow" w:eastAsia="Calibri" w:hAnsi="Arial Narrow"/>
                <w:snapToGrid/>
                <w:sz w:val="20"/>
              </w:rPr>
              <w:t>Eylea</w:t>
            </w:r>
            <w:proofErr w:type="spellEnd"/>
          </w:p>
          <w:p w:rsidR="00872EC5" w:rsidRPr="00AE041C" w:rsidRDefault="00872EC5" w:rsidP="00CD4D5F">
            <w:pPr>
              <w:keepNext/>
              <w:widowControl/>
              <w:rPr>
                <w:rFonts w:ascii="Arial Narrow" w:eastAsia="Calibri" w:hAnsi="Arial Narrow"/>
                <w:snapToGrid/>
                <w:sz w:val="20"/>
                <w:lang w:eastAsia="zh-CN"/>
              </w:rPr>
            </w:pPr>
          </w:p>
        </w:tc>
        <w:tc>
          <w:tcPr>
            <w:tcW w:w="730" w:type="pct"/>
          </w:tcPr>
          <w:p w:rsidR="00872EC5" w:rsidRPr="00AE041C" w:rsidRDefault="00872EC5" w:rsidP="00CD4D5F">
            <w:pPr>
              <w:keepNext/>
              <w:widowControl/>
              <w:rPr>
                <w:rFonts w:ascii="Arial Narrow" w:eastAsia="Calibri" w:hAnsi="Arial Narrow"/>
                <w:snapToGrid/>
                <w:sz w:val="20"/>
              </w:rPr>
            </w:pPr>
          </w:p>
          <w:p w:rsidR="00872EC5" w:rsidRPr="00AE041C" w:rsidRDefault="00872EC5" w:rsidP="00CD4D5F">
            <w:pPr>
              <w:keepNext/>
              <w:widowControl/>
              <w:rPr>
                <w:rFonts w:ascii="Arial Narrow" w:eastAsia="Calibri" w:hAnsi="Arial Narrow"/>
                <w:snapToGrid/>
                <w:sz w:val="20"/>
              </w:rPr>
            </w:pPr>
          </w:p>
          <w:p w:rsidR="00872EC5" w:rsidRPr="00AE041C" w:rsidRDefault="00872EC5" w:rsidP="00CD4D5F">
            <w:pPr>
              <w:keepNext/>
              <w:widowControl/>
              <w:rPr>
                <w:rFonts w:ascii="Arial Narrow" w:eastAsia="Calibri" w:hAnsi="Arial Narrow"/>
                <w:snapToGrid/>
                <w:sz w:val="20"/>
              </w:rPr>
            </w:pPr>
            <w:r w:rsidRPr="00AE041C">
              <w:rPr>
                <w:rFonts w:ascii="Arial Narrow" w:eastAsia="Calibri" w:hAnsi="Arial Narrow"/>
                <w:snapToGrid/>
                <w:sz w:val="20"/>
              </w:rPr>
              <w:t>BN</w:t>
            </w:r>
          </w:p>
          <w:p w:rsidR="00872EC5" w:rsidRPr="00AE041C" w:rsidRDefault="00872EC5" w:rsidP="00CD4D5F">
            <w:pPr>
              <w:keepNext/>
              <w:widowControl/>
              <w:rPr>
                <w:rFonts w:ascii="Arial Narrow" w:eastAsia="Calibri" w:hAnsi="Arial Narrow"/>
                <w:snapToGrid/>
                <w:sz w:val="20"/>
                <w:lang w:eastAsia="zh-CN"/>
              </w:rPr>
            </w:pPr>
          </w:p>
          <w:p w:rsidR="00872EC5" w:rsidRPr="00AE041C" w:rsidRDefault="00872EC5" w:rsidP="00CD4D5F">
            <w:pPr>
              <w:keepNext/>
              <w:widowControl/>
              <w:rPr>
                <w:rFonts w:ascii="Arial Narrow" w:eastAsia="Calibri" w:hAnsi="Arial Narrow"/>
                <w:snapToGrid/>
                <w:sz w:val="20"/>
                <w:lang w:eastAsia="zh-CN"/>
              </w:rPr>
            </w:pPr>
          </w:p>
          <w:p w:rsidR="00872EC5" w:rsidRPr="00AE041C" w:rsidRDefault="00872EC5" w:rsidP="00CD4D5F">
            <w:pPr>
              <w:keepNext/>
              <w:widowControl/>
              <w:rPr>
                <w:rFonts w:ascii="Arial Narrow" w:eastAsia="Calibri" w:hAnsi="Arial Narrow"/>
                <w:snapToGrid/>
                <w:sz w:val="20"/>
              </w:rPr>
            </w:pPr>
            <w:r w:rsidRPr="00AE041C">
              <w:rPr>
                <w:rFonts w:ascii="Arial Narrow" w:eastAsia="Calibri" w:hAnsi="Arial Narrow"/>
                <w:snapToGrid/>
                <w:sz w:val="20"/>
              </w:rPr>
              <w:t>BN</w:t>
            </w:r>
          </w:p>
        </w:tc>
      </w:tr>
    </w:tbl>
    <w:p w:rsidR="0018144D" w:rsidRDefault="0018144D" w:rsidP="00AE041C">
      <w:pPr>
        <w:widowControl/>
        <w:rPr>
          <w:rFonts w:ascii="Arial Narrow" w:hAnsi="Arial Narrow"/>
          <w:b/>
          <w:i/>
          <w:snapToGrid/>
          <w:sz w:val="20"/>
          <w:lang w:eastAsia="en-AU"/>
        </w:rPr>
      </w:pPr>
    </w:p>
    <w:tbl>
      <w:tblPr>
        <w:tblW w:w="8363" w:type="dxa"/>
        <w:tblInd w:w="817" w:type="dxa"/>
        <w:tblLayout w:type="fixed"/>
        <w:tblLook w:val="04A0" w:firstRow="1" w:lastRow="0" w:firstColumn="1" w:lastColumn="0" w:noHBand="0" w:noVBand="1"/>
      </w:tblPr>
      <w:tblGrid>
        <w:gridCol w:w="2410"/>
        <w:gridCol w:w="5953"/>
      </w:tblGrid>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 xml:space="preserve">Category / </w:t>
            </w:r>
          </w:p>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Program</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GENERAL – General Schedule (Code GE)</w:t>
            </w:r>
          </w:p>
          <w:p w:rsidR="00AE041C" w:rsidRPr="00AE041C" w:rsidRDefault="00AE041C" w:rsidP="00CD4D5F">
            <w:pPr>
              <w:widowControl/>
              <w:jc w:val="left"/>
              <w:rPr>
                <w:rFonts w:ascii="Arial Narrow" w:hAnsi="Arial Narrow" w:cs="Times New Roman"/>
                <w:snapToGrid/>
                <w:sz w:val="20"/>
                <w:lang w:eastAsia="en-AU"/>
              </w:rPr>
            </w:pP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Prescriber type:</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1"/>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 xml:space="preserve">Dental  </w:t>
            </w:r>
            <w:r w:rsidRPr="00AE041C">
              <w:rPr>
                <w:rFonts w:ascii="Arial Narrow" w:hAnsi="Arial Narrow" w:cs="Times New Roman"/>
                <w:snapToGrid/>
                <w:sz w:val="20"/>
                <w:lang w:eastAsia="en-AU"/>
              </w:rPr>
              <w:fldChar w:fldCharType="begin">
                <w:ffData>
                  <w:name w:val=""/>
                  <w:enabled/>
                  <w:calcOnExit w:val="0"/>
                  <w:checkBox>
                    <w:sizeAuto/>
                    <w:default w:val="1"/>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 xml:space="preserve">Medical Practitioners  </w:t>
            </w:r>
            <w:r w:rsidRPr="00AE041C">
              <w:rPr>
                <w:rFonts w:ascii="Arial Narrow" w:hAnsi="Arial Narrow" w:cs="Times New Roman"/>
                <w:snapToGrid/>
                <w:sz w:val="20"/>
                <w:lang w:eastAsia="en-AU"/>
              </w:rPr>
              <w:fldChar w:fldCharType="begin">
                <w:ffData>
                  <w:name w:val="Check3"/>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 xml:space="preserve">Nurse practitioners  </w:t>
            </w:r>
            <w:r w:rsidRPr="00AE041C">
              <w:rPr>
                <w:rFonts w:ascii="Arial Narrow" w:hAnsi="Arial Narrow" w:cs="Times New Roman"/>
                <w:snapToGrid/>
                <w:sz w:val="20"/>
                <w:lang w:eastAsia="en-AU"/>
              </w:rPr>
              <w:fldChar w:fldCharType="begin">
                <w:ffData>
                  <w:name w:val=""/>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Optometrists</w:t>
            </w:r>
          </w:p>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5"/>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Midwives</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proofErr w:type="spellStart"/>
            <w:r w:rsidRPr="00AE041C">
              <w:rPr>
                <w:rFonts w:ascii="Arial Narrow" w:hAnsi="Arial Narrow" w:cs="Times New Roman"/>
                <w:b/>
                <w:snapToGrid/>
                <w:sz w:val="20"/>
                <w:lang w:eastAsia="en-AU"/>
              </w:rPr>
              <w:t>Episodicity</w:t>
            </w:r>
            <w:proofErr w:type="spellEnd"/>
            <w:r w:rsidRPr="00AE041C">
              <w:rPr>
                <w:rFonts w:ascii="Arial Narrow" w:hAnsi="Arial Narrow" w:cs="Times New Roman"/>
                <w:b/>
                <w:snapToGrid/>
                <w:sz w:val="20"/>
                <w:lang w:eastAsia="en-AU"/>
              </w:rPr>
              <w:t>:</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snapToGrid/>
                <w:sz w:val="20"/>
                <w:lang w:eastAsia="en-AU"/>
              </w:rPr>
            </w:pP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Severity:</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snapToGrid/>
                <w:sz w:val="20"/>
                <w:lang w:eastAsia="en-AU"/>
              </w:rPr>
            </w:pP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Condition:</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Diabetic macular oedema</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PBS Indication:</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 xml:space="preserve">Diabetic macular oedema </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Treatment phase:</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Initial treatment</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4562A2">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Restriction Level / Method:</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1"/>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Restricted benefit</w:t>
            </w:r>
          </w:p>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
                  <w:enabled/>
                  <w:calcOnExit w:val="0"/>
                  <w:checkBox>
                    <w:sizeAuto/>
                    <w:default w:val="1"/>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Authority Required - In Writing</w:t>
            </w:r>
          </w:p>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3"/>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Authority Required - Telephone</w:t>
            </w:r>
          </w:p>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Authority Required - Emergency</w:t>
            </w:r>
          </w:p>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5"/>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Authority Required - Electronic</w:t>
            </w:r>
          </w:p>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5"/>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Streamlined</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4562A2">
            <w:pPr>
              <w:widowControl/>
              <w:jc w:val="left"/>
              <w:rPr>
                <w:rFonts w:ascii="Arial Narrow" w:hAnsi="Arial Narrow" w:cs="Times New Roman"/>
                <w:snapToGrid/>
                <w:sz w:val="20"/>
                <w:lang w:eastAsia="en-AU"/>
              </w:rPr>
            </w:pPr>
            <w:r w:rsidRPr="00AE041C">
              <w:rPr>
                <w:rFonts w:ascii="Arial Narrow" w:hAnsi="Arial Narrow" w:cs="Times New Roman"/>
                <w:b/>
                <w:snapToGrid/>
                <w:sz w:val="20"/>
                <w:lang w:eastAsia="en-AU"/>
              </w:rPr>
              <w:t>Treatment criteria:</w:t>
            </w:r>
          </w:p>
        </w:tc>
        <w:tc>
          <w:tcPr>
            <w:tcW w:w="5953" w:type="dxa"/>
            <w:tcBorders>
              <w:top w:val="single" w:sz="4" w:space="0" w:color="auto"/>
              <w:left w:val="single" w:sz="4" w:space="0" w:color="auto"/>
              <w:bottom w:val="single" w:sz="4" w:space="0" w:color="auto"/>
              <w:right w:val="single" w:sz="4" w:space="0" w:color="auto"/>
            </w:tcBorders>
          </w:tcPr>
          <w:p w:rsidR="00AE041C" w:rsidRPr="000B5B2B"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Must be treated by an ophthalmologist</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lastRenderedPageBreak/>
              <w:t>Clinical criteria:</w:t>
            </w:r>
          </w:p>
          <w:p w:rsidR="00AE041C" w:rsidRPr="00AE041C" w:rsidRDefault="00AE041C" w:rsidP="00CD4D5F">
            <w:pPr>
              <w:widowControl/>
              <w:jc w:val="left"/>
              <w:rPr>
                <w:rFonts w:ascii="Arial Narrow" w:hAnsi="Arial Narrow" w:cs="Times New Roman"/>
                <w:snapToGrid/>
                <w:sz w:val="20"/>
                <w:lang w:eastAsia="en-AU"/>
              </w:rPr>
            </w:pPr>
          </w:p>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i/>
                <w:snapToGrid/>
                <w:sz w:val="20"/>
                <w:lang w:eastAsia="en-AU"/>
              </w:rPr>
              <w:t>(to be finalised at a later stage)</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The condition must be due to diabetic macular oedema</w:t>
            </w:r>
          </w:p>
          <w:p w:rsidR="00AE041C" w:rsidRPr="00AE041C" w:rsidRDefault="00AE041C" w:rsidP="00CD4D5F">
            <w:pPr>
              <w:widowControl/>
              <w:jc w:val="left"/>
              <w:rPr>
                <w:rFonts w:ascii="Arial Narrow" w:hAnsi="Arial Narrow" w:cs="Times New Roman"/>
                <w:snapToGrid/>
                <w:sz w:val="20"/>
                <w:lang w:eastAsia="en-AU"/>
              </w:rPr>
            </w:pPr>
          </w:p>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AND</w:t>
            </w:r>
          </w:p>
          <w:p w:rsidR="00AE041C" w:rsidRPr="00AE041C" w:rsidRDefault="00AE041C" w:rsidP="00CD4D5F">
            <w:pPr>
              <w:widowControl/>
              <w:jc w:val="left"/>
              <w:rPr>
                <w:rFonts w:ascii="Arial Narrow" w:hAnsi="Arial Narrow" w:cs="Times New Roman"/>
                <w:snapToGrid/>
                <w:sz w:val="20"/>
                <w:lang w:eastAsia="en-AU"/>
              </w:rPr>
            </w:pPr>
          </w:p>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The condition must be diagnosed by fluorescein angiography</w:t>
            </w:r>
          </w:p>
          <w:p w:rsidR="00AE041C" w:rsidRPr="00AE041C" w:rsidRDefault="00AE041C" w:rsidP="00CD4D5F">
            <w:pPr>
              <w:widowControl/>
              <w:jc w:val="left"/>
              <w:rPr>
                <w:rFonts w:ascii="Arial Narrow" w:hAnsi="Arial Narrow" w:cs="Times New Roman"/>
                <w:snapToGrid/>
                <w:sz w:val="20"/>
                <w:lang w:eastAsia="en-AU"/>
              </w:rPr>
            </w:pP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AND</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Patient must have documented impairment of best corrected visual acuity (BCVA) on the early treatment diabetic retinopathy study (EDTRS) chart</w:t>
            </w:r>
          </w:p>
          <w:p w:rsidR="00AE041C" w:rsidRPr="00AE041C" w:rsidRDefault="00AE041C" w:rsidP="00CD4D5F">
            <w:pPr>
              <w:widowControl/>
              <w:jc w:val="left"/>
              <w:rPr>
                <w:rFonts w:ascii="Arial Narrow" w:hAnsi="Arial Narrow" w:cs="Times New Roman"/>
                <w:snapToGrid/>
                <w:sz w:val="20"/>
                <w:lang w:eastAsia="en-AU"/>
              </w:rPr>
            </w:pP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AND</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The treatment must be as monotherapy; OR</w:t>
            </w:r>
          </w:p>
          <w:p w:rsidR="00AE041C" w:rsidRPr="000B5B2B"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The treatment must be in combination with laser photocoagulation</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18144D" w:rsidRDefault="00AE041C" w:rsidP="005770B6">
            <w:pPr>
              <w:widowControl/>
              <w:jc w:val="left"/>
              <w:rPr>
                <w:rFonts w:ascii="Arial Narrow" w:hAnsi="Arial Narrow" w:cs="Times New Roman"/>
                <w:sz w:val="20"/>
                <w:lang w:eastAsia="en-AU"/>
              </w:rPr>
            </w:pPr>
            <w:r w:rsidRPr="00AE041C">
              <w:rPr>
                <w:rFonts w:ascii="Arial Narrow" w:hAnsi="Arial Narrow" w:cs="Times New Roman"/>
                <w:b/>
                <w:snapToGrid/>
                <w:sz w:val="20"/>
                <w:lang w:eastAsia="en-AU"/>
              </w:rPr>
              <w:t>Definitions</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ind w:left="-108"/>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 xml:space="preserve">Visual impairment is defined as best corrected visual acuity score between 73 and 24 letters based on Early Treatment Diabetic Retinopathy Study (ETDRS)-like VA testing charts administered at a distance of 4 meters (approximate </w:t>
            </w:r>
            <w:proofErr w:type="spellStart"/>
            <w:r w:rsidRPr="00AE041C">
              <w:rPr>
                <w:rFonts w:ascii="Arial Narrow" w:hAnsi="Arial Narrow" w:cs="Times New Roman"/>
                <w:i/>
                <w:snapToGrid/>
                <w:sz w:val="20"/>
                <w:lang w:eastAsia="en-AU"/>
              </w:rPr>
              <w:t>Snellen</w:t>
            </w:r>
            <w:proofErr w:type="spellEnd"/>
            <w:r w:rsidRPr="00AE041C">
              <w:rPr>
                <w:rFonts w:ascii="Arial Narrow" w:hAnsi="Arial Narrow" w:cs="Times New Roman"/>
                <w:i/>
                <w:snapToGrid/>
                <w:sz w:val="20"/>
                <w:lang w:eastAsia="en-AU"/>
              </w:rPr>
              <w:t xml:space="preserve"> equivalent 20/40-20/320). </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Prescriber Instructions</w:t>
            </w:r>
          </w:p>
          <w:p w:rsidR="00AE041C" w:rsidRPr="00AE041C" w:rsidRDefault="00AE041C" w:rsidP="00CD4D5F">
            <w:pPr>
              <w:widowControl/>
              <w:jc w:val="left"/>
              <w:rPr>
                <w:rFonts w:ascii="Arial Narrow" w:hAnsi="Arial Narrow" w:cs="Times New Roman"/>
                <w:snapToGrid/>
                <w:sz w:val="20"/>
                <w:lang w:eastAsia="en-AU"/>
              </w:rPr>
            </w:pPr>
          </w:p>
          <w:p w:rsidR="00AE041C" w:rsidRPr="00AE041C" w:rsidRDefault="00AE041C" w:rsidP="005770B6">
            <w:pPr>
              <w:widowControl/>
              <w:jc w:val="left"/>
              <w:rPr>
                <w:rFonts w:ascii="Arial Narrow" w:hAnsi="Arial Narrow" w:cs="Times New Roman"/>
                <w:snapToGrid/>
                <w:sz w:val="20"/>
                <w:lang w:eastAsia="en-AU"/>
              </w:rPr>
            </w:pPr>
            <w:r w:rsidRPr="00AE041C">
              <w:rPr>
                <w:rFonts w:ascii="Arial Narrow" w:hAnsi="Arial Narrow" w:cs="Times New Roman"/>
                <w:i/>
                <w:snapToGrid/>
                <w:sz w:val="20"/>
                <w:lang w:eastAsia="en-AU"/>
              </w:rPr>
              <w:t>(to be finalised at a later stage)</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Treatment must be monthly injections for up to five months followed by 2 mg doses every eight weeks.</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Authority approval for initial treatment of each eye must be sought.</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 xml:space="preserve">The first authority application for each eye must be made in writing or by telephone. </w:t>
            </w: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 written application must include:</w:t>
            </w: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 a completed authority prescription form;</w:t>
            </w: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b) a completed [insert name of form] - PBS Supporting Information Form; and</w:t>
            </w: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 xml:space="preserve">c) </w:t>
            </w:r>
            <w:proofErr w:type="gramStart"/>
            <w:r w:rsidRPr="00AE041C">
              <w:rPr>
                <w:rFonts w:ascii="Arial Narrow" w:hAnsi="Arial Narrow" w:cs="Times New Roman"/>
                <w:i/>
                <w:snapToGrid/>
                <w:sz w:val="20"/>
                <w:lang w:eastAsia="en-AU"/>
              </w:rPr>
              <w:t>a</w:t>
            </w:r>
            <w:proofErr w:type="gramEnd"/>
            <w:r w:rsidRPr="00AE041C">
              <w:rPr>
                <w:rFonts w:ascii="Arial Narrow" w:hAnsi="Arial Narrow" w:cs="Times New Roman"/>
                <w:i/>
                <w:snapToGrid/>
                <w:sz w:val="20"/>
                <w:lang w:eastAsia="en-AU"/>
              </w:rPr>
              <w:t xml:space="preserve"> copy of the fluorescein angiogram or alternative method of diagnosis where applicable.</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 telephone application must be made following submission by facsimile of a copy of a completed [insert name of form] - PBS Supporting Information Form and a copy of the [appropriate diagnostic report]. The original documentation must be submitted to the Chief Executive Medicare by post after the application has been authorised.</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Where a fluorescein angiogram cannot be performed due to a contraindication as listed in the TGA-approved product information, details of the contraindication must be provided.  A copy of the report of an alternative method of diagnosis must be included in the application, for example optical coherence tomography (OCT) or red free photography.</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5770B6">
            <w:pPr>
              <w:widowControl/>
              <w:jc w:val="left"/>
              <w:rPr>
                <w:rFonts w:ascii="Arial Narrow" w:hAnsi="Arial Narrow" w:cs="Times New Roman"/>
                <w:i/>
                <w:snapToGrid/>
                <w:sz w:val="20"/>
                <w:lang w:eastAsia="en-AU"/>
              </w:rPr>
            </w:pPr>
            <w:r w:rsidRPr="00AE041C">
              <w:rPr>
                <w:rFonts w:ascii="Arial Narrow" w:hAnsi="Arial Narrow" w:cs="Times New Roman"/>
                <w:b/>
                <w:snapToGrid/>
                <w:sz w:val="20"/>
                <w:lang w:eastAsia="en-AU"/>
              </w:rPr>
              <w:lastRenderedPageBreak/>
              <w:t>Administrative Advice</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Authority approvals will be administered by the Complex Drugs Unit of the Department of Human Services</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 xml:space="preserve">Any queries concerning the arrangements to prescribe may be directed to the Department of Human Services on 1800 700 270 (hours of operation 8 a.m. to 5 p.m. EST Monday to Friday). </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Prescribing information (including Authority Application forms and other relevant documentation as applicable) is available on the Department of Human Services website at www.humanservices.gov.au</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Written applications for authority prescribe should be forwarded to:</w:t>
            </w: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Department of Human Services</w:t>
            </w: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Prior Written Approval of Complex Drugs</w:t>
            </w: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Reply Paid 9826</w:t>
            </w: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GPO Box 9826</w:t>
            </w: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HOBART  TAS  7001</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u w:val="single"/>
                <w:lang w:eastAsia="en-AU"/>
              </w:rPr>
            </w:pPr>
            <w:r w:rsidRPr="00AE041C">
              <w:rPr>
                <w:rFonts w:ascii="Arial Narrow" w:hAnsi="Arial Narrow" w:cs="Times New Roman"/>
                <w:i/>
                <w:snapToGrid/>
                <w:sz w:val="20"/>
                <w:u w:val="single"/>
                <w:lang w:eastAsia="en-AU"/>
              </w:rPr>
              <w:t>Note</w:t>
            </w: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No increase in the maximum quantity or number of units may be authorised</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u w:val="single"/>
                <w:lang w:eastAsia="en-AU"/>
              </w:rPr>
            </w:pPr>
            <w:r w:rsidRPr="00AE041C">
              <w:rPr>
                <w:rFonts w:ascii="Arial Narrow" w:hAnsi="Arial Narrow" w:cs="Times New Roman"/>
                <w:i/>
                <w:snapToGrid/>
                <w:sz w:val="20"/>
                <w:u w:val="single"/>
                <w:lang w:eastAsia="en-AU"/>
              </w:rPr>
              <w:t>Note</w:t>
            </w: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No increase in the maximum number of repeats may be authorised</w:t>
            </w:r>
          </w:p>
          <w:p w:rsidR="00AE041C" w:rsidRPr="00AE041C" w:rsidRDefault="00AE041C" w:rsidP="00CD4D5F">
            <w:pPr>
              <w:widowControl/>
              <w:jc w:val="left"/>
              <w:rPr>
                <w:rFonts w:ascii="Arial Narrow" w:hAnsi="Arial Narrow" w:cs="Times New Roman"/>
                <w:i/>
                <w:snapToGrid/>
                <w:sz w:val="20"/>
                <w:u w:val="single"/>
                <w:lang w:eastAsia="en-AU"/>
              </w:rPr>
            </w:pPr>
          </w:p>
          <w:p w:rsidR="00AE041C" w:rsidRPr="00AE041C" w:rsidRDefault="00AE041C" w:rsidP="00CD4D5F">
            <w:pPr>
              <w:widowControl/>
              <w:jc w:val="left"/>
              <w:rPr>
                <w:rFonts w:ascii="Arial Narrow" w:hAnsi="Arial Narrow" w:cs="Times New Roman"/>
                <w:i/>
                <w:snapToGrid/>
                <w:sz w:val="20"/>
                <w:u w:val="single"/>
                <w:lang w:eastAsia="en-AU"/>
              </w:rPr>
            </w:pPr>
            <w:r w:rsidRPr="00AE041C">
              <w:rPr>
                <w:rFonts w:ascii="Arial Narrow" w:hAnsi="Arial Narrow" w:cs="Times New Roman"/>
                <w:i/>
                <w:snapToGrid/>
                <w:sz w:val="20"/>
                <w:u w:val="single"/>
                <w:lang w:eastAsia="en-AU"/>
              </w:rPr>
              <w:t>Note</w:t>
            </w:r>
          </w:p>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i/>
                <w:snapToGrid/>
                <w:sz w:val="20"/>
                <w:lang w:eastAsia="en-AU"/>
              </w:rPr>
              <w:t>Special Pricing Arrangements apply.</w:t>
            </w:r>
          </w:p>
        </w:tc>
      </w:tr>
    </w:tbl>
    <w:p w:rsidR="00AE041C" w:rsidRPr="00AE041C" w:rsidRDefault="00AE041C" w:rsidP="00AE041C">
      <w:pPr>
        <w:widowControl/>
        <w:rPr>
          <w:rFonts w:ascii="Arial Narrow" w:hAnsi="Arial Narrow"/>
          <w:b/>
          <w:i/>
          <w:snapToGrid/>
          <w:sz w:val="20"/>
          <w:lang w:eastAsia="en-AU"/>
        </w:rPr>
      </w:pPr>
    </w:p>
    <w:p w:rsidR="00AE041C" w:rsidRPr="00AE041C" w:rsidRDefault="00AE041C" w:rsidP="00AE041C">
      <w:pPr>
        <w:widowControl/>
        <w:rPr>
          <w:rFonts w:ascii="Arial Narrow" w:hAnsi="Arial Narrow"/>
          <w:b/>
          <w:i/>
          <w:snapToGrid/>
          <w:sz w:val="20"/>
          <w:lang w:eastAsia="en-AU"/>
        </w:rPr>
      </w:pPr>
    </w:p>
    <w:tbl>
      <w:tblPr>
        <w:tblW w:w="4524" w:type="pct"/>
        <w:tblInd w:w="817" w:type="dxa"/>
        <w:tblLayout w:type="fixed"/>
        <w:tblLook w:val="0000" w:firstRow="0" w:lastRow="0" w:firstColumn="0" w:lastColumn="0" w:noHBand="0" w:noVBand="0"/>
      </w:tblPr>
      <w:tblGrid>
        <w:gridCol w:w="2832"/>
        <w:gridCol w:w="856"/>
        <w:gridCol w:w="995"/>
        <w:gridCol w:w="1561"/>
        <w:gridCol w:w="2119"/>
      </w:tblGrid>
      <w:tr w:rsidR="0017356D" w:rsidRPr="00AE041C" w:rsidTr="0017356D">
        <w:trPr>
          <w:cantSplit/>
          <w:trHeight w:val="468"/>
        </w:trPr>
        <w:tc>
          <w:tcPr>
            <w:tcW w:w="1693" w:type="pct"/>
            <w:tcBorders>
              <w:bottom w:val="single" w:sz="4" w:space="0" w:color="auto"/>
            </w:tcBorders>
          </w:tcPr>
          <w:p w:rsidR="0017356D" w:rsidRPr="00AE041C" w:rsidRDefault="0017356D" w:rsidP="00CD4D5F">
            <w:pPr>
              <w:keepNext/>
              <w:widowControl/>
              <w:ind w:left="-108"/>
              <w:rPr>
                <w:rFonts w:ascii="Arial Narrow" w:eastAsia="Calibri" w:hAnsi="Arial Narrow"/>
                <w:snapToGrid/>
                <w:sz w:val="20"/>
              </w:rPr>
            </w:pPr>
            <w:r w:rsidRPr="00AE041C">
              <w:rPr>
                <w:rFonts w:ascii="Arial Narrow" w:eastAsia="Calibri" w:hAnsi="Arial Narrow"/>
                <w:snapToGrid/>
                <w:sz w:val="20"/>
              </w:rPr>
              <w:t>Name, Restriction,</w:t>
            </w:r>
          </w:p>
          <w:p w:rsidR="0017356D" w:rsidRPr="00AE041C" w:rsidRDefault="0017356D" w:rsidP="00CD4D5F">
            <w:pPr>
              <w:keepNext/>
              <w:widowControl/>
              <w:ind w:left="-108"/>
              <w:rPr>
                <w:rFonts w:ascii="Arial Narrow" w:eastAsia="Calibri" w:hAnsi="Arial Narrow"/>
                <w:snapToGrid/>
                <w:sz w:val="20"/>
              </w:rPr>
            </w:pPr>
            <w:r w:rsidRPr="00AE041C">
              <w:rPr>
                <w:rFonts w:ascii="Arial Narrow" w:eastAsia="Calibri" w:hAnsi="Arial Narrow"/>
                <w:snapToGrid/>
                <w:sz w:val="20"/>
              </w:rPr>
              <w:t xml:space="preserve">Manner of administration </w:t>
            </w:r>
          </w:p>
          <w:p w:rsidR="0017356D" w:rsidRPr="00AE041C" w:rsidRDefault="0017356D" w:rsidP="00CD4D5F">
            <w:pPr>
              <w:keepNext/>
              <w:widowControl/>
              <w:ind w:left="-108"/>
              <w:rPr>
                <w:rFonts w:ascii="Arial Narrow" w:eastAsia="Calibri" w:hAnsi="Arial Narrow"/>
                <w:snapToGrid/>
                <w:sz w:val="20"/>
              </w:rPr>
            </w:pPr>
            <w:r w:rsidRPr="00AE041C">
              <w:rPr>
                <w:rFonts w:ascii="Arial Narrow" w:eastAsia="Calibri" w:hAnsi="Arial Narrow"/>
                <w:snapToGrid/>
                <w:sz w:val="20"/>
              </w:rPr>
              <w:t>and form</w:t>
            </w:r>
          </w:p>
        </w:tc>
        <w:tc>
          <w:tcPr>
            <w:tcW w:w="512" w:type="pct"/>
            <w:tcBorders>
              <w:bottom w:val="single" w:sz="4" w:space="0" w:color="auto"/>
            </w:tcBorders>
          </w:tcPr>
          <w:p w:rsidR="0017356D" w:rsidRPr="00DD7C05" w:rsidRDefault="0017356D" w:rsidP="00CD4D5F">
            <w:pPr>
              <w:keepNext/>
              <w:widowControl/>
              <w:ind w:left="-108"/>
              <w:rPr>
                <w:rFonts w:ascii="Arial Narrow" w:eastAsia="Calibri" w:hAnsi="Arial Narrow"/>
                <w:snapToGrid/>
                <w:sz w:val="20"/>
              </w:rPr>
            </w:pPr>
            <w:r w:rsidRPr="00DD7C05">
              <w:rPr>
                <w:rFonts w:ascii="Arial Narrow" w:eastAsia="Calibri" w:hAnsi="Arial Narrow"/>
                <w:snapToGrid/>
                <w:sz w:val="20"/>
              </w:rPr>
              <w:t>Max.</w:t>
            </w:r>
          </w:p>
          <w:p w:rsidR="0017356D" w:rsidRPr="00DD7C05" w:rsidRDefault="0017356D" w:rsidP="00CD4D5F">
            <w:pPr>
              <w:keepNext/>
              <w:widowControl/>
              <w:ind w:left="-108"/>
              <w:rPr>
                <w:rFonts w:ascii="Arial Narrow" w:eastAsia="Calibri" w:hAnsi="Arial Narrow"/>
                <w:snapToGrid/>
                <w:sz w:val="20"/>
              </w:rPr>
            </w:pPr>
            <w:r w:rsidRPr="00DD7C05">
              <w:rPr>
                <w:rFonts w:ascii="Arial Narrow" w:eastAsia="Calibri" w:hAnsi="Arial Narrow"/>
                <w:snapToGrid/>
                <w:sz w:val="20"/>
              </w:rPr>
              <w:t>Qty</w:t>
            </w:r>
          </w:p>
        </w:tc>
        <w:tc>
          <w:tcPr>
            <w:tcW w:w="595" w:type="pct"/>
            <w:tcBorders>
              <w:bottom w:val="single" w:sz="4" w:space="0" w:color="auto"/>
            </w:tcBorders>
          </w:tcPr>
          <w:p w:rsidR="0017356D" w:rsidRPr="00DD7C05" w:rsidRDefault="0017356D" w:rsidP="00CD4D5F">
            <w:pPr>
              <w:keepNext/>
              <w:widowControl/>
              <w:ind w:left="-108"/>
              <w:rPr>
                <w:rFonts w:ascii="Arial Narrow" w:eastAsia="Calibri" w:hAnsi="Arial Narrow"/>
                <w:snapToGrid/>
                <w:sz w:val="20"/>
              </w:rPr>
            </w:pPr>
            <w:r w:rsidRPr="00DD7C05">
              <w:rPr>
                <w:rFonts w:ascii="Arial Narrow" w:eastAsia="Calibri" w:hAnsi="Arial Narrow"/>
                <w:snapToGrid/>
                <w:sz w:val="20"/>
              </w:rPr>
              <w:t>№.of</w:t>
            </w:r>
          </w:p>
          <w:p w:rsidR="0017356D" w:rsidRPr="00DD7C05" w:rsidRDefault="0017356D" w:rsidP="00CD4D5F">
            <w:pPr>
              <w:keepNext/>
              <w:widowControl/>
              <w:ind w:left="-108"/>
              <w:rPr>
                <w:rFonts w:ascii="Arial Narrow" w:eastAsia="Calibri" w:hAnsi="Arial Narrow"/>
                <w:snapToGrid/>
                <w:sz w:val="20"/>
              </w:rPr>
            </w:pPr>
            <w:r w:rsidRPr="00DD7C05">
              <w:rPr>
                <w:rFonts w:ascii="Arial Narrow" w:eastAsia="Calibri" w:hAnsi="Arial Narrow"/>
                <w:snapToGrid/>
                <w:sz w:val="20"/>
              </w:rPr>
              <w:t>Rpts</w:t>
            </w:r>
          </w:p>
        </w:tc>
        <w:tc>
          <w:tcPr>
            <w:tcW w:w="2200" w:type="pct"/>
            <w:gridSpan w:val="2"/>
            <w:tcBorders>
              <w:bottom w:val="single" w:sz="4" w:space="0" w:color="auto"/>
            </w:tcBorders>
          </w:tcPr>
          <w:p w:rsidR="0017356D" w:rsidRPr="00AE041C" w:rsidRDefault="0017356D" w:rsidP="00CD4D5F">
            <w:pPr>
              <w:keepNext/>
              <w:widowControl/>
              <w:rPr>
                <w:rFonts w:ascii="Arial Narrow" w:eastAsia="Calibri" w:hAnsi="Arial Narrow"/>
                <w:snapToGrid/>
                <w:sz w:val="20"/>
              </w:rPr>
            </w:pPr>
            <w:r w:rsidRPr="00AE041C">
              <w:rPr>
                <w:rFonts w:ascii="Arial Narrow" w:eastAsia="Calibri" w:hAnsi="Arial Narrow"/>
                <w:snapToGrid/>
                <w:sz w:val="20"/>
              </w:rPr>
              <w:t xml:space="preserve">Proprietary Name </w:t>
            </w:r>
          </w:p>
          <w:p w:rsidR="0017356D" w:rsidRPr="00AE041C" w:rsidRDefault="0017356D" w:rsidP="00CD4D5F">
            <w:pPr>
              <w:keepNext/>
              <w:widowControl/>
              <w:rPr>
                <w:rFonts w:ascii="Arial Narrow" w:eastAsia="Calibri" w:hAnsi="Arial Narrow"/>
                <w:snapToGrid/>
                <w:sz w:val="20"/>
                <w:lang w:val="fr-FR"/>
              </w:rPr>
            </w:pPr>
            <w:r w:rsidRPr="00AE041C">
              <w:rPr>
                <w:rFonts w:ascii="Arial Narrow" w:eastAsia="Calibri" w:hAnsi="Arial Narrow"/>
                <w:snapToGrid/>
                <w:sz w:val="20"/>
              </w:rPr>
              <w:t>and Manufacturer</w:t>
            </w:r>
          </w:p>
        </w:tc>
      </w:tr>
      <w:tr w:rsidR="0017356D" w:rsidRPr="00AE041C" w:rsidTr="0017356D">
        <w:trPr>
          <w:cantSplit/>
          <w:trHeight w:val="574"/>
        </w:trPr>
        <w:tc>
          <w:tcPr>
            <w:tcW w:w="1693" w:type="pct"/>
          </w:tcPr>
          <w:p w:rsidR="0017356D" w:rsidRPr="00AE041C" w:rsidRDefault="0017356D" w:rsidP="00CD4D5F">
            <w:pPr>
              <w:keepNext/>
              <w:widowControl/>
              <w:ind w:left="-108"/>
              <w:rPr>
                <w:rFonts w:ascii="Arial Narrow" w:eastAsia="Calibri" w:hAnsi="Arial Narrow"/>
                <w:snapToGrid/>
                <w:sz w:val="20"/>
              </w:rPr>
            </w:pPr>
            <w:r w:rsidRPr="00AE041C">
              <w:rPr>
                <w:rFonts w:ascii="Arial Narrow" w:eastAsia="Calibri" w:hAnsi="Arial Narrow"/>
                <w:smallCaps/>
                <w:snapToGrid/>
                <w:sz w:val="20"/>
              </w:rPr>
              <w:t>AFLIBERCEPT</w:t>
            </w:r>
          </w:p>
          <w:p w:rsidR="0017356D" w:rsidRPr="00AE041C" w:rsidRDefault="0017356D" w:rsidP="00CD4D5F">
            <w:pPr>
              <w:keepNext/>
              <w:widowControl/>
              <w:ind w:left="-108"/>
              <w:rPr>
                <w:rFonts w:ascii="Arial Narrow" w:eastAsia="Calibri" w:hAnsi="Arial Narrow"/>
                <w:snapToGrid/>
                <w:sz w:val="20"/>
              </w:rPr>
            </w:pPr>
          </w:p>
          <w:p w:rsidR="0017356D" w:rsidRDefault="0017356D" w:rsidP="00CD4D5F">
            <w:pPr>
              <w:keepNext/>
              <w:widowControl/>
              <w:ind w:left="-108"/>
              <w:rPr>
                <w:rFonts w:ascii="Arial Narrow" w:eastAsia="Calibri" w:hAnsi="Arial Narrow"/>
                <w:snapToGrid/>
                <w:sz w:val="20"/>
              </w:rPr>
            </w:pPr>
            <w:r w:rsidRPr="00AE041C">
              <w:rPr>
                <w:rFonts w:ascii="Arial Narrow" w:eastAsia="Calibri" w:hAnsi="Arial Narrow"/>
                <w:snapToGrid/>
                <w:sz w:val="20"/>
              </w:rPr>
              <w:t>aflibercept 4mg/</w:t>
            </w:r>
            <w:r w:rsidRPr="00AE041C">
              <w:rPr>
                <w:rFonts w:ascii="Arial Narrow" w:eastAsia="Calibri" w:hAnsi="Arial Narrow"/>
                <w:snapToGrid/>
                <w:sz w:val="20"/>
                <w:lang w:eastAsia="zh-CN"/>
              </w:rPr>
              <w:t>0.1</w:t>
            </w:r>
            <w:r w:rsidRPr="00AE041C">
              <w:rPr>
                <w:rFonts w:ascii="Arial Narrow" w:eastAsia="Calibri" w:hAnsi="Arial Narrow"/>
                <w:snapToGrid/>
                <w:sz w:val="20"/>
              </w:rPr>
              <w:t xml:space="preserve">mL injection, </w:t>
            </w:r>
          </w:p>
          <w:p w:rsidR="0017356D" w:rsidRPr="00AE041C" w:rsidRDefault="0017356D" w:rsidP="00CD4D5F">
            <w:pPr>
              <w:keepNext/>
              <w:widowControl/>
              <w:ind w:left="-108"/>
              <w:rPr>
                <w:rFonts w:ascii="Arial Narrow" w:eastAsia="Calibri" w:hAnsi="Arial Narrow"/>
                <w:snapToGrid/>
                <w:sz w:val="20"/>
              </w:rPr>
            </w:pPr>
            <w:r w:rsidRPr="00AE041C">
              <w:rPr>
                <w:rFonts w:ascii="Arial Narrow" w:eastAsia="Calibri" w:hAnsi="Arial Narrow"/>
                <w:snapToGrid/>
                <w:sz w:val="20"/>
              </w:rPr>
              <w:t>1 x</w:t>
            </w:r>
            <w:r w:rsidRPr="00AE041C">
              <w:rPr>
                <w:rFonts w:ascii="Arial Narrow" w:eastAsia="Calibri" w:hAnsi="Arial Narrow"/>
                <w:snapToGrid/>
                <w:sz w:val="20"/>
                <w:lang w:eastAsia="zh-CN"/>
              </w:rPr>
              <w:t xml:space="preserve"> 0.1 mL </w:t>
            </w:r>
            <w:r w:rsidRPr="00AE041C">
              <w:rPr>
                <w:rFonts w:ascii="Arial Narrow" w:eastAsia="Calibri" w:hAnsi="Arial Narrow"/>
                <w:snapToGrid/>
                <w:sz w:val="20"/>
              </w:rPr>
              <w:t>vial</w:t>
            </w:r>
          </w:p>
          <w:p w:rsidR="0017356D" w:rsidRPr="00AE041C" w:rsidRDefault="0017356D" w:rsidP="00CD4D5F">
            <w:pPr>
              <w:keepNext/>
              <w:widowControl/>
              <w:ind w:left="-108"/>
              <w:rPr>
                <w:rFonts w:ascii="Arial Narrow" w:eastAsia="Calibri" w:hAnsi="Arial Narrow"/>
                <w:snapToGrid/>
                <w:sz w:val="20"/>
                <w:lang w:eastAsia="zh-CN"/>
              </w:rPr>
            </w:pPr>
          </w:p>
          <w:p w:rsidR="0017356D" w:rsidRDefault="0017356D" w:rsidP="00CD4D5F">
            <w:pPr>
              <w:keepNext/>
              <w:widowControl/>
              <w:ind w:left="-108"/>
              <w:rPr>
                <w:rFonts w:ascii="Arial Narrow" w:eastAsia="Calibri" w:hAnsi="Arial Narrow"/>
                <w:snapToGrid/>
                <w:sz w:val="20"/>
              </w:rPr>
            </w:pPr>
            <w:r w:rsidRPr="00AE041C">
              <w:rPr>
                <w:rFonts w:ascii="Arial Narrow" w:eastAsia="Calibri" w:hAnsi="Arial Narrow"/>
                <w:snapToGrid/>
                <w:sz w:val="20"/>
              </w:rPr>
              <w:t>aflibercept 4mg/</w:t>
            </w:r>
            <w:r w:rsidRPr="00AE041C">
              <w:rPr>
                <w:rFonts w:ascii="Arial Narrow" w:eastAsia="Calibri" w:hAnsi="Arial Narrow"/>
                <w:snapToGrid/>
                <w:sz w:val="20"/>
                <w:lang w:eastAsia="zh-CN"/>
              </w:rPr>
              <w:t>0.1</w:t>
            </w:r>
            <w:r w:rsidRPr="00AE041C">
              <w:rPr>
                <w:rFonts w:ascii="Arial Narrow" w:eastAsia="Calibri" w:hAnsi="Arial Narrow"/>
                <w:snapToGrid/>
                <w:sz w:val="20"/>
              </w:rPr>
              <w:t xml:space="preserve">mL injection, </w:t>
            </w:r>
          </w:p>
          <w:p w:rsidR="0017356D" w:rsidRPr="00AE041C" w:rsidRDefault="0017356D" w:rsidP="00CD4D5F">
            <w:pPr>
              <w:keepNext/>
              <w:widowControl/>
              <w:ind w:left="-108"/>
              <w:rPr>
                <w:rFonts w:ascii="Arial Narrow" w:eastAsia="Calibri" w:hAnsi="Arial Narrow"/>
                <w:snapToGrid/>
                <w:sz w:val="20"/>
                <w:lang w:eastAsia="zh-CN"/>
              </w:rPr>
            </w:pPr>
            <w:r w:rsidRPr="00AE041C">
              <w:rPr>
                <w:rFonts w:ascii="Arial Narrow" w:eastAsia="Calibri" w:hAnsi="Arial Narrow"/>
                <w:snapToGrid/>
                <w:sz w:val="20"/>
              </w:rPr>
              <w:t>1 x</w:t>
            </w:r>
            <w:r w:rsidRPr="00AE041C">
              <w:rPr>
                <w:rFonts w:ascii="Arial Narrow" w:eastAsia="Calibri" w:hAnsi="Arial Narrow"/>
                <w:snapToGrid/>
                <w:sz w:val="20"/>
                <w:lang w:eastAsia="zh-CN"/>
              </w:rPr>
              <w:t xml:space="preserve"> 0.09 ml pre-filled syringe</w:t>
            </w:r>
          </w:p>
        </w:tc>
        <w:tc>
          <w:tcPr>
            <w:tcW w:w="512" w:type="pct"/>
          </w:tcPr>
          <w:p w:rsidR="0017356D" w:rsidRPr="00AE041C" w:rsidRDefault="0017356D" w:rsidP="00CD4D5F">
            <w:pPr>
              <w:keepNext/>
              <w:widowControl/>
              <w:ind w:left="-108"/>
              <w:rPr>
                <w:rFonts w:ascii="Arial Narrow" w:eastAsia="Calibri" w:hAnsi="Arial Narrow"/>
                <w:snapToGrid/>
                <w:sz w:val="20"/>
              </w:rPr>
            </w:pPr>
          </w:p>
          <w:p w:rsidR="0017356D" w:rsidRPr="00AE041C" w:rsidRDefault="0017356D" w:rsidP="00CD4D5F">
            <w:pPr>
              <w:keepNext/>
              <w:widowControl/>
              <w:ind w:left="-108"/>
              <w:rPr>
                <w:rFonts w:ascii="Arial Narrow" w:eastAsia="Calibri" w:hAnsi="Arial Narrow"/>
                <w:snapToGrid/>
                <w:sz w:val="20"/>
              </w:rPr>
            </w:pPr>
          </w:p>
          <w:p w:rsidR="0017356D" w:rsidRPr="00AE041C" w:rsidRDefault="0017356D" w:rsidP="00CD4D5F">
            <w:pPr>
              <w:keepNext/>
              <w:widowControl/>
              <w:ind w:left="-108"/>
              <w:rPr>
                <w:rFonts w:ascii="Arial Narrow" w:eastAsia="Calibri" w:hAnsi="Arial Narrow"/>
                <w:snapToGrid/>
                <w:sz w:val="20"/>
                <w:lang w:eastAsia="zh-CN"/>
              </w:rPr>
            </w:pPr>
            <w:r w:rsidRPr="00AE041C">
              <w:rPr>
                <w:rFonts w:ascii="Arial Narrow" w:eastAsia="Calibri" w:hAnsi="Arial Narrow"/>
                <w:snapToGrid/>
                <w:sz w:val="20"/>
              </w:rPr>
              <w:t>1</w:t>
            </w:r>
          </w:p>
          <w:p w:rsidR="0017356D" w:rsidRPr="00AE041C" w:rsidRDefault="0017356D" w:rsidP="00CD4D5F">
            <w:pPr>
              <w:keepNext/>
              <w:widowControl/>
              <w:ind w:left="-108"/>
              <w:rPr>
                <w:rFonts w:ascii="Arial Narrow" w:eastAsia="Calibri" w:hAnsi="Arial Narrow"/>
                <w:snapToGrid/>
                <w:sz w:val="20"/>
                <w:lang w:eastAsia="zh-CN"/>
              </w:rPr>
            </w:pPr>
          </w:p>
          <w:p w:rsidR="0017356D" w:rsidRPr="00AE041C" w:rsidRDefault="0017356D" w:rsidP="00CD4D5F">
            <w:pPr>
              <w:keepNext/>
              <w:widowControl/>
              <w:ind w:left="-108"/>
              <w:rPr>
                <w:rFonts w:ascii="Arial Narrow" w:eastAsia="Calibri" w:hAnsi="Arial Narrow"/>
                <w:snapToGrid/>
                <w:sz w:val="20"/>
                <w:lang w:eastAsia="zh-CN"/>
              </w:rPr>
            </w:pPr>
          </w:p>
          <w:p w:rsidR="0017356D" w:rsidRPr="00AE041C" w:rsidRDefault="0017356D" w:rsidP="00CD4D5F">
            <w:pPr>
              <w:keepNext/>
              <w:widowControl/>
              <w:ind w:left="-108"/>
              <w:rPr>
                <w:rFonts w:ascii="Arial Narrow" w:eastAsia="Calibri" w:hAnsi="Arial Narrow"/>
                <w:snapToGrid/>
                <w:sz w:val="20"/>
                <w:lang w:eastAsia="zh-CN"/>
              </w:rPr>
            </w:pPr>
            <w:r w:rsidRPr="00AE041C">
              <w:rPr>
                <w:rFonts w:ascii="Arial Narrow" w:eastAsia="Calibri" w:hAnsi="Arial Narrow"/>
                <w:snapToGrid/>
                <w:sz w:val="20"/>
                <w:lang w:eastAsia="zh-CN"/>
              </w:rPr>
              <w:t>1</w:t>
            </w:r>
          </w:p>
        </w:tc>
        <w:tc>
          <w:tcPr>
            <w:tcW w:w="595" w:type="pct"/>
          </w:tcPr>
          <w:p w:rsidR="0017356D" w:rsidRPr="00AE041C" w:rsidRDefault="0017356D" w:rsidP="00CD4D5F">
            <w:pPr>
              <w:keepNext/>
              <w:widowControl/>
              <w:rPr>
                <w:rFonts w:ascii="Arial Narrow" w:eastAsia="Calibri" w:hAnsi="Arial Narrow"/>
                <w:snapToGrid/>
                <w:sz w:val="20"/>
              </w:rPr>
            </w:pPr>
          </w:p>
          <w:p w:rsidR="0017356D" w:rsidRPr="00AE041C" w:rsidRDefault="0017356D" w:rsidP="00CD4D5F">
            <w:pPr>
              <w:keepNext/>
              <w:widowControl/>
              <w:rPr>
                <w:rFonts w:ascii="Arial Narrow" w:eastAsia="Calibri" w:hAnsi="Arial Narrow"/>
                <w:snapToGrid/>
                <w:sz w:val="20"/>
              </w:rPr>
            </w:pPr>
          </w:p>
          <w:p w:rsidR="0017356D" w:rsidRPr="00AE041C" w:rsidRDefault="0017356D" w:rsidP="00CD4D5F">
            <w:pPr>
              <w:keepNext/>
              <w:widowControl/>
              <w:rPr>
                <w:rFonts w:ascii="Arial Narrow" w:eastAsia="Calibri" w:hAnsi="Arial Narrow"/>
                <w:i/>
                <w:snapToGrid/>
                <w:sz w:val="20"/>
                <w:lang w:eastAsia="zh-CN"/>
              </w:rPr>
            </w:pPr>
          </w:p>
          <w:p w:rsidR="0017356D" w:rsidRPr="00AE041C" w:rsidRDefault="0017356D" w:rsidP="00CD4D5F">
            <w:pPr>
              <w:keepNext/>
              <w:widowControl/>
              <w:rPr>
                <w:rFonts w:ascii="Arial Narrow" w:eastAsia="Calibri" w:hAnsi="Arial Narrow"/>
                <w:snapToGrid/>
                <w:sz w:val="20"/>
                <w:lang w:eastAsia="zh-CN"/>
              </w:rPr>
            </w:pPr>
          </w:p>
          <w:p w:rsidR="0017356D" w:rsidRPr="00AE041C" w:rsidRDefault="0017356D" w:rsidP="00CD4D5F">
            <w:pPr>
              <w:keepNext/>
              <w:widowControl/>
              <w:ind w:left="-108"/>
              <w:rPr>
                <w:rFonts w:ascii="Arial Narrow" w:eastAsia="Calibri" w:hAnsi="Arial Narrow"/>
                <w:strike/>
                <w:snapToGrid/>
                <w:sz w:val="20"/>
                <w:lang w:eastAsia="zh-CN"/>
              </w:rPr>
            </w:pPr>
          </w:p>
          <w:p w:rsidR="0017356D" w:rsidRPr="00AE041C" w:rsidRDefault="0017356D" w:rsidP="00CD4D5F">
            <w:pPr>
              <w:keepNext/>
              <w:widowControl/>
              <w:ind w:left="-108"/>
              <w:rPr>
                <w:rFonts w:ascii="Arial Narrow" w:eastAsia="Calibri" w:hAnsi="Arial Narrow"/>
                <w:snapToGrid/>
                <w:sz w:val="20"/>
                <w:lang w:eastAsia="zh-CN"/>
              </w:rPr>
            </w:pPr>
            <w:r w:rsidRPr="00AE041C">
              <w:rPr>
                <w:rFonts w:ascii="Arial Narrow" w:eastAsia="Calibri" w:hAnsi="Arial Narrow"/>
                <w:i/>
                <w:snapToGrid/>
                <w:sz w:val="20"/>
                <w:lang w:eastAsia="zh-CN"/>
              </w:rPr>
              <w:t xml:space="preserve"> </w:t>
            </w:r>
          </w:p>
        </w:tc>
        <w:tc>
          <w:tcPr>
            <w:tcW w:w="933" w:type="pct"/>
          </w:tcPr>
          <w:p w:rsidR="0017356D" w:rsidRPr="00AE041C" w:rsidRDefault="0017356D" w:rsidP="00CD4D5F">
            <w:pPr>
              <w:keepNext/>
              <w:widowControl/>
              <w:rPr>
                <w:rFonts w:ascii="Arial Narrow" w:eastAsia="Calibri" w:hAnsi="Arial Narrow"/>
                <w:snapToGrid/>
                <w:sz w:val="20"/>
              </w:rPr>
            </w:pPr>
          </w:p>
          <w:p w:rsidR="0017356D" w:rsidRPr="00AE041C" w:rsidRDefault="0017356D" w:rsidP="00CD4D5F">
            <w:pPr>
              <w:keepNext/>
              <w:widowControl/>
              <w:rPr>
                <w:rFonts w:ascii="Arial Narrow" w:eastAsia="Calibri" w:hAnsi="Arial Narrow"/>
                <w:snapToGrid/>
                <w:sz w:val="20"/>
              </w:rPr>
            </w:pPr>
          </w:p>
          <w:p w:rsidR="0017356D" w:rsidRPr="00AE041C" w:rsidRDefault="0017356D" w:rsidP="00CD4D5F">
            <w:pPr>
              <w:keepNext/>
              <w:widowControl/>
              <w:rPr>
                <w:rFonts w:ascii="Arial Narrow" w:eastAsia="Calibri" w:hAnsi="Arial Narrow"/>
                <w:snapToGrid/>
                <w:sz w:val="20"/>
                <w:lang w:eastAsia="zh-CN"/>
              </w:rPr>
            </w:pPr>
            <w:proofErr w:type="spellStart"/>
            <w:r w:rsidRPr="00AE041C">
              <w:rPr>
                <w:rFonts w:ascii="Arial Narrow" w:eastAsia="Calibri" w:hAnsi="Arial Narrow"/>
                <w:snapToGrid/>
                <w:sz w:val="20"/>
              </w:rPr>
              <w:t>Eylea</w:t>
            </w:r>
            <w:proofErr w:type="spellEnd"/>
          </w:p>
          <w:p w:rsidR="0017356D" w:rsidRPr="00AE041C" w:rsidRDefault="0017356D" w:rsidP="00CD4D5F">
            <w:pPr>
              <w:keepNext/>
              <w:widowControl/>
              <w:rPr>
                <w:rFonts w:ascii="Arial Narrow" w:eastAsia="Calibri" w:hAnsi="Arial Narrow"/>
                <w:snapToGrid/>
                <w:sz w:val="20"/>
                <w:lang w:eastAsia="zh-CN"/>
              </w:rPr>
            </w:pPr>
          </w:p>
          <w:p w:rsidR="0017356D" w:rsidRPr="00AE041C" w:rsidRDefault="0017356D" w:rsidP="00CD4D5F">
            <w:pPr>
              <w:keepNext/>
              <w:widowControl/>
              <w:rPr>
                <w:rFonts w:ascii="Arial Narrow" w:eastAsia="Calibri" w:hAnsi="Arial Narrow"/>
                <w:snapToGrid/>
                <w:sz w:val="20"/>
                <w:lang w:eastAsia="zh-CN"/>
              </w:rPr>
            </w:pPr>
          </w:p>
          <w:p w:rsidR="0017356D" w:rsidRPr="00AE041C" w:rsidRDefault="0017356D" w:rsidP="00CD4D5F">
            <w:pPr>
              <w:keepNext/>
              <w:widowControl/>
              <w:rPr>
                <w:rFonts w:ascii="Arial Narrow" w:eastAsia="Calibri" w:hAnsi="Arial Narrow"/>
                <w:snapToGrid/>
                <w:sz w:val="20"/>
                <w:lang w:eastAsia="zh-CN"/>
              </w:rPr>
            </w:pPr>
            <w:proofErr w:type="spellStart"/>
            <w:r w:rsidRPr="00AE041C">
              <w:rPr>
                <w:rFonts w:ascii="Arial Narrow" w:eastAsia="Calibri" w:hAnsi="Arial Narrow"/>
                <w:snapToGrid/>
                <w:sz w:val="20"/>
              </w:rPr>
              <w:t>Eylea</w:t>
            </w:r>
            <w:proofErr w:type="spellEnd"/>
          </w:p>
          <w:p w:rsidR="0017356D" w:rsidRPr="00AE041C" w:rsidRDefault="0017356D" w:rsidP="00CD4D5F">
            <w:pPr>
              <w:keepNext/>
              <w:widowControl/>
              <w:rPr>
                <w:rFonts w:ascii="Arial Narrow" w:eastAsia="Calibri" w:hAnsi="Arial Narrow"/>
                <w:snapToGrid/>
                <w:sz w:val="20"/>
                <w:lang w:eastAsia="zh-CN"/>
              </w:rPr>
            </w:pPr>
          </w:p>
        </w:tc>
        <w:tc>
          <w:tcPr>
            <w:tcW w:w="1267" w:type="pct"/>
          </w:tcPr>
          <w:p w:rsidR="0017356D" w:rsidRPr="00AE041C" w:rsidRDefault="0017356D" w:rsidP="00CD4D5F">
            <w:pPr>
              <w:keepNext/>
              <w:widowControl/>
              <w:rPr>
                <w:rFonts w:ascii="Arial Narrow" w:eastAsia="Calibri" w:hAnsi="Arial Narrow"/>
                <w:snapToGrid/>
                <w:sz w:val="20"/>
              </w:rPr>
            </w:pPr>
          </w:p>
          <w:p w:rsidR="0017356D" w:rsidRPr="00AE041C" w:rsidRDefault="0017356D" w:rsidP="00CD4D5F">
            <w:pPr>
              <w:keepNext/>
              <w:widowControl/>
              <w:rPr>
                <w:rFonts w:ascii="Arial Narrow" w:eastAsia="Calibri" w:hAnsi="Arial Narrow"/>
                <w:snapToGrid/>
                <w:sz w:val="20"/>
              </w:rPr>
            </w:pPr>
          </w:p>
          <w:p w:rsidR="0017356D" w:rsidRPr="00AE041C" w:rsidRDefault="0017356D" w:rsidP="00CD4D5F">
            <w:pPr>
              <w:keepNext/>
              <w:widowControl/>
              <w:rPr>
                <w:rFonts w:ascii="Arial Narrow" w:eastAsia="Calibri" w:hAnsi="Arial Narrow"/>
                <w:snapToGrid/>
                <w:sz w:val="20"/>
              </w:rPr>
            </w:pPr>
            <w:r w:rsidRPr="00AE041C">
              <w:rPr>
                <w:rFonts w:ascii="Arial Narrow" w:eastAsia="Calibri" w:hAnsi="Arial Narrow"/>
                <w:snapToGrid/>
                <w:sz w:val="20"/>
              </w:rPr>
              <w:t>BN</w:t>
            </w:r>
          </w:p>
          <w:p w:rsidR="0017356D" w:rsidRPr="00AE041C" w:rsidRDefault="0017356D" w:rsidP="00CD4D5F">
            <w:pPr>
              <w:keepNext/>
              <w:widowControl/>
              <w:rPr>
                <w:rFonts w:ascii="Arial Narrow" w:eastAsia="Calibri" w:hAnsi="Arial Narrow"/>
                <w:snapToGrid/>
                <w:sz w:val="20"/>
                <w:lang w:eastAsia="zh-CN"/>
              </w:rPr>
            </w:pPr>
          </w:p>
          <w:p w:rsidR="0017356D" w:rsidRPr="00AE041C" w:rsidRDefault="0017356D" w:rsidP="00CD4D5F">
            <w:pPr>
              <w:keepNext/>
              <w:widowControl/>
              <w:rPr>
                <w:rFonts w:ascii="Arial Narrow" w:eastAsia="Calibri" w:hAnsi="Arial Narrow"/>
                <w:snapToGrid/>
                <w:sz w:val="20"/>
                <w:lang w:eastAsia="zh-CN"/>
              </w:rPr>
            </w:pPr>
          </w:p>
          <w:p w:rsidR="0017356D" w:rsidRPr="00AE041C" w:rsidRDefault="0017356D" w:rsidP="00CD4D5F">
            <w:pPr>
              <w:keepNext/>
              <w:widowControl/>
              <w:rPr>
                <w:rFonts w:ascii="Arial Narrow" w:eastAsia="Calibri" w:hAnsi="Arial Narrow"/>
                <w:snapToGrid/>
                <w:sz w:val="20"/>
              </w:rPr>
            </w:pPr>
            <w:r w:rsidRPr="00AE041C">
              <w:rPr>
                <w:rFonts w:ascii="Arial Narrow" w:eastAsia="Calibri" w:hAnsi="Arial Narrow"/>
                <w:snapToGrid/>
                <w:sz w:val="20"/>
              </w:rPr>
              <w:t>BN</w:t>
            </w:r>
          </w:p>
        </w:tc>
      </w:tr>
    </w:tbl>
    <w:p w:rsidR="00AE041C" w:rsidRPr="00AE041C" w:rsidRDefault="00AE041C" w:rsidP="00AE041C">
      <w:pPr>
        <w:widowControl/>
        <w:jc w:val="left"/>
        <w:rPr>
          <w:rFonts w:ascii="Arial Narrow" w:hAnsi="Arial Narrow" w:cs="Times New Roman"/>
          <w:snapToGrid/>
          <w:sz w:val="20"/>
          <w:lang w:eastAsia="en-AU"/>
        </w:rPr>
      </w:pPr>
    </w:p>
    <w:tbl>
      <w:tblPr>
        <w:tblW w:w="8363" w:type="dxa"/>
        <w:tblInd w:w="817" w:type="dxa"/>
        <w:tblLayout w:type="fixed"/>
        <w:tblLook w:val="04A0" w:firstRow="1" w:lastRow="0" w:firstColumn="1" w:lastColumn="0" w:noHBand="0" w:noVBand="1"/>
      </w:tblPr>
      <w:tblGrid>
        <w:gridCol w:w="2410"/>
        <w:gridCol w:w="5953"/>
      </w:tblGrid>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 xml:space="preserve">Category / </w:t>
            </w:r>
          </w:p>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Program</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GENERAL – General Schedule (Code GE)</w:t>
            </w:r>
          </w:p>
          <w:p w:rsidR="00AE041C" w:rsidRPr="00AE041C" w:rsidRDefault="00AE041C" w:rsidP="00CD4D5F">
            <w:pPr>
              <w:widowControl/>
              <w:jc w:val="left"/>
              <w:rPr>
                <w:rFonts w:ascii="Arial Narrow" w:hAnsi="Arial Narrow" w:cs="Times New Roman"/>
                <w:snapToGrid/>
                <w:sz w:val="20"/>
                <w:lang w:eastAsia="en-AU"/>
              </w:rPr>
            </w:pP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Prescriber type:</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1"/>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 xml:space="preserve">Dental  </w:t>
            </w:r>
            <w:r w:rsidRPr="00AE041C">
              <w:rPr>
                <w:rFonts w:ascii="Arial Narrow" w:hAnsi="Arial Narrow" w:cs="Times New Roman"/>
                <w:snapToGrid/>
                <w:sz w:val="20"/>
                <w:lang w:eastAsia="en-AU"/>
              </w:rPr>
              <w:fldChar w:fldCharType="begin">
                <w:ffData>
                  <w:name w:val=""/>
                  <w:enabled/>
                  <w:calcOnExit w:val="0"/>
                  <w:checkBox>
                    <w:sizeAuto/>
                    <w:default w:val="1"/>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 xml:space="preserve">Medical Practitioners  </w:t>
            </w:r>
            <w:r w:rsidRPr="00AE041C">
              <w:rPr>
                <w:rFonts w:ascii="Arial Narrow" w:hAnsi="Arial Narrow" w:cs="Times New Roman"/>
                <w:snapToGrid/>
                <w:sz w:val="20"/>
                <w:lang w:eastAsia="en-AU"/>
              </w:rPr>
              <w:fldChar w:fldCharType="begin">
                <w:ffData>
                  <w:name w:val="Check3"/>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 xml:space="preserve">Nurse practitioners  </w:t>
            </w:r>
            <w:r w:rsidRPr="00AE041C">
              <w:rPr>
                <w:rFonts w:ascii="Arial Narrow" w:hAnsi="Arial Narrow" w:cs="Times New Roman"/>
                <w:snapToGrid/>
                <w:sz w:val="20"/>
                <w:lang w:eastAsia="en-AU"/>
              </w:rPr>
              <w:fldChar w:fldCharType="begin">
                <w:ffData>
                  <w:name w:val=""/>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Optometrists</w:t>
            </w:r>
          </w:p>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5"/>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Midwives</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proofErr w:type="spellStart"/>
            <w:r w:rsidRPr="00AE041C">
              <w:rPr>
                <w:rFonts w:ascii="Arial Narrow" w:hAnsi="Arial Narrow" w:cs="Times New Roman"/>
                <w:b/>
                <w:snapToGrid/>
                <w:sz w:val="20"/>
                <w:lang w:eastAsia="en-AU"/>
              </w:rPr>
              <w:t>Episodicity</w:t>
            </w:r>
            <w:proofErr w:type="spellEnd"/>
            <w:r w:rsidRPr="00AE041C">
              <w:rPr>
                <w:rFonts w:ascii="Arial Narrow" w:hAnsi="Arial Narrow" w:cs="Times New Roman"/>
                <w:b/>
                <w:snapToGrid/>
                <w:sz w:val="20"/>
                <w:lang w:eastAsia="en-AU"/>
              </w:rPr>
              <w:t>:</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snapToGrid/>
                <w:sz w:val="20"/>
                <w:lang w:eastAsia="en-AU"/>
              </w:rPr>
            </w:pP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Severity:</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snapToGrid/>
                <w:sz w:val="20"/>
                <w:lang w:eastAsia="en-AU"/>
              </w:rPr>
            </w:pP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Condition:</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Diabetic macular oedema</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PBS Indication:</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Diabetic macular oedema</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Treatment phase:</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Continuing treatment</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lastRenderedPageBreak/>
              <w:t>Restriction Level / Method:</w:t>
            </w:r>
          </w:p>
          <w:p w:rsidR="00AE041C" w:rsidRPr="00AE041C" w:rsidRDefault="00AE041C" w:rsidP="00CD4D5F">
            <w:pPr>
              <w:widowControl/>
              <w:jc w:val="left"/>
              <w:rPr>
                <w:rFonts w:ascii="Arial Narrow" w:hAnsi="Arial Narrow" w:cs="Times New Roman"/>
                <w:b/>
                <w:snapToGrid/>
                <w:sz w:val="20"/>
                <w:lang w:eastAsia="en-AU"/>
              </w:rPr>
            </w:pP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1"/>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Restricted benefit</w:t>
            </w:r>
          </w:p>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Authority Required - In Writing</w:t>
            </w:r>
          </w:p>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3"/>
                  <w:enabled/>
                  <w:calcOnExit w:val="0"/>
                  <w:checkBox>
                    <w:sizeAuto/>
                    <w:default w:val="1"/>
                  </w:checkBox>
                </w:ffData>
              </w:fldChar>
            </w:r>
            <w:bookmarkStart w:id="3" w:name="Check3"/>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bookmarkEnd w:id="3"/>
            <w:r w:rsidR="00AE041C" w:rsidRPr="00AE041C">
              <w:rPr>
                <w:rFonts w:ascii="Arial Narrow" w:hAnsi="Arial Narrow" w:cs="Times New Roman"/>
                <w:snapToGrid/>
                <w:sz w:val="20"/>
                <w:lang w:eastAsia="en-AU"/>
              </w:rPr>
              <w:t>Authority Required - Telephone</w:t>
            </w:r>
          </w:p>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Authority Required – Emergency</w:t>
            </w:r>
          </w:p>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5"/>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Authority Required - Electronic</w:t>
            </w:r>
          </w:p>
          <w:p w:rsidR="00AE041C" w:rsidRPr="00AE041C" w:rsidRDefault="00C4195F"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5"/>
                  <w:enabled/>
                  <w:calcOnExit w:val="0"/>
                  <w:checkBox>
                    <w:sizeAuto/>
                    <w:default w:val="0"/>
                  </w:checkBox>
                </w:ffData>
              </w:fldChar>
            </w:r>
            <w:r w:rsidR="00AE041C"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AE041C" w:rsidRPr="00AE041C">
              <w:rPr>
                <w:rFonts w:ascii="Arial Narrow" w:hAnsi="Arial Narrow" w:cs="Times New Roman"/>
                <w:snapToGrid/>
                <w:sz w:val="20"/>
                <w:lang w:eastAsia="en-AU"/>
              </w:rPr>
              <w:t>Streamlined</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5770B6">
            <w:pPr>
              <w:widowControl/>
              <w:jc w:val="left"/>
              <w:rPr>
                <w:rFonts w:ascii="Arial Narrow" w:hAnsi="Arial Narrow" w:cs="Times New Roman"/>
                <w:snapToGrid/>
                <w:sz w:val="20"/>
                <w:lang w:eastAsia="en-AU"/>
              </w:rPr>
            </w:pPr>
            <w:r w:rsidRPr="00AE041C">
              <w:rPr>
                <w:rFonts w:ascii="Arial Narrow" w:hAnsi="Arial Narrow" w:cs="Times New Roman"/>
                <w:b/>
                <w:snapToGrid/>
                <w:sz w:val="20"/>
                <w:lang w:eastAsia="en-AU"/>
              </w:rPr>
              <w:t>Treatment criteria:</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Must be treated by an ophthalmologist</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Clinical criteria:</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(to be finalised at a later stage)</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The condition must be due to diabetic macular oedema</w:t>
            </w:r>
          </w:p>
          <w:p w:rsidR="00AE041C" w:rsidRPr="00AE041C" w:rsidRDefault="00AE041C" w:rsidP="00CD4D5F">
            <w:pPr>
              <w:widowControl/>
              <w:jc w:val="left"/>
              <w:rPr>
                <w:rFonts w:ascii="Arial Narrow" w:hAnsi="Arial Narrow" w:cs="Times New Roman"/>
                <w:snapToGrid/>
                <w:sz w:val="20"/>
                <w:lang w:eastAsia="en-AU"/>
              </w:rPr>
            </w:pPr>
          </w:p>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AND</w:t>
            </w:r>
          </w:p>
          <w:p w:rsidR="00AE041C" w:rsidRPr="00AE041C" w:rsidRDefault="00AE041C" w:rsidP="00CD4D5F">
            <w:pPr>
              <w:widowControl/>
              <w:jc w:val="left"/>
              <w:rPr>
                <w:rFonts w:ascii="Arial Narrow" w:hAnsi="Arial Narrow" w:cs="Times New Roman"/>
                <w:snapToGrid/>
                <w:sz w:val="20"/>
                <w:lang w:eastAsia="en-AU"/>
              </w:rPr>
            </w:pPr>
          </w:p>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 xml:space="preserve">The treatment must be as monotherapy; </w:t>
            </w:r>
            <w:r w:rsidRPr="00AE041C">
              <w:rPr>
                <w:rFonts w:ascii="Arial Narrow" w:hAnsi="Arial Narrow" w:cs="Times New Roman"/>
                <w:i/>
                <w:snapToGrid/>
                <w:sz w:val="20"/>
                <w:lang w:eastAsia="en-AU"/>
              </w:rPr>
              <w:t>OR</w:t>
            </w: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The treatment must be in combination with laser photocoagulation</w:t>
            </w:r>
          </w:p>
          <w:p w:rsidR="00AE041C" w:rsidRPr="00AE041C" w:rsidRDefault="00AE041C" w:rsidP="00CD4D5F">
            <w:pPr>
              <w:widowControl/>
              <w:jc w:val="left"/>
              <w:rPr>
                <w:rFonts w:ascii="Arial Narrow" w:hAnsi="Arial Narrow" w:cs="Times New Roman"/>
                <w:snapToGrid/>
                <w:sz w:val="20"/>
                <w:lang w:eastAsia="en-AU"/>
              </w:rPr>
            </w:pPr>
          </w:p>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AND</w:t>
            </w:r>
          </w:p>
          <w:p w:rsidR="00AE041C" w:rsidRPr="00AE041C" w:rsidRDefault="00AE041C" w:rsidP="00CD4D5F">
            <w:pPr>
              <w:widowControl/>
              <w:jc w:val="left"/>
              <w:rPr>
                <w:rFonts w:ascii="Arial Narrow" w:hAnsi="Arial Narrow" w:cs="Times New Roman"/>
                <w:snapToGrid/>
                <w:sz w:val="20"/>
                <w:lang w:eastAsia="en-AU"/>
              </w:rPr>
            </w:pPr>
          </w:p>
          <w:p w:rsidR="00AE041C" w:rsidRPr="000B5B2B"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Patient must have previously been granted an authority prescription for the same eye</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Prescriber instructions</w:t>
            </w:r>
          </w:p>
          <w:p w:rsidR="00AE041C" w:rsidRPr="00AE041C" w:rsidRDefault="00AE041C" w:rsidP="00CD4D5F">
            <w:pPr>
              <w:widowControl/>
              <w:jc w:val="left"/>
              <w:rPr>
                <w:rFonts w:ascii="Arial Narrow" w:hAnsi="Arial Narrow" w:cs="Times New Roman"/>
                <w:b/>
                <w:snapToGrid/>
                <w:sz w:val="20"/>
                <w:lang w:eastAsia="en-AU"/>
              </w:rPr>
            </w:pPr>
          </w:p>
          <w:p w:rsidR="00AE041C" w:rsidRPr="00AE041C" w:rsidRDefault="00AE041C" w:rsidP="005770B6">
            <w:pPr>
              <w:widowControl/>
              <w:jc w:val="left"/>
              <w:rPr>
                <w:rFonts w:ascii="Arial Narrow" w:hAnsi="Arial Narrow" w:cs="Times New Roman"/>
                <w:b/>
                <w:snapToGrid/>
                <w:sz w:val="20"/>
                <w:lang w:eastAsia="en-AU"/>
              </w:rPr>
            </w:pPr>
            <w:r w:rsidRPr="00AE041C">
              <w:rPr>
                <w:rFonts w:ascii="Arial Narrow" w:hAnsi="Arial Narrow" w:cs="Times New Roman"/>
                <w:i/>
                <w:snapToGrid/>
                <w:sz w:val="20"/>
                <w:lang w:eastAsia="en-AU"/>
              </w:rPr>
              <w:t>(to be finalised at a later stage)</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Treatment should be administered every eight weeks and continued until maximum visual acuity is achieved, confirmed by stable visual acuity. Treatment must be ceased when stable visual acuity is achieved.</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[Stable visual acuity definition]</w:t>
            </w:r>
          </w:p>
          <w:p w:rsidR="00AE041C" w:rsidRPr="00AE041C" w:rsidRDefault="00AE041C" w:rsidP="00CD4D5F">
            <w:pPr>
              <w:widowControl/>
              <w:jc w:val="left"/>
              <w:rPr>
                <w:rFonts w:ascii="Arial Narrow" w:hAnsi="Arial Narrow" w:cs="Times New Roman"/>
                <w:snapToGrid/>
                <w:sz w:val="20"/>
                <w:lang w:eastAsia="en-AU"/>
              </w:rPr>
            </w:pPr>
          </w:p>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 xml:space="preserve">Patient should be monitored </w:t>
            </w:r>
            <w:r w:rsidRPr="00AE041C">
              <w:rPr>
                <w:rFonts w:ascii="Arial Narrow" w:hAnsi="Arial Narrow" w:cs="Times New Roman"/>
                <w:i/>
                <w:snapToGrid/>
                <w:sz w:val="20"/>
                <w:lang w:eastAsia="en-AU"/>
              </w:rPr>
              <w:t xml:space="preserve">every eight weeks </w:t>
            </w:r>
            <w:r w:rsidRPr="00AE041C">
              <w:rPr>
                <w:rFonts w:ascii="Arial Narrow" w:hAnsi="Arial Narrow" w:cs="Times New Roman"/>
                <w:snapToGrid/>
                <w:sz w:val="20"/>
                <w:lang w:eastAsia="en-AU"/>
              </w:rPr>
              <w:t>for visual acuity following achievement of stable visual acuity.</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 xml:space="preserve">Treatment is resumed with injections every eight weeks when </w:t>
            </w:r>
            <w:r w:rsidRPr="00AE041C">
              <w:rPr>
                <w:rFonts w:ascii="Arial Narrow" w:hAnsi="Arial Narrow" w:cs="Times New Roman"/>
                <w:i/>
                <w:snapToGrid/>
                <w:sz w:val="20"/>
                <w:lang w:eastAsia="en-AU"/>
              </w:rPr>
              <w:t xml:space="preserve">monitoring indicates vision deterioration </w:t>
            </w:r>
            <w:r w:rsidRPr="00AE041C">
              <w:rPr>
                <w:rFonts w:ascii="Arial Narrow" w:hAnsi="Arial Narrow" w:cs="Times New Roman"/>
                <w:snapToGrid/>
                <w:sz w:val="20"/>
                <w:lang w:eastAsia="en-AU"/>
              </w:rPr>
              <w:t xml:space="preserve">due to DME and continued until stable visual acuity is reached again for </w:t>
            </w:r>
            <w:r w:rsidRPr="00AE041C">
              <w:rPr>
                <w:rFonts w:ascii="Arial Narrow" w:hAnsi="Arial Narrow" w:cs="Times New Roman"/>
                <w:snapToGrid/>
                <w:sz w:val="20"/>
                <w:u w:val="single"/>
                <w:lang w:eastAsia="en-AU"/>
              </w:rPr>
              <w:t>three</w:t>
            </w:r>
            <w:r w:rsidRPr="00AE041C">
              <w:rPr>
                <w:rFonts w:ascii="Arial Narrow" w:hAnsi="Arial Narrow" w:cs="Times New Roman"/>
                <w:snapToGrid/>
                <w:sz w:val="20"/>
                <w:lang w:eastAsia="en-AU"/>
              </w:rPr>
              <w:t xml:space="preserve"> consecutive assessments.</w:t>
            </w:r>
          </w:p>
          <w:p w:rsidR="00AE041C" w:rsidRPr="00AE041C" w:rsidRDefault="00AE041C" w:rsidP="00CD4D5F">
            <w:pPr>
              <w:widowControl/>
              <w:jc w:val="left"/>
              <w:rPr>
                <w:rFonts w:ascii="Arial Narrow" w:hAnsi="Arial Narrow" w:cs="Times New Roman"/>
                <w:snapToGrid/>
                <w:sz w:val="20"/>
                <w:lang w:eastAsia="en-AU"/>
              </w:rPr>
            </w:pPr>
          </w:p>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The interval between two doses should not be shorter than eight weeks.</w:t>
            </w:r>
          </w:p>
        </w:tc>
      </w:tr>
      <w:tr w:rsidR="00AE041C" w:rsidRPr="00AE041C" w:rsidTr="00586B2E">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Administrative Advice</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5770B6">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(to be finalised at a later stage)</w:t>
            </w:r>
          </w:p>
        </w:tc>
        <w:tc>
          <w:tcPr>
            <w:tcW w:w="5953" w:type="dxa"/>
            <w:tcBorders>
              <w:top w:val="single" w:sz="4" w:space="0" w:color="auto"/>
              <w:left w:val="single" w:sz="4" w:space="0" w:color="auto"/>
              <w:bottom w:val="single" w:sz="4" w:space="0" w:color="auto"/>
              <w:right w:val="single" w:sz="4" w:space="0" w:color="auto"/>
            </w:tcBorders>
          </w:tcPr>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Authority approvals will be administered by the Complex Drugs Unit of the Department of Human Services</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Authority applications for continuing treatment in the same eye may be made by telephone on 1899 700 270 (hours of operation 8 a.m. to 5 p.m. EST Monday to Friday).</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u w:val="single"/>
                <w:lang w:eastAsia="en-AU"/>
              </w:rPr>
            </w:pPr>
            <w:r w:rsidRPr="00AE041C">
              <w:rPr>
                <w:rFonts w:ascii="Arial Narrow" w:hAnsi="Arial Narrow" w:cs="Times New Roman"/>
                <w:i/>
                <w:snapToGrid/>
                <w:sz w:val="20"/>
                <w:u w:val="single"/>
                <w:lang w:eastAsia="en-AU"/>
              </w:rPr>
              <w:t>Note</w:t>
            </w: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No increase in the maximum quantity or number of units may be authorised</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u w:val="single"/>
                <w:lang w:eastAsia="en-AU"/>
              </w:rPr>
            </w:pPr>
            <w:r w:rsidRPr="00AE041C">
              <w:rPr>
                <w:rFonts w:ascii="Arial Narrow" w:hAnsi="Arial Narrow" w:cs="Times New Roman"/>
                <w:i/>
                <w:snapToGrid/>
                <w:sz w:val="20"/>
                <w:u w:val="single"/>
                <w:lang w:eastAsia="en-AU"/>
              </w:rPr>
              <w:t>Note</w:t>
            </w:r>
          </w:p>
          <w:p w:rsidR="00AE041C" w:rsidRPr="00AE041C" w:rsidRDefault="00AE041C" w:rsidP="00CD4D5F">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No increase in the maximum number of repeats may be authorised</w:t>
            </w:r>
          </w:p>
          <w:p w:rsidR="00AE041C" w:rsidRPr="00AE041C" w:rsidRDefault="00AE041C" w:rsidP="00CD4D5F">
            <w:pPr>
              <w:widowControl/>
              <w:jc w:val="left"/>
              <w:rPr>
                <w:rFonts w:ascii="Arial Narrow" w:hAnsi="Arial Narrow" w:cs="Times New Roman"/>
                <w:i/>
                <w:snapToGrid/>
                <w:sz w:val="20"/>
                <w:lang w:eastAsia="en-AU"/>
              </w:rPr>
            </w:pPr>
          </w:p>
          <w:p w:rsidR="00AE041C" w:rsidRPr="00AE041C" w:rsidRDefault="00AE041C" w:rsidP="00CD4D5F">
            <w:pPr>
              <w:widowControl/>
              <w:jc w:val="left"/>
              <w:rPr>
                <w:rFonts w:ascii="Arial Narrow" w:hAnsi="Arial Narrow" w:cs="Times New Roman"/>
                <w:i/>
                <w:snapToGrid/>
                <w:sz w:val="20"/>
                <w:u w:val="single"/>
                <w:lang w:eastAsia="en-AU"/>
              </w:rPr>
            </w:pPr>
            <w:r w:rsidRPr="00AE041C">
              <w:rPr>
                <w:rFonts w:ascii="Arial Narrow" w:hAnsi="Arial Narrow" w:cs="Times New Roman"/>
                <w:i/>
                <w:snapToGrid/>
                <w:sz w:val="20"/>
                <w:u w:val="single"/>
                <w:lang w:eastAsia="en-AU"/>
              </w:rPr>
              <w:t>Note</w:t>
            </w:r>
          </w:p>
          <w:p w:rsidR="00AE041C" w:rsidRPr="00AE041C" w:rsidRDefault="00AE041C" w:rsidP="00CD4D5F">
            <w:pPr>
              <w:widowControl/>
              <w:jc w:val="left"/>
              <w:rPr>
                <w:rFonts w:ascii="Arial Narrow" w:hAnsi="Arial Narrow" w:cs="Times New Roman"/>
                <w:snapToGrid/>
                <w:sz w:val="20"/>
                <w:lang w:eastAsia="en-AU"/>
              </w:rPr>
            </w:pPr>
            <w:r w:rsidRPr="00AE041C">
              <w:rPr>
                <w:rFonts w:ascii="Arial Narrow" w:hAnsi="Arial Narrow" w:cs="Times New Roman"/>
                <w:i/>
                <w:snapToGrid/>
                <w:sz w:val="20"/>
                <w:lang w:eastAsia="en-AU"/>
              </w:rPr>
              <w:t>Special Pricing Arrangements apply.</w:t>
            </w:r>
          </w:p>
        </w:tc>
      </w:tr>
    </w:tbl>
    <w:p w:rsidR="004E09A4" w:rsidRPr="00882085" w:rsidRDefault="004E09A4" w:rsidP="004B1CB4"/>
    <w:p w:rsidR="00617E12" w:rsidRPr="004876D1" w:rsidRDefault="002A40FA" w:rsidP="00B80C0B">
      <w:pPr>
        <w:pStyle w:val="ListParagraph"/>
        <w:widowControl/>
        <w:numPr>
          <w:ilvl w:val="1"/>
          <w:numId w:val="3"/>
        </w:numPr>
        <w:rPr>
          <w:szCs w:val="22"/>
        </w:rPr>
      </w:pPr>
      <w:r w:rsidRPr="002A40FA">
        <w:t xml:space="preserve">The </w:t>
      </w:r>
      <w:r>
        <w:t>submission s</w:t>
      </w:r>
      <w:r w:rsidR="001F1FAB">
        <w:t>ought</w:t>
      </w:r>
      <w:r>
        <w:t xml:space="preserve"> listing on the basis of (1) superior efficacy and equivalent comparative saf</w:t>
      </w:r>
      <w:r w:rsidR="002032A6">
        <w:t xml:space="preserve">ety with laser photocoagulation; </w:t>
      </w:r>
      <w:r>
        <w:t>(2) superiority with respect to mean difference in change in best corrected visual acuity (BCVA) and equivalent safety with ranibizumab</w:t>
      </w:r>
      <w:r w:rsidR="004876D1">
        <w:t xml:space="preserve">, </w:t>
      </w:r>
      <w:r w:rsidR="00256BAD">
        <w:t>with</w:t>
      </w:r>
      <w:r w:rsidR="004876D1">
        <w:t xml:space="preserve"> </w:t>
      </w:r>
      <w:r w:rsidR="00554380">
        <w:t>cost utility analyses (</w:t>
      </w:r>
      <w:r w:rsidR="004876D1">
        <w:t>CUAs</w:t>
      </w:r>
      <w:r w:rsidR="00554380">
        <w:t>)</w:t>
      </w:r>
      <w:r w:rsidR="004876D1">
        <w:t xml:space="preserve"> </w:t>
      </w:r>
      <w:r w:rsidR="00256BAD">
        <w:t xml:space="preserve">presented </w:t>
      </w:r>
      <w:r w:rsidR="004876D1">
        <w:t>for both comparisons</w:t>
      </w:r>
      <w:r w:rsidR="002032A6">
        <w:t xml:space="preserve">; and (3) </w:t>
      </w:r>
      <w:r w:rsidR="002032A6" w:rsidRPr="004876D1">
        <w:t>the assumption that aflibercept would be at least as efficacious and safe as bevacizumab</w:t>
      </w:r>
      <w:r w:rsidR="004876D1" w:rsidRPr="004876D1">
        <w:t xml:space="preserve">, which informs a </w:t>
      </w:r>
      <w:r w:rsidR="004876D1">
        <w:t>cost minimisation analysis (CMA)</w:t>
      </w:r>
      <w:r w:rsidR="00AF50B9">
        <w:t>.</w:t>
      </w:r>
    </w:p>
    <w:p w:rsidR="00617E12" w:rsidRDefault="00617E12" w:rsidP="00617E12"/>
    <w:p w:rsidR="002C2775" w:rsidRPr="00B50DB8" w:rsidRDefault="004876D1" w:rsidP="004876D1">
      <w:pPr>
        <w:pStyle w:val="ListParagraph"/>
        <w:widowControl/>
        <w:numPr>
          <w:ilvl w:val="1"/>
          <w:numId w:val="3"/>
        </w:numPr>
        <w:rPr>
          <w:szCs w:val="22"/>
        </w:rPr>
      </w:pPr>
      <w:r w:rsidRPr="004876D1">
        <w:rPr>
          <w:szCs w:val="22"/>
        </w:rPr>
        <w:t xml:space="preserve">The effective price </w:t>
      </w:r>
      <w:r w:rsidR="00BF0C39">
        <w:rPr>
          <w:noProof/>
          <w:color w:val="000000"/>
          <w:szCs w:val="22"/>
          <w:highlight w:val="black"/>
        </w:rPr>
        <w:t>''''''''''''''''''''''''</w:t>
      </w:r>
      <w:r w:rsidRPr="004876D1">
        <w:rPr>
          <w:szCs w:val="22"/>
        </w:rPr>
        <w:t xml:space="preserve"> is </w:t>
      </w:r>
      <w:r w:rsidR="00434AE0">
        <w:rPr>
          <w:szCs w:val="22"/>
        </w:rPr>
        <w:t>calculated</w:t>
      </w:r>
      <w:r w:rsidRPr="004876D1">
        <w:rPr>
          <w:szCs w:val="22"/>
        </w:rPr>
        <w:t xml:space="preserve"> by weighting aflibercept vial prices derived from the </w:t>
      </w:r>
      <w:r w:rsidR="000C390C">
        <w:rPr>
          <w:szCs w:val="22"/>
        </w:rPr>
        <w:t>CMA with bevacizumab</w:t>
      </w:r>
      <w:r w:rsidRPr="004876D1">
        <w:rPr>
          <w:szCs w:val="22"/>
        </w:rPr>
        <w:t xml:space="preserve"> </w:t>
      </w:r>
      <w:r w:rsidR="00BF0C39">
        <w:rPr>
          <w:noProof/>
          <w:color w:val="000000"/>
          <w:szCs w:val="22"/>
          <w:highlight w:val="black"/>
        </w:rPr>
        <w:t>''''''''''''''''''''''''</w:t>
      </w:r>
      <w:r w:rsidRPr="004876D1">
        <w:rPr>
          <w:szCs w:val="22"/>
        </w:rPr>
        <w:t xml:space="preserve"> and two </w:t>
      </w:r>
      <w:r w:rsidR="00614077">
        <w:rPr>
          <w:szCs w:val="22"/>
        </w:rPr>
        <w:t>CUAs comparing aflibercept</w:t>
      </w:r>
      <w:r w:rsidRPr="004876D1">
        <w:rPr>
          <w:szCs w:val="22"/>
        </w:rPr>
        <w:t xml:space="preserve"> against ranibizumab and laser photocoagulation </w:t>
      </w:r>
      <w:r w:rsidR="00BF0C39">
        <w:rPr>
          <w:noProof/>
          <w:color w:val="000000"/>
          <w:szCs w:val="22"/>
          <w:highlight w:val="black"/>
        </w:rPr>
        <w:t>'''''''''''''''''''''</w:t>
      </w:r>
      <w:r w:rsidRPr="004876D1">
        <w:rPr>
          <w:szCs w:val="22"/>
        </w:rPr>
        <w:t>.</w:t>
      </w:r>
    </w:p>
    <w:p w:rsidR="004E43B2" w:rsidRDefault="004E43B2" w:rsidP="004B1CB4"/>
    <w:p w:rsidR="00A53ADC" w:rsidRPr="00A53ADC" w:rsidRDefault="00A53ADC" w:rsidP="00A53ADC">
      <w:pPr>
        <w:widowControl/>
        <w:ind w:left="709"/>
        <w:contextualSpacing/>
        <w:rPr>
          <w:rFonts w:cs="Times New Roman"/>
          <w:i/>
          <w:snapToGrid/>
          <w:szCs w:val="22"/>
          <w:lang w:eastAsia="en-AU"/>
        </w:rPr>
      </w:pPr>
      <w:r w:rsidRPr="00A53ADC">
        <w:rPr>
          <w:rFonts w:cs="Times New Roman"/>
          <w:i/>
          <w:snapToGrid/>
          <w:szCs w:val="22"/>
          <w:lang w:eastAsia="en-AU"/>
        </w:rPr>
        <w:t>For more detail on PBAC’s view, see section 7 “PBAC outcome”</w:t>
      </w:r>
    </w:p>
    <w:p w:rsidR="000B5B2B" w:rsidRDefault="000B5B2B" w:rsidP="004B1CB4"/>
    <w:p w:rsidR="00A53ADC" w:rsidRPr="00882085" w:rsidRDefault="00A53ADC" w:rsidP="004B1CB4"/>
    <w:p w:rsidR="00B50DB8" w:rsidRPr="00407F2D" w:rsidRDefault="00B50DB8" w:rsidP="00BD6CF3">
      <w:pPr>
        <w:pStyle w:val="PBACHeading1"/>
      </w:pPr>
      <w:bookmarkStart w:id="4" w:name="_Toc398652596"/>
      <w:r w:rsidRPr="00407F2D">
        <w:t>Background</w:t>
      </w:r>
      <w:bookmarkEnd w:id="4"/>
    </w:p>
    <w:p w:rsidR="00B60939" w:rsidRPr="00882085" w:rsidRDefault="00B60939" w:rsidP="00B60939">
      <w:pPr>
        <w:rPr>
          <w:szCs w:val="22"/>
        </w:rPr>
      </w:pPr>
    </w:p>
    <w:p w:rsidR="00B60939" w:rsidRPr="004A28A8" w:rsidRDefault="00AC36C3" w:rsidP="00B80C0B">
      <w:pPr>
        <w:pStyle w:val="ListParagraph"/>
        <w:widowControl/>
        <w:numPr>
          <w:ilvl w:val="1"/>
          <w:numId w:val="3"/>
        </w:numPr>
      </w:pPr>
      <w:r w:rsidRPr="00DD7C05">
        <w:rPr>
          <w:szCs w:val="22"/>
        </w:rPr>
        <w:t xml:space="preserve">TGA status at time of </w:t>
      </w:r>
      <w:r w:rsidR="001F1FAB" w:rsidRPr="00DD7C05">
        <w:rPr>
          <w:szCs w:val="22"/>
        </w:rPr>
        <w:t>PBAC consideration</w:t>
      </w:r>
      <w:r w:rsidRPr="00DD7C05">
        <w:rPr>
          <w:szCs w:val="22"/>
        </w:rPr>
        <w:t>:</w:t>
      </w:r>
      <w:r w:rsidRPr="004A28A8">
        <w:rPr>
          <w:szCs w:val="22"/>
        </w:rPr>
        <w:t xml:space="preserve"> </w:t>
      </w:r>
      <w:r w:rsidR="003E5518" w:rsidRPr="004A28A8">
        <w:rPr>
          <w:szCs w:val="22"/>
        </w:rPr>
        <w:t xml:space="preserve">Not registered. </w:t>
      </w:r>
      <w:r w:rsidR="004C4847" w:rsidRPr="004A28A8">
        <w:rPr>
          <w:szCs w:val="22"/>
        </w:rPr>
        <w:t xml:space="preserve">This is the first consideration </w:t>
      </w:r>
      <w:r w:rsidR="007308DD" w:rsidRPr="004A28A8">
        <w:rPr>
          <w:szCs w:val="22"/>
        </w:rPr>
        <w:t xml:space="preserve">of </w:t>
      </w:r>
      <w:r w:rsidR="004C4847" w:rsidRPr="004A28A8">
        <w:rPr>
          <w:szCs w:val="22"/>
        </w:rPr>
        <w:t>aflibercept for the treatment of diabetic macular oedema</w:t>
      </w:r>
      <w:r w:rsidR="00434AE0" w:rsidRPr="004A28A8">
        <w:rPr>
          <w:szCs w:val="22"/>
        </w:rPr>
        <w:t xml:space="preserve"> by the PBAC</w:t>
      </w:r>
      <w:r w:rsidR="004C4847" w:rsidRPr="004A28A8">
        <w:rPr>
          <w:szCs w:val="22"/>
        </w:rPr>
        <w:t xml:space="preserve">.  </w:t>
      </w:r>
      <w:r w:rsidR="00B60939" w:rsidRPr="004A28A8">
        <w:t xml:space="preserve">The submission was made under TGA/PBAC Parallel Process.  At the time of PBAC consideration, </w:t>
      </w:r>
      <w:r w:rsidR="001F1FAB" w:rsidRPr="004A28A8">
        <w:t>a positive TGA Delegate</w:t>
      </w:r>
      <w:r w:rsidR="005770B6">
        <w:t>’s</w:t>
      </w:r>
      <w:r w:rsidR="00A9419F" w:rsidRPr="004A28A8">
        <w:t xml:space="preserve"> summary </w:t>
      </w:r>
      <w:r w:rsidR="004C4847" w:rsidRPr="004A28A8">
        <w:t>was</w:t>
      </w:r>
      <w:r w:rsidR="00B60939" w:rsidRPr="004A28A8">
        <w:t xml:space="preserve"> available.</w:t>
      </w:r>
    </w:p>
    <w:p w:rsidR="00B60939" w:rsidRPr="00AF50B9" w:rsidRDefault="00B60939" w:rsidP="00B60939">
      <w:pPr>
        <w:rPr>
          <w:szCs w:val="22"/>
        </w:rPr>
      </w:pPr>
    </w:p>
    <w:p w:rsidR="00000B61" w:rsidRDefault="004C4847" w:rsidP="00B80C0B">
      <w:pPr>
        <w:pStyle w:val="ListParagraph"/>
        <w:widowControl/>
        <w:numPr>
          <w:ilvl w:val="1"/>
          <w:numId w:val="3"/>
        </w:numPr>
      </w:pPr>
      <w:r w:rsidRPr="004C4847">
        <w:rPr>
          <w:szCs w:val="22"/>
        </w:rPr>
        <w:t>Aflibercept</w:t>
      </w:r>
      <w:r w:rsidRPr="000A65BB">
        <w:t xml:space="preserve"> is currently </w:t>
      </w:r>
      <w:r w:rsidR="001F3224">
        <w:t>PBS listed</w:t>
      </w:r>
      <w:r w:rsidRPr="000A65BB">
        <w:t xml:space="preserve"> for the treatment of </w:t>
      </w:r>
      <w:proofErr w:type="spellStart"/>
      <w:r w:rsidRPr="000A65BB">
        <w:t>subfoveal</w:t>
      </w:r>
      <w:proofErr w:type="spellEnd"/>
      <w:r w:rsidRPr="000A65BB">
        <w:t xml:space="preserve"> </w:t>
      </w:r>
      <w:proofErr w:type="spellStart"/>
      <w:r w:rsidRPr="000A65BB">
        <w:t>choroidal</w:t>
      </w:r>
      <w:proofErr w:type="spellEnd"/>
      <w:r w:rsidRPr="000A65BB">
        <w:t xml:space="preserve"> neovascularisation due to age-related macular degeneration</w:t>
      </w:r>
      <w:r w:rsidR="001F3224">
        <w:t xml:space="preserve"> (AMD)</w:t>
      </w:r>
      <w:r w:rsidRPr="000A65BB">
        <w:t>; recommended on a cost-minimisation basis against ranibizumab (aflibercept 2mg ≡ ranibizumab 0.5mg)</w:t>
      </w:r>
      <w:r w:rsidR="00434AE0" w:rsidRPr="00434AE0">
        <w:t xml:space="preserve"> </w:t>
      </w:r>
      <w:r w:rsidR="00434AE0" w:rsidRPr="000A65BB">
        <w:t>(March 2012)</w:t>
      </w:r>
      <w:r w:rsidR="00434AE0">
        <w:t>.</w:t>
      </w:r>
    </w:p>
    <w:p w:rsidR="00000B61" w:rsidRDefault="00000B61" w:rsidP="00000B61"/>
    <w:p w:rsidR="00B60939" w:rsidRDefault="00397A9B" w:rsidP="00B80C0B">
      <w:pPr>
        <w:pStyle w:val="ListParagraph"/>
        <w:widowControl/>
        <w:numPr>
          <w:ilvl w:val="1"/>
          <w:numId w:val="3"/>
        </w:numPr>
      </w:pPr>
      <w:r>
        <w:t>At the July 2013 and March 2014 meetings</w:t>
      </w:r>
      <w:r w:rsidR="001F3224">
        <w:t xml:space="preserve">, the PBAC considered aflibercept for the treatment of central retinal vein occlusion (CRVO).  </w:t>
      </w:r>
      <w:r>
        <w:t>In both meetings, the PBAC rejected the submissions on the basis of unacceptably high and likely underestimated cost-effectiveness of aflibercept compared with placebo/best supportive care, and on the basis of inadequate compara</w:t>
      </w:r>
      <w:r w:rsidR="00A87861">
        <w:t>tive data against bevacizumab.</w:t>
      </w:r>
    </w:p>
    <w:p w:rsidR="00A53ADC" w:rsidRDefault="00A53ADC" w:rsidP="004B1CB4"/>
    <w:p w:rsidR="000B5B2B" w:rsidRPr="00882085" w:rsidRDefault="000B5B2B" w:rsidP="004B1CB4"/>
    <w:p w:rsidR="00B50DB8" w:rsidRPr="00407F2D" w:rsidRDefault="00B50DB8" w:rsidP="00BD6CF3">
      <w:pPr>
        <w:pStyle w:val="PBACHeading1"/>
      </w:pPr>
      <w:bookmarkStart w:id="5" w:name="_Toc398652597"/>
      <w:r w:rsidRPr="00407F2D">
        <w:t>Clinical place for the proposed therapy</w:t>
      </w:r>
      <w:bookmarkEnd w:id="5"/>
    </w:p>
    <w:p w:rsidR="00B60939" w:rsidRPr="00882085" w:rsidRDefault="00B60939" w:rsidP="00B60939">
      <w:pPr>
        <w:rPr>
          <w:szCs w:val="22"/>
        </w:rPr>
      </w:pPr>
    </w:p>
    <w:p w:rsidR="00B60939" w:rsidRPr="004876D1" w:rsidRDefault="004876D1" w:rsidP="004876D1">
      <w:pPr>
        <w:pStyle w:val="ListParagraph"/>
        <w:widowControl/>
        <w:numPr>
          <w:ilvl w:val="1"/>
          <w:numId w:val="3"/>
        </w:numPr>
        <w:rPr>
          <w:szCs w:val="22"/>
        </w:rPr>
      </w:pPr>
      <w:r w:rsidRPr="004876D1">
        <w:t>DME is a complication of diabetic retinopathy.  It is diagnosed by ophthalmic examination, fluorescein angiography and fundus photography.  When DME affects the centre of the macula, it can lead to loss of visual acuity, and if left untreated, to blindness.  The natural progression of DME leads to a significant loss (≥10 letters) within t</w:t>
      </w:r>
      <w:r w:rsidR="00A87861">
        <w:t>wo years in 50% of individuals.</w:t>
      </w:r>
    </w:p>
    <w:p w:rsidR="00894489" w:rsidRPr="002C2775" w:rsidRDefault="00894489" w:rsidP="00894489">
      <w:pPr>
        <w:widowControl/>
        <w:rPr>
          <w:szCs w:val="22"/>
        </w:rPr>
      </w:pPr>
    </w:p>
    <w:p w:rsidR="00B60939" w:rsidRPr="000F6D7D" w:rsidRDefault="00685230" w:rsidP="00B80C0B">
      <w:pPr>
        <w:pStyle w:val="ListParagraph"/>
        <w:widowControl/>
        <w:numPr>
          <w:ilvl w:val="1"/>
          <w:numId w:val="3"/>
        </w:numPr>
        <w:rPr>
          <w:szCs w:val="22"/>
        </w:rPr>
      </w:pPr>
      <w:r>
        <w:rPr>
          <w:szCs w:val="22"/>
        </w:rPr>
        <w:t xml:space="preserve">It is proposed that aflibercept will be an alternative to ranibizumab </w:t>
      </w:r>
      <w:r w:rsidR="006732B2">
        <w:rPr>
          <w:szCs w:val="22"/>
        </w:rPr>
        <w:t>as well as laser photocoagulation</w:t>
      </w:r>
      <w:r>
        <w:rPr>
          <w:szCs w:val="22"/>
        </w:rPr>
        <w:t xml:space="preserve"> for </w:t>
      </w:r>
      <w:r w:rsidR="006732B2">
        <w:rPr>
          <w:szCs w:val="22"/>
        </w:rPr>
        <w:t xml:space="preserve">the treatment of </w:t>
      </w:r>
      <w:r>
        <w:rPr>
          <w:szCs w:val="22"/>
        </w:rPr>
        <w:t>vis</w:t>
      </w:r>
      <w:r w:rsidR="006732B2">
        <w:rPr>
          <w:szCs w:val="22"/>
        </w:rPr>
        <w:t>ual</w:t>
      </w:r>
      <w:r>
        <w:rPr>
          <w:szCs w:val="22"/>
        </w:rPr>
        <w:t xml:space="preserve"> impairment due to DME.  </w:t>
      </w:r>
      <w:r w:rsidRPr="000F6D7D">
        <w:rPr>
          <w:szCs w:val="22"/>
        </w:rPr>
        <w:t>Off label bevacizumab, administered via intravitreal injection would</w:t>
      </w:r>
      <w:r w:rsidR="00A87861">
        <w:rPr>
          <w:szCs w:val="22"/>
        </w:rPr>
        <w:t xml:space="preserve"> also be replaced in practice.</w:t>
      </w:r>
    </w:p>
    <w:p w:rsidR="00E55BB5" w:rsidRDefault="00E55BB5" w:rsidP="00B60939">
      <w:pPr>
        <w:pStyle w:val="Header"/>
        <w:rPr>
          <w:szCs w:val="22"/>
        </w:rPr>
      </w:pPr>
    </w:p>
    <w:p w:rsidR="00A53ADC" w:rsidRPr="00A53ADC" w:rsidRDefault="00A53ADC" w:rsidP="00A53ADC">
      <w:pPr>
        <w:widowControl/>
        <w:ind w:left="709"/>
        <w:contextualSpacing/>
        <w:rPr>
          <w:rFonts w:cs="Times New Roman"/>
          <w:i/>
          <w:snapToGrid/>
          <w:szCs w:val="22"/>
          <w:lang w:eastAsia="en-AU"/>
        </w:rPr>
      </w:pPr>
      <w:r w:rsidRPr="00A53ADC">
        <w:rPr>
          <w:rFonts w:cs="Times New Roman"/>
          <w:i/>
          <w:snapToGrid/>
          <w:szCs w:val="22"/>
          <w:lang w:eastAsia="en-AU"/>
        </w:rPr>
        <w:t>For more detail on PBAC’s view, see section 7 “PBAC outcome”</w:t>
      </w:r>
    </w:p>
    <w:p w:rsidR="000B5B2B" w:rsidRDefault="000B5B2B" w:rsidP="00B60939">
      <w:pPr>
        <w:pStyle w:val="Header"/>
        <w:rPr>
          <w:szCs w:val="22"/>
        </w:rPr>
      </w:pPr>
    </w:p>
    <w:p w:rsidR="00A53ADC" w:rsidRPr="00882085" w:rsidRDefault="00A53ADC" w:rsidP="00B60939">
      <w:pPr>
        <w:pStyle w:val="Header"/>
        <w:rPr>
          <w:szCs w:val="22"/>
        </w:rPr>
      </w:pPr>
    </w:p>
    <w:p w:rsidR="00B50DB8" w:rsidRPr="00407F2D" w:rsidRDefault="00B50DB8" w:rsidP="00B80C0B">
      <w:pPr>
        <w:pStyle w:val="Header"/>
        <w:widowControl/>
        <w:numPr>
          <w:ilvl w:val="0"/>
          <w:numId w:val="3"/>
        </w:numPr>
        <w:tabs>
          <w:tab w:val="clear" w:pos="4513"/>
          <w:tab w:val="clear" w:pos="9026"/>
        </w:tabs>
        <w:rPr>
          <w:b/>
          <w:szCs w:val="22"/>
        </w:rPr>
      </w:pPr>
      <w:r w:rsidRPr="00407F2D">
        <w:rPr>
          <w:b/>
          <w:szCs w:val="22"/>
        </w:rPr>
        <w:t>Comparator</w:t>
      </w:r>
    </w:p>
    <w:p w:rsidR="00B60939" w:rsidRPr="00882085" w:rsidRDefault="00B60939" w:rsidP="004B1CB4"/>
    <w:p w:rsidR="00E83A15" w:rsidRPr="002D6700" w:rsidRDefault="00E83A15" w:rsidP="000F6D7D">
      <w:pPr>
        <w:pStyle w:val="ListParagraph"/>
        <w:widowControl/>
        <w:numPr>
          <w:ilvl w:val="1"/>
          <w:numId w:val="3"/>
        </w:numPr>
      </w:pPr>
      <w:r w:rsidRPr="002D6700">
        <w:t>The submission nominate</w:t>
      </w:r>
      <w:r w:rsidR="0045050B">
        <w:t>d</w:t>
      </w:r>
      <w:r w:rsidRPr="002D6700">
        <w:t xml:space="preserve"> laser photocoagulation as the primary comparator, with ranibizumab included as a secondary comparator.  </w:t>
      </w:r>
      <w:r w:rsidR="0013145C" w:rsidRPr="002D6700">
        <w:rPr>
          <w:szCs w:val="22"/>
        </w:rPr>
        <w:t>The PBAC has recommended that ranibizumab should be listed for the treatment of visual impairment due to diabetic macular oedema (DME) in July 2014.  Assuming the listing progresses</w:t>
      </w:r>
      <w:r w:rsidRPr="002D6700">
        <w:t xml:space="preserve">, the most relevant comparison is </w:t>
      </w:r>
      <w:r w:rsidR="00434AE0" w:rsidRPr="002D6700">
        <w:t xml:space="preserve">between </w:t>
      </w:r>
      <w:r w:rsidRPr="002D6700">
        <w:t xml:space="preserve">aflibercept and ranibizumab.  </w:t>
      </w:r>
      <w:r w:rsidR="000F6D7D" w:rsidRPr="002D6700">
        <w:t xml:space="preserve">The Pre-Sub-Committee Response (PSCR) agreed that ranibizumab would be the appropriate </w:t>
      </w:r>
      <w:r w:rsidR="000F6D7D" w:rsidRPr="002D6700">
        <w:lastRenderedPageBreak/>
        <w:t>main comparator if it becomes PBS listed however, maintained that laser photocoagulation is the current appropriate primary comparator.</w:t>
      </w:r>
      <w:r w:rsidR="0013145C" w:rsidRPr="002D6700">
        <w:rPr>
          <w:szCs w:val="22"/>
        </w:rPr>
        <w:t xml:space="preserve">  The ESC noted that laser would be a common reference for comparisons with ranibizumab and bevacizumab.</w:t>
      </w:r>
    </w:p>
    <w:p w:rsidR="00E83A15" w:rsidRPr="00E83A15" w:rsidRDefault="00E83A15" w:rsidP="00E83A15">
      <w:pPr>
        <w:widowControl/>
      </w:pPr>
    </w:p>
    <w:p w:rsidR="00B60939" w:rsidRPr="002D6700" w:rsidRDefault="00563F50" w:rsidP="009D30F1">
      <w:pPr>
        <w:pStyle w:val="ListParagraph"/>
        <w:widowControl/>
        <w:numPr>
          <w:ilvl w:val="1"/>
          <w:numId w:val="3"/>
        </w:numPr>
        <w:rPr>
          <w:szCs w:val="22"/>
        </w:rPr>
      </w:pPr>
      <w:r w:rsidRPr="002D6700">
        <w:t>In assessing ranibizumab for DME, t</w:t>
      </w:r>
      <w:r w:rsidR="009D30F1" w:rsidRPr="002D6700">
        <w:t>he PBAC considered that bevacizumab was also a relevant comparator because it is widely used for the treatment of DME (ranibizumab PSD, March 2013).  The sponsor d</w:t>
      </w:r>
      <w:r w:rsidR="005770B6">
        <w:t>id</w:t>
      </w:r>
      <w:r w:rsidR="009D30F1" w:rsidRPr="002D6700">
        <w:t xml:space="preserve"> not accept bevacizumab as a clinical comparator for aflibercept in DME, but a hypothetical economic comparison </w:t>
      </w:r>
      <w:r w:rsidR="005770B6">
        <w:t>wa</w:t>
      </w:r>
      <w:r w:rsidR="009D30F1" w:rsidRPr="002D6700">
        <w:t xml:space="preserve">s presented in the submission.  </w:t>
      </w:r>
      <w:r w:rsidR="000F6D7D" w:rsidRPr="002D6700">
        <w:t xml:space="preserve">The ESC noted that no </w:t>
      </w:r>
      <w:r w:rsidR="009D30F1" w:rsidRPr="002D6700">
        <w:t xml:space="preserve">formal clinical claim </w:t>
      </w:r>
      <w:r w:rsidR="005770B6">
        <w:t>wa</w:t>
      </w:r>
      <w:r w:rsidR="009D30F1" w:rsidRPr="002D6700">
        <w:t xml:space="preserve">s made to support </w:t>
      </w:r>
      <w:r w:rsidR="00F33269" w:rsidRPr="002D6700">
        <w:t>the</w:t>
      </w:r>
      <w:r w:rsidR="004C4E73" w:rsidRPr="002D6700">
        <w:t xml:space="preserve"> CMA.</w:t>
      </w:r>
    </w:p>
    <w:p w:rsidR="009D30F1" w:rsidRDefault="009D30F1" w:rsidP="009D30F1">
      <w:pPr>
        <w:widowControl/>
        <w:rPr>
          <w:szCs w:val="22"/>
        </w:rPr>
      </w:pPr>
    </w:p>
    <w:p w:rsidR="00EE186A" w:rsidRDefault="00EE186A" w:rsidP="009D30F1">
      <w:pPr>
        <w:widowControl/>
        <w:rPr>
          <w:szCs w:val="22"/>
        </w:rPr>
      </w:pPr>
    </w:p>
    <w:p w:rsidR="00B50DB8" w:rsidRPr="00407F2D" w:rsidRDefault="00BD6CF3" w:rsidP="00BD6CF3">
      <w:pPr>
        <w:pStyle w:val="PBACHeading1"/>
      </w:pPr>
      <w:bookmarkStart w:id="6" w:name="_Toc398652598"/>
      <w:r>
        <w:t>C</w:t>
      </w:r>
      <w:r w:rsidR="00B50DB8" w:rsidRPr="00407F2D">
        <w:t>onsideration of the evidence</w:t>
      </w:r>
      <w:bookmarkEnd w:id="6"/>
    </w:p>
    <w:p w:rsidR="00B60939" w:rsidRDefault="00B60939" w:rsidP="004B1CB4"/>
    <w:p w:rsidR="006E3BC5" w:rsidRPr="00DC7F09" w:rsidRDefault="006E3BC5" w:rsidP="004B1CB4">
      <w:pPr>
        <w:rPr>
          <w:b/>
        </w:rPr>
      </w:pPr>
      <w:r w:rsidRPr="00DC7F09">
        <w:rPr>
          <w:b/>
        </w:rPr>
        <w:t>Sponsor hearing</w:t>
      </w:r>
    </w:p>
    <w:p w:rsidR="006E3BC5" w:rsidRDefault="006E3BC5" w:rsidP="004B1CB4"/>
    <w:p w:rsidR="000E18F5" w:rsidRPr="00DE2206" w:rsidRDefault="006E3BC5" w:rsidP="00DE2206">
      <w:pPr>
        <w:pStyle w:val="ListParagraph"/>
        <w:numPr>
          <w:ilvl w:val="1"/>
          <w:numId w:val="3"/>
        </w:numPr>
        <w:rPr>
          <w:szCs w:val="22"/>
        </w:rPr>
      </w:pPr>
      <w:r w:rsidRPr="000E18F5">
        <w:rPr>
          <w:szCs w:val="22"/>
        </w:rPr>
        <w:t xml:space="preserve">The sponsor requested a hearing for this item. </w:t>
      </w:r>
      <w:r w:rsidRPr="00DE2206">
        <w:rPr>
          <w:szCs w:val="22"/>
        </w:rPr>
        <w:t xml:space="preserve">The clinician </w:t>
      </w:r>
      <w:r w:rsidR="002D6700" w:rsidRPr="00DE2206">
        <w:rPr>
          <w:szCs w:val="22"/>
        </w:rPr>
        <w:t xml:space="preserve">addressed the </w:t>
      </w:r>
      <w:r w:rsidR="00824C64" w:rsidRPr="00DE2206">
        <w:rPr>
          <w:szCs w:val="22"/>
        </w:rPr>
        <w:t xml:space="preserve">issues </w:t>
      </w:r>
      <w:r w:rsidR="00E11211">
        <w:rPr>
          <w:szCs w:val="22"/>
        </w:rPr>
        <w:t>raised by ESC regarding</w:t>
      </w:r>
      <w:r w:rsidR="00824C64" w:rsidRPr="00DE2206">
        <w:rPr>
          <w:szCs w:val="22"/>
        </w:rPr>
        <w:t xml:space="preserve"> </w:t>
      </w:r>
      <w:r w:rsidR="002D6700" w:rsidRPr="00DE2206">
        <w:rPr>
          <w:szCs w:val="22"/>
        </w:rPr>
        <w:t>the differences in</w:t>
      </w:r>
      <w:r w:rsidR="00824C64" w:rsidRPr="00DE2206">
        <w:rPr>
          <w:szCs w:val="22"/>
        </w:rPr>
        <w:t xml:space="preserve"> patient</w:t>
      </w:r>
      <w:r w:rsidR="0045050B" w:rsidRPr="00DE2206">
        <w:rPr>
          <w:szCs w:val="22"/>
        </w:rPr>
        <w:t>/trial</w:t>
      </w:r>
      <w:r w:rsidR="00824C64" w:rsidRPr="00DE2206">
        <w:rPr>
          <w:szCs w:val="22"/>
        </w:rPr>
        <w:t xml:space="preserve"> characteristics</w:t>
      </w:r>
      <w:r w:rsidR="002D6700" w:rsidRPr="00DE2206">
        <w:rPr>
          <w:szCs w:val="22"/>
        </w:rPr>
        <w:t xml:space="preserve"> </w:t>
      </w:r>
      <w:r w:rsidR="00AE1155" w:rsidRPr="00DE2206">
        <w:rPr>
          <w:szCs w:val="22"/>
        </w:rPr>
        <w:t>across</w:t>
      </w:r>
      <w:r w:rsidR="00824C64" w:rsidRPr="00DE2206">
        <w:rPr>
          <w:szCs w:val="22"/>
        </w:rPr>
        <w:t xml:space="preserve"> </w:t>
      </w:r>
      <w:r w:rsidR="00AE1155" w:rsidRPr="00DE2206">
        <w:rPr>
          <w:szCs w:val="22"/>
        </w:rPr>
        <w:t>pivotal trials</w:t>
      </w:r>
      <w:r w:rsidR="001F41CC">
        <w:rPr>
          <w:szCs w:val="22"/>
        </w:rPr>
        <w:t xml:space="preserve"> (VI</w:t>
      </w:r>
      <w:r w:rsidR="00144B78">
        <w:rPr>
          <w:szCs w:val="22"/>
        </w:rPr>
        <w:t xml:space="preserve">VID, VISTA, RESTORE and REVEAL), </w:t>
      </w:r>
      <w:r w:rsidR="00CE1883">
        <w:rPr>
          <w:szCs w:val="22"/>
        </w:rPr>
        <w:t>dosing regimen</w:t>
      </w:r>
      <w:r w:rsidR="00FB7A1E">
        <w:rPr>
          <w:szCs w:val="22"/>
        </w:rPr>
        <w:t>s</w:t>
      </w:r>
      <w:r w:rsidR="00E11211">
        <w:rPr>
          <w:szCs w:val="22"/>
        </w:rPr>
        <w:t xml:space="preserve"> and</w:t>
      </w:r>
      <w:r w:rsidR="00AE1155" w:rsidRPr="00DE2206">
        <w:rPr>
          <w:szCs w:val="22"/>
        </w:rPr>
        <w:t xml:space="preserve"> </w:t>
      </w:r>
      <w:r w:rsidR="008315E0" w:rsidRPr="00DE2206">
        <w:rPr>
          <w:szCs w:val="22"/>
        </w:rPr>
        <w:t>difference</w:t>
      </w:r>
      <w:r w:rsidR="000B23E4" w:rsidRPr="00DE2206">
        <w:rPr>
          <w:szCs w:val="22"/>
        </w:rPr>
        <w:t>s</w:t>
      </w:r>
      <w:r w:rsidR="00A369AC" w:rsidRPr="00DE2206">
        <w:rPr>
          <w:szCs w:val="22"/>
        </w:rPr>
        <w:t xml:space="preserve"> </w:t>
      </w:r>
      <w:r w:rsidR="008315E0" w:rsidRPr="00DE2206">
        <w:rPr>
          <w:szCs w:val="22"/>
        </w:rPr>
        <w:t>in</w:t>
      </w:r>
      <w:r w:rsidR="00D619B7" w:rsidRPr="00DE2206">
        <w:rPr>
          <w:szCs w:val="22"/>
        </w:rPr>
        <w:t xml:space="preserve"> </w:t>
      </w:r>
      <w:r w:rsidR="00AB65DB" w:rsidRPr="00DE2206">
        <w:rPr>
          <w:szCs w:val="22"/>
        </w:rPr>
        <w:t>loading dose</w:t>
      </w:r>
      <w:r w:rsidR="00E11211">
        <w:rPr>
          <w:szCs w:val="22"/>
        </w:rPr>
        <w:t xml:space="preserve">.  The </w:t>
      </w:r>
      <w:r w:rsidR="00BE23C9" w:rsidRPr="00DE2206">
        <w:rPr>
          <w:szCs w:val="22"/>
        </w:rPr>
        <w:t xml:space="preserve">treat-and-extend </w:t>
      </w:r>
      <w:r w:rsidR="00AB65DB" w:rsidRPr="00DE2206">
        <w:rPr>
          <w:szCs w:val="22"/>
        </w:rPr>
        <w:t xml:space="preserve">approach </w:t>
      </w:r>
      <w:r w:rsidR="00BE23C9" w:rsidRPr="00DE2206">
        <w:rPr>
          <w:szCs w:val="22"/>
        </w:rPr>
        <w:t>beyond one year in aflibercept is similar to the PRN dosing in ranibizumab.</w:t>
      </w:r>
      <w:r w:rsidR="00AB65DB" w:rsidRPr="00DE2206">
        <w:rPr>
          <w:szCs w:val="22"/>
        </w:rPr>
        <w:t xml:space="preserve">  </w:t>
      </w:r>
      <w:r w:rsidR="0056308E" w:rsidRPr="00DE2206">
        <w:rPr>
          <w:szCs w:val="22"/>
        </w:rPr>
        <w:t>The clinician further advised that</w:t>
      </w:r>
      <w:r w:rsidR="00FB7A1E">
        <w:rPr>
          <w:szCs w:val="22"/>
        </w:rPr>
        <w:t>,</w:t>
      </w:r>
      <w:r w:rsidR="0056308E" w:rsidRPr="00DE2206">
        <w:rPr>
          <w:szCs w:val="22"/>
        </w:rPr>
        <w:t xml:space="preserve"> in clinical practice, the loading dose for aflibercept is likely to be three or less injections in the first year</w:t>
      </w:r>
      <w:r w:rsidR="000E18F5" w:rsidRPr="00DE2206">
        <w:rPr>
          <w:szCs w:val="22"/>
        </w:rPr>
        <w:t>.</w:t>
      </w:r>
    </w:p>
    <w:p w:rsidR="005035B6" w:rsidRDefault="005035B6" w:rsidP="005770B6">
      <w:pPr>
        <w:widowControl/>
        <w:rPr>
          <w:szCs w:val="22"/>
        </w:rPr>
      </w:pPr>
    </w:p>
    <w:p w:rsidR="00C62D74" w:rsidRPr="00F60202" w:rsidRDefault="005035B6" w:rsidP="00F60202">
      <w:pPr>
        <w:pStyle w:val="ListParagraph"/>
        <w:widowControl/>
        <w:numPr>
          <w:ilvl w:val="1"/>
          <w:numId w:val="3"/>
        </w:numPr>
        <w:rPr>
          <w:szCs w:val="22"/>
        </w:rPr>
      </w:pPr>
      <w:r w:rsidRPr="00F60202">
        <w:rPr>
          <w:szCs w:val="22"/>
        </w:rPr>
        <w:t xml:space="preserve">The </w:t>
      </w:r>
      <w:r w:rsidR="00C62D74" w:rsidRPr="00F60202">
        <w:rPr>
          <w:szCs w:val="22"/>
        </w:rPr>
        <w:t>PBAC</w:t>
      </w:r>
      <w:r w:rsidRPr="00F60202">
        <w:rPr>
          <w:szCs w:val="22"/>
        </w:rPr>
        <w:t xml:space="preserve"> sought clarification on the </w:t>
      </w:r>
      <w:r w:rsidR="00F60202" w:rsidRPr="00F60202">
        <w:rPr>
          <w:szCs w:val="22"/>
        </w:rPr>
        <w:t>overall treatment duration with aflibercept, assessment of response during the course of treatment</w:t>
      </w:r>
      <w:r w:rsidR="00F60202">
        <w:rPr>
          <w:szCs w:val="22"/>
        </w:rPr>
        <w:t xml:space="preserve"> and</w:t>
      </w:r>
      <w:r w:rsidR="00F60202" w:rsidRPr="00F60202">
        <w:rPr>
          <w:szCs w:val="22"/>
        </w:rPr>
        <w:t xml:space="preserve"> if ceiling (plateau) effect</w:t>
      </w:r>
      <w:r w:rsidR="00F60202">
        <w:rPr>
          <w:szCs w:val="22"/>
        </w:rPr>
        <w:t xml:space="preserve"> wa</w:t>
      </w:r>
      <w:r w:rsidR="00F60202" w:rsidRPr="00F60202">
        <w:rPr>
          <w:szCs w:val="22"/>
        </w:rPr>
        <w:t>s observed in the trials</w:t>
      </w:r>
      <w:r w:rsidR="00F60202">
        <w:rPr>
          <w:szCs w:val="22"/>
        </w:rPr>
        <w:t>.</w:t>
      </w:r>
    </w:p>
    <w:p w:rsidR="000E18F5" w:rsidRDefault="000E18F5" w:rsidP="005035B6">
      <w:pPr>
        <w:widowControl/>
        <w:rPr>
          <w:szCs w:val="22"/>
        </w:rPr>
      </w:pPr>
    </w:p>
    <w:p w:rsidR="009D7821" w:rsidRDefault="009D7821" w:rsidP="009D7821">
      <w:pPr>
        <w:pStyle w:val="ListParagraph"/>
        <w:widowControl/>
        <w:numPr>
          <w:ilvl w:val="1"/>
          <w:numId w:val="3"/>
        </w:numPr>
        <w:rPr>
          <w:szCs w:val="22"/>
        </w:rPr>
      </w:pPr>
      <w:r>
        <w:rPr>
          <w:szCs w:val="22"/>
        </w:rPr>
        <w:t>The PBAC considered that the hearing was informative as it provided clinical perspective on treating this condition.</w:t>
      </w:r>
    </w:p>
    <w:p w:rsidR="006E3BC5" w:rsidRDefault="006E3BC5" w:rsidP="004B1CB4"/>
    <w:p w:rsidR="006E3BC5" w:rsidRPr="00DC7F09" w:rsidRDefault="006E3BC5" w:rsidP="004B1CB4">
      <w:pPr>
        <w:rPr>
          <w:b/>
        </w:rPr>
      </w:pPr>
      <w:r w:rsidRPr="00DC7F09">
        <w:rPr>
          <w:b/>
        </w:rPr>
        <w:t>Consumer comments</w:t>
      </w:r>
    </w:p>
    <w:p w:rsidR="006E3BC5" w:rsidRDefault="006E3BC5" w:rsidP="004B1CB4"/>
    <w:p w:rsidR="00B83075" w:rsidRDefault="006E3BC5" w:rsidP="000E18F5">
      <w:pPr>
        <w:pStyle w:val="ListParagraph"/>
        <w:widowControl/>
        <w:numPr>
          <w:ilvl w:val="1"/>
          <w:numId w:val="3"/>
        </w:numPr>
        <w:rPr>
          <w:rFonts w:cs="Times New Roman"/>
          <w:snapToGrid/>
          <w:szCs w:val="22"/>
          <w:lang w:eastAsia="en-AU"/>
        </w:rPr>
      </w:pPr>
      <w:r w:rsidRPr="006E3BC5">
        <w:rPr>
          <w:rFonts w:cs="Times New Roman"/>
          <w:snapToGrid/>
          <w:szCs w:val="22"/>
          <w:lang w:eastAsia="en-AU"/>
        </w:rPr>
        <w:t xml:space="preserve">The PBAC noted and welcomed the input from </w:t>
      </w:r>
      <w:r>
        <w:rPr>
          <w:rFonts w:cs="Times New Roman"/>
          <w:snapToGrid/>
          <w:szCs w:val="22"/>
          <w:lang w:eastAsia="en-AU"/>
        </w:rPr>
        <w:t>organisations (3</w:t>
      </w:r>
      <w:r w:rsidRPr="006E3BC5">
        <w:rPr>
          <w:rFonts w:cs="Times New Roman"/>
          <w:snapToGrid/>
          <w:szCs w:val="22"/>
          <w:lang w:eastAsia="en-AU"/>
        </w:rPr>
        <w:t xml:space="preserve">) via the Consumer Comments facility on the PBS website.  </w:t>
      </w:r>
      <w:r w:rsidRPr="00B83075">
        <w:rPr>
          <w:rFonts w:cs="Times New Roman"/>
          <w:snapToGrid/>
          <w:szCs w:val="22"/>
          <w:lang w:eastAsia="en-AU"/>
        </w:rPr>
        <w:t xml:space="preserve">The comments described a range of benefits of treatment with </w:t>
      </w:r>
      <w:r w:rsidR="00B83075">
        <w:rPr>
          <w:rFonts w:cs="Times New Roman"/>
          <w:snapToGrid/>
          <w:szCs w:val="22"/>
          <w:lang w:eastAsia="en-AU"/>
        </w:rPr>
        <w:t>aflibercept,</w:t>
      </w:r>
      <w:r w:rsidRPr="00B83075">
        <w:rPr>
          <w:rFonts w:cs="Times New Roman"/>
          <w:snapToGrid/>
          <w:szCs w:val="22"/>
          <w:lang w:eastAsia="en-AU"/>
        </w:rPr>
        <w:t xml:space="preserve"> including</w:t>
      </w:r>
      <w:r w:rsidR="00B83075">
        <w:rPr>
          <w:rFonts w:cs="Times New Roman"/>
          <w:snapToGrid/>
          <w:szCs w:val="22"/>
          <w:lang w:eastAsia="en-AU"/>
        </w:rPr>
        <w:t xml:space="preserve"> the following:</w:t>
      </w:r>
      <w:r w:rsidRPr="00B83075">
        <w:rPr>
          <w:rFonts w:cs="Times New Roman"/>
          <w:snapToGrid/>
          <w:szCs w:val="22"/>
          <w:lang w:eastAsia="en-AU"/>
        </w:rPr>
        <w:t xml:space="preserve"> </w:t>
      </w:r>
    </w:p>
    <w:p w:rsidR="00B83075" w:rsidRDefault="006E3BC5" w:rsidP="00B83075">
      <w:pPr>
        <w:pStyle w:val="ListParagraph"/>
        <w:widowControl/>
        <w:numPr>
          <w:ilvl w:val="0"/>
          <w:numId w:val="12"/>
        </w:numPr>
        <w:ind w:left="993" w:hanging="284"/>
        <w:rPr>
          <w:rFonts w:cs="Times New Roman"/>
          <w:snapToGrid/>
          <w:szCs w:val="22"/>
          <w:lang w:eastAsia="en-AU"/>
        </w:rPr>
      </w:pPr>
      <w:r w:rsidRPr="00B83075">
        <w:rPr>
          <w:rFonts w:cs="Times New Roman"/>
          <w:snapToGrid/>
          <w:szCs w:val="22"/>
          <w:lang w:eastAsia="en-AU"/>
        </w:rPr>
        <w:t>fewer side effects</w:t>
      </w:r>
      <w:r w:rsidR="00B83075">
        <w:rPr>
          <w:rFonts w:cs="Times New Roman"/>
          <w:snapToGrid/>
          <w:szCs w:val="22"/>
          <w:lang w:eastAsia="en-AU"/>
        </w:rPr>
        <w:t xml:space="preserve"> compared to laser photocoagulation;</w:t>
      </w:r>
    </w:p>
    <w:p w:rsidR="006B3E6F" w:rsidRDefault="00B83075" w:rsidP="00B83075">
      <w:pPr>
        <w:pStyle w:val="ListParagraph"/>
        <w:widowControl/>
        <w:numPr>
          <w:ilvl w:val="0"/>
          <w:numId w:val="12"/>
        </w:numPr>
        <w:ind w:left="993" w:hanging="284"/>
        <w:rPr>
          <w:rFonts w:cs="Times New Roman"/>
          <w:snapToGrid/>
          <w:szCs w:val="22"/>
          <w:lang w:eastAsia="en-AU"/>
        </w:rPr>
      </w:pPr>
      <w:r>
        <w:rPr>
          <w:rFonts w:cs="Times New Roman"/>
          <w:snapToGrid/>
          <w:szCs w:val="22"/>
          <w:lang w:eastAsia="en-AU"/>
        </w:rPr>
        <w:t>affordability compared to bevacizumab, noting DME is a bilateral condition</w:t>
      </w:r>
      <w:r w:rsidR="006B3E6F">
        <w:rPr>
          <w:rFonts w:cs="Times New Roman"/>
          <w:snapToGrid/>
          <w:szCs w:val="22"/>
          <w:lang w:eastAsia="en-AU"/>
        </w:rPr>
        <w:t>;</w:t>
      </w:r>
    </w:p>
    <w:p w:rsidR="006B3E6F" w:rsidRDefault="006B3E6F" w:rsidP="00B83075">
      <w:pPr>
        <w:pStyle w:val="ListParagraph"/>
        <w:widowControl/>
        <w:numPr>
          <w:ilvl w:val="0"/>
          <w:numId w:val="12"/>
        </w:numPr>
        <w:ind w:left="993" w:hanging="284"/>
        <w:rPr>
          <w:rFonts w:cs="Times New Roman"/>
          <w:snapToGrid/>
          <w:szCs w:val="22"/>
          <w:lang w:eastAsia="en-AU"/>
        </w:rPr>
      </w:pPr>
      <w:r>
        <w:rPr>
          <w:rFonts w:cs="Times New Roman"/>
          <w:snapToGrid/>
          <w:szCs w:val="22"/>
          <w:lang w:eastAsia="en-AU"/>
        </w:rPr>
        <w:t>expands the range of treatment options for patients and clinicians; and</w:t>
      </w:r>
    </w:p>
    <w:p w:rsidR="006E3BC5" w:rsidRPr="006E3BC5" w:rsidRDefault="006B3E6F" w:rsidP="00B83075">
      <w:pPr>
        <w:pStyle w:val="ListParagraph"/>
        <w:widowControl/>
        <w:numPr>
          <w:ilvl w:val="0"/>
          <w:numId w:val="12"/>
        </w:numPr>
        <w:ind w:left="993" w:hanging="284"/>
        <w:rPr>
          <w:rFonts w:cs="Times New Roman"/>
          <w:snapToGrid/>
          <w:szCs w:val="22"/>
          <w:lang w:eastAsia="en-AU"/>
        </w:rPr>
      </w:pPr>
      <w:proofErr w:type="gramStart"/>
      <w:r>
        <w:rPr>
          <w:rFonts w:cs="Times New Roman"/>
          <w:snapToGrid/>
          <w:szCs w:val="22"/>
          <w:lang w:eastAsia="en-AU"/>
        </w:rPr>
        <w:t>timely</w:t>
      </w:r>
      <w:proofErr w:type="gramEnd"/>
      <w:r>
        <w:rPr>
          <w:rFonts w:cs="Times New Roman"/>
          <w:snapToGrid/>
          <w:szCs w:val="22"/>
          <w:lang w:eastAsia="en-AU"/>
        </w:rPr>
        <w:t xml:space="preserve"> treatment with VEGF </w:t>
      </w:r>
      <w:r w:rsidR="00C814C9">
        <w:rPr>
          <w:rFonts w:cs="Times New Roman"/>
          <w:snapToGrid/>
          <w:szCs w:val="22"/>
          <w:lang w:eastAsia="en-AU"/>
        </w:rPr>
        <w:t xml:space="preserve">inhibitors </w:t>
      </w:r>
      <w:r>
        <w:rPr>
          <w:rFonts w:cs="Times New Roman"/>
          <w:snapToGrid/>
          <w:szCs w:val="22"/>
          <w:lang w:eastAsia="en-AU"/>
        </w:rPr>
        <w:t>will be important in maximising patient’s participation in the economy, and minimising their demand for other services.</w:t>
      </w:r>
    </w:p>
    <w:p w:rsidR="006E3BC5" w:rsidRPr="00882085" w:rsidRDefault="006E3BC5" w:rsidP="004B1CB4"/>
    <w:p w:rsidR="00B60939" w:rsidRPr="00BF0C39" w:rsidRDefault="00B60939" w:rsidP="00BF0C39">
      <w:pPr>
        <w:rPr>
          <w:b/>
        </w:rPr>
      </w:pPr>
      <w:bookmarkStart w:id="7" w:name="_Toc398652599"/>
      <w:r w:rsidRPr="00BF0C39">
        <w:rPr>
          <w:b/>
        </w:rPr>
        <w:t>Clinical trials</w:t>
      </w:r>
      <w:bookmarkEnd w:id="7"/>
    </w:p>
    <w:p w:rsidR="00B60939" w:rsidRPr="00882085" w:rsidRDefault="00B60939" w:rsidP="00B60939">
      <w:pPr>
        <w:rPr>
          <w:szCs w:val="22"/>
        </w:rPr>
      </w:pPr>
    </w:p>
    <w:p w:rsidR="006732B2" w:rsidRPr="006732B2" w:rsidRDefault="00862502" w:rsidP="00B80C0B">
      <w:pPr>
        <w:pStyle w:val="ListParagraph"/>
        <w:widowControl/>
        <w:numPr>
          <w:ilvl w:val="1"/>
          <w:numId w:val="3"/>
        </w:numPr>
        <w:rPr>
          <w:szCs w:val="22"/>
        </w:rPr>
      </w:pPr>
      <w:r w:rsidRPr="00862502">
        <w:t xml:space="preserve">The </w:t>
      </w:r>
      <w:r w:rsidR="00B81D54">
        <w:t xml:space="preserve">clinical evidence presented in the submission is based on two </w:t>
      </w:r>
      <w:r w:rsidR="004C4E73">
        <w:t>comparisons:</w:t>
      </w:r>
    </w:p>
    <w:p w:rsidR="006732B2" w:rsidRDefault="00B81D54" w:rsidP="006732B2">
      <w:pPr>
        <w:pStyle w:val="ListParagraph"/>
        <w:widowControl/>
      </w:pPr>
      <w:r>
        <w:t xml:space="preserve">(1) </w:t>
      </w:r>
      <w:r w:rsidR="006732B2">
        <w:t>D</w:t>
      </w:r>
      <w:r>
        <w:t xml:space="preserve">irect head to head comparison of the efficacy and safety of aflibercept versus laser photocoagulation </w:t>
      </w:r>
      <w:r w:rsidR="00563F50">
        <w:t xml:space="preserve">based on </w:t>
      </w:r>
      <w:r w:rsidR="00B20B7B">
        <w:t>two</w:t>
      </w:r>
      <w:r>
        <w:t xml:space="preserve"> phase 3 trials, VIVID (n=406) and VISTA (n=466); </w:t>
      </w:r>
    </w:p>
    <w:p w:rsidR="0013145C" w:rsidRPr="00C52173" w:rsidRDefault="00B81D54" w:rsidP="00C52173">
      <w:pPr>
        <w:pStyle w:val="ListParagraph"/>
        <w:widowControl/>
        <w:rPr>
          <w:i/>
          <w:szCs w:val="22"/>
        </w:rPr>
      </w:pPr>
      <w:r>
        <w:lastRenderedPageBreak/>
        <w:t xml:space="preserve">(2) </w:t>
      </w:r>
      <w:r w:rsidR="006732B2">
        <w:t>I</w:t>
      </w:r>
      <w:r>
        <w:t xml:space="preserve">ndirect comparison of the </w:t>
      </w:r>
      <w:r w:rsidRPr="0055614E">
        <w:t xml:space="preserve">efficacy and safety of aflibercept versus ranibizumab using laser photocoagulation as the common reference </w:t>
      </w:r>
      <w:r w:rsidR="00563F50">
        <w:t xml:space="preserve">using </w:t>
      </w:r>
      <w:r w:rsidRPr="0055614E">
        <w:t>two phase 3 ranibizumab trials, RESTORE (n=345) and REVEAL (n=396)</w:t>
      </w:r>
      <w:r w:rsidR="00563F50">
        <w:t xml:space="preserve"> in addition to the aflibercept trials</w:t>
      </w:r>
      <w:r w:rsidR="00862502" w:rsidRPr="0055614E">
        <w:t>.</w:t>
      </w:r>
      <w:r w:rsidR="00702F8F" w:rsidRPr="0055614E">
        <w:t xml:space="preserve">  </w:t>
      </w:r>
      <w:r w:rsidR="00BF19BB" w:rsidRPr="00D8751F">
        <w:t xml:space="preserve">The PBAC had </w:t>
      </w:r>
      <w:r w:rsidR="00434AE0" w:rsidRPr="00D8751F">
        <w:t xml:space="preserve">also </w:t>
      </w:r>
      <w:r w:rsidR="00BF19BB" w:rsidRPr="00D8751F">
        <w:t xml:space="preserve">considered the ranibizumab phase 3 DRCR.net trial as well as clinical outcomes </w:t>
      </w:r>
      <w:r w:rsidR="00434AE0" w:rsidRPr="00D8751F">
        <w:t>from</w:t>
      </w:r>
      <w:r w:rsidR="00BF19BB" w:rsidRPr="00D8751F">
        <w:t xml:space="preserve"> the use of ranibizumab + laser treatment (ranibizumab DME</w:t>
      </w:r>
      <w:r w:rsidR="0067590B" w:rsidRPr="00D8751F">
        <w:t xml:space="preserve"> PSDs</w:t>
      </w:r>
      <w:r w:rsidR="00BF19BB" w:rsidRPr="00D8751F">
        <w:t xml:space="preserve">, </w:t>
      </w:r>
      <w:r w:rsidR="00C23FAB" w:rsidRPr="00D8751F">
        <w:t>March 2013, November 2013</w:t>
      </w:r>
      <w:r w:rsidR="00BF19BB" w:rsidRPr="00D8751F">
        <w:t xml:space="preserve">). </w:t>
      </w:r>
      <w:r w:rsidR="00434AE0" w:rsidRPr="00D8751F">
        <w:t>T</w:t>
      </w:r>
      <w:r w:rsidR="00BF19BB" w:rsidRPr="00D8751F">
        <w:t>his additional evidence was included in the consideration of effectiveness and safety</w:t>
      </w:r>
      <w:r w:rsidR="00434AE0" w:rsidRPr="00D8751F">
        <w:t xml:space="preserve"> during the evaluation</w:t>
      </w:r>
      <w:r w:rsidR="00BF19BB" w:rsidRPr="00D8751F">
        <w:t>.</w:t>
      </w:r>
    </w:p>
    <w:p w:rsidR="0013145C" w:rsidRPr="00862502" w:rsidRDefault="0013145C" w:rsidP="00BF19BB">
      <w:pPr>
        <w:widowControl/>
        <w:tabs>
          <w:tab w:val="left" w:pos="5400"/>
        </w:tabs>
        <w:rPr>
          <w:szCs w:val="22"/>
        </w:rPr>
      </w:pPr>
    </w:p>
    <w:p w:rsidR="00862502" w:rsidRPr="00B50DB8" w:rsidRDefault="00862502" w:rsidP="00B80C0B">
      <w:pPr>
        <w:pStyle w:val="ListParagraph"/>
        <w:widowControl/>
        <w:numPr>
          <w:ilvl w:val="1"/>
          <w:numId w:val="3"/>
        </w:numPr>
        <w:rPr>
          <w:szCs w:val="22"/>
        </w:rPr>
      </w:pPr>
      <w:r w:rsidRPr="00B50DB8">
        <w:rPr>
          <w:szCs w:val="22"/>
        </w:rPr>
        <w:t>Details of the trials presented in the submission ar</w:t>
      </w:r>
      <w:r w:rsidR="004C4E73">
        <w:rPr>
          <w:szCs w:val="22"/>
        </w:rPr>
        <w:t>e provided in the table below.</w:t>
      </w:r>
    </w:p>
    <w:p w:rsidR="000F6D7D" w:rsidRPr="00FB7A1E" w:rsidRDefault="000F6D7D" w:rsidP="000F6D7D">
      <w:pPr>
        <w:widowControl/>
        <w:jc w:val="left"/>
        <w:rPr>
          <w:rStyle w:val="CommentReference"/>
          <w:rFonts w:ascii="Arial" w:hAnsi="Arial"/>
          <w:b w:val="0"/>
          <w:sz w:val="22"/>
          <w:szCs w:val="22"/>
        </w:rPr>
      </w:pPr>
    </w:p>
    <w:p w:rsidR="00B81D54" w:rsidRDefault="008F120A" w:rsidP="000F6D7D">
      <w:pPr>
        <w:widowControl/>
        <w:ind w:left="720"/>
        <w:jc w:val="left"/>
        <w:rPr>
          <w:rStyle w:val="CommentReference"/>
        </w:rPr>
      </w:pPr>
      <w:r w:rsidRPr="000812CA">
        <w:rPr>
          <w:rStyle w:val="CommentReference"/>
        </w:rPr>
        <w:t>Trials and associated reports presented in the submission</w:t>
      </w:r>
      <w:r w:rsidR="00B81D54">
        <w:rPr>
          <w:rStyle w:val="CommentReference"/>
        </w:rPr>
        <w:t xml:space="preserve"> and additional evidence (DRCR.net trial) identified during the evaluation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41"/>
        <w:gridCol w:w="5520"/>
        <w:gridCol w:w="1703"/>
      </w:tblGrid>
      <w:tr w:rsidR="00B81D54" w:rsidRPr="004E2ADC">
        <w:tc>
          <w:tcPr>
            <w:tcW w:w="682" w:type="pct"/>
          </w:tcPr>
          <w:p w:rsidR="00B81D54" w:rsidRPr="004E2ADC" w:rsidRDefault="00B81D54" w:rsidP="00BC6168">
            <w:pPr>
              <w:jc w:val="left"/>
              <w:rPr>
                <w:rFonts w:ascii="Arial Narrow" w:hAnsi="Arial Narrow"/>
                <w:b/>
                <w:sz w:val="20"/>
              </w:rPr>
            </w:pPr>
            <w:r w:rsidRPr="004E2ADC">
              <w:rPr>
                <w:rFonts w:ascii="Arial Narrow" w:hAnsi="Arial Narrow"/>
                <w:b/>
                <w:sz w:val="20"/>
              </w:rPr>
              <w:t>Trial ID</w:t>
            </w:r>
          </w:p>
        </w:tc>
        <w:tc>
          <w:tcPr>
            <w:tcW w:w="3300" w:type="pct"/>
          </w:tcPr>
          <w:p w:rsidR="00B81D54" w:rsidRPr="004E2ADC" w:rsidRDefault="00B81D54" w:rsidP="00BC6168">
            <w:pPr>
              <w:jc w:val="center"/>
              <w:rPr>
                <w:rFonts w:ascii="Arial Narrow" w:hAnsi="Arial Narrow"/>
                <w:b/>
                <w:sz w:val="20"/>
              </w:rPr>
            </w:pPr>
            <w:r w:rsidRPr="004E2ADC">
              <w:rPr>
                <w:rFonts w:ascii="Arial Narrow" w:hAnsi="Arial Narrow"/>
                <w:b/>
                <w:sz w:val="20"/>
              </w:rPr>
              <w:t>Protocol title/ Publication title</w:t>
            </w:r>
          </w:p>
        </w:tc>
        <w:tc>
          <w:tcPr>
            <w:tcW w:w="1018" w:type="pct"/>
          </w:tcPr>
          <w:p w:rsidR="00B81D54" w:rsidRPr="004E2ADC" w:rsidRDefault="00B81D54" w:rsidP="00BC6168">
            <w:pPr>
              <w:jc w:val="center"/>
              <w:rPr>
                <w:rFonts w:ascii="Arial Narrow" w:hAnsi="Arial Narrow"/>
                <w:b/>
                <w:sz w:val="20"/>
              </w:rPr>
            </w:pPr>
            <w:r w:rsidRPr="004E2ADC">
              <w:rPr>
                <w:rFonts w:ascii="Arial Narrow" w:hAnsi="Arial Narrow"/>
                <w:b/>
                <w:sz w:val="20"/>
              </w:rPr>
              <w:t>Publication citation</w:t>
            </w:r>
          </w:p>
        </w:tc>
      </w:tr>
      <w:tr w:rsidR="00B81D54" w:rsidRPr="004E2ADC">
        <w:tc>
          <w:tcPr>
            <w:tcW w:w="5000" w:type="pct"/>
            <w:gridSpan w:val="3"/>
          </w:tcPr>
          <w:p w:rsidR="00B81D54" w:rsidRPr="004E2ADC" w:rsidRDefault="00B81D54" w:rsidP="00BC6168">
            <w:pPr>
              <w:jc w:val="left"/>
              <w:rPr>
                <w:rFonts w:ascii="Arial Narrow" w:hAnsi="Arial Narrow"/>
                <w:b/>
                <w:sz w:val="20"/>
              </w:rPr>
            </w:pPr>
            <w:r>
              <w:rPr>
                <w:rFonts w:ascii="Arial Narrow" w:hAnsi="Arial Narrow"/>
                <w:b/>
                <w:sz w:val="20"/>
              </w:rPr>
              <w:t>Aflibercept trials</w:t>
            </w:r>
          </w:p>
        </w:tc>
      </w:tr>
      <w:tr w:rsidR="00B81D54" w:rsidRPr="0080376A">
        <w:tc>
          <w:tcPr>
            <w:tcW w:w="682" w:type="pct"/>
            <w:tcBorders>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 xml:space="preserve">DA VINCI </w:t>
            </w:r>
          </w:p>
          <w:p w:rsidR="00B81D54" w:rsidRPr="0080376A" w:rsidRDefault="00B81D54" w:rsidP="00BC6168">
            <w:pPr>
              <w:jc w:val="left"/>
              <w:rPr>
                <w:rFonts w:ascii="Arial Narrow" w:hAnsi="Arial Narrow"/>
                <w:sz w:val="20"/>
              </w:rPr>
            </w:pPr>
            <w:r w:rsidRPr="0080376A">
              <w:rPr>
                <w:rFonts w:ascii="Arial Narrow" w:hAnsi="Arial Narrow"/>
                <w:sz w:val="20"/>
              </w:rPr>
              <w:t>(VGFT-OD-0706)</w:t>
            </w:r>
          </w:p>
        </w:tc>
        <w:tc>
          <w:tcPr>
            <w:tcW w:w="3300" w:type="pct"/>
            <w:tcBorders>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 xml:space="preserve">A Double-Masked, Randomized, Controlled Study of the Safety, Tolerability and Biological Effect of Repeated Intravitreal Administration of VEGF Trap-Eye in Patients with Diabetic Macular </w:t>
            </w:r>
            <w:proofErr w:type="spellStart"/>
            <w:r w:rsidRPr="0080376A">
              <w:rPr>
                <w:rFonts w:ascii="Arial Narrow" w:hAnsi="Arial Narrow"/>
                <w:sz w:val="20"/>
              </w:rPr>
              <w:t>Edema</w:t>
            </w:r>
            <w:proofErr w:type="spellEnd"/>
            <w:r w:rsidRPr="0080376A">
              <w:rPr>
                <w:rFonts w:ascii="Arial Narrow" w:hAnsi="Arial Narrow"/>
                <w:sz w:val="20"/>
              </w:rPr>
              <w:t xml:space="preserve"> (DME)</w:t>
            </w:r>
          </w:p>
          <w:p w:rsidR="00B81D54" w:rsidRPr="0080376A" w:rsidRDefault="00B81D54" w:rsidP="00BC6168">
            <w:pPr>
              <w:jc w:val="left"/>
              <w:rPr>
                <w:rFonts w:ascii="Arial Narrow" w:hAnsi="Arial Narrow"/>
                <w:b/>
                <w:sz w:val="20"/>
              </w:rPr>
            </w:pPr>
          </w:p>
        </w:tc>
        <w:tc>
          <w:tcPr>
            <w:tcW w:w="1018" w:type="pct"/>
            <w:tcBorders>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2011</w:t>
            </w:r>
          </w:p>
        </w:tc>
      </w:tr>
      <w:tr w:rsidR="00B81D54" w:rsidRPr="0080376A">
        <w:tc>
          <w:tcPr>
            <w:tcW w:w="682" w:type="pct"/>
            <w:tcBorders>
              <w:top w:val="nil"/>
              <w:bottom w:val="nil"/>
            </w:tcBorders>
          </w:tcPr>
          <w:p w:rsidR="00B81D54" w:rsidRPr="0080376A" w:rsidRDefault="00B81D54" w:rsidP="00BC6168">
            <w:pPr>
              <w:jc w:val="left"/>
              <w:rPr>
                <w:rFonts w:ascii="Arial Narrow" w:hAnsi="Arial Narrow"/>
                <w:sz w:val="20"/>
              </w:rPr>
            </w:pPr>
          </w:p>
        </w:tc>
        <w:tc>
          <w:tcPr>
            <w:tcW w:w="3300"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Do DV, Schmidt-</w:t>
            </w:r>
            <w:proofErr w:type="spellStart"/>
            <w:r w:rsidRPr="0080376A">
              <w:rPr>
                <w:rFonts w:ascii="Arial Narrow" w:hAnsi="Arial Narrow"/>
                <w:sz w:val="20"/>
              </w:rPr>
              <w:t>Erfurth</w:t>
            </w:r>
            <w:proofErr w:type="spellEnd"/>
            <w:r w:rsidRPr="0080376A">
              <w:rPr>
                <w:rFonts w:ascii="Arial Narrow" w:hAnsi="Arial Narrow"/>
                <w:sz w:val="20"/>
              </w:rPr>
              <w:t xml:space="preserve"> U, Gonzalez VH, Gordon CM, Tolentino M, Berliner AJ, </w:t>
            </w:r>
            <w:proofErr w:type="spellStart"/>
            <w:r w:rsidRPr="0080376A">
              <w:rPr>
                <w:rFonts w:ascii="Arial Narrow" w:hAnsi="Arial Narrow"/>
                <w:sz w:val="20"/>
              </w:rPr>
              <w:t>Vitti</w:t>
            </w:r>
            <w:proofErr w:type="spellEnd"/>
            <w:r w:rsidRPr="0080376A">
              <w:rPr>
                <w:rFonts w:ascii="Arial Narrow" w:hAnsi="Arial Narrow"/>
                <w:sz w:val="20"/>
              </w:rPr>
              <w:t xml:space="preserve"> R, </w:t>
            </w:r>
            <w:proofErr w:type="spellStart"/>
            <w:r w:rsidRPr="0080376A">
              <w:rPr>
                <w:rFonts w:ascii="Arial Narrow" w:hAnsi="Arial Narrow"/>
                <w:sz w:val="20"/>
              </w:rPr>
              <w:t>Rückert</w:t>
            </w:r>
            <w:proofErr w:type="spellEnd"/>
            <w:r w:rsidRPr="0080376A">
              <w:rPr>
                <w:rFonts w:ascii="Arial Narrow" w:hAnsi="Arial Narrow"/>
                <w:sz w:val="20"/>
              </w:rPr>
              <w:t xml:space="preserve"> R, </w:t>
            </w:r>
            <w:proofErr w:type="spellStart"/>
            <w:r w:rsidRPr="0080376A">
              <w:rPr>
                <w:rFonts w:ascii="Arial Narrow" w:hAnsi="Arial Narrow"/>
                <w:sz w:val="20"/>
              </w:rPr>
              <w:t>Sandbrink</w:t>
            </w:r>
            <w:proofErr w:type="spellEnd"/>
            <w:r w:rsidRPr="0080376A">
              <w:rPr>
                <w:rFonts w:ascii="Arial Narrow" w:hAnsi="Arial Narrow"/>
                <w:sz w:val="20"/>
              </w:rPr>
              <w:t xml:space="preserve"> R, Stein D, Yang K, Beckmann K, </w:t>
            </w:r>
            <w:proofErr w:type="spellStart"/>
            <w:r w:rsidRPr="0080376A">
              <w:rPr>
                <w:rFonts w:ascii="Arial Narrow" w:hAnsi="Arial Narrow"/>
                <w:sz w:val="20"/>
              </w:rPr>
              <w:t>Heier</w:t>
            </w:r>
            <w:proofErr w:type="spellEnd"/>
            <w:r w:rsidRPr="0080376A">
              <w:rPr>
                <w:rFonts w:ascii="Arial Narrow" w:hAnsi="Arial Narrow"/>
                <w:sz w:val="20"/>
              </w:rPr>
              <w:t xml:space="preserve"> JS. The DA VINCI Study: phase 2 primary results of VEGF Trap-Eye in patients with diabetic macular </w:t>
            </w:r>
            <w:proofErr w:type="spellStart"/>
            <w:r w:rsidRPr="0080376A">
              <w:rPr>
                <w:rFonts w:ascii="Arial Narrow" w:hAnsi="Arial Narrow"/>
                <w:sz w:val="20"/>
              </w:rPr>
              <w:t>edema</w:t>
            </w:r>
            <w:proofErr w:type="spellEnd"/>
            <w:r w:rsidRPr="0080376A">
              <w:rPr>
                <w:rFonts w:ascii="Arial Narrow" w:hAnsi="Arial Narrow"/>
                <w:sz w:val="20"/>
              </w:rPr>
              <w:t>.</w:t>
            </w:r>
          </w:p>
          <w:p w:rsidR="00B81D54" w:rsidRPr="0080376A" w:rsidRDefault="00B81D54" w:rsidP="00BC6168">
            <w:pPr>
              <w:jc w:val="left"/>
              <w:rPr>
                <w:rFonts w:ascii="Arial Narrow" w:hAnsi="Arial Narrow"/>
                <w:sz w:val="20"/>
              </w:rPr>
            </w:pPr>
          </w:p>
        </w:tc>
        <w:tc>
          <w:tcPr>
            <w:tcW w:w="1018"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Ophthalmology. 2011; 118(9): 1819-1826</w:t>
            </w:r>
          </w:p>
        </w:tc>
      </w:tr>
      <w:tr w:rsidR="00B81D54" w:rsidRPr="0080376A">
        <w:tc>
          <w:tcPr>
            <w:tcW w:w="682" w:type="pct"/>
            <w:tcBorders>
              <w:top w:val="nil"/>
            </w:tcBorders>
          </w:tcPr>
          <w:p w:rsidR="00B81D54" w:rsidRPr="0080376A" w:rsidRDefault="00B81D54" w:rsidP="00BC6168">
            <w:pPr>
              <w:jc w:val="left"/>
              <w:rPr>
                <w:rFonts w:ascii="Arial Narrow" w:hAnsi="Arial Narrow"/>
                <w:sz w:val="20"/>
              </w:rPr>
            </w:pPr>
          </w:p>
        </w:tc>
        <w:tc>
          <w:tcPr>
            <w:tcW w:w="3300" w:type="pct"/>
            <w:tcBorders>
              <w:top w:val="nil"/>
            </w:tcBorders>
          </w:tcPr>
          <w:p w:rsidR="00B81D54" w:rsidRPr="0080376A" w:rsidRDefault="00B81D54" w:rsidP="00BC6168">
            <w:pPr>
              <w:jc w:val="left"/>
              <w:rPr>
                <w:rFonts w:ascii="Arial Narrow" w:hAnsi="Arial Narrow"/>
                <w:sz w:val="20"/>
              </w:rPr>
            </w:pPr>
            <w:r w:rsidRPr="0080376A">
              <w:rPr>
                <w:rFonts w:ascii="Arial Narrow" w:hAnsi="Arial Narrow"/>
                <w:sz w:val="20"/>
              </w:rPr>
              <w:t>Do DV, Nguyen QD, Boyer D, Schmidt-</w:t>
            </w:r>
            <w:proofErr w:type="spellStart"/>
            <w:r w:rsidRPr="0080376A">
              <w:rPr>
                <w:rFonts w:ascii="Arial Narrow" w:hAnsi="Arial Narrow"/>
                <w:sz w:val="20"/>
              </w:rPr>
              <w:t>Erfurth</w:t>
            </w:r>
            <w:proofErr w:type="spellEnd"/>
            <w:r w:rsidRPr="0080376A">
              <w:rPr>
                <w:rFonts w:ascii="Arial Narrow" w:hAnsi="Arial Narrow"/>
                <w:sz w:val="20"/>
              </w:rPr>
              <w:t xml:space="preserve"> U, Brown DM, </w:t>
            </w:r>
            <w:proofErr w:type="spellStart"/>
            <w:r w:rsidRPr="0080376A">
              <w:rPr>
                <w:rFonts w:ascii="Arial Narrow" w:hAnsi="Arial Narrow"/>
                <w:sz w:val="20"/>
              </w:rPr>
              <w:t>Vitti</w:t>
            </w:r>
            <w:proofErr w:type="spellEnd"/>
            <w:r w:rsidRPr="0080376A">
              <w:rPr>
                <w:rFonts w:ascii="Arial Narrow" w:hAnsi="Arial Narrow"/>
                <w:sz w:val="20"/>
              </w:rPr>
              <w:t xml:space="preserve"> R, Berliner AJ, Gao B, </w:t>
            </w:r>
            <w:proofErr w:type="spellStart"/>
            <w:r w:rsidRPr="0080376A">
              <w:rPr>
                <w:rFonts w:ascii="Arial Narrow" w:hAnsi="Arial Narrow"/>
                <w:sz w:val="20"/>
              </w:rPr>
              <w:t>Zeitz</w:t>
            </w:r>
            <w:proofErr w:type="spellEnd"/>
            <w:r w:rsidRPr="0080376A">
              <w:rPr>
                <w:rFonts w:ascii="Arial Narrow" w:hAnsi="Arial Narrow"/>
                <w:sz w:val="20"/>
              </w:rPr>
              <w:t xml:space="preserve"> O, </w:t>
            </w:r>
            <w:proofErr w:type="spellStart"/>
            <w:r w:rsidRPr="0080376A">
              <w:rPr>
                <w:rFonts w:ascii="Arial Narrow" w:hAnsi="Arial Narrow"/>
                <w:sz w:val="20"/>
              </w:rPr>
              <w:t>Ruckert</w:t>
            </w:r>
            <w:proofErr w:type="spellEnd"/>
            <w:r w:rsidRPr="0080376A">
              <w:rPr>
                <w:rFonts w:ascii="Arial Narrow" w:hAnsi="Arial Narrow"/>
                <w:sz w:val="20"/>
              </w:rPr>
              <w:t xml:space="preserve"> R, </w:t>
            </w:r>
            <w:proofErr w:type="spellStart"/>
            <w:r w:rsidRPr="0080376A">
              <w:rPr>
                <w:rFonts w:ascii="Arial Narrow" w:hAnsi="Arial Narrow"/>
                <w:sz w:val="20"/>
              </w:rPr>
              <w:t>Schmelter</w:t>
            </w:r>
            <w:proofErr w:type="spellEnd"/>
            <w:r w:rsidRPr="0080376A">
              <w:rPr>
                <w:rFonts w:ascii="Arial Narrow" w:hAnsi="Arial Narrow"/>
                <w:sz w:val="20"/>
              </w:rPr>
              <w:t xml:space="preserve"> T, </w:t>
            </w:r>
            <w:proofErr w:type="spellStart"/>
            <w:r w:rsidRPr="0080376A">
              <w:rPr>
                <w:rFonts w:ascii="Arial Narrow" w:hAnsi="Arial Narrow"/>
                <w:sz w:val="20"/>
              </w:rPr>
              <w:t>Sandbrink</w:t>
            </w:r>
            <w:proofErr w:type="spellEnd"/>
            <w:r w:rsidRPr="0080376A">
              <w:rPr>
                <w:rFonts w:ascii="Arial Narrow" w:hAnsi="Arial Narrow"/>
                <w:sz w:val="20"/>
              </w:rPr>
              <w:t xml:space="preserve"> R, </w:t>
            </w:r>
            <w:proofErr w:type="spellStart"/>
            <w:r w:rsidRPr="0080376A">
              <w:rPr>
                <w:rFonts w:ascii="Arial Narrow" w:hAnsi="Arial Narrow"/>
                <w:sz w:val="20"/>
              </w:rPr>
              <w:t>Heier</w:t>
            </w:r>
            <w:proofErr w:type="spellEnd"/>
            <w:r w:rsidRPr="0080376A">
              <w:rPr>
                <w:rFonts w:ascii="Arial Narrow" w:hAnsi="Arial Narrow"/>
                <w:sz w:val="20"/>
              </w:rPr>
              <w:t xml:space="preserve"> JS; da Vinci Study Group. One-year outcomes of the da Vinci Study of VEGF Trap-Eye in eyes with diabetic macular </w:t>
            </w:r>
            <w:proofErr w:type="spellStart"/>
            <w:r w:rsidRPr="0080376A">
              <w:rPr>
                <w:rFonts w:ascii="Arial Narrow" w:hAnsi="Arial Narrow"/>
                <w:sz w:val="20"/>
              </w:rPr>
              <w:t>edema</w:t>
            </w:r>
            <w:proofErr w:type="spellEnd"/>
            <w:r w:rsidRPr="0080376A">
              <w:rPr>
                <w:rFonts w:ascii="Arial Narrow" w:hAnsi="Arial Narrow"/>
                <w:sz w:val="20"/>
              </w:rPr>
              <w:t>.</w:t>
            </w:r>
          </w:p>
        </w:tc>
        <w:tc>
          <w:tcPr>
            <w:tcW w:w="1018" w:type="pct"/>
            <w:tcBorders>
              <w:top w:val="nil"/>
            </w:tcBorders>
          </w:tcPr>
          <w:p w:rsidR="00B81D54" w:rsidRPr="0080376A" w:rsidRDefault="00B81D54" w:rsidP="00BC6168">
            <w:pPr>
              <w:jc w:val="left"/>
              <w:rPr>
                <w:rFonts w:ascii="Arial Narrow" w:hAnsi="Arial Narrow"/>
                <w:sz w:val="20"/>
              </w:rPr>
            </w:pPr>
            <w:r w:rsidRPr="0080376A">
              <w:rPr>
                <w:rFonts w:ascii="Arial Narrow" w:hAnsi="Arial Narrow"/>
                <w:sz w:val="20"/>
              </w:rPr>
              <w:t>Ophthalmology. 2012; 119(8): 1658-1665</w:t>
            </w:r>
          </w:p>
        </w:tc>
      </w:tr>
      <w:tr w:rsidR="002C0FAE" w:rsidRPr="0080376A">
        <w:trPr>
          <w:trHeight w:val="864"/>
        </w:trPr>
        <w:tc>
          <w:tcPr>
            <w:tcW w:w="682" w:type="pct"/>
            <w:tcBorders>
              <w:bottom w:val="nil"/>
            </w:tcBorders>
          </w:tcPr>
          <w:p w:rsidR="002C0FAE" w:rsidRPr="0080376A" w:rsidRDefault="002C0FAE" w:rsidP="00BC6168">
            <w:pPr>
              <w:jc w:val="left"/>
              <w:rPr>
                <w:rFonts w:ascii="Arial Narrow" w:hAnsi="Arial Narrow"/>
                <w:sz w:val="20"/>
              </w:rPr>
            </w:pPr>
            <w:r w:rsidRPr="0080376A">
              <w:rPr>
                <w:rFonts w:ascii="Arial Narrow" w:hAnsi="Arial Narrow"/>
                <w:sz w:val="20"/>
              </w:rPr>
              <w:t xml:space="preserve">VIVID </w:t>
            </w:r>
          </w:p>
          <w:p w:rsidR="002C0FAE" w:rsidRPr="0080376A" w:rsidRDefault="002C0FAE" w:rsidP="00BC6168">
            <w:pPr>
              <w:jc w:val="left"/>
              <w:rPr>
                <w:rFonts w:ascii="Arial Narrow" w:hAnsi="Arial Narrow"/>
                <w:sz w:val="20"/>
              </w:rPr>
            </w:pPr>
            <w:r w:rsidRPr="0080376A">
              <w:rPr>
                <w:rFonts w:ascii="Arial Narrow" w:hAnsi="Arial Narrow"/>
                <w:sz w:val="20"/>
              </w:rPr>
              <w:t>(PH-37284)</w:t>
            </w:r>
          </w:p>
        </w:tc>
        <w:tc>
          <w:tcPr>
            <w:tcW w:w="3300" w:type="pct"/>
            <w:tcBorders>
              <w:bottom w:val="nil"/>
            </w:tcBorders>
          </w:tcPr>
          <w:p w:rsidR="002C0FAE" w:rsidRDefault="002C0FAE" w:rsidP="00BC6168">
            <w:pPr>
              <w:jc w:val="left"/>
              <w:rPr>
                <w:rFonts w:ascii="Arial Narrow" w:hAnsi="Arial Narrow"/>
                <w:sz w:val="20"/>
              </w:rPr>
            </w:pPr>
            <w:r w:rsidRPr="0080376A">
              <w:rPr>
                <w:rFonts w:ascii="Arial Narrow" w:hAnsi="Arial Narrow"/>
                <w:sz w:val="20"/>
              </w:rPr>
              <w:t xml:space="preserve">A randomized, double masked, active controlled, phase III study of the efficacy and safety of repeated doses of intravitreal VEGF Trap-Eye in subjects with diabetic macular </w:t>
            </w:r>
            <w:proofErr w:type="spellStart"/>
            <w:r w:rsidRPr="0080376A">
              <w:rPr>
                <w:rFonts w:ascii="Arial Narrow" w:hAnsi="Arial Narrow"/>
                <w:sz w:val="20"/>
              </w:rPr>
              <w:t>edema</w:t>
            </w:r>
            <w:proofErr w:type="spellEnd"/>
          </w:p>
          <w:p w:rsidR="002C0FAE" w:rsidRPr="0080376A" w:rsidRDefault="002C0FAE" w:rsidP="00BC6168">
            <w:pPr>
              <w:jc w:val="left"/>
              <w:rPr>
                <w:rFonts w:ascii="Arial Narrow" w:hAnsi="Arial Narrow"/>
                <w:sz w:val="20"/>
              </w:rPr>
            </w:pPr>
          </w:p>
        </w:tc>
        <w:tc>
          <w:tcPr>
            <w:tcW w:w="1018" w:type="pct"/>
            <w:tcBorders>
              <w:bottom w:val="nil"/>
            </w:tcBorders>
          </w:tcPr>
          <w:p w:rsidR="002C0FAE" w:rsidRDefault="002C0FAE" w:rsidP="00BC6168">
            <w:pPr>
              <w:jc w:val="left"/>
              <w:rPr>
                <w:rFonts w:ascii="Arial Narrow" w:hAnsi="Arial Narrow"/>
                <w:sz w:val="20"/>
              </w:rPr>
            </w:pPr>
            <w:r w:rsidRPr="0080376A">
              <w:rPr>
                <w:rFonts w:ascii="Arial Narrow" w:hAnsi="Arial Narrow"/>
                <w:sz w:val="20"/>
              </w:rPr>
              <w:t>2013</w:t>
            </w:r>
          </w:p>
          <w:p w:rsidR="002C0FAE" w:rsidRDefault="002C0FAE" w:rsidP="00BC6168">
            <w:pPr>
              <w:jc w:val="left"/>
              <w:rPr>
                <w:rFonts w:ascii="Arial Narrow" w:hAnsi="Arial Narrow"/>
                <w:sz w:val="20"/>
              </w:rPr>
            </w:pPr>
          </w:p>
          <w:p w:rsidR="002C0FAE" w:rsidRPr="000E4322" w:rsidRDefault="002C0FAE" w:rsidP="00BC6168">
            <w:pPr>
              <w:jc w:val="left"/>
              <w:rPr>
                <w:rFonts w:ascii="Arial Narrow" w:hAnsi="Arial Narrow"/>
                <w:i/>
                <w:sz w:val="20"/>
              </w:rPr>
            </w:pPr>
          </w:p>
        </w:tc>
      </w:tr>
      <w:tr w:rsidR="00DB35F8" w:rsidRPr="002C0FAE">
        <w:trPr>
          <w:trHeight w:val="864"/>
        </w:trPr>
        <w:tc>
          <w:tcPr>
            <w:tcW w:w="682" w:type="pct"/>
            <w:tcBorders>
              <w:top w:val="nil"/>
            </w:tcBorders>
          </w:tcPr>
          <w:p w:rsidR="00DB35F8" w:rsidRPr="002C0FAE" w:rsidRDefault="00DB35F8" w:rsidP="00BC6168">
            <w:pPr>
              <w:jc w:val="left"/>
              <w:rPr>
                <w:rFonts w:ascii="Arial Narrow" w:hAnsi="Arial Narrow"/>
                <w:sz w:val="20"/>
              </w:rPr>
            </w:pPr>
          </w:p>
        </w:tc>
        <w:tc>
          <w:tcPr>
            <w:tcW w:w="3300" w:type="pct"/>
            <w:tcBorders>
              <w:top w:val="nil"/>
            </w:tcBorders>
          </w:tcPr>
          <w:p w:rsidR="00DB35F8" w:rsidRPr="002C0FAE" w:rsidRDefault="00DB35F8" w:rsidP="00DB35F8">
            <w:pPr>
              <w:jc w:val="left"/>
              <w:rPr>
                <w:rFonts w:ascii="Arial Narrow" w:hAnsi="Arial Narrow"/>
                <w:sz w:val="20"/>
              </w:rPr>
            </w:pPr>
            <w:proofErr w:type="spellStart"/>
            <w:r w:rsidRPr="002C0FAE">
              <w:rPr>
                <w:rFonts w:ascii="Arial Narrow" w:hAnsi="Arial Narrow"/>
                <w:sz w:val="20"/>
              </w:rPr>
              <w:t>Korobelnik</w:t>
            </w:r>
            <w:proofErr w:type="spellEnd"/>
            <w:r w:rsidRPr="002C0FAE">
              <w:rPr>
                <w:rFonts w:ascii="Arial Narrow" w:hAnsi="Arial Narrow"/>
                <w:sz w:val="20"/>
              </w:rPr>
              <w:t xml:space="preserve"> JF, Do DV, Schmidt-</w:t>
            </w:r>
            <w:proofErr w:type="spellStart"/>
            <w:r w:rsidRPr="002C0FAE">
              <w:rPr>
                <w:rFonts w:ascii="Arial Narrow" w:hAnsi="Arial Narrow"/>
                <w:sz w:val="20"/>
              </w:rPr>
              <w:t>Erfurth</w:t>
            </w:r>
            <w:proofErr w:type="spellEnd"/>
            <w:r w:rsidRPr="002C0FAE">
              <w:rPr>
                <w:rFonts w:ascii="Arial Narrow" w:hAnsi="Arial Narrow"/>
                <w:sz w:val="20"/>
              </w:rPr>
              <w:t xml:space="preserve"> U, Boyer DS, </w:t>
            </w:r>
            <w:proofErr w:type="spellStart"/>
            <w:r w:rsidRPr="002C0FAE">
              <w:rPr>
                <w:rFonts w:ascii="Arial Narrow" w:hAnsi="Arial Narrow"/>
                <w:sz w:val="20"/>
              </w:rPr>
              <w:t>Holz</w:t>
            </w:r>
            <w:proofErr w:type="spellEnd"/>
            <w:r w:rsidRPr="002C0FAE">
              <w:rPr>
                <w:rFonts w:ascii="Arial Narrow" w:hAnsi="Arial Narrow"/>
                <w:sz w:val="20"/>
              </w:rPr>
              <w:t xml:space="preserve"> FG, </w:t>
            </w:r>
            <w:proofErr w:type="spellStart"/>
            <w:r w:rsidRPr="002C0FAE">
              <w:rPr>
                <w:rFonts w:ascii="Arial Narrow" w:hAnsi="Arial Narrow"/>
                <w:sz w:val="20"/>
              </w:rPr>
              <w:t>Heier</w:t>
            </w:r>
            <w:proofErr w:type="spellEnd"/>
            <w:r w:rsidRPr="002C0FAE">
              <w:rPr>
                <w:rFonts w:ascii="Arial Narrow" w:hAnsi="Arial Narrow"/>
                <w:sz w:val="20"/>
              </w:rPr>
              <w:t xml:space="preserve"> JS, </w:t>
            </w:r>
            <w:proofErr w:type="spellStart"/>
            <w:r w:rsidRPr="002C0FAE">
              <w:rPr>
                <w:rFonts w:ascii="Arial Narrow" w:hAnsi="Arial Narrow"/>
                <w:sz w:val="20"/>
              </w:rPr>
              <w:t>Midena</w:t>
            </w:r>
            <w:proofErr w:type="spellEnd"/>
            <w:r w:rsidRPr="002C0FAE">
              <w:rPr>
                <w:rFonts w:ascii="Arial Narrow" w:hAnsi="Arial Narrow"/>
                <w:sz w:val="20"/>
              </w:rPr>
              <w:t xml:space="preserve"> E, Kaiser PK, </w:t>
            </w:r>
            <w:proofErr w:type="spellStart"/>
            <w:r w:rsidRPr="002C0FAE">
              <w:rPr>
                <w:rFonts w:ascii="Arial Narrow" w:hAnsi="Arial Narrow"/>
                <w:sz w:val="20"/>
              </w:rPr>
              <w:t>Terasaki</w:t>
            </w:r>
            <w:proofErr w:type="spellEnd"/>
            <w:r w:rsidRPr="002C0FAE">
              <w:rPr>
                <w:rFonts w:ascii="Arial Narrow" w:hAnsi="Arial Narrow"/>
                <w:sz w:val="20"/>
              </w:rPr>
              <w:t xml:space="preserve"> H, Marcus DM, Nguyen QD, Jaffe GJ, </w:t>
            </w:r>
            <w:proofErr w:type="spellStart"/>
            <w:r w:rsidRPr="002C0FAE">
              <w:rPr>
                <w:rFonts w:ascii="Arial Narrow" w:hAnsi="Arial Narrow"/>
                <w:sz w:val="20"/>
              </w:rPr>
              <w:t>Slakter</w:t>
            </w:r>
            <w:proofErr w:type="spellEnd"/>
            <w:r w:rsidRPr="002C0FAE">
              <w:rPr>
                <w:rFonts w:ascii="Arial Narrow" w:hAnsi="Arial Narrow"/>
                <w:sz w:val="20"/>
              </w:rPr>
              <w:t xml:space="preserve"> JS, </w:t>
            </w:r>
            <w:proofErr w:type="spellStart"/>
            <w:r w:rsidRPr="002C0FAE">
              <w:rPr>
                <w:rFonts w:ascii="Arial Narrow" w:hAnsi="Arial Narrow"/>
                <w:sz w:val="20"/>
              </w:rPr>
              <w:t>Simader</w:t>
            </w:r>
            <w:proofErr w:type="spellEnd"/>
            <w:r w:rsidRPr="002C0FAE">
              <w:rPr>
                <w:rFonts w:ascii="Arial Narrow" w:hAnsi="Arial Narrow"/>
                <w:sz w:val="20"/>
              </w:rPr>
              <w:t xml:space="preserve"> C, </w:t>
            </w:r>
            <w:proofErr w:type="spellStart"/>
            <w:r w:rsidRPr="002C0FAE">
              <w:rPr>
                <w:rFonts w:ascii="Arial Narrow" w:hAnsi="Arial Narrow"/>
                <w:sz w:val="20"/>
              </w:rPr>
              <w:t>Soo</w:t>
            </w:r>
            <w:proofErr w:type="spellEnd"/>
            <w:r w:rsidRPr="002C0FAE">
              <w:rPr>
                <w:rFonts w:ascii="Arial Narrow" w:hAnsi="Arial Narrow"/>
                <w:sz w:val="20"/>
              </w:rPr>
              <w:t xml:space="preserve"> Y, </w:t>
            </w:r>
            <w:proofErr w:type="spellStart"/>
            <w:r w:rsidRPr="002C0FAE">
              <w:rPr>
                <w:rFonts w:ascii="Arial Narrow" w:hAnsi="Arial Narrow"/>
                <w:sz w:val="20"/>
              </w:rPr>
              <w:t>Schmelter</w:t>
            </w:r>
            <w:proofErr w:type="spellEnd"/>
            <w:r w:rsidRPr="002C0FAE">
              <w:rPr>
                <w:rFonts w:ascii="Arial Narrow" w:hAnsi="Arial Narrow"/>
                <w:sz w:val="20"/>
              </w:rPr>
              <w:t xml:space="preserve"> T, </w:t>
            </w:r>
            <w:proofErr w:type="spellStart"/>
            <w:r w:rsidRPr="002C0FAE">
              <w:rPr>
                <w:rFonts w:ascii="Arial Narrow" w:hAnsi="Arial Narrow"/>
                <w:sz w:val="20"/>
              </w:rPr>
              <w:t>Yancopoulos</w:t>
            </w:r>
            <w:proofErr w:type="spellEnd"/>
            <w:r w:rsidRPr="002C0FAE">
              <w:rPr>
                <w:rFonts w:ascii="Arial Narrow" w:hAnsi="Arial Narrow"/>
                <w:sz w:val="20"/>
              </w:rPr>
              <w:t xml:space="preserve"> GD, Stahl N, </w:t>
            </w:r>
            <w:proofErr w:type="spellStart"/>
            <w:r w:rsidRPr="002C0FAE">
              <w:rPr>
                <w:rFonts w:ascii="Arial Narrow" w:hAnsi="Arial Narrow"/>
                <w:sz w:val="20"/>
              </w:rPr>
              <w:t>Vitti</w:t>
            </w:r>
            <w:proofErr w:type="spellEnd"/>
            <w:r w:rsidRPr="002C0FAE">
              <w:rPr>
                <w:rFonts w:ascii="Arial Narrow" w:hAnsi="Arial Narrow"/>
                <w:sz w:val="20"/>
              </w:rPr>
              <w:t xml:space="preserve"> R, Berliner AJ, </w:t>
            </w:r>
            <w:proofErr w:type="spellStart"/>
            <w:r w:rsidRPr="002C0FAE">
              <w:rPr>
                <w:rFonts w:ascii="Arial Narrow" w:hAnsi="Arial Narrow"/>
                <w:sz w:val="20"/>
              </w:rPr>
              <w:t>Zeitz</w:t>
            </w:r>
            <w:proofErr w:type="spellEnd"/>
            <w:r w:rsidRPr="002C0FAE">
              <w:rPr>
                <w:rFonts w:ascii="Arial Narrow" w:hAnsi="Arial Narrow"/>
                <w:sz w:val="20"/>
              </w:rPr>
              <w:t xml:space="preserve"> O, </w:t>
            </w:r>
            <w:proofErr w:type="spellStart"/>
            <w:r w:rsidRPr="002C0FAE">
              <w:rPr>
                <w:rFonts w:ascii="Arial Narrow" w:hAnsi="Arial Narrow"/>
                <w:sz w:val="20"/>
              </w:rPr>
              <w:t>Metzig</w:t>
            </w:r>
            <w:proofErr w:type="spellEnd"/>
            <w:r w:rsidRPr="002C0FAE">
              <w:rPr>
                <w:rFonts w:ascii="Arial Narrow" w:hAnsi="Arial Narrow"/>
                <w:sz w:val="20"/>
              </w:rPr>
              <w:t xml:space="preserve"> C, Brown DM</w:t>
            </w:r>
          </w:p>
          <w:p w:rsidR="00DB35F8" w:rsidRPr="002C0FAE" w:rsidRDefault="00DB35F8" w:rsidP="00DB35F8">
            <w:pPr>
              <w:jc w:val="left"/>
              <w:rPr>
                <w:rFonts w:ascii="Arial Narrow" w:hAnsi="Arial Narrow"/>
                <w:sz w:val="20"/>
              </w:rPr>
            </w:pPr>
            <w:r w:rsidRPr="002C0FAE">
              <w:rPr>
                <w:rFonts w:ascii="Arial Narrow" w:hAnsi="Arial Narrow"/>
                <w:sz w:val="20"/>
              </w:rPr>
              <w:t xml:space="preserve">Intravitreal Aflibercept for Diabetic Macular </w:t>
            </w:r>
            <w:proofErr w:type="spellStart"/>
            <w:r w:rsidRPr="002C0FAE">
              <w:rPr>
                <w:rFonts w:ascii="Arial Narrow" w:hAnsi="Arial Narrow"/>
                <w:sz w:val="20"/>
              </w:rPr>
              <w:t>Edema</w:t>
            </w:r>
            <w:proofErr w:type="spellEnd"/>
          </w:p>
        </w:tc>
        <w:tc>
          <w:tcPr>
            <w:tcW w:w="1018" w:type="pct"/>
            <w:tcBorders>
              <w:top w:val="nil"/>
            </w:tcBorders>
          </w:tcPr>
          <w:p w:rsidR="002C0FAE" w:rsidRPr="002C0FAE" w:rsidRDefault="00DB35F8" w:rsidP="00497CE1">
            <w:pPr>
              <w:jc w:val="left"/>
              <w:rPr>
                <w:rFonts w:ascii="Arial Narrow" w:hAnsi="Arial Narrow"/>
                <w:sz w:val="20"/>
              </w:rPr>
            </w:pPr>
            <w:r w:rsidRPr="002C0FAE">
              <w:rPr>
                <w:rFonts w:ascii="Arial Narrow" w:hAnsi="Arial Narrow"/>
                <w:sz w:val="20"/>
              </w:rPr>
              <w:t xml:space="preserve">Ophthalmology. 2014. </w:t>
            </w:r>
            <w:proofErr w:type="spellStart"/>
            <w:r w:rsidRPr="002C0FAE">
              <w:rPr>
                <w:rFonts w:ascii="Arial Narrow" w:hAnsi="Arial Narrow"/>
                <w:sz w:val="20"/>
              </w:rPr>
              <w:t>pii</w:t>
            </w:r>
            <w:proofErr w:type="spellEnd"/>
            <w:r w:rsidRPr="002C0FAE">
              <w:rPr>
                <w:rFonts w:ascii="Arial Narrow" w:hAnsi="Arial Narrow"/>
                <w:sz w:val="20"/>
              </w:rPr>
              <w:t>: S0161-6420(14)00426-6</w:t>
            </w:r>
          </w:p>
        </w:tc>
      </w:tr>
      <w:tr w:rsidR="002C0FAE" w:rsidRPr="002C0FAE">
        <w:trPr>
          <w:trHeight w:val="864"/>
        </w:trPr>
        <w:tc>
          <w:tcPr>
            <w:tcW w:w="682" w:type="pct"/>
            <w:tcBorders>
              <w:bottom w:val="nil"/>
            </w:tcBorders>
          </w:tcPr>
          <w:p w:rsidR="002C0FAE" w:rsidRPr="002C0FAE" w:rsidRDefault="002C0FAE" w:rsidP="00BC6168">
            <w:pPr>
              <w:jc w:val="left"/>
              <w:rPr>
                <w:rFonts w:ascii="Arial Narrow" w:hAnsi="Arial Narrow"/>
                <w:sz w:val="20"/>
              </w:rPr>
            </w:pPr>
            <w:r w:rsidRPr="002C0FAE">
              <w:rPr>
                <w:rFonts w:ascii="Arial Narrow" w:hAnsi="Arial Narrow"/>
                <w:sz w:val="20"/>
              </w:rPr>
              <w:t xml:space="preserve">VISTA </w:t>
            </w:r>
          </w:p>
          <w:p w:rsidR="002C0FAE" w:rsidRPr="002C0FAE" w:rsidRDefault="002C0FAE" w:rsidP="00BC6168">
            <w:pPr>
              <w:jc w:val="left"/>
              <w:rPr>
                <w:rFonts w:ascii="Arial Narrow" w:hAnsi="Arial Narrow"/>
                <w:sz w:val="20"/>
              </w:rPr>
            </w:pPr>
            <w:r w:rsidRPr="002C0FAE">
              <w:rPr>
                <w:rFonts w:ascii="Arial Narrow" w:hAnsi="Arial Narrow"/>
                <w:sz w:val="20"/>
              </w:rPr>
              <w:t>(VGFT-OD-1009)</w:t>
            </w:r>
          </w:p>
        </w:tc>
        <w:tc>
          <w:tcPr>
            <w:tcW w:w="3300" w:type="pct"/>
            <w:tcBorders>
              <w:bottom w:val="nil"/>
            </w:tcBorders>
          </w:tcPr>
          <w:p w:rsidR="002C0FAE" w:rsidRPr="002C0FAE" w:rsidRDefault="002C0FAE" w:rsidP="00BC6168">
            <w:pPr>
              <w:jc w:val="left"/>
              <w:rPr>
                <w:rFonts w:ascii="Arial Narrow" w:hAnsi="Arial Narrow"/>
                <w:sz w:val="20"/>
              </w:rPr>
            </w:pPr>
            <w:r w:rsidRPr="002C0FAE">
              <w:rPr>
                <w:rFonts w:ascii="Arial Narrow" w:hAnsi="Arial Narrow"/>
                <w:sz w:val="20"/>
              </w:rPr>
              <w:t xml:space="preserve">A Double-Masked, Randomized, Active-Controlled, Phase 3 Study of the Efficacy and Safety of Intravitreal Administration of VEGF Trap-Eye in Patients with Diabetic Macular </w:t>
            </w:r>
            <w:proofErr w:type="spellStart"/>
            <w:r w:rsidRPr="002C0FAE">
              <w:rPr>
                <w:rFonts w:ascii="Arial Narrow" w:hAnsi="Arial Narrow"/>
                <w:sz w:val="20"/>
              </w:rPr>
              <w:t>Edema</w:t>
            </w:r>
            <w:proofErr w:type="spellEnd"/>
          </w:p>
        </w:tc>
        <w:tc>
          <w:tcPr>
            <w:tcW w:w="1018" w:type="pct"/>
            <w:tcBorders>
              <w:bottom w:val="nil"/>
            </w:tcBorders>
          </w:tcPr>
          <w:p w:rsidR="002C0FAE" w:rsidRPr="002C0FAE" w:rsidRDefault="002C0FAE" w:rsidP="00497CE1">
            <w:pPr>
              <w:jc w:val="left"/>
              <w:rPr>
                <w:rFonts w:ascii="Arial Narrow" w:hAnsi="Arial Narrow"/>
                <w:sz w:val="20"/>
              </w:rPr>
            </w:pPr>
            <w:r w:rsidRPr="002C0FAE">
              <w:rPr>
                <w:rFonts w:ascii="Arial Narrow" w:hAnsi="Arial Narrow"/>
                <w:sz w:val="20"/>
              </w:rPr>
              <w:t>2013</w:t>
            </w:r>
          </w:p>
        </w:tc>
      </w:tr>
      <w:tr w:rsidR="002C0FAE" w:rsidRPr="002C0FAE">
        <w:trPr>
          <w:trHeight w:val="864"/>
        </w:trPr>
        <w:tc>
          <w:tcPr>
            <w:tcW w:w="682" w:type="pct"/>
            <w:tcBorders>
              <w:top w:val="nil"/>
            </w:tcBorders>
          </w:tcPr>
          <w:p w:rsidR="002C0FAE" w:rsidRPr="002C0FAE" w:rsidRDefault="002C0FAE" w:rsidP="00BC6168">
            <w:pPr>
              <w:jc w:val="left"/>
              <w:rPr>
                <w:rFonts w:ascii="Arial Narrow" w:hAnsi="Arial Narrow"/>
                <w:sz w:val="20"/>
              </w:rPr>
            </w:pPr>
          </w:p>
        </w:tc>
        <w:tc>
          <w:tcPr>
            <w:tcW w:w="3300" w:type="pct"/>
            <w:tcBorders>
              <w:top w:val="nil"/>
            </w:tcBorders>
          </w:tcPr>
          <w:p w:rsidR="002C0FAE" w:rsidRPr="002C0FAE" w:rsidRDefault="002C0FAE" w:rsidP="002C0FAE">
            <w:pPr>
              <w:jc w:val="left"/>
              <w:rPr>
                <w:rFonts w:ascii="Arial Narrow" w:hAnsi="Arial Narrow"/>
                <w:sz w:val="20"/>
              </w:rPr>
            </w:pPr>
            <w:proofErr w:type="spellStart"/>
            <w:r w:rsidRPr="002C0FAE">
              <w:rPr>
                <w:rFonts w:ascii="Arial Narrow" w:hAnsi="Arial Narrow"/>
                <w:sz w:val="20"/>
              </w:rPr>
              <w:t>Korobelnik</w:t>
            </w:r>
            <w:proofErr w:type="spellEnd"/>
            <w:r w:rsidRPr="002C0FAE">
              <w:rPr>
                <w:rFonts w:ascii="Arial Narrow" w:hAnsi="Arial Narrow"/>
                <w:sz w:val="20"/>
              </w:rPr>
              <w:t xml:space="preserve"> JF, Do DV, Schmidt-</w:t>
            </w:r>
            <w:proofErr w:type="spellStart"/>
            <w:r w:rsidRPr="002C0FAE">
              <w:rPr>
                <w:rFonts w:ascii="Arial Narrow" w:hAnsi="Arial Narrow"/>
                <w:sz w:val="20"/>
              </w:rPr>
              <w:t>Erfurth</w:t>
            </w:r>
            <w:proofErr w:type="spellEnd"/>
            <w:r w:rsidRPr="002C0FAE">
              <w:rPr>
                <w:rFonts w:ascii="Arial Narrow" w:hAnsi="Arial Narrow"/>
                <w:sz w:val="20"/>
              </w:rPr>
              <w:t xml:space="preserve"> U, Boyer DS, </w:t>
            </w:r>
            <w:proofErr w:type="spellStart"/>
            <w:r w:rsidRPr="002C0FAE">
              <w:rPr>
                <w:rFonts w:ascii="Arial Narrow" w:hAnsi="Arial Narrow"/>
                <w:sz w:val="20"/>
              </w:rPr>
              <w:t>Holz</w:t>
            </w:r>
            <w:proofErr w:type="spellEnd"/>
            <w:r w:rsidRPr="002C0FAE">
              <w:rPr>
                <w:rFonts w:ascii="Arial Narrow" w:hAnsi="Arial Narrow"/>
                <w:sz w:val="20"/>
              </w:rPr>
              <w:t xml:space="preserve"> FG, </w:t>
            </w:r>
            <w:proofErr w:type="spellStart"/>
            <w:r w:rsidRPr="002C0FAE">
              <w:rPr>
                <w:rFonts w:ascii="Arial Narrow" w:hAnsi="Arial Narrow"/>
                <w:sz w:val="20"/>
              </w:rPr>
              <w:t>Heier</w:t>
            </w:r>
            <w:proofErr w:type="spellEnd"/>
            <w:r w:rsidRPr="002C0FAE">
              <w:rPr>
                <w:rFonts w:ascii="Arial Narrow" w:hAnsi="Arial Narrow"/>
                <w:sz w:val="20"/>
              </w:rPr>
              <w:t xml:space="preserve"> JS, </w:t>
            </w:r>
            <w:proofErr w:type="spellStart"/>
            <w:r w:rsidRPr="002C0FAE">
              <w:rPr>
                <w:rFonts w:ascii="Arial Narrow" w:hAnsi="Arial Narrow"/>
                <w:sz w:val="20"/>
              </w:rPr>
              <w:t>Midena</w:t>
            </w:r>
            <w:proofErr w:type="spellEnd"/>
            <w:r w:rsidRPr="002C0FAE">
              <w:rPr>
                <w:rFonts w:ascii="Arial Narrow" w:hAnsi="Arial Narrow"/>
                <w:sz w:val="20"/>
              </w:rPr>
              <w:t xml:space="preserve"> E, Kaiser PK, </w:t>
            </w:r>
            <w:proofErr w:type="spellStart"/>
            <w:r w:rsidRPr="002C0FAE">
              <w:rPr>
                <w:rFonts w:ascii="Arial Narrow" w:hAnsi="Arial Narrow"/>
                <w:sz w:val="20"/>
              </w:rPr>
              <w:t>Terasaki</w:t>
            </w:r>
            <w:proofErr w:type="spellEnd"/>
            <w:r w:rsidRPr="002C0FAE">
              <w:rPr>
                <w:rFonts w:ascii="Arial Narrow" w:hAnsi="Arial Narrow"/>
                <w:sz w:val="20"/>
              </w:rPr>
              <w:t xml:space="preserve"> H, Marcus DM, Nguyen QD, Jaffe GJ, </w:t>
            </w:r>
            <w:proofErr w:type="spellStart"/>
            <w:r w:rsidRPr="002C0FAE">
              <w:rPr>
                <w:rFonts w:ascii="Arial Narrow" w:hAnsi="Arial Narrow"/>
                <w:sz w:val="20"/>
              </w:rPr>
              <w:t>Slakter</w:t>
            </w:r>
            <w:proofErr w:type="spellEnd"/>
            <w:r w:rsidRPr="002C0FAE">
              <w:rPr>
                <w:rFonts w:ascii="Arial Narrow" w:hAnsi="Arial Narrow"/>
                <w:sz w:val="20"/>
              </w:rPr>
              <w:t xml:space="preserve"> JS, </w:t>
            </w:r>
            <w:proofErr w:type="spellStart"/>
            <w:r w:rsidRPr="002C0FAE">
              <w:rPr>
                <w:rFonts w:ascii="Arial Narrow" w:hAnsi="Arial Narrow"/>
                <w:sz w:val="20"/>
              </w:rPr>
              <w:t>Simader</w:t>
            </w:r>
            <w:proofErr w:type="spellEnd"/>
            <w:r w:rsidRPr="002C0FAE">
              <w:rPr>
                <w:rFonts w:ascii="Arial Narrow" w:hAnsi="Arial Narrow"/>
                <w:sz w:val="20"/>
              </w:rPr>
              <w:t xml:space="preserve"> C, </w:t>
            </w:r>
            <w:proofErr w:type="spellStart"/>
            <w:r w:rsidRPr="002C0FAE">
              <w:rPr>
                <w:rFonts w:ascii="Arial Narrow" w:hAnsi="Arial Narrow"/>
                <w:sz w:val="20"/>
              </w:rPr>
              <w:t>Soo</w:t>
            </w:r>
            <w:proofErr w:type="spellEnd"/>
            <w:r w:rsidRPr="002C0FAE">
              <w:rPr>
                <w:rFonts w:ascii="Arial Narrow" w:hAnsi="Arial Narrow"/>
                <w:sz w:val="20"/>
              </w:rPr>
              <w:t xml:space="preserve"> Y, </w:t>
            </w:r>
            <w:proofErr w:type="spellStart"/>
            <w:r w:rsidRPr="002C0FAE">
              <w:rPr>
                <w:rFonts w:ascii="Arial Narrow" w:hAnsi="Arial Narrow"/>
                <w:sz w:val="20"/>
              </w:rPr>
              <w:t>Schmelter</w:t>
            </w:r>
            <w:proofErr w:type="spellEnd"/>
            <w:r w:rsidRPr="002C0FAE">
              <w:rPr>
                <w:rFonts w:ascii="Arial Narrow" w:hAnsi="Arial Narrow"/>
                <w:sz w:val="20"/>
              </w:rPr>
              <w:t xml:space="preserve"> T, </w:t>
            </w:r>
            <w:proofErr w:type="spellStart"/>
            <w:r w:rsidRPr="002C0FAE">
              <w:rPr>
                <w:rFonts w:ascii="Arial Narrow" w:hAnsi="Arial Narrow"/>
                <w:sz w:val="20"/>
              </w:rPr>
              <w:t>Yancopoulos</w:t>
            </w:r>
            <w:proofErr w:type="spellEnd"/>
            <w:r w:rsidRPr="002C0FAE">
              <w:rPr>
                <w:rFonts w:ascii="Arial Narrow" w:hAnsi="Arial Narrow"/>
                <w:sz w:val="20"/>
              </w:rPr>
              <w:t xml:space="preserve"> GD, Stahl N, </w:t>
            </w:r>
            <w:proofErr w:type="spellStart"/>
            <w:r w:rsidRPr="002C0FAE">
              <w:rPr>
                <w:rFonts w:ascii="Arial Narrow" w:hAnsi="Arial Narrow"/>
                <w:sz w:val="20"/>
              </w:rPr>
              <w:t>Vitti</w:t>
            </w:r>
            <w:proofErr w:type="spellEnd"/>
            <w:r w:rsidRPr="002C0FAE">
              <w:rPr>
                <w:rFonts w:ascii="Arial Narrow" w:hAnsi="Arial Narrow"/>
                <w:sz w:val="20"/>
              </w:rPr>
              <w:t xml:space="preserve"> R, Berliner AJ, </w:t>
            </w:r>
            <w:proofErr w:type="spellStart"/>
            <w:r w:rsidRPr="002C0FAE">
              <w:rPr>
                <w:rFonts w:ascii="Arial Narrow" w:hAnsi="Arial Narrow"/>
                <w:sz w:val="20"/>
              </w:rPr>
              <w:t>Zeitz</w:t>
            </w:r>
            <w:proofErr w:type="spellEnd"/>
            <w:r w:rsidRPr="002C0FAE">
              <w:rPr>
                <w:rFonts w:ascii="Arial Narrow" w:hAnsi="Arial Narrow"/>
                <w:sz w:val="20"/>
              </w:rPr>
              <w:t xml:space="preserve"> O, </w:t>
            </w:r>
            <w:proofErr w:type="spellStart"/>
            <w:r w:rsidRPr="002C0FAE">
              <w:rPr>
                <w:rFonts w:ascii="Arial Narrow" w:hAnsi="Arial Narrow"/>
                <w:sz w:val="20"/>
              </w:rPr>
              <w:t>Metzig</w:t>
            </w:r>
            <w:proofErr w:type="spellEnd"/>
            <w:r w:rsidRPr="002C0FAE">
              <w:rPr>
                <w:rFonts w:ascii="Arial Narrow" w:hAnsi="Arial Narrow"/>
                <w:sz w:val="20"/>
              </w:rPr>
              <w:t xml:space="preserve"> C, Brown DM</w:t>
            </w:r>
          </w:p>
          <w:p w:rsidR="002C0FAE" w:rsidRPr="002C0FAE" w:rsidRDefault="002C0FAE" w:rsidP="002C0FAE">
            <w:pPr>
              <w:jc w:val="left"/>
              <w:rPr>
                <w:rFonts w:ascii="Arial Narrow" w:hAnsi="Arial Narrow"/>
                <w:sz w:val="20"/>
              </w:rPr>
            </w:pPr>
            <w:r w:rsidRPr="002C0FAE">
              <w:rPr>
                <w:rFonts w:ascii="Arial Narrow" w:hAnsi="Arial Narrow"/>
                <w:sz w:val="20"/>
              </w:rPr>
              <w:t xml:space="preserve">Intravitreal Aflibercept for Diabetic Macular </w:t>
            </w:r>
            <w:proofErr w:type="spellStart"/>
            <w:r w:rsidRPr="002C0FAE">
              <w:rPr>
                <w:rFonts w:ascii="Arial Narrow" w:hAnsi="Arial Narrow"/>
                <w:sz w:val="20"/>
              </w:rPr>
              <w:t>Edema</w:t>
            </w:r>
            <w:proofErr w:type="spellEnd"/>
          </w:p>
        </w:tc>
        <w:tc>
          <w:tcPr>
            <w:tcW w:w="1018" w:type="pct"/>
            <w:tcBorders>
              <w:top w:val="nil"/>
            </w:tcBorders>
          </w:tcPr>
          <w:p w:rsidR="002C0FAE" w:rsidRPr="002C0FAE" w:rsidRDefault="002C0FAE" w:rsidP="00497CE1">
            <w:pPr>
              <w:jc w:val="left"/>
              <w:rPr>
                <w:rFonts w:ascii="Arial Narrow" w:hAnsi="Arial Narrow"/>
                <w:sz w:val="20"/>
              </w:rPr>
            </w:pPr>
            <w:r w:rsidRPr="002C0FAE">
              <w:rPr>
                <w:rFonts w:ascii="Arial Narrow" w:hAnsi="Arial Narrow"/>
                <w:sz w:val="20"/>
              </w:rPr>
              <w:t xml:space="preserve">Ophthalmology. 2014. </w:t>
            </w:r>
            <w:proofErr w:type="spellStart"/>
            <w:r w:rsidRPr="002C0FAE">
              <w:rPr>
                <w:rFonts w:ascii="Arial Narrow" w:hAnsi="Arial Narrow"/>
                <w:sz w:val="20"/>
              </w:rPr>
              <w:t>pii</w:t>
            </w:r>
            <w:proofErr w:type="spellEnd"/>
            <w:r w:rsidRPr="002C0FAE">
              <w:rPr>
                <w:rFonts w:ascii="Arial Narrow" w:hAnsi="Arial Narrow"/>
                <w:sz w:val="20"/>
              </w:rPr>
              <w:t>: S0161-6420(14)00426-6</w:t>
            </w:r>
          </w:p>
        </w:tc>
      </w:tr>
      <w:tr w:rsidR="00B81D54" w:rsidRPr="0080376A">
        <w:tc>
          <w:tcPr>
            <w:tcW w:w="5000" w:type="pct"/>
            <w:gridSpan w:val="3"/>
          </w:tcPr>
          <w:p w:rsidR="00B81D54" w:rsidRPr="0080376A" w:rsidRDefault="00B81D54" w:rsidP="00BC6168">
            <w:pPr>
              <w:jc w:val="left"/>
              <w:rPr>
                <w:rFonts w:ascii="Arial Narrow" w:hAnsi="Arial Narrow"/>
                <w:b/>
                <w:sz w:val="20"/>
              </w:rPr>
            </w:pPr>
            <w:r w:rsidRPr="0080376A">
              <w:rPr>
                <w:rFonts w:ascii="Arial Narrow" w:hAnsi="Arial Narrow"/>
                <w:b/>
                <w:sz w:val="20"/>
              </w:rPr>
              <w:t xml:space="preserve">Ranibizumab trials </w:t>
            </w:r>
          </w:p>
        </w:tc>
      </w:tr>
      <w:tr w:rsidR="00B81D54" w:rsidRPr="0080376A">
        <w:tc>
          <w:tcPr>
            <w:tcW w:w="682" w:type="pct"/>
            <w:vMerge w:val="restart"/>
          </w:tcPr>
          <w:p w:rsidR="00B81D54" w:rsidRPr="0080376A" w:rsidRDefault="00B81D54" w:rsidP="00BC6168">
            <w:pPr>
              <w:jc w:val="left"/>
              <w:rPr>
                <w:rFonts w:ascii="Arial Narrow" w:hAnsi="Arial Narrow"/>
                <w:sz w:val="20"/>
              </w:rPr>
            </w:pPr>
            <w:r w:rsidRPr="0080376A">
              <w:rPr>
                <w:rFonts w:ascii="Arial Narrow" w:hAnsi="Arial Narrow"/>
                <w:sz w:val="20"/>
              </w:rPr>
              <w:t>RESTORE</w:t>
            </w:r>
          </w:p>
        </w:tc>
        <w:tc>
          <w:tcPr>
            <w:tcW w:w="3300" w:type="pct"/>
            <w:tcBorders>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Schmidt-</w:t>
            </w:r>
            <w:proofErr w:type="spellStart"/>
            <w:r w:rsidRPr="0080376A">
              <w:rPr>
                <w:rFonts w:ascii="Arial Narrow" w:hAnsi="Arial Narrow"/>
                <w:sz w:val="20"/>
              </w:rPr>
              <w:t>Erfurth</w:t>
            </w:r>
            <w:proofErr w:type="spellEnd"/>
            <w:r w:rsidRPr="0080376A">
              <w:rPr>
                <w:rFonts w:ascii="Arial Narrow" w:hAnsi="Arial Narrow"/>
                <w:sz w:val="20"/>
              </w:rPr>
              <w:t xml:space="preserve"> U, Lang GE, </w:t>
            </w:r>
            <w:proofErr w:type="spellStart"/>
            <w:r w:rsidRPr="0080376A">
              <w:rPr>
                <w:rFonts w:ascii="Arial Narrow" w:hAnsi="Arial Narrow"/>
                <w:sz w:val="20"/>
              </w:rPr>
              <w:t>Holz</w:t>
            </w:r>
            <w:proofErr w:type="spellEnd"/>
            <w:r w:rsidRPr="0080376A">
              <w:rPr>
                <w:rFonts w:ascii="Arial Narrow" w:hAnsi="Arial Narrow"/>
                <w:sz w:val="20"/>
              </w:rPr>
              <w:t xml:space="preserve"> FG, </w:t>
            </w:r>
            <w:proofErr w:type="spellStart"/>
            <w:r w:rsidRPr="0080376A">
              <w:rPr>
                <w:rFonts w:ascii="Arial Narrow" w:hAnsi="Arial Narrow"/>
                <w:sz w:val="20"/>
              </w:rPr>
              <w:t>Schlingemann</w:t>
            </w:r>
            <w:proofErr w:type="spellEnd"/>
            <w:r w:rsidRPr="0080376A">
              <w:rPr>
                <w:rFonts w:ascii="Arial Narrow" w:hAnsi="Arial Narrow"/>
                <w:sz w:val="20"/>
              </w:rPr>
              <w:t xml:space="preserve"> RO, </w:t>
            </w:r>
            <w:proofErr w:type="spellStart"/>
            <w:r w:rsidRPr="0080376A">
              <w:rPr>
                <w:rFonts w:ascii="Arial Narrow" w:hAnsi="Arial Narrow"/>
                <w:sz w:val="20"/>
              </w:rPr>
              <w:t>Lanzetta</w:t>
            </w:r>
            <w:proofErr w:type="spellEnd"/>
            <w:r w:rsidRPr="0080376A">
              <w:rPr>
                <w:rFonts w:ascii="Arial Narrow" w:hAnsi="Arial Narrow"/>
                <w:sz w:val="20"/>
              </w:rPr>
              <w:t xml:space="preserve"> P, </w:t>
            </w:r>
            <w:proofErr w:type="spellStart"/>
            <w:r w:rsidRPr="0080376A">
              <w:rPr>
                <w:rFonts w:ascii="Arial Narrow" w:hAnsi="Arial Narrow"/>
                <w:sz w:val="20"/>
              </w:rPr>
              <w:t>Massin</w:t>
            </w:r>
            <w:proofErr w:type="spellEnd"/>
            <w:r w:rsidRPr="0080376A">
              <w:rPr>
                <w:rFonts w:ascii="Arial Narrow" w:hAnsi="Arial Narrow"/>
                <w:sz w:val="20"/>
              </w:rPr>
              <w:t xml:space="preserve"> P, Gerstner O, </w:t>
            </w:r>
            <w:proofErr w:type="spellStart"/>
            <w:r w:rsidRPr="0080376A">
              <w:rPr>
                <w:rFonts w:ascii="Arial Narrow" w:hAnsi="Arial Narrow"/>
                <w:sz w:val="20"/>
              </w:rPr>
              <w:t>Bouazza</w:t>
            </w:r>
            <w:proofErr w:type="spellEnd"/>
            <w:r w:rsidRPr="0080376A">
              <w:rPr>
                <w:rFonts w:ascii="Arial Narrow" w:hAnsi="Arial Narrow"/>
                <w:sz w:val="20"/>
              </w:rPr>
              <w:t xml:space="preserve"> AS, Shen H, Osborne A, Mitchell P; RESTORE Extension Study Group. Three-year outcomes of individualized ranibizumab treatment in patients with diabetic macular </w:t>
            </w:r>
            <w:proofErr w:type="spellStart"/>
            <w:r w:rsidRPr="0080376A">
              <w:rPr>
                <w:rFonts w:ascii="Arial Narrow" w:hAnsi="Arial Narrow"/>
                <w:sz w:val="20"/>
              </w:rPr>
              <w:t>edema</w:t>
            </w:r>
            <w:proofErr w:type="spellEnd"/>
            <w:r w:rsidRPr="0080376A">
              <w:rPr>
                <w:rFonts w:ascii="Arial Narrow" w:hAnsi="Arial Narrow"/>
                <w:sz w:val="20"/>
              </w:rPr>
              <w:t>: the RESTORE extension study.</w:t>
            </w:r>
          </w:p>
          <w:p w:rsidR="00B81D54" w:rsidRPr="0080376A" w:rsidRDefault="00B81D54" w:rsidP="00BC6168">
            <w:pPr>
              <w:jc w:val="left"/>
              <w:rPr>
                <w:rFonts w:ascii="Arial Narrow" w:hAnsi="Arial Narrow"/>
                <w:sz w:val="20"/>
              </w:rPr>
            </w:pPr>
          </w:p>
        </w:tc>
        <w:tc>
          <w:tcPr>
            <w:tcW w:w="1018" w:type="pct"/>
            <w:tcBorders>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Ophthalmology. 2014; 121(5):1045-1053</w:t>
            </w:r>
          </w:p>
        </w:tc>
      </w:tr>
      <w:tr w:rsidR="00B81D54" w:rsidRPr="0080376A">
        <w:tc>
          <w:tcPr>
            <w:tcW w:w="682" w:type="pct"/>
            <w:vMerge/>
          </w:tcPr>
          <w:p w:rsidR="00B81D54" w:rsidRPr="0080376A" w:rsidRDefault="00B81D54" w:rsidP="00BC6168">
            <w:pPr>
              <w:jc w:val="left"/>
              <w:rPr>
                <w:rFonts w:ascii="Arial Narrow" w:hAnsi="Arial Narrow"/>
                <w:sz w:val="20"/>
              </w:rPr>
            </w:pPr>
          </w:p>
        </w:tc>
        <w:tc>
          <w:tcPr>
            <w:tcW w:w="3300" w:type="pct"/>
            <w:tcBorders>
              <w:top w:val="nil"/>
              <w:bottom w:val="nil"/>
            </w:tcBorders>
          </w:tcPr>
          <w:p w:rsidR="00B81D54" w:rsidRPr="0080376A" w:rsidRDefault="00B81D54" w:rsidP="00BC6168">
            <w:pPr>
              <w:jc w:val="left"/>
              <w:rPr>
                <w:rFonts w:ascii="Arial Narrow" w:hAnsi="Arial Narrow"/>
                <w:sz w:val="20"/>
              </w:rPr>
            </w:pPr>
            <w:proofErr w:type="spellStart"/>
            <w:r w:rsidRPr="0080376A">
              <w:rPr>
                <w:rFonts w:ascii="Arial Narrow" w:hAnsi="Arial Narrow"/>
                <w:sz w:val="20"/>
              </w:rPr>
              <w:t>Boixadera</w:t>
            </w:r>
            <w:proofErr w:type="spellEnd"/>
            <w:r w:rsidRPr="0080376A">
              <w:rPr>
                <w:rFonts w:ascii="Arial Narrow" w:hAnsi="Arial Narrow"/>
                <w:sz w:val="20"/>
              </w:rPr>
              <w:t xml:space="preserve"> A, Garcia-</w:t>
            </w:r>
            <w:proofErr w:type="spellStart"/>
            <w:r w:rsidRPr="0080376A">
              <w:rPr>
                <w:rFonts w:ascii="Arial Narrow" w:hAnsi="Arial Narrow"/>
                <w:sz w:val="20"/>
              </w:rPr>
              <w:t>Arumi</w:t>
            </w:r>
            <w:proofErr w:type="spellEnd"/>
            <w:r w:rsidRPr="0080376A">
              <w:rPr>
                <w:rFonts w:ascii="Arial Narrow" w:hAnsi="Arial Narrow"/>
                <w:sz w:val="20"/>
              </w:rPr>
              <w:t xml:space="preserve"> J. 36-month safety and efficacy of ranibizumab in diabetic macular oedema: The RESTORE extension study (final </w:t>
            </w:r>
            <w:r w:rsidRPr="0080376A">
              <w:rPr>
                <w:rFonts w:ascii="Arial Narrow" w:hAnsi="Arial Narrow"/>
                <w:sz w:val="20"/>
              </w:rPr>
              <w:lastRenderedPageBreak/>
              <w:t xml:space="preserve">analysis). </w:t>
            </w:r>
          </w:p>
          <w:p w:rsidR="00B81D54" w:rsidRPr="0080376A" w:rsidRDefault="00B81D54" w:rsidP="00BC6168">
            <w:pPr>
              <w:jc w:val="left"/>
              <w:rPr>
                <w:rFonts w:ascii="Arial Narrow" w:hAnsi="Arial Narrow"/>
                <w:sz w:val="20"/>
              </w:rPr>
            </w:pPr>
          </w:p>
        </w:tc>
        <w:tc>
          <w:tcPr>
            <w:tcW w:w="1018" w:type="pct"/>
            <w:tcBorders>
              <w:top w:val="nil"/>
              <w:bottom w:val="nil"/>
            </w:tcBorders>
          </w:tcPr>
          <w:p w:rsidR="00B81D54" w:rsidRPr="0080376A" w:rsidRDefault="00B81D54" w:rsidP="00BC6168">
            <w:pPr>
              <w:jc w:val="left"/>
              <w:rPr>
                <w:rFonts w:ascii="Arial Narrow" w:hAnsi="Arial Narrow"/>
                <w:sz w:val="20"/>
              </w:rPr>
            </w:pPr>
            <w:proofErr w:type="spellStart"/>
            <w:r w:rsidRPr="0080376A">
              <w:rPr>
                <w:rFonts w:ascii="Arial Narrow" w:hAnsi="Arial Narrow"/>
                <w:sz w:val="20"/>
              </w:rPr>
              <w:lastRenderedPageBreak/>
              <w:t>Diabetologica</w:t>
            </w:r>
            <w:proofErr w:type="spellEnd"/>
            <w:r w:rsidRPr="0080376A">
              <w:rPr>
                <w:rFonts w:ascii="Arial Narrow" w:hAnsi="Arial Narrow"/>
                <w:sz w:val="20"/>
              </w:rPr>
              <w:t>. 2013; 56:S28-29</w:t>
            </w:r>
          </w:p>
        </w:tc>
      </w:tr>
      <w:tr w:rsidR="00B81D54" w:rsidRPr="0080376A">
        <w:tc>
          <w:tcPr>
            <w:tcW w:w="682" w:type="pct"/>
            <w:vMerge/>
          </w:tcPr>
          <w:p w:rsidR="00B81D54" w:rsidRPr="0080376A" w:rsidRDefault="00B81D54" w:rsidP="00BC6168">
            <w:pPr>
              <w:jc w:val="left"/>
              <w:rPr>
                <w:rFonts w:ascii="Arial Narrow" w:hAnsi="Arial Narrow"/>
                <w:sz w:val="20"/>
              </w:rPr>
            </w:pPr>
          </w:p>
        </w:tc>
        <w:tc>
          <w:tcPr>
            <w:tcW w:w="3300"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 xml:space="preserve">Lang GE, Berta A, </w:t>
            </w:r>
            <w:proofErr w:type="spellStart"/>
            <w:r w:rsidRPr="0080376A">
              <w:rPr>
                <w:rFonts w:ascii="Arial Narrow" w:hAnsi="Arial Narrow"/>
                <w:sz w:val="20"/>
              </w:rPr>
              <w:t>Eldem</w:t>
            </w:r>
            <w:proofErr w:type="spellEnd"/>
            <w:r w:rsidRPr="0080376A">
              <w:rPr>
                <w:rFonts w:ascii="Arial Narrow" w:hAnsi="Arial Narrow"/>
                <w:sz w:val="20"/>
              </w:rPr>
              <w:t xml:space="preserve"> BM, </w:t>
            </w:r>
            <w:proofErr w:type="spellStart"/>
            <w:r w:rsidRPr="0080376A">
              <w:rPr>
                <w:rFonts w:ascii="Arial Narrow" w:hAnsi="Arial Narrow"/>
                <w:sz w:val="20"/>
              </w:rPr>
              <w:t>Simader</w:t>
            </w:r>
            <w:proofErr w:type="spellEnd"/>
            <w:r w:rsidRPr="0080376A">
              <w:rPr>
                <w:rFonts w:ascii="Arial Narrow" w:hAnsi="Arial Narrow"/>
                <w:sz w:val="20"/>
              </w:rPr>
              <w:t xml:space="preserve"> C, Sharp D, </w:t>
            </w:r>
            <w:proofErr w:type="spellStart"/>
            <w:r w:rsidRPr="0080376A">
              <w:rPr>
                <w:rFonts w:ascii="Arial Narrow" w:hAnsi="Arial Narrow"/>
                <w:sz w:val="20"/>
              </w:rPr>
              <w:t>Holz</w:t>
            </w:r>
            <w:proofErr w:type="spellEnd"/>
            <w:r w:rsidRPr="0080376A">
              <w:rPr>
                <w:rFonts w:ascii="Arial Narrow" w:hAnsi="Arial Narrow"/>
                <w:sz w:val="20"/>
              </w:rPr>
              <w:t xml:space="preserve"> FG, Sutter F, Gerstner O, Mitchell P; RESTORE Extension Study Group. Two-year safety and efficacy of ranibizumab 0.5 mg in diabetic macular </w:t>
            </w:r>
            <w:proofErr w:type="spellStart"/>
            <w:r w:rsidRPr="0080376A">
              <w:rPr>
                <w:rFonts w:ascii="Arial Narrow" w:hAnsi="Arial Narrow"/>
                <w:sz w:val="20"/>
              </w:rPr>
              <w:t>edema</w:t>
            </w:r>
            <w:proofErr w:type="spellEnd"/>
            <w:r w:rsidRPr="0080376A">
              <w:rPr>
                <w:rFonts w:ascii="Arial Narrow" w:hAnsi="Arial Narrow"/>
                <w:sz w:val="20"/>
              </w:rPr>
              <w:t>: interim analysis of the RESTORE extension study.</w:t>
            </w:r>
          </w:p>
          <w:p w:rsidR="00B81D54" w:rsidRPr="0080376A" w:rsidRDefault="00B81D54" w:rsidP="00BC6168">
            <w:pPr>
              <w:jc w:val="left"/>
              <w:rPr>
                <w:rFonts w:ascii="Arial Narrow" w:hAnsi="Arial Narrow"/>
                <w:sz w:val="20"/>
              </w:rPr>
            </w:pPr>
          </w:p>
        </w:tc>
        <w:tc>
          <w:tcPr>
            <w:tcW w:w="1018"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Ophthalmology. 2013; 120(1):2004-2012</w:t>
            </w:r>
          </w:p>
        </w:tc>
      </w:tr>
      <w:tr w:rsidR="00B81D54" w:rsidRPr="0080376A">
        <w:tc>
          <w:tcPr>
            <w:tcW w:w="682" w:type="pct"/>
            <w:vMerge/>
          </w:tcPr>
          <w:p w:rsidR="00B81D54" w:rsidRPr="0080376A" w:rsidRDefault="00B81D54" w:rsidP="00BC6168">
            <w:pPr>
              <w:jc w:val="left"/>
              <w:rPr>
                <w:rFonts w:ascii="Arial Narrow" w:hAnsi="Arial Narrow"/>
                <w:sz w:val="20"/>
              </w:rPr>
            </w:pPr>
          </w:p>
        </w:tc>
        <w:tc>
          <w:tcPr>
            <w:tcW w:w="3300" w:type="pct"/>
            <w:tcBorders>
              <w:top w:val="nil"/>
              <w:bottom w:val="nil"/>
            </w:tcBorders>
          </w:tcPr>
          <w:p w:rsidR="00B81D54" w:rsidRDefault="00B81D54" w:rsidP="00BC6168">
            <w:pPr>
              <w:jc w:val="left"/>
              <w:rPr>
                <w:rFonts w:ascii="Arial Narrow" w:hAnsi="Arial Narrow"/>
                <w:sz w:val="20"/>
              </w:rPr>
            </w:pPr>
            <w:r w:rsidRPr="0080376A">
              <w:rPr>
                <w:rFonts w:ascii="Arial Narrow" w:hAnsi="Arial Narrow"/>
                <w:sz w:val="20"/>
              </w:rPr>
              <w:t xml:space="preserve">Mitchell P, </w:t>
            </w:r>
            <w:proofErr w:type="spellStart"/>
            <w:r w:rsidRPr="0080376A">
              <w:rPr>
                <w:rFonts w:ascii="Arial Narrow" w:hAnsi="Arial Narrow"/>
                <w:sz w:val="20"/>
              </w:rPr>
              <w:t>Bressler</w:t>
            </w:r>
            <w:proofErr w:type="spellEnd"/>
            <w:r w:rsidRPr="0080376A">
              <w:rPr>
                <w:rFonts w:ascii="Arial Narrow" w:hAnsi="Arial Narrow"/>
                <w:sz w:val="20"/>
              </w:rPr>
              <w:t xml:space="preserve"> N, </w:t>
            </w:r>
            <w:proofErr w:type="spellStart"/>
            <w:r w:rsidRPr="0080376A">
              <w:rPr>
                <w:rFonts w:ascii="Arial Narrow" w:hAnsi="Arial Narrow"/>
                <w:sz w:val="20"/>
              </w:rPr>
              <w:t>Tolley</w:t>
            </w:r>
            <w:proofErr w:type="spellEnd"/>
            <w:r w:rsidRPr="0080376A">
              <w:rPr>
                <w:rFonts w:ascii="Arial Narrow" w:hAnsi="Arial Narrow"/>
                <w:sz w:val="20"/>
              </w:rPr>
              <w:t xml:space="preserve"> K, Gallagher M, </w:t>
            </w:r>
            <w:proofErr w:type="spellStart"/>
            <w:r w:rsidRPr="0080376A">
              <w:rPr>
                <w:rFonts w:ascii="Arial Narrow" w:hAnsi="Arial Narrow"/>
                <w:sz w:val="20"/>
              </w:rPr>
              <w:t>Petrillo</w:t>
            </w:r>
            <w:proofErr w:type="spellEnd"/>
            <w:r w:rsidRPr="0080376A">
              <w:rPr>
                <w:rFonts w:ascii="Arial Narrow" w:hAnsi="Arial Narrow"/>
                <w:sz w:val="20"/>
              </w:rPr>
              <w:t xml:space="preserve"> J, Ferreira A, Wood R, Bandello F; RESTORE Study Group. Patient-reported visual function outcomes improve after ranibizumab treatment in patients with vision impairment due to diabetic macular </w:t>
            </w:r>
            <w:proofErr w:type="spellStart"/>
            <w:r w:rsidRPr="0080376A">
              <w:rPr>
                <w:rFonts w:ascii="Arial Narrow" w:hAnsi="Arial Narrow"/>
                <w:sz w:val="20"/>
              </w:rPr>
              <w:t>edema</w:t>
            </w:r>
            <w:proofErr w:type="spellEnd"/>
            <w:r w:rsidRPr="0080376A">
              <w:rPr>
                <w:rFonts w:ascii="Arial Narrow" w:hAnsi="Arial Narrow"/>
                <w:sz w:val="20"/>
              </w:rPr>
              <w:t>: randomized clinical trial.</w:t>
            </w:r>
          </w:p>
          <w:p w:rsidR="004F15E5" w:rsidRPr="0080376A" w:rsidRDefault="004F15E5" w:rsidP="00BC6168">
            <w:pPr>
              <w:jc w:val="left"/>
              <w:rPr>
                <w:rFonts w:ascii="Arial Narrow" w:hAnsi="Arial Narrow"/>
                <w:sz w:val="20"/>
              </w:rPr>
            </w:pPr>
          </w:p>
        </w:tc>
        <w:tc>
          <w:tcPr>
            <w:tcW w:w="1018"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JAMA Ophthalmology. 2013; 131(10): 1339-1347</w:t>
            </w:r>
          </w:p>
        </w:tc>
      </w:tr>
      <w:tr w:rsidR="00B81D54" w:rsidRPr="0080376A">
        <w:tc>
          <w:tcPr>
            <w:tcW w:w="682" w:type="pct"/>
            <w:vMerge/>
          </w:tcPr>
          <w:p w:rsidR="00B81D54" w:rsidRPr="0080376A" w:rsidRDefault="00B81D54" w:rsidP="00BC6168">
            <w:pPr>
              <w:jc w:val="left"/>
              <w:rPr>
                <w:rFonts w:ascii="Arial Narrow" w:hAnsi="Arial Narrow"/>
                <w:sz w:val="20"/>
              </w:rPr>
            </w:pPr>
          </w:p>
        </w:tc>
        <w:tc>
          <w:tcPr>
            <w:tcW w:w="3300"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 xml:space="preserve">Lang GE. Long-term safety and efficacy of ranibizumab 0.5mg in patients with diabetic macular oedema of the RESTORE extension study. </w:t>
            </w:r>
          </w:p>
          <w:p w:rsidR="00B81D54" w:rsidRPr="0080376A" w:rsidRDefault="00B81D54" w:rsidP="00BC6168">
            <w:pPr>
              <w:jc w:val="left"/>
              <w:rPr>
                <w:rFonts w:ascii="Arial Narrow" w:hAnsi="Arial Narrow"/>
                <w:sz w:val="20"/>
              </w:rPr>
            </w:pPr>
          </w:p>
        </w:tc>
        <w:tc>
          <w:tcPr>
            <w:tcW w:w="1018" w:type="pct"/>
            <w:tcBorders>
              <w:top w:val="nil"/>
              <w:bottom w:val="nil"/>
            </w:tcBorders>
          </w:tcPr>
          <w:p w:rsidR="00B81D54" w:rsidRPr="0080376A" w:rsidRDefault="00B81D54" w:rsidP="00BC6168">
            <w:pPr>
              <w:jc w:val="left"/>
              <w:rPr>
                <w:rFonts w:ascii="Arial Narrow" w:hAnsi="Arial Narrow"/>
                <w:sz w:val="20"/>
              </w:rPr>
            </w:pPr>
            <w:proofErr w:type="spellStart"/>
            <w:r w:rsidRPr="0080376A">
              <w:rPr>
                <w:rFonts w:ascii="Arial Narrow" w:hAnsi="Arial Narrow"/>
                <w:sz w:val="20"/>
              </w:rPr>
              <w:t>Diabetologica</w:t>
            </w:r>
            <w:proofErr w:type="spellEnd"/>
            <w:r w:rsidRPr="0080376A">
              <w:rPr>
                <w:rFonts w:ascii="Arial Narrow" w:hAnsi="Arial Narrow"/>
                <w:sz w:val="20"/>
              </w:rPr>
              <w:t>. 2012; 55(Supp1): S85</w:t>
            </w:r>
          </w:p>
        </w:tc>
      </w:tr>
      <w:tr w:rsidR="00B81D54" w:rsidRPr="0080376A">
        <w:tc>
          <w:tcPr>
            <w:tcW w:w="682" w:type="pct"/>
            <w:vMerge/>
          </w:tcPr>
          <w:p w:rsidR="00B81D54" w:rsidRPr="0080376A" w:rsidRDefault="00B81D54" w:rsidP="00BC6168">
            <w:pPr>
              <w:jc w:val="left"/>
              <w:rPr>
                <w:rFonts w:ascii="Arial Narrow" w:hAnsi="Arial Narrow"/>
                <w:sz w:val="20"/>
              </w:rPr>
            </w:pPr>
          </w:p>
        </w:tc>
        <w:tc>
          <w:tcPr>
            <w:tcW w:w="3300"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 xml:space="preserve">Knudsen MS, Thomas S, Gallagher M, Mitchell P. Assessment of utility loss from diabetic macular </w:t>
            </w:r>
            <w:proofErr w:type="spellStart"/>
            <w:r w:rsidRPr="0080376A">
              <w:rPr>
                <w:rFonts w:ascii="Arial Narrow" w:hAnsi="Arial Narrow"/>
                <w:sz w:val="20"/>
              </w:rPr>
              <w:t>edema</w:t>
            </w:r>
            <w:proofErr w:type="spellEnd"/>
            <w:r w:rsidRPr="0080376A">
              <w:rPr>
                <w:rFonts w:ascii="Arial Narrow" w:hAnsi="Arial Narrow"/>
                <w:sz w:val="20"/>
              </w:rPr>
              <w:t xml:space="preserve"> based on RESTORE trial. </w:t>
            </w:r>
          </w:p>
          <w:p w:rsidR="00B81D54" w:rsidRPr="0080376A" w:rsidRDefault="00B81D54" w:rsidP="00BC6168">
            <w:pPr>
              <w:jc w:val="left"/>
              <w:rPr>
                <w:rFonts w:ascii="Arial Narrow" w:hAnsi="Arial Narrow"/>
                <w:sz w:val="20"/>
              </w:rPr>
            </w:pPr>
          </w:p>
        </w:tc>
        <w:tc>
          <w:tcPr>
            <w:tcW w:w="1018"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Value in Health. 2011; 14(7): A507</w:t>
            </w:r>
          </w:p>
        </w:tc>
      </w:tr>
      <w:tr w:rsidR="00B81D54" w:rsidRPr="0080376A">
        <w:tc>
          <w:tcPr>
            <w:tcW w:w="682" w:type="pct"/>
            <w:vMerge/>
          </w:tcPr>
          <w:p w:rsidR="00B81D54" w:rsidRPr="0080376A" w:rsidRDefault="00B81D54" w:rsidP="00BC6168">
            <w:pPr>
              <w:jc w:val="left"/>
              <w:rPr>
                <w:rFonts w:ascii="Arial Narrow" w:hAnsi="Arial Narrow"/>
                <w:sz w:val="20"/>
              </w:rPr>
            </w:pPr>
          </w:p>
        </w:tc>
        <w:tc>
          <w:tcPr>
            <w:tcW w:w="3300"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Mitchell P, Bandello F, Schmidt-</w:t>
            </w:r>
            <w:proofErr w:type="spellStart"/>
            <w:r w:rsidRPr="0080376A">
              <w:rPr>
                <w:rFonts w:ascii="Arial Narrow" w:hAnsi="Arial Narrow"/>
                <w:sz w:val="20"/>
              </w:rPr>
              <w:t>Erfurth</w:t>
            </w:r>
            <w:proofErr w:type="spellEnd"/>
            <w:r w:rsidRPr="0080376A">
              <w:rPr>
                <w:rFonts w:ascii="Arial Narrow" w:hAnsi="Arial Narrow"/>
                <w:sz w:val="20"/>
              </w:rPr>
              <w:t xml:space="preserve"> U, Lang GE, </w:t>
            </w:r>
            <w:proofErr w:type="spellStart"/>
            <w:r w:rsidRPr="0080376A">
              <w:rPr>
                <w:rFonts w:ascii="Arial Narrow" w:hAnsi="Arial Narrow"/>
                <w:sz w:val="20"/>
              </w:rPr>
              <w:t>Massin</w:t>
            </w:r>
            <w:proofErr w:type="spellEnd"/>
            <w:r w:rsidRPr="0080376A">
              <w:rPr>
                <w:rFonts w:ascii="Arial Narrow" w:hAnsi="Arial Narrow"/>
                <w:sz w:val="20"/>
              </w:rPr>
              <w:t xml:space="preserve"> P, </w:t>
            </w:r>
            <w:proofErr w:type="spellStart"/>
            <w:r w:rsidRPr="0080376A">
              <w:rPr>
                <w:rFonts w:ascii="Arial Narrow" w:hAnsi="Arial Narrow"/>
                <w:sz w:val="20"/>
              </w:rPr>
              <w:t>Schlingemann</w:t>
            </w:r>
            <w:proofErr w:type="spellEnd"/>
            <w:r w:rsidRPr="0080376A">
              <w:rPr>
                <w:rFonts w:ascii="Arial Narrow" w:hAnsi="Arial Narrow"/>
                <w:sz w:val="20"/>
              </w:rPr>
              <w:t xml:space="preserve"> RO, Sutter F, </w:t>
            </w:r>
            <w:proofErr w:type="spellStart"/>
            <w:r w:rsidRPr="0080376A">
              <w:rPr>
                <w:rFonts w:ascii="Arial Narrow" w:hAnsi="Arial Narrow"/>
                <w:sz w:val="20"/>
              </w:rPr>
              <w:t>Simader</w:t>
            </w:r>
            <w:proofErr w:type="spellEnd"/>
            <w:r w:rsidRPr="0080376A">
              <w:rPr>
                <w:rFonts w:ascii="Arial Narrow" w:hAnsi="Arial Narrow"/>
                <w:sz w:val="20"/>
              </w:rPr>
              <w:t xml:space="preserve"> C, </w:t>
            </w:r>
            <w:proofErr w:type="spellStart"/>
            <w:r w:rsidRPr="0080376A">
              <w:rPr>
                <w:rFonts w:ascii="Arial Narrow" w:hAnsi="Arial Narrow"/>
                <w:sz w:val="20"/>
              </w:rPr>
              <w:t>Burian</w:t>
            </w:r>
            <w:proofErr w:type="spellEnd"/>
            <w:r w:rsidRPr="0080376A">
              <w:rPr>
                <w:rFonts w:ascii="Arial Narrow" w:hAnsi="Arial Narrow"/>
                <w:sz w:val="20"/>
              </w:rPr>
              <w:t xml:space="preserve"> G, Gerstner O, </w:t>
            </w:r>
            <w:proofErr w:type="spellStart"/>
            <w:r w:rsidRPr="0080376A">
              <w:rPr>
                <w:rFonts w:ascii="Arial Narrow" w:hAnsi="Arial Narrow"/>
                <w:sz w:val="20"/>
              </w:rPr>
              <w:t>Weichselberger</w:t>
            </w:r>
            <w:proofErr w:type="spellEnd"/>
            <w:r w:rsidRPr="0080376A">
              <w:rPr>
                <w:rFonts w:ascii="Arial Narrow" w:hAnsi="Arial Narrow"/>
                <w:sz w:val="20"/>
              </w:rPr>
              <w:t xml:space="preserve"> A.  The RESTORE Study: Ranibizumab Monotherapy or Combined with Laser versus Laser Monotherapy for Diabetic Macular </w:t>
            </w:r>
            <w:proofErr w:type="spellStart"/>
            <w:r w:rsidRPr="0080376A">
              <w:rPr>
                <w:rFonts w:ascii="Arial Narrow" w:hAnsi="Arial Narrow"/>
                <w:sz w:val="20"/>
              </w:rPr>
              <w:t>Edema</w:t>
            </w:r>
            <w:proofErr w:type="spellEnd"/>
            <w:r w:rsidRPr="0080376A">
              <w:rPr>
                <w:rFonts w:ascii="Arial Narrow" w:hAnsi="Arial Narrow"/>
                <w:sz w:val="20"/>
              </w:rPr>
              <w:t xml:space="preserve">.  </w:t>
            </w:r>
          </w:p>
          <w:p w:rsidR="00B81D54" w:rsidRPr="0080376A" w:rsidRDefault="00B81D54" w:rsidP="00BC6168">
            <w:pPr>
              <w:jc w:val="left"/>
              <w:rPr>
                <w:rFonts w:ascii="Arial Narrow" w:hAnsi="Arial Narrow"/>
                <w:sz w:val="20"/>
              </w:rPr>
            </w:pPr>
          </w:p>
        </w:tc>
        <w:tc>
          <w:tcPr>
            <w:tcW w:w="1018"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Ophthalmology. 2011; 118.4:615-625</w:t>
            </w:r>
          </w:p>
          <w:p w:rsidR="00B81D54" w:rsidRPr="0080376A" w:rsidRDefault="00B81D54" w:rsidP="00BC6168">
            <w:pPr>
              <w:jc w:val="left"/>
              <w:rPr>
                <w:rFonts w:ascii="Arial Narrow" w:hAnsi="Arial Narrow"/>
                <w:sz w:val="20"/>
              </w:rPr>
            </w:pPr>
          </w:p>
        </w:tc>
      </w:tr>
      <w:tr w:rsidR="00B81D54" w:rsidRPr="0080376A">
        <w:tc>
          <w:tcPr>
            <w:tcW w:w="682" w:type="pct"/>
            <w:vMerge/>
          </w:tcPr>
          <w:p w:rsidR="00B81D54" w:rsidRPr="0080376A" w:rsidRDefault="00B81D54" w:rsidP="00BC6168">
            <w:pPr>
              <w:jc w:val="left"/>
              <w:rPr>
                <w:rFonts w:ascii="Arial Narrow" w:hAnsi="Arial Narrow"/>
                <w:sz w:val="20"/>
              </w:rPr>
            </w:pPr>
          </w:p>
        </w:tc>
        <w:tc>
          <w:tcPr>
            <w:tcW w:w="3300" w:type="pct"/>
            <w:tcBorders>
              <w:top w:val="nil"/>
              <w:bottom w:val="nil"/>
            </w:tcBorders>
          </w:tcPr>
          <w:p w:rsidR="00B81D54" w:rsidRPr="0080376A" w:rsidRDefault="00B81D54" w:rsidP="00BC6168">
            <w:pPr>
              <w:jc w:val="left"/>
              <w:rPr>
                <w:rFonts w:ascii="Arial Narrow" w:hAnsi="Arial Narrow"/>
                <w:sz w:val="20"/>
              </w:rPr>
            </w:pPr>
            <w:proofErr w:type="spellStart"/>
            <w:r w:rsidRPr="0080376A">
              <w:rPr>
                <w:rFonts w:ascii="Arial Narrow" w:hAnsi="Arial Narrow"/>
                <w:sz w:val="20"/>
              </w:rPr>
              <w:t>Massin</w:t>
            </w:r>
            <w:proofErr w:type="spellEnd"/>
            <w:r w:rsidRPr="0080376A">
              <w:rPr>
                <w:rFonts w:ascii="Arial Narrow" w:hAnsi="Arial Narrow"/>
                <w:sz w:val="20"/>
              </w:rPr>
              <w:t xml:space="preserve"> P. Efficacy and safety of ranibizumab monotherapy or adjunctive with laser versus laser therapy in patients with diabetic macular oedema: 12-month results of the RESTORE study. </w:t>
            </w:r>
          </w:p>
          <w:p w:rsidR="00B81D54" w:rsidRPr="0080376A" w:rsidRDefault="00B81D54" w:rsidP="00BC6168">
            <w:pPr>
              <w:jc w:val="left"/>
              <w:rPr>
                <w:rFonts w:ascii="Arial Narrow" w:hAnsi="Arial Narrow"/>
                <w:sz w:val="20"/>
              </w:rPr>
            </w:pPr>
          </w:p>
        </w:tc>
        <w:tc>
          <w:tcPr>
            <w:tcW w:w="1018" w:type="pct"/>
            <w:tcBorders>
              <w:top w:val="nil"/>
              <w:bottom w:val="nil"/>
            </w:tcBorders>
          </w:tcPr>
          <w:p w:rsidR="00B81D54" w:rsidRPr="0080376A" w:rsidRDefault="00B81D54" w:rsidP="00BC6168">
            <w:pPr>
              <w:jc w:val="left"/>
              <w:rPr>
                <w:rFonts w:ascii="Arial Narrow" w:hAnsi="Arial Narrow"/>
                <w:sz w:val="20"/>
              </w:rPr>
            </w:pPr>
            <w:proofErr w:type="spellStart"/>
            <w:r w:rsidRPr="0080376A">
              <w:rPr>
                <w:rFonts w:ascii="Arial Narrow" w:hAnsi="Arial Narrow"/>
                <w:sz w:val="20"/>
              </w:rPr>
              <w:t>Diabetologica</w:t>
            </w:r>
            <w:proofErr w:type="spellEnd"/>
            <w:r w:rsidRPr="0080376A">
              <w:rPr>
                <w:rFonts w:ascii="Arial Narrow" w:hAnsi="Arial Narrow"/>
                <w:sz w:val="20"/>
              </w:rPr>
              <w:t>. 2010; 53(Supp1): S472</w:t>
            </w:r>
          </w:p>
        </w:tc>
      </w:tr>
      <w:tr w:rsidR="00B81D54" w:rsidRPr="0080376A">
        <w:tc>
          <w:tcPr>
            <w:tcW w:w="682" w:type="pct"/>
            <w:vMerge/>
          </w:tcPr>
          <w:p w:rsidR="00B81D54" w:rsidRPr="0080376A" w:rsidRDefault="00B81D54" w:rsidP="00BC6168">
            <w:pPr>
              <w:jc w:val="left"/>
              <w:rPr>
                <w:rFonts w:ascii="Arial Narrow" w:hAnsi="Arial Narrow"/>
                <w:sz w:val="20"/>
              </w:rPr>
            </w:pPr>
          </w:p>
        </w:tc>
        <w:tc>
          <w:tcPr>
            <w:tcW w:w="3300" w:type="pct"/>
            <w:tcBorders>
              <w:top w:val="nil"/>
            </w:tcBorders>
          </w:tcPr>
          <w:p w:rsidR="00B81D54" w:rsidRPr="0080376A" w:rsidRDefault="00B81D54" w:rsidP="00BC6168">
            <w:pPr>
              <w:jc w:val="left"/>
              <w:rPr>
                <w:rFonts w:ascii="Arial Narrow" w:hAnsi="Arial Narrow"/>
                <w:sz w:val="20"/>
              </w:rPr>
            </w:pPr>
            <w:r w:rsidRPr="0080376A">
              <w:rPr>
                <w:rFonts w:ascii="Arial Narrow" w:hAnsi="Arial Narrow"/>
                <w:sz w:val="20"/>
              </w:rPr>
              <w:t xml:space="preserve">Mitchell O. Restore trial of ranibizumab for diabetic macular oedema: 1-year findings. </w:t>
            </w:r>
          </w:p>
        </w:tc>
        <w:tc>
          <w:tcPr>
            <w:tcW w:w="1018" w:type="pct"/>
            <w:tcBorders>
              <w:top w:val="nil"/>
            </w:tcBorders>
          </w:tcPr>
          <w:p w:rsidR="00B81D54" w:rsidRPr="0080376A" w:rsidRDefault="00B81D54" w:rsidP="00BC6168">
            <w:pPr>
              <w:jc w:val="left"/>
              <w:rPr>
                <w:rFonts w:ascii="Arial Narrow" w:hAnsi="Arial Narrow"/>
                <w:sz w:val="20"/>
              </w:rPr>
            </w:pPr>
            <w:r w:rsidRPr="0080376A">
              <w:rPr>
                <w:rFonts w:ascii="Arial Narrow" w:hAnsi="Arial Narrow"/>
                <w:sz w:val="20"/>
              </w:rPr>
              <w:t>Clinical and Experimental Ophthalmology. 2010; 38(Suppl2): 12</w:t>
            </w:r>
          </w:p>
        </w:tc>
      </w:tr>
      <w:tr w:rsidR="00B81D54" w:rsidRPr="0080376A">
        <w:tc>
          <w:tcPr>
            <w:tcW w:w="682" w:type="pct"/>
          </w:tcPr>
          <w:p w:rsidR="00B81D54" w:rsidRPr="0080376A" w:rsidRDefault="00B81D54" w:rsidP="00BC6168">
            <w:pPr>
              <w:jc w:val="left"/>
              <w:rPr>
                <w:rFonts w:ascii="Arial Narrow" w:hAnsi="Arial Narrow"/>
                <w:sz w:val="20"/>
              </w:rPr>
            </w:pPr>
            <w:r w:rsidRPr="0080376A">
              <w:rPr>
                <w:rFonts w:ascii="Arial Narrow" w:hAnsi="Arial Narrow"/>
                <w:sz w:val="20"/>
              </w:rPr>
              <w:t xml:space="preserve">REVEAL </w:t>
            </w:r>
          </w:p>
        </w:tc>
        <w:tc>
          <w:tcPr>
            <w:tcW w:w="3300" w:type="pct"/>
            <w:tcBorders>
              <w:bottom w:val="single" w:sz="4" w:space="0" w:color="auto"/>
            </w:tcBorders>
          </w:tcPr>
          <w:p w:rsidR="00B81D54" w:rsidRPr="0080376A" w:rsidRDefault="00B81D54" w:rsidP="00BC6168">
            <w:pPr>
              <w:jc w:val="left"/>
              <w:rPr>
                <w:rFonts w:ascii="Arial Narrow" w:hAnsi="Arial Narrow"/>
                <w:sz w:val="20"/>
              </w:rPr>
            </w:pPr>
            <w:proofErr w:type="spellStart"/>
            <w:r w:rsidRPr="0080376A">
              <w:rPr>
                <w:rFonts w:ascii="Arial Narrow" w:hAnsi="Arial Narrow"/>
                <w:sz w:val="20"/>
              </w:rPr>
              <w:t>Ohji</w:t>
            </w:r>
            <w:proofErr w:type="spellEnd"/>
            <w:r w:rsidRPr="0080376A">
              <w:rPr>
                <w:rFonts w:ascii="Arial Narrow" w:hAnsi="Arial Narrow"/>
                <w:sz w:val="20"/>
              </w:rPr>
              <w:t xml:space="preserve"> M, </w:t>
            </w:r>
            <w:proofErr w:type="spellStart"/>
            <w:r w:rsidRPr="0080376A">
              <w:rPr>
                <w:rFonts w:ascii="Arial Narrow" w:hAnsi="Arial Narrow"/>
                <w:sz w:val="20"/>
              </w:rPr>
              <w:t>Ishibashi</w:t>
            </w:r>
            <w:proofErr w:type="spellEnd"/>
            <w:r w:rsidRPr="0080376A">
              <w:rPr>
                <w:rFonts w:ascii="Arial Narrow" w:hAnsi="Arial Narrow"/>
                <w:sz w:val="20"/>
              </w:rPr>
              <w:t xml:space="preserve"> T (Snr), REVEAL study group. Efficacy And Safety Of Ranibizumab 0.5 Mg As Monotherapy Or Adjunctive To Laser Versus Laser Monotherapy In Asian Patients With Visual Impairment Due To Diabetic Macular </w:t>
            </w:r>
            <w:proofErr w:type="spellStart"/>
            <w:r w:rsidRPr="0080376A">
              <w:rPr>
                <w:rFonts w:ascii="Arial Narrow" w:hAnsi="Arial Narrow"/>
                <w:sz w:val="20"/>
              </w:rPr>
              <w:t>Edema</w:t>
            </w:r>
            <w:proofErr w:type="spellEnd"/>
            <w:r w:rsidRPr="0080376A">
              <w:rPr>
                <w:rFonts w:ascii="Arial Narrow" w:hAnsi="Arial Narrow"/>
                <w:sz w:val="20"/>
              </w:rPr>
              <w:t>: 12-month Results Of The REVEAL Study</w:t>
            </w:r>
          </w:p>
        </w:tc>
        <w:tc>
          <w:tcPr>
            <w:tcW w:w="1018" w:type="pct"/>
            <w:tcBorders>
              <w:bottom w:val="single" w:sz="4" w:space="0" w:color="auto"/>
            </w:tcBorders>
          </w:tcPr>
          <w:p w:rsidR="00B81D54" w:rsidRPr="0080376A" w:rsidRDefault="00B81D54" w:rsidP="00BC6168">
            <w:pPr>
              <w:jc w:val="left"/>
              <w:rPr>
                <w:rFonts w:ascii="Arial Narrow" w:hAnsi="Arial Narrow"/>
                <w:sz w:val="20"/>
              </w:rPr>
            </w:pPr>
            <w:r w:rsidRPr="0080376A">
              <w:rPr>
                <w:rFonts w:ascii="Arial Narrow" w:hAnsi="Arial Narrow"/>
                <w:sz w:val="20"/>
              </w:rPr>
              <w:t>Investigative Ophthalmology and Visual Science. 2012;53: E-Abstract 4664</w:t>
            </w:r>
          </w:p>
        </w:tc>
      </w:tr>
      <w:tr w:rsidR="00B81D54" w:rsidRPr="0080376A">
        <w:tc>
          <w:tcPr>
            <w:tcW w:w="682" w:type="pct"/>
            <w:vMerge w:val="restart"/>
          </w:tcPr>
          <w:p w:rsidR="00B81D54" w:rsidRPr="0080376A" w:rsidRDefault="00B81D54" w:rsidP="00BC6168">
            <w:pPr>
              <w:jc w:val="left"/>
              <w:rPr>
                <w:rFonts w:ascii="Arial Narrow" w:hAnsi="Arial Narrow"/>
                <w:sz w:val="20"/>
              </w:rPr>
            </w:pPr>
            <w:r w:rsidRPr="0080376A">
              <w:rPr>
                <w:rFonts w:ascii="Arial Narrow" w:hAnsi="Arial Narrow"/>
                <w:sz w:val="20"/>
              </w:rPr>
              <w:t>READ-2</w:t>
            </w:r>
          </w:p>
        </w:tc>
        <w:tc>
          <w:tcPr>
            <w:tcW w:w="3300" w:type="pct"/>
            <w:tcBorders>
              <w:bottom w:val="nil"/>
            </w:tcBorders>
          </w:tcPr>
          <w:p w:rsidR="00B81D54" w:rsidRPr="0080376A" w:rsidRDefault="00B81D54" w:rsidP="00BC6168">
            <w:pPr>
              <w:jc w:val="left"/>
              <w:rPr>
                <w:rFonts w:ascii="Arial Narrow" w:hAnsi="Arial Narrow"/>
                <w:sz w:val="20"/>
              </w:rPr>
            </w:pPr>
            <w:proofErr w:type="spellStart"/>
            <w:r w:rsidRPr="0080376A">
              <w:rPr>
                <w:rFonts w:ascii="Arial Narrow" w:hAnsi="Arial Narrow"/>
                <w:sz w:val="20"/>
              </w:rPr>
              <w:t>Channa</w:t>
            </w:r>
            <w:proofErr w:type="spellEnd"/>
            <w:r w:rsidRPr="0080376A">
              <w:rPr>
                <w:rFonts w:ascii="Arial Narrow" w:hAnsi="Arial Narrow"/>
                <w:sz w:val="20"/>
              </w:rPr>
              <w:t xml:space="preserve"> R, Sophie R, </w:t>
            </w:r>
            <w:proofErr w:type="spellStart"/>
            <w:r w:rsidRPr="0080376A">
              <w:rPr>
                <w:rFonts w:ascii="Arial Narrow" w:hAnsi="Arial Narrow"/>
                <w:sz w:val="20"/>
              </w:rPr>
              <w:t>Khwaja</w:t>
            </w:r>
            <w:proofErr w:type="spellEnd"/>
            <w:r w:rsidRPr="0080376A">
              <w:rPr>
                <w:rFonts w:ascii="Arial Narrow" w:hAnsi="Arial Narrow"/>
                <w:sz w:val="20"/>
              </w:rPr>
              <w:t xml:space="preserve"> AA, Do DV, Hafiz G, Nguyen QD, </w:t>
            </w:r>
            <w:proofErr w:type="spellStart"/>
            <w:r w:rsidRPr="0080376A">
              <w:rPr>
                <w:rFonts w:ascii="Arial Narrow" w:hAnsi="Arial Narrow"/>
                <w:sz w:val="20"/>
              </w:rPr>
              <w:t>Campochiaro</w:t>
            </w:r>
            <w:proofErr w:type="spellEnd"/>
            <w:r w:rsidRPr="0080376A">
              <w:rPr>
                <w:rFonts w:ascii="Arial Narrow" w:hAnsi="Arial Narrow"/>
                <w:sz w:val="20"/>
              </w:rPr>
              <w:t xml:space="preserve"> PA, READ-2 Study Group. Factors affecting visual outcomes in patients with diabetic macular </w:t>
            </w:r>
            <w:proofErr w:type="spellStart"/>
            <w:r w:rsidRPr="0080376A">
              <w:rPr>
                <w:rFonts w:ascii="Arial Narrow" w:hAnsi="Arial Narrow"/>
                <w:sz w:val="20"/>
              </w:rPr>
              <w:t>edema</w:t>
            </w:r>
            <w:proofErr w:type="spellEnd"/>
            <w:r w:rsidRPr="0080376A">
              <w:rPr>
                <w:rFonts w:ascii="Arial Narrow" w:hAnsi="Arial Narrow"/>
                <w:sz w:val="20"/>
              </w:rPr>
              <w:t xml:space="preserve"> treated with ranibizumab. </w:t>
            </w:r>
          </w:p>
          <w:p w:rsidR="00B81D54" w:rsidRPr="0080376A" w:rsidRDefault="00B81D54" w:rsidP="00BC6168">
            <w:pPr>
              <w:jc w:val="left"/>
              <w:rPr>
                <w:rFonts w:ascii="Arial Narrow" w:hAnsi="Arial Narrow"/>
                <w:sz w:val="20"/>
              </w:rPr>
            </w:pPr>
          </w:p>
        </w:tc>
        <w:tc>
          <w:tcPr>
            <w:tcW w:w="1018" w:type="pct"/>
            <w:tcBorders>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Eye. 2014: 28(3): 269-278</w:t>
            </w:r>
          </w:p>
        </w:tc>
      </w:tr>
      <w:tr w:rsidR="00B81D54" w:rsidRPr="0080376A">
        <w:tc>
          <w:tcPr>
            <w:tcW w:w="682" w:type="pct"/>
            <w:vMerge/>
          </w:tcPr>
          <w:p w:rsidR="00B81D54" w:rsidRPr="0080376A" w:rsidRDefault="00B81D54" w:rsidP="00BC6168">
            <w:pPr>
              <w:jc w:val="left"/>
              <w:rPr>
                <w:rFonts w:ascii="Arial Narrow" w:hAnsi="Arial Narrow"/>
                <w:sz w:val="20"/>
              </w:rPr>
            </w:pPr>
          </w:p>
        </w:tc>
        <w:tc>
          <w:tcPr>
            <w:tcW w:w="3300"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 xml:space="preserve">Do DV, Nguyen QD, </w:t>
            </w:r>
            <w:proofErr w:type="spellStart"/>
            <w:r w:rsidRPr="0080376A">
              <w:rPr>
                <w:rFonts w:ascii="Arial Narrow" w:hAnsi="Arial Narrow"/>
                <w:sz w:val="20"/>
              </w:rPr>
              <w:t>Khwaja</w:t>
            </w:r>
            <w:proofErr w:type="spellEnd"/>
            <w:r w:rsidRPr="0080376A">
              <w:rPr>
                <w:rFonts w:ascii="Arial Narrow" w:hAnsi="Arial Narrow"/>
                <w:sz w:val="20"/>
              </w:rPr>
              <w:t xml:space="preserve"> AA, </w:t>
            </w:r>
            <w:proofErr w:type="spellStart"/>
            <w:r w:rsidRPr="0080376A">
              <w:rPr>
                <w:rFonts w:ascii="Arial Narrow" w:hAnsi="Arial Narrow"/>
                <w:sz w:val="20"/>
              </w:rPr>
              <w:t>Channa</w:t>
            </w:r>
            <w:proofErr w:type="spellEnd"/>
            <w:r w:rsidRPr="0080376A">
              <w:rPr>
                <w:rFonts w:ascii="Arial Narrow" w:hAnsi="Arial Narrow"/>
                <w:sz w:val="20"/>
              </w:rPr>
              <w:t xml:space="preserve"> R, </w:t>
            </w:r>
            <w:proofErr w:type="spellStart"/>
            <w:r w:rsidRPr="0080376A">
              <w:rPr>
                <w:rFonts w:ascii="Arial Narrow" w:hAnsi="Arial Narrow"/>
                <w:sz w:val="20"/>
              </w:rPr>
              <w:t>Sepah</w:t>
            </w:r>
            <w:proofErr w:type="spellEnd"/>
            <w:r w:rsidRPr="0080376A">
              <w:rPr>
                <w:rFonts w:ascii="Arial Narrow" w:hAnsi="Arial Narrow"/>
                <w:sz w:val="20"/>
              </w:rPr>
              <w:t xml:space="preserve"> YJ, Sophie R, Hafiz G, </w:t>
            </w:r>
            <w:proofErr w:type="spellStart"/>
            <w:r w:rsidRPr="0080376A">
              <w:rPr>
                <w:rFonts w:ascii="Arial Narrow" w:hAnsi="Arial Narrow"/>
                <w:sz w:val="20"/>
              </w:rPr>
              <w:t>Campochiaro</w:t>
            </w:r>
            <w:proofErr w:type="spellEnd"/>
            <w:r w:rsidRPr="0080376A">
              <w:rPr>
                <w:rFonts w:ascii="Arial Narrow" w:hAnsi="Arial Narrow"/>
                <w:sz w:val="20"/>
              </w:rPr>
              <w:t xml:space="preserve"> PA, READ-2 Study Group. Ranibizumab for </w:t>
            </w:r>
            <w:proofErr w:type="spellStart"/>
            <w:r w:rsidRPr="0080376A">
              <w:rPr>
                <w:rFonts w:ascii="Arial Narrow" w:hAnsi="Arial Narrow"/>
                <w:sz w:val="20"/>
              </w:rPr>
              <w:t>Edema</w:t>
            </w:r>
            <w:proofErr w:type="spellEnd"/>
            <w:r w:rsidRPr="0080376A">
              <w:rPr>
                <w:rFonts w:ascii="Arial Narrow" w:hAnsi="Arial Narrow"/>
                <w:sz w:val="20"/>
              </w:rPr>
              <w:t xml:space="preserve"> of the Macula in Diabetes Study. </w:t>
            </w:r>
          </w:p>
          <w:p w:rsidR="00B81D54" w:rsidRPr="0080376A" w:rsidRDefault="00B81D54" w:rsidP="00BC6168">
            <w:pPr>
              <w:jc w:val="left"/>
              <w:rPr>
                <w:rFonts w:ascii="Arial Narrow" w:hAnsi="Arial Narrow"/>
                <w:sz w:val="20"/>
              </w:rPr>
            </w:pPr>
          </w:p>
        </w:tc>
        <w:tc>
          <w:tcPr>
            <w:tcW w:w="1018"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JAMA Ophthalmology. 2013; 131(2): 139-145</w:t>
            </w:r>
          </w:p>
        </w:tc>
      </w:tr>
      <w:tr w:rsidR="00B81D54" w:rsidRPr="0080376A">
        <w:tc>
          <w:tcPr>
            <w:tcW w:w="682" w:type="pct"/>
            <w:vMerge/>
          </w:tcPr>
          <w:p w:rsidR="00B81D54" w:rsidRPr="0080376A" w:rsidRDefault="00B81D54" w:rsidP="00BC6168">
            <w:pPr>
              <w:jc w:val="left"/>
              <w:rPr>
                <w:rFonts w:ascii="Arial Narrow" w:hAnsi="Arial Narrow"/>
                <w:sz w:val="20"/>
              </w:rPr>
            </w:pPr>
          </w:p>
        </w:tc>
        <w:tc>
          <w:tcPr>
            <w:tcW w:w="3300"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 xml:space="preserve">Nguyen QD, Shah SM, </w:t>
            </w:r>
            <w:proofErr w:type="spellStart"/>
            <w:r w:rsidRPr="0080376A">
              <w:rPr>
                <w:rFonts w:ascii="Arial Narrow" w:hAnsi="Arial Narrow"/>
                <w:sz w:val="20"/>
              </w:rPr>
              <w:t>Khwaja</w:t>
            </w:r>
            <w:proofErr w:type="spellEnd"/>
            <w:r w:rsidRPr="0080376A">
              <w:rPr>
                <w:rFonts w:ascii="Arial Narrow" w:hAnsi="Arial Narrow"/>
                <w:sz w:val="20"/>
              </w:rPr>
              <w:t xml:space="preserve"> AA, </w:t>
            </w:r>
            <w:proofErr w:type="spellStart"/>
            <w:r w:rsidRPr="0080376A">
              <w:rPr>
                <w:rFonts w:ascii="Arial Narrow" w:hAnsi="Arial Narrow"/>
                <w:sz w:val="20"/>
              </w:rPr>
              <w:t>Channa</w:t>
            </w:r>
            <w:proofErr w:type="spellEnd"/>
            <w:r w:rsidRPr="0080376A">
              <w:rPr>
                <w:rFonts w:ascii="Arial Narrow" w:hAnsi="Arial Narrow"/>
                <w:sz w:val="20"/>
              </w:rPr>
              <w:t xml:space="preserve"> R, </w:t>
            </w:r>
            <w:proofErr w:type="spellStart"/>
            <w:r w:rsidRPr="0080376A">
              <w:rPr>
                <w:rFonts w:ascii="Arial Narrow" w:hAnsi="Arial Narrow"/>
                <w:sz w:val="20"/>
              </w:rPr>
              <w:t>Hatef</w:t>
            </w:r>
            <w:proofErr w:type="spellEnd"/>
            <w:r w:rsidRPr="0080376A">
              <w:rPr>
                <w:rFonts w:ascii="Arial Narrow" w:hAnsi="Arial Narrow"/>
                <w:sz w:val="20"/>
              </w:rPr>
              <w:t xml:space="preserve"> E, Do DV, Boyer D, </w:t>
            </w:r>
            <w:proofErr w:type="spellStart"/>
            <w:r w:rsidRPr="0080376A">
              <w:rPr>
                <w:rFonts w:ascii="Arial Narrow" w:hAnsi="Arial Narrow"/>
                <w:sz w:val="20"/>
              </w:rPr>
              <w:t>Heier</w:t>
            </w:r>
            <w:proofErr w:type="spellEnd"/>
            <w:r w:rsidRPr="0080376A">
              <w:rPr>
                <w:rFonts w:ascii="Arial Narrow" w:hAnsi="Arial Narrow"/>
                <w:sz w:val="20"/>
              </w:rPr>
              <w:t xml:space="preserve"> JS, Abraham P, Thach AB, Lit ES, Foster BS, Kruger E, </w:t>
            </w:r>
            <w:proofErr w:type="spellStart"/>
            <w:r w:rsidRPr="0080376A">
              <w:rPr>
                <w:rFonts w:ascii="Arial Narrow" w:hAnsi="Arial Narrow"/>
                <w:sz w:val="20"/>
              </w:rPr>
              <w:t>Dugel</w:t>
            </w:r>
            <w:proofErr w:type="spellEnd"/>
            <w:r w:rsidRPr="0080376A">
              <w:rPr>
                <w:rFonts w:ascii="Arial Narrow" w:hAnsi="Arial Narrow"/>
                <w:sz w:val="20"/>
              </w:rPr>
              <w:t xml:space="preserve"> P, Chang T, Das A, </w:t>
            </w:r>
            <w:proofErr w:type="spellStart"/>
            <w:r w:rsidRPr="0080376A">
              <w:rPr>
                <w:rFonts w:ascii="Arial Narrow" w:hAnsi="Arial Narrow"/>
                <w:sz w:val="20"/>
              </w:rPr>
              <w:t>Ciulla</w:t>
            </w:r>
            <w:proofErr w:type="spellEnd"/>
            <w:r w:rsidRPr="0080376A">
              <w:rPr>
                <w:rFonts w:ascii="Arial Narrow" w:hAnsi="Arial Narrow"/>
                <w:sz w:val="20"/>
              </w:rPr>
              <w:t xml:space="preserve"> TA, Pollack JS, Lim JI, </w:t>
            </w:r>
            <w:proofErr w:type="spellStart"/>
            <w:r w:rsidRPr="0080376A">
              <w:rPr>
                <w:rFonts w:ascii="Arial Narrow" w:hAnsi="Arial Narrow"/>
                <w:sz w:val="20"/>
              </w:rPr>
              <w:t>Eliott</w:t>
            </w:r>
            <w:proofErr w:type="spellEnd"/>
            <w:r w:rsidRPr="0080376A">
              <w:rPr>
                <w:rFonts w:ascii="Arial Narrow" w:hAnsi="Arial Narrow"/>
                <w:sz w:val="20"/>
              </w:rPr>
              <w:t xml:space="preserve"> D, </w:t>
            </w:r>
            <w:proofErr w:type="spellStart"/>
            <w:r w:rsidRPr="0080376A">
              <w:rPr>
                <w:rFonts w:ascii="Arial Narrow" w:hAnsi="Arial Narrow"/>
                <w:sz w:val="20"/>
              </w:rPr>
              <w:t>Campochiaro</w:t>
            </w:r>
            <w:proofErr w:type="spellEnd"/>
            <w:r w:rsidRPr="0080376A">
              <w:rPr>
                <w:rFonts w:ascii="Arial Narrow" w:hAnsi="Arial Narrow"/>
                <w:sz w:val="20"/>
              </w:rPr>
              <w:t xml:space="preserve"> PA; READ-2 Study Group. Two-year outcomes of the ranibizumab for </w:t>
            </w:r>
            <w:proofErr w:type="spellStart"/>
            <w:r w:rsidRPr="0080376A">
              <w:rPr>
                <w:rFonts w:ascii="Arial Narrow" w:hAnsi="Arial Narrow"/>
                <w:sz w:val="20"/>
              </w:rPr>
              <w:t>edema</w:t>
            </w:r>
            <w:proofErr w:type="spellEnd"/>
            <w:r w:rsidRPr="0080376A">
              <w:rPr>
                <w:rFonts w:ascii="Arial Narrow" w:hAnsi="Arial Narrow"/>
                <w:sz w:val="20"/>
              </w:rPr>
              <w:t xml:space="preserve"> of the </w:t>
            </w:r>
            <w:proofErr w:type="spellStart"/>
            <w:r w:rsidRPr="0080376A">
              <w:rPr>
                <w:rFonts w:ascii="Arial Narrow" w:hAnsi="Arial Narrow"/>
                <w:sz w:val="20"/>
              </w:rPr>
              <w:t>mAcula</w:t>
            </w:r>
            <w:proofErr w:type="spellEnd"/>
            <w:r w:rsidRPr="0080376A">
              <w:rPr>
                <w:rFonts w:ascii="Arial Narrow" w:hAnsi="Arial Narrow"/>
                <w:sz w:val="20"/>
              </w:rPr>
              <w:t xml:space="preserve"> in diabetes (READ-2) study.</w:t>
            </w:r>
          </w:p>
          <w:p w:rsidR="00B81D54" w:rsidRPr="0080376A" w:rsidRDefault="00B81D54" w:rsidP="00BC6168">
            <w:pPr>
              <w:jc w:val="left"/>
              <w:rPr>
                <w:rFonts w:ascii="Arial Narrow" w:hAnsi="Arial Narrow"/>
                <w:sz w:val="20"/>
              </w:rPr>
            </w:pPr>
          </w:p>
        </w:tc>
        <w:tc>
          <w:tcPr>
            <w:tcW w:w="1018"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Ophthalmology. 2010; 117(11): 2146-2151</w:t>
            </w:r>
          </w:p>
        </w:tc>
      </w:tr>
      <w:tr w:rsidR="00B81D54" w:rsidRPr="0080376A">
        <w:tc>
          <w:tcPr>
            <w:tcW w:w="682" w:type="pct"/>
            <w:vMerge/>
          </w:tcPr>
          <w:p w:rsidR="00B81D54" w:rsidRPr="0080376A" w:rsidRDefault="00B81D54" w:rsidP="00BC6168">
            <w:pPr>
              <w:jc w:val="left"/>
              <w:rPr>
                <w:rFonts w:ascii="Arial Narrow" w:hAnsi="Arial Narrow"/>
                <w:sz w:val="20"/>
              </w:rPr>
            </w:pPr>
          </w:p>
        </w:tc>
        <w:tc>
          <w:tcPr>
            <w:tcW w:w="3300"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t xml:space="preserve">Nguyen QD, Shah SM, </w:t>
            </w:r>
            <w:proofErr w:type="spellStart"/>
            <w:r w:rsidRPr="0080376A">
              <w:rPr>
                <w:rFonts w:ascii="Arial Narrow" w:hAnsi="Arial Narrow"/>
                <w:sz w:val="20"/>
              </w:rPr>
              <w:t>Heier</w:t>
            </w:r>
            <w:proofErr w:type="spellEnd"/>
            <w:r w:rsidRPr="0080376A">
              <w:rPr>
                <w:rFonts w:ascii="Arial Narrow" w:hAnsi="Arial Narrow"/>
                <w:sz w:val="20"/>
              </w:rPr>
              <w:t xml:space="preserve"> JS, Do DV, Lim J, Boyer D, Abraham P, </w:t>
            </w:r>
            <w:proofErr w:type="spellStart"/>
            <w:r w:rsidRPr="0080376A">
              <w:rPr>
                <w:rFonts w:ascii="Arial Narrow" w:hAnsi="Arial Narrow"/>
                <w:sz w:val="20"/>
              </w:rPr>
              <w:t>Campochiaro</w:t>
            </w:r>
            <w:proofErr w:type="spellEnd"/>
            <w:r w:rsidRPr="0080376A">
              <w:rPr>
                <w:rFonts w:ascii="Arial Narrow" w:hAnsi="Arial Narrow"/>
                <w:sz w:val="20"/>
              </w:rPr>
              <w:t xml:space="preserve"> PA; READ-2 Study Group. Primary End Point (Six Months) Results of the Ranibizumab for </w:t>
            </w:r>
            <w:proofErr w:type="spellStart"/>
            <w:r w:rsidRPr="0080376A">
              <w:rPr>
                <w:rFonts w:ascii="Arial Narrow" w:hAnsi="Arial Narrow"/>
                <w:sz w:val="20"/>
              </w:rPr>
              <w:t>Edema</w:t>
            </w:r>
            <w:proofErr w:type="spellEnd"/>
            <w:r w:rsidRPr="0080376A">
              <w:rPr>
                <w:rFonts w:ascii="Arial Narrow" w:hAnsi="Arial Narrow"/>
                <w:sz w:val="20"/>
              </w:rPr>
              <w:t xml:space="preserve"> of the </w:t>
            </w:r>
            <w:proofErr w:type="spellStart"/>
            <w:r w:rsidRPr="0080376A">
              <w:rPr>
                <w:rFonts w:ascii="Arial Narrow" w:hAnsi="Arial Narrow"/>
                <w:sz w:val="20"/>
              </w:rPr>
              <w:t>mAcula</w:t>
            </w:r>
            <w:proofErr w:type="spellEnd"/>
            <w:r w:rsidRPr="0080376A">
              <w:rPr>
                <w:rFonts w:ascii="Arial Narrow" w:hAnsi="Arial Narrow"/>
                <w:sz w:val="20"/>
              </w:rPr>
              <w:t xml:space="preserve"> in diabetes (READ-2) study.</w:t>
            </w:r>
          </w:p>
          <w:p w:rsidR="00B81D54" w:rsidRPr="0080376A" w:rsidRDefault="00B81D54" w:rsidP="00BC6168">
            <w:pPr>
              <w:jc w:val="left"/>
              <w:rPr>
                <w:rFonts w:ascii="Arial Narrow" w:hAnsi="Arial Narrow"/>
                <w:sz w:val="20"/>
              </w:rPr>
            </w:pPr>
          </w:p>
        </w:tc>
        <w:tc>
          <w:tcPr>
            <w:tcW w:w="1018" w:type="pct"/>
            <w:tcBorders>
              <w:top w:val="nil"/>
              <w:bottom w:val="nil"/>
            </w:tcBorders>
          </w:tcPr>
          <w:p w:rsidR="00B81D54" w:rsidRPr="0080376A" w:rsidRDefault="00B81D54" w:rsidP="00BC6168">
            <w:pPr>
              <w:jc w:val="left"/>
              <w:rPr>
                <w:rFonts w:ascii="Arial Narrow" w:hAnsi="Arial Narrow"/>
                <w:sz w:val="20"/>
              </w:rPr>
            </w:pPr>
            <w:r w:rsidRPr="0080376A">
              <w:rPr>
                <w:rFonts w:ascii="Arial Narrow" w:hAnsi="Arial Narrow"/>
                <w:sz w:val="20"/>
              </w:rPr>
              <w:lastRenderedPageBreak/>
              <w:t>Ophthalmology. 2009; 116(11): 2175-2181</w:t>
            </w:r>
          </w:p>
        </w:tc>
      </w:tr>
      <w:tr w:rsidR="00B81D54" w:rsidRPr="0080376A">
        <w:tc>
          <w:tcPr>
            <w:tcW w:w="682" w:type="pct"/>
            <w:vMerge/>
          </w:tcPr>
          <w:p w:rsidR="00B81D54" w:rsidRPr="0080376A" w:rsidRDefault="00B81D54" w:rsidP="00BC6168">
            <w:pPr>
              <w:jc w:val="left"/>
              <w:rPr>
                <w:rFonts w:ascii="Arial Narrow" w:hAnsi="Arial Narrow"/>
                <w:sz w:val="20"/>
              </w:rPr>
            </w:pPr>
          </w:p>
        </w:tc>
        <w:tc>
          <w:tcPr>
            <w:tcW w:w="3300" w:type="pct"/>
            <w:tcBorders>
              <w:top w:val="nil"/>
            </w:tcBorders>
          </w:tcPr>
          <w:p w:rsidR="00B81D54" w:rsidRPr="0080376A" w:rsidRDefault="00B81D54" w:rsidP="00BC6168">
            <w:pPr>
              <w:jc w:val="left"/>
              <w:rPr>
                <w:rFonts w:ascii="Arial Narrow" w:hAnsi="Arial Narrow"/>
                <w:sz w:val="20"/>
              </w:rPr>
            </w:pPr>
            <w:r w:rsidRPr="0080376A">
              <w:rPr>
                <w:rFonts w:ascii="Arial Narrow" w:hAnsi="Arial Narrow"/>
                <w:sz w:val="20"/>
              </w:rPr>
              <w:t xml:space="preserve">Nguyen QD, </w:t>
            </w:r>
            <w:proofErr w:type="spellStart"/>
            <w:r w:rsidRPr="0080376A">
              <w:rPr>
                <w:rFonts w:ascii="Arial Narrow" w:hAnsi="Arial Narrow"/>
                <w:sz w:val="20"/>
              </w:rPr>
              <w:t>Heier</w:t>
            </w:r>
            <w:proofErr w:type="spellEnd"/>
            <w:r w:rsidRPr="0080376A">
              <w:rPr>
                <w:rFonts w:ascii="Arial Narrow" w:hAnsi="Arial Narrow"/>
                <w:sz w:val="20"/>
              </w:rPr>
              <w:t xml:space="preserve"> JS, Shah SM, Lim JI, </w:t>
            </w:r>
            <w:proofErr w:type="spellStart"/>
            <w:r w:rsidRPr="0080376A">
              <w:rPr>
                <w:rFonts w:ascii="Arial Narrow" w:hAnsi="Arial Narrow"/>
                <w:sz w:val="20"/>
              </w:rPr>
              <w:t>Campochiaro</w:t>
            </w:r>
            <w:proofErr w:type="spellEnd"/>
            <w:r w:rsidRPr="0080376A">
              <w:rPr>
                <w:rFonts w:ascii="Arial Narrow" w:hAnsi="Arial Narrow"/>
                <w:sz w:val="20"/>
              </w:rPr>
              <w:t xml:space="preserve"> PA, The READ 2 Investigators. Six-Month Results of the READ 2 Study: Ranibizumab for </w:t>
            </w:r>
            <w:proofErr w:type="spellStart"/>
            <w:r w:rsidRPr="0080376A">
              <w:rPr>
                <w:rFonts w:ascii="Arial Narrow" w:hAnsi="Arial Narrow"/>
                <w:sz w:val="20"/>
              </w:rPr>
              <w:t>Edema</w:t>
            </w:r>
            <w:proofErr w:type="spellEnd"/>
            <w:r w:rsidRPr="0080376A">
              <w:rPr>
                <w:rFonts w:ascii="Arial Narrow" w:hAnsi="Arial Narrow"/>
                <w:sz w:val="20"/>
              </w:rPr>
              <w:t xml:space="preserve"> of the Macula in Diabetes, a Phase 2 Clinical Trial</w:t>
            </w:r>
          </w:p>
        </w:tc>
        <w:tc>
          <w:tcPr>
            <w:tcW w:w="1018" w:type="pct"/>
            <w:tcBorders>
              <w:top w:val="nil"/>
            </w:tcBorders>
          </w:tcPr>
          <w:p w:rsidR="00B81D54" w:rsidRPr="0080376A" w:rsidRDefault="00B81D54" w:rsidP="00BC6168">
            <w:pPr>
              <w:jc w:val="left"/>
              <w:rPr>
                <w:rFonts w:ascii="Arial Narrow" w:hAnsi="Arial Narrow"/>
                <w:sz w:val="20"/>
              </w:rPr>
            </w:pPr>
            <w:r w:rsidRPr="0080376A">
              <w:rPr>
                <w:rFonts w:ascii="Arial Narrow" w:hAnsi="Arial Narrow"/>
                <w:sz w:val="20"/>
              </w:rPr>
              <w:t>American Journal of Ophthalmology. 2008: 180</w:t>
            </w:r>
          </w:p>
        </w:tc>
      </w:tr>
      <w:tr w:rsidR="00B81D54" w:rsidRPr="0080376A">
        <w:tc>
          <w:tcPr>
            <w:tcW w:w="682" w:type="pct"/>
          </w:tcPr>
          <w:p w:rsidR="00B81D54" w:rsidRPr="0080376A" w:rsidRDefault="00B81D54" w:rsidP="00BC6168">
            <w:pPr>
              <w:jc w:val="left"/>
              <w:rPr>
                <w:rFonts w:ascii="Arial Narrow" w:hAnsi="Arial Narrow"/>
                <w:sz w:val="20"/>
              </w:rPr>
            </w:pPr>
            <w:r w:rsidRPr="0080376A">
              <w:rPr>
                <w:rFonts w:ascii="Arial Narrow" w:hAnsi="Arial Narrow"/>
                <w:sz w:val="20"/>
              </w:rPr>
              <w:t>LUCIDATE</w:t>
            </w:r>
          </w:p>
        </w:tc>
        <w:tc>
          <w:tcPr>
            <w:tcW w:w="3300" w:type="pct"/>
          </w:tcPr>
          <w:p w:rsidR="00B81D54" w:rsidRPr="0080376A" w:rsidRDefault="00B81D54" w:rsidP="00BC6168">
            <w:pPr>
              <w:jc w:val="left"/>
              <w:rPr>
                <w:rFonts w:ascii="Arial Narrow" w:hAnsi="Arial Narrow"/>
                <w:sz w:val="20"/>
              </w:rPr>
            </w:pPr>
            <w:proofErr w:type="spellStart"/>
            <w:r w:rsidRPr="0080376A">
              <w:rPr>
                <w:rFonts w:ascii="Arial Narrow" w:hAnsi="Arial Narrow"/>
                <w:sz w:val="20"/>
              </w:rPr>
              <w:t>Comyn</w:t>
            </w:r>
            <w:proofErr w:type="spellEnd"/>
            <w:r w:rsidRPr="0080376A">
              <w:rPr>
                <w:rFonts w:ascii="Arial Narrow" w:hAnsi="Arial Narrow"/>
                <w:sz w:val="20"/>
              </w:rPr>
              <w:t xml:space="preserve"> O, </w:t>
            </w:r>
            <w:proofErr w:type="spellStart"/>
            <w:r w:rsidRPr="0080376A">
              <w:rPr>
                <w:rFonts w:ascii="Arial Narrow" w:hAnsi="Arial Narrow"/>
                <w:sz w:val="20"/>
              </w:rPr>
              <w:t>Sivaprasad</w:t>
            </w:r>
            <w:proofErr w:type="spellEnd"/>
            <w:r w:rsidRPr="0080376A">
              <w:rPr>
                <w:rFonts w:ascii="Arial Narrow" w:hAnsi="Arial Narrow"/>
                <w:sz w:val="20"/>
              </w:rPr>
              <w:t xml:space="preserve"> S, </w:t>
            </w:r>
            <w:proofErr w:type="spellStart"/>
            <w:r w:rsidRPr="0080376A">
              <w:rPr>
                <w:rFonts w:ascii="Arial Narrow" w:hAnsi="Arial Narrow"/>
                <w:sz w:val="20"/>
              </w:rPr>
              <w:t>Peto</w:t>
            </w:r>
            <w:proofErr w:type="spellEnd"/>
            <w:r w:rsidRPr="0080376A">
              <w:rPr>
                <w:rFonts w:ascii="Arial Narrow" w:hAnsi="Arial Narrow"/>
                <w:sz w:val="20"/>
              </w:rPr>
              <w:t xml:space="preserve"> T, </w:t>
            </w:r>
            <w:proofErr w:type="spellStart"/>
            <w:r w:rsidRPr="0080376A">
              <w:rPr>
                <w:rFonts w:ascii="Arial Narrow" w:hAnsi="Arial Narrow"/>
                <w:sz w:val="20"/>
              </w:rPr>
              <w:t>Neveu</w:t>
            </w:r>
            <w:proofErr w:type="spellEnd"/>
            <w:r w:rsidRPr="0080376A">
              <w:rPr>
                <w:rFonts w:ascii="Arial Narrow" w:hAnsi="Arial Narrow"/>
                <w:sz w:val="20"/>
              </w:rPr>
              <w:t xml:space="preserve"> MM, Holder GE, Xing W, Bunce CV, Patel PJ, Egan CA, Bainbridge JW, </w:t>
            </w:r>
            <w:proofErr w:type="spellStart"/>
            <w:r w:rsidRPr="0080376A">
              <w:rPr>
                <w:rFonts w:ascii="Arial Narrow" w:hAnsi="Arial Narrow"/>
                <w:sz w:val="20"/>
              </w:rPr>
              <w:t>Hykin</w:t>
            </w:r>
            <w:proofErr w:type="spellEnd"/>
            <w:r w:rsidRPr="0080376A">
              <w:rPr>
                <w:rFonts w:ascii="Arial Narrow" w:hAnsi="Arial Narrow"/>
                <w:sz w:val="20"/>
              </w:rPr>
              <w:t xml:space="preserve"> PG. A Randomized Trial to Assess Functional and Structural Effects of Ranibizumab versus Laser in Diabetic Macular </w:t>
            </w:r>
            <w:proofErr w:type="spellStart"/>
            <w:r w:rsidRPr="0080376A">
              <w:rPr>
                <w:rFonts w:ascii="Arial Narrow" w:hAnsi="Arial Narrow"/>
                <w:sz w:val="20"/>
              </w:rPr>
              <w:t>Edema</w:t>
            </w:r>
            <w:proofErr w:type="spellEnd"/>
            <w:r w:rsidRPr="0080376A">
              <w:rPr>
                <w:rFonts w:ascii="Arial Narrow" w:hAnsi="Arial Narrow"/>
                <w:sz w:val="20"/>
              </w:rPr>
              <w:t xml:space="preserve"> (the LUCIDATE Study). </w:t>
            </w:r>
          </w:p>
        </w:tc>
        <w:tc>
          <w:tcPr>
            <w:tcW w:w="1018" w:type="pct"/>
          </w:tcPr>
          <w:p w:rsidR="00B81D54" w:rsidRPr="0080376A" w:rsidRDefault="00B81D54" w:rsidP="00BC6168">
            <w:pPr>
              <w:jc w:val="left"/>
              <w:rPr>
                <w:rFonts w:ascii="Arial Narrow" w:hAnsi="Arial Narrow"/>
                <w:sz w:val="20"/>
              </w:rPr>
            </w:pPr>
            <w:r w:rsidRPr="0080376A">
              <w:rPr>
                <w:rFonts w:ascii="Arial Narrow" w:hAnsi="Arial Narrow"/>
                <w:sz w:val="20"/>
              </w:rPr>
              <w:t>American Journal of Ophthalmology. 2014; 157(5): 960-970</w:t>
            </w:r>
          </w:p>
        </w:tc>
      </w:tr>
      <w:tr w:rsidR="00B81D54" w:rsidRPr="0080376A">
        <w:tc>
          <w:tcPr>
            <w:tcW w:w="682" w:type="pct"/>
            <w:tcBorders>
              <w:bottom w:val="single" w:sz="4" w:space="0" w:color="auto"/>
            </w:tcBorders>
          </w:tcPr>
          <w:p w:rsidR="00B81D54" w:rsidRPr="0080376A" w:rsidRDefault="00B81D54" w:rsidP="00BC6168">
            <w:pPr>
              <w:jc w:val="left"/>
              <w:rPr>
                <w:rFonts w:ascii="Arial Narrow" w:hAnsi="Arial Narrow"/>
                <w:sz w:val="20"/>
              </w:rPr>
            </w:pPr>
            <w:r w:rsidRPr="0080376A">
              <w:rPr>
                <w:rFonts w:ascii="Arial Narrow" w:hAnsi="Arial Narrow"/>
                <w:sz w:val="20"/>
              </w:rPr>
              <w:t>LIME</w:t>
            </w:r>
          </w:p>
        </w:tc>
        <w:tc>
          <w:tcPr>
            <w:tcW w:w="3300" w:type="pct"/>
            <w:tcBorders>
              <w:bottom w:val="single" w:sz="4" w:space="0" w:color="auto"/>
            </w:tcBorders>
          </w:tcPr>
          <w:p w:rsidR="00B81D54" w:rsidRPr="0080376A" w:rsidRDefault="00B81D54" w:rsidP="00BC6168">
            <w:pPr>
              <w:jc w:val="left"/>
              <w:rPr>
                <w:rFonts w:ascii="Arial Narrow" w:hAnsi="Arial Narrow"/>
                <w:sz w:val="20"/>
              </w:rPr>
            </w:pPr>
            <w:proofErr w:type="spellStart"/>
            <w:r w:rsidRPr="0080376A">
              <w:rPr>
                <w:rFonts w:ascii="Arial Narrow" w:hAnsi="Arial Narrow"/>
                <w:sz w:val="20"/>
              </w:rPr>
              <w:t>Goodart</w:t>
            </w:r>
            <w:proofErr w:type="spellEnd"/>
            <w:r w:rsidRPr="0080376A">
              <w:rPr>
                <w:rFonts w:ascii="Arial Narrow" w:hAnsi="Arial Narrow"/>
                <w:sz w:val="20"/>
              </w:rPr>
              <w:t xml:space="preserve"> RA, Faber DW, </w:t>
            </w:r>
            <w:proofErr w:type="spellStart"/>
            <w:r w:rsidRPr="0080376A">
              <w:rPr>
                <w:rFonts w:ascii="Arial Narrow" w:hAnsi="Arial Narrow"/>
                <w:sz w:val="20"/>
              </w:rPr>
              <w:t>Mehr</w:t>
            </w:r>
            <w:proofErr w:type="spellEnd"/>
            <w:r w:rsidRPr="0080376A">
              <w:rPr>
                <w:rFonts w:ascii="Arial Narrow" w:hAnsi="Arial Narrow"/>
                <w:sz w:val="20"/>
              </w:rPr>
              <w:t xml:space="preserve"> DS, Murphy H, </w:t>
            </w:r>
            <w:proofErr w:type="spellStart"/>
            <w:r w:rsidRPr="0080376A">
              <w:rPr>
                <w:rFonts w:ascii="Arial Narrow" w:hAnsi="Arial Narrow"/>
                <w:sz w:val="20"/>
              </w:rPr>
              <w:t>Gleed</w:t>
            </w:r>
            <w:proofErr w:type="spellEnd"/>
            <w:r w:rsidRPr="0080376A">
              <w:rPr>
                <w:rFonts w:ascii="Arial Narrow" w:hAnsi="Arial Narrow"/>
                <w:sz w:val="20"/>
              </w:rPr>
              <w:t xml:space="preserve"> J. </w:t>
            </w:r>
            <w:proofErr w:type="spellStart"/>
            <w:r w:rsidRPr="0080376A">
              <w:rPr>
                <w:rFonts w:ascii="Arial Narrow" w:hAnsi="Arial Narrow"/>
                <w:sz w:val="20"/>
              </w:rPr>
              <w:t>Lucentis</w:t>
            </w:r>
            <w:proofErr w:type="spellEnd"/>
            <w:r w:rsidRPr="0080376A">
              <w:rPr>
                <w:rFonts w:ascii="Arial Narrow" w:hAnsi="Arial Narrow"/>
                <w:sz w:val="20"/>
              </w:rPr>
              <w:t xml:space="preserve"> in the Treatment of Macular </w:t>
            </w:r>
            <w:proofErr w:type="spellStart"/>
            <w:r w:rsidRPr="0080376A">
              <w:rPr>
                <w:rFonts w:ascii="Arial Narrow" w:hAnsi="Arial Narrow"/>
                <w:sz w:val="20"/>
              </w:rPr>
              <w:t>Edema</w:t>
            </w:r>
            <w:proofErr w:type="spellEnd"/>
            <w:r w:rsidRPr="0080376A">
              <w:rPr>
                <w:rFonts w:ascii="Arial Narrow" w:hAnsi="Arial Narrow"/>
                <w:sz w:val="20"/>
              </w:rPr>
              <w:t xml:space="preserve"> (LIME): A Phase II Study Evaluating the Safety and Efficacy of Ranibizumab versus Focal Laser Treatment in Patients With Diabetic Macular </w:t>
            </w:r>
            <w:proofErr w:type="spellStart"/>
            <w:r w:rsidRPr="0080376A">
              <w:rPr>
                <w:rFonts w:ascii="Arial Narrow" w:hAnsi="Arial Narrow"/>
                <w:sz w:val="20"/>
              </w:rPr>
              <w:t>Edema</w:t>
            </w:r>
            <w:proofErr w:type="spellEnd"/>
          </w:p>
        </w:tc>
        <w:tc>
          <w:tcPr>
            <w:tcW w:w="1018" w:type="pct"/>
            <w:tcBorders>
              <w:bottom w:val="single" w:sz="4" w:space="0" w:color="auto"/>
            </w:tcBorders>
          </w:tcPr>
          <w:p w:rsidR="00B81D54" w:rsidRPr="0080376A" w:rsidRDefault="00B81D54" w:rsidP="00BC6168">
            <w:pPr>
              <w:jc w:val="left"/>
              <w:rPr>
                <w:rFonts w:ascii="Arial Narrow" w:hAnsi="Arial Narrow"/>
                <w:sz w:val="20"/>
              </w:rPr>
            </w:pPr>
            <w:r w:rsidRPr="0080376A">
              <w:rPr>
                <w:rFonts w:ascii="Arial Narrow" w:hAnsi="Arial Narrow"/>
                <w:sz w:val="20"/>
              </w:rPr>
              <w:t>Investigative Ophthalmology and Visual Science. 2007; 48: E-Abstract 1431</w:t>
            </w:r>
          </w:p>
        </w:tc>
      </w:tr>
      <w:tr w:rsidR="002C0FAE" w:rsidRPr="0080376A">
        <w:trPr>
          <w:trHeight w:val="1377"/>
        </w:trPr>
        <w:tc>
          <w:tcPr>
            <w:tcW w:w="682" w:type="pct"/>
            <w:tcBorders>
              <w:bottom w:val="nil"/>
            </w:tcBorders>
          </w:tcPr>
          <w:p w:rsidR="002C0FAE" w:rsidRPr="0080376A" w:rsidRDefault="002C0FAE" w:rsidP="00BC6168">
            <w:pPr>
              <w:jc w:val="left"/>
              <w:rPr>
                <w:rFonts w:ascii="Arial Narrow" w:hAnsi="Arial Narrow"/>
                <w:sz w:val="20"/>
              </w:rPr>
            </w:pPr>
            <w:r w:rsidRPr="0080376A">
              <w:rPr>
                <w:rFonts w:ascii="Arial Narrow" w:hAnsi="Arial Narrow"/>
                <w:sz w:val="20"/>
              </w:rPr>
              <w:t>DRCR.net</w:t>
            </w:r>
            <w:r w:rsidRPr="0080376A">
              <w:t>*</w:t>
            </w:r>
            <w:r w:rsidRPr="0080376A">
              <w:rPr>
                <w:rFonts w:ascii="Arial Narrow" w:hAnsi="Arial Narrow"/>
                <w:sz w:val="20"/>
              </w:rPr>
              <w:t xml:space="preserve"> (NCT0044503)</w:t>
            </w:r>
          </w:p>
        </w:tc>
        <w:tc>
          <w:tcPr>
            <w:tcW w:w="3300" w:type="pct"/>
            <w:tcBorders>
              <w:bottom w:val="nil"/>
            </w:tcBorders>
          </w:tcPr>
          <w:p w:rsidR="002C0FAE" w:rsidRPr="0080376A" w:rsidRDefault="002C0FAE" w:rsidP="00BC6168">
            <w:pPr>
              <w:rPr>
                <w:rFonts w:ascii="Arial Narrow" w:hAnsi="Arial Narrow"/>
                <w:sz w:val="20"/>
              </w:rPr>
            </w:pPr>
            <w:r w:rsidRPr="0080376A">
              <w:rPr>
                <w:rFonts w:ascii="Arial Narrow" w:hAnsi="Arial Narrow"/>
                <w:sz w:val="20"/>
              </w:rPr>
              <w:t xml:space="preserve">Elman MJ, Aiello LP, Beck RW, </w:t>
            </w:r>
            <w:proofErr w:type="spellStart"/>
            <w:r w:rsidRPr="0080376A">
              <w:rPr>
                <w:rFonts w:ascii="Arial Narrow" w:hAnsi="Arial Narrow"/>
                <w:sz w:val="20"/>
              </w:rPr>
              <w:t>Bressler</w:t>
            </w:r>
            <w:proofErr w:type="spellEnd"/>
            <w:r w:rsidRPr="0080376A">
              <w:rPr>
                <w:rFonts w:ascii="Arial Narrow" w:hAnsi="Arial Narrow"/>
                <w:sz w:val="20"/>
              </w:rPr>
              <w:t xml:space="preserve"> NM, </w:t>
            </w:r>
            <w:proofErr w:type="spellStart"/>
            <w:r w:rsidRPr="0080376A">
              <w:rPr>
                <w:rFonts w:ascii="Arial Narrow" w:hAnsi="Arial Narrow"/>
                <w:sz w:val="20"/>
              </w:rPr>
              <w:t>Bresller</w:t>
            </w:r>
            <w:proofErr w:type="spellEnd"/>
            <w:r w:rsidRPr="0080376A">
              <w:rPr>
                <w:rFonts w:ascii="Arial Narrow" w:hAnsi="Arial Narrow"/>
                <w:sz w:val="20"/>
              </w:rPr>
              <w:t xml:space="preserve"> SB, Edwards AR, Ferris III FL, Friedman SM, Glassman AR, Miller KM, Scott IU, Stockdale CR, Sun JK.  Randomized Trial Evaluating Ranibizumab Plus Prompt or Deferred Laser or Triamcinolone Plus Prompt Laser for Diabetic Macular </w:t>
            </w:r>
            <w:proofErr w:type="spellStart"/>
            <w:r w:rsidRPr="0080376A">
              <w:rPr>
                <w:rFonts w:ascii="Arial Narrow" w:hAnsi="Arial Narrow"/>
                <w:sz w:val="20"/>
              </w:rPr>
              <w:t>Edema</w:t>
            </w:r>
            <w:proofErr w:type="spellEnd"/>
          </w:p>
          <w:p w:rsidR="002C0FAE" w:rsidRPr="0080376A" w:rsidRDefault="002C0FAE" w:rsidP="00BC6168">
            <w:pPr>
              <w:jc w:val="left"/>
              <w:rPr>
                <w:rFonts w:ascii="Arial Narrow" w:hAnsi="Arial Narrow"/>
                <w:sz w:val="20"/>
              </w:rPr>
            </w:pPr>
          </w:p>
        </w:tc>
        <w:tc>
          <w:tcPr>
            <w:tcW w:w="1018" w:type="pct"/>
            <w:tcBorders>
              <w:bottom w:val="nil"/>
            </w:tcBorders>
          </w:tcPr>
          <w:p w:rsidR="002C0FAE" w:rsidRPr="0080376A" w:rsidRDefault="002C0FAE" w:rsidP="00497CE1">
            <w:pPr>
              <w:jc w:val="left"/>
              <w:rPr>
                <w:rFonts w:ascii="Arial Narrow" w:hAnsi="Arial Narrow"/>
                <w:sz w:val="20"/>
              </w:rPr>
            </w:pPr>
            <w:r w:rsidRPr="0080376A">
              <w:rPr>
                <w:rFonts w:ascii="Arial Narrow" w:hAnsi="Arial Narrow"/>
                <w:sz w:val="20"/>
              </w:rPr>
              <w:t>Ophthalmology.2010; 117:1064-1077</w:t>
            </w:r>
          </w:p>
        </w:tc>
      </w:tr>
      <w:tr w:rsidR="002C0FAE" w:rsidRPr="0080376A">
        <w:trPr>
          <w:trHeight w:val="918"/>
        </w:trPr>
        <w:tc>
          <w:tcPr>
            <w:tcW w:w="682" w:type="pct"/>
            <w:tcBorders>
              <w:top w:val="nil"/>
              <w:bottom w:val="single" w:sz="4" w:space="0" w:color="auto"/>
            </w:tcBorders>
          </w:tcPr>
          <w:p w:rsidR="002C0FAE" w:rsidRPr="0080376A" w:rsidRDefault="002C0FAE" w:rsidP="00BC6168">
            <w:pPr>
              <w:jc w:val="left"/>
              <w:rPr>
                <w:rFonts w:ascii="Arial Narrow" w:hAnsi="Arial Narrow"/>
                <w:sz w:val="20"/>
              </w:rPr>
            </w:pPr>
          </w:p>
        </w:tc>
        <w:tc>
          <w:tcPr>
            <w:tcW w:w="3300" w:type="pct"/>
            <w:tcBorders>
              <w:top w:val="nil"/>
              <w:bottom w:val="single" w:sz="4" w:space="0" w:color="auto"/>
            </w:tcBorders>
          </w:tcPr>
          <w:p w:rsidR="002C0FAE" w:rsidRPr="0080376A" w:rsidRDefault="002C0FAE" w:rsidP="00BC6168">
            <w:pPr>
              <w:rPr>
                <w:rFonts w:ascii="Arial Narrow" w:hAnsi="Arial Narrow"/>
                <w:sz w:val="20"/>
              </w:rPr>
            </w:pPr>
            <w:r w:rsidRPr="0080376A">
              <w:rPr>
                <w:rFonts w:ascii="Arial Narrow" w:hAnsi="Arial Narrow"/>
                <w:sz w:val="20"/>
              </w:rPr>
              <w:t xml:space="preserve">Elman MJ, </w:t>
            </w:r>
            <w:proofErr w:type="spellStart"/>
            <w:r w:rsidRPr="0080376A">
              <w:rPr>
                <w:rFonts w:ascii="Arial Narrow" w:hAnsi="Arial Narrow"/>
                <w:sz w:val="20"/>
              </w:rPr>
              <w:t>Bressler</w:t>
            </w:r>
            <w:proofErr w:type="spellEnd"/>
            <w:r w:rsidRPr="0080376A">
              <w:rPr>
                <w:rFonts w:ascii="Arial Narrow" w:hAnsi="Arial Narrow"/>
                <w:sz w:val="20"/>
              </w:rPr>
              <w:t xml:space="preserve"> NM, Qin H, Beck RW, Ferris III FL, Friedman SM, Glassman AR, Scott IU, Stockdale CR, Sun JK.  Expanded 2-Year Follow-up of Ranibizumab Plus Prompt or Deferred Laser or Triamcinolone Plus Prompt Laser for Diabetic Macular </w:t>
            </w:r>
            <w:proofErr w:type="spellStart"/>
            <w:r w:rsidRPr="0080376A">
              <w:rPr>
                <w:rFonts w:ascii="Arial Narrow" w:hAnsi="Arial Narrow"/>
                <w:sz w:val="20"/>
              </w:rPr>
              <w:t>Edema</w:t>
            </w:r>
            <w:proofErr w:type="spellEnd"/>
          </w:p>
        </w:tc>
        <w:tc>
          <w:tcPr>
            <w:tcW w:w="1018" w:type="pct"/>
            <w:tcBorders>
              <w:top w:val="nil"/>
              <w:bottom w:val="single" w:sz="4" w:space="0" w:color="auto"/>
            </w:tcBorders>
          </w:tcPr>
          <w:p w:rsidR="002C0FAE" w:rsidRPr="0080376A" w:rsidRDefault="002C0FAE" w:rsidP="00BC6168">
            <w:pPr>
              <w:jc w:val="left"/>
              <w:rPr>
                <w:rFonts w:ascii="Arial Narrow" w:hAnsi="Arial Narrow"/>
                <w:sz w:val="20"/>
              </w:rPr>
            </w:pPr>
            <w:r w:rsidRPr="0080376A">
              <w:rPr>
                <w:rFonts w:ascii="Arial Narrow" w:hAnsi="Arial Narrow"/>
                <w:sz w:val="20"/>
              </w:rPr>
              <w:t>Ophthalmology. 2011; 118:609-614</w:t>
            </w:r>
          </w:p>
        </w:tc>
      </w:tr>
    </w:tbl>
    <w:p w:rsidR="00B81D54" w:rsidRPr="0080376A" w:rsidRDefault="00B81D54" w:rsidP="00B81D54">
      <w:pPr>
        <w:pStyle w:val="TableFooter"/>
        <w:ind w:left="709"/>
      </w:pPr>
      <w:r w:rsidRPr="0080376A">
        <w:t>* DRCR.net was included in the clinical evaluation following a review of the literature search conducted by the submission.</w:t>
      </w:r>
    </w:p>
    <w:p w:rsidR="00B81D54" w:rsidRPr="0080376A" w:rsidRDefault="00B81D54" w:rsidP="00B81D54">
      <w:pPr>
        <w:pStyle w:val="TableFooter"/>
        <w:ind w:left="709"/>
      </w:pPr>
      <w:r w:rsidRPr="0080376A">
        <w:t>Source: Table B.2.2, pp13-16, Section B of the submission</w:t>
      </w:r>
    </w:p>
    <w:p w:rsidR="00862502" w:rsidRPr="008F120A" w:rsidRDefault="00862502" w:rsidP="008F120A">
      <w:pPr>
        <w:widowControl/>
        <w:rPr>
          <w:szCs w:val="22"/>
        </w:rPr>
      </w:pPr>
    </w:p>
    <w:p w:rsidR="00862502" w:rsidRPr="00B50DB8" w:rsidRDefault="008F120A" w:rsidP="00262F34">
      <w:pPr>
        <w:pStyle w:val="ListParagraph"/>
        <w:widowControl/>
        <w:numPr>
          <w:ilvl w:val="1"/>
          <w:numId w:val="3"/>
        </w:numPr>
        <w:rPr>
          <w:szCs w:val="22"/>
        </w:rPr>
      </w:pPr>
      <w:r w:rsidRPr="00B50DB8">
        <w:rPr>
          <w:szCs w:val="22"/>
        </w:rPr>
        <w:t xml:space="preserve">The key features of the randomised trials are summarised in the table below.  </w:t>
      </w:r>
      <w:r w:rsidR="00262F34">
        <w:rPr>
          <w:szCs w:val="22"/>
        </w:rPr>
        <w:t xml:space="preserve">The clinical claims made by the submission are based on the aflibercept </w:t>
      </w:r>
      <w:r w:rsidR="00FB7A1E">
        <w:rPr>
          <w:szCs w:val="22"/>
        </w:rPr>
        <w:t>every 8 weeks (</w:t>
      </w:r>
      <w:r w:rsidR="00262F34">
        <w:rPr>
          <w:szCs w:val="22"/>
        </w:rPr>
        <w:t>2Q8</w:t>
      </w:r>
      <w:r w:rsidR="00FB7A1E">
        <w:rPr>
          <w:szCs w:val="22"/>
        </w:rPr>
        <w:t>)</w:t>
      </w:r>
      <w:r w:rsidR="00262F34">
        <w:rPr>
          <w:szCs w:val="22"/>
        </w:rPr>
        <w:t xml:space="preserve"> treatment arms of VIVID and VISTA</w:t>
      </w:r>
      <w:r w:rsidR="00563F50">
        <w:rPr>
          <w:szCs w:val="22"/>
        </w:rPr>
        <w:t>.</w:t>
      </w:r>
      <w:r w:rsidR="00262F34">
        <w:rPr>
          <w:szCs w:val="22"/>
        </w:rPr>
        <w:t xml:space="preserve"> </w:t>
      </w:r>
      <w:r w:rsidR="00563F50">
        <w:rPr>
          <w:szCs w:val="22"/>
        </w:rPr>
        <w:t>A</w:t>
      </w:r>
      <w:r w:rsidR="00262F34">
        <w:rPr>
          <w:szCs w:val="22"/>
        </w:rPr>
        <w:t xml:space="preserve">flibercept was administered as </w:t>
      </w:r>
      <w:r w:rsidR="00262F34" w:rsidRPr="00262F34">
        <w:rPr>
          <w:szCs w:val="22"/>
        </w:rPr>
        <w:t xml:space="preserve">monthly </w:t>
      </w:r>
      <w:r w:rsidR="00A87861">
        <w:rPr>
          <w:szCs w:val="22"/>
        </w:rPr>
        <w:t>intravitreal</w:t>
      </w:r>
      <w:r w:rsidR="00262F34" w:rsidRPr="00262F34">
        <w:rPr>
          <w:szCs w:val="22"/>
        </w:rPr>
        <w:t xml:space="preserve"> injections </w:t>
      </w:r>
      <w:r w:rsidR="00283A73">
        <w:rPr>
          <w:szCs w:val="22"/>
        </w:rPr>
        <w:t xml:space="preserve">for </w:t>
      </w:r>
      <w:r w:rsidR="00320E26">
        <w:rPr>
          <w:szCs w:val="22"/>
        </w:rPr>
        <w:t>five</w:t>
      </w:r>
      <w:r w:rsidR="00262F34" w:rsidRPr="00262F34">
        <w:rPr>
          <w:szCs w:val="22"/>
        </w:rPr>
        <w:t xml:space="preserve"> visits, followed by </w:t>
      </w:r>
      <w:r w:rsidR="00F51ABC">
        <w:rPr>
          <w:szCs w:val="22"/>
        </w:rPr>
        <w:t xml:space="preserve">2Q8 </w:t>
      </w:r>
      <w:r w:rsidR="00283A73">
        <w:rPr>
          <w:szCs w:val="22"/>
        </w:rPr>
        <w:t xml:space="preserve">treatment </w:t>
      </w:r>
      <w:r w:rsidR="00A87861">
        <w:rPr>
          <w:szCs w:val="22"/>
        </w:rPr>
        <w:t>on an ongoing basis.</w:t>
      </w:r>
    </w:p>
    <w:p w:rsidR="007F1017" w:rsidRDefault="007F1017" w:rsidP="007F1017">
      <w:pPr>
        <w:widowControl/>
        <w:rPr>
          <w:szCs w:val="22"/>
        </w:rPr>
      </w:pPr>
    </w:p>
    <w:p w:rsidR="007F1017" w:rsidRPr="00E2771E" w:rsidRDefault="007F1017" w:rsidP="00E22A0D">
      <w:pPr>
        <w:ind w:firstLine="720"/>
        <w:rPr>
          <w:rStyle w:val="CommentReference"/>
        </w:rPr>
      </w:pPr>
      <w:r w:rsidRPr="00E2771E">
        <w:rPr>
          <w:rStyle w:val="CommentReference"/>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61"/>
        <w:gridCol w:w="447"/>
        <w:gridCol w:w="1138"/>
        <w:gridCol w:w="1137"/>
        <w:gridCol w:w="1135"/>
        <w:gridCol w:w="1412"/>
        <w:gridCol w:w="2215"/>
      </w:tblGrid>
      <w:tr w:rsidR="00F33269" w:rsidRPr="00E2771E">
        <w:trPr>
          <w:tblHeader/>
        </w:trPr>
        <w:tc>
          <w:tcPr>
            <w:tcW w:w="516" w:type="pct"/>
            <w:shd w:val="clear" w:color="auto" w:fill="auto"/>
            <w:vAlign w:val="center"/>
          </w:tcPr>
          <w:p w:rsidR="007F1017" w:rsidRPr="00E2771E" w:rsidRDefault="007F1017" w:rsidP="007F1017">
            <w:pPr>
              <w:jc w:val="left"/>
              <w:rPr>
                <w:rFonts w:ascii="Arial Narrow" w:hAnsi="Arial Narrow"/>
                <w:b/>
                <w:sz w:val="20"/>
                <w:lang w:val="en-US"/>
              </w:rPr>
            </w:pPr>
            <w:r w:rsidRPr="00E2771E">
              <w:rPr>
                <w:rFonts w:ascii="Arial Narrow" w:hAnsi="Arial Narrow"/>
                <w:b/>
                <w:sz w:val="20"/>
                <w:lang w:val="en-US"/>
              </w:rPr>
              <w:t>Trial</w:t>
            </w:r>
          </w:p>
        </w:tc>
        <w:tc>
          <w:tcPr>
            <w:tcW w:w="268"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N</w:t>
            </w:r>
          </w:p>
        </w:tc>
        <w:tc>
          <w:tcPr>
            <w:tcW w:w="682"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Design/ duration</w:t>
            </w:r>
          </w:p>
        </w:tc>
        <w:tc>
          <w:tcPr>
            <w:tcW w:w="681"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Risk of bias</w:t>
            </w:r>
          </w:p>
        </w:tc>
        <w:tc>
          <w:tcPr>
            <w:tcW w:w="680"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Patient population</w:t>
            </w:r>
          </w:p>
        </w:tc>
        <w:tc>
          <w:tcPr>
            <w:tcW w:w="845" w:type="pct"/>
            <w:shd w:val="clear" w:color="auto" w:fill="auto"/>
            <w:vAlign w:val="center"/>
          </w:tcPr>
          <w:p w:rsidR="007F1017" w:rsidRPr="00E2771E" w:rsidRDefault="00D17CFD" w:rsidP="007F1017">
            <w:pPr>
              <w:jc w:val="center"/>
              <w:rPr>
                <w:rFonts w:ascii="Arial Narrow" w:hAnsi="Arial Narrow"/>
                <w:b/>
                <w:sz w:val="20"/>
                <w:lang w:val="en-US"/>
              </w:rPr>
            </w:pPr>
            <w:r>
              <w:rPr>
                <w:rFonts w:ascii="Arial Narrow" w:hAnsi="Arial Narrow"/>
                <w:b/>
                <w:sz w:val="20"/>
                <w:lang w:val="en-US"/>
              </w:rPr>
              <w:t>Primary outcome</w:t>
            </w:r>
          </w:p>
        </w:tc>
        <w:tc>
          <w:tcPr>
            <w:tcW w:w="1327"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Use in modelled evaluation</w:t>
            </w:r>
          </w:p>
        </w:tc>
      </w:tr>
      <w:tr w:rsidR="007F1017" w:rsidRPr="00E2771E">
        <w:tc>
          <w:tcPr>
            <w:tcW w:w="5000" w:type="pct"/>
            <w:gridSpan w:val="7"/>
            <w:shd w:val="clear" w:color="auto" w:fill="auto"/>
            <w:vAlign w:val="center"/>
          </w:tcPr>
          <w:p w:rsidR="007F1017" w:rsidRPr="00E2771E" w:rsidRDefault="00F33269" w:rsidP="007F1017">
            <w:pPr>
              <w:jc w:val="left"/>
              <w:rPr>
                <w:rFonts w:ascii="Arial Narrow" w:hAnsi="Arial Narrow"/>
                <w:b/>
                <w:sz w:val="20"/>
                <w:lang w:val="en-US"/>
              </w:rPr>
            </w:pPr>
            <w:r>
              <w:rPr>
                <w:rFonts w:ascii="Arial Narrow" w:hAnsi="Arial Narrow"/>
                <w:b/>
                <w:sz w:val="20"/>
                <w:lang w:val="en-US"/>
              </w:rPr>
              <w:t xml:space="preserve">Aflibercept vs laser photocoagulation </w:t>
            </w:r>
          </w:p>
        </w:tc>
      </w:tr>
      <w:tr w:rsidR="00D17CFD" w:rsidRPr="00E2771E">
        <w:tc>
          <w:tcPr>
            <w:tcW w:w="516" w:type="pct"/>
            <w:shd w:val="clear" w:color="auto" w:fill="auto"/>
            <w:vAlign w:val="center"/>
          </w:tcPr>
          <w:p w:rsidR="00D17CFD" w:rsidRPr="00E2771E" w:rsidRDefault="00D17CFD" w:rsidP="007F1017">
            <w:pPr>
              <w:jc w:val="left"/>
              <w:rPr>
                <w:rFonts w:ascii="Arial Narrow" w:hAnsi="Arial Narrow"/>
                <w:sz w:val="20"/>
                <w:lang w:val="en-US"/>
              </w:rPr>
            </w:pPr>
            <w:r>
              <w:rPr>
                <w:rFonts w:ascii="Arial Narrow" w:hAnsi="Arial Narrow"/>
                <w:sz w:val="20"/>
                <w:lang w:val="en-US"/>
              </w:rPr>
              <w:t>VIVID</w:t>
            </w:r>
          </w:p>
        </w:tc>
        <w:tc>
          <w:tcPr>
            <w:tcW w:w="268" w:type="pct"/>
            <w:shd w:val="clear" w:color="auto" w:fill="auto"/>
            <w:vAlign w:val="center"/>
          </w:tcPr>
          <w:p w:rsidR="00D17CFD" w:rsidRPr="00E2771E" w:rsidRDefault="00D17CFD" w:rsidP="007F1017">
            <w:pPr>
              <w:jc w:val="center"/>
              <w:rPr>
                <w:rFonts w:ascii="Arial Narrow" w:hAnsi="Arial Narrow"/>
                <w:sz w:val="20"/>
                <w:lang w:val="en-US"/>
              </w:rPr>
            </w:pPr>
            <w:r>
              <w:rPr>
                <w:rFonts w:ascii="Arial Narrow" w:hAnsi="Arial Narrow"/>
                <w:sz w:val="20"/>
                <w:lang w:val="en-US"/>
              </w:rPr>
              <w:t>406</w:t>
            </w:r>
          </w:p>
        </w:tc>
        <w:tc>
          <w:tcPr>
            <w:tcW w:w="682" w:type="pct"/>
            <w:shd w:val="clear" w:color="auto" w:fill="auto"/>
            <w:vAlign w:val="center"/>
          </w:tcPr>
          <w:p w:rsidR="00D17CFD" w:rsidRPr="00E2771E" w:rsidRDefault="00D17CFD" w:rsidP="00F33269">
            <w:pPr>
              <w:jc w:val="center"/>
              <w:rPr>
                <w:rFonts w:ascii="Arial Narrow" w:hAnsi="Arial Narrow"/>
                <w:sz w:val="20"/>
                <w:lang w:val="en-US"/>
              </w:rPr>
            </w:pPr>
            <w:r w:rsidRPr="00F33269">
              <w:rPr>
                <w:rFonts w:ascii="Arial Narrow" w:hAnsi="Arial Narrow"/>
                <w:sz w:val="20"/>
                <w:lang w:val="en-US"/>
              </w:rPr>
              <w:t>R, DM, AC, MC, Phase 3</w:t>
            </w:r>
            <w:r>
              <w:rPr>
                <w:rFonts w:ascii="Arial Narrow" w:hAnsi="Arial Narrow"/>
                <w:sz w:val="20"/>
                <w:lang w:val="en-US"/>
              </w:rPr>
              <w:t>; 52 week results</w:t>
            </w:r>
          </w:p>
        </w:tc>
        <w:tc>
          <w:tcPr>
            <w:tcW w:w="681" w:type="pct"/>
            <w:shd w:val="clear" w:color="auto" w:fill="auto"/>
            <w:vAlign w:val="center"/>
          </w:tcPr>
          <w:p w:rsidR="00D17CFD" w:rsidRPr="00E2771E" w:rsidRDefault="00D17CFD" w:rsidP="007F1017">
            <w:pPr>
              <w:jc w:val="center"/>
              <w:rPr>
                <w:rFonts w:ascii="Arial Narrow" w:hAnsi="Arial Narrow"/>
                <w:sz w:val="20"/>
                <w:lang w:val="en-US"/>
              </w:rPr>
            </w:pPr>
            <w:r>
              <w:rPr>
                <w:rFonts w:ascii="Arial Narrow" w:hAnsi="Arial Narrow"/>
                <w:sz w:val="20"/>
                <w:lang w:val="en-US"/>
              </w:rPr>
              <w:t>Low</w:t>
            </w:r>
          </w:p>
        </w:tc>
        <w:tc>
          <w:tcPr>
            <w:tcW w:w="680" w:type="pct"/>
            <w:vMerge w:val="restart"/>
            <w:shd w:val="clear" w:color="auto" w:fill="auto"/>
            <w:vAlign w:val="center"/>
          </w:tcPr>
          <w:p w:rsidR="00D17CFD" w:rsidRPr="00E2771E" w:rsidRDefault="00D17CFD" w:rsidP="007F1017">
            <w:pPr>
              <w:jc w:val="center"/>
              <w:rPr>
                <w:rFonts w:ascii="Arial Narrow" w:hAnsi="Arial Narrow"/>
                <w:sz w:val="20"/>
                <w:lang w:val="en-US"/>
              </w:rPr>
            </w:pPr>
            <w:r>
              <w:rPr>
                <w:rFonts w:ascii="Arial Narrow" w:hAnsi="Arial Narrow"/>
                <w:sz w:val="20"/>
                <w:lang w:val="en-US"/>
              </w:rPr>
              <w:t>Vision impairment (BCVA: 73-24) due to DME</w:t>
            </w:r>
          </w:p>
        </w:tc>
        <w:tc>
          <w:tcPr>
            <w:tcW w:w="845" w:type="pct"/>
            <w:vMerge w:val="restart"/>
            <w:shd w:val="clear" w:color="auto" w:fill="auto"/>
            <w:vAlign w:val="center"/>
          </w:tcPr>
          <w:p w:rsidR="00D17CFD" w:rsidRPr="00E2771E" w:rsidRDefault="00D17CFD" w:rsidP="007F1017">
            <w:pPr>
              <w:jc w:val="center"/>
              <w:rPr>
                <w:rFonts w:ascii="Arial Narrow" w:hAnsi="Arial Narrow"/>
                <w:sz w:val="20"/>
                <w:lang w:val="en-US"/>
              </w:rPr>
            </w:pPr>
            <w:r>
              <w:rPr>
                <w:rFonts w:ascii="Arial Narrow" w:hAnsi="Arial Narrow"/>
                <w:sz w:val="20"/>
              </w:rPr>
              <w:t>Change from baseline in BCVA in ETDRS letter score at week 52</w:t>
            </w:r>
          </w:p>
        </w:tc>
        <w:tc>
          <w:tcPr>
            <w:tcW w:w="1327" w:type="pct"/>
            <w:vMerge w:val="restart"/>
            <w:shd w:val="clear" w:color="auto" w:fill="auto"/>
            <w:vAlign w:val="center"/>
          </w:tcPr>
          <w:p w:rsidR="00D17CFD" w:rsidRPr="00E2771E" w:rsidRDefault="00D17CFD" w:rsidP="007F1017">
            <w:pPr>
              <w:jc w:val="center"/>
              <w:rPr>
                <w:rFonts w:ascii="Arial Narrow" w:hAnsi="Arial Narrow"/>
                <w:sz w:val="20"/>
                <w:lang w:val="en-US"/>
              </w:rPr>
            </w:pPr>
            <w:r>
              <w:rPr>
                <w:rFonts w:ascii="Arial Narrow" w:hAnsi="Arial Narrow"/>
                <w:sz w:val="20"/>
                <w:lang w:val="en-US"/>
              </w:rPr>
              <w:t>Transition probabilities (year 1), adverse events</w:t>
            </w:r>
          </w:p>
        </w:tc>
      </w:tr>
      <w:tr w:rsidR="00D17CFD" w:rsidRPr="00E2771E">
        <w:tc>
          <w:tcPr>
            <w:tcW w:w="516" w:type="pct"/>
            <w:shd w:val="clear" w:color="auto" w:fill="auto"/>
            <w:vAlign w:val="center"/>
          </w:tcPr>
          <w:p w:rsidR="00D17CFD" w:rsidRPr="00E2771E" w:rsidRDefault="00D17CFD" w:rsidP="007F1017">
            <w:pPr>
              <w:jc w:val="left"/>
              <w:rPr>
                <w:rFonts w:ascii="Arial Narrow" w:hAnsi="Arial Narrow"/>
                <w:sz w:val="20"/>
                <w:lang w:val="en-US"/>
              </w:rPr>
            </w:pPr>
            <w:r>
              <w:rPr>
                <w:rFonts w:ascii="Arial Narrow" w:hAnsi="Arial Narrow"/>
                <w:sz w:val="20"/>
                <w:lang w:val="en-US"/>
              </w:rPr>
              <w:t>VISTA</w:t>
            </w:r>
          </w:p>
        </w:tc>
        <w:tc>
          <w:tcPr>
            <w:tcW w:w="268" w:type="pct"/>
            <w:shd w:val="clear" w:color="auto" w:fill="auto"/>
            <w:vAlign w:val="center"/>
          </w:tcPr>
          <w:p w:rsidR="00D17CFD" w:rsidRPr="00E2771E" w:rsidRDefault="00D17CFD" w:rsidP="007F1017">
            <w:pPr>
              <w:jc w:val="center"/>
              <w:rPr>
                <w:rFonts w:ascii="Arial Narrow" w:hAnsi="Arial Narrow"/>
                <w:sz w:val="20"/>
                <w:lang w:val="en-US"/>
              </w:rPr>
            </w:pPr>
            <w:r>
              <w:rPr>
                <w:rFonts w:ascii="Arial Narrow" w:hAnsi="Arial Narrow"/>
                <w:sz w:val="20"/>
                <w:lang w:val="en-US"/>
              </w:rPr>
              <w:t>466</w:t>
            </w:r>
          </w:p>
        </w:tc>
        <w:tc>
          <w:tcPr>
            <w:tcW w:w="682" w:type="pct"/>
            <w:shd w:val="clear" w:color="auto" w:fill="auto"/>
            <w:vAlign w:val="center"/>
          </w:tcPr>
          <w:p w:rsidR="00D17CFD" w:rsidRPr="00E2771E" w:rsidRDefault="00D17CFD" w:rsidP="007F1017">
            <w:pPr>
              <w:jc w:val="center"/>
              <w:rPr>
                <w:rFonts w:ascii="Arial Narrow" w:hAnsi="Arial Narrow"/>
                <w:sz w:val="20"/>
                <w:lang w:val="en-US"/>
              </w:rPr>
            </w:pPr>
            <w:r w:rsidRPr="00F33269">
              <w:rPr>
                <w:rFonts w:ascii="Arial Narrow" w:hAnsi="Arial Narrow"/>
                <w:sz w:val="20"/>
                <w:lang w:val="en-US"/>
              </w:rPr>
              <w:t>R, DM, AC, Phase 3</w:t>
            </w:r>
            <w:r>
              <w:rPr>
                <w:rFonts w:ascii="Arial Narrow" w:hAnsi="Arial Narrow"/>
                <w:sz w:val="20"/>
                <w:lang w:val="en-US"/>
              </w:rPr>
              <w:t>; 52 week results</w:t>
            </w:r>
          </w:p>
        </w:tc>
        <w:tc>
          <w:tcPr>
            <w:tcW w:w="681" w:type="pct"/>
            <w:shd w:val="clear" w:color="auto" w:fill="auto"/>
            <w:vAlign w:val="center"/>
          </w:tcPr>
          <w:p w:rsidR="00D17CFD" w:rsidRPr="00E2771E" w:rsidRDefault="00D17CFD" w:rsidP="007F1017">
            <w:pPr>
              <w:jc w:val="center"/>
              <w:rPr>
                <w:rFonts w:ascii="Arial Narrow" w:hAnsi="Arial Narrow"/>
                <w:sz w:val="20"/>
                <w:lang w:val="en-US"/>
              </w:rPr>
            </w:pPr>
            <w:r>
              <w:rPr>
                <w:rFonts w:ascii="Arial Narrow" w:hAnsi="Arial Narrow"/>
                <w:sz w:val="20"/>
                <w:lang w:val="en-US"/>
              </w:rPr>
              <w:t>Low</w:t>
            </w:r>
          </w:p>
        </w:tc>
        <w:tc>
          <w:tcPr>
            <w:tcW w:w="680" w:type="pct"/>
            <w:vMerge/>
            <w:shd w:val="clear" w:color="auto" w:fill="auto"/>
            <w:vAlign w:val="center"/>
          </w:tcPr>
          <w:p w:rsidR="00D17CFD" w:rsidRPr="00E2771E" w:rsidRDefault="00D17CFD" w:rsidP="007F1017">
            <w:pPr>
              <w:jc w:val="center"/>
              <w:rPr>
                <w:rFonts w:ascii="Arial Narrow" w:hAnsi="Arial Narrow"/>
                <w:sz w:val="20"/>
                <w:lang w:val="en-US"/>
              </w:rPr>
            </w:pPr>
          </w:p>
        </w:tc>
        <w:tc>
          <w:tcPr>
            <w:tcW w:w="845" w:type="pct"/>
            <w:vMerge/>
            <w:shd w:val="clear" w:color="auto" w:fill="auto"/>
            <w:vAlign w:val="center"/>
          </w:tcPr>
          <w:p w:rsidR="00D17CFD" w:rsidRPr="00E2771E" w:rsidRDefault="00D17CFD" w:rsidP="007F1017">
            <w:pPr>
              <w:jc w:val="center"/>
              <w:rPr>
                <w:rFonts w:ascii="Arial Narrow" w:hAnsi="Arial Narrow"/>
                <w:sz w:val="20"/>
                <w:lang w:val="en-US"/>
              </w:rPr>
            </w:pPr>
          </w:p>
        </w:tc>
        <w:tc>
          <w:tcPr>
            <w:tcW w:w="1327" w:type="pct"/>
            <w:vMerge/>
            <w:shd w:val="clear" w:color="auto" w:fill="auto"/>
            <w:vAlign w:val="center"/>
          </w:tcPr>
          <w:p w:rsidR="00D17CFD" w:rsidRPr="00E2771E" w:rsidRDefault="00D17CFD" w:rsidP="007F1017">
            <w:pPr>
              <w:jc w:val="center"/>
              <w:rPr>
                <w:rFonts w:ascii="Arial Narrow" w:hAnsi="Arial Narrow"/>
                <w:sz w:val="20"/>
                <w:lang w:val="en-US"/>
              </w:rPr>
            </w:pPr>
          </w:p>
        </w:tc>
      </w:tr>
      <w:tr w:rsidR="00D17CFD" w:rsidRPr="00E2771E">
        <w:tc>
          <w:tcPr>
            <w:tcW w:w="516" w:type="pct"/>
            <w:shd w:val="clear" w:color="auto" w:fill="auto"/>
            <w:vAlign w:val="center"/>
          </w:tcPr>
          <w:p w:rsidR="00D17CFD" w:rsidRDefault="00D17CFD" w:rsidP="007F1017">
            <w:pPr>
              <w:jc w:val="left"/>
              <w:rPr>
                <w:rFonts w:ascii="Arial Narrow" w:hAnsi="Arial Narrow"/>
                <w:sz w:val="20"/>
                <w:lang w:val="en-US"/>
              </w:rPr>
            </w:pPr>
            <w:proofErr w:type="spellStart"/>
            <w:r>
              <w:rPr>
                <w:rFonts w:ascii="Arial Narrow" w:hAnsi="Arial Narrow"/>
                <w:sz w:val="20"/>
                <w:lang w:val="en-US"/>
              </w:rPr>
              <w:t>Meta analysis</w:t>
            </w:r>
            <w:proofErr w:type="spellEnd"/>
          </w:p>
        </w:tc>
        <w:tc>
          <w:tcPr>
            <w:tcW w:w="268" w:type="pct"/>
            <w:shd w:val="clear" w:color="auto" w:fill="auto"/>
            <w:vAlign w:val="center"/>
          </w:tcPr>
          <w:p w:rsidR="00D17CFD" w:rsidRDefault="00FC0767" w:rsidP="007F1017">
            <w:pPr>
              <w:jc w:val="center"/>
              <w:rPr>
                <w:rFonts w:ascii="Arial Narrow" w:hAnsi="Arial Narrow"/>
                <w:sz w:val="20"/>
                <w:lang w:val="en-US"/>
              </w:rPr>
            </w:pPr>
            <w:r w:rsidRPr="00FC0767">
              <w:rPr>
                <w:rFonts w:ascii="Arial Narrow" w:hAnsi="Arial Narrow"/>
                <w:i/>
                <w:sz w:val="20"/>
                <w:lang w:val="en-US"/>
              </w:rPr>
              <w:t>8</w:t>
            </w:r>
            <w:r w:rsidR="00D17CFD">
              <w:rPr>
                <w:rFonts w:ascii="Arial Narrow" w:hAnsi="Arial Narrow"/>
                <w:sz w:val="20"/>
                <w:lang w:val="en-US"/>
              </w:rPr>
              <w:t>72</w:t>
            </w:r>
          </w:p>
        </w:tc>
        <w:tc>
          <w:tcPr>
            <w:tcW w:w="2889" w:type="pct"/>
            <w:gridSpan w:val="4"/>
            <w:shd w:val="clear" w:color="auto" w:fill="auto"/>
            <w:vAlign w:val="center"/>
          </w:tcPr>
          <w:p w:rsidR="00D17CFD" w:rsidRPr="00E2771E" w:rsidRDefault="009E637D" w:rsidP="007F1017">
            <w:pPr>
              <w:jc w:val="center"/>
              <w:rPr>
                <w:rFonts w:ascii="Arial Narrow" w:hAnsi="Arial Narrow"/>
                <w:sz w:val="20"/>
                <w:lang w:val="en-US"/>
              </w:rPr>
            </w:pPr>
            <w:r>
              <w:rPr>
                <w:rFonts w:ascii="Arial Narrow" w:hAnsi="Arial Narrow"/>
                <w:sz w:val="20"/>
                <w:lang w:val="en-US"/>
              </w:rPr>
              <w:t>VIVID and VISTA pooled analysis of aflibercept 2Q8 and laser</w:t>
            </w:r>
          </w:p>
        </w:tc>
        <w:tc>
          <w:tcPr>
            <w:tcW w:w="1327" w:type="pct"/>
            <w:vMerge/>
            <w:shd w:val="clear" w:color="auto" w:fill="auto"/>
            <w:vAlign w:val="center"/>
          </w:tcPr>
          <w:p w:rsidR="00D17CFD" w:rsidRPr="00E2771E" w:rsidRDefault="00D17CFD" w:rsidP="007F1017">
            <w:pPr>
              <w:jc w:val="center"/>
              <w:rPr>
                <w:rFonts w:ascii="Arial Narrow" w:hAnsi="Arial Narrow"/>
                <w:sz w:val="20"/>
                <w:lang w:val="en-US"/>
              </w:rPr>
            </w:pPr>
          </w:p>
        </w:tc>
      </w:tr>
      <w:tr w:rsidR="00F33269" w:rsidRPr="00E2771E">
        <w:tc>
          <w:tcPr>
            <w:tcW w:w="5000" w:type="pct"/>
            <w:gridSpan w:val="7"/>
            <w:shd w:val="clear" w:color="auto" w:fill="auto"/>
            <w:vAlign w:val="center"/>
          </w:tcPr>
          <w:p w:rsidR="00F33269" w:rsidRPr="00F33269" w:rsidRDefault="00F33269" w:rsidP="00F33269">
            <w:pPr>
              <w:jc w:val="left"/>
              <w:rPr>
                <w:rFonts w:ascii="Arial Narrow" w:hAnsi="Arial Narrow"/>
                <w:b/>
                <w:sz w:val="20"/>
                <w:lang w:val="en-US"/>
              </w:rPr>
            </w:pPr>
            <w:r w:rsidRPr="00F33269">
              <w:rPr>
                <w:rFonts w:ascii="Arial Narrow" w:hAnsi="Arial Narrow"/>
                <w:b/>
                <w:sz w:val="20"/>
                <w:lang w:val="en-US"/>
              </w:rPr>
              <w:t>Ranibizumab vs laser photocoagulation</w:t>
            </w:r>
          </w:p>
        </w:tc>
      </w:tr>
      <w:tr w:rsidR="009E637D" w:rsidRPr="00E2771E">
        <w:tc>
          <w:tcPr>
            <w:tcW w:w="516" w:type="pct"/>
            <w:shd w:val="clear" w:color="auto" w:fill="auto"/>
            <w:vAlign w:val="center"/>
          </w:tcPr>
          <w:p w:rsidR="009E637D" w:rsidRPr="00E2771E" w:rsidRDefault="009E637D" w:rsidP="007F1017">
            <w:pPr>
              <w:jc w:val="left"/>
              <w:rPr>
                <w:rFonts w:ascii="Arial Narrow" w:hAnsi="Arial Narrow"/>
                <w:sz w:val="20"/>
                <w:lang w:val="en-US"/>
              </w:rPr>
            </w:pPr>
            <w:r>
              <w:rPr>
                <w:rFonts w:ascii="Arial Narrow" w:hAnsi="Arial Narrow"/>
                <w:sz w:val="20"/>
                <w:lang w:val="en-US"/>
              </w:rPr>
              <w:t>RESTORE</w:t>
            </w:r>
          </w:p>
        </w:tc>
        <w:tc>
          <w:tcPr>
            <w:tcW w:w="268" w:type="pct"/>
            <w:shd w:val="clear" w:color="auto" w:fill="auto"/>
            <w:vAlign w:val="center"/>
          </w:tcPr>
          <w:p w:rsidR="009E637D" w:rsidRPr="00E2771E" w:rsidRDefault="009E637D" w:rsidP="00D91FB4">
            <w:pPr>
              <w:jc w:val="center"/>
              <w:rPr>
                <w:rFonts w:ascii="Arial Narrow" w:hAnsi="Arial Narrow"/>
                <w:sz w:val="20"/>
                <w:lang w:val="en-US"/>
              </w:rPr>
            </w:pPr>
            <w:r w:rsidRPr="00D91FB4">
              <w:rPr>
                <w:rFonts w:ascii="Arial Narrow" w:hAnsi="Arial Narrow"/>
                <w:i/>
                <w:sz w:val="20"/>
                <w:lang w:val="en-US"/>
              </w:rPr>
              <w:t>34</w:t>
            </w:r>
            <w:r w:rsidR="00D91FB4">
              <w:rPr>
                <w:rFonts w:ascii="Arial Narrow" w:hAnsi="Arial Narrow"/>
                <w:i/>
                <w:sz w:val="20"/>
                <w:lang w:val="en-US"/>
              </w:rPr>
              <w:t>3</w:t>
            </w:r>
          </w:p>
        </w:tc>
        <w:tc>
          <w:tcPr>
            <w:tcW w:w="682" w:type="pct"/>
            <w:shd w:val="clear" w:color="auto" w:fill="auto"/>
            <w:vAlign w:val="center"/>
          </w:tcPr>
          <w:p w:rsidR="009E637D" w:rsidRPr="00E2771E" w:rsidRDefault="009E637D" w:rsidP="007F1017">
            <w:pPr>
              <w:jc w:val="center"/>
              <w:rPr>
                <w:rFonts w:ascii="Arial Narrow" w:hAnsi="Arial Narrow"/>
                <w:sz w:val="20"/>
                <w:lang w:val="en-US"/>
              </w:rPr>
            </w:pPr>
            <w:r w:rsidRPr="00F33269">
              <w:rPr>
                <w:rFonts w:ascii="Arial Narrow" w:hAnsi="Arial Narrow"/>
                <w:sz w:val="20"/>
                <w:lang w:val="en-US"/>
              </w:rPr>
              <w:t>R, DM, MC, Phase 3</w:t>
            </w:r>
            <w:r>
              <w:rPr>
                <w:rFonts w:ascii="Arial Narrow" w:hAnsi="Arial Narrow"/>
                <w:sz w:val="20"/>
                <w:lang w:val="en-US"/>
              </w:rPr>
              <w:t>; 12 month results</w:t>
            </w:r>
          </w:p>
        </w:tc>
        <w:tc>
          <w:tcPr>
            <w:tcW w:w="681" w:type="pct"/>
            <w:shd w:val="clear" w:color="auto" w:fill="auto"/>
            <w:vAlign w:val="center"/>
          </w:tcPr>
          <w:p w:rsidR="009E637D" w:rsidRPr="00E2771E" w:rsidRDefault="009E637D" w:rsidP="007F1017">
            <w:pPr>
              <w:jc w:val="center"/>
              <w:rPr>
                <w:rFonts w:ascii="Arial Narrow" w:hAnsi="Arial Narrow"/>
                <w:sz w:val="20"/>
                <w:lang w:val="en-US"/>
              </w:rPr>
            </w:pPr>
            <w:r>
              <w:rPr>
                <w:rFonts w:ascii="Arial Narrow" w:hAnsi="Arial Narrow"/>
                <w:sz w:val="20"/>
                <w:lang w:val="en-US"/>
              </w:rPr>
              <w:t>Low</w:t>
            </w:r>
          </w:p>
        </w:tc>
        <w:tc>
          <w:tcPr>
            <w:tcW w:w="680" w:type="pct"/>
            <w:vMerge w:val="restart"/>
            <w:shd w:val="clear" w:color="auto" w:fill="auto"/>
            <w:vAlign w:val="center"/>
          </w:tcPr>
          <w:p w:rsidR="009E637D" w:rsidRPr="00E2771E" w:rsidRDefault="009E637D" w:rsidP="007F1017">
            <w:pPr>
              <w:jc w:val="center"/>
              <w:rPr>
                <w:rFonts w:ascii="Arial Narrow" w:hAnsi="Arial Narrow"/>
                <w:sz w:val="20"/>
                <w:lang w:val="en-US"/>
              </w:rPr>
            </w:pPr>
            <w:r>
              <w:rPr>
                <w:rFonts w:ascii="Arial Narrow" w:hAnsi="Arial Narrow"/>
                <w:sz w:val="20"/>
                <w:lang w:val="en-US"/>
              </w:rPr>
              <w:t>Vision impairment (BCVA: 78-39) due to DME</w:t>
            </w:r>
          </w:p>
        </w:tc>
        <w:tc>
          <w:tcPr>
            <w:tcW w:w="845" w:type="pct"/>
            <w:vMerge w:val="restart"/>
            <w:shd w:val="clear" w:color="auto" w:fill="auto"/>
            <w:vAlign w:val="center"/>
          </w:tcPr>
          <w:p w:rsidR="009E637D" w:rsidRPr="00E2771E" w:rsidRDefault="009E637D" w:rsidP="007F1017">
            <w:pPr>
              <w:jc w:val="center"/>
              <w:rPr>
                <w:rFonts w:ascii="Arial Narrow" w:hAnsi="Arial Narrow"/>
                <w:sz w:val="20"/>
                <w:lang w:val="en-US"/>
              </w:rPr>
            </w:pPr>
            <w:r>
              <w:rPr>
                <w:rFonts w:ascii="Arial Narrow" w:hAnsi="Arial Narrow"/>
                <w:sz w:val="20"/>
              </w:rPr>
              <w:t>Change in BCVA letter score from baseline to month 1 through month 12</w:t>
            </w:r>
          </w:p>
        </w:tc>
        <w:tc>
          <w:tcPr>
            <w:tcW w:w="1327" w:type="pct"/>
            <w:vMerge w:val="restart"/>
            <w:shd w:val="clear" w:color="auto" w:fill="auto"/>
            <w:vAlign w:val="center"/>
          </w:tcPr>
          <w:p w:rsidR="009E637D" w:rsidRPr="00D17CFD" w:rsidRDefault="009E637D" w:rsidP="00D17CFD">
            <w:pPr>
              <w:jc w:val="center"/>
              <w:rPr>
                <w:rFonts w:ascii="Arial Narrow" w:hAnsi="Arial Narrow"/>
                <w:sz w:val="20"/>
                <w:lang w:val="en-US"/>
              </w:rPr>
            </w:pPr>
            <w:r w:rsidRPr="00D17CFD">
              <w:rPr>
                <w:rFonts w:ascii="Arial Narrow" w:hAnsi="Arial Narrow"/>
                <w:sz w:val="20"/>
                <w:lang w:val="en-US"/>
              </w:rPr>
              <w:t>RR for gain/loss ≥10 &amp; ≥15 letters are used to calibrate aflibercept transition probabilities</w:t>
            </w:r>
            <w:r>
              <w:rPr>
                <w:rFonts w:ascii="Arial Narrow" w:hAnsi="Arial Narrow"/>
                <w:sz w:val="20"/>
                <w:lang w:val="en-US"/>
              </w:rPr>
              <w:t xml:space="preserve"> (year 1); </w:t>
            </w:r>
          </w:p>
          <w:p w:rsidR="009E637D" w:rsidRPr="00E2771E" w:rsidRDefault="009E637D" w:rsidP="00D17CFD">
            <w:pPr>
              <w:jc w:val="center"/>
              <w:rPr>
                <w:rFonts w:ascii="Arial Narrow" w:hAnsi="Arial Narrow"/>
                <w:sz w:val="20"/>
                <w:lang w:val="en-US"/>
              </w:rPr>
            </w:pPr>
            <w:r w:rsidRPr="00D17CFD">
              <w:rPr>
                <w:rFonts w:ascii="Arial Narrow" w:hAnsi="Arial Narrow"/>
                <w:sz w:val="20"/>
                <w:lang w:val="en-US"/>
              </w:rPr>
              <w:t>adverse events (RESTORE)</w:t>
            </w:r>
          </w:p>
        </w:tc>
      </w:tr>
      <w:tr w:rsidR="009E637D" w:rsidRPr="00E2771E">
        <w:tc>
          <w:tcPr>
            <w:tcW w:w="516" w:type="pct"/>
            <w:shd w:val="clear" w:color="auto" w:fill="auto"/>
            <w:vAlign w:val="center"/>
          </w:tcPr>
          <w:p w:rsidR="009E637D" w:rsidRPr="00E2771E" w:rsidRDefault="009E637D" w:rsidP="007F1017">
            <w:pPr>
              <w:jc w:val="left"/>
              <w:rPr>
                <w:rFonts w:ascii="Arial Narrow" w:hAnsi="Arial Narrow"/>
                <w:sz w:val="20"/>
                <w:lang w:val="en-US"/>
              </w:rPr>
            </w:pPr>
            <w:r>
              <w:rPr>
                <w:rFonts w:ascii="Arial Narrow" w:hAnsi="Arial Narrow"/>
                <w:sz w:val="20"/>
                <w:lang w:val="en-US"/>
              </w:rPr>
              <w:t>REVEAL</w:t>
            </w:r>
          </w:p>
        </w:tc>
        <w:tc>
          <w:tcPr>
            <w:tcW w:w="268" w:type="pct"/>
            <w:shd w:val="clear" w:color="auto" w:fill="auto"/>
            <w:vAlign w:val="center"/>
          </w:tcPr>
          <w:p w:rsidR="009E637D" w:rsidRPr="00E2771E" w:rsidRDefault="009E637D" w:rsidP="007F1017">
            <w:pPr>
              <w:jc w:val="center"/>
              <w:rPr>
                <w:rFonts w:ascii="Arial Narrow" w:hAnsi="Arial Narrow"/>
                <w:sz w:val="20"/>
                <w:lang w:val="en-US"/>
              </w:rPr>
            </w:pPr>
            <w:r>
              <w:rPr>
                <w:rFonts w:ascii="Arial Narrow" w:hAnsi="Arial Narrow"/>
                <w:sz w:val="20"/>
                <w:lang w:val="en-US"/>
              </w:rPr>
              <w:t>396</w:t>
            </w:r>
          </w:p>
        </w:tc>
        <w:tc>
          <w:tcPr>
            <w:tcW w:w="682" w:type="pct"/>
            <w:shd w:val="clear" w:color="auto" w:fill="auto"/>
            <w:vAlign w:val="center"/>
          </w:tcPr>
          <w:p w:rsidR="009E637D" w:rsidRPr="00E2771E" w:rsidRDefault="009E637D" w:rsidP="007F1017">
            <w:pPr>
              <w:jc w:val="center"/>
              <w:rPr>
                <w:rFonts w:ascii="Arial Narrow" w:hAnsi="Arial Narrow"/>
                <w:sz w:val="20"/>
                <w:lang w:val="en-US"/>
              </w:rPr>
            </w:pPr>
            <w:r>
              <w:rPr>
                <w:rFonts w:ascii="Arial Narrow" w:hAnsi="Arial Narrow"/>
                <w:sz w:val="20"/>
              </w:rPr>
              <w:t>R, DM, MC, Phase 3; 12 month results</w:t>
            </w:r>
          </w:p>
        </w:tc>
        <w:tc>
          <w:tcPr>
            <w:tcW w:w="681" w:type="pct"/>
            <w:shd w:val="clear" w:color="auto" w:fill="auto"/>
            <w:vAlign w:val="center"/>
          </w:tcPr>
          <w:p w:rsidR="009E637D" w:rsidRPr="00E2771E" w:rsidRDefault="009E637D" w:rsidP="00A94ADB">
            <w:pPr>
              <w:jc w:val="center"/>
              <w:rPr>
                <w:rFonts w:ascii="Arial Narrow" w:hAnsi="Arial Narrow"/>
                <w:sz w:val="20"/>
                <w:lang w:val="en-US"/>
              </w:rPr>
            </w:pPr>
            <w:r>
              <w:rPr>
                <w:rFonts w:ascii="Arial Narrow" w:hAnsi="Arial Narrow"/>
                <w:sz w:val="20"/>
                <w:lang w:val="en-US"/>
              </w:rPr>
              <w:t xml:space="preserve">Unclear; </w:t>
            </w:r>
            <w:r w:rsidR="00A94ADB">
              <w:rPr>
                <w:rFonts w:ascii="Arial Narrow" w:hAnsi="Arial Narrow"/>
                <w:sz w:val="20"/>
                <w:lang w:val="en-US"/>
              </w:rPr>
              <w:t>i</w:t>
            </w:r>
            <w:r>
              <w:rPr>
                <w:rFonts w:ascii="Arial Narrow" w:hAnsi="Arial Narrow"/>
                <w:sz w:val="20"/>
                <w:lang w:val="en-US"/>
              </w:rPr>
              <w:t>nsufficient information</w:t>
            </w:r>
          </w:p>
        </w:tc>
        <w:tc>
          <w:tcPr>
            <w:tcW w:w="680" w:type="pct"/>
            <w:vMerge/>
            <w:shd w:val="clear" w:color="auto" w:fill="auto"/>
            <w:vAlign w:val="center"/>
          </w:tcPr>
          <w:p w:rsidR="009E637D" w:rsidRPr="00E2771E" w:rsidRDefault="009E637D" w:rsidP="007F1017">
            <w:pPr>
              <w:jc w:val="center"/>
              <w:rPr>
                <w:rFonts w:ascii="Arial Narrow" w:hAnsi="Arial Narrow"/>
                <w:sz w:val="20"/>
                <w:lang w:val="en-US"/>
              </w:rPr>
            </w:pPr>
          </w:p>
        </w:tc>
        <w:tc>
          <w:tcPr>
            <w:tcW w:w="845" w:type="pct"/>
            <w:vMerge/>
            <w:shd w:val="clear" w:color="auto" w:fill="auto"/>
            <w:vAlign w:val="center"/>
          </w:tcPr>
          <w:p w:rsidR="009E637D" w:rsidRPr="00E2771E" w:rsidRDefault="009E637D" w:rsidP="007F1017">
            <w:pPr>
              <w:jc w:val="center"/>
              <w:rPr>
                <w:rFonts w:ascii="Arial Narrow" w:hAnsi="Arial Narrow"/>
                <w:sz w:val="20"/>
                <w:lang w:val="en-US"/>
              </w:rPr>
            </w:pPr>
          </w:p>
        </w:tc>
        <w:tc>
          <w:tcPr>
            <w:tcW w:w="1327" w:type="pct"/>
            <w:vMerge/>
            <w:shd w:val="clear" w:color="auto" w:fill="auto"/>
            <w:vAlign w:val="center"/>
          </w:tcPr>
          <w:p w:rsidR="009E637D" w:rsidRPr="00E2771E" w:rsidRDefault="009E637D" w:rsidP="007F1017">
            <w:pPr>
              <w:jc w:val="center"/>
              <w:rPr>
                <w:rFonts w:ascii="Arial Narrow" w:hAnsi="Arial Narrow"/>
                <w:sz w:val="20"/>
                <w:lang w:val="en-US"/>
              </w:rPr>
            </w:pPr>
          </w:p>
        </w:tc>
      </w:tr>
      <w:tr w:rsidR="009E637D" w:rsidRPr="00E2771E">
        <w:tc>
          <w:tcPr>
            <w:tcW w:w="516" w:type="pct"/>
            <w:shd w:val="clear" w:color="auto" w:fill="auto"/>
            <w:vAlign w:val="center"/>
          </w:tcPr>
          <w:p w:rsidR="009E637D" w:rsidRDefault="009E637D" w:rsidP="007F1017">
            <w:pPr>
              <w:jc w:val="left"/>
              <w:rPr>
                <w:rFonts w:ascii="Arial Narrow" w:hAnsi="Arial Narrow"/>
                <w:sz w:val="20"/>
                <w:lang w:val="en-US"/>
              </w:rPr>
            </w:pPr>
            <w:proofErr w:type="spellStart"/>
            <w:r>
              <w:rPr>
                <w:rFonts w:ascii="Arial Narrow" w:hAnsi="Arial Narrow"/>
                <w:sz w:val="20"/>
                <w:lang w:val="en-US"/>
              </w:rPr>
              <w:t>Meta analysis</w:t>
            </w:r>
            <w:proofErr w:type="spellEnd"/>
          </w:p>
        </w:tc>
        <w:tc>
          <w:tcPr>
            <w:tcW w:w="268" w:type="pct"/>
            <w:shd w:val="clear" w:color="auto" w:fill="auto"/>
            <w:vAlign w:val="center"/>
          </w:tcPr>
          <w:p w:rsidR="009E637D" w:rsidRDefault="00E0687F" w:rsidP="007F1017">
            <w:pPr>
              <w:jc w:val="center"/>
              <w:rPr>
                <w:rFonts w:ascii="Arial Narrow" w:hAnsi="Arial Narrow"/>
                <w:sz w:val="20"/>
                <w:lang w:val="en-US"/>
              </w:rPr>
            </w:pPr>
            <w:r w:rsidRPr="00E0687F">
              <w:rPr>
                <w:rFonts w:ascii="Arial Narrow" w:hAnsi="Arial Narrow"/>
                <w:i/>
                <w:sz w:val="20"/>
                <w:lang w:val="en-US"/>
              </w:rPr>
              <w:t>739</w:t>
            </w:r>
          </w:p>
        </w:tc>
        <w:tc>
          <w:tcPr>
            <w:tcW w:w="2889" w:type="pct"/>
            <w:gridSpan w:val="4"/>
            <w:shd w:val="clear" w:color="auto" w:fill="auto"/>
            <w:vAlign w:val="center"/>
          </w:tcPr>
          <w:p w:rsidR="009E637D" w:rsidRPr="00E2771E" w:rsidRDefault="009E637D" w:rsidP="007F1017">
            <w:pPr>
              <w:jc w:val="center"/>
              <w:rPr>
                <w:rFonts w:ascii="Arial Narrow" w:hAnsi="Arial Narrow"/>
                <w:sz w:val="20"/>
                <w:lang w:val="en-US"/>
              </w:rPr>
            </w:pPr>
            <w:r>
              <w:rPr>
                <w:rFonts w:ascii="Arial Narrow" w:hAnsi="Arial Narrow"/>
                <w:sz w:val="20"/>
                <w:lang w:val="en-US"/>
              </w:rPr>
              <w:t>RESTORE and REVEAL pooled analysis of ranibizumab monotherapy and laser</w:t>
            </w:r>
          </w:p>
        </w:tc>
        <w:tc>
          <w:tcPr>
            <w:tcW w:w="1327" w:type="pct"/>
            <w:vMerge/>
            <w:shd w:val="clear" w:color="auto" w:fill="auto"/>
            <w:vAlign w:val="center"/>
          </w:tcPr>
          <w:p w:rsidR="009E637D" w:rsidRPr="00E2771E" w:rsidRDefault="009E637D" w:rsidP="007F1017">
            <w:pPr>
              <w:jc w:val="center"/>
              <w:rPr>
                <w:rFonts w:ascii="Arial Narrow" w:hAnsi="Arial Narrow"/>
                <w:sz w:val="20"/>
                <w:lang w:val="en-US"/>
              </w:rPr>
            </w:pPr>
          </w:p>
        </w:tc>
      </w:tr>
    </w:tbl>
    <w:p w:rsidR="007F1017" w:rsidRPr="0072416F" w:rsidRDefault="00F33269" w:rsidP="00F33269">
      <w:pPr>
        <w:pStyle w:val="TableFooter"/>
        <w:ind w:left="709"/>
      </w:pPr>
      <w:r w:rsidRPr="00F33269">
        <w:t>Abbreviations: AC = active control; BCVA = best corrected visual acuity; DM = double masked; MC = multicentre; R = randomised</w:t>
      </w:r>
      <w:r w:rsidR="00F568DE">
        <w:t>;</w:t>
      </w:r>
      <w:r w:rsidR="00F568DE" w:rsidRPr="0072416F">
        <w:t xml:space="preserve"> RR = </w:t>
      </w:r>
      <w:r w:rsidR="00F568DE">
        <w:t xml:space="preserve">relative </w:t>
      </w:r>
      <w:r w:rsidR="00F568DE" w:rsidRPr="0072416F">
        <w:t>risk</w:t>
      </w:r>
      <w:r w:rsidR="009E637D">
        <w:t xml:space="preserve">.  </w:t>
      </w:r>
      <w:r w:rsidR="007F1017" w:rsidRPr="0072416F">
        <w:t>Source: compiled during the evaluation</w:t>
      </w:r>
    </w:p>
    <w:p w:rsidR="00B60939" w:rsidRDefault="00B60939" w:rsidP="00B60939">
      <w:pPr>
        <w:rPr>
          <w:szCs w:val="22"/>
        </w:rPr>
      </w:pPr>
    </w:p>
    <w:p w:rsidR="00B60939" w:rsidRPr="00BF0C39" w:rsidRDefault="00B60939" w:rsidP="00BF0C39">
      <w:pPr>
        <w:rPr>
          <w:b/>
        </w:rPr>
      </w:pPr>
      <w:bookmarkStart w:id="8" w:name="_Toc398652600"/>
      <w:r w:rsidRPr="00BF0C39">
        <w:rPr>
          <w:b/>
        </w:rPr>
        <w:lastRenderedPageBreak/>
        <w:t>Comparative effectiveness</w:t>
      </w:r>
      <w:bookmarkEnd w:id="8"/>
    </w:p>
    <w:p w:rsidR="00B60939" w:rsidRPr="00882085" w:rsidRDefault="00B60939" w:rsidP="00B60939">
      <w:pPr>
        <w:rPr>
          <w:szCs w:val="22"/>
        </w:rPr>
      </w:pPr>
    </w:p>
    <w:p w:rsidR="002C2775" w:rsidRPr="00B50DB8" w:rsidRDefault="009E637D" w:rsidP="00B80C0B">
      <w:pPr>
        <w:pStyle w:val="ListParagraph"/>
        <w:widowControl/>
        <w:numPr>
          <w:ilvl w:val="1"/>
          <w:numId w:val="3"/>
        </w:numPr>
        <w:rPr>
          <w:szCs w:val="22"/>
        </w:rPr>
      </w:pPr>
      <w:r>
        <w:rPr>
          <w:szCs w:val="22"/>
        </w:rPr>
        <w:t>Key results for the outcome of mean change in baseline BCVA in ETDRS letter score at 12 months are</w:t>
      </w:r>
      <w:r w:rsidR="004C4E73">
        <w:rPr>
          <w:szCs w:val="22"/>
        </w:rPr>
        <w:t xml:space="preserve"> presented in the table below.</w:t>
      </w:r>
    </w:p>
    <w:p w:rsidR="007F1017" w:rsidRDefault="007F1017" w:rsidP="00A87861">
      <w:pPr>
        <w:widowControl/>
        <w:rPr>
          <w:szCs w:val="22"/>
        </w:rPr>
      </w:pPr>
    </w:p>
    <w:p w:rsidR="009E637D" w:rsidRPr="00A54EF3" w:rsidRDefault="009E637D" w:rsidP="009E637D">
      <w:pPr>
        <w:ind w:firstLine="720"/>
        <w:rPr>
          <w:rFonts w:ascii="Arial Narrow" w:hAnsi="Arial Narrow"/>
          <w:b/>
          <w:sz w:val="20"/>
        </w:rPr>
      </w:pPr>
      <w:r w:rsidRPr="00A54EF3">
        <w:rPr>
          <w:rFonts w:ascii="Arial Narrow" w:hAnsi="Arial Narrow"/>
          <w:b/>
          <w:sz w:val="20"/>
        </w:rPr>
        <w:t xml:space="preserve">Mean change in baseline BCVA in </w:t>
      </w:r>
      <w:r w:rsidR="004209BF">
        <w:rPr>
          <w:rFonts w:ascii="Arial Narrow" w:hAnsi="Arial Narrow"/>
          <w:b/>
          <w:sz w:val="20"/>
        </w:rPr>
        <w:t>ETDRS</w:t>
      </w:r>
      <w:r w:rsidR="00F568DE">
        <w:rPr>
          <w:rFonts w:ascii="Arial Narrow" w:hAnsi="Arial Narrow"/>
          <w:b/>
          <w:sz w:val="20"/>
        </w:rPr>
        <w:t xml:space="preserve"> letter score at 12 months</w:t>
      </w:r>
    </w:p>
    <w:tbl>
      <w:tblPr>
        <w:tblStyle w:val="TableGrid"/>
        <w:tblW w:w="4595" w:type="pct"/>
        <w:tblInd w:w="735" w:type="dxa"/>
        <w:tblCellMar>
          <w:left w:w="28" w:type="dxa"/>
          <w:right w:w="28" w:type="dxa"/>
        </w:tblCellMar>
        <w:tblLook w:val="04A0" w:firstRow="1" w:lastRow="0" w:firstColumn="1" w:lastColumn="0" w:noHBand="0" w:noVBand="1"/>
      </w:tblPr>
      <w:tblGrid>
        <w:gridCol w:w="1282"/>
        <w:gridCol w:w="2215"/>
        <w:gridCol w:w="1172"/>
        <w:gridCol w:w="1210"/>
        <w:gridCol w:w="1259"/>
        <w:gridCol w:w="1209"/>
      </w:tblGrid>
      <w:tr w:rsidR="00AE0934" w:rsidRPr="00AE0934">
        <w:trPr>
          <w:trHeight w:val="20"/>
        </w:trPr>
        <w:tc>
          <w:tcPr>
            <w:tcW w:w="2095" w:type="pct"/>
            <w:gridSpan w:val="2"/>
            <w:vMerge w:val="restart"/>
            <w:vAlign w:val="center"/>
          </w:tcPr>
          <w:p w:rsidR="009E637D" w:rsidRPr="00AE0934" w:rsidRDefault="009E637D" w:rsidP="004675AB">
            <w:pPr>
              <w:jc w:val="left"/>
              <w:rPr>
                <w:rFonts w:ascii="Arial Narrow" w:hAnsi="Arial Narrow"/>
                <w:sz w:val="20"/>
              </w:rPr>
            </w:pPr>
          </w:p>
        </w:tc>
        <w:tc>
          <w:tcPr>
            <w:tcW w:w="1427" w:type="pct"/>
            <w:gridSpan w:val="2"/>
            <w:vAlign w:val="center"/>
          </w:tcPr>
          <w:p w:rsidR="009E637D" w:rsidRPr="00AE0934" w:rsidRDefault="009E637D" w:rsidP="004675AB">
            <w:pPr>
              <w:jc w:val="center"/>
              <w:rPr>
                <w:rFonts w:ascii="Arial Narrow" w:hAnsi="Arial Narrow"/>
                <w:b/>
                <w:sz w:val="20"/>
              </w:rPr>
            </w:pPr>
            <w:r w:rsidRPr="00AE0934">
              <w:rPr>
                <w:rFonts w:ascii="Arial Narrow" w:hAnsi="Arial Narrow"/>
                <w:b/>
                <w:sz w:val="20"/>
              </w:rPr>
              <w:t>VIVID</w:t>
            </w:r>
          </w:p>
        </w:tc>
        <w:tc>
          <w:tcPr>
            <w:tcW w:w="1478" w:type="pct"/>
            <w:gridSpan w:val="2"/>
            <w:vAlign w:val="center"/>
          </w:tcPr>
          <w:p w:rsidR="009E637D" w:rsidRPr="00AE0934" w:rsidRDefault="009E637D" w:rsidP="004675AB">
            <w:pPr>
              <w:jc w:val="center"/>
              <w:rPr>
                <w:rFonts w:ascii="Arial Narrow" w:hAnsi="Arial Narrow"/>
                <w:b/>
                <w:sz w:val="20"/>
              </w:rPr>
            </w:pPr>
            <w:r w:rsidRPr="00AE0934">
              <w:rPr>
                <w:rFonts w:ascii="Arial Narrow" w:hAnsi="Arial Narrow"/>
                <w:b/>
                <w:sz w:val="20"/>
              </w:rPr>
              <w:t>VISTA</w:t>
            </w:r>
          </w:p>
        </w:tc>
      </w:tr>
      <w:tr w:rsidR="00AE0934" w:rsidRPr="00AE0934">
        <w:trPr>
          <w:trHeight w:val="20"/>
        </w:trPr>
        <w:tc>
          <w:tcPr>
            <w:tcW w:w="2095" w:type="pct"/>
            <w:gridSpan w:val="2"/>
            <w:vMerge/>
            <w:vAlign w:val="center"/>
          </w:tcPr>
          <w:p w:rsidR="009E637D" w:rsidRPr="00AE0934" w:rsidRDefault="009E637D" w:rsidP="004675AB">
            <w:pPr>
              <w:jc w:val="left"/>
              <w:rPr>
                <w:rFonts w:ascii="Arial Narrow" w:hAnsi="Arial Narrow"/>
                <w:sz w:val="20"/>
              </w:rPr>
            </w:pPr>
          </w:p>
        </w:tc>
        <w:tc>
          <w:tcPr>
            <w:tcW w:w="702" w:type="pct"/>
            <w:vAlign w:val="center"/>
          </w:tcPr>
          <w:p w:rsidR="009E637D" w:rsidRPr="00AE0934" w:rsidRDefault="009E637D" w:rsidP="004675AB">
            <w:pPr>
              <w:jc w:val="center"/>
              <w:rPr>
                <w:rFonts w:ascii="Arial Narrow" w:hAnsi="Arial Narrow"/>
                <w:sz w:val="20"/>
              </w:rPr>
            </w:pPr>
            <w:r w:rsidRPr="00AE0934">
              <w:rPr>
                <w:rStyle w:val="CommentReference"/>
                <w:szCs w:val="20"/>
              </w:rPr>
              <w:t>2Q8 (n=135)</w:t>
            </w:r>
          </w:p>
        </w:tc>
        <w:tc>
          <w:tcPr>
            <w:tcW w:w="725" w:type="pct"/>
            <w:vAlign w:val="center"/>
          </w:tcPr>
          <w:p w:rsidR="009E637D" w:rsidRPr="00AE0934" w:rsidRDefault="009E637D" w:rsidP="004675AB">
            <w:pPr>
              <w:jc w:val="center"/>
              <w:rPr>
                <w:rFonts w:ascii="Arial Narrow" w:hAnsi="Arial Narrow"/>
                <w:sz w:val="20"/>
              </w:rPr>
            </w:pPr>
            <w:r w:rsidRPr="00AE0934">
              <w:rPr>
                <w:rStyle w:val="CommentReference"/>
                <w:szCs w:val="20"/>
              </w:rPr>
              <w:t>Laser (n=132)</w:t>
            </w:r>
          </w:p>
        </w:tc>
        <w:tc>
          <w:tcPr>
            <w:tcW w:w="754" w:type="pct"/>
            <w:vAlign w:val="center"/>
          </w:tcPr>
          <w:p w:rsidR="009E637D" w:rsidRPr="00AE0934" w:rsidRDefault="009E637D" w:rsidP="004675AB">
            <w:pPr>
              <w:jc w:val="center"/>
              <w:rPr>
                <w:rFonts w:ascii="Arial Narrow" w:hAnsi="Arial Narrow"/>
                <w:sz w:val="20"/>
              </w:rPr>
            </w:pPr>
            <w:r w:rsidRPr="00AE0934">
              <w:rPr>
                <w:rStyle w:val="CommentReference"/>
                <w:szCs w:val="20"/>
              </w:rPr>
              <w:t>2Q8 (n=151)</w:t>
            </w:r>
          </w:p>
        </w:tc>
        <w:tc>
          <w:tcPr>
            <w:tcW w:w="724" w:type="pct"/>
            <w:vAlign w:val="center"/>
          </w:tcPr>
          <w:p w:rsidR="009E637D" w:rsidRPr="00AE0934" w:rsidRDefault="009E637D" w:rsidP="004675AB">
            <w:pPr>
              <w:jc w:val="center"/>
              <w:rPr>
                <w:rStyle w:val="CommentReference"/>
              </w:rPr>
            </w:pPr>
            <w:r w:rsidRPr="00AE0934">
              <w:rPr>
                <w:rStyle w:val="CommentReference"/>
                <w:szCs w:val="20"/>
              </w:rPr>
              <w:t>Laser (n=154)</w:t>
            </w:r>
          </w:p>
        </w:tc>
      </w:tr>
      <w:tr w:rsidR="00AE0934" w:rsidRPr="002C0FAE">
        <w:trPr>
          <w:trHeight w:val="20"/>
        </w:trPr>
        <w:tc>
          <w:tcPr>
            <w:tcW w:w="768" w:type="pct"/>
            <w:vAlign w:val="center"/>
          </w:tcPr>
          <w:p w:rsidR="009E637D" w:rsidRPr="002C0FAE" w:rsidRDefault="009E637D" w:rsidP="004675AB">
            <w:pPr>
              <w:jc w:val="left"/>
              <w:rPr>
                <w:rFonts w:ascii="Arial Narrow" w:hAnsi="Arial Narrow"/>
                <w:sz w:val="20"/>
              </w:rPr>
            </w:pPr>
            <w:r w:rsidRPr="002C0FAE">
              <w:rPr>
                <w:rFonts w:ascii="Arial Narrow" w:hAnsi="Arial Narrow"/>
                <w:sz w:val="20"/>
              </w:rPr>
              <w:t>B</w:t>
            </w:r>
            <w:r w:rsidR="00244206" w:rsidRPr="002C0FAE">
              <w:rPr>
                <w:rFonts w:ascii="Arial Narrow" w:hAnsi="Arial Narrow"/>
                <w:sz w:val="20"/>
              </w:rPr>
              <w:t>asel</w:t>
            </w:r>
            <w:r w:rsidRPr="002C0FAE">
              <w:rPr>
                <w:rFonts w:ascii="Arial Narrow" w:hAnsi="Arial Narrow"/>
                <w:sz w:val="20"/>
              </w:rPr>
              <w:t>ine</w:t>
            </w:r>
          </w:p>
        </w:tc>
        <w:tc>
          <w:tcPr>
            <w:tcW w:w="1327" w:type="pct"/>
            <w:vMerge w:val="restart"/>
            <w:vAlign w:val="center"/>
          </w:tcPr>
          <w:p w:rsidR="009E637D" w:rsidRPr="002C0FAE" w:rsidRDefault="009E637D" w:rsidP="00AE0934">
            <w:pPr>
              <w:jc w:val="left"/>
              <w:rPr>
                <w:rFonts w:ascii="Arial Narrow" w:hAnsi="Arial Narrow"/>
                <w:sz w:val="20"/>
              </w:rPr>
            </w:pPr>
            <w:r w:rsidRPr="002C0FAE">
              <w:rPr>
                <w:rFonts w:ascii="Arial Narrow" w:hAnsi="Arial Narrow"/>
                <w:sz w:val="20"/>
              </w:rPr>
              <w:t>Mean; SD</w:t>
            </w:r>
          </w:p>
        </w:tc>
        <w:tc>
          <w:tcPr>
            <w:tcW w:w="702" w:type="pct"/>
            <w:vAlign w:val="center"/>
          </w:tcPr>
          <w:p w:rsidR="009E637D" w:rsidRPr="00BF0C39" w:rsidRDefault="00BF0C39" w:rsidP="004675AB">
            <w:pPr>
              <w:jc w:val="center"/>
              <w:rPr>
                <w:rFonts w:ascii="Arial Narrow" w:hAnsi="Arial Narrow"/>
                <w:sz w:val="20"/>
                <w:highlight w:val="black"/>
              </w:rPr>
            </w:pPr>
            <w:r>
              <w:rPr>
                <w:rStyle w:val="CommentReference"/>
                <w:b w:val="0"/>
                <w:noProof/>
                <w:color w:val="000000"/>
                <w:szCs w:val="20"/>
                <w:highlight w:val="black"/>
              </w:rPr>
              <w:t>'''''''''' '''''''''''''''</w:t>
            </w:r>
          </w:p>
        </w:tc>
        <w:tc>
          <w:tcPr>
            <w:tcW w:w="725" w:type="pct"/>
            <w:vAlign w:val="center"/>
          </w:tcPr>
          <w:p w:rsidR="009E637D" w:rsidRPr="00BF0C39" w:rsidRDefault="00BF0C39" w:rsidP="004675AB">
            <w:pPr>
              <w:jc w:val="center"/>
              <w:rPr>
                <w:rFonts w:ascii="Arial Narrow" w:hAnsi="Arial Narrow"/>
                <w:sz w:val="20"/>
                <w:highlight w:val="black"/>
              </w:rPr>
            </w:pPr>
            <w:r>
              <w:rPr>
                <w:rStyle w:val="CommentReference"/>
                <w:b w:val="0"/>
                <w:noProof/>
                <w:color w:val="000000"/>
                <w:szCs w:val="20"/>
                <w:highlight w:val="black"/>
              </w:rPr>
              <w:t>'''''''''''' '''''''''''''''</w:t>
            </w:r>
          </w:p>
        </w:tc>
        <w:tc>
          <w:tcPr>
            <w:tcW w:w="754" w:type="pct"/>
            <w:vAlign w:val="center"/>
          </w:tcPr>
          <w:p w:rsidR="009E637D" w:rsidRPr="00BF0C39" w:rsidRDefault="00BF0C39" w:rsidP="004675AB">
            <w:pPr>
              <w:jc w:val="center"/>
              <w:rPr>
                <w:rFonts w:ascii="Arial Narrow" w:hAnsi="Arial Narrow"/>
                <w:sz w:val="20"/>
                <w:highlight w:val="black"/>
              </w:rPr>
            </w:pPr>
            <w:r>
              <w:rPr>
                <w:rStyle w:val="CommentReference"/>
                <w:b w:val="0"/>
                <w:noProof/>
                <w:color w:val="000000"/>
                <w:szCs w:val="20"/>
                <w:highlight w:val="black"/>
              </w:rPr>
              <w:t>'''''''''' '''''''''''''</w:t>
            </w:r>
          </w:p>
        </w:tc>
        <w:tc>
          <w:tcPr>
            <w:tcW w:w="724" w:type="pct"/>
            <w:vAlign w:val="center"/>
          </w:tcPr>
          <w:p w:rsidR="009E637D" w:rsidRPr="00BF0C39" w:rsidRDefault="00BF0C39" w:rsidP="004675AB">
            <w:pPr>
              <w:jc w:val="center"/>
              <w:rPr>
                <w:rStyle w:val="CommentReference"/>
                <w:highlight w:val="black"/>
              </w:rPr>
            </w:pPr>
            <w:r>
              <w:rPr>
                <w:rStyle w:val="CommentReference"/>
                <w:b w:val="0"/>
                <w:noProof/>
                <w:color w:val="000000"/>
                <w:szCs w:val="20"/>
                <w:highlight w:val="black"/>
              </w:rPr>
              <w:t>''''''''''' '''''''''''''</w:t>
            </w:r>
          </w:p>
        </w:tc>
      </w:tr>
      <w:tr w:rsidR="00AE0934" w:rsidRPr="002C0FAE">
        <w:trPr>
          <w:trHeight w:val="20"/>
        </w:trPr>
        <w:tc>
          <w:tcPr>
            <w:tcW w:w="768" w:type="pct"/>
            <w:vAlign w:val="center"/>
          </w:tcPr>
          <w:p w:rsidR="009E637D" w:rsidRPr="002C0FAE" w:rsidRDefault="009E637D" w:rsidP="004675AB">
            <w:pPr>
              <w:jc w:val="left"/>
              <w:rPr>
                <w:rFonts w:ascii="Arial Narrow" w:hAnsi="Arial Narrow"/>
                <w:sz w:val="20"/>
              </w:rPr>
            </w:pPr>
            <w:r w:rsidRPr="002C0FAE">
              <w:rPr>
                <w:rFonts w:ascii="Arial Narrow" w:hAnsi="Arial Narrow"/>
                <w:sz w:val="20"/>
              </w:rPr>
              <w:t>Week 52</w:t>
            </w:r>
          </w:p>
        </w:tc>
        <w:tc>
          <w:tcPr>
            <w:tcW w:w="1327" w:type="pct"/>
            <w:vMerge/>
            <w:vAlign w:val="center"/>
          </w:tcPr>
          <w:p w:rsidR="009E637D" w:rsidRPr="002C0FAE" w:rsidRDefault="009E637D" w:rsidP="004675AB">
            <w:pPr>
              <w:jc w:val="center"/>
              <w:rPr>
                <w:rFonts w:ascii="Arial Narrow" w:hAnsi="Arial Narrow"/>
                <w:sz w:val="20"/>
              </w:rPr>
            </w:pPr>
          </w:p>
        </w:tc>
        <w:tc>
          <w:tcPr>
            <w:tcW w:w="702" w:type="pct"/>
            <w:vAlign w:val="center"/>
          </w:tcPr>
          <w:p w:rsidR="009E637D" w:rsidRPr="00BF0C39" w:rsidRDefault="00BF0C39" w:rsidP="004675AB">
            <w:pPr>
              <w:jc w:val="center"/>
              <w:rPr>
                <w:rFonts w:ascii="Arial Narrow" w:hAnsi="Arial Narrow"/>
                <w:sz w:val="20"/>
                <w:highlight w:val="black"/>
              </w:rPr>
            </w:pPr>
            <w:r>
              <w:rPr>
                <w:rStyle w:val="CommentReference"/>
                <w:b w:val="0"/>
                <w:noProof/>
                <w:color w:val="000000"/>
                <w:szCs w:val="20"/>
                <w:highlight w:val="black"/>
              </w:rPr>
              <w:t>'''''''''' ''''''''''''''</w:t>
            </w:r>
          </w:p>
        </w:tc>
        <w:tc>
          <w:tcPr>
            <w:tcW w:w="725" w:type="pct"/>
            <w:vAlign w:val="center"/>
          </w:tcPr>
          <w:p w:rsidR="009E637D" w:rsidRPr="00BF0C39" w:rsidRDefault="00BF0C39" w:rsidP="004675AB">
            <w:pPr>
              <w:jc w:val="center"/>
              <w:rPr>
                <w:rFonts w:ascii="Arial Narrow" w:hAnsi="Arial Narrow"/>
                <w:sz w:val="20"/>
                <w:highlight w:val="black"/>
              </w:rPr>
            </w:pPr>
            <w:r>
              <w:rPr>
                <w:rStyle w:val="CommentReference"/>
                <w:b w:val="0"/>
                <w:noProof/>
                <w:color w:val="000000"/>
                <w:szCs w:val="20"/>
                <w:highlight w:val="black"/>
              </w:rPr>
              <w:t>'''''''''' '''''''''''''''</w:t>
            </w:r>
          </w:p>
        </w:tc>
        <w:tc>
          <w:tcPr>
            <w:tcW w:w="754" w:type="pct"/>
            <w:vAlign w:val="center"/>
          </w:tcPr>
          <w:p w:rsidR="009E637D" w:rsidRPr="00BF0C39" w:rsidRDefault="00BF0C39" w:rsidP="004675AB">
            <w:pPr>
              <w:jc w:val="center"/>
              <w:rPr>
                <w:rFonts w:ascii="Arial Narrow" w:hAnsi="Arial Narrow"/>
                <w:sz w:val="20"/>
                <w:highlight w:val="black"/>
              </w:rPr>
            </w:pPr>
            <w:r>
              <w:rPr>
                <w:rStyle w:val="CommentReference"/>
                <w:b w:val="0"/>
                <w:noProof/>
                <w:color w:val="000000"/>
                <w:szCs w:val="20"/>
                <w:highlight w:val="black"/>
              </w:rPr>
              <w:t>''''''''''' '''''''''''''</w:t>
            </w:r>
          </w:p>
        </w:tc>
        <w:tc>
          <w:tcPr>
            <w:tcW w:w="724" w:type="pct"/>
            <w:vAlign w:val="center"/>
          </w:tcPr>
          <w:p w:rsidR="009E637D" w:rsidRPr="00BF0C39" w:rsidRDefault="00BF0C39" w:rsidP="004675AB">
            <w:pPr>
              <w:jc w:val="center"/>
              <w:rPr>
                <w:rStyle w:val="CommentReference"/>
                <w:highlight w:val="black"/>
              </w:rPr>
            </w:pPr>
            <w:r>
              <w:rPr>
                <w:rStyle w:val="CommentReference"/>
                <w:b w:val="0"/>
                <w:noProof/>
                <w:color w:val="000000"/>
                <w:szCs w:val="20"/>
                <w:highlight w:val="black"/>
              </w:rPr>
              <w:t>''''''''''' '''''''''''''''</w:t>
            </w:r>
          </w:p>
        </w:tc>
      </w:tr>
      <w:tr w:rsidR="00AE0934" w:rsidRPr="002C0FAE">
        <w:trPr>
          <w:trHeight w:val="20"/>
        </w:trPr>
        <w:tc>
          <w:tcPr>
            <w:tcW w:w="768" w:type="pct"/>
            <w:tcBorders>
              <w:bottom w:val="single" w:sz="4" w:space="0" w:color="auto"/>
            </w:tcBorders>
            <w:vAlign w:val="center"/>
          </w:tcPr>
          <w:p w:rsidR="009E637D" w:rsidRPr="002C0FAE" w:rsidRDefault="009E637D" w:rsidP="004675AB">
            <w:pPr>
              <w:jc w:val="left"/>
              <w:rPr>
                <w:rFonts w:ascii="Arial Narrow" w:hAnsi="Arial Narrow"/>
                <w:sz w:val="20"/>
              </w:rPr>
            </w:pPr>
            <w:r w:rsidRPr="002C0FAE">
              <w:rPr>
                <w:rFonts w:ascii="Arial Narrow" w:hAnsi="Arial Narrow"/>
                <w:sz w:val="20"/>
              </w:rPr>
              <w:t>∆ b/line to 52/52</w:t>
            </w:r>
          </w:p>
        </w:tc>
        <w:tc>
          <w:tcPr>
            <w:tcW w:w="1327" w:type="pct"/>
            <w:vMerge/>
            <w:tcBorders>
              <w:bottom w:val="single" w:sz="4" w:space="0" w:color="auto"/>
            </w:tcBorders>
            <w:vAlign w:val="center"/>
          </w:tcPr>
          <w:p w:rsidR="009E637D" w:rsidRPr="002C0FAE" w:rsidRDefault="009E637D" w:rsidP="004675AB">
            <w:pPr>
              <w:jc w:val="center"/>
              <w:rPr>
                <w:rFonts w:ascii="Arial Narrow" w:hAnsi="Arial Narrow"/>
                <w:sz w:val="20"/>
              </w:rPr>
            </w:pPr>
          </w:p>
        </w:tc>
        <w:tc>
          <w:tcPr>
            <w:tcW w:w="702" w:type="pct"/>
            <w:tcBorders>
              <w:bottom w:val="single" w:sz="4" w:space="0" w:color="auto"/>
            </w:tcBorders>
            <w:vAlign w:val="center"/>
          </w:tcPr>
          <w:p w:rsidR="009E637D" w:rsidRPr="00BF0C39" w:rsidRDefault="00BF0C39" w:rsidP="004675AB">
            <w:pPr>
              <w:jc w:val="center"/>
              <w:rPr>
                <w:rFonts w:ascii="Arial Narrow" w:hAnsi="Arial Narrow"/>
                <w:sz w:val="20"/>
                <w:highlight w:val="black"/>
              </w:rPr>
            </w:pPr>
            <w:r>
              <w:rPr>
                <w:rStyle w:val="CommentReference"/>
                <w:b w:val="0"/>
                <w:noProof/>
                <w:color w:val="000000"/>
                <w:szCs w:val="20"/>
                <w:highlight w:val="black"/>
              </w:rPr>
              <w:t>'''''''''' ''''''''''''</w:t>
            </w:r>
          </w:p>
        </w:tc>
        <w:tc>
          <w:tcPr>
            <w:tcW w:w="725" w:type="pct"/>
            <w:tcBorders>
              <w:bottom w:val="single" w:sz="4" w:space="0" w:color="auto"/>
            </w:tcBorders>
            <w:vAlign w:val="center"/>
          </w:tcPr>
          <w:p w:rsidR="009E637D" w:rsidRPr="00BF0C39" w:rsidRDefault="00BF0C39" w:rsidP="004675AB">
            <w:pPr>
              <w:jc w:val="center"/>
              <w:rPr>
                <w:rFonts w:ascii="Arial Narrow" w:hAnsi="Arial Narrow"/>
                <w:sz w:val="20"/>
                <w:highlight w:val="black"/>
              </w:rPr>
            </w:pPr>
            <w:r>
              <w:rPr>
                <w:rStyle w:val="CommentReference"/>
                <w:b w:val="0"/>
                <w:noProof/>
                <w:color w:val="000000"/>
                <w:szCs w:val="20"/>
                <w:highlight w:val="black"/>
              </w:rPr>
              <w:t>'''''''' ''''''''''''</w:t>
            </w:r>
          </w:p>
        </w:tc>
        <w:tc>
          <w:tcPr>
            <w:tcW w:w="754" w:type="pct"/>
            <w:tcBorders>
              <w:bottom w:val="single" w:sz="4" w:space="0" w:color="auto"/>
            </w:tcBorders>
            <w:vAlign w:val="center"/>
          </w:tcPr>
          <w:p w:rsidR="009E637D" w:rsidRPr="00BF0C39" w:rsidRDefault="00BF0C39" w:rsidP="004675AB">
            <w:pPr>
              <w:jc w:val="center"/>
              <w:rPr>
                <w:rFonts w:ascii="Arial Narrow" w:hAnsi="Arial Narrow"/>
                <w:sz w:val="20"/>
                <w:highlight w:val="black"/>
              </w:rPr>
            </w:pPr>
            <w:r>
              <w:rPr>
                <w:rStyle w:val="CommentReference"/>
                <w:b w:val="0"/>
                <w:noProof/>
                <w:color w:val="000000"/>
                <w:szCs w:val="20"/>
                <w:highlight w:val="black"/>
              </w:rPr>
              <w:t>'''''''''''' ''''''''''</w:t>
            </w:r>
          </w:p>
        </w:tc>
        <w:tc>
          <w:tcPr>
            <w:tcW w:w="724" w:type="pct"/>
            <w:tcBorders>
              <w:bottom w:val="single" w:sz="4" w:space="0" w:color="auto"/>
            </w:tcBorders>
            <w:vAlign w:val="center"/>
          </w:tcPr>
          <w:p w:rsidR="009E637D" w:rsidRPr="00BF0C39" w:rsidRDefault="00BF0C39" w:rsidP="004675AB">
            <w:pPr>
              <w:jc w:val="center"/>
              <w:rPr>
                <w:rStyle w:val="CommentReference"/>
                <w:highlight w:val="black"/>
              </w:rPr>
            </w:pPr>
            <w:r>
              <w:rPr>
                <w:rStyle w:val="CommentReference"/>
                <w:b w:val="0"/>
                <w:noProof/>
                <w:color w:val="000000"/>
                <w:szCs w:val="20"/>
                <w:highlight w:val="black"/>
              </w:rPr>
              <w:t>'''''''' ''''''''''''''</w:t>
            </w:r>
          </w:p>
        </w:tc>
      </w:tr>
      <w:tr w:rsidR="00AE0934" w:rsidRPr="002C0FAE">
        <w:trPr>
          <w:trHeight w:val="20"/>
        </w:trPr>
        <w:tc>
          <w:tcPr>
            <w:tcW w:w="768" w:type="pct"/>
            <w:tcBorders>
              <w:top w:val="single" w:sz="4" w:space="0" w:color="auto"/>
              <w:bottom w:val="single" w:sz="4" w:space="0" w:color="auto"/>
            </w:tcBorders>
            <w:vAlign w:val="center"/>
          </w:tcPr>
          <w:p w:rsidR="009E637D" w:rsidRPr="002C0FAE" w:rsidRDefault="009E637D" w:rsidP="004675AB">
            <w:pPr>
              <w:jc w:val="left"/>
              <w:rPr>
                <w:rFonts w:ascii="Arial Narrow" w:hAnsi="Arial Narrow"/>
                <w:sz w:val="20"/>
              </w:rPr>
            </w:pPr>
            <w:r w:rsidRPr="002C0FAE">
              <w:rPr>
                <w:rFonts w:ascii="Arial Narrow" w:hAnsi="Arial Narrow"/>
                <w:sz w:val="20"/>
              </w:rPr>
              <w:t>AFB vs laser</w:t>
            </w:r>
          </w:p>
        </w:tc>
        <w:tc>
          <w:tcPr>
            <w:tcW w:w="1327" w:type="pct"/>
            <w:tcBorders>
              <w:top w:val="single" w:sz="4" w:space="0" w:color="auto"/>
              <w:bottom w:val="single" w:sz="4" w:space="0" w:color="auto"/>
            </w:tcBorders>
            <w:vAlign w:val="center"/>
          </w:tcPr>
          <w:p w:rsidR="009E637D" w:rsidRPr="002C0FAE" w:rsidRDefault="009E637D" w:rsidP="00AE0934">
            <w:pPr>
              <w:jc w:val="left"/>
              <w:rPr>
                <w:rFonts w:ascii="Arial Narrow" w:hAnsi="Arial Narrow"/>
                <w:sz w:val="20"/>
              </w:rPr>
            </w:pPr>
            <w:r w:rsidRPr="002C0FAE">
              <w:rPr>
                <w:rFonts w:ascii="Arial Narrow" w:hAnsi="Arial Narrow"/>
                <w:sz w:val="20"/>
              </w:rPr>
              <w:t>MD; 95% CI</w:t>
            </w:r>
          </w:p>
        </w:tc>
        <w:tc>
          <w:tcPr>
            <w:tcW w:w="702" w:type="pct"/>
            <w:tcBorders>
              <w:top w:val="single" w:sz="4" w:space="0" w:color="auto"/>
              <w:bottom w:val="single" w:sz="4" w:space="0" w:color="auto"/>
            </w:tcBorders>
            <w:vAlign w:val="center"/>
          </w:tcPr>
          <w:p w:rsidR="009E637D" w:rsidRPr="00BF0C39" w:rsidRDefault="00BF0C39" w:rsidP="004675AB">
            <w:pPr>
              <w:jc w:val="center"/>
              <w:rPr>
                <w:rFonts w:ascii="Arial Narrow" w:hAnsi="Arial Narrow"/>
                <w:sz w:val="20"/>
                <w:highlight w:val="black"/>
              </w:rPr>
            </w:pPr>
            <w:r>
              <w:rPr>
                <w:rStyle w:val="CommentReference"/>
                <w:noProof/>
                <w:color w:val="000000"/>
                <w:szCs w:val="20"/>
                <w:highlight w:val="black"/>
              </w:rPr>
              <w:t>'''''' '''''''''' '''''''''''</w:t>
            </w:r>
          </w:p>
        </w:tc>
        <w:tc>
          <w:tcPr>
            <w:tcW w:w="725" w:type="pct"/>
            <w:tcBorders>
              <w:top w:val="single" w:sz="4" w:space="0" w:color="auto"/>
              <w:bottom w:val="single" w:sz="4" w:space="0" w:color="auto"/>
            </w:tcBorders>
            <w:vAlign w:val="center"/>
          </w:tcPr>
          <w:p w:rsidR="009E637D" w:rsidRPr="00BF0C39" w:rsidRDefault="00BF0C39" w:rsidP="004675AB">
            <w:pPr>
              <w:jc w:val="center"/>
              <w:rPr>
                <w:rFonts w:ascii="Arial Narrow" w:hAnsi="Arial Narrow"/>
                <w:sz w:val="20"/>
                <w:highlight w:val="black"/>
              </w:rPr>
            </w:pPr>
            <w:r>
              <w:rPr>
                <w:rFonts w:ascii="Arial Narrow" w:hAnsi="Arial Narrow"/>
                <w:noProof/>
                <w:color w:val="000000"/>
                <w:sz w:val="20"/>
                <w:highlight w:val="black"/>
              </w:rPr>
              <w:t>'''''''</w:t>
            </w:r>
          </w:p>
        </w:tc>
        <w:tc>
          <w:tcPr>
            <w:tcW w:w="754" w:type="pct"/>
            <w:tcBorders>
              <w:top w:val="single" w:sz="4" w:space="0" w:color="auto"/>
              <w:bottom w:val="single" w:sz="4" w:space="0" w:color="auto"/>
            </w:tcBorders>
            <w:vAlign w:val="center"/>
          </w:tcPr>
          <w:p w:rsidR="009E637D" w:rsidRPr="00BF0C39" w:rsidRDefault="00BF0C39" w:rsidP="004675AB">
            <w:pPr>
              <w:jc w:val="center"/>
              <w:rPr>
                <w:rFonts w:ascii="Arial Narrow" w:hAnsi="Arial Narrow"/>
                <w:sz w:val="20"/>
                <w:highlight w:val="black"/>
              </w:rPr>
            </w:pPr>
            <w:r>
              <w:rPr>
                <w:rStyle w:val="CommentReference"/>
                <w:noProof/>
                <w:color w:val="000000"/>
                <w:szCs w:val="20"/>
                <w:highlight w:val="black"/>
              </w:rPr>
              <w:t>''''''''' '''''''' ''''''''''</w:t>
            </w:r>
          </w:p>
        </w:tc>
        <w:tc>
          <w:tcPr>
            <w:tcW w:w="724" w:type="pct"/>
            <w:tcBorders>
              <w:top w:val="single" w:sz="4" w:space="0" w:color="auto"/>
              <w:bottom w:val="single" w:sz="4" w:space="0" w:color="auto"/>
            </w:tcBorders>
            <w:vAlign w:val="center"/>
          </w:tcPr>
          <w:p w:rsidR="009E637D" w:rsidRPr="00BF0C39" w:rsidRDefault="00BF0C39" w:rsidP="004675AB">
            <w:pPr>
              <w:jc w:val="center"/>
              <w:rPr>
                <w:rFonts w:ascii="Arial Narrow" w:hAnsi="Arial Narrow"/>
                <w:sz w:val="20"/>
                <w:highlight w:val="black"/>
              </w:rPr>
            </w:pPr>
            <w:r>
              <w:rPr>
                <w:rFonts w:ascii="Arial Narrow" w:hAnsi="Arial Narrow"/>
                <w:noProof/>
                <w:color w:val="000000"/>
                <w:sz w:val="20"/>
                <w:highlight w:val="black"/>
              </w:rPr>
              <w:t>'''''''''</w:t>
            </w:r>
          </w:p>
        </w:tc>
      </w:tr>
      <w:tr w:rsidR="00244206" w:rsidRPr="002C0FAE">
        <w:trPr>
          <w:trHeight w:val="20"/>
        </w:trPr>
        <w:tc>
          <w:tcPr>
            <w:tcW w:w="2095" w:type="pct"/>
            <w:gridSpan w:val="2"/>
            <w:tcBorders>
              <w:top w:val="single" w:sz="4" w:space="0" w:color="auto"/>
              <w:right w:val="single" w:sz="4" w:space="0" w:color="auto"/>
            </w:tcBorders>
            <w:vAlign w:val="center"/>
          </w:tcPr>
          <w:p w:rsidR="00AE0934" w:rsidRPr="002C0FAE" w:rsidRDefault="009E637D" w:rsidP="00AE0934">
            <w:pPr>
              <w:jc w:val="left"/>
              <w:rPr>
                <w:rFonts w:ascii="Arial Narrow" w:hAnsi="Arial Narrow"/>
                <w:sz w:val="20"/>
              </w:rPr>
            </w:pPr>
            <w:r w:rsidRPr="002C0FAE">
              <w:rPr>
                <w:rFonts w:ascii="Arial Narrow" w:hAnsi="Arial Narrow"/>
                <w:sz w:val="20"/>
              </w:rPr>
              <w:t>Meta-analys</w:t>
            </w:r>
            <w:r w:rsidR="00AE0934" w:rsidRPr="002C0FAE">
              <w:rPr>
                <w:rFonts w:ascii="Arial Narrow" w:hAnsi="Arial Narrow"/>
                <w:sz w:val="20"/>
              </w:rPr>
              <w:t>i</w:t>
            </w:r>
            <w:r w:rsidRPr="002C0FAE">
              <w:rPr>
                <w:rFonts w:ascii="Arial Narrow" w:hAnsi="Arial Narrow"/>
                <w:sz w:val="20"/>
              </w:rPr>
              <w:t xml:space="preserve">s: </w:t>
            </w:r>
            <w:r w:rsidR="0040015B">
              <w:rPr>
                <w:rFonts w:ascii="Arial Narrow" w:hAnsi="Arial Narrow"/>
                <w:sz w:val="20"/>
              </w:rPr>
              <w:t>a</w:t>
            </w:r>
            <w:r w:rsidR="00AE0934" w:rsidRPr="002C0FAE">
              <w:rPr>
                <w:rFonts w:ascii="Arial Narrow" w:hAnsi="Arial Narrow"/>
                <w:sz w:val="20"/>
              </w:rPr>
              <w:t>flibercept</w:t>
            </w:r>
            <w:r w:rsidRPr="002C0FAE">
              <w:rPr>
                <w:rFonts w:ascii="Arial Narrow" w:hAnsi="Arial Narrow"/>
                <w:sz w:val="20"/>
              </w:rPr>
              <w:t xml:space="preserve"> vs </w:t>
            </w:r>
            <w:r w:rsidR="0040015B">
              <w:rPr>
                <w:rFonts w:ascii="Arial Narrow" w:hAnsi="Arial Narrow"/>
                <w:sz w:val="20"/>
              </w:rPr>
              <w:t>l</w:t>
            </w:r>
            <w:r w:rsidRPr="002C0FAE">
              <w:rPr>
                <w:rFonts w:ascii="Arial Narrow" w:hAnsi="Arial Narrow"/>
                <w:sz w:val="20"/>
              </w:rPr>
              <w:t xml:space="preserve">aser </w:t>
            </w:r>
          </w:p>
          <w:p w:rsidR="009E637D" w:rsidRPr="002C0FAE" w:rsidRDefault="009E637D" w:rsidP="00AE0934">
            <w:pPr>
              <w:jc w:val="left"/>
              <w:rPr>
                <w:rFonts w:ascii="Arial Narrow" w:hAnsi="Arial Narrow"/>
                <w:sz w:val="20"/>
              </w:rPr>
            </w:pPr>
            <w:r w:rsidRPr="002C0FAE">
              <w:rPr>
                <w:rFonts w:ascii="Arial Narrow" w:hAnsi="Arial Narrow"/>
                <w:sz w:val="20"/>
              </w:rPr>
              <w:t>(MD, 95% CI)</w:t>
            </w:r>
          </w:p>
        </w:tc>
        <w:tc>
          <w:tcPr>
            <w:tcW w:w="2905" w:type="pct"/>
            <w:gridSpan w:val="4"/>
            <w:tcBorders>
              <w:top w:val="single" w:sz="4" w:space="0" w:color="auto"/>
              <w:left w:val="single" w:sz="4" w:space="0" w:color="auto"/>
            </w:tcBorders>
            <w:vAlign w:val="center"/>
          </w:tcPr>
          <w:p w:rsidR="009E637D" w:rsidRPr="002C0FAE" w:rsidRDefault="00AE0934" w:rsidP="00AE0934">
            <w:pPr>
              <w:jc w:val="left"/>
              <w:rPr>
                <w:rFonts w:ascii="Arial Narrow" w:hAnsi="Arial Narrow"/>
                <w:sz w:val="20"/>
              </w:rPr>
            </w:pPr>
            <w:r w:rsidRPr="002C0FAE">
              <w:rPr>
                <w:rFonts w:ascii="Arial Narrow" w:hAnsi="Arial Narrow"/>
                <w:sz w:val="20"/>
              </w:rPr>
              <w:t>Aflibercept</w:t>
            </w:r>
            <w:r w:rsidR="009E637D" w:rsidRPr="002C0FAE">
              <w:rPr>
                <w:rFonts w:ascii="Arial Narrow" w:hAnsi="Arial Narrow"/>
                <w:sz w:val="20"/>
              </w:rPr>
              <w:t xml:space="preserve"> 2Q8 vs laser: </w:t>
            </w:r>
            <w:r w:rsidR="00BF0C39">
              <w:rPr>
                <w:rStyle w:val="CommentReference"/>
                <w:noProof/>
                <w:color w:val="000000"/>
                <w:szCs w:val="20"/>
                <w:highlight w:val="black"/>
              </w:rPr>
              <w:t>''''''''''' ''''''''''' ''''''''''''</w:t>
            </w:r>
          </w:p>
        </w:tc>
      </w:tr>
    </w:tbl>
    <w:tbl>
      <w:tblPr>
        <w:tblStyle w:val="TableGrid"/>
        <w:tblpPr w:leftFromText="180" w:rightFromText="180" w:vertAnchor="text" w:horzAnchor="margin" w:tblpXSpec="right" w:tblpY="11"/>
        <w:tblW w:w="4595" w:type="pct"/>
        <w:tblCellMar>
          <w:left w:w="28" w:type="dxa"/>
          <w:right w:w="28" w:type="dxa"/>
        </w:tblCellMar>
        <w:tblLook w:val="04A0" w:firstRow="1" w:lastRow="0" w:firstColumn="1" w:lastColumn="0" w:noHBand="0" w:noVBand="1"/>
      </w:tblPr>
      <w:tblGrid>
        <w:gridCol w:w="1282"/>
        <w:gridCol w:w="2215"/>
        <w:gridCol w:w="1172"/>
        <w:gridCol w:w="1210"/>
        <w:gridCol w:w="1259"/>
        <w:gridCol w:w="1209"/>
      </w:tblGrid>
      <w:tr w:rsidR="0008229B" w:rsidRPr="002C0FAE">
        <w:trPr>
          <w:trHeight w:val="20"/>
        </w:trPr>
        <w:tc>
          <w:tcPr>
            <w:tcW w:w="2095" w:type="pct"/>
            <w:gridSpan w:val="2"/>
            <w:vMerge w:val="restart"/>
            <w:tcBorders>
              <w:top w:val="double" w:sz="4" w:space="0" w:color="auto"/>
            </w:tcBorders>
            <w:vAlign w:val="center"/>
          </w:tcPr>
          <w:p w:rsidR="0008229B" w:rsidRPr="002C0FAE" w:rsidRDefault="0008229B" w:rsidP="0008229B">
            <w:pPr>
              <w:jc w:val="left"/>
              <w:rPr>
                <w:rFonts w:ascii="Arial Narrow" w:hAnsi="Arial Narrow"/>
                <w:sz w:val="20"/>
              </w:rPr>
            </w:pPr>
          </w:p>
        </w:tc>
        <w:tc>
          <w:tcPr>
            <w:tcW w:w="1427" w:type="pct"/>
            <w:gridSpan w:val="2"/>
            <w:tcBorders>
              <w:top w:val="double" w:sz="4" w:space="0" w:color="auto"/>
            </w:tcBorders>
            <w:vAlign w:val="center"/>
          </w:tcPr>
          <w:p w:rsidR="0008229B" w:rsidRPr="002C0FAE" w:rsidRDefault="0008229B" w:rsidP="0008229B">
            <w:pPr>
              <w:jc w:val="center"/>
              <w:rPr>
                <w:rFonts w:ascii="Arial Narrow" w:hAnsi="Arial Narrow"/>
                <w:b/>
                <w:sz w:val="20"/>
              </w:rPr>
            </w:pPr>
            <w:r w:rsidRPr="002C0FAE">
              <w:rPr>
                <w:rFonts w:ascii="Arial Narrow" w:hAnsi="Arial Narrow"/>
                <w:b/>
                <w:sz w:val="20"/>
              </w:rPr>
              <w:t>RESTORE</w:t>
            </w:r>
          </w:p>
        </w:tc>
        <w:tc>
          <w:tcPr>
            <w:tcW w:w="1478" w:type="pct"/>
            <w:gridSpan w:val="2"/>
            <w:tcBorders>
              <w:top w:val="double" w:sz="4" w:space="0" w:color="auto"/>
            </w:tcBorders>
            <w:vAlign w:val="center"/>
          </w:tcPr>
          <w:p w:rsidR="0008229B" w:rsidRPr="002C0FAE" w:rsidRDefault="0008229B" w:rsidP="0008229B">
            <w:pPr>
              <w:jc w:val="center"/>
              <w:rPr>
                <w:rFonts w:ascii="Arial Narrow" w:hAnsi="Arial Narrow"/>
                <w:b/>
                <w:sz w:val="20"/>
              </w:rPr>
            </w:pPr>
            <w:r w:rsidRPr="002C0FAE">
              <w:rPr>
                <w:rFonts w:ascii="Arial Narrow" w:hAnsi="Arial Narrow"/>
                <w:b/>
                <w:sz w:val="20"/>
              </w:rPr>
              <w:t>REVEAL</w:t>
            </w:r>
          </w:p>
        </w:tc>
      </w:tr>
      <w:tr w:rsidR="0008229B" w:rsidRPr="002C0FAE">
        <w:trPr>
          <w:trHeight w:val="20"/>
        </w:trPr>
        <w:tc>
          <w:tcPr>
            <w:tcW w:w="2095" w:type="pct"/>
            <w:gridSpan w:val="2"/>
            <w:vMerge/>
            <w:vAlign w:val="center"/>
          </w:tcPr>
          <w:p w:rsidR="0008229B" w:rsidRPr="002C0FAE" w:rsidRDefault="0008229B" w:rsidP="0008229B">
            <w:pPr>
              <w:jc w:val="left"/>
              <w:rPr>
                <w:rFonts w:ascii="Arial Narrow" w:hAnsi="Arial Narrow"/>
                <w:sz w:val="20"/>
              </w:rPr>
            </w:pPr>
          </w:p>
        </w:tc>
        <w:tc>
          <w:tcPr>
            <w:tcW w:w="702" w:type="pct"/>
            <w:vAlign w:val="center"/>
          </w:tcPr>
          <w:p w:rsidR="0008229B" w:rsidRPr="002C0FAE" w:rsidRDefault="0008229B" w:rsidP="0008229B">
            <w:pPr>
              <w:jc w:val="center"/>
              <w:rPr>
                <w:rFonts w:ascii="Arial Narrow" w:hAnsi="Arial Narrow"/>
                <w:b/>
                <w:sz w:val="20"/>
              </w:rPr>
            </w:pPr>
            <w:r w:rsidRPr="002C0FAE">
              <w:rPr>
                <w:rFonts w:ascii="Arial Narrow" w:hAnsi="Arial Narrow"/>
                <w:b/>
                <w:sz w:val="20"/>
              </w:rPr>
              <w:t>RBZ+SL</w:t>
            </w:r>
          </w:p>
          <w:p w:rsidR="0008229B" w:rsidRPr="002C0FAE" w:rsidRDefault="0008229B" w:rsidP="0008229B">
            <w:pPr>
              <w:jc w:val="center"/>
              <w:rPr>
                <w:rFonts w:ascii="Arial Narrow" w:hAnsi="Arial Narrow"/>
                <w:b/>
                <w:sz w:val="20"/>
              </w:rPr>
            </w:pPr>
            <w:r w:rsidRPr="002C0FAE">
              <w:rPr>
                <w:rFonts w:ascii="Arial Narrow" w:hAnsi="Arial Narrow"/>
                <w:b/>
                <w:sz w:val="20"/>
              </w:rPr>
              <w:t>(n=115)</w:t>
            </w:r>
          </w:p>
        </w:tc>
        <w:tc>
          <w:tcPr>
            <w:tcW w:w="725" w:type="pct"/>
            <w:vAlign w:val="center"/>
          </w:tcPr>
          <w:p w:rsidR="0008229B" w:rsidRPr="002C0FAE" w:rsidRDefault="0008229B" w:rsidP="0008229B">
            <w:pPr>
              <w:jc w:val="center"/>
              <w:rPr>
                <w:rFonts w:ascii="Arial Narrow" w:hAnsi="Arial Narrow"/>
                <w:b/>
                <w:sz w:val="20"/>
              </w:rPr>
            </w:pPr>
            <w:r w:rsidRPr="002C0FAE">
              <w:rPr>
                <w:rFonts w:ascii="Arial Narrow" w:hAnsi="Arial Narrow"/>
                <w:b/>
                <w:sz w:val="20"/>
              </w:rPr>
              <w:t>SI+L</w:t>
            </w:r>
          </w:p>
          <w:p w:rsidR="0008229B" w:rsidRPr="002C0FAE" w:rsidRDefault="0008229B" w:rsidP="0008229B">
            <w:pPr>
              <w:jc w:val="center"/>
              <w:rPr>
                <w:rFonts w:ascii="Arial Narrow" w:hAnsi="Arial Narrow"/>
                <w:b/>
                <w:sz w:val="20"/>
              </w:rPr>
            </w:pPr>
            <w:r w:rsidRPr="002C0FAE">
              <w:rPr>
                <w:rFonts w:ascii="Arial Narrow" w:hAnsi="Arial Narrow"/>
                <w:b/>
                <w:sz w:val="20"/>
              </w:rPr>
              <w:t>(n=110)</w:t>
            </w:r>
          </w:p>
        </w:tc>
        <w:tc>
          <w:tcPr>
            <w:tcW w:w="754" w:type="pct"/>
            <w:vAlign w:val="center"/>
          </w:tcPr>
          <w:p w:rsidR="0008229B" w:rsidRPr="002C0FAE" w:rsidRDefault="0008229B" w:rsidP="0008229B">
            <w:pPr>
              <w:jc w:val="center"/>
              <w:rPr>
                <w:rFonts w:ascii="Arial Narrow" w:hAnsi="Arial Narrow"/>
                <w:b/>
                <w:sz w:val="20"/>
              </w:rPr>
            </w:pPr>
            <w:r w:rsidRPr="002C0FAE">
              <w:rPr>
                <w:rFonts w:ascii="Arial Narrow" w:hAnsi="Arial Narrow"/>
                <w:b/>
                <w:sz w:val="20"/>
              </w:rPr>
              <w:t>RBZ+SL</w:t>
            </w:r>
          </w:p>
          <w:p w:rsidR="0008229B" w:rsidRPr="002C0FAE" w:rsidRDefault="0008229B" w:rsidP="0008229B">
            <w:pPr>
              <w:jc w:val="center"/>
              <w:rPr>
                <w:rFonts w:ascii="Arial Narrow" w:hAnsi="Arial Narrow"/>
                <w:b/>
                <w:sz w:val="20"/>
              </w:rPr>
            </w:pPr>
            <w:r w:rsidRPr="002C0FAE">
              <w:rPr>
                <w:rFonts w:ascii="Arial Narrow" w:hAnsi="Arial Narrow"/>
                <w:b/>
                <w:sz w:val="20"/>
              </w:rPr>
              <w:t>(n=133)</w:t>
            </w:r>
          </w:p>
        </w:tc>
        <w:tc>
          <w:tcPr>
            <w:tcW w:w="724" w:type="pct"/>
            <w:vAlign w:val="center"/>
          </w:tcPr>
          <w:p w:rsidR="0008229B" w:rsidRPr="002C0FAE" w:rsidRDefault="0008229B" w:rsidP="0008229B">
            <w:pPr>
              <w:jc w:val="center"/>
              <w:rPr>
                <w:rFonts w:ascii="Arial Narrow" w:hAnsi="Arial Narrow"/>
                <w:b/>
                <w:sz w:val="20"/>
              </w:rPr>
            </w:pPr>
            <w:r w:rsidRPr="002C0FAE">
              <w:rPr>
                <w:rFonts w:ascii="Arial Narrow" w:hAnsi="Arial Narrow"/>
                <w:b/>
                <w:sz w:val="20"/>
              </w:rPr>
              <w:t>SI+L</w:t>
            </w:r>
          </w:p>
          <w:p w:rsidR="0008229B" w:rsidRPr="002C0FAE" w:rsidRDefault="0008229B" w:rsidP="0008229B">
            <w:pPr>
              <w:jc w:val="center"/>
              <w:rPr>
                <w:rFonts w:ascii="Arial Narrow" w:hAnsi="Arial Narrow"/>
                <w:b/>
                <w:sz w:val="20"/>
              </w:rPr>
            </w:pPr>
            <w:r w:rsidRPr="002C0FAE">
              <w:rPr>
                <w:rFonts w:ascii="Arial Narrow" w:hAnsi="Arial Narrow"/>
                <w:b/>
                <w:sz w:val="20"/>
              </w:rPr>
              <w:t>(n=128)</w:t>
            </w:r>
          </w:p>
        </w:tc>
      </w:tr>
      <w:tr w:rsidR="0008229B" w:rsidRPr="002C0FAE">
        <w:trPr>
          <w:trHeight w:val="70"/>
        </w:trPr>
        <w:tc>
          <w:tcPr>
            <w:tcW w:w="768" w:type="pct"/>
            <w:vAlign w:val="center"/>
          </w:tcPr>
          <w:p w:rsidR="0008229B" w:rsidRPr="002C0FAE" w:rsidRDefault="0008229B" w:rsidP="0008229B">
            <w:pPr>
              <w:jc w:val="left"/>
              <w:rPr>
                <w:rFonts w:ascii="Arial Narrow" w:hAnsi="Arial Narrow"/>
                <w:sz w:val="20"/>
              </w:rPr>
            </w:pPr>
            <w:r w:rsidRPr="002C0FAE">
              <w:rPr>
                <w:rFonts w:ascii="Arial Narrow" w:hAnsi="Arial Narrow"/>
                <w:sz w:val="20"/>
              </w:rPr>
              <w:t>Baseline</w:t>
            </w:r>
          </w:p>
        </w:tc>
        <w:tc>
          <w:tcPr>
            <w:tcW w:w="1327" w:type="pct"/>
            <w:vMerge w:val="restart"/>
            <w:vAlign w:val="center"/>
          </w:tcPr>
          <w:p w:rsidR="0008229B" w:rsidRPr="002C0FAE" w:rsidRDefault="0008229B" w:rsidP="0008229B">
            <w:pPr>
              <w:jc w:val="left"/>
              <w:rPr>
                <w:rFonts w:ascii="Arial Narrow" w:hAnsi="Arial Narrow"/>
                <w:sz w:val="20"/>
              </w:rPr>
            </w:pPr>
            <w:r w:rsidRPr="002C0FAE">
              <w:rPr>
                <w:rFonts w:ascii="Arial Narrow" w:hAnsi="Arial Narrow"/>
                <w:sz w:val="20"/>
              </w:rPr>
              <w:t>Mean; SD</w:t>
            </w:r>
          </w:p>
        </w:tc>
        <w:tc>
          <w:tcPr>
            <w:tcW w:w="702" w:type="pct"/>
            <w:vAlign w:val="center"/>
          </w:tcPr>
          <w:p w:rsidR="0008229B" w:rsidRPr="00BF0C39" w:rsidRDefault="00BF0C39" w:rsidP="0008229B">
            <w:pPr>
              <w:jc w:val="center"/>
              <w:rPr>
                <w:rFonts w:ascii="Arial Narrow" w:hAnsi="Arial Narrow"/>
                <w:sz w:val="20"/>
                <w:highlight w:val="black"/>
              </w:rPr>
            </w:pPr>
            <w:r>
              <w:rPr>
                <w:rStyle w:val="CommentReference"/>
                <w:b w:val="0"/>
                <w:noProof/>
                <w:color w:val="000000"/>
                <w:szCs w:val="20"/>
                <w:highlight w:val="black"/>
              </w:rPr>
              <w:t>''''''''''' '''''''''''''</w:t>
            </w:r>
          </w:p>
        </w:tc>
        <w:tc>
          <w:tcPr>
            <w:tcW w:w="725" w:type="pct"/>
            <w:vAlign w:val="center"/>
          </w:tcPr>
          <w:p w:rsidR="0008229B" w:rsidRPr="00BF0C39" w:rsidRDefault="00BF0C39" w:rsidP="0008229B">
            <w:pPr>
              <w:jc w:val="center"/>
              <w:rPr>
                <w:rFonts w:ascii="Arial Narrow" w:hAnsi="Arial Narrow"/>
                <w:sz w:val="20"/>
                <w:highlight w:val="black"/>
              </w:rPr>
            </w:pPr>
            <w:r>
              <w:rPr>
                <w:rStyle w:val="CommentReference"/>
                <w:b w:val="0"/>
                <w:noProof/>
                <w:color w:val="000000"/>
                <w:szCs w:val="20"/>
                <w:highlight w:val="black"/>
              </w:rPr>
              <w:t>''''''''''  '''''''''''''</w:t>
            </w:r>
          </w:p>
        </w:tc>
        <w:tc>
          <w:tcPr>
            <w:tcW w:w="1478" w:type="pct"/>
            <w:gridSpan w:val="2"/>
            <w:vMerge w:val="restart"/>
            <w:vAlign w:val="center"/>
          </w:tcPr>
          <w:p w:rsidR="0008229B" w:rsidRPr="00BF0C39" w:rsidRDefault="00BF0C39" w:rsidP="0008229B">
            <w:pPr>
              <w:jc w:val="center"/>
              <w:rPr>
                <w:rFonts w:ascii="Arial Narrow" w:hAnsi="Arial Narrow"/>
                <w:sz w:val="20"/>
                <w:highlight w:val="black"/>
              </w:rPr>
            </w:pPr>
            <w:r>
              <w:rPr>
                <w:rFonts w:ascii="Arial Narrow" w:hAnsi="Arial Narrow"/>
                <w:noProof/>
                <w:color w:val="000000"/>
                <w:sz w:val="20"/>
                <w:highlight w:val="black"/>
              </w:rPr>
              <w:t>''''''''</w:t>
            </w:r>
          </w:p>
        </w:tc>
      </w:tr>
      <w:tr w:rsidR="0008229B" w:rsidRPr="002C0FAE">
        <w:trPr>
          <w:trHeight w:val="20"/>
        </w:trPr>
        <w:tc>
          <w:tcPr>
            <w:tcW w:w="768" w:type="pct"/>
            <w:vAlign w:val="center"/>
          </w:tcPr>
          <w:p w:rsidR="0008229B" w:rsidRPr="002C0FAE" w:rsidRDefault="0008229B" w:rsidP="0008229B">
            <w:pPr>
              <w:jc w:val="left"/>
              <w:rPr>
                <w:rFonts w:ascii="Arial Narrow" w:hAnsi="Arial Narrow"/>
                <w:sz w:val="20"/>
              </w:rPr>
            </w:pPr>
            <w:proofErr w:type="spellStart"/>
            <w:r w:rsidRPr="002C0FAE">
              <w:rPr>
                <w:rFonts w:ascii="Arial Narrow" w:hAnsi="Arial Narrow"/>
                <w:sz w:val="20"/>
              </w:rPr>
              <w:t>Yr</w:t>
            </w:r>
            <w:proofErr w:type="spellEnd"/>
            <w:r w:rsidRPr="002C0FAE">
              <w:rPr>
                <w:rFonts w:ascii="Arial Narrow" w:hAnsi="Arial Narrow"/>
                <w:sz w:val="20"/>
              </w:rPr>
              <w:t xml:space="preserve"> 1</w:t>
            </w:r>
          </w:p>
        </w:tc>
        <w:tc>
          <w:tcPr>
            <w:tcW w:w="1327" w:type="pct"/>
            <w:vMerge/>
            <w:vAlign w:val="center"/>
          </w:tcPr>
          <w:p w:rsidR="0008229B" w:rsidRPr="002C0FAE" w:rsidRDefault="0008229B" w:rsidP="0008229B">
            <w:pPr>
              <w:jc w:val="left"/>
              <w:rPr>
                <w:rFonts w:ascii="Arial Narrow" w:hAnsi="Arial Narrow"/>
                <w:sz w:val="20"/>
              </w:rPr>
            </w:pPr>
          </w:p>
        </w:tc>
        <w:tc>
          <w:tcPr>
            <w:tcW w:w="702" w:type="pct"/>
            <w:vAlign w:val="center"/>
          </w:tcPr>
          <w:p w:rsidR="0008229B" w:rsidRPr="00BF0C39" w:rsidRDefault="00BF0C39" w:rsidP="0008229B">
            <w:pPr>
              <w:jc w:val="center"/>
              <w:rPr>
                <w:rFonts w:ascii="Arial Narrow" w:hAnsi="Arial Narrow"/>
                <w:sz w:val="20"/>
                <w:highlight w:val="black"/>
              </w:rPr>
            </w:pPr>
            <w:r>
              <w:rPr>
                <w:rStyle w:val="CommentReference"/>
                <w:b w:val="0"/>
                <w:noProof/>
                <w:color w:val="000000"/>
                <w:szCs w:val="20"/>
                <w:highlight w:val="black"/>
              </w:rPr>
              <w:t>'''''''''' '''''''''''''''</w:t>
            </w:r>
          </w:p>
        </w:tc>
        <w:tc>
          <w:tcPr>
            <w:tcW w:w="725" w:type="pct"/>
            <w:vAlign w:val="center"/>
          </w:tcPr>
          <w:p w:rsidR="0008229B" w:rsidRPr="00BF0C39" w:rsidRDefault="00BF0C39" w:rsidP="0008229B">
            <w:pPr>
              <w:jc w:val="center"/>
              <w:rPr>
                <w:rFonts w:ascii="Arial Narrow" w:hAnsi="Arial Narrow"/>
                <w:sz w:val="20"/>
                <w:highlight w:val="black"/>
              </w:rPr>
            </w:pPr>
            <w:r>
              <w:rPr>
                <w:rStyle w:val="CommentReference"/>
                <w:b w:val="0"/>
                <w:noProof/>
                <w:color w:val="000000"/>
                <w:szCs w:val="20"/>
                <w:highlight w:val="black"/>
              </w:rPr>
              <w:t>'''''''''''  ''''''''''''''</w:t>
            </w:r>
          </w:p>
        </w:tc>
        <w:tc>
          <w:tcPr>
            <w:tcW w:w="1478" w:type="pct"/>
            <w:gridSpan w:val="2"/>
            <w:vMerge/>
            <w:vAlign w:val="center"/>
          </w:tcPr>
          <w:p w:rsidR="0008229B" w:rsidRPr="002C0FAE" w:rsidRDefault="0008229B" w:rsidP="0008229B">
            <w:pPr>
              <w:jc w:val="center"/>
              <w:rPr>
                <w:rFonts w:ascii="Arial Narrow" w:hAnsi="Arial Narrow"/>
                <w:sz w:val="20"/>
              </w:rPr>
            </w:pPr>
          </w:p>
        </w:tc>
      </w:tr>
      <w:tr w:rsidR="0008229B" w:rsidRPr="002C0FAE">
        <w:trPr>
          <w:trHeight w:val="70"/>
        </w:trPr>
        <w:tc>
          <w:tcPr>
            <w:tcW w:w="768" w:type="pct"/>
            <w:vAlign w:val="center"/>
          </w:tcPr>
          <w:p w:rsidR="0008229B" w:rsidRPr="002C0FAE" w:rsidRDefault="0008229B" w:rsidP="0008229B">
            <w:pPr>
              <w:jc w:val="left"/>
              <w:rPr>
                <w:rFonts w:ascii="Arial Narrow" w:hAnsi="Arial Narrow"/>
                <w:sz w:val="20"/>
              </w:rPr>
            </w:pPr>
            <w:r w:rsidRPr="002C0FAE">
              <w:rPr>
                <w:rFonts w:ascii="Arial Narrow" w:hAnsi="Arial Narrow"/>
                <w:sz w:val="20"/>
              </w:rPr>
              <w:t xml:space="preserve">∆ b/line to </w:t>
            </w:r>
            <w:proofErr w:type="spellStart"/>
            <w:r w:rsidRPr="002C0FAE">
              <w:rPr>
                <w:rFonts w:ascii="Arial Narrow" w:hAnsi="Arial Narrow"/>
                <w:sz w:val="20"/>
              </w:rPr>
              <w:t>Yr</w:t>
            </w:r>
            <w:proofErr w:type="spellEnd"/>
            <w:r w:rsidRPr="002C0FAE">
              <w:rPr>
                <w:rFonts w:ascii="Arial Narrow" w:hAnsi="Arial Narrow"/>
                <w:sz w:val="20"/>
              </w:rPr>
              <w:t xml:space="preserve"> 1</w:t>
            </w:r>
          </w:p>
        </w:tc>
        <w:tc>
          <w:tcPr>
            <w:tcW w:w="1327" w:type="pct"/>
            <w:vMerge/>
            <w:vAlign w:val="center"/>
          </w:tcPr>
          <w:p w:rsidR="0008229B" w:rsidRPr="002C0FAE" w:rsidRDefault="0008229B" w:rsidP="0008229B">
            <w:pPr>
              <w:jc w:val="left"/>
              <w:rPr>
                <w:rFonts w:ascii="Arial Narrow" w:hAnsi="Arial Narrow"/>
                <w:sz w:val="20"/>
              </w:rPr>
            </w:pPr>
          </w:p>
        </w:tc>
        <w:tc>
          <w:tcPr>
            <w:tcW w:w="702" w:type="pct"/>
            <w:vAlign w:val="center"/>
          </w:tcPr>
          <w:p w:rsidR="0008229B" w:rsidRPr="00BF0C39" w:rsidRDefault="00BF0C39" w:rsidP="0008229B">
            <w:pPr>
              <w:jc w:val="center"/>
              <w:rPr>
                <w:rFonts w:ascii="Arial Narrow" w:hAnsi="Arial Narrow"/>
                <w:sz w:val="20"/>
                <w:highlight w:val="black"/>
              </w:rPr>
            </w:pPr>
            <w:r>
              <w:rPr>
                <w:rStyle w:val="CommentReference"/>
                <w:b w:val="0"/>
                <w:noProof/>
                <w:color w:val="000000"/>
                <w:szCs w:val="20"/>
                <w:highlight w:val="black"/>
              </w:rPr>
              <w:t>'''''''' ''''''''''</w:t>
            </w:r>
          </w:p>
        </w:tc>
        <w:tc>
          <w:tcPr>
            <w:tcW w:w="725" w:type="pct"/>
            <w:vAlign w:val="center"/>
          </w:tcPr>
          <w:p w:rsidR="0008229B" w:rsidRPr="00BF0C39" w:rsidRDefault="00BF0C39" w:rsidP="0008229B">
            <w:pPr>
              <w:jc w:val="center"/>
              <w:rPr>
                <w:rFonts w:ascii="Arial Narrow" w:hAnsi="Arial Narrow"/>
                <w:sz w:val="20"/>
                <w:highlight w:val="black"/>
              </w:rPr>
            </w:pPr>
            <w:r>
              <w:rPr>
                <w:rStyle w:val="CommentReference"/>
                <w:b w:val="0"/>
                <w:noProof/>
                <w:color w:val="000000"/>
                <w:szCs w:val="20"/>
                <w:highlight w:val="black"/>
              </w:rPr>
              <w:t>''''''''  ''''''''''''''</w:t>
            </w:r>
          </w:p>
        </w:tc>
        <w:tc>
          <w:tcPr>
            <w:tcW w:w="754" w:type="pct"/>
            <w:vAlign w:val="center"/>
          </w:tcPr>
          <w:p w:rsidR="0008229B" w:rsidRPr="00BF0C39" w:rsidRDefault="00BF0C39" w:rsidP="0008229B">
            <w:pPr>
              <w:jc w:val="center"/>
              <w:rPr>
                <w:rFonts w:ascii="Arial Narrow" w:hAnsi="Arial Narrow"/>
                <w:sz w:val="20"/>
                <w:highlight w:val="black"/>
              </w:rPr>
            </w:pPr>
            <w:r>
              <w:rPr>
                <w:rStyle w:val="CommentReference"/>
                <w:b w:val="0"/>
                <w:noProof/>
                <w:color w:val="000000"/>
                <w:szCs w:val="20"/>
                <w:highlight w:val="black"/>
              </w:rPr>
              <w:t>'''''''' ''''''''''</w:t>
            </w:r>
          </w:p>
        </w:tc>
        <w:tc>
          <w:tcPr>
            <w:tcW w:w="724" w:type="pct"/>
            <w:vAlign w:val="center"/>
          </w:tcPr>
          <w:p w:rsidR="0008229B" w:rsidRPr="00BF0C39" w:rsidRDefault="00BF0C39" w:rsidP="0008229B">
            <w:pPr>
              <w:jc w:val="center"/>
              <w:rPr>
                <w:rStyle w:val="CommentReference"/>
                <w:highlight w:val="black"/>
              </w:rPr>
            </w:pPr>
            <w:r>
              <w:rPr>
                <w:rStyle w:val="CommentReference"/>
                <w:b w:val="0"/>
                <w:noProof/>
                <w:color w:val="000000"/>
                <w:szCs w:val="20"/>
                <w:highlight w:val="black"/>
              </w:rPr>
              <w:t>'''''''' ''''''''''''</w:t>
            </w:r>
          </w:p>
        </w:tc>
      </w:tr>
      <w:tr w:rsidR="0008229B" w:rsidRPr="002C0FAE">
        <w:trPr>
          <w:trHeight w:val="70"/>
        </w:trPr>
        <w:tc>
          <w:tcPr>
            <w:tcW w:w="768" w:type="pct"/>
            <w:tcBorders>
              <w:bottom w:val="single" w:sz="4" w:space="0" w:color="auto"/>
            </w:tcBorders>
            <w:vAlign w:val="center"/>
          </w:tcPr>
          <w:p w:rsidR="0008229B" w:rsidRPr="002C0FAE" w:rsidRDefault="0008229B" w:rsidP="0008229B">
            <w:pPr>
              <w:jc w:val="left"/>
              <w:rPr>
                <w:rFonts w:ascii="Arial Narrow" w:hAnsi="Arial Narrow"/>
                <w:sz w:val="20"/>
              </w:rPr>
            </w:pPr>
            <w:r w:rsidRPr="002C0FAE">
              <w:rPr>
                <w:rFonts w:ascii="Arial Narrow" w:hAnsi="Arial Narrow"/>
                <w:sz w:val="20"/>
              </w:rPr>
              <w:t>RBZ vs laser</w:t>
            </w:r>
          </w:p>
        </w:tc>
        <w:tc>
          <w:tcPr>
            <w:tcW w:w="1327" w:type="pct"/>
            <w:tcBorders>
              <w:bottom w:val="single" w:sz="4" w:space="0" w:color="auto"/>
            </w:tcBorders>
            <w:vAlign w:val="center"/>
          </w:tcPr>
          <w:p w:rsidR="0008229B" w:rsidRPr="002C0FAE" w:rsidRDefault="0008229B" w:rsidP="0008229B">
            <w:pPr>
              <w:jc w:val="left"/>
              <w:rPr>
                <w:rFonts w:ascii="Arial Narrow" w:hAnsi="Arial Narrow"/>
                <w:sz w:val="20"/>
              </w:rPr>
            </w:pPr>
            <w:r w:rsidRPr="002C0FAE">
              <w:rPr>
                <w:rFonts w:ascii="Arial Narrow" w:hAnsi="Arial Narrow"/>
                <w:sz w:val="20"/>
              </w:rPr>
              <w:t>MD; 95% CI</w:t>
            </w:r>
          </w:p>
        </w:tc>
        <w:tc>
          <w:tcPr>
            <w:tcW w:w="702" w:type="pct"/>
            <w:tcBorders>
              <w:bottom w:val="single" w:sz="4" w:space="0" w:color="auto"/>
            </w:tcBorders>
            <w:vAlign w:val="center"/>
          </w:tcPr>
          <w:p w:rsidR="0008229B" w:rsidRPr="00BF0C39" w:rsidRDefault="00BF0C39" w:rsidP="0008229B">
            <w:pPr>
              <w:jc w:val="center"/>
              <w:rPr>
                <w:rFonts w:ascii="Arial Narrow" w:hAnsi="Arial Narrow"/>
                <w:sz w:val="20"/>
                <w:highlight w:val="black"/>
              </w:rPr>
            </w:pPr>
            <w:r>
              <w:rPr>
                <w:rStyle w:val="CommentReference"/>
                <w:noProof/>
                <w:color w:val="000000"/>
                <w:szCs w:val="20"/>
                <w:highlight w:val="black"/>
              </w:rPr>
              <w:t>'''''' ''''''''' '''''''</w:t>
            </w:r>
          </w:p>
        </w:tc>
        <w:tc>
          <w:tcPr>
            <w:tcW w:w="725" w:type="pct"/>
            <w:tcBorders>
              <w:bottom w:val="single" w:sz="4" w:space="0" w:color="auto"/>
            </w:tcBorders>
            <w:vAlign w:val="center"/>
          </w:tcPr>
          <w:p w:rsidR="0008229B" w:rsidRPr="00BF0C39" w:rsidRDefault="00BF0C39" w:rsidP="0008229B">
            <w:pPr>
              <w:jc w:val="center"/>
              <w:rPr>
                <w:rFonts w:ascii="Arial Narrow" w:hAnsi="Arial Narrow"/>
                <w:sz w:val="20"/>
                <w:highlight w:val="black"/>
              </w:rPr>
            </w:pPr>
            <w:r>
              <w:rPr>
                <w:rFonts w:ascii="Arial Narrow" w:hAnsi="Arial Narrow"/>
                <w:noProof/>
                <w:color w:val="000000"/>
                <w:sz w:val="20"/>
                <w:highlight w:val="black"/>
              </w:rPr>
              <w:t>''''''''</w:t>
            </w:r>
          </w:p>
        </w:tc>
        <w:tc>
          <w:tcPr>
            <w:tcW w:w="754" w:type="pct"/>
            <w:tcBorders>
              <w:bottom w:val="single" w:sz="4" w:space="0" w:color="auto"/>
            </w:tcBorders>
            <w:vAlign w:val="center"/>
          </w:tcPr>
          <w:p w:rsidR="0008229B" w:rsidRPr="00BF0C39" w:rsidRDefault="00BF0C39" w:rsidP="0008229B">
            <w:pPr>
              <w:jc w:val="center"/>
              <w:rPr>
                <w:rFonts w:ascii="Arial Narrow" w:hAnsi="Arial Narrow"/>
                <w:sz w:val="20"/>
                <w:highlight w:val="black"/>
              </w:rPr>
            </w:pPr>
            <w:r>
              <w:rPr>
                <w:rStyle w:val="CommentReference"/>
                <w:noProof/>
                <w:color w:val="000000"/>
                <w:szCs w:val="20"/>
                <w:highlight w:val="black"/>
              </w:rPr>
              <w:t>'''''' ''''''''' ''''''''</w:t>
            </w:r>
          </w:p>
        </w:tc>
        <w:tc>
          <w:tcPr>
            <w:tcW w:w="724" w:type="pct"/>
            <w:tcBorders>
              <w:bottom w:val="single" w:sz="4" w:space="0" w:color="auto"/>
            </w:tcBorders>
            <w:vAlign w:val="center"/>
          </w:tcPr>
          <w:p w:rsidR="0008229B" w:rsidRPr="00BF0C39" w:rsidRDefault="00BF0C39" w:rsidP="0008229B">
            <w:pPr>
              <w:jc w:val="center"/>
              <w:rPr>
                <w:rFonts w:ascii="Arial Narrow" w:hAnsi="Arial Narrow"/>
                <w:sz w:val="20"/>
                <w:highlight w:val="black"/>
              </w:rPr>
            </w:pPr>
            <w:r>
              <w:rPr>
                <w:rFonts w:ascii="Arial Narrow" w:hAnsi="Arial Narrow"/>
                <w:noProof/>
                <w:color w:val="000000"/>
                <w:sz w:val="20"/>
                <w:highlight w:val="black"/>
              </w:rPr>
              <w:t>''''''''</w:t>
            </w:r>
          </w:p>
        </w:tc>
      </w:tr>
      <w:tr w:rsidR="0008229B" w:rsidRPr="002C0FAE">
        <w:trPr>
          <w:trHeight w:val="70"/>
        </w:trPr>
        <w:tc>
          <w:tcPr>
            <w:tcW w:w="2095" w:type="pct"/>
            <w:gridSpan w:val="2"/>
            <w:tcBorders>
              <w:top w:val="single" w:sz="4" w:space="0" w:color="auto"/>
              <w:right w:val="single" w:sz="4" w:space="0" w:color="auto"/>
            </w:tcBorders>
            <w:vAlign w:val="center"/>
          </w:tcPr>
          <w:p w:rsidR="0008229B" w:rsidRPr="002C0FAE" w:rsidRDefault="0008229B" w:rsidP="0008229B">
            <w:pPr>
              <w:jc w:val="left"/>
              <w:rPr>
                <w:rFonts w:ascii="Arial Narrow" w:hAnsi="Arial Narrow"/>
                <w:sz w:val="20"/>
              </w:rPr>
            </w:pPr>
            <w:r w:rsidRPr="002C0FAE">
              <w:rPr>
                <w:rFonts w:ascii="Arial Narrow" w:hAnsi="Arial Narrow"/>
                <w:sz w:val="20"/>
              </w:rPr>
              <w:t xml:space="preserve">Meta-analysis: </w:t>
            </w:r>
            <w:r w:rsidR="0040015B">
              <w:rPr>
                <w:rFonts w:ascii="Arial Narrow" w:hAnsi="Arial Narrow"/>
                <w:sz w:val="20"/>
              </w:rPr>
              <w:t>r</w:t>
            </w:r>
            <w:r w:rsidRPr="002C0FAE">
              <w:rPr>
                <w:rFonts w:ascii="Arial Narrow" w:hAnsi="Arial Narrow"/>
                <w:sz w:val="20"/>
              </w:rPr>
              <w:t xml:space="preserve">anibizumab vs </w:t>
            </w:r>
            <w:r w:rsidR="0040015B">
              <w:rPr>
                <w:rFonts w:ascii="Arial Narrow" w:hAnsi="Arial Narrow"/>
                <w:sz w:val="20"/>
              </w:rPr>
              <w:t>l</w:t>
            </w:r>
            <w:r w:rsidRPr="002C0FAE">
              <w:rPr>
                <w:rFonts w:ascii="Arial Narrow" w:hAnsi="Arial Narrow"/>
                <w:sz w:val="20"/>
              </w:rPr>
              <w:t xml:space="preserve">aser </w:t>
            </w:r>
          </w:p>
          <w:p w:rsidR="0008229B" w:rsidRPr="002C0FAE" w:rsidRDefault="0008229B" w:rsidP="0008229B">
            <w:pPr>
              <w:jc w:val="left"/>
              <w:rPr>
                <w:rFonts w:ascii="Arial Narrow" w:hAnsi="Arial Narrow"/>
                <w:sz w:val="20"/>
              </w:rPr>
            </w:pPr>
            <w:r w:rsidRPr="002C0FAE">
              <w:rPr>
                <w:rFonts w:ascii="Arial Narrow" w:hAnsi="Arial Narrow"/>
                <w:sz w:val="20"/>
              </w:rPr>
              <w:t>(MD, 95% CI)</w:t>
            </w:r>
          </w:p>
        </w:tc>
        <w:tc>
          <w:tcPr>
            <w:tcW w:w="2905" w:type="pct"/>
            <w:gridSpan w:val="4"/>
            <w:tcBorders>
              <w:top w:val="single" w:sz="4" w:space="0" w:color="auto"/>
              <w:left w:val="single" w:sz="4" w:space="0" w:color="auto"/>
            </w:tcBorders>
            <w:vAlign w:val="center"/>
          </w:tcPr>
          <w:p w:rsidR="0008229B" w:rsidRPr="002C0FAE" w:rsidRDefault="0008229B" w:rsidP="0008229B">
            <w:pPr>
              <w:jc w:val="left"/>
              <w:rPr>
                <w:rStyle w:val="CommentReference"/>
              </w:rPr>
            </w:pPr>
            <w:r w:rsidRPr="002C0FAE">
              <w:rPr>
                <w:rStyle w:val="CommentReference"/>
                <w:b w:val="0"/>
                <w:szCs w:val="20"/>
              </w:rPr>
              <w:t xml:space="preserve">Ranibizumab vs laser: </w:t>
            </w:r>
            <w:r w:rsidR="00BF0C39">
              <w:rPr>
                <w:rStyle w:val="CommentReference"/>
                <w:noProof/>
                <w:color w:val="000000"/>
                <w:szCs w:val="20"/>
                <w:highlight w:val="black"/>
              </w:rPr>
              <w:t>'''''''''' '''''''''' ''''''''''</w:t>
            </w:r>
          </w:p>
        </w:tc>
      </w:tr>
      <w:tr w:rsidR="0008229B" w:rsidRPr="002C0FAE">
        <w:trPr>
          <w:trHeight w:val="50"/>
        </w:trPr>
        <w:tc>
          <w:tcPr>
            <w:tcW w:w="2095" w:type="pct"/>
            <w:gridSpan w:val="2"/>
            <w:tcBorders>
              <w:top w:val="double" w:sz="4" w:space="0" w:color="auto"/>
              <w:right w:val="single" w:sz="4" w:space="0" w:color="auto"/>
            </w:tcBorders>
            <w:vAlign w:val="center"/>
          </w:tcPr>
          <w:p w:rsidR="0008229B" w:rsidRPr="002C0FAE" w:rsidRDefault="0008229B" w:rsidP="0008229B">
            <w:pPr>
              <w:jc w:val="left"/>
              <w:rPr>
                <w:rStyle w:val="CommentReference"/>
              </w:rPr>
            </w:pPr>
            <w:r w:rsidRPr="002C0FAE">
              <w:rPr>
                <w:rStyle w:val="CommentReference"/>
                <w:b w:val="0"/>
                <w:szCs w:val="20"/>
              </w:rPr>
              <w:t>Indirect comparison</w:t>
            </w:r>
          </w:p>
        </w:tc>
        <w:tc>
          <w:tcPr>
            <w:tcW w:w="2905" w:type="pct"/>
            <w:gridSpan w:val="4"/>
            <w:tcBorders>
              <w:top w:val="double" w:sz="4" w:space="0" w:color="auto"/>
              <w:left w:val="single" w:sz="4" w:space="0" w:color="auto"/>
            </w:tcBorders>
            <w:vAlign w:val="center"/>
          </w:tcPr>
          <w:p w:rsidR="0008229B" w:rsidRPr="002C0FAE" w:rsidRDefault="0008229B" w:rsidP="0008229B">
            <w:pPr>
              <w:jc w:val="left"/>
              <w:rPr>
                <w:rStyle w:val="CommentReference"/>
              </w:rPr>
            </w:pPr>
            <w:r w:rsidRPr="002C0FAE">
              <w:rPr>
                <w:rStyle w:val="CommentReference"/>
                <w:b w:val="0"/>
                <w:szCs w:val="20"/>
              </w:rPr>
              <w:t xml:space="preserve">Aflibercept 2Q8 vs ranibizumab: </w:t>
            </w:r>
            <w:r w:rsidR="00BF0C39">
              <w:rPr>
                <w:rStyle w:val="CommentReference"/>
                <w:noProof/>
                <w:color w:val="000000"/>
                <w:szCs w:val="20"/>
                <w:highlight w:val="black"/>
              </w:rPr>
              <w:t>''''''''' ''''''''''' ''''''''''</w:t>
            </w:r>
          </w:p>
        </w:tc>
      </w:tr>
    </w:tbl>
    <w:p w:rsidR="0008229B" w:rsidRPr="002C0FAE" w:rsidRDefault="0008229B" w:rsidP="0008229B">
      <w:pPr>
        <w:ind w:firstLine="720"/>
        <w:rPr>
          <w:rFonts w:ascii="Arial Narrow" w:hAnsi="Arial Narrow"/>
          <w:sz w:val="18"/>
        </w:rPr>
      </w:pPr>
      <w:r w:rsidRPr="002C0FAE">
        <w:rPr>
          <w:rFonts w:ascii="Arial Narrow" w:hAnsi="Arial Narrow"/>
          <w:sz w:val="18"/>
        </w:rPr>
        <w:t>N</w:t>
      </w:r>
    </w:p>
    <w:p w:rsidR="0008229B" w:rsidRPr="002C0FAE" w:rsidRDefault="0008229B" w:rsidP="0008229B">
      <w:pPr>
        <w:ind w:firstLine="720"/>
        <w:rPr>
          <w:rFonts w:ascii="Arial Narrow" w:hAnsi="Arial Narrow"/>
          <w:sz w:val="18"/>
        </w:rPr>
      </w:pPr>
    </w:p>
    <w:p w:rsidR="0008229B" w:rsidRPr="002C0FAE" w:rsidRDefault="0008229B" w:rsidP="0008229B">
      <w:pPr>
        <w:ind w:firstLine="720"/>
        <w:rPr>
          <w:rFonts w:ascii="Arial Narrow" w:hAnsi="Arial Narrow"/>
          <w:sz w:val="18"/>
        </w:rPr>
      </w:pPr>
    </w:p>
    <w:p w:rsidR="0008229B" w:rsidRPr="002C0FAE" w:rsidRDefault="0008229B" w:rsidP="0008229B">
      <w:pPr>
        <w:ind w:firstLine="720"/>
        <w:rPr>
          <w:rFonts w:ascii="Arial Narrow" w:hAnsi="Arial Narrow"/>
          <w:sz w:val="18"/>
        </w:rPr>
      </w:pPr>
    </w:p>
    <w:p w:rsidR="0008229B" w:rsidRPr="002C0FAE" w:rsidRDefault="0008229B" w:rsidP="0008229B">
      <w:pPr>
        <w:ind w:firstLine="720"/>
        <w:rPr>
          <w:rFonts w:ascii="Arial Narrow" w:hAnsi="Arial Narrow"/>
          <w:sz w:val="18"/>
        </w:rPr>
      </w:pPr>
    </w:p>
    <w:p w:rsidR="0008229B" w:rsidRPr="00875FE9" w:rsidRDefault="0008229B" w:rsidP="0008229B">
      <w:pPr>
        <w:ind w:left="720"/>
        <w:rPr>
          <w:rFonts w:ascii="Arial Narrow" w:hAnsi="Arial Narrow"/>
          <w:b/>
          <w:sz w:val="18"/>
        </w:rPr>
      </w:pPr>
      <w:r w:rsidRPr="002C0FAE">
        <w:rPr>
          <w:rFonts w:ascii="Arial Narrow" w:hAnsi="Arial Narrow"/>
          <w:sz w:val="18"/>
        </w:rPr>
        <w:t>No</w:t>
      </w:r>
      <w:r w:rsidRPr="00875FE9">
        <w:rPr>
          <w:rFonts w:ascii="Arial Narrow" w:hAnsi="Arial Narrow"/>
          <w:sz w:val="18"/>
        </w:rPr>
        <w:t xml:space="preserve">te: </w:t>
      </w:r>
      <w:proofErr w:type="spellStart"/>
      <w:r w:rsidR="00C773E9" w:rsidRPr="00875FE9">
        <w:rPr>
          <w:rFonts w:ascii="Arial Narrow" w:hAnsi="Arial Narrow"/>
          <w:sz w:val="18"/>
        </w:rPr>
        <w:t>S</w:t>
      </w:r>
      <w:r w:rsidR="00C773E9">
        <w:rPr>
          <w:rFonts w:ascii="Arial Narrow" w:hAnsi="Arial Narrow"/>
          <w:sz w:val="18"/>
        </w:rPr>
        <w:t>St</w:t>
      </w:r>
      <w:r w:rsidR="00C773E9" w:rsidRPr="00875FE9">
        <w:rPr>
          <w:rFonts w:ascii="Arial Narrow" w:hAnsi="Arial Narrow"/>
          <w:sz w:val="18"/>
        </w:rPr>
        <w:t>atistically</w:t>
      </w:r>
      <w:proofErr w:type="spellEnd"/>
      <w:r w:rsidRPr="00875FE9">
        <w:rPr>
          <w:rFonts w:ascii="Arial Narrow" w:hAnsi="Arial Narrow"/>
          <w:sz w:val="18"/>
        </w:rPr>
        <w:t xml:space="preserve"> significant differences for the comparison versus laser are highlighted in </w:t>
      </w:r>
      <w:r w:rsidRPr="00875FE9">
        <w:rPr>
          <w:rFonts w:ascii="Arial Narrow" w:hAnsi="Arial Narrow"/>
          <w:b/>
          <w:sz w:val="18"/>
        </w:rPr>
        <w:t>bold</w:t>
      </w:r>
    </w:p>
    <w:p w:rsidR="009E637D" w:rsidRPr="000461CE" w:rsidRDefault="0008229B" w:rsidP="009E637D">
      <w:pPr>
        <w:ind w:left="720"/>
        <w:rPr>
          <w:rFonts w:ascii="Arial Narrow" w:hAnsi="Arial Narrow"/>
          <w:sz w:val="18"/>
        </w:rPr>
      </w:pPr>
      <w:r w:rsidRPr="000461CE">
        <w:rPr>
          <w:rFonts w:ascii="Arial Narrow" w:hAnsi="Arial Narrow"/>
          <w:sz w:val="18"/>
        </w:rPr>
        <w:t>Abbreviations: AFB = aflibercept;</w:t>
      </w:r>
      <w:r>
        <w:rPr>
          <w:rFonts w:ascii="Arial Narrow" w:hAnsi="Arial Narrow"/>
          <w:sz w:val="18"/>
        </w:rPr>
        <w:t xml:space="preserve"> </w:t>
      </w:r>
      <w:r w:rsidRPr="000461CE">
        <w:rPr>
          <w:rFonts w:ascii="Arial Narrow" w:hAnsi="Arial Narrow"/>
          <w:sz w:val="18"/>
        </w:rPr>
        <w:t xml:space="preserve">DL = deferred laser; MD = mean difference; </w:t>
      </w:r>
      <w:r>
        <w:rPr>
          <w:rFonts w:ascii="Arial Narrow" w:hAnsi="Arial Narrow"/>
          <w:sz w:val="18"/>
        </w:rPr>
        <w:t xml:space="preserve">ne = number of eyes; NR = not reported; </w:t>
      </w:r>
      <w:r w:rsidRPr="000461CE">
        <w:rPr>
          <w:rFonts w:ascii="Arial Narrow" w:hAnsi="Arial Narrow"/>
          <w:sz w:val="18"/>
        </w:rPr>
        <w:t>PL = prompt laser; RBZ = ranibizumab; SI = sham injection; SL = sham laser</w:t>
      </w:r>
      <w:r>
        <w:rPr>
          <w:rFonts w:ascii="Arial Narrow" w:hAnsi="Arial Narrow"/>
          <w:sz w:val="18"/>
        </w:rPr>
        <w:t xml:space="preserve">; </w:t>
      </w:r>
      <w:r w:rsidRPr="000461CE">
        <w:rPr>
          <w:rFonts w:ascii="Arial Narrow" w:hAnsi="Arial Narrow"/>
          <w:sz w:val="18"/>
        </w:rPr>
        <w:t>Source: Table B.6.1, p71, Section B of the submission</w:t>
      </w:r>
    </w:p>
    <w:p w:rsidR="009E637D" w:rsidRDefault="009E637D" w:rsidP="00A87861">
      <w:pPr>
        <w:widowControl/>
        <w:rPr>
          <w:szCs w:val="22"/>
        </w:rPr>
      </w:pPr>
    </w:p>
    <w:p w:rsidR="002F7669" w:rsidRDefault="00C23FAB" w:rsidP="00244206">
      <w:pPr>
        <w:pStyle w:val="ListParagraph"/>
        <w:widowControl/>
        <w:numPr>
          <w:ilvl w:val="1"/>
          <w:numId w:val="3"/>
        </w:numPr>
        <w:rPr>
          <w:szCs w:val="22"/>
        </w:rPr>
      </w:pPr>
      <w:r>
        <w:rPr>
          <w:szCs w:val="22"/>
        </w:rPr>
        <w:t xml:space="preserve">In the meta-analysis, there was a statistically significant difference in favour of aflibercept 2Q8 </w:t>
      </w:r>
      <w:r w:rsidR="00BF0C39">
        <w:rPr>
          <w:noProof/>
          <w:color w:val="000000"/>
          <w:szCs w:val="22"/>
          <w:highlight w:val="black"/>
        </w:rPr>
        <w:t>'''''''''''''''' '''''''''''' ''''''' '''''''''''' ''''''''''''''''</w:t>
      </w:r>
      <w:r>
        <w:rPr>
          <w:szCs w:val="22"/>
        </w:rPr>
        <w:t xml:space="preserve"> for mean change in baseline BCVA in ETDRS letter score at 12 months for the comparison with laser photocoagulation</w:t>
      </w:r>
      <w:r w:rsidR="00A87861">
        <w:rPr>
          <w:szCs w:val="22"/>
        </w:rPr>
        <w:t>.</w:t>
      </w:r>
    </w:p>
    <w:p w:rsidR="00244206" w:rsidRPr="00A87861" w:rsidRDefault="00244206" w:rsidP="002F7669">
      <w:pPr>
        <w:widowControl/>
        <w:rPr>
          <w:szCs w:val="22"/>
        </w:rPr>
      </w:pPr>
    </w:p>
    <w:p w:rsidR="00244206" w:rsidRPr="00FB7A1E" w:rsidRDefault="000F4EDF" w:rsidP="00A87861">
      <w:pPr>
        <w:pStyle w:val="ListParagraph"/>
        <w:widowControl/>
        <w:numPr>
          <w:ilvl w:val="1"/>
          <w:numId w:val="3"/>
        </w:numPr>
        <w:rPr>
          <w:szCs w:val="22"/>
        </w:rPr>
      </w:pPr>
      <w:r w:rsidRPr="00FB7A1E">
        <w:rPr>
          <w:szCs w:val="22"/>
        </w:rPr>
        <w:t xml:space="preserve">Key results for the secondary outcomes from the randomised trials are presented in </w:t>
      </w:r>
      <w:r w:rsidR="00A657DE" w:rsidRPr="00FB7A1E">
        <w:rPr>
          <w:szCs w:val="22"/>
        </w:rPr>
        <w:t xml:space="preserve">the table </w:t>
      </w:r>
      <w:r w:rsidR="00FB7A1E" w:rsidRPr="00FB7A1E">
        <w:rPr>
          <w:szCs w:val="22"/>
        </w:rPr>
        <w:t>below.</w:t>
      </w:r>
    </w:p>
    <w:p w:rsidR="00976CA1" w:rsidRDefault="00976CA1">
      <w:pPr>
        <w:widowControl/>
        <w:jc w:val="left"/>
        <w:rPr>
          <w:szCs w:val="22"/>
        </w:rPr>
        <w:sectPr w:rsidR="00976CA1">
          <w:headerReference w:type="default" r:id="rId9"/>
          <w:footerReference w:type="default" r:id="rId10"/>
          <w:pgSz w:w="11907" w:h="16840" w:code="9"/>
          <w:pgMar w:top="1440" w:right="1440" w:bottom="1440" w:left="1440" w:header="1440" w:footer="1440" w:gutter="0"/>
          <w:cols w:space="708"/>
          <w:docGrid w:linePitch="360"/>
        </w:sectPr>
      </w:pPr>
    </w:p>
    <w:p w:rsidR="00976CA1" w:rsidRPr="00664639" w:rsidRDefault="00976CA1" w:rsidP="00976CA1">
      <w:pPr>
        <w:rPr>
          <w:rStyle w:val="CommentReference"/>
        </w:rPr>
      </w:pPr>
      <w:r w:rsidRPr="00664639">
        <w:rPr>
          <w:rStyle w:val="CommentReference"/>
        </w:rPr>
        <w:lastRenderedPageBreak/>
        <w:t>Secondary outcomes from the randomised trials</w:t>
      </w:r>
    </w:p>
    <w:tbl>
      <w:tblPr>
        <w:tblStyle w:val="TableGrid"/>
        <w:tblW w:w="14057" w:type="dxa"/>
        <w:tblCellMar>
          <w:left w:w="28" w:type="dxa"/>
          <w:right w:w="28" w:type="dxa"/>
        </w:tblCellMar>
        <w:tblLook w:val="04A0" w:firstRow="1" w:lastRow="0" w:firstColumn="1" w:lastColumn="0" w:noHBand="0" w:noVBand="1"/>
      </w:tblPr>
      <w:tblGrid>
        <w:gridCol w:w="998"/>
        <w:gridCol w:w="2615"/>
        <w:gridCol w:w="703"/>
        <w:gridCol w:w="939"/>
        <w:gridCol w:w="21"/>
        <w:gridCol w:w="919"/>
        <w:gridCol w:w="680"/>
        <w:gridCol w:w="915"/>
        <w:gridCol w:w="25"/>
        <w:gridCol w:w="35"/>
        <w:gridCol w:w="915"/>
        <w:gridCol w:w="680"/>
        <w:gridCol w:w="940"/>
        <w:gridCol w:w="35"/>
        <w:gridCol w:w="1044"/>
        <w:gridCol w:w="680"/>
        <w:gridCol w:w="11"/>
        <w:gridCol w:w="934"/>
        <w:gridCol w:w="56"/>
        <w:gridCol w:w="901"/>
        <w:gridCol w:w="11"/>
      </w:tblGrid>
      <w:tr w:rsidR="00976CA1" w:rsidRPr="00097C28">
        <w:trPr>
          <w:gridAfter w:val="1"/>
          <w:wAfter w:w="11" w:type="dxa"/>
          <w:tblHeader/>
        </w:trPr>
        <w:tc>
          <w:tcPr>
            <w:tcW w:w="3613" w:type="dxa"/>
            <w:gridSpan w:val="2"/>
            <w:vMerge w:val="restart"/>
            <w:vAlign w:val="center"/>
          </w:tcPr>
          <w:p w:rsidR="00976CA1" w:rsidRPr="00097C28" w:rsidRDefault="00976CA1" w:rsidP="000F4EDF">
            <w:pPr>
              <w:jc w:val="left"/>
              <w:rPr>
                <w:rStyle w:val="CommentReference"/>
              </w:rPr>
            </w:pPr>
          </w:p>
        </w:tc>
        <w:tc>
          <w:tcPr>
            <w:tcW w:w="2582" w:type="dxa"/>
            <w:gridSpan w:val="4"/>
            <w:vAlign w:val="center"/>
          </w:tcPr>
          <w:p w:rsidR="00976CA1" w:rsidRPr="00097C28" w:rsidRDefault="00976CA1" w:rsidP="000F4EDF">
            <w:pPr>
              <w:jc w:val="center"/>
              <w:rPr>
                <w:rStyle w:val="CommentReference"/>
              </w:rPr>
            </w:pPr>
            <w:r w:rsidRPr="00097C28">
              <w:rPr>
                <w:rStyle w:val="CommentReference"/>
                <w:sz w:val="19"/>
                <w:szCs w:val="19"/>
              </w:rPr>
              <w:t>Patients who gained ≥10 letters</w:t>
            </w:r>
          </w:p>
        </w:tc>
        <w:tc>
          <w:tcPr>
            <w:tcW w:w="2570" w:type="dxa"/>
            <w:gridSpan w:val="5"/>
            <w:vAlign w:val="center"/>
          </w:tcPr>
          <w:p w:rsidR="00976CA1" w:rsidRPr="00097C28" w:rsidRDefault="00976CA1" w:rsidP="000F4EDF">
            <w:pPr>
              <w:jc w:val="center"/>
              <w:rPr>
                <w:rStyle w:val="CommentReference"/>
              </w:rPr>
            </w:pPr>
            <w:r w:rsidRPr="00097C28">
              <w:rPr>
                <w:rStyle w:val="CommentReference"/>
                <w:sz w:val="19"/>
                <w:szCs w:val="19"/>
              </w:rPr>
              <w:t>Patients who gained ≥15 letters</w:t>
            </w:r>
          </w:p>
        </w:tc>
        <w:tc>
          <w:tcPr>
            <w:tcW w:w="2699" w:type="dxa"/>
            <w:gridSpan w:val="4"/>
            <w:vAlign w:val="center"/>
          </w:tcPr>
          <w:p w:rsidR="00976CA1" w:rsidRPr="00097C28" w:rsidRDefault="00976CA1" w:rsidP="000F4EDF">
            <w:pPr>
              <w:jc w:val="center"/>
              <w:rPr>
                <w:rStyle w:val="CommentReference"/>
              </w:rPr>
            </w:pPr>
            <w:r w:rsidRPr="00097C28">
              <w:rPr>
                <w:rStyle w:val="CommentReference"/>
                <w:sz w:val="19"/>
                <w:szCs w:val="19"/>
              </w:rPr>
              <w:t>Patients who lost ≥10 letters</w:t>
            </w:r>
          </w:p>
        </w:tc>
        <w:tc>
          <w:tcPr>
            <w:tcW w:w="2582" w:type="dxa"/>
            <w:gridSpan w:val="5"/>
            <w:vAlign w:val="center"/>
          </w:tcPr>
          <w:p w:rsidR="00976CA1" w:rsidRPr="00097C28" w:rsidRDefault="00976CA1" w:rsidP="000F4EDF">
            <w:pPr>
              <w:jc w:val="center"/>
              <w:rPr>
                <w:rStyle w:val="CommentReference"/>
              </w:rPr>
            </w:pPr>
            <w:r w:rsidRPr="00097C28">
              <w:rPr>
                <w:rStyle w:val="CommentReference"/>
                <w:sz w:val="19"/>
                <w:szCs w:val="19"/>
              </w:rPr>
              <w:t>Patients who lost ≥15 letters</w:t>
            </w:r>
          </w:p>
        </w:tc>
      </w:tr>
      <w:tr w:rsidR="00976CA1" w:rsidRPr="00097C28">
        <w:trPr>
          <w:gridAfter w:val="1"/>
          <w:wAfter w:w="11" w:type="dxa"/>
          <w:tblHeader/>
        </w:trPr>
        <w:tc>
          <w:tcPr>
            <w:tcW w:w="3613" w:type="dxa"/>
            <w:gridSpan w:val="2"/>
            <w:vMerge/>
            <w:vAlign w:val="center"/>
          </w:tcPr>
          <w:p w:rsidR="00976CA1" w:rsidRPr="00097C28" w:rsidRDefault="00976CA1" w:rsidP="000F4EDF">
            <w:pPr>
              <w:jc w:val="left"/>
              <w:rPr>
                <w:rStyle w:val="CommentReference"/>
              </w:rPr>
            </w:pPr>
          </w:p>
        </w:tc>
        <w:tc>
          <w:tcPr>
            <w:tcW w:w="703" w:type="dxa"/>
            <w:vAlign w:val="center"/>
          </w:tcPr>
          <w:p w:rsidR="00976CA1" w:rsidRPr="00097C28" w:rsidRDefault="00976CA1" w:rsidP="000F4EDF">
            <w:pPr>
              <w:jc w:val="center"/>
              <w:rPr>
                <w:rStyle w:val="CommentReference"/>
              </w:rPr>
            </w:pPr>
            <w:proofErr w:type="gramStart"/>
            <w:r w:rsidRPr="00097C28">
              <w:rPr>
                <w:rStyle w:val="CommentReference"/>
                <w:sz w:val="19"/>
                <w:szCs w:val="19"/>
              </w:rPr>
              <w:t>n/N</w:t>
            </w:r>
            <w:proofErr w:type="gramEnd"/>
            <w:r w:rsidRPr="00097C28">
              <w:rPr>
                <w:rStyle w:val="CommentReference"/>
                <w:sz w:val="19"/>
                <w:szCs w:val="19"/>
              </w:rPr>
              <w:t xml:space="preserve"> (%)</w:t>
            </w:r>
          </w:p>
        </w:tc>
        <w:tc>
          <w:tcPr>
            <w:tcW w:w="939" w:type="dxa"/>
            <w:vAlign w:val="center"/>
          </w:tcPr>
          <w:p w:rsidR="00976CA1" w:rsidRPr="00097C28" w:rsidRDefault="00976CA1" w:rsidP="000F4EDF">
            <w:pPr>
              <w:jc w:val="center"/>
              <w:rPr>
                <w:rStyle w:val="CommentReference"/>
              </w:rPr>
            </w:pPr>
            <w:r w:rsidRPr="00097C28">
              <w:rPr>
                <w:rStyle w:val="CommentReference"/>
                <w:sz w:val="19"/>
                <w:szCs w:val="19"/>
              </w:rPr>
              <w:t>RR</w:t>
            </w:r>
          </w:p>
          <w:p w:rsidR="00976CA1" w:rsidRPr="00097C28" w:rsidRDefault="00976CA1" w:rsidP="000F4EDF">
            <w:pPr>
              <w:jc w:val="center"/>
              <w:rPr>
                <w:rStyle w:val="CommentReference"/>
              </w:rPr>
            </w:pPr>
            <w:r w:rsidRPr="00097C28">
              <w:rPr>
                <w:rStyle w:val="CommentReference"/>
                <w:sz w:val="19"/>
                <w:szCs w:val="19"/>
              </w:rPr>
              <w:t>(95% CI)</w:t>
            </w:r>
          </w:p>
        </w:tc>
        <w:tc>
          <w:tcPr>
            <w:tcW w:w="940" w:type="dxa"/>
            <w:gridSpan w:val="2"/>
            <w:vAlign w:val="center"/>
          </w:tcPr>
          <w:p w:rsidR="00976CA1" w:rsidRPr="00097C28" w:rsidRDefault="00976CA1" w:rsidP="000F4EDF">
            <w:pPr>
              <w:jc w:val="center"/>
              <w:rPr>
                <w:rStyle w:val="CommentReference"/>
              </w:rPr>
            </w:pPr>
            <w:r w:rsidRPr="00097C28">
              <w:rPr>
                <w:rStyle w:val="CommentReference"/>
                <w:sz w:val="19"/>
                <w:szCs w:val="19"/>
              </w:rPr>
              <w:t>RD%</w:t>
            </w:r>
          </w:p>
          <w:p w:rsidR="00976CA1" w:rsidRPr="00097C28" w:rsidRDefault="00976CA1" w:rsidP="000F4EDF">
            <w:pPr>
              <w:jc w:val="center"/>
              <w:rPr>
                <w:rStyle w:val="CommentReference"/>
              </w:rPr>
            </w:pPr>
            <w:r w:rsidRPr="00097C28">
              <w:rPr>
                <w:rStyle w:val="CommentReference"/>
                <w:sz w:val="19"/>
                <w:szCs w:val="19"/>
              </w:rPr>
              <w:t>(95% CI)</w:t>
            </w:r>
          </w:p>
        </w:tc>
        <w:tc>
          <w:tcPr>
            <w:tcW w:w="680" w:type="dxa"/>
            <w:vAlign w:val="center"/>
          </w:tcPr>
          <w:p w:rsidR="00976CA1" w:rsidRPr="00097C28" w:rsidRDefault="00976CA1" w:rsidP="000F4EDF">
            <w:pPr>
              <w:jc w:val="center"/>
              <w:rPr>
                <w:rStyle w:val="CommentReference"/>
              </w:rPr>
            </w:pPr>
            <w:proofErr w:type="gramStart"/>
            <w:r w:rsidRPr="00097C28">
              <w:rPr>
                <w:rStyle w:val="CommentReference"/>
                <w:sz w:val="19"/>
                <w:szCs w:val="19"/>
              </w:rPr>
              <w:t>n/N</w:t>
            </w:r>
            <w:proofErr w:type="gramEnd"/>
            <w:r w:rsidRPr="00097C28">
              <w:rPr>
                <w:rStyle w:val="CommentReference"/>
                <w:sz w:val="19"/>
                <w:szCs w:val="19"/>
              </w:rPr>
              <w:t xml:space="preserve"> (%)</w:t>
            </w:r>
          </w:p>
        </w:tc>
        <w:tc>
          <w:tcPr>
            <w:tcW w:w="940" w:type="dxa"/>
            <w:gridSpan w:val="2"/>
            <w:vAlign w:val="center"/>
          </w:tcPr>
          <w:p w:rsidR="00976CA1" w:rsidRPr="00097C28" w:rsidRDefault="00976CA1" w:rsidP="000F4EDF">
            <w:pPr>
              <w:jc w:val="center"/>
              <w:rPr>
                <w:rStyle w:val="CommentReference"/>
              </w:rPr>
            </w:pPr>
            <w:r w:rsidRPr="00097C28">
              <w:rPr>
                <w:rStyle w:val="CommentReference"/>
                <w:sz w:val="19"/>
                <w:szCs w:val="19"/>
              </w:rPr>
              <w:t>RR</w:t>
            </w:r>
          </w:p>
          <w:p w:rsidR="00976CA1" w:rsidRPr="00097C28" w:rsidRDefault="00976CA1" w:rsidP="000F4EDF">
            <w:pPr>
              <w:jc w:val="center"/>
              <w:rPr>
                <w:rStyle w:val="CommentReference"/>
              </w:rPr>
            </w:pPr>
            <w:r w:rsidRPr="00097C28">
              <w:rPr>
                <w:rStyle w:val="CommentReference"/>
                <w:sz w:val="19"/>
                <w:szCs w:val="19"/>
              </w:rPr>
              <w:t>(95% CI)</w:t>
            </w:r>
          </w:p>
        </w:tc>
        <w:tc>
          <w:tcPr>
            <w:tcW w:w="950" w:type="dxa"/>
            <w:gridSpan w:val="2"/>
            <w:vAlign w:val="center"/>
          </w:tcPr>
          <w:p w:rsidR="00976CA1" w:rsidRPr="00097C28" w:rsidRDefault="00976CA1" w:rsidP="000F4EDF">
            <w:pPr>
              <w:jc w:val="center"/>
              <w:rPr>
                <w:rStyle w:val="CommentReference"/>
              </w:rPr>
            </w:pPr>
            <w:r w:rsidRPr="00097C28">
              <w:rPr>
                <w:rStyle w:val="CommentReference"/>
                <w:sz w:val="19"/>
                <w:szCs w:val="19"/>
              </w:rPr>
              <w:t>RD%</w:t>
            </w:r>
          </w:p>
          <w:p w:rsidR="00976CA1" w:rsidRPr="00097C28" w:rsidRDefault="00976CA1" w:rsidP="000F4EDF">
            <w:pPr>
              <w:jc w:val="center"/>
              <w:rPr>
                <w:rStyle w:val="CommentReference"/>
              </w:rPr>
            </w:pPr>
            <w:r w:rsidRPr="00097C28">
              <w:rPr>
                <w:rStyle w:val="CommentReference"/>
                <w:sz w:val="19"/>
                <w:szCs w:val="19"/>
              </w:rPr>
              <w:t>(95% CI)</w:t>
            </w:r>
          </w:p>
        </w:tc>
        <w:tc>
          <w:tcPr>
            <w:tcW w:w="680" w:type="dxa"/>
            <w:vAlign w:val="center"/>
          </w:tcPr>
          <w:p w:rsidR="00976CA1" w:rsidRPr="00097C28" w:rsidRDefault="00976CA1" w:rsidP="000F4EDF">
            <w:pPr>
              <w:jc w:val="center"/>
              <w:rPr>
                <w:rStyle w:val="CommentReference"/>
              </w:rPr>
            </w:pPr>
            <w:proofErr w:type="gramStart"/>
            <w:r w:rsidRPr="00097C28">
              <w:rPr>
                <w:rStyle w:val="CommentReference"/>
                <w:sz w:val="19"/>
                <w:szCs w:val="19"/>
              </w:rPr>
              <w:t>n/N</w:t>
            </w:r>
            <w:proofErr w:type="gramEnd"/>
            <w:r w:rsidRPr="00097C28">
              <w:rPr>
                <w:rStyle w:val="CommentReference"/>
                <w:sz w:val="19"/>
                <w:szCs w:val="19"/>
              </w:rPr>
              <w:t xml:space="preserve"> (%)</w:t>
            </w:r>
          </w:p>
        </w:tc>
        <w:tc>
          <w:tcPr>
            <w:tcW w:w="940" w:type="dxa"/>
            <w:vAlign w:val="center"/>
          </w:tcPr>
          <w:p w:rsidR="00976CA1" w:rsidRPr="00097C28" w:rsidRDefault="00976CA1" w:rsidP="000F4EDF">
            <w:pPr>
              <w:jc w:val="center"/>
              <w:rPr>
                <w:rStyle w:val="CommentReference"/>
              </w:rPr>
            </w:pPr>
            <w:r w:rsidRPr="00097C28">
              <w:rPr>
                <w:rStyle w:val="CommentReference"/>
                <w:sz w:val="19"/>
                <w:szCs w:val="19"/>
              </w:rPr>
              <w:t>RR</w:t>
            </w:r>
          </w:p>
          <w:p w:rsidR="00976CA1" w:rsidRPr="00097C28" w:rsidRDefault="00976CA1" w:rsidP="000F4EDF">
            <w:pPr>
              <w:jc w:val="center"/>
              <w:rPr>
                <w:rStyle w:val="CommentReference"/>
              </w:rPr>
            </w:pPr>
            <w:r w:rsidRPr="00097C28">
              <w:rPr>
                <w:rStyle w:val="CommentReference"/>
                <w:sz w:val="19"/>
                <w:szCs w:val="19"/>
              </w:rPr>
              <w:t>(95% CI)</w:t>
            </w:r>
          </w:p>
        </w:tc>
        <w:tc>
          <w:tcPr>
            <w:tcW w:w="1079" w:type="dxa"/>
            <w:gridSpan w:val="2"/>
            <w:vAlign w:val="center"/>
          </w:tcPr>
          <w:p w:rsidR="00976CA1" w:rsidRPr="00097C28" w:rsidRDefault="00976CA1" w:rsidP="000F4EDF">
            <w:pPr>
              <w:jc w:val="center"/>
              <w:rPr>
                <w:rStyle w:val="CommentReference"/>
              </w:rPr>
            </w:pPr>
            <w:r w:rsidRPr="00097C28">
              <w:rPr>
                <w:rStyle w:val="CommentReference"/>
                <w:sz w:val="19"/>
                <w:szCs w:val="19"/>
              </w:rPr>
              <w:t>RD%</w:t>
            </w:r>
          </w:p>
          <w:p w:rsidR="00976CA1" w:rsidRPr="00097C28" w:rsidRDefault="00976CA1" w:rsidP="000F4EDF">
            <w:pPr>
              <w:jc w:val="center"/>
              <w:rPr>
                <w:rStyle w:val="CommentReference"/>
              </w:rPr>
            </w:pPr>
            <w:r w:rsidRPr="00097C28">
              <w:rPr>
                <w:rStyle w:val="CommentReference"/>
                <w:sz w:val="19"/>
                <w:szCs w:val="19"/>
              </w:rPr>
              <w:t>(95% CI)</w:t>
            </w:r>
          </w:p>
        </w:tc>
        <w:tc>
          <w:tcPr>
            <w:tcW w:w="680" w:type="dxa"/>
            <w:vAlign w:val="center"/>
          </w:tcPr>
          <w:p w:rsidR="00976CA1" w:rsidRPr="00097C28" w:rsidRDefault="00976CA1" w:rsidP="000F4EDF">
            <w:pPr>
              <w:jc w:val="center"/>
              <w:rPr>
                <w:rStyle w:val="CommentReference"/>
              </w:rPr>
            </w:pPr>
            <w:proofErr w:type="gramStart"/>
            <w:r w:rsidRPr="00097C28">
              <w:rPr>
                <w:rStyle w:val="CommentReference"/>
                <w:sz w:val="19"/>
                <w:szCs w:val="19"/>
              </w:rPr>
              <w:t>n/N</w:t>
            </w:r>
            <w:proofErr w:type="gramEnd"/>
            <w:r w:rsidRPr="00097C28">
              <w:rPr>
                <w:rStyle w:val="CommentReference"/>
                <w:sz w:val="19"/>
                <w:szCs w:val="19"/>
              </w:rPr>
              <w:t xml:space="preserve"> (%)</w:t>
            </w:r>
          </w:p>
        </w:tc>
        <w:tc>
          <w:tcPr>
            <w:tcW w:w="945" w:type="dxa"/>
            <w:gridSpan w:val="2"/>
            <w:vAlign w:val="center"/>
          </w:tcPr>
          <w:p w:rsidR="00976CA1" w:rsidRPr="00097C28" w:rsidRDefault="00976CA1" w:rsidP="000F4EDF">
            <w:pPr>
              <w:jc w:val="center"/>
              <w:rPr>
                <w:rStyle w:val="CommentReference"/>
              </w:rPr>
            </w:pPr>
            <w:r w:rsidRPr="00097C28">
              <w:rPr>
                <w:rStyle w:val="CommentReference"/>
                <w:sz w:val="19"/>
                <w:szCs w:val="19"/>
              </w:rPr>
              <w:t>RR</w:t>
            </w:r>
          </w:p>
          <w:p w:rsidR="00976CA1" w:rsidRPr="00097C28" w:rsidRDefault="00976CA1" w:rsidP="000F4EDF">
            <w:pPr>
              <w:jc w:val="center"/>
              <w:rPr>
                <w:rStyle w:val="CommentReference"/>
              </w:rPr>
            </w:pPr>
            <w:r w:rsidRPr="00097C28">
              <w:rPr>
                <w:rStyle w:val="CommentReference"/>
                <w:sz w:val="19"/>
                <w:szCs w:val="19"/>
              </w:rPr>
              <w:t>(95% CI)</w:t>
            </w:r>
          </w:p>
        </w:tc>
        <w:tc>
          <w:tcPr>
            <w:tcW w:w="957" w:type="dxa"/>
            <w:gridSpan w:val="2"/>
            <w:vAlign w:val="center"/>
          </w:tcPr>
          <w:p w:rsidR="00976CA1" w:rsidRPr="00097C28" w:rsidRDefault="00976CA1" w:rsidP="000F4EDF">
            <w:pPr>
              <w:jc w:val="center"/>
              <w:rPr>
                <w:rStyle w:val="CommentReference"/>
              </w:rPr>
            </w:pPr>
            <w:r w:rsidRPr="00097C28">
              <w:rPr>
                <w:rStyle w:val="CommentReference"/>
                <w:sz w:val="19"/>
                <w:szCs w:val="19"/>
              </w:rPr>
              <w:t>RD%</w:t>
            </w:r>
          </w:p>
          <w:p w:rsidR="00976CA1" w:rsidRPr="00097C28" w:rsidRDefault="00976CA1" w:rsidP="000F4EDF">
            <w:pPr>
              <w:jc w:val="center"/>
              <w:rPr>
                <w:rStyle w:val="CommentReference"/>
              </w:rPr>
            </w:pPr>
            <w:r w:rsidRPr="00097C28">
              <w:rPr>
                <w:rStyle w:val="CommentReference"/>
                <w:sz w:val="19"/>
                <w:szCs w:val="19"/>
              </w:rPr>
              <w:t>(95% CI)</w:t>
            </w:r>
          </w:p>
        </w:tc>
      </w:tr>
      <w:tr w:rsidR="00976CA1" w:rsidRPr="00097C28">
        <w:trPr>
          <w:gridAfter w:val="1"/>
          <w:wAfter w:w="11" w:type="dxa"/>
        </w:trPr>
        <w:tc>
          <w:tcPr>
            <w:tcW w:w="14046" w:type="dxa"/>
            <w:gridSpan w:val="20"/>
            <w:vAlign w:val="center"/>
          </w:tcPr>
          <w:p w:rsidR="00976CA1" w:rsidRPr="00097C28" w:rsidRDefault="00976CA1" w:rsidP="000F4EDF">
            <w:pPr>
              <w:jc w:val="left"/>
              <w:rPr>
                <w:rStyle w:val="CommentReference"/>
              </w:rPr>
            </w:pPr>
            <w:r w:rsidRPr="00097C28">
              <w:rPr>
                <w:rStyle w:val="CommentReference"/>
                <w:sz w:val="19"/>
                <w:szCs w:val="19"/>
              </w:rPr>
              <w:t>Aflibercept trials</w:t>
            </w:r>
          </w:p>
        </w:tc>
      </w:tr>
      <w:tr w:rsidR="00976CA1" w:rsidRPr="00097C28">
        <w:trPr>
          <w:gridAfter w:val="1"/>
          <w:wAfter w:w="11" w:type="dxa"/>
          <w:trHeight w:val="70"/>
        </w:trPr>
        <w:tc>
          <w:tcPr>
            <w:tcW w:w="998" w:type="dxa"/>
            <w:vMerge w:val="restart"/>
            <w:vAlign w:val="center"/>
          </w:tcPr>
          <w:p w:rsidR="00976CA1" w:rsidRPr="00097C28" w:rsidRDefault="00976CA1" w:rsidP="000F4EDF">
            <w:pPr>
              <w:jc w:val="left"/>
              <w:rPr>
                <w:rStyle w:val="CommentReference"/>
              </w:rPr>
            </w:pPr>
            <w:r w:rsidRPr="00097C28">
              <w:rPr>
                <w:rStyle w:val="CommentReference"/>
                <w:b w:val="0"/>
                <w:sz w:val="19"/>
                <w:szCs w:val="19"/>
              </w:rPr>
              <w:t>VIVID</w:t>
            </w:r>
          </w:p>
        </w:tc>
        <w:tc>
          <w:tcPr>
            <w:tcW w:w="2615" w:type="dxa"/>
            <w:vAlign w:val="center"/>
          </w:tcPr>
          <w:p w:rsidR="00976CA1" w:rsidRPr="00097C28" w:rsidRDefault="00976CA1" w:rsidP="000F4EDF">
            <w:pPr>
              <w:jc w:val="left"/>
              <w:rPr>
                <w:rStyle w:val="CommentReference"/>
              </w:rPr>
            </w:pPr>
            <w:r w:rsidRPr="00097C28">
              <w:rPr>
                <w:rStyle w:val="CommentReference"/>
                <w:b w:val="0"/>
                <w:sz w:val="19"/>
                <w:szCs w:val="19"/>
              </w:rPr>
              <w:t>2Q8</w:t>
            </w:r>
          </w:p>
        </w:tc>
        <w:tc>
          <w:tcPr>
            <w:tcW w:w="703" w:type="dxa"/>
            <w:vAlign w:val="center"/>
          </w:tcPr>
          <w:p w:rsidR="00976CA1" w:rsidRPr="00BF0C39" w:rsidRDefault="00BF0C39" w:rsidP="000F4EDF">
            <w:pPr>
              <w:ind w:left="1440" w:hanging="1440"/>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ind w:left="1440" w:hanging="1440"/>
              <w:jc w:val="center"/>
              <w:rPr>
                <w:rStyle w:val="CommentReference"/>
                <w:highlight w:val="black"/>
              </w:rPr>
            </w:pPr>
            <w:r>
              <w:rPr>
                <w:rStyle w:val="CommentReference"/>
                <w:b w:val="0"/>
                <w:noProof/>
                <w:color w:val="000000"/>
                <w:sz w:val="19"/>
                <w:szCs w:val="19"/>
                <w:highlight w:val="black"/>
              </w:rPr>
              <w:t>''''''''''''''</w:t>
            </w:r>
          </w:p>
        </w:tc>
        <w:tc>
          <w:tcPr>
            <w:tcW w:w="939"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5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1079"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5"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57"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r>
      <w:tr w:rsidR="00976CA1" w:rsidRPr="00097C28">
        <w:trPr>
          <w:gridAfter w:val="1"/>
          <w:wAfter w:w="11" w:type="dxa"/>
          <w:trHeight w:val="70"/>
        </w:trPr>
        <w:tc>
          <w:tcPr>
            <w:tcW w:w="998" w:type="dxa"/>
            <w:vMerge/>
            <w:vAlign w:val="center"/>
          </w:tcPr>
          <w:p w:rsidR="00976CA1" w:rsidRPr="00097C28" w:rsidRDefault="00976CA1" w:rsidP="000F4EDF">
            <w:pPr>
              <w:jc w:val="left"/>
              <w:rPr>
                <w:rStyle w:val="CommentReference"/>
              </w:rPr>
            </w:pPr>
          </w:p>
        </w:tc>
        <w:tc>
          <w:tcPr>
            <w:tcW w:w="2615" w:type="dxa"/>
            <w:vAlign w:val="center"/>
          </w:tcPr>
          <w:p w:rsidR="00976CA1" w:rsidRPr="00097C28" w:rsidRDefault="00976CA1" w:rsidP="000F4EDF">
            <w:pPr>
              <w:jc w:val="left"/>
              <w:rPr>
                <w:rStyle w:val="CommentReference"/>
              </w:rPr>
            </w:pPr>
            <w:r w:rsidRPr="00097C28">
              <w:rPr>
                <w:rStyle w:val="CommentReference"/>
                <w:b w:val="0"/>
                <w:sz w:val="19"/>
                <w:szCs w:val="19"/>
              </w:rPr>
              <w:t>Laser</w:t>
            </w:r>
          </w:p>
        </w:tc>
        <w:tc>
          <w:tcPr>
            <w:tcW w:w="703"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1879" w:type="dxa"/>
            <w:gridSpan w:val="3"/>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1890" w:type="dxa"/>
            <w:gridSpan w:val="4"/>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2019" w:type="dxa"/>
            <w:gridSpan w:val="3"/>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1902" w:type="dxa"/>
            <w:gridSpan w:val="4"/>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r>
      <w:tr w:rsidR="00976CA1" w:rsidRPr="00097C28">
        <w:trPr>
          <w:gridAfter w:val="1"/>
          <w:wAfter w:w="11" w:type="dxa"/>
          <w:trHeight w:val="70"/>
        </w:trPr>
        <w:tc>
          <w:tcPr>
            <w:tcW w:w="998" w:type="dxa"/>
            <w:vMerge w:val="restart"/>
            <w:vAlign w:val="center"/>
          </w:tcPr>
          <w:p w:rsidR="00976CA1" w:rsidRPr="00097C28" w:rsidRDefault="00976CA1" w:rsidP="000F4EDF">
            <w:pPr>
              <w:jc w:val="left"/>
              <w:rPr>
                <w:rStyle w:val="CommentReference"/>
              </w:rPr>
            </w:pPr>
            <w:r w:rsidRPr="00097C28">
              <w:rPr>
                <w:rStyle w:val="CommentReference"/>
                <w:b w:val="0"/>
                <w:sz w:val="19"/>
                <w:szCs w:val="19"/>
              </w:rPr>
              <w:t>VISTA</w:t>
            </w:r>
          </w:p>
        </w:tc>
        <w:tc>
          <w:tcPr>
            <w:tcW w:w="2615" w:type="dxa"/>
            <w:vAlign w:val="center"/>
          </w:tcPr>
          <w:p w:rsidR="00976CA1" w:rsidRPr="00097C28" w:rsidRDefault="00976CA1" w:rsidP="000F4EDF">
            <w:pPr>
              <w:jc w:val="left"/>
              <w:rPr>
                <w:rStyle w:val="CommentReference"/>
              </w:rPr>
            </w:pPr>
            <w:r w:rsidRPr="00097C28">
              <w:rPr>
                <w:rStyle w:val="CommentReference"/>
                <w:b w:val="0"/>
                <w:sz w:val="19"/>
                <w:szCs w:val="19"/>
              </w:rPr>
              <w:t>2Q8</w:t>
            </w:r>
          </w:p>
        </w:tc>
        <w:tc>
          <w:tcPr>
            <w:tcW w:w="703"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39"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5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1079"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5"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57"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r>
      <w:tr w:rsidR="00976CA1" w:rsidRPr="00097C28">
        <w:trPr>
          <w:gridAfter w:val="1"/>
          <w:wAfter w:w="11" w:type="dxa"/>
        </w:trPr>
        <w:tc>
          <w:tcPr>
            <w:tcW w:w="998" w:type="dxa"/>
            <w:vMerge/>
            <w:vAlign w:val="center"/>
          </w:tcPr>
          <w:p w:rsidR="00976CA1" w:rsidRPr="00097C28" w:rsidRDefault="00976CA1" w:rsidP="000F4EDF">
            <w:pPr>
              <w:jc w:val="left"/>
              <w:rPr>
                <w:rStyle w:val="CommentReference"/>
              </w:rPr>
            </w:pPr>
          </w:p>
        </w:tc>
        <w:tc>
          <w:tcPr>
            <w:tcW w:w="2615" w:type="dxa"/>
            <w:vAlign w:val="center"/>
          </w:tcPr>
          <w:p w:rsidR="00976CA1" w:rsidRPr="00097C28" w:rsidRDefault="00976CA1" w:rsidP="000F4EDF">
            <w:pPr>
              <w:jc w:val="left"/>
              <w:rPr>
                <w:rStyle w:val="CommentReference"/>
              </w:rPr>
            </w:pPr>
            <w:r w:rsidRPr="00097C28">
              <w:rPr>
                <w:rStyle w:val="CommentReference"/>
                <w:b w:val="0"/>
                <w:sz w:val="19"/>
                <w:szCs w:val="19"/>
              </w:rPr>
              <w:t>Laser</w:t>
            </w:r>
          </w:p>
        </w:tc>
        <w:tc>
          <w:tcPr>
            <w:tcW w:w="703"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1879" w:type="dxa"/>
            <w:gridSpan w:val="3"/>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1890" w:type="dxa"/>
            <w:gridSpan w:val="4"/>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2019" w:type="dxa"/>
            <w:gridSpan w:val="3"/>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1902" w:type="dxa"/>
            <w:gridSpan w:val="4"/>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r>
      <w:tr w:rsidR="00976CA1" w:rsidRPr="00097C28">
        <w:trPr>
          <w:gridAfter w:val="1"/>
          <w:wAfter w:w="11" w:type="dxa"/>
          <w:trHeight w:val="315"/>
        </w:trPr>
        <w:tc>
          <w:tcPr>
            <w:tcW w:w="998" w:type="dxa"/>
            <w:vAlign w:val="center"/>
          </w:tcPr>
          <w:p w:rsidR="00976CA1" w:rsidRPr="00097C28" w:rsidRDefault="00976CA1" w:rsidP="000F4EDF">
            <w:pPr>
              <w:jc w:val="left"/>
              <w:rPr>
                <w:rStyle w:val="CommentReference"/>
              </w:rPr>
            </w:pPr>
            <w:proofErr w:type="spellStart"/>
            <w:r w:rsidRPr="00097C28">
              <w:rPr>
                <w:rStyle w:val="CommentReference"/>
                <w:b w:val="0"/>
                <w:sz w:val="19"/>
                <w:szCs w:val="19"/>
              </w:rPr>
              <w:t>Meta analysis</w:t>
            </w:r>
            <w:proofErr w:type="spellEnd"/>
            <w:r w:rsidRPr="00097C28">
              <w:rPr>
                <w:rStyle w:val="CommentReference"/>
                <w:b w:val="0"/>
                <w:sz w:val="19"/>
                <w:szCs w:val="19"/>
              </w:rPr>
              <w:t>*</w:t>
            </w:r>
          </w:p>
        </w:tc>
        <w:tc>
          <w:tcPr>
            <w:tcW w:w="2615" w:type="dxa"/>
            <w:vAlign w:val="center"/>
          </w:tcPr>
          <w:p w:rsidR="00976CA1" w:rsidRPr="00097C28" w:rsidRDefault="00976CA1" w:rsidP="000F4EDF">
            <w:pPr>
              <w:jc w:val="left"/>
              <w:rPr>
                <w:rStyle w:val="CommentReference"/>
              </w:rPr>
            </w:pPr>
            <w:r w:rsidRPr="00097C28">
              <w:rPr>
                <w:rStyle w:val="CommentReference"/>
                <w:b w:val="0"/>
                <w:sz w:val="19"/>
                <w:szCs w:val="19"/>
              </w:rPr>
              <w:t>AFB 2Q8 vs laser (VISTA &amp; VIVID)</w:t>
            </w:r>
          </w:p>
        </w:tc>
        <w:tc>
          <w:tcPr>
            <w:tcW w:w="703"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39" w:type="dxa"/>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 xml:space="preserve">''''''''' </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940"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 xml:space="preserve">''''''''' </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15" w:type="dxa"/>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 xml:space="preserve">'''''''' </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975" w:type="dxa"/>
            <w:gridSpan w:val="3"/>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 xml:space="preserve">''''''''' </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75"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1044" w:type="dxa"/>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5"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957"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r>
      <w:tr w:rsidR="00976CA1" w:rsidRPr="00097C28">
        <w:trPr>
          <w:gridAfter w:val="1"/>
          <w:wAfter w:w="11" w:type="dxa"/>
        </w:trPr>
        <w:tc>
          <w:tcPr>
            <w:tcW w:w="14046" w:type="dxa"/>
            <w:gridSpan w:val="20"/>
            <w:vAlign w:val="center"/>
          </w:tcPr>
          <w:p w:rsidR="00976CA1" w:rsidRPr="00097C28" w:rsidRDefault="00976CA1" w:rsidP="000F4EDF">
            <w:pPr>
              <w:jc w:val="left"/>
              <w:rPr>
                <w:rStyle w:val="CommentReference"/>
              </w:rPr>
            </w:pPr>
            <w:r w:rsidRPr="00097C28">
              <w:rPr>
                <w:rStyle w:val="CommentReference"/>
                <w:sz w:val="19"/>
                <w:szCs w:val="19"/>
              </w:rPr>
              <w:t>Ranibizumab trials</w:t>
            </w:r>
          </w:p>
        </w:tc>
      </w:tr>
      <w:tr w:rsidR="00976CA1" w:rsidRPr="00097C28">
        <w:trPr>
          <w:gridAfter w:val="1"/>
          <w:wAfter w:w="11" w:type="dxa"/>
        </w:trPr>
        <w:tc>
          <w:tcPr>
            <w:tcW w:w="998" w:type="dxa"/>
            <w:vMerge w:val="restart"/>
            <w:vAlign w:val="center"/>
          </w:tcPr>
          <w:p w:rsidR="00976CA1" w:rsidRPr="00097C28" w:rsidRDefault="00976CA1" w:rsidP="000F4EDF">
            <w:pPr>
              <w:jc w:val="left"/>
              <w:rPr>
                <w:rStyle w:val="CommentReference"/>
              </w:rPr>
            </w:pPr>
            <w:r w:rsidRPr="00097C28">
              <w:rPr>
                <w:rStyle w:val="CommentReference"/>
                <w:b w:val="0"/>
                <w:sz w:val="19"/>
                <w:szCs w:val="19"/>
              </w:rPr>
              <w:t>RESTORE</w:t>
            </w:r>
          </w:p>
        </w:tc>
        <w:tc>
          <w:tcPr>
            <w:tcW w:w="2615" w:type="dxa"/>
            <w:vAlign w:val="center"/>
          </w:tcPr>
          <w:p w:rsidR="00976CA1" w:rsidRPr="00097C28" w:rsidRDefault="00976CA1" w:rsidP="000F4EDF">
            <w:pPr>
              <w:jc w:val="left"/>
              <w:rPr>
                <w:rStyle w:val="CommentReference"/>
              </w:rPr>
            </w:pPr>
            <w:r w:rsidRPr="00097C28">
              <w:rPr>
                <w:rStyle w:val="CommentReference"/>
                <w:b w:val="0"/>
                <w:sz w:val="19"/>
                <w:szCs w:val="19"/>
              </w:rPr>
              <w:t>RBZ+SL</w:t>
            </w:r>
          </w:p>
        </w:tc>
        <w:tc>
          <w:tcPr>
            <w:tcW w:w="703"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39"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5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1079"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5"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57"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r>
      <w:tr w:rsidR="00976CA1" w:rsidRPr="00097C28">
        <w:trPr>
          <w:gridAfter w:val="1"/>
          <w:wAfter w:w="11" w:type="dxa"/>
        </w:trPr>
        <w:tc>
          <w:tcPr>
            <w:tcW w:w="998" w:type="dxa"/>
            <w:vMerge/>
            <w:vAlign w:val="center"/>
          </w:tcPr>
          <w:p w:rsidR="00976CA1" w:rsidRPr="00097C28" w:rsidRDefault="00976CA1" w:rsidP="000F4EDF">
            <w:pPr>
              <w:jc w:val="left"/>
              <w:rPr>
                <w:rStyle w:val="CommentReference"/>
              </w:rPr>
            </w:pPr>
          </w:p>
        </w:tc>
        <w:tc>
          <w:tcPr>
            <w:tcW w:w="2615" w:type="dxa"/>
            <w:vAlign w:val="center"/>
          </w:tcPr>
          <w:p w:rsidR="00976CA1" w:rsidRPr="00097C28" w:rsidRDefault="00976CA1" w:rsidP="000F4EDF">
            <w:pPr>
              <w:jc w:val="left"/>
              <w:rPr>
                <w:rStyle w:val="CommentReference"/>
              </w:rPr>
            </w:pPr>
            <w:proofErr w:type="spellStart"/>
            <w:r w:rsidRPr="00097C28">
              <w:rPr>
                <w:rStyle w:val="CommentReference"/>
                <w:b w:val="0"/>
                <w:sz w:val="19"/>
                <w:szCs w:val="19"/>
              </w:rPr>
              <w:t>RBZ+Laser</w:t>
            </w:r>
            <w:proofErr w:type="spellEnd"/>
          </w:p>
        </w:tc>
        <w:tc>
          <w:tcPr>
            <w:tcW w:w="703"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39"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5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1079"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097C28" w:rsidRDefault="00BF0C39" w:rsidP="000F4EDF">
            <w:pPr>
              <w:jc w:val="center"/>
              <w:rPr>
                <w:rStyle w:val="CommentReference"/>
              </w:rPr>
            </w:pPr>
            <w:r>
              <w:rPr>
                <w:rStyle w:val="CommentReference"/>
                <w:b w:val="0"/>
                <w:noProof/>
                <w:color w:val="000000"/>
                <w:sz w:val="19"/>
                <w:szCs w:val="19"/>
                <w:highlight w:val="black"/>
              </w:rPr>
              <w:t>''''''''''''''''' ''''''''''</w:t>
            </w:r>
            <w:r w:rsidR="00976CA1" w:rsidRPr="00097C28">
              <w:rPr>
                <w:rStyle w:val="CommentReference"/>
                <w:b w:val="0"/>
                <w:sz w:val="19"/>
                <w:szCs w:val="19"/>
              </w:rPr>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5"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57"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r>
      <w:tr w:rsidR="00976CA1" w:rsidRPr="00097C28">
        <w:trPr>
          <w:gridAfter w:val="1"/>
          <w:wAfter w:w="11" w:type="dxa"/>
        </w:trPr>
        <w:tc>
          <w:tcPr>
            <w:tcW w:w="998" w:type="dxa"/>
            <w:vMerge/>
            <w:vAlign w:val="center"/>
          </w:tcPr>
          <w:p w:rsidR="00976CA1" w:rsidRPr="00097C28" w:rsidRDefault="00976CA1" w:rsidP="000F4EDF">
            <w:pPr>
              <w:jc w:val="left"/>
              <w:rPr>
                <w:rStyle w:val="CommentReference"/>
              </w:rPr>
            </w:pPr>
          </w:p>
        </w:tc>
        <w:tc>
          <w:tcPr>
            <w:tcW w:w="2615" w:type="dxa"/>
            <w:vAlign w:val="center"/>
          </w:tcPr>
          <w:p w:rsidR="00976CA1" w:rsidRPr="00097C28" w:rsidRDefault="00976CA1" w:rsidP="000F4EDF">
            <w:pPr>
              <w:jc w:val="left"/>
              <w:rPr>
                <w:rStyle w:val="CommentReference"/>
              </w:rPr>
            </w:pPr>
            <w:proofErr w:type="spellStart"/>
            <w:r w:rsidRPr="00097C28">
              <w:rPr>
                <w:rStyle w:val="CommentReference"/>
                <w:b w:val="0"/>
                <w:sz w:val="19"/>
                <w:szCs w:val="19"/>
              </w:rPr>
              <w:t>SI+Laser</w:t>
            </w:r>
            <w:proofErr w:type="spellEnd"/>
          </w:p>
        </w:tc>
        <w:tc>
          <w:tcPr>
            <w:tcW w:w="703"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1879" w:type="dxa"/>
            <w:gridSpan w:val="3"/>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1890" w:type="dxa"/>
            <w:gridSpan w:val="4"/>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2019" w:type="dxa"/>
            <w:gridSpan w:val="3"/>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1902" w:type="dxa"/>
            <w:gridSpan w:val="4"/>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r>
      <w:tr w:rsidR="00976CA1" w:rsidRPr="00097C28">
        <w:trPr>
          <w:gridAfter w:val="1"/>
          <w:wAfter w:w="11" w:type="dxa"/>
        </w:trPr>
        <w:tc>
          <w:tcPr>
            <w:tcW w:w="998" w:type="dxa"/>
            <w:vMerge w:val="restart"/>
            <w:vAlign w:val="center"/>
          </w:tcPr>
          <w:p w:rsidR="00976CA1" w:rsidRPr="00097C28" w:rsidRDefault="00976CA1" w:rsidP="000F4EDF">
            <w:pPr>
              <w:jc w:val="left"/>
              <w:rPr>
                <w:rStyle w:val="CommentReference"/>
              </w:rPr>
            </w:pPr>
            <w:r w:rsidRPr="00097C28">
              <w:rPr>
                <w:rStyle w:val="CommentReference"/>
                <w:b w:val="0"/>
                <w:sz w:val="19"/>
                <w:szCs w:val="19"/>
              </w:rPr>
              <w:t>REVEAL</w:t>
            </w:r>
          </w:p>
        </w:tc>
        <w:tc>
          <w:tcPr>
            <w:tcW w:w="2615" w:type="dxa"/>
            <w:vAlign w:val="center"/>
          </w:tcPr>
          <w:p w:rsidR="00976CA1" w:rsidRPr="00097C28" w:rsidRDefault="00976CA1" w:rsidP="000F4EDF">
            <w:pPr>
              <w:jc w:val="left"/>
              <w:rPr>
                <w:rStyle w:val="CommentReference"/>
              </w:rPr>
            </w:pPr>
            <w:r w:rsidRPr="00097C28">
              <w:rPr>
                <w:rStyle w:val="CommentReference"/>
                <w:b w:val="0"/>
                <w:sz w:val="19"/>
                <w:szCs w:val="19"/>
              </w:rPr>
              <w:t>RBZ+SL</w:t>
            </w:r>
          </w:p>
        </w:tc>
        <w:tc>
          <w:tcPr>
            <w:tcW w:w="703"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39"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5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1079"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5"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57"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r>
      <w:tr w:rsidR="00976CA1" w:rsidRPr="00097C28">
        <w:trPr>
          <w:gridAfter w:val="1"/>
          <w:wAfter w:w="11" w:type="dxa"/>
        </w:trPr>
        <w:tc>
          <w:tcPr>
            <w:tcW w:w="998" w:type="dxa"/>
            <w:vMerge/>
            <w:vAlign w:val="center"/>
          </w:tcPr>
          <w:p w:rsidR="00976CA1" w:rsidRPr="00097C28" w:rsidRDefault="00976CA1" w:rsidP="000F4EDF">
            <w:pPr>
              <w:jc w:val="left"/>
              <w:rPr>
                <w:rStyle w:val="CommentReference"/>
              </w:rPr>
            </w:pPr>
          </w:p>
        </w:tc>
        <w:tc>
          <w:tcPr>
            <w:tcW w:w="2615" w:type="dxa"/>
            <w:vAlign w:val="center"/>
          </w:tcPr>
          <w:p w:rsidR="00976CA1" w:rsidRPr="00097C28" w:rsidRDefault="00976CA1" w:rsidP="000F4EDF">
            <w:pPr>
              <w:jc w:val="left"/>
              <w:rPr>
                <w:rStyle w:val="CommentReference"/>
              </w:rPr>
            </w:pPr>
            <w:proofErr w:type="spellStart"/>
            <w:r w:rsidRPr="00097C28">
              <w:rPr>
                <w:rStyle w:val="CommentReference"/>
                <w:b w:val="0"/>
                <w:sz w:val="19"/>
                <w:szCs w:val="19"/>
              </w:rPr>
              <w:t>RBZ+Laser</w:t>
            </w:r>
            <w:proofErr w:type="spellEnd"/>
          </w:p>
        </w:tc>
        <w:tc>
          <w:tcPr>
            <w:tcW w:w="703"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39"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5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1079"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5"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57"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r>
      <w:tr w:rsidR="00976CA1" w:rsidRPr="00097C28">
        <w:trPr>
          <w:gridAfter w:val="1"/>
          <w:wAfter w:w="11" w:type="dxa"/>
        </w:trPr>
        <w:tc>
          <w:tcPr>
            <w:tcW w:w="998" w:type="dxa"/>
            <w:vMerge/>
            <w:vAlign w:val="center"/>
          </w:tcPr>
          <w:p w:rsidR="00976CA1" w:rsidRPr="00097C28" w:rsidRDefault="00976CA1" w:rsidP="000F4EDF">
            <w:pPr>
              <w:jc w:val="left"/>
              <w:rPr>
                <w:rStyle w:val="CommentReference"/>
              </w:rPr>
            </w:pPr>
          </w:p>
        </w:tc>
        <w:tc>
          <w:tcPr>
            <w:tcW w:w="2615" w:type="dxa"/>
            <w:vAlign w:val="center"/>
          </w:tcPr>
          <w:p w:rsidR="00976CA1" w:rsidRPr="00097C28" w:rsidRDefault="00976CA1" w:rsidP="000F4EDF">
            <w:pPr>
              <w:jc w:val="left"/>
              <w:rPr>
                <w:rStyle w:val="CommentReference"/>
              </w:rPr>
            </w:pPr>
            <w:proofErr w:type="spellStart"/>
            <w:r w:rsidRPr="00097C28">
              <w:rPr>
                <w:rStyle w:val="CommentReference"/>
                <w:b w:val="0"/>
                <w:sz w:val="19"/>
                <w:szCs w:val="19"/>
              </w:rPr>
              <w:t>SI+Laser</w:t>
            </w:r>
            <w:proofErr w:type="spellEnd"/>
          </w:p>
        </w:tc>
        <w:tc>
          <w:tcPr>
            <w:tcW w:w="703"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1879" w:type="dxa"/>
            <w:gridSpan w:val="3"/>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1890" w:type="dxa"/>
            <w:gridSpan w:val="4"/>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2019" w:type="dxa"/>
            <w:gridSpan w:val="3"/>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1902" w:type="dxa"/>
            <w:gridSpan w:val="4"/>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r>
      <w:tr w:rsidR="00976CA1" w:rsidRPr="00097C28">
        <w:trPr>
          <w:gridAfter w:val="1"/>
          <w:wAfter w:w="11" w:type="dxa"/>
        </w:trPr>
        <w:tc>
          <w:tcPr>
            <w:tcW w:w="998" w:type="dxa"/>
            <w:vMerge w:val="restart"/>
            <w:vAlign w:val="center"/>
          </w:tcPr>
          <w:p w:rsidR="00976CA1" w:rsidRPr="00097C28" w:rsidRDefault="00976CA1" w:rsidP="000F4EDF">
            <w:pPr>
              <w:jc w:val="left"/>
              <w:rPr>
                <w:rStyle w:val="CommentReference"/>
              </w:rPr>
            </w:pPr>
            <w:r w:rsidRPr="00097C28">
              <w:rPr>
                <w:rStyle w:val="CommentReference"/>
                <w:b w:val="0"/>
                <w:sz w:val="19"/>
                <w:szCs w:val="19"/>
              </w:rPr>
              <w:t>DRCR.net’</w:t>
            </w:r>
          </w:p>
          <w:p w:rsidR="00976CA1" w:rsidRPr="00097C28" w:rsidRDefault="00976CA1" w:rsidP="000F4EDF">
            <w:pPr>
              <w:jc w:val="left"/>
              <w:rPr>
                <w:rStyle w:val="CommentReference"/>
              </w:rPr>
            </w:pPr>
          </w:p>
          <w:p w:rsidR="00976CA1" w:rsidRPr="00097C28" w:rsidRDefault="00976CA1" w:rsidP="000F4EDF">
            <w:pPr>
              <w:jc w:val="left"/>
              <w:rPr>
                <w:rStyle w:val="CommentReference"/>
              </w:rPr>
            </w:pPr>
            <w:r w:rsidRPr="00097C28">
              <w:rPr>
                <w:rStyle w:val="CommentReference"/>
                <w:b w:val="0"/>
                <w:sz w:val="19"/>
                <w:szCs w:val="19"/>
              </w:rPr>
              <w:t>(n eyes/N eyes)</w:t>
            </w:r>
          </w:p>
        </w:tc>
        <w:tc>
          <w:tcPr>
            <w:tcW w:w="2615" w:type="dxa"/>
            <w:vAlign w:val="center"/>
          </w:tcPr>
          <w:p w:rsidR="00976CA1" w:rsidRPr="00097C28" w:rsidRDefault="00976CA1" w:rsidP="000F4EDF">
            <w:pPr>
              <w:jc w:val="left"/>
              <w:rPr>
                <w:rStyle w:val="CommentReference"/>
              </w:rPr>
            </w:pPr>
            <w:r w:rsidRPr="00097C28">
              <w:rPr>
                <w:rStyle w:val="CommentReference"/>
                <w:b w:val="0"/>
                <w:sz w:val="19"/>
                <w:szCs w:val="19"/>
              </w:rPr>
              <w:t>RBZ+DL</w:t>
            </w:r>
          </w:p>
        </w:tc>
        <w:tc>
          <w:tcPr>
            <w:tcW w:w="703"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39"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5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1079"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5"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57"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r>
      <w:tr w:rsidR="00976CA1" w:rsidRPr="00097C28">
        <w:trPr>
          <w:gridAfter w:val="1"/>
          <w:wAfter w:w="11" w:type="dxa"/>
        </w:trPr>
        <w:tc>
          <w:tcPr>
            <w:tcW w:w="998" w:type="dxa"/>
            <w:vMerge/>
            <w:vAlign w:val="center"/>
          </w:tcPr>
          <w:p w:rsidR="00976CA1" w:rsidRPr="00097C28" w:rsidRDefault="00976CA1" w:rsidP="000F4EDF">
            <w:pPr>
              <w:jc w:val="left"/>
              <w:rPr>
                <w:rStyle w:val="CommentReference"/>
              </w:rPr>
            </w:pPr>
          </w:p>
        </w:tc>
        <w:tc>
          <w:tcPr>
            <w:tcW w:w="2615" w:type="dxa"/>
            <w:vAlign w:val="center"/>
          </w:tcPr>
          <w:p w:rsidR="00976CA1" w:rsidRPr="00097C28" w:rsidRDefault="00976CA1" w:rsidP="000F4EDF">
            <w:pPr>
              <w:jc w:val="left"/>
              <w:rPr>
                <w:rStyle w:val="CommentReference"/>
              </w:rPr>
            </w:pPr>
            <w:r w:rsidRPr="00097C28">
              <w:rPr>
                <w:rStyle w:val="CommentReference"/>
                <w:b w:val="0"/>
                <w:sz w:val="19"/>
                <w:szCs w:val="19"/>
              </w:rPr>
              <w:t>RBZ+PL</w:t>
            </w:r>
          </w:p>
        </w:tc>
        <w:tc>
          <w:tcPr>
            <w:tcW w:w="703"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39"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5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1079"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xml:space="preserve">''''''''''''''' '''''''''' </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5"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57"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r>
      <w:tr w:rsidR="00976CA1" w:rsidRPr="00097C28">
        <w:trPr>
          <w:gridAfter w:val="1"/>
          <w:wAfter w:w="11" w:type="dxa"/>
        </w:trPr>
        <w:tc>
          <w:tcPr>
            <w:tcW w:w="998" w:type="dxa"/>
            <w:vMerge/>
            <w:vAlign w:val="center"/>
          </w:tcPr>
          <w:p w:rsidR="00976CA1" w:rsidRPr="00097C28" w:rsidRDefault="00976CA1" w:rsidP="000F4EDF">
            <w:pPr>
              <w:jc w:val="left"/>
              <w:rPr>
                <w:rStyle w:val="CommentReference"/>
              </w:rPr>
            </w:pPr>
          </w:p>
        </w:tc>
        <w:tc>
          <w:tcPr>
            <w:tcW w:w="2615" w:type="dxa"/>
            <w:vAlign w:val="center"/>
          </w:tcPr>
          <w:p w:rsidR="00976CA1" w:rsidRPr="00097C28" w:rsidRDefault="00976CA1" w:rsidP="000F4EDF">
            <w:pPr>
              <w:jc w:val="left"/>
              <w:rPr>
                <w:rStyle w:val="CommentReference"/>
              </w:rPr>
            </w:pPr>
            <w:r w:rsidRPr="00097C28">
              <w:rPr>
                <w:rStyle w:val="CommentReference"/>
                <w:b w:val="0"/>
                <w:sz w:val="19"/>
                <w:szCs w:val="19"/>
              </w:rPr>
              <w:t>PL</w:t>
            </w:r>
          </w:p>
          <w:p w:rsidR="004F15E5" w:rsidRPr="00097C28" w:rsidRDefault="004F15E5" w:rsidP="000F4EDF">
            <w:pPr>
              <w:jc w:val="left"/>
              <w:rPr>
                <w:rStyle w:val="CommentReference"/>
              </w:rPr>
            </w:pPr>
          </w:p>
          <w:p w:rsidR="004F15E5" w:rsidRPr="00097C28" w:rsidRDefault="004F15E5" w:rsidP="000F4EDF">
            <w:pPr>
              <w:jc w:val="left"/>
              <w:rPr>
                <w:rStyle w:val="CommentReference"/>
              </w:rPr>
            </w:pPr>
          </w:p>
        </w:tc>
        <w:tc>
          <w:tcPr>
            <w:tcW w:w="703"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lastRenderedPageBreak/>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lastRenderedPageBreak/>
              <w:t>'''''''''''''''</w:t>
            </w:r>
          </w:p>
        </w:tc>
        <w:tc>
          <w:tcPr>
            <w:tcW w:w="1879" w:type="dxa"/>
            <w:gridSpan w:val="3"/>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lastRenderedPageBreak/>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lastRenderedPageBreak/>
              <w:t>''''''''''''''</w:t>
            </w:r>
          </w:p>
        </w:tc>
        <w:tc>
          <w:tcPr>
            <w:tcW w:w="1890" w:type="dxa"/>
            <w:gridSpan w:val="4"/>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lastRenderedPageBreak/>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lastRenderedPageBreak/>
              <w:t>'''''''''''''''</w:t>
            </w:r>
          </w:p>
        </w:tc>
        <w:tc>
          <w:tcPr>
            <w:tcW w:w="2019" w:type="dxa"/>
            <w:gridSpan w:val="3"/>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lastRenderedPageBreak/>
              <w:t>'''''''</w:t>
            </w:r>
          </w:p>
        </w:tc>
        <w:tc>
          <w:tcPr>
            <w:tcW w:w="68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lastRenderedPageBreak/>
              <w:t>'''''''''''''</w:t>
            </w:r>
          </w:p>
        </w:tc>
        <w:tc>
          <w:tcPr>
            <w:tcW w:w="1902" w:type="dxa"/>
            <w:gridSpan w:val="4"/>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lastRenderedPageBreak/>
              <w:t>'''''''</w:t>
            </w:r>
          </w:p>
        </w:tc>
      </w:tr>
      <w:tr w:rsidR="00976CA1" w:rsidRPr="00097C28">
        <w:tc>
          <w:tcPr>
            <w:tcW w:w="998" w:type="dxa"/>
            <w:vMerge w:val="restart"/>
            <w:vAlign w:val="center"/>
          </w:tcPr>
          <w:p w:rsidR="00976CA1" w:rsidRPr="00097C28" w:rsidRDefault="00976CA1" w:rsidP="000F4EDF">
            <w:pPr>
              <w:jc w:val="left"/>
              <w:rPr>
                <w:rStyle w:val="CommentReference"/>
              </w:rPr>
            </w:pPr>
            <w:proofErr w:type="spellStart"/>
            <w:r w:rsidRPr="00097C28">
              <w:rPr>
                <w:rStyle w:val="CommentReference"/>
                <w:b w:val="0"/>
                <w:sz w:val="19"/>
                <w:szCs w:val="19"/>
              </w:rPr>
              <w:lastRenderedPageBreak/>
              <w:t>Meta analysis</w:t>
            </w:r>
            <w:proofErr w:type="spellEnd"/>
            <w:r w:rsidRPr="00097C28">
              <w:rPr>
                <w:rStyle w:val="CommentReference"/>
                <w:b w:val="0"/>
                <w:sz w:val="19"/>
                <w:szCs w:val="19"/>
              </w:rPr>
              <w:t>*</w:t>
            </w:r>
          </w:p>
        </w:tc>
        <w:tc>
          <w:tcPr>
            <w:tcW w:w="2615" w:type="dxa"/>
            <w:vAlign w:val="center"/>
          </w:tcPr>
          <w:p w:rsidR="00976CA1" w:rsidRPr="00097C28" w:rsidRDefault="00976CA1" w:rsidP="000F4EDF">
            <w:pPr>
              <w:jc w:val="left"/>
              <w:rPr>
                <w:rStyle w:val="CommentReference"/>
              </w:rPr>
            </w:pPr>
            <w:r w:rsidRPr="00097C28">
              <w:rPr>
                <w:rStyle w:val="CommentReference"/>
                <w:b w:val="0"/>
                <w:sz w:val="19"/>
                <w:szCs w:val="19"/>
              </w:rPr>
              <w:t>RBZ vs laser (RESTORE, REVEAL)</w:t>
            </w:r>
          </w:p>
        </w:tc>
        <w:tc>
          <w:tcPr>
            <w:tcW w:w="703" w:type="dxa"/>
            <w:vMerge w:val="restart"/>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60"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919" w:type="dxa"/>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80" w:type="dxa"/>
            <w:vMerge w:val="restart"/>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75" w:type="dxa"/>
            <w:gridSpan w:val="3"/>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915" w:type="dxa"/>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80" w:type="dxa"/>
            <w:vMerge w:val="restart"/>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1079"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91" w:type="dxa"/>
            <w:gridSpan w:val="2"/>
            <w:vMerge w:val="restart"/>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90"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912"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r>
      <w:tr w:rsidR="00976CA1" w:rsidRPr="00097C28">
        <w:tc>
          <w:tcPr>
            <w:tcW w:w="998" w:type="dxa"/>
            <w:vMerge/>
            <w:vAlign w:val="center"/>
          </w:tcPr>
          <w:p w:rsidR="00976CA1" w:rsidRPr="00097C28" w:rsidRDefault="00976CA1" w:rsidP="000F4EDF">
            <w:pPr>
              <w:jc w:val="left"/>
              <w:rPr>
                <w:rStyle w:val="CommentReference"/>
              </w:rPr>
            </w:pPr>
          </w:p>
        </w:tc>
        <w:tc>
          <w:tcPr>
            <w:tcW w:w="2615" w:type="dxa"/>
            <w:vAlign w:val="center"/>
          </w:tcPr>
          <w:p w:rsidR="00976CA1" w:rsidRPr="00097C28" w:rsidRDefault="00976CA1" w:rsidP="000F4EDF">
            <w:pPr>
              <w:jc w:val="left"/>
              <w:rPr>
                <w:rStyle w:val="CommentReference"/>
              </w:rPr>
            </w:pPr>
            <w:r w:rsidRPr="00097C28">
              <w:rPr>
                <w:rStyle w:val="CommentReference"/>
                <w:b w:val="0"/>
                <w:sz w:val="19"/>
                <w:szCs w:val="19"/>
              </w:rPr>
              <w:t>RBZ vs laser (RESTORE, REVEAL, DRCR.net)</w:t>
            </w:r>
          </w:p>
        </w:tc>
        <w:tc>
          <w:tcPr>
            <w:tcW w:w="703" w:type="dxa"/>
            <w:vMerge/>
            <w:vAlign w:val="center"/>
          </w:tcPr>
          <w:p w:rsidR="00976CA1" w:rsidRPr="00097C28" w:rsidRDefault="00976CA1" w:rsidP="000F4EDF">
            <w:pPr>
              <w:jc w:val="center"/>
              <w:rPr>
                <w:rStyle w:val="CommentReference"/>
              </w:rPr>
            </w:pPr>
          </w:p>
        </w:tc>
        <w:tc>
          <w:tcPr>
            <w:tcW w:w="960"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919" w:type="dxa"/>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80" w:type="dxa"/>
            <w:vMerge/>
            <w:vAlign w:val="center"/>
          </w:tcPr>
          <w:p w:rsidR="00976CA1" w:rsidRPr="00097C28" w:rsidRDefault="00976CA1" w:rsidP="000F4EDF">
            <w:pPr>
              <w:jc w:val="center"/>
              <w:rPr>
                <w:rStyle w:val="CommentReference"/>
              </w:rPr>
            </w:pPr>
          </w:p>
        </w:tc>
        <w:tc>
          <w:tcPr>
            <w:tcW w:w="975" w:type="dxa"/>
            <w:gridSpan w:val="3"/>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915" w:type="dxa"/>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80" w:type="dxa"/>
            <w:vMerge/>
            <w:vAlign w:val="center"/>
          </w:tcPr>
          <w:p w:rsidR="00976CA1" w:rsidRPr="00097C28" w:rsidRDefault="00976CA1" w:rsidP="000F4EDF">
            <w:pPr>
              <w:jc w:val="center"/>
              <w:rPr>
                <w:rStyle w:val="CommentReference"/>
              </w:rPr>
            </w:pPr>
          </w:p>
        </w:tc>
        <w:tc>
          <w:tcPr>
            <w:tcW w:w="940" w:type="dxa"/>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1079"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91" w:type="dxa"/>
            <w:gridSpan w:val="2"/>
            <w:vMerge/>
            <w:vAlign w:val="center"/>
          </w:tcPr>
          <w:p w:rsidR="00976CA1" w:rsidRPr="00097C28" w:rsidRDefault="00976CA1" w:rsidP="000F4EDF">
            <w:pPr>
              <w:jc w:val="center"/>
              <w:rPr>
                <w:rStyle w:val="CommentReference"/>
              </w:rPr>
            </w:pPr>
          </w:p>
        </w:tc>
        <w:tc>
          <w:tcPr>
            <w:tcW w:w="990"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912"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r>
      <w:tr w:rsidR="00976CA1" w:rsidRPr="00097C28">
        <w:trPr>
          <w:trHeight w:val="70"/>
        </w:trPr>
        <w:tc>
          <w:tcPr>
            <w:tcW w:w="998" w:type="dxa"/>
            <w:vMerge/>
            <w:vAlign w:val="center"/>
          </w:tcPr>
          <w:p w:rsidR="00976CA1" w:rsidRPr="00097C28" w:rsidRDefault="00976CA1" w:rsidP="000F4EDF">
            <w:pPr>
              <w:jc w:val="left"/>
              <w:rPr>
                <w:rStyle w:val="CommentReference"/>
              </w:rPr>
            </w:pPr>
          </w:p>
        </w:tc>
        <w:tc>
          <w:tcPr>
            <w:tcW w:w="2615" w:type="dxa"/>
            <w:vAlign w:val="center"/>
          </w:tcPr>
          <w:p w:rsidR="00976CA1" w:rsidRPr="00097C28" w:rsidRDefault="00976CA1" w:rsidP="000F4EDF">
            <w:pPr>
              <w:jc w:val="left"/>
              <w:rPr>
                <w:rStyle w:val="CommentReference"/>
              </w:rPr>
            </w:pPr>
            <w:r w:rsidRPr="00097C28">
              <w:rPr>
                <w:rStyle w:val="CommentReference"/>
                <w:b w:val="0"/>
                <w:sz w:val="19"/>
                <w:szCs w:val="19"/>
              </w:rPr>
              <w:t>RBZ + laser vs laser (RESTORE, REVEAL, DRCR.net)</w:t>
            </w:r>
          </w:p>
        </w:tc>
        <w:tc>
          <w:tcPr>
            <w:tcW w:w="703" w:type="dxa"/>
            <w:vMerge/>
            <w:vAlign w:val="center"/>
          </w:tcPr>
          <w:p w:rsidR="00976CA1" w:rsidRPr="00097C28" w:rsidRDefault="00976CA1" w:rsidP="000F4EDF">
            <w:pPr>
              <w:jc w:val="center"/>
              <w:rPr>
                <w:rStyle w:val="CommentReference"/>
              </w:rPr>
            </w:pPr>
          </w:p>
        </w:tc>
        <w:tc>
          <w:tcPr>
            <w:tcW w:w="960"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919" w:type="dxa"/>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80" w:type="dxa"/>
            <w:vMerge/>
            <w:vAlign w:val="center"/>
          </w:tcPr>
          <w:p w:rsidR="00976CA1" w:rsidRPr="00097C28" w:rsidRDefault="00976CA1" w:rsidP="000F4EDF">
            <w:pPr>
              <w:jc w:val="center"/>
              <w:rPr>
                <w:rStyle w:val="CommentReference"/>
              </w:rPr>
            </w:pPr>
          </w:p>
        </w:tc>
        <w:tc>
          <w:tcPr>
            <w:tcW w:w="975" w:type="dxa"/>
            <w:gridSpan w:val="3"/>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915" w:type="dxa"/>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80" w:type="dxa"/>
            <w:vMerge/>
            <w:vAlign w:val="center"/>
          </w:tcPr>
          <w:p w:rsidR="00976CA1" w:rsidRPr="00097C28" w:rsidRDefault="00976CA1" w:rsidP="000F4EDF">
            <w:pPr>
              <w:jc w:val="center"/>
              <w:rPr>
                <w:rStyle w:val="CommentReference"/>
              </w:rPr>
            </w:pPr>
          </w:p>
        </w:tc>
        <w:tc>
          <w:tcPr>
            <w:tcW w:w="940" w:type="dxa"/>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1079"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91" w:type="dxa"/>
            <w:gridSpan w:val="2"/>
            <w:vMerge/>
            <w:vAlign w:val="center"/>
          </w:tcPr>
          <w:p w:rsidR="00976CA1" w:rsidRPr="00097C28" w:rsidRDefault="00976CA1" w:rsidP="000F4EDF">
            <w:pPr>
              <w:jc w:val="center"/>
              <w:rPr>
                <w:rStyle w:val="CommentReference"/>
              </w:rPr>
            </w:pPr>
          </w:p>
        </w:tc>
        <w:tc>
          <w:tcPr>
            <w:tcW w:w="990"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912"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r>
      <w:tr w:rsidR="00976CA1" w:rsidRPr="00097C28">
        <w:tc>
          <w:tcPr>
            <w:tcW w:w="998" w:type="dxa"/>
            <w:vMerge w:val="restart"/>
            <w:tcBorders>
              <w:top w:val="double" w:sz="4" w:space="0" w:color="auto"/>
            </w:tcBorders>
            <w:vAlign w:val="center"/>
          </w:tcPr>
          <w:p w:rsidR="00976CA1" w:rsidRPr="00097C28" w:rsidRDefault="00976CA1" w:rsidP="000F4EDF">
            <w:pPr>
              <w:jc w:val="left"/>
              <w:rPr>
                <w:rStyle w:val="CommentReference"/>
              </w:rPr>
            </w:pPr>
            <w:r w:rsidRPr="00097C28">
              <w:rPr>
                <w:rStyle w:val="CommentReference"/>
                <w:b w:val="0"/>
                <w:sz w:val="19"/>
                <w:szCs w:val="19"/>
              </w:rPr>
              <w:t>Indirect comparison*</w:t>
            </w:r>
          </w:p>
        </w:tc>
        <w:tc>
          <w:tcPr>
            <w:tcW w:w="2615" w:type="dxa"/>
            <w:tcBorders>
              <w:top w:val="double" w:sz="4" w:space="0" w:color="auto"/>
            </w:tcBorders>
            <w:vAlign w:val="center"/>
          </w:tcPr>
          <w:p w:rsidR="00976CA1" w:rsidRPr="00097C28" w:rsidRDefault="00976CA1" w:rsidP="000F4EDF">
            <w:pPr>
              <w:jc w:val="left"/>
              <w:rPr>
                <w:rStyle w:val="CommentReference"/>
              </w:rPr>
            </w:pPr>
            <w:r w:rsidRPr="00097C28">
              <w:rPr>
                <w:rStyle w:val="CommentReference"/>
                <w:b w:val="0"/>
                <w:sz w:val="19"/>
                <w:szCs w:val="19"/>
              </w:rPr>
              <w:t>AFB 2Q8 (VIVID, VISTA) vs RBZ (RESTORE, REVEAL)</w:t>
            </w:r>
          </w:p>
        </w:tc>
        <w:tc>
          <w:tcPr>
            <w:tcW w:w="703" w:type="dxa"/>
            <w:vMerge w:val="restart"/>
            <w:tcBorders>
              <w:top w:val="double" w:sz="4" w:space="0" w:color="auto"/>
            </w:tcBorders>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60" w:type="dxa"/>
            <w:gridSpan w:val="2"/>
            <w:tcBorders>
              <w:top w:val="double" w:sz="4" w:space="0" w:color="auto"/>
            </w:tcBorders>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19" w:type="dxa"/>
            <w:tcBorders>
              <w:top w:val="double" w:sz="4" w:space="0" w:color="auto"/>
            </w:tcBorders>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Merge w:val="restart"/>
            <w:tcBorders>
              <w:top w:val="double" w:sz="4" w:space="0" w:color="auto"/>
            </w:tcBorders>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75" w:type="dxa"/>
            <w:gridSpan w:val="3"/>
            <w:tcBorders>
              <w:top w:val="double" w:sz="4" w:space="0" w:color="auto"/>
            </w:tcBorders>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15" w:type="dxa"/>
            <w:tcBorders>
              <w:top w:val="double" w:sz="4" w:space="0" w:color="auto"/>
            </w:tcBorders>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80" w:type="dxa"/>
            <w:vMerge w:val="restart"/>
            <w:tcBorders>
              <w:top w:val="double" w:sz="4" w:space="0" w:color="auto"/>
            </w:tcBorders>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40" w:type="dxa"/>
            <w:tcBorders>
              <w:top w:val="double" w:sz="4" w:space="0" w:color="auto"/>
            </w:tcBorders>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1079" w:type="dxa"/>
            <w:gridSpan w:val="2"/>
            <w:tcBorders>
              <w:top w:val="double" w:sz="4" w:space="0" w:color="auto"/>
            </w:tcBorders>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91" w:type="dxa"/>
            <w:gridSpan w:val="2"/>
            <w:vMerge w:val="restart"/>
            <w:tcBorders>
              <w:top w:val="double" w:sz="4" w:space="0" w:color="auto"/>
            </w:tcBorders>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tc>
        <w:tc>
          <w:tcPr>
            <w:tcW w:w="990" w:type="dxa"/>
            <w:gridSpan w:val="2"/>
            <w:tcBorders>
              <w:top w:val="double" w:sz="4" w:space="0" w:color="auto"/>
            </w:tcBorders>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12" w:type="dxa"/>
            <w:gridSpan w:val="2"/>
            <w:tcBorders>
              <w:top w:val="double" w:sz="4" w:space="0" w:color="auto"/>
            </w:tcBorders>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r>
      <w:tr w:rsidR="00976CA1" w:rsidRPr="00097C28">
        <w:tc>
          <w:tcPr>
            <w:tcW w:w="998" w:type="dxa"/>
            <w:vMerge/>
            <w:vAlign w:val="center"/>
          </w:tcPr>
          <w:p w:rsidR="00976CA1" w:rsidRPr="00097C28" w:rsidRDefault="00976CA1" w:rsidP="000F4EDF">
            <w:pPr>
              <w:jc w:val="left"/>
              <w:rPr>
                <w:rStyle w:val="CommentReference"/>
              </w:rPr>
            </w:pPr>
          </w:p>
        </w:tc>
        <w:tc>
          <w:tcPr>
            <w:tcW w:w="2615" w:type="dxa"/>
            <w:vAlign w:val="center"/>
          </w:tcPr>
          <w:p w:rsidR="00976CA1" w:rsidRPr="00097C28" w:rsidRDefault="00976CA1" w:rsidP="000F4EDF">
            <w:pPr>
              <w:jc w:val="left"/>
              <w:rPr>
                <w:rStyle w:val="CommentReference"/>
              </w:rPr>
            </w:pPr>
            <w:r w:rsidRPr="00097C28">
              <w:rPr>
                <w:rStyle w:val="CommentReference"/>
                <w:b w:val="0"/>
                <w:sz w:val="19"/>
                <w:szCs w:val="19"/>
              </w:rPr>
              <w:t>AFB 2Q8 (VIVID, VISTA) vs RBZ (RESTORE, REVEAL, DRCR.net)</w:t>
            </w:r>
          </w:p>
        </w:tc>
        <w:tc>
          <w:tcPr>
            <w:tcW w:w="703" w:type="dxa"/>
            <w:vMerge/>
            <w:vAlign w:val="center"/>
          </w:tcPr>
          <w:p w:rsidR="00976CA1" w:rsidRPr="00097C28" w:rsidRDefault="00976CA1" w:rsidP="000F4EDF">
            <w:pPr>
              <w:jc w:val="center"/>
              <w:rPr>
                <w:rStyle w:val="CommentReference"/>
              </w:rPr>
            </w:pPr>
          </w:p>
        </w:tc>
        <w:tc>
          <w:tcPr>
            <w:tcW w:w="96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19"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Merge/>
            <w:vAlign w:val="center"/>
          </w:tcPr>
          <w:p w:rsidR="00976CA1" w:rsidRPr="00097C28" w:rsidRDefault="00976CA1" w:rsidP="000F4EDF">
            <w:pPr>
              <w:jc w:val="center"/>
              <w:rPr>
                <w:rStyle w:val="CommentReference"/>
              </w:rPr>
            </w:pPr>
          </w:p>
        </w:tc>
        <w:tc>
          <w:tcPr>
            <w:tcW w:w="975" w:type="dxa"/>
            <w:gridSpan w:val="3"/>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915" w:type="dxa"/>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80" w:type="dxa"/>
            <w:vMerge/>
            <w:vAlign w:val="center"/>
          </w:tcPr>
          <w:p w:rsidR="00976CA1" w:rsidRPr="00097C28" w:rsidRDefault="00976CA1" w:rsidP="000F4EDF">
            <w:pPr>
              <w:jc w:val="center"/>
              <w:rPr>
                <w:rStyle w:val="CommentReference"/>
              </w:rPr>
            </w:pPr>
          </w:p>
        </w:tc>
        <w:tc>
          <w:tcPr>
            <w:tcW w:w="940"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1079"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91" w:type="dxa"/>
            <w:gridSpan w:val="2"/>
            <w:vMerge/>
            <w:vAlign w:val="center"/>
          </w:tcPr>
          <w:p w:rsidR="00976CA1" w:rsidRPr="00097C28" w:rsidRDefault="00976CA1" w:rsidP="000F4EDF">
            <w:pPr>
              <w:jc w:val="center"/>
              <w:rPr>
                <w:rStyle w:val="CommentReference"/>
              </w:rPr>
            </w:pPr>
          </w:p>
        </w:tc>
        <w:tc>
          <w:tcPr>
            <w:tcW w:w="99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912"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r>
      <w:tr w:rsidR="00976CA1" w:rsidRPr="00097C28">
        <w:trPr>
          <w:trHeight w:val="70"/>
        </w:trPr>
        <w:tc>
          <w:tcPr>
            <w:tcW w:w="998" w:type="dxa"/>
            <w:vMerge/>
            <w:vAlign w:val="center"/>
          </w:tcPr>
          <w:p w:rsidR="00976CA1" w:rsidRPr="00097C28" w:rsidRDefault="00976CA1" w:rsidP="000F4EDF">
            <w:pPr>
              <w:jc w:val="left"/>
              <w:rPr>
                <w:rStyle w:val="CommentReference"/>
              </w:rPr>
            </w:pPr>
          </w:p>
        </w:tc>
        <w:tc>
          <w:tcPr>
            <w:tcW w:w="2615" w:type="dxa"/>
            <w:vAlign w:val="center"/>
          </w:tcPr>
          <w:p w:rsidR="00976CA1" w:rsidRPr="00097C28" w:rsidRDefault="00976CA1" w:rsidP="000F4EDF">
            <w:pPr>
              <w:jc w:val="left"/>
              <w:rPr>
                <w:rStyle w:val="CommentReference"/>
              </w:rPr>
            </w:pPr>
            <w:r w:rsidRPr="00097C28">
              <w:rPr>
                <w:rStyle w:val="CommentReference"/>
                <w:b w:val="0"/>
                <w:sz w:val="19"/>
                <w:szCs w:val="19"/>
              </w:rPr>
              <w:t>AFB 2Q8 (VIVID, VISTA) vs RBZ+ laser</w:t>
            </w:r>
          </w:p>
        </w:tc>
        <w:tc>
          <w:tcPr>
            <w:tcW w:w="703" w:type="dxa"/>
            <w:vMerge/>
            <w:vAlign w:val="center"/>
          </w:tcPr>
          <w:p w:rsidR="00976CA1" w:rsidRPr="00097C28" w:rsidRDefault="00976CA1" w:rsidP="000F4EDF">
            <w:pPr>
              <w:jc w:val="center"/>
              <w:rPr>
                <w:rStyle w:val="CommentReference"/>
              </w:rPr>
            </w:pPr>
          </w:p>
        </w:tc>
        <w:tc>
          <w:tcPr>
            <w:tcW w:w="960" w:type="dxa"/>
            <w:gridSpan w:val="2"/>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097C28" w:rsidRDefault="00BF0C39" w:rsidP="000F4EDF">
            <w:pPr>
              <w:jc w:val="center"/>
              <w:rPr>
                <w:rStyle w:val="CommentReference"/>
              </w:rPr>
            </w:pPr>
            <w:r>
              <w:rPr>
                <w:rStyle w:val="CommentReference"/>
                <w:b w:val="0"/>
                <w:noProof/>
                <w:color w:val="000000"/>
                <w:sz w:val="19"/>
                <w:szCs w:val="19"/>
                <w:highlight w:val="black"/>
              </w:rPr>
              <w:t>'''''''''''''' '''''''''''''</w:t>
            </w:r>
            <w:r w:rsidR="00976CA1" w:rsidRPr="00097C28">
              <w:rPr>
                <w:rStyle w:val="CommentReference"/>
                <w:b w:val="0"/>
                <w:sz w:val="19"/>
                <w:szCs w:val="19"/>
              </w:rPr>
              <w:t>)</w:t>
            </w:r>
          </w:p>
        </w:tc>
        <w:tc>
          <w:tcPr>
            <w:tcW w:w="919" w:type="dxa"/>
            <w:vAlign w:val="center"/>
          </w:tcPr>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b w:val="0"/>
                <w:noProof/>
                <w:color w:val="000000"/>
                <w:sz w:val="19"/>
                <w:szCs w:val="19"/>
                <w:highlight w:val="black"/>
              </w:rPr>
              <w:t>''''''''''''' '''''''''''''</w:t>
            </w:r>
          </w:p>
        </w:tc>
        <w:tc>
          <w:tcPr>
            <w:tcW w:w="680" w:type="dxa"/>
            <w:vMerge/>
            <w:vAlign w:val="center"/>
          </w:tcPr>
          <w:p w:rsidR="00976CA1" w:rsidRPr="00097C28" w:rsidRDefault="00976CA1" w:rsidP="000F4EDF">
            <w:pPr>
              <w:jc w:val="center"/>
              <w:rPr>
                <w:rStyle w:val="CommentReference"/>
              </w:rPr>
            </w:pPr>
          </w:p>
        </w:tc>
        <w:tc>
          <w:tcPr>
            <w:tcW w:w="975" w:type="dxa"/>
            <w:gridSpan w:val="3"/>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915" w:type="dxa"/>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80" w:type="dxa"/>
            <w:vMerge/>
            <w:vAlign w:val="center"/>
          </w:tcPr>
          <w:p w:rsidR="00976CA1" w:rsidRPr="00097C28" w:rsidRDefault="00976CA1" w:rsidP="000F4EDF">
            <w:pPr>
              <w:jc w:val="center"/>
              <w:rPr>
                <w:rStyle w:val="CommentReference"/>
              </w:rPr>
            </w:pPr>
          </w:p>
        </w:tc>
        <w:tc>
          <w:tcPr>
            <w:tcW w:w="940" w:type="dxa"/>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1079"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691" w:type="dxa"/>
            <w:gridSpan w:val="2"/>
            <w:vMerge/>
            <w:vAlign w:val="center"/>
          </w:tcPr>
          <w:p w:rsidR="00976CA1" w:rsidRPr="00097C28" w:rsidRDefault="00976CA1" w:rsidP="000F4EDF">
            <w:pPr>
              <w:jc w:val="center"/>
              <w:rPr>
                <w:rStyle w:val="CommentReference"/>
              </w:rPr>
            </w:pPr>
          </w:p>
        </w:tc>
        <w:tc>
          <w:tcPr>
            <w:tcW w:w="990"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c>
          <w:tcPr>
            <w:tcW w:w="912" w:type="dxa"/>
            <w:gridSpan w:val="2"/>
            <w:vAlign w:val="center"/>
          </w:tcPr>
          <w:p w:rsidR="00976CA1" w:rsidRPr="00BF0C39" w:rsidRDefault="00BF0C39" w:rsidP="000F4EDF">
            <w:pPr>
              <w:jc w:val="center"/>
              <w:rPr>
                <w:rStyle w:val="CommentReference"/>
                <w:highlight w:val="black"/>
              </w:rPr>
            </w:pPr>
            <w:r>
              <w:rPr>
                <w:rStyle w:val="CommentReference"/>
                <w:noProof/>
                <w:color w:val="000000"/>
                <w:sz w:val="19"/>
                <w:szCs w:val="19"/>
                <w:highlight w:val="black"/>
              </w:rPr>
              <w:t>''''''''</w:t>
            </w:r>
          </w:p>
          <w:p w:rsidR="00976CA1" w:rsidRPr="00BF0C39" w:rsidRDefault="00BF0C39" w:rsidP="000F4EDF">
            <w:pPr>
              <w:jc w:val="center"/>
              <w:rPr>
                <w:rStyle w:val="CommentReference"/>
                <w:highlight w:val="black"/>
              </w:rPr>
            </w:pPr>
            <w:r>
              <w:rPr>
                <w:rStyle w:val="CommentReference"/>
                <w:noProof/>
                <w:color w:val="000000"/>
                <w:sz w:val="19"/>
                <w:szCs w:val="19"/>
                <w:highlight w:val="black"/>
              </w:rPr>
              <w:t>'''''''''''' ''''''''</w:t>
            </w:r>
          </w:p>
        </w:tc>
      </w:tr>
    </w:tbl>
    <w:p w:rsidR="00976CA1" w:rsidRPr="00FB7A1E" w:rsidRDefault="00976CA1" w:rsidP="00976CA1">
      <w:pPr>
        <w:rPr>
          <w:rStyle w:val="CommentReference"/>
          <w:b w:val="0"/>
        </w:rPr>
      </w:pPr>
      <w:r w:rsidRPr="00097C28">
        <w:rPr>
          <w:rStyle w:val="CommentReference"/>
          <w:b w:val="0"/>
          <w:sz w:val="18"/>
        </w:rPr>
        <w:t>*Additional analyses were conducted during the evaluation using Stats Direct Version 2.7.9</w:t>
      </w:r>
      <w:r w:rsidRPr="00097C28">
        <w:rPr>
          <w:rFonts w:ascii="Arial Narrow" w:hAnsi="Arial Narrow"/>
          <w:sz w:val="18"/>
        </w:rPr>
        <w:t>.  RDs for the indirect comparisons were recalculated during the evaluation given that SE used by the submission did not appropriately account for the upper and lower confidence intervals (refer to Section B.5).</w:t>
      </w:r>
      <w:r w:rsidRPr="00097C28">
        <w:rPr>
          <w:rStyle w:val="CommentReference"/>
          <w:b w:val="0"/>
          <w:sz w:val="18"/>
        </w:rPr>
        <w:t xml:space="preserve"> Abbreviations: AFB = aflibercept DL = deferred laser; PL = prompt laser; RBZ = ranibizumab; SI = sham injection; SL = sham laser.  Source: Table B.6.5, pp84-85, Section B of the submission and the relevant publications</w:t>
      </w:r>
    </w:p>
    <w:p w:rsidR="00976CA1" w:rsidRDefault="00976CA1" w:rsidP="00976CA1">
      <w:pPr>
        <w:widowControl/>
        <w:jc w:val="left"/>
        <w:rPr>
          <w:rFonts w:ascii="Arial Narrow" w:hAnsi="Arial Narrow"/>
          <w:b/>
          <w:sz w:val="20"/>
        </w:rPr>
        <w:sectPr w:rsidR="00976CA1">
          <w:headerReference w:type="default" r:id="rId11"/>
          <w:pgSz w:w="16840" w:h="11907" w:orient="landscape" w:code="9"/>
          <w:pgMar w:top="1440" w:right="1440" w:bottom="1440" w:left="1440" w:header="1440" w:footer="1440" w:gutter="0"/>
          <w:cols w:space="708"/>
          <w:docGrid w:linePitch="360"/>
        </w:sectPr>
      </w:pPr>
    </w:p>
    <w:p w:rsidR="006F3B34" w:rsidRPr="00CF4741" w:rsidRDefault="00244206" w:rsidP="003F35FA">
      <w:pPr>
        <w:pStyle w:val="ListParagraph"/>
        <w:widowControl/>
        <w:numPr>
          <w:ilvl w:val="1"/>
          <w:numId w:val="3"/>
        </w:numPr>
        <w:rPr>
          <w:szCs w:val="22"/>
        </w:rPr>
      </w:pPr>
      <w:r w:rsidRPr="00CF4741">
        <w:rPr>
          <w:szCs w:val="22"/>
        </w:rPr>
        <w:lastRenderedPageBreak/>
        <w:t xml:space="preserve">In the indirect comparison, a statistically significant difference (mean difference: 4.81, 95% CI: 2.51, 7.11) in favour of aflibercept 2Q8 was observed from the comparison with ranibizumab monotherapy.  Similar differences were observed with the addition of results from DRCR.net and the comparison with ranibizumab + laser.  </w:t>
      </w:r>
      <w:r w:rsidR="003F35FA" w:rsidRPr="00CF4741">
        <w:rPr>
          <w:szCs w:val="22"/>
        </w:rPr>
        <w:t>The submission claim</w:t>
      </w:r>
      <w:r w:rsidR="00097C28">
        <w:rPr>
          <w:szCs w:val="22"/>
        </w:rPr>
        <w:t>ed</w:t>
      </w:r>
      <w:r w:rsidR="003F35FA" w:rsidRPr="00CF4741">
        <w:rPr>
          <w:szCs w:val="22"/>
        </w:rPr>
        <w:t xml:space="preserve"> that this statistically significant difference supports the claim of superiority of aflibercept in the change in BCVA in ETDRS letter score compared to</w:t>
      </w:r>
      <w:r w:rsidR="00FB7A1E">
        <w:rPr>
          <w:szCs w:val="22"/>
        </w:rPr>
        <w:t xml:space="preserve"> ranibizumab (p82, Section B).</w:t>
      </w:r>
    </w:p>
    <w:p w:rsidR="006F3B34" w:rsidRPr="00FB7A1E" w:rsidRDefault="006F3B34" w:rsidP="006F3B34">
      <w:pPr>
        <w:widowControl/>
        <w:rPr>
          <w:szCs w:val="22"/>
        </w:rPr>
      </w:pPr>
    </w:p>
    <w:p w:rsidR="006F3B34" w:rsidRPr="00CF4741" w:rsidRDefault="006F3B34" w:rsidP="006F3B34">
      <w:pPr>
        <w:pStyle w:val="ListParagraph"/>
        <w:widowControl/>
        <w:numPr>
          <w:ilvl w:val="1"/>
          <w:numId w:val="3"/>
        </w:numPr>
      </w:pPr>
      <w:r w:rsidRPr="00CF4741">
        <w:t xml:space="preserve">The ESC questioned whether the trials used as the basis of the indirect comparison are sufficiently comparable to use for determining comparative effectiveness. </w:t>
      </w:r>
      <w:r w:rsidR="00FB7A1E">
        <w:t xml:space="preserve"> </w:t>
      </w:r>
      <w:r w:rsidRPr="00CF4741">
        <w:t xml:space="preserve">There are differences in the trial populations in terms of weight, duration of diabetes, race, prior exposure to treatment with anti-VEGF products, and baseline visual acuity. </w:t>
      </w:r>
      <w:r w:rsidR="00FB7A1E">
        <w:t xml:space="preserve"> </w:t>
      </w:r>
      <w:r w:rsidRPr="00CF4741">
        <w:t>The method for determining change in BCVA was not the same.  The dosing regimen for aflibercept is also different across the two trials and the TGA has yet to finalise the recommended dose.</w:t>
      </w:r>
    </w:p>
    <w:p w:rsidR="006F3B34" w:rsidRPr="00FB7A1E" w:rsidRDefault="006F3B34" w:rsidP="006F3B34">
      <w:pPr>
        <w:pStyle w:val="PBACHeading1"/>
        <w:numPr>
          <w:ilvl w:val="0"/>
          <w:numId w:val="0"/>
        </w:numPr>
        <w:rPr>
          <w:b w:val="0"/>
        </w:rPr>
      </w:pPr>
    </w:p>
    <w:p w:rsidR="00636A1A" w:rsidRPr="00CF4741" w:rsidRDefault="00636A1A" w:rsidP="003F35FA">
      <w:pPr>
        <w:pStyle w:val="ListParagraph"/>
        <w:widowControl/>
        <w:numPr>
          <w:ilvl w:val="1"/>
          <w:numId w:val="3"/>
        </w:numPr>
        <w:rPr>
          <w:szCs w:val="22"/>
        </w:rPr>
      </w:pPr>
      <w:r w:rsidRPr="00CF4741">
        <w:rPr>
          <w:szCs w:val="22"/>
        </w:rPr>
        <w:t>The ESC noted the following points</w:t>
      </w:r>
      <w:r w:rsidR="00EA3541" w:rsidRPr="00CF4741">
        <w:t>:</w:t>
      </w:r>
    </w:p>
    <w:p w:rsidR="00636A1A" w:rsidRPr="00F51ABC" w:rsidRDefault="00636A1A" w:rsidP="00F51ABC">
      <w:pPr>
        <w:pStyle w:val="ListParagraph"/>
        <w:numPr>
          <w:ilvl w:val="0"/>
          <w:numId w:val="2"/>
        </w:numPr>
        <w:autoSpaceDE w:val="0"/>
        <w:autoSpaceDN w:val="0"/>
        <w:adjustRightInd w:val="0"/>
        <w:ind w:left="993" w:hanging="284"/>
      </w:pPr>
      <w:r w:rsidRPr="00F51ABC">
        <w:rPr>
          <w:lang w:val="en-US"/>
        </w:rPr>
        <w:t>Although</w:t>
      </w:r>
      <w:r w:rsidRPr="00F51ABC">
        <w:t xml:space="preserve"> the indirect comparison of aflibercept 2Q8 and ranibizumab monotherapy for mean difference in BCVA from baseline to 12 months in ETDRS letter score resulted in a statistically significant letter gain of 4.81 in favour of aflibercept, the PBAC has </w:t>
      </w:r>
      <w:r w:rsidR="00F51ABC" w:rsidRPr="00F51ABC">
        <w:t>previously considered that a 10-</w:t>
      </w:r>
      <w:r w:rsidRPr="00F51ABC">
        <w:t>letter gain is required to achieve a clinically significant improvement in vision related quality of life (ranibizumab DME PSD, November 2013).  The gain in letters by aflibercept compared to ranibizumab is less than half of that previously accepted to be clinically significant.</w:t>
      </w:r>
    </w:p>
    <w:p w:rsidR="00636A1A" w:rsidRPr="00F51ABC" w:rsidRDefault="00636A1A" w:rsidP="00F51ABC">
      <w:pPr>
        <w:pStyle w:val="ListParagraph"/>
        <w:numPr>
          <w:ilvl w:val="0"/>
          <w:numId w:val="2"/>
        </w:numPr>
        <w:autoSpaceDE w:val="0"/>
        <w:autoSpaceDN w:val="0"/>
        <w:adjustRightInd w:val="0"/>
        <w:ind w:left="993" w:hanging="284"/>
      </w:pPr>
      <w:r w:rsidRPr="00F51ABC">
        <w:rPr>
          <w:lang w:val="en-US"/>
        </w:rPr>
        <w:t>Although</w:t>
      </w:r>
      <w:r w:rsidRPr="00F51ABC">
        <w:t xml:space="preserve"> point estimates from the indirect comparisons of secondary outcomes </w:t>
      </w:r>
      <w:r w:rsidR="006F3B34" w:rsidRPr="00F51ABC">
        <w:t xml:space="preserve">(i.e. such as patients who gained/lost at least 10 and 15 ETDRS letters in BCVA) </w:t>
      </w:r>
      <w:r w:rsidRPr="00F51ABC">
        <w:t xml:space="preserve">suggest an advantage for aflibercept when compared to ranibizumab, </w:t>
      </w:r>
      <w:r w:rsidR="006F3B34" w:rsidRPr="00F51ABC">
        <w:t xml:space="preserve">consistent </w:t>
      </w:r>
      <w:r w:rsidRPr="00F51ABC">
        <w:t xml:space="preserve">statistically significant differences </w:t>
      </w:r>
      <w:r w:rsidR="006F3B34" w:rsidRPr="00F51ABC">
        <w:t xml:space="preserve">in favour of aflibercept </w:t>
      </w:r>
      <w:r w:rsidRPr="00F51ABC">
        <w:t>were not</w:t>
      </w:r>
      <w:r w:rsidR="00F51ABC" w:rsidRPr="00F51ABC">
        <w:t xml:space="preserve"> observed across the analyses.</w:t>
      </w:r>
    </w:p>
    <w:p w:rsidR="0013145C" w:rsidRPr="000F63B9" w:rsidRDefault="0013145C" w:rsidP="000F63B9">
      <w:pPr>
        <w:rPr>
          <w:szCs w:val="22"/>
        </w:rPr>
      </w:pPr>
    </w:p>
    <w:p w:rsidR="00B60939" w:rsidRPr="00BF0C39" w:rsidRDefault="00B60939" w:rsidP="00BF0C39">
      <w:pPr>
        <w:rPr>
          <w:b/>
        </w:rPr>
      </w:pPr>
      <w:bookmarkStart w:id="9" w:name="_Toc398652601"/>
      <w:r w:rsidRPr="00BF0C39">
        <w:rPr>
          <w:b/>
        </w:rPr>
        <w:t>Comparative harms</w:t>
      </w:r>
      <w:bookmarkEnd w:id="9"/>
    </w:p>
    <w:p w:rsidR="00B60939" w:rsidRPr="00882085" w:rsidRDefault="00B60939" w:rsidP="00B60939">
      <w:pPr>
        <w:ind w:left="720" w:hanging="720"/>
        <w:rPr>
          <w:szCs w:val="22"/>
        </w:rPr>
      </w:pPr>
    </w:p>
    <w:p w:rsidR="009B30AE" w:rsidRDefault="00B75AB1" w:rsidP="00B75AB1">
      <w:pPr>
        <w:pStyle w:val="ListParagraph"/>
        <w:widowControl/>
        <w:numPr>
          <w:ilvl w:val="1"/>
          <w:numId w:val="3"/>
        </w:numPr>
        <w:rPr>
          <w:szCs w:val="22"/>
        </w:rPr>
      </w:pPr>
      <w:r w:rsidRPr="00B75AB1">
        <w:rPr>
          <w:szCs w:val="22"/>
        </w:rPr>
        <w:t>Overall, there were low incidences of serious ocular adverse events</w:t>
      </w:r>
      <w:r w:rsidR="00DE1125">
        <w:rPr>
          <w:szCs w:val="22"/>
        </w:rPr>
        <w:t xml:space="preserve"> (AE)</w:t>
      </w:r>
      <w:r w:rsidRPr="00B75AB1">
        <w:rPr>
          <w:szCs w:val="22"/>
        </w:rPr>
        <w:t xml:space="preserve"> in the randomised trials.  One death </w:t>
      </w:r>
      <w:r w:rsidR="00DE1125">
        <w:rPr>
          <w:szCs w:val="22"/>
        </w:rPr>
        <w:t>in</w:t>
      </w:r>
      <w:r w:rsidR="00DE1125" w:rsidRPr="00B75AB1">
        <w:rPr>
          <w:szCs w:val="22"/>
        </w:rPr>
        <w:t xml:space="preserve"> </w:t>
      </w:r>
      <w:r w:rsidRPr="00B75AB1">
        <w:rPr>
          <w:szCs w:val="22"/>
        </w:rPr>
        <w:t>the VIVID trial due to hypertensive heart disease was considered to be related to aflibercept.  No deaths from the ranibizumab trials (RESTORE, REVEAL) were conside</w:t>
      </w:r>
      <w:r w:rsidR="00A87861">
        <w:rPr>
          <w:szCs w:val="22"/>
        </w:rPr>
        <w:t>red related to the study drug.</w:t>
      </w:r>
    </w:p>
    <w:p w:rsidR="009B30AE" w:rsidRPr="00A87861" w:rsidRDefault="009B30AE" w:rsidP="009B30AE">
      <w:pPr>
        <w:widowControl/>
        <w:rPr>
          <w:szCs w:val="22"/>
        </w:rPr>
      </w:pPr>
    </w:p>
    <w:p w:rsidR="00B75AB1" w:rsidRPr="009B30AE" w:rsidRDefault="009B30AE" w:rsidP="004675AB">
      <w:pPr>
        <w:pStyle w:val="ListParagraph"/>
        <w:widowControl/>
        <w:numPr>
          <w:ilvl w:val="1"/>
          <w:numId w:val="3"/>
        </w:numPr>
        <w:rPr>
          <w:szCs w:val="22"/>
        </w:rPr>
      </w:pPr>
      <w:r w:rsidRPr="009B30AE">
        <w:rPr>
          <w:szCs w:val="22"/>
        </w:rPr>
        <w:t>The non-ocular treatment emergent adverse events of anaemia (VIVID: 2.2% vs 0.8%; VISTA: 6.6% vs 3.9%) and neoplasms (benign, malignant and unspecified: VIVID: 4.4% vs 2.3%; VISTA: 5.3% vs 2.6%) appeared to be more common in aflibercept treated patients compared to laser</w:t>
      </w:r>
      <w:r w:rsidR="00F64FAC">
        <w:rPr>
          <w:szCs w:val="22"/>
        </w:rPr>
        <w:t xml:space="preserve">, </w:t>
      </w:r>
      <w:r w:rsidR="00F64FAC" w:rsidRPr="00E76B5C">
        <w:t>although no statistically significant differences were observed</w:t>
      </w:r>
      <w:r w:rsidRPr="00E76B5C">
        <w:rPr>
          <w:szCs w:val="22"/>
        </w:rPr>
        <w:t xml:space="preserve">. </w:t>
      </w:r>
      <w:r w:rsidRPr="009B30AE">
        <w:rPr>
          <w:szCs w:val="22"/>
        </w:rPr>
        <w:t xml:space="preserve"> </w:t>
      </w:r>
      <w:r w:rsidR="00B75AB1" w:rsidRPr="009B30AE">
        <w:rPr>
          <w:szCs w:val="22"/>
        </w:rPr>
        <w:t xml:space="preserve">As for cardiovascular events, there were no significant trends observed in non-fatal myocardial infarction, non-fatal stroke or vascular death as per the Antiplatelet </w:t>
      </w:r>
      <w:proofErr w:type="spellStart"/>
      <w:r w:rsidR="00B75AB1" w:rsidRPr="009B30AE">
        <w:rPr>
          <w:szCs w:val="22"/>
        </w:rPr>
        <w:t>Trialists</w:t>
      </w:r>
      <w:proofErr w:type="spellEnd"/>
      <w:r w:rsidR="00B75AB1" w:rsidRPr="009B30AE">
        <w:rPr>
          <w:szCs w:val="22"/>
        </w:rPr>
        <w:t>’ Collaboration (APTC) Cr</w:t>
      </w:r>
      <w:r w:rsidR="00221AE4">
        <w:rPr>
          <w:szCs w:val="22"/>
        </w:rPr>
        <w:t>iteria (refer to table below).</w:t>
      </w:r>
    </w:p>
    <w:p w:rsidR="00B75AB1" w:rsidRDefault="00B75AB1" w:rsidP="00B75AB1">
      <w:pPr>
        <w:widowControl/>
        <w:rPr>
          <w:szCs w:val="22"/>
        </w:rPr>
      </w:pPr>
    </w:p>
    <w:p w:rsidR="00B75AB1" w:rsidRPr="00875FE9" w:rsidRDefault="00B75AB1" w:rsidP="00B75AB1">
      <w:pPr>
        <w:widowControl/>
        <w:ind w:firstLine="720"/>
        <w:jc w:val="left"/>
        <w:rPr>
          <w:rFonts w:ascii="Arial Narrow" w:hAnsi="Arial Narrow"/>
          <w:b/>
          <w:sz w:val="20"/>
        </w:rPr>
      </w:pPr>
      <w:r w:rsidRPr="00875FE9">
        <w:rPr>
          <w:rFonts w:ascii="Arial Narrow" w:hAnsi="Arial Narrow"/>
          <w:b/>
          <w:sz w:val="20"/>
        </w:rPr>
        <w:t xml:space="preserve">Cardiovascular events according to the Antiplatelet </w:t>
      </w:r>
      <w:proofErr w:type="spellStart"/>
      <w:r w:rsidRPr="00875FE9">
        <w:rPr>
          <w:rFonts w:ascii="Arial Narrow" w:hAnsi="Arial Narrow"/>
          <w:b/>
          <w:sz w:val="20"/>
        </w:rPr>
        <w:t>Trialists</w:t>
      </w:r>
      <w:proofErr w:type="spellEnd"/>
      <w:r w:rsidRPr="00875FE9">
        <w:rPr>
          <w:rFonts w:ascii="Arial Narrow" w:hAnsi="Arial Narrow"/>
          <w:b/>
          <w:sz w:val="20"/>
        </w:rPr>
        <w:t>’ Collaboration (APTC)</w:t>
      </w:r>
    </w:p>
    <w:tbl>
      <w:tblPr>
        <w:tblStyle w:val="TableGrid"/>
        <w:tblW w:w="4580" w:type="pct"/>
        <w:tblInd w:w="780" w:type="dxa"/>
        <w:tblCellMar>
          <w:left w:w="28" w:type="dxa"/>
          <w:right w:w="28" w:type="dxa"/>
        </w:tblCellMar>
        <w:tblLook w:val="04A0" w:firstRow="1" w:lastRow="0" w:firstColumn="1" w:lastColumn="0" w:noHBand="0" w:noVBand="1"/>
      </w:tblPr>
      <w:tblGrid>
        <w:gridCol w:w="1375"/>
        <w:gridCol w:w="1156"/>
        <w:gridCol w:w="1158"/>
        <w:gridCol w:w="1112"/>
        <w:gridCol w:w="1113"/>
        <w:gridCol w:w="1203"/>
        <w:gridCol w:w="1203"/>
      </w:tblGrid>
      <w:tr w:rsidR="00B75AB1" w:rsidRPr="00875FE9">
        <w:tc>
          <w:tcPr>
            <w:tcW w:w="826" w:type="pct"/>
            <w:vMerge w:val="restart"/>
            <w:vAlign w:val="center"/>
          </w:tcPr>
          <w:p w:rsidR="00B75AB1" w:rsidRPr="00875FE9" w:rsidRDefault="00B75AB1" w:rsidP="004675AB">
            <w:pPr>
              <w:jc w:val="left"/>
              <w:rPr>
                <w:rStyle w:val="CommentReference"/>
              </w:rPr>
            </w:pPr>
          </w:p>
        </w:tc>
        <w:tc>
          <w:tcPr>
            <w:tcW w:w="1391" w:type="pct"/>
            <w:gridSpan w:val="2"/>
            <w:vAlign w:val="center"/>
          </w:tcPr>
          <w:p w:rsidR="00B75AB1" w:rsidRPr="00875FE9" w:rsidRDefault="00B75AB1" w:rsidP="004675AB">
            <w:pPr>
              <w:jc w:val="center"/>
              <w:rPr>
                <w:rStyle w:val="CommentReference"/>
              </w:rPr>
            </w:pPr>
            <w:r w:rsidRPr="00875FE9">
              <w:rPr>
                <w:rStyle w:val="CommentReference"/>
                <w:sz w:val="19"/>
                <w:szCs w:val="19"/>
              </w:rPr>
              <w:t>VIVID</w:t>
            </w:r>
          </w:p>
        </w:tc>
        <w:tc>
          <w:tcPr>
            <w:tcW w:w="1337" w:type="pct"/>
            <w:gridSpan w:val="2"/>
            <w:vAlign w:val="center"/>
          </w:tcPr>
          <w:p w:rsidR="00B75AB1" w:rsidRPr="00875FE9" w:rsidRDefault="00B75AB1" w:rsidP="004675AB">
            <w:pPr>
              <w:jc w:val="center"/>
              <w:rPr>
                <w:rStyle w:val="CommentReference"/>
              </w:rPr>
            </w:pPr>
            <w:r w:rsidRPr="00875FE9">
              <w:rPr>
                <w:rStyle w:val="CommentReference"/>
                <w:sz w:val="19"/>
                <w:szCs w:val="19"/>
              </w:rPr>
              <w:t>VISTA</w:t>
            </w:r>
          </w:p>
        </w:tc>
        <w:tc>
          <w:tcPr>
            <w:tcW w:w="1447" w:type="pct"/>
            <w:gridSpan w:val="2"/>
          </w:tcPr>
          <w:p w:rsidR="00B75AB1" w:rsidRPr="004B3714" w:rsidRDefault="00B75AB1" w:rsidP="004675AB">
            <w:pPr>
              <w:jc w:val="center"/>
              <w:rPr>
                <w:rStyle w:val="CommentReference"/>
              </w:rPr>
            </w:pPr>
            <w:r w:rsidRPr="004B3714">
              <w:rPr>
                <w:rStyle w:val="CommentReference"/>
                <w:i/>
                <w:sz w:val="19"/>
                <w:szCs w:val="19"/>
              </w:rPr>
              <w:t>DRCR.net</w:t>
            </w:r>
          </w:p>
        </w:tc>
      </w:tr>
      <w:tr w:rsidR="00B75AB1" w:rsidRPr="00875FE9">
        <w:tc>
          <w:tcPr>
            <w:tcW w:w="826" w:type="pct"/>
            <w:vMerge/>
            <w:vAlign w:val="center"/>
          </w:tcPr>
          <w:p w:rsidR="00B75AB1" w:rsidRPr="00875FE9" w:rsidRDefault="00B75AB1" w:rsidP="004675AB">
            <w:pPr>
              <w:jc w:val="left"/>
              <w:rPr>
                <w:rStyle w:val="CommentReference"/>
              </w:rPr>
            </w:pPr>
          </w:p>
        </w:tc>
        <w:tc>
          <w:tcPr>
            <w:tcW w:w="695" w:type="pct"/>
            <w:vAlign w:val="center"/>
          </w:tcPr>
          <w:p w:rsidR="00B75AB1" w:rsidRPr="00875FE9" w:rsidRDefault="00B75AB1" w:rsidP="004675AB">
            <w:pPr>
              <w:jc w:val="center"/>
              <w:rPr>
                <w:rStyle w:val="CommentReference"/>
              </w:rPr>
            </w:pPr>
            <w:r w:rsidRPr="00875FE9">
              <w:rPr>
                <w:rStyle w:val="CommentReference"/>
                <w:sz w:val="19"/>
                <w:szCs w:val="19"/>
              </w:rPr>
              <w:t>2Q8</w:t>
            </w:r>
          </w:p>
          <w:p w:rsidR="00B75AB1" w:rsidRPr="00875FE9" w:rsidRDefault="00B75AB1" w:rsidP="004675AB">
            <w:pPr>
              <w:jc w:val="center"/>
              <w:rPr>
                <w:rStyle w:val="CommentReference"/>
              </w:rPr>
            </w:pPr>
            <w:r w:rsidRPr="00875FE9">
              <w:rPr>
                <w:rStyle w:val="CommentReference"/>
                <w:sz w:val="19"/>
                <w:szCs w:val="19"/>
              </w:rPr>
              <w:t>(n=135)</w:t>
            </w:r>
          </w:p>
        </w:tc>
        <w:tc>
          <w:tcPr>
            <w:tcW w:w="696" w:type="pct"/>
            <w:vAlign w:val="center"/>
          </w:tcPr>
          <w:p w:rsidR="00B75AB1" w:rsidRPr="00875FE9" w:rsidRDefault="00B75AB1" w:rsidP="004675AB">
            <w:pPr>
              <w:jc w:val="center"/>
              <w:rPr>
                <w:rStyle w:val="CommentReference"/>
              </w:rPr>
            </w:pPr>
            <w:r w:rsidRPr="00875FE9">
              <w:rPr>
                <w:rStyle w:val="CommentReference"/>
                <w:sz w:val="19"/>
                <w:szCs w:val="19"/>
              </w:rPr>
              <w:t>Laser</w:t>
            </w:r>
          </w:p>
          <w:p w:rsidR="00B75AB1" w:rsidRPr="00875FE9" w:rsidRDefault="00B75AB1" w:rsidP="004675AB">
            <w:pPr>
              <w:jc w:val="center"/>
              <w:rPr>
                <w:rStyle w:val="CommentReference"/>
              </w:rPr>
            </w:pPr>
            <w:r w:rsidRPr="00875FE9">
              <w:rPr>
                <w:rStyle w:val="CommentReference"/>
                <w:sz w:val="19"/>
                <w:szCs w:val="19"/>
              </w:rPr>
              <w:t>(n=133)</w:t>
            </w:r>
          </w:p>
        </w:tc>
        <w:tc>
          <w:tcPr>
            <w:tcW w:w="668" w:type="pct"/>
            <w:vAlign w:val="center"/>
          </w:tcPr>
          <w:p w:rsidR="00B75AB1" w:rsidRPr="00875FE9" w:rsidRDefault="00B75AB1" w:rsidP="004675AB">
            <w:pPr>
              <w:jc w:val="center"/>
              <w:rPr>
                <w:rStyle w:val="CommentReference"/>
              </w:rPr>
            </w:pPr>
            <w:r w:rsidRPr="00875FE9">
              <w:rPr>
                <w:rStyle w:val="CommentReference"/>
                <w:sz w:val="19"/>
                <w:szCs w:val="19"/>
              </w:rPr>
              <w:t>2Q8</w:t>
            </w:r>
          </w:p>
          <w:p w:rsidR="00B75AB1" w:rsidRPr="00875FE9" w:rsidRDefault="00B75AB1" w:rsidP="004675AB">
            <w:pPr>
              <w:jc w:val="center"/>
              <w:rPr>
                <w:rStyle w:val="CommentReference"/>
              </w:rPr>
            </w:pPr>
            <w:r w:rsidRPr="00875FE9">
              <w:rPr>
                <w:rStyle w:val="CommentReference"/>
                <w:sz w:val="19"/>
                <w:szCs w:val="19"/>
              </w:rPr>
              <w:t>(n=152)</w:t>
            </w:r>
          </w:p>
        </w:tc>
        <w:tc>
          <w:tcPr>
            <w:tcW w:w="669" w:type="pct"/>
            <w:vAlign w:val="center"/>
          </w:tcPr>
          <w:p w:rsidR="00B75AB1" w:rsidRPr="00875FE9" w:rsidRDefault="00B75AB1" w:rsidP="004675AB">
            <w:pPr>
              <w:jc w:val="center"/>
              <w:rPr>
                <w:rStyle w:val="CommentReference"/>
              </w:rPr>
            </w:pPr>
            <w:r w:rsidRPr="00875FE9">
              <w:rPr>
                <w:rStyle w:val="CommentReference"/>
                <w:sz w:val="19"/>
                <w:szCs w:val="19"/>
              </w:rPr>
              <w:t>Laser</w:t>
            </w:r>
          </w:p>
          <w:p w:rsidR="00B75AB1" w:rsidRPr="00875FE9" w:rsidRDefault="00B75AB1" w:rsidP="004675AB">
            <w:pPr>
              <w:jc w:val="center"/>
              <w:rPr>
                <w:rStyle w:val="CommentReference"/>
              </w:rPr>
            </w:pPr>
            <w:r w:rsidRPr="00875FE9">
              <w:rPr>
                <w:rStyle w:val="CommentReference"/>
                <w:sz w:val="19"/>
                <w:szCs w:val="19"/>
              </w:rPr>
              <w:t>(n=154)</w:t>
            </w:r>
          </w:p>
        </w:tc>
        <w:tc>
          <w:tcPr>
            <w:tcW w:w="723" w:type="pct"/>
            <w:vAlign w:val="center"/>
          </w:tcPr>
          <w:p w:rsidR="00B75AB1" w:rsidRPr="004B3714" w:rsidRDefault="00B75AB1" w:rsidP="004675AB">
            <w:pPr>
              <w:jc w:val="center"/>
              <w:rPr>
                <w:rStyle w:val="CommentReference"/>
              </w:rPr>
            </w:pPr>
            <w:r w:rsidRPr="004B3714">
              <w:rPr>
                <w:rStyle w:val="CommentReference"/>
                <w:i/>
                <w:sz w:val="19"/>
                <w:szCs w:val="19"/>
              </w:rPr>
              <w:t xml:space="preserve">Ranibizumab </w:t>
            </w:r>
          </w:p>
          <w:p w:rsidR="00B75AB1" w:rsidRPr="004B3714" w:rsidRDefault="00B75AB1" w:rsidP="004675AB">
            <w:pPr>
              <w:jc w:val="center"/>
              <w:rPr>
                <w:rStyle w:val="CommentReference"/>
              </w:rPr>
            </w:pPr>
            <w:r w:rsidRPr="004B3714">
              <w:rPr>
                <w:rStyle w:val="CommentReference"/>
                <w:i/>
                <w:sz w:val="19"/>
                <w:szCs w:val="19"/>
              </w:rPr>
              <w:t>(n=375)^</w:t>
            </w:r>
          </w:p>
        </w:tc>
        <w:tc>
          <w:tcPr>
            <w:tcW w:w="724" w:type="pct"/>
            <w:vAlign w:val="center"/>
          </w:tcPr>
          <w:p w:rsidR="00B75AB1" w:rsidRPr="004B3714" w:rsidRDefault="00B75AB1" w:rsidP="004675AB">
            <w:pPr>
              <w:jc w:val="center"/>
              <w:rPr>
                <w:rStyle w:val="CommentReference"/>
              </w:rPr>
            </w:pPr>
            <w:r w:rsidRPr="004B3714">
              <w:rPr>
                <w:rStyle w:val="CommentReference"/>
                <w:i/>
                <w:sz w:val="19"/>
                <w:szCs w:val="19"/>
              </w:rPr>
              <w:t xml:space="preserve">Laser </w:t>
            </w:r>
          </w:p>
          <w:p w:rsidR="00B75AB1" w:rsidRPr="004B3714" w:rsidRDefault="00B75AB1" w:rsidP="004675AB">
            <w:pPr>
              <w:jc w:val="center"/>
              <w:rPr>
                <w:rStyle w:val="CommentReference"/>
              </w:rPr>
            </w:pPr>
            <w:r w:rsidRPr="004B3714">
              <w:rPr>
                <w:rStyle w:val="CommentReference"/>
                <w:i/>
                <w:sz w:val="19"/>
                <w:szCs w:val="19"/>
              </w:rPr>
              <w:t>(n=130)^</w:t>
            </w:r>
          </w:p>
        </w:tc>
      </w:tr>
      <w:tr w:rsidR="00B75AB1" w:rsidRPr="00875FE9">
        <w:tc>
          <w:tcPr>
            <w:tcW w:w="826" w:type="pct"/>
            <w:vAlign w:val="center"/>
          </w:tcPr>
          <w:p w:rsidR="00B75AB1" w:rsidRPr="00875FE9" w:rsidRDefault="00B75AB1" w:rsidP="004675AB">
            <w:pPr>
              <w:jc w:val="left"/>
              <w:rPr>
                <w:rStyle w:val="CommentReference"/>
              </w:rPr>
            </w:pPr>
            <w:proofErr w:type="spellStart"/>
            <w:r w:rsidRPr="00875FE9">
              <w:rPr>
                <w:rStyle w:val="CommentReference"/>
                <w:b w:val="0"/>
                <w:sz w:val="19"/>
                <w:szCs w:val="19"/>
              </w:rPr>
              <w:t>Non fatal</w:t>
            </w:r>
            <w:proofErr w:type="spellEnd"/>
            <w:r w:rsidRPr="00875FE9">
              <w:rPr>
                <w:rStyle w:val="CommentReference"/>
                <w:b w:val="0"/>
                <w:sz w:val="19"/>
                <w:szCs w:val="19"/>
              </w:rPr>
              <w:t xml:space="preserve"> MI</w:t>
            </w:r>
          </w:p>
        </w:tc>
        <w:tc>
          <w:tcPr>
            <w:tcW w:w="695" w:type="pct"/>
            <w:vAlign w:val="center"/>
          </w:tcPr>
          <w:p w:rsidR="00B75AB1" w:rsidRPr="00875FE9" w:rsidRDefault="00B75AB1" w:rsidP="004675AB">
            <w:pPr>
              <w:jc w:val="center"/>
              <w:rPr>
                <w:rStyle w:val="CommentReference"/>
              </w:rPr>
            </w:pPr>
            <w:r w:rsidRPr="00875FE9">
              <w:rPr>
                <w:rStyle w:val="CommentReference"/>
                <w:b w:val="0"/>
                <w:sz w:val="19"/>
                <w:szCs w:val="19"/>
              </w:rPr>
              <w:t>0</w:t>
            </w:r>
          </w:p>
        </w:tc>
        <w:tc>
          <w:tcPr>
            <w:tcW w:w="696" w:type="pct"/>
            <w:vAlign w:val="center"/>
          </w:tcPr>
          <w:p w:rsidR="00B75AB1" w:rsidRPr="00875FE9" w:rsidRDefault="00B75AB1" w:rsidP="004675AB">
            <w:pPr>
              <w:jc w:val="center"/>
              <w:rPr>
                <w:rStyle w:val="CommentReference"/>
              </w:rPr>
            </w:pPr>
            <w:r w:rsidRPr="00875FE9">
              <w:rPr>
                <w:rStyle w:val="CommentReference"/>
                <w:b w:val="0"/>
                <w:sz w:val="19"/>
                <w:szCs w:val="19"/>
              </w:rPr>
              <w:t>1 (0.8)</w:t>
            </w:r>
          </w:p>
        </w:tc>
        <w:tc>
          <w:tcPr>
            <w:tcW w:w="668" w:type="pct"/>
            <w:vAlign w:val="center"/>
          </w:tcPr>
          <w:p w:rsidR="00B75AB1" w:rsidRPr="00875FE9" w:rsidRDefault="00B75AB1" w:rsidP="004675AB">
            <w:pPr>
              <w:jc w:val="center"/>
              <w:rPr>
                <w:rStyle w:val="CommentReference"/>
              </w:rPr>
            </w:pPr>
            <w:r w:rsidRPr="00875FE9">
              <w:rPr>
                <w:rStyle w:val="CommentReference"/>
                <w:b w:val="0"/>
                <w:sz w:val="19"/>
                <w:szCs w:val="19"/>
              </w:rPr>
              <w:t>3 (2.0)</w:t>
            </w:r>
          </w:p>
        </w:tc>
        <w:tc>
          <w:tcPr>
            <w:tcW w:w="669" w:type="pct"/>
            <w:vAlign w:val="center"/>
          </w:tcPr>
          <w:p w:rsidR="00B75AB1" w:rsidRPr="00875FE9" w:rsidRDefault="00B75AB1" w:rsidP="004675AB">
            <w:pPr>
              <w:jc w:val="center"/>
              <w:rPr>
                <w:rStyle w:val="CommentReference"/>
              </w:rPr>
            </w:pPr>
            <w:r w:rsidRPr="00875FE9">
              <w:rPr>
                <w:rStyle w:val="CommentReference"/>
                <w:b w:val="0"/>
                <w:sz w:val="19"/>
                <w:szCs w:val="19"/>
              </w:rPr>
              <w:t>4 (2.6)</w:t>
            </w:r>
          </w:p>
        </w:tc>
        <w:tc>
          <w:tcPr>
            <w:tcW w:w="723" w:type="pct"/>
            <w:vAlign w:val="center"/>
          </w:tcPr>
          <w:p w:rsidR="00B75AB1" w:rsidRPr="004B3714" w:rsidRDefault="00B75AB1" w:rsidP="004675AB">
            <w:pPr>
              <w:widowControl/>
              <w:jc w:val="center"/>
              <w:rPr>
                <w:rStyle w:val="CommentReference"/>
              </w:rPr>
            </w:pPr>
            <w:r w:rsidRPr="004B3714">
              <w:rPr>
                <w:rStyle w:val="CommentReference"/>
                <w:i/>
                <w:sz w:val="19"/>
                <w:szCs w:val="19"/>
              </w:rPr>
              <w:t>1 (0.3)</w:t>
            </w:r>
          </w:p>
        </w:tc>
        <w:tc>
          <w:tcPr>
            <w:tcW w:w="724" w:type="pct"/>
            <w:vAlign w:val="center"/>
          </w:tcPr>
          <w:p w:rsidR="00B75AB1" w:rsidRPr="004B3714" w:rsidRDefault="00B75AB1" w:rsidP="004675AB">
            <w:pPr>
              <w:widowControl/>
              <w:jc w:val="center"/>
              <w:rPr>
                <w:rStyle w:val="CommentReference"/>
              </w:rPr>
            </w:pPr>
            <w:r w:rsidRPr="004B3714">
              <w:rPr>
                <w:rStyle w:val="CommentReference"/>
                <w:b w:val="0"/>
                <w:i/>
                <w:sz w:val="19"/>
                <w:szCs w:val="19"/>
              </w:rPr>
              <w:t>3 (2.3)</w:t>
            </w:r>
          </w:p>
        </w:tc>
      </w:tr>
      <w:tr w:rsidR="00B75AB1" w:rsidRPr="00875FE9">
        <w:tc>
          <w:tcPr>
            <w:tcW w:w="826" w:type="pct"/>
            <w:vAlign w:val="center"/>
          </w:tcPr>
          <w:p w:rsidR="00B75AB1" w:rsidRPr="00875FE9" w:rsidRDefault="00B75AB1" w:rsidP="004675AB">
            <w:pPr>
              <w:jc w:val="left"/>
              <w:rPr>
                <w:rStyle w:val="CommentReference"/>
              </w:rPr>
            </w:pPr>
            <w:proofErr w:type="spellStart"/>
            <w:r w:rsidRPr="00875FE9">
              <w:rPr>
                <w:rStyle w:val="CommentReference"/>
                <w:b w:val="0"/>
                <w:sz w:val="19"/>
                <w:szCs w:val="19"/>
              </w:rPr>
              <w:lastRenderedPageBreak/>
              <w:t>Non fatal</w:t>
            </w:r>
            <w:proofErr w:type="spellEnd"/>
            <w:r w:rsidRPr="00875FE9">
              <w:rPr>
                <w:rStyle w:val="CommentReference"/>
                <w:b w:val="0"/>
                <w:sz w:val="19"/>
                <w:szCs w:val="19"/>
              </w:rPr>
              <w:t xml:space="preserve"> stroke</w:t>
            </w:r>
          </w:p>
        </w:tc>
        <w:tc>
          <w:tcPr>
            <w:tcW w:w="695" w:type="pct"/>
            <w:vAlign w:val="center"/>
          </w:tcPr>
          <w:p w:rsidR="00B75AB1" w:rsidRPr="00875FE9" w:rsidRDefault="00B75AB1" w:rsidP="004675AB">
            <w:pPr>
              <w:jc w:val="center"/>
              <w:rPr>
                <w:rStyle w:val="CommentReference"/>
              </w:rPr>
            </w:pPr>
            <w:r w:rsidRPr="00875FE9">
              <w:rPr>
                <w:rStyle w:val="CommentReference"/>
                <w:b w:val="0"/>
                <w:sz w:val="19"/>
                <w:szCs w:val="19"/>
              </w:rPr>
              <w:t>2 (1.5)</w:t>
            </w:r>
          </w:p>
        </w:tc>
        <w:tc>
          <w:tcPr>
            <w:tcW w:w="696" w:type="pct"/>
            <w:vAlign w:val="center"/>
          </w:tcPr>
          <w:p w:rsidR="00B75AB1" w:rsidRPr="00875FE9" w:rsidRDefault="00B75AB1" w:rsidP="004675AB">
            <w:pPr>
              <w:jc w:val="center"/>
              <w:rPr>
                <w:rStyle w:val="CommentReference"/>
              </w:rPr>
            </w:pPr>
            <w:r w:rsidRPr="00875FE9">
              <w:rPr>
                <w:rStyle w:val="CommentReference"/>
                <w:b w:val="0"/>
                <w:sz w:val="19"/>
                <w:szCs w:val="19"/>
              </w:rPr>
              <w:t>0</w:t>
            </w:r>
          </w:p>
        </w:tc>
        <w:tc>
          <w:tcPr>
            <w:tcW w:w="668" w:type="pct"/>
            <w:vAlign w:val="center"/>
          </w:tcPr>
          <w:p w:rsidR="00B75AB1" w:rsidRPr="00875FE9" w:rsidRDefault="00B75AB1" w:rsidP="004675AB">
            <w:pPr>
              <w:jc w:val="center"/>
              <w:rPr>
                <w:rStyle w:val="CommentReference"/>
              </w:rPr>
            </w:pPr>
            <w:r w:rsidRPr="00875FE9">
              <w:rPr>
                <w:rStyle w:val="CommentReference"/>
                <w:b w:val="0"/>
                <w:sz w:val="19"/>
                <w:szCs w:val="19"/>
              </w:rPr>
              <w:t>3 (2.0)</w:t>
            </w:r>
          </w:p>
        </w:tc>
        <w:tc>
          <w:tcPr>
            <w:tcW w:w="669" w:type="pct"/>
            <w:vAlign w:val="center"/>
          </w:tcPr>
          <w:p w:rsidR="00B75AB1" w:rsidRPr="00875FE9" w:rsidRDefault="00B75AB1" w:rsidP="004675AB">
            <w:pPr>
              <w:jc w:val="center"/>
              <w:rPr>
                <w:rStyle w:val="CommentReference"/>
              </w:rPr>
            </w:pPr>
            <w:r w:rsidRPr="00875FE9">
              <w:rPr>
                <w:rStyle w:val="CommentReference"/>
                <w:b w:val="0"/>
                <w:sz w:val="19"/>
                <w:szCs w:val="19"/>
              </w:rPr>
              <w:t>2 (1.3)</w:t>
            </w:r>
          </w:p>
        </w:tc>
        <w:tc>
          <w:tcPr>
            <w:tcW w:w="723" w:type="pct"/>
            <w:vAlign w:val="center"/>
          </w:tcPr>
          <w:p w:rsidR="00B75AB1" w:rsidRPr="004B3714" w:rsidRDefault="00B75AB1" w:rsidP="004675AB">
            <w:pPr>
              <w:widowControl/>
              <w:jc w:val="center"/>
              <w:rPr>
                <w:rStyle w:val="CommentReference"/>
              </w:rPr>
            </w:pPr>
            <w:r w:rsidRPr="004B3714">
              <w:rPr>
                <w:rStyle w:val="CommentReference"/>
                <w:i/>
                <w:sz w:val="19"/>
                <w:szCs w:val="19"/>
              </w:rPr>
              <w:t>3 (0.8)</w:t>
            </w:r>
          </w:p>
        </w:tc>
        <w:tc>
          <w:tcPr>
            <w:tcW w:w="724" w:type="pct"/>
            <w:vAlign w:val="center"/>
          </w:tcPr>
          <w:p w:rsidR="00B75AB1" w:rsidRPr="004B3714" w:rsidRDefault="00B75AB1" w:rsidP="004675AB">
            <w:pPr>
              <w:widowControl/>
              <w:jc w:val="center"/>
              <w:rPr>
                <w:rStyle w:val="CommentReference"/>
              </w:rPr>
            </w:pPr>
            <w:r w:rsidRPr="004B3714">
              <w:rPr>
                <w:rStyle w:val="CommentReference"/>
                <w:b w:val="0"/>
                <w:i/>
                <w:sz w:val="19"/>
                <w:szCs w:val="19"/>
              </w:rPr>
              <w:t>5 (3.8)</w:t>
            </w:r>
          </w:p>
        </w:tc>
      </w:tr>
      <w:tr w:rsidR="00B75AB1" w:rsidRPr="00875FE9">
        <w:trPr>
          <w:trHeight w:val="70"/>
        </w:trPr>
        <w:tc>
          <w:tcPr>
            <w:tcW w:w="826" w:type="pct"/>
            <w:vAlign w:val="center"/>
          </w:tcPr>
          <w:p w:rsidR="00B75AB1" w:rsidRPr="00875FE9" w:rsidRDefault="00B75AB1" w:rsidP="004675AB">
            <w:pPr>
              <w:jc w:val="left"/>
              <w:rPr>
                <w:rStyle w:val="CommentReference"/>
              </w:rPr>
            </w:pPr>
            <w:r w:rsidRPr="00875FE9">
              <w:rPr>
                <w:rStyle w:val="CommentReference"/>
                <w:b w:val="0"/>
                <w:sz w:val="19"/>
                <w:szCs w:val="19"/>
              </w:rPr>
              <w:t>Vascular death</w:t>
            </w:r>
          </w:p>
        </w:tc>
        <w:tc>
          <w:tcPr>
            <w:tcW w:w="695" w:type="pct"/>
            <w:vAlign w:val="center"/>
          </w:tcPr>
          <w:p w:rsidR="00B75AB1" w:rsidRPr="00875FE9" w:rsidRDefault="00B75AB1" w:rsidP="004675AB">
            <w:pPr>
              <w:jc w:val="center"/>
              <w:rPr>
                <w:rStyle w:val="CommentReference"/>
              </w:rPr>
            </w:pPr>
            <w:r w:rsidRPr="00875FE9">
              <w:rPr>
                <w:rStyle w:val="CommentReference"/>
                <w:b w:val="0"/>
                <w:sz w:val="19"/>
                <w:szCs w:val="19"/>
              </w:rPr>
              <w:t>2 (1.5)</w:t>
            </w:r>
          </w:p>
        </w:tc>
        <w:tc>
          <w:tcPr>
            <w:tcW w:w="696" w:type="pct"/>
            <w:vAlign w:val="center"/>
          </w:tcPr>
          <w:p w:rsidR="00B75AB1" w:rsidRPr="00875FE9" w:rsidRDefault="00B75AB1" w:rsidP="004675AB">
            <w:pPr>
              <w:jc w:val="center"/>
              <w:rPr>
                <w:rStyle w:val="CommentReference"/>
              </w:rPr>
            </w:pPr>
            <w:r w:rsidRPr="00875FE9">
              <w:rPr>
                <w:rStyle w:val="CommentReference"/>
                <w:b w:val="0"/>
                <w:sz w:val="19"/>
                <w:szCs w:val="19"/>
              </w:rPr>
              <w:t>1 (0.8)</w:t>
            </w:r>
          </w:p>
        </w:tc>
        <w:tc>
          <w:tcPr>
            <w:tcW w:w="668" w:type="pct"/>
            <w:vAlign w:val="center"/>
          </w:tcPr>
          <w:p w:rsidR="00B75AB1" w:rsidRPr="00875FE9" w:rsidRDefault="00B75AB1" w:rsidP="004675AB">
            <w:pPr>
              <w:jc w:val="center"/>
              <w:rPr>
                <w:rStyle w:val="CommentReference"/>
              </w:rPr>
            </w:pPr>
            <w:r w:rsidRPr="00875FE9">
              <w:rPr>
                <w:rStyle w:val="CommentReference"/>
                <w:b w:val="0"/>
                <w:sz w:val="19"/>
                <w:szCs w:val="19"/>
              </w:rPr>
              <w:t>0</w:t>
            </w:r>
          </w:p>
        </w:tc>
        <w:tc>
          <w:tcPr>
            <w:tcW w:w="669" w:type="pct"/>
            <w:vAlign w:val="center"/>
          </w:tcPr>
          <w:p w:rsidR="00B75AB1" w:rsidRPr="00875FE9" w:rsidRDefault="00B75AB1" w:rsidP="004675AB">
            <w:pPr>
              <w:jc w:val="center"/>
              <w:rPr>
                <w:rStyle w:val="CommentReference"/>
              </w:rPr>
            </w:pPr>
            <w:r w:rsidRPr="00875FE9">
              <w:rPr>
                <w:rStyle w:val="CommentReference"/>
                <w:b w:val="0"/>
                <w:sz w:val="19"/>
                <w:szCs w:val="19"/>
              </w:rPr>
              <w:t>1 (0.6)</w:t>
            </w:r>
          </w:p>
        </w:tc>
        <w:tc>
          <w:tcPr>
            <w:tcW w:w="723" w:type="pct"/>
            <w:vAlign w:val="center"/>
          </w:tcPr>
          <w:p w:rsidR="00B75AB1" w:rsidRPr="004B3714" w:rsidRDefault="00B75AB1" w:rsidP="004675AB">
            <w:pPr>
              <w:widowControl/>
              <w:jc w:val="center"/>
              <w:rPr>
                <w:rStyle w:val="CommentReference"/>
              </w:rPr>
            </w:pPr>
            <w:r w:rsidRPr="004B3714">
              <w:rPr>
                <w:rStyle w:val="CommentReference"/>
                <w:b w:val="0"/>
                <w:i/>
                <w:sz w:val="19"/>
                <w:szCs w:val="19"/>
              </w:rPr>
              <w:t>7 (1.9)</w:t>
            </w:r>
          </w:p>
        </w:tc>
        <w:tc>
          <w:tcPr>
            <w:tcW w:w="724" w:type="pct"/>
            <w:vAlign w:val="center"/>
          </w:tcPr>
          <w:p w:rsidR="00B75AB1" w:rsidRPr="004B3714" w:rsidRDefault="00B75AB1" w:rsidP="004675AB">
            <w:pPr>
              <w:widowControl/>
              <w:jc w:val="center"/>
              <w:rPr>
                <w:rStyle w:val="CommentReference"/>
              </w:rPr>
            </w:pPr>
            <w:r w:rsidRPr="004B3714">
              <w:rPr>
                <w:rStyle w:val="CommentReference"/>
                <w:b w:val="0"/>
                <w:i/>
                <w:sz w:val="19"/>
                <w:szCs w:val="19"/>
              </w:rPr>
              <w:t>4 (3.1)</w:t>
            </w:r>
          </w:p>
        </w:tc>
      </w:tr>
      <w:tr w:rsidR="00B75AB1" w:rsidRPr="00875FE9">
        <w:tc>
          <w:tcPr>
            <w:tcW w:w="826" w:type="pct"/>
            <w:vAlign w:val="center"/>
          </w:tcPr>
          <w:p w:rsidR="00B75AB1" w:rsidRPr="00875FE9" w:rsidRDefault="00B75AB1" w:rsidP="004675AB">
            <w:pPr>
              <w:jc w:val="left"/>
              <w:rPr>
                <w:rStyle w:val="CommentReference"/>
              </w:rPr>
            </w:pPr>
            <w:r w:rsidRPr="00875FE9">
              <w:rPr>
                <w:rStyle w:val="CommentReference"/>
                <w:b w:val="0"/>
                <w:sz w:val="19"/>
                <w:szCs w:val="19"/>
              </w:rPr>
              <w:t>Any APTC event</w:t>
            </w:r>
          </w:p>
        </w:tc>
        <w:tc>
          <w:tcPr>
            <w:tcW w:w="695" w:type="pct"/>
            <w:vAlign w:val="center"/>
          </w:tcPr>
          <w:p w:rsidR="00B75AB1" w:rsidRPr="00875FE9" w:rsidRDefault="00B75AB1" w:rsidP="004675AB">
            <w:pPr>
              <w:jc w:val="center"/>
              <w:rPr>
                <w:rStyle w:val="CommentReference"/>
              </w:rPr>
            </w:pPr>
            <w:r w:rsidRPr="00875FE9">
              <w:rPr>
                <w:rStyle w:val="CommentReference"/>
                <w:b w:val="0"/>
                <w:sz w:val="19"/>
                <w:szCs w:val="19"/>
              </w:rPr>
              <w:t>4 (3.0)</w:t>
            </w:r>
          </w:p>
        </w:tc>
        <w:tc>
          <w:tcPr>
            <w:tcW w:w="696" w:type="pct"/>
            <w:vAlign w:val="center"/>
          </w:tcPr>
          <w:p w:rsidR="00B75AB1" w:rsidRPr="00875FE9" w:rsidRDefault="00B75AB1" w:rsidP="004675AB">
            <w:pPr>
              <w:jc w:val="center"/>
              <w:rPr>
                <w:rStyle w:val="CommentReference"/>
              </w:rPr>
            </w:pPr>
            <w:r w:rsidRPr="00875FE9">
              <w:rPr>
                <w:rStyle w:val="CommentReference"/>
                <w:b w:val="0"/>
                <w:sz w:val="19"/>
                <w:szCs w:val="19"/>
              </w:rPr>
              <w:t>2 (1.5)</w:t>
            </w:r>
          </w:p>
        </w:tc>
        <w:tc>
          <w:tcPr>
            <w:tcW w:w="668" w:type="pct"/>
            <w:vAlign w:val="center"/>
          </w:tcPr>
          <w:p w:rsidR="00B75AB1" w:rsidRPr="00875FE9" w:rsidRDefault="00B75AB1" w:rsidP="004675AB">
            <w:pPr>
              <w:jc w:val="center"/>
              <w:rPr>
                <w:rStyle w:val="CommentReference"/>
              </w:rPr>
            </w:pPr>
            <w:r w:rsidRPr="00875FE9">
              <w:rPr>
                <w:rStyle w:val="CommentReference"/>
                <w:b w:val="0"/>
                <w:sz w:val="19"/>
                <w:szCs w:val="19"/>
              </w:rPr>
              <w:t>6 (3.9)</w:t>
            </w:r>
          </w:p>
        </w:tc>
        <w:tc>
          <w:tcPr>
            <w:tcW w:w="669" w:type="pct"/>
            <w:vAlign w:val="center"/>
          </w:tcPr>
          <w:p w:rsidR="00B75AB1" w:rsidRPr="00875FE9" w:rsidRDefault="00B75AB1" w:rsidP="004675AB">
            <w:pPr>
              <w:jc w:val="center"/>
              <w:rPr>
                <w:rStyle w:val="CommentReference"/>
              </w:rPr>
            </w:pPr>
            <w:r w:rsidRPr="00875FE9">
              <w:rPr>
                <w:rStyle w:val="CommentReference"/>
                <w:b w:val="0"/>
                <w:sz w:val="19"/>
                <w:szCs w:val="19"/>
              </w:rPr>
              <w:t>6 (3.9)</w:t>
            </w:r>
          </w:p>
        </w:tc>
        <w:tc>
          <w:tcPr>
            <w:tcW w:w="723" w:type="pct"/>
            <w:vAlign w:val="center"/>
          </w:tcPr>
          <w:p w:rsidR="00B75AB1" w:rsidRPr="004B3714" w:rsidRDefault="00B75AB1" w:rsidP="004675AB">
            <w:pPr>
              <w:widowControl/>
              <w:jc w:val="center"/>
              <w:rPr>
                <w:rStyle w:val="CommentReference"/>
              </w:rPr>
            </w:pPr>
            <w:r w:rsidRPr="004B3714">
              <w:rPr>
                <w:rStyle w:val="CommentReference"/>
                <w:i/>
                <w:sz w:val="19"/>
                <w:szCs w:val="19"/>
              </w:rPr>
              <w:t>11 (2.9)</w:t>
            </w:r>
          </w:p>
        </w:tc>
        <w:tc>
          <w:tcPr>
            <w:tcW w:w="724" w:type="pct"/>
            <w:vAlign w:val="center"/>
          </w:tcPr>
          <w:p w:rsidR="00B75AB1" w:rsidRPr="004B3714" w:rsidRDefault="00B75AB1" w:rsidP="004675AB">
            <w:pPr>
              <w:widowControl/>
              <w:jc w:val="center"/>
              <w:rPr>
                <w:rStyle w:val="CommentReference"/>
              </w:rPr>
            </w:pPr>
            <w:r w:rsidRPr="004B3714">
              <w:rPr>
                <w:rStyle w:val="CommentReference"/>
                <w:b w:val="0"/>
                <w:i/>
                <w:sz w:val="19"/>
                <w:szCs w:val="19"/>
              </w:rPr>
              <w:t>10 (7.7)</w:t>
            </w:r>
          </w:p>
        </w:tc>
      </w:tr>
    </w:tbl>
    <w:p w:rsidR="00B75AB1" w:rsidRPr="00875FE9" w:rsidRDefault="00B75AB1" w:rsidP="00B75AB1">
      <w:pPr>
        <w:widowControl/>
        <w:ind w:left="720"/>
        <w:jc w:val="left"/>
        <w:rPr>
          <w:rFonts w:ascii="Arial Narrow" w:hAnsi="Arial Narrow"/>
          <w:b/>
          <w:sz w:val="18"/>
        </w:rPr>
      </w:pPr>
      <w:r w:rsidRPr="00875FE9">
        <w:rPr>
          <w:rFonts w:ascii="Arial Narrow" w:hAnsi="Arial Narrow"/>
          <w:sz w:val="18"/>
        </w:rPr>
        <w:t xml:space="preserve">Note: Statistically significant differences for the comparison versus laser are highlighted in </w:t>
      </w:r>
      <w:r w:rsidRPr="00875FE9">
        <w:rPr>
          <w:rFonts w:ascii="Arial Narrow" w:hAnsi="Arial Narrow"/>
          <w:b/>
          <w:sz w:val="18"/>
        </w:rPr>
        <w:t>bold</w:t>
      </w:r>
    </w:p>
    <w:p w:rsidR="00B75AB1" w:rsidRPr="00875FE9" w:rsidRDefault="00B75AB1" w:rsidP="00B75AB1">
      <w:pPr>
        <w:widowControl/>
        <w:ind w:left="720"/>
        <w:jc w:val="left"/>
        <w:rPr>
          <w:rFonts w:ascii="Arial Narrow" w:hAnsi="Arial Narrow"/>
          <w:sz w:val="18"/>
        </w:rPr>
      </w:pPr>
      <w:r w:rsidRPr="00875FE9">
        <w:rPr>
          <w:rFonts w:ascii="Arial Narrow" w:hAnsi="Arial Narrow"/>
          <w:sz w:val="18"/>
        </w:rPr>
        <w:t>^ n=number of study participants, Study participants with 2 study eyes are assigned to the non-sham group. Multiple events within a study participant are only counted once per event.</w:t>
      </w:r>
      <w:r>
        <w:rPr>
          <w:rFonts w:ascii="Arial Narrow" w:hAnsi="Arial Narrow"/>
          <w:sz w:val="18"/>
        </w:rPr>
        <w:t xml:space="preserve"> </w:t>
      </w:r>
      <w:r w:rsidRPr="00875FE9">
        <w:rPr>
          <w:rFonts w:ascii="Arial Narrow" w:hAnsi="Arial Narrow"/>
          <w:sz w:val="18"/>
        </w:rPr>
        <w:t xml:space="preserve">Source: Table 55, p152, VISTA CSR; Table 64, p147, VIVID CSR; Table 17, Elman 2010. </w:t>
      </w:r>
    </w:p>
    <w:p w:rsidR="009B30AE" w:rsidRPr="009B30AE" w:rsidRDefault="009B30AE" w:rsidP="009B30AE">
      <w:pPr>
        <w:widowControl/>
        <w:rPr>
          <w:szCs w:val="22"/>
        </w:rPr>
      </w:pPr>
    </w:p>
    <w:p w:rsidR="00B60939" w:rsidRPr="00B50DB8" w:rsidRDefault="00B75AB1" w:rsidP="00B80C0B">
      <w:pPr>
        <w:pStyle w:val="ListParagraph"/>
        <w:widowControl/>
        <w:numPr>
          <w:ilvl w:val="1"/>
          <w:numId w:val="3"/>
        </w:numPr>
        <w:rPr>
          <w:szCs w:val="22"/>
        </w:rPr>
      </w:pPr>
      <w:r>
        <w:rPr>
          <w:szCs w:val="22"/>
        </w:rPr>
        <w:t xml:space="preserve">No notable differences were observed between aflibercept and laser, ranibizumab and laser or for the indirect comparison for the key overall AE outcomes (fatal AEs, serious AEs, serious ocular AEs, </w:t>
      </w:r>
      <w:proofErr w:type="gramStart"/>
      <w:r>
        <w:rPr>
          <w:szCs w:val="22"/>
        </w:rPr>
        <w:t>ocular</w:t>
      </w:r>
      <w:proofErr w:type="gramEnd"/>
      <w:r>
        <w:rPr>
          <w:szCs w:val="22"/>
        </w:rPr>
        <w:t xml:space="preserve"> AEs)</w:t>
      </w:r>
      <w:r w:rsidR="00DE1125">
        <w:rPr>
          <w:szCs w:val="22"/>
        </w:rPr>
        <w:t>.</w:t>
      </w:r>
    </w:p>
    <w:p w:rsidR="00B60939" w:rsidRDefault="00B60939" w:rsidP="007F1017">
      <w:pPr>
        <w:pStyle w:val="ListParagraph"/>
        <w:ind w:left="0"/>
        <w:rPr>
          <w:szCs w:val="22"/>
        </w:rPr>
      </w:pPr>
    </w:p>
    <w:p w:rsidR="007F1017" w:rsidRPr="00BF0C39" w:rsidRDefault="007F1017" w:rsidP="00BF0C39">
      <w:pPr>
        <w:rPr>
          <w:b/>
        </w:rPr>
      </w:pPr>
      <w:bookmarkStart w:id="10" w:name="_Toc398652602"/>
      <w:r w:rsidRPr="00BF0C39">
        <w:rPr>
          <w:b/>
        </w:rPr>
        <w:t>Benefits/harms</w:t>
      </w:r>
      <w:bookmarkEnd w:id="10"/>
    </w:p>
    <w:p w:rsidR="007F1017" w:rsidRPr="007F1017" w:rsidRDefault="007F1017" w:rsidP="007F1017">
      <w:pPr>
        <w:pStyle w:val="ListParagraph"/>
        <w:ind w:left="0"/>
        <w:rPr>
          <w:szCs w:val="22"/>
        </w:rPr>
      </w:pPr>
    </w:p>
    <w:p w:rsidR="00EC00C9" w:rsidRPr="00B50DB8" w:rsidRDefault="00EC00C9" w:rsidP="00B80C0B">
      <w:pPr>
        <w:pStyle w:val="ListParagraph"/>
        <w:widowControl/>
        <w:numPr>
          <w:ilvl w:val="1"/>
          <w:numId w:val="3"/>
        </w:numPr>
        <w:rPr>
          <w:szCs w:val="22"/>
        </w:rPr>
      </w:pPr>
      <w:r w:rsidRPr="00B50DB8">
        <w:rPr>
          <w:szCs w:val="22"/>
        </w:rPr>
        <w:t xml:space="preserve">A summary of the comparative benefits and harms for </w:t>
      </w:r>
      <w:r w:rsidR="00672D01">
        <w:rPr>
          <w:szCs w:val="22"/>
        </w:rPr>
        <w:t>the indirect comparison of aflibercept</w:t>
      </w:r>
      <w:r w:rsidRPr="00B50DB8">
        <w:rPr>
          <w:szCs w:val="22"/>
        </w:rPr>
        <w:t xml:space="preserve"> versus </w:t>
      </w:r>
      <w:r w:rsidR="00672D01">
        <w:rPr>
          <w:szCs w:val="22"/>
        </w:rPr>
        <w:t>ranibizumab</w:t>
      </w:r>
      <w:r w:rsidRPr="00B50DB8">
        <w:rPr>
          <w:szCs w:val="22"/>
        </w:rPr>
        <w:t xml:space="preserve"> </w:t>
      </w:r>
      <w:r w:rsidR="00672D01">
        <w:rPr>
          <w:szCs w:val="22"/>
        </w:rPr>
        <w:t>as well as the direct comparison versus laser photocoagulation are</w:t>
      </w:r>
      <w:r w:rsidRPr="00B50DB8">
        <w:rPr>
          <w:szCs w:val="22"/>
        </w:rPr>
        <w:t xml:space="preserve"> presented in the table below.</w:t>
      </w:r>
    </w:p>
    <w:p w:rsidR="00B62715" w:rsidRDefault="00B62715" w:rsidP="00B62715"/>
    <w:p w:rsidR="00B62715" w:rsidRPr="00A578DC" w:rsidRDefault="00B62715" w:rsidP="00C750C8">
      <w:pPr>
        <w:ind w:left="720"/>
        <w:rPr>
          <w:rStyle w:val="CommentReference"/>
        </w:rPr>
      </w:pPr>
      <w:r w:rsidRPr="00A578DC">
        <w:rPr>
          <w:rStyle w:val="CommentReference"/>
        </w:rPr>
        <w:t xml:space="preserve">Summary of comparative benefits and harms for </w:t>
      </w:r>
      <w:r w:rsidR="00125158">
        <w:rPr>
          <w:rStyle w:val="CommentReference"/>
        </w:rPr>
        <w:t xml:space="preserve">the aflibercept, </w:t>
      </w:r>
      <w:r w:rsidR="006D1749">
        <w:rPr>
          <w:rStyle w:val="CommentReference"/>
        </w:rPr>
        <w:t>ranibizumab</w:t>
      </w:r>
      <w:r w:rsidRPr="00A578DC">
        <w:rPr>
          <w:rStyle w:val="CommentReference"/>
        </w:rPr>
        <w:t xml:space="preserve"> </w:t>
      </w:r>
      <w:r w:rsidR="00125158">
        <w:rPr>
          <w:rStyle w:val="CommentReference"/>
        </w:rPr>
        <w:t>and laser photocoagulation</w:t>
      </w:r>
    </w:p>
    <w:tbl>
      <w:tblPr>
        <w:tblStyle w:val="TableGrid"/>
        <w:tblW w:w="4666" w:type="pct"/>
        <w:tblInd w:w="705" w:type="dxa"/>
        <w:tblLayout w:type="fixed"/>
        <w:tblCellMar>
          <w:left w:w="28" w:type="dxa"/>
          <w:right w:w="28" w:type="dxa"/>
        </w:tblCellMar>
        <w:tblLook w:val="04A0" w:firstRow="1" w:lastRow="0" w:firstColumn="1" w:lastColumn="0" w:noHBand="0" w:noVBand="1"/>
      </w:tblPr>
      <w:tblGrid>
        <w:gridCol w:w="1826"/>
        <w:gridCol w:w="837"/>
        <w:gridCol w:w="627"/>
        <w:gridCol w:w="37"/>
        <w:gridCol w:w="1027"/>
        <w:gridCol w:w="1068"/>
        <w:gridCol w:w="705"/>
        <w:gridCol w:w="709"/>
        <w:gridCol w:w="558"/>
        <w:gridCol w:w="1082"/>
      </w:tblGrid>
      <w:tr w:rsidR="00920EE5" w:rsidRPr="000C35A1">
        <w:trPr>
          <w:trHeight w:val="150"/>
        </w:trPr>
        <w:tc>
          <w:tcPr>
            <w:tcW w:w="1077" w:type="pct"/>
            <w:vMerge w:val="restart"/>
            <w:shd w:val="clear" w:color="auto" w:fill="auto"/>
            <w:vAlign w:val="center"/>
          </w:tcPr>
          <w:p w:rsidR="006D1749" w:rsidRPr="000C35A1" w:rsidRDefault="006D1749" w:rsidP="00EC00C9">
            <w:pPr>
              <w:rPr>
                <w:rFonts w:ascii="Arial Narrow" w:hAnsi="Arial Narrow"/>
                <w:b/>
                <w:color w:val="000000"/>
                <w:sz w:val="20"/>
                <w:szCs w:val="18"/>
              </w:rPr>
            </w:pPr>
            <w:r w:rsidRPr="000C35A1">
              <w:rPr>
                <w:rFonts w:ascii="Arial Narrow" w:hAnsi="Arial Narrow"/>
                <w:b/>
                <w:color w:val="000000"/>
                <w:sz w:val="20"/>
                <w:szCs w:val="18"/>
              </w:rPr>
              <w:t>Trial</w:t>
            </w:r>
          </w:p>
        </w:tc>
        <w:tc>
          <w:tcPr>
            <w:tcW w:w="494" w:type="pct"/>
            <w:vMerge w:val="restart"/>
            <w:vAlign w:val="center"/>
          </w:tcPr>
          <w:p w:rsidR="006D1749" w:rsidRPr="000C35A1" w:rsidRDefault="006D1749" w:rsidP="00EC00C9">
            <w:pPr>
              <w:jc w:val="center"/>
              <w:rPr>
                <w:rFonts w:ascii="Arial Narrow" w:hAnsi="Arial Narrow"/>
                <w:b/>
                <w:color w:val="000000"/>
                <w:sz w:val="20"/>
                <w:szCs w:val="18"/>
              </w:rPr>
            </w:pPr>
            <w:r w:rsidRPr="000C35A1">
              <w:rPr>
                <w:rFonts w:ascii="Arial Narrow" w:hAnsi="Arial Narrow"/>
                <w:b/>
                <w:color w:val="000000"/>
                <w:sz w:val="20"/>
                <w:szCs w:val="18"/>
              </w:rPr>
              <w:t>AFB 2Q8</w:t>
            </w:r>
          </w:p>
        </w:tc>
        <w:tc>
          <w:tcPr>
            <w:tcW w:w="392" w:type="pct"/>
            <w:gridSpan w:val="2"/>
            <w:vMerge w:val="restart"/>
            <w:vAlign w:val="center"/>
          </w:tcPr>
          <w:p w:rsidR="006D1749" w:rsidRPr="000C35A1" w:rsidRDefault="006D1749" w:rsidP="00EC00C9">
            <w:pPr>
              <w:jc w:val="center"/>
              <w:rPr>
                <w:rFonts w:ascii="Arial Narrow" w:hAnsi="Arial Narrow"/>
                <w:b/>
                <w:color w:val="000000"/>
                <w:sz w:val="20"/>
                <w:szCs w:val="18"/>
              </w:rPr>
            </w:pPr>
            <w:r w:rsidRPr="000C35A1">
              <w:rPr>
                <w:rFonts w:ascii="Arial Narrow" w:hAnsi="Arial Narrow"/>
                <w:b/>
                <w:color w:val="000000"/>
                <w:sz w:val="20"/>
                <w:szCs w:val="18"/>
              </w:rPr>
              <w:t>Laser</w:t>
            </w:r>
          </w:p>
        </w:tc>
        <w:tc>
          <w:tcPr>
            <w:tcW w:w="606" w:type="pct"/>
            <w:vMerge w:val="restart"/>
            <w:vAlign w:val="center"/>
          </w:tcPr>
          <w:p w:rsidR="006D1749" w:rsidRPr="000C35A1" w:rsidRDefault="006D1749" w:rsidP="00EC00C9">
            <w:pPr>
              <w:jc w:val="center"/>
              <w:rPr>
                <w:rFonts w:ascii="Arial Narrow" w:hAnsi="Arial Narrow"/>
                <w:b/>
                <w:color w:val="000000"/>
                <w:sz w:val="20"/>
                <w:szCs w:val="18"/>
              </w:rPr>
            </w:pPr>
            <w:r w:rsidRPr="000C35A1">
              <w:rPr>
                <w:rFonts w:ascii="Arial Narrow" w:hAnsi="Arial Narrow"/>
                <w:b/>
                <w:color w:val="000000"/>
                <w:sz w:val="20"/>
                <w:szCs w:val="18"/>
              </w:rPr>
              <w:t>RBZ 0.5mg</w:t>
            </w:r>
          </w:p>
        </w:tc>
        <w:tc>
          <w:tcPr>
            <w:tcW w:w="630" w:type="pct"/>
            <w:vMerge w:val="restart"/>
            <w:vAlign w:val="center"/>
          </w:tcPr>
          <w:p w:rsidR="006D1749" w:rsidRPr="000C35A1" w:rsidRDefault="006D1749" w:rsidP="00EC00C9">
            <w:pPr>
              <w:jc w:val="center"/>
              <w:rPr>
                <w:rFonts w:ascii="Arial Narrow" w:hAnsi="Arial Narrow"/>
                <w:b/>
                <w:color w:val="000000"/>
                <w:sz w:val="20"/>
                <w:szCs w:val="18"/>
              </w:rPr>
            </w:pPr>
            <w:r w:rsidRPr="000C35A1">
              <w:rPr>
                <w:rFonts w:ascii="Arial Narrow" w:hAnsi="Arial Narrow"/>
                <w:b/>
                <w:color w:val="000000"/>
                <w:sz w:val="20"/>
                <w:szCs w:val="18"/>
              </w:rPr>
              <w:t>RR</w:t>
            </w:r>
          </w:p>
          <w:p w:rsidR="006D1749" w:rsidRPr="000C35A1" w:rsidRDefault="006D1749" w:rsidP="00EC00C9">
            <w:pPr>
              <w:jc w:val="center"/>
              <w:rPr>
                <w:rFonts w:ascii="Arial Narrow" w:hAnsi="Arial Narrow"/>
                <w:b/>
                <w:color w:val="000000"/>
                <w:sz w:val="20"/>
                <w:szCs w:val="18"/>
              </w:rPr>
            </w:pPr>
            <w:r w:rsidRPr="000C35A1">
              <w:rPr>
                <w:rFonts w:ascii="Arial Narrow" w:hAnsi="Arial Narrow"/>
                <w:b/>
                <w:color w:val="000000"/>
                <w:sz w:val="20"/>
                <w:szCs w:val="18"/>
              </w:rPr>
              <w:t>(95% CI)</w:t>
            </w:r>
          </w:p>
        </w:tc>
        <w:tc>
          <w:tcPr>
            <w:tcW w:w="1163" w:type="pct"/>
            <w:gridSpan w:val="3"/>
            <w:vAlign w:val="center"/>
          </w:tcPr>
          <w:p w:rsidR="006D1749" w:rsidRPr="000C35A1" w:rsidRDefault="006D1749" w:rsidP="00EC00C9">
            <w:pPr>
              <w:jc w:val="center"/>
              <w:rPr>
                <w:rFonts w:ascii="Arial Narrow" w:hAnsi="Arial Narrow"/>
                <w:b/>
                <w:color w:val="000000"/>
                <w:sz w:val="20"/>
                <w:szCs w:val="18"/>
              </w:rPr>
            </w:pPr>
            <w:r w:rsidRPr="000C35A1">
              <w:rPr>
                <w:rFonts w:ascii="Arial Narrow" w:hAnsi="Arial Narrow"/>
                <w:b/>
                <w:color w:val="000000"/>
                <w:sz w:val="20"/>
                <w:szCs w:val="18"/>
              </w:rPr>
              <w:t xml:space="preserve">Event rate/100 patients* </w:t>
            </w:r>
          </w:p>
        </w:tc>
        <w:tc>
          <w:tcPr>
            <w:tcW w:w="638" w:type="pct"/>
            <w:vMerge w:val="restart"/>
            <w:vAlign w:val="center"/>
          </w:tcPr>
          <w:p w:rsidR="006D1749" w:rsidRPr="000C35A1" w:rsidRDefault="006D1749" w:rsidP="006D1749">
            <w:pPr>
              <w:jc w:val="center"/>
              <w:rPr>
                <w:rFonts w:ascii="Arial Narrow" w:hAnsi="Arial Narrow"/>
                <w:b/>
                <w:color w:val="000000"/>
                <w:sz w:val="20"/>
                <w:szCs w:val="18"/>
              </w:rPr>
            </w:pPr>
            <w:r w:rsidRPr="000C35A1">
              <w:rPr>
                <w:rFonts w:ascii="Arial Narrow" w:hAnsi="Arial Narrow"/>
                <w:b/>
                <w:color w:val="000000"/>
                <w:sz w:val="20"/>
                <w:szCs w:val="18"/>
              </w:rPr>
              <w:t>RD</w:t>
            </w:r>
            <w:r w:rsidR="00186BC8" w:rsidRPr="000C35A1">
              <w:rPr>
                <w:rFonts w:ascii="Arial Narrow" w:hAnsi="Arial Narrow"/>
                <w:b/>
                <w:color w:val="000000"/>
                <w:sz w:val="20"/>
                <w:szCs w:val="18"/>
              </w:rPr>
              <w:t>%</w:t>
            </w:r>
            <w:r w:rsidRPr="000C35A1">
              <w:rPr>
                <w:rFonts w:ascii="Arial Narrow" w:hAnsi="Arial Narrow"/>
                <w:b/>
                <w:color w:val="000000"/>
                <w:sz w:val="20"/>
                <w:szCs w:val="18"/>
              </w:rPr>
              <w:t xml:space="preserve"> </w:t>
            </w:r>
          </w:p>
          <w:p w:rsidR="006D1749" w:rsidRPr="000C35A1" w:rsidRDefault="006D1749" w:rsidP="006D1749">
            <w:pPr>
              <w:jc w:val="center"/>
              <w:rPr>
                <w:rFonts w:ascii="Arial Narrow" w:hAnsi="Arial Narrow"/>
                <w:b/>
                <w:color w:val="000000"/>
                <w:sz w:val="20"/>
                <w:szCs w:val="18"/>
              </w:rPr>
            </w:pPr>
            <w:r w:rsidRPr="000C35A1">
              <w:rPr>
                <w:rFonts w:ascii="Arial Narrow" w:hAnsi="Arial Narrow"/>
                <w:b/>
                <w:color w:val="000000"/>
                <w:sz w:val="20"/>
                <w:szCs w:val="18"/>
              </w:rPr>
              <w:t>(95% CI)</w:t>
            </w:r>
          </w:p>
        </w:tc>
      </w:tr>
      <w:tr w:rsidR="00920EE5" w:rsidRPr="000C35A1">
        <w:trPr>
          <w:trHeight w:val="70"/>
        </w:trPr>
        <w:tc>
          <w:tcPr>
            <w:tcW w:w="1077" w:type="pct"/>
            <w:vMerge/>
            <w:shd w:val="clear" w:color="auto" w:fill="auto"/>
            <w:vAlign w:val="center"/>
          </w:tcPr>
          <w:p w:rsidR="006D1749" w:rsidRPr="000C35A1" w:rsidRDefault="006D1749" w:rsidP="00EC00C9">
            <w:pPr>
              <w:rPr>
                <w:rFonts w:ascii="Arial Narrow" w:hAnsi="Arial Narrow"/>
                <w:b/>
                <w:color w:val="000000"/>
                <w:sz w:val="20"/>
                <w:szCs w:val="18"/>
              </w:rPr>
            </w:pPr>
          </w:p>
        </w:tc>
        <w:tc>
          <w:tcPr>
            <w:tcW w:w="494" w:type="pct"/>
            <w:vMerge/>
            <w:vAlign w:val="center"/>
          </w:tcPr>
          <w:p w:rsidR="006D1749" w:rsidRPr="000C35A1" w:rsidRDefault="006D1749" w:rsidP="00EC00C9">
            <w:pPr>
              <w:jc w:val="center"/>
              <w:rPr>
                <w:rFonts w:ascii="Arial Narrow" w:hAnsi="Arial Narrow"/>
                <w:b/>
                <w:color w:val="000000"/>
                <w:sz w:val="20"/>
                <w:szCs w:val="18"/>
              </w:rPr>
            </w:pPr>
          </w:p>
        </w:tc>
        <w:tc>
          <w:tcPr>
            <w:tcW w:w="392" w:type="pct"/>
            <w:gridSpan w:val="2"/>
            <w:vMerge/>
            <w:vAlign w:val="center"/>
          </w:tcPr>
          <w:p w:rsidR="006D1749" w:rsidRPr="000C35A1" w:rsidRDefault="006D1749" w:rsidP="00EC00C9">
            <w:pPr>
              <w:jc w:val="center"/>
              <w:rPr>
                <w:rFonts w:ascii="Arial Narrow" w:hAnsi="Arial Narrow"/>
                <w:b/>
                <w:color w:val="000000"/>
                <w:sz w:val="20"/>
                <w:szCs w:val="18"/>
              </w:rPr>
            </w:pPr>
          </w:p>
        </w:tc>
        <w:tc>
          <w:tcPr>
            <w:tcW w:w="606" w:type="pct"/>
            <w:vMerge/>
            <w:vAlign w:val="center"/>
          </w:tcPr>
          <w:p w:rsidR="006D1749" w:rsidRPr="000C35A1" w:rsidRDefault="006D1749" w:rsidP="00EC00C9">
            <w:pPr>
              <w:jc w:val="center"/>
              <w:rPr>
                <w:rFonts w:ascii="Arial Narrow" w:hAnsi="Arial Narrow"/>
                <w:b/>
                <w:color w:val="000000"/>
                <w:sz w:val="20"/>
                <w:szCs w:val="18"/>
              </w:rPr>
            </w:pPr>
          </w:p>
        </w:tc>
        <w:tc>
          <w:tcPr>
            <w:tcW w:w="630" w:type="pct"/>
            <w:vMerge/>
            <w:vAlign w:val="center"/>
          </w:tcPr>
          <w:p w:rsidR="006D1749" w:rsidRPr="000C35A1" w:rsidRDefault="006D1749" w:rsidP="00EC00C9">
            <w:pPr>
              <w:jc w:val="center"/>
              <w:rPr>
                <w:rFonts w:ascii="Arial Narrow" w:hAnsi="Arial Narrow"/>
                <w:b/>
                <w:color w:val="000000"/>
                <w:sz w:val="20"/>
                <w:szCs w:val="18"/>
              </w:rPr>
            </w:pPr>
          </w:p>
        </w:tc>
        <w:tc>
          <w:tcPr>
            <w:tcW w:w="416" w:type="pct"/>
            <w:vAlign w:val="center"/>
          </w:tcPr>
          <w:p w:rsidR="006D1749" w:rsidRPr="000C35A1" w:rsidRDefault="006D1749" w:rsidP="00672D01">
            <w:pPr>
              <w:jc w:val="center"/>
              <w:rPr>
                <w:rFonts w:ascii="Arial Narrow" w:hAnsi="Arial Narrow"/>
                <w:b/>
                <w:color w:val="000000"/>
                <w:sz w:val="20"/>
                <w:szCs w:val="18"/>
              </w:rPr>
            </w:pPr>
            <w:r w:rsidRPr="000C35A1">
              <w:rPr>
                <w:rFonts w:ascii="Arial Narrow" w:hAnsi="Arial Narrow"/>
                <w:b/>
                <w:color w:val="000000"/>
                <w:sz w:val="20"/>
                <w:szCs w:val="18"/>
              </w:rPr>
              <w:t>AFB</w:t>
            </w:r>
          </w:p>
        </w:tc>
        <w:tc>
          <w:tcPr>
            <w:tcW w:w="418" w:type="pct"/>
            <w:vAlign w:val="center"/>
          </w:tcPr>
          <w:p w:rsidR="006D1749" w:rsidRPr="000C35A1" w:rsidRDefault="006D1749" w:rsidP="00EC00C9">
            <w:pPr>
              <w:jc w:val="center"/>
              <w:rPr>
                <w:rFonts w:ascii="Arial Narrow" w:hAnsi="Arial Narrow"/>
                <w:b/>
                <w:color w:val="000000"/>
                <w:sz w:val="20"/>
                <w:szCs w:val="18"/>
              </w:rPr>
            </w:pPr>
            <w:r w:rsidRPr="000C35A1">
              <w:rPr>
                <w:rFonts w:ascii="Arial Narrow" w:hAnsi="Arial Narrow"/>
                <w:b/>
                <w:color w:val="000000"/>
                <w:sz w:val="20"/>
                <w:szCs w:val="18"/>
              </w:rPr>
              <w:t>Laser</w:t>
            </w:r>
          </w:p>
        </w:tc>
        <w:tc>
          <w:tcPr>
            <w:tcW w:w="329" w:type="pct"/>
            <w:vAlign w:val="center"/>
          </w:tcPr>
          <w:p w:rsidR="006D1749" w:rsidRPr="000C35A1" w:rsidRDefault="006D1749" w:rsidP="00EC00C9">
            <w:pPr>
              <w:jc w:val="center"/>
              <w:rPr>
                <w:rFonts w:ascii="Arial Narrow" w:hAnsi="Arial Narrow"/>
                <w:b/>
                <w:color w:val="000000"/>
                <w:sz w:val="20"/>
                <w:szCs w:val="18"/>
              </w:rPr>
            </w:pPr>
            <w:r w:rsidRPr="000C35A1">
              <w:rPr>
                <w:rFonts w:ascii="Arial Narrow" w:hAnsi="Arial Narrow"/>
                <w:b/>
                <w:color w:val="000000"/>
                <w:sz w:val="20"/>
                <w:szCs w:val="18"/>
              </w:rPr>
              <w:t>RBZ</w:t>
            </w:r>
          </w:p>
        </w:tc>
        <w:tc>
          <w:tcPr>
            <w:tcW w:w="638" w:type="pct"/>
            <w:vMerge/>
            <w:vAlign w:val="center"/>
          </w:tcPr>
          <w:p w:rsidR="006D1749" w:rsidRPr="000C35A1" w:rsidRDefault="006D1749" w:rsidP="00EC00C9">
            <w:pPr>
              <w:jc w:val="center"/>
              <w:rPr>
                <w:rFonts w:ascii="Arial Narrow" w:hAnsi="Arial Narrow"/>
                <w:b/>
                <w:color w:val="000000"/>
                <w:sz w:val="20"/>
                <w:szCs w:val="18"/>
              </w:rPr>
            </w:pPr>
          </w:p>
        </w:tc>
      </w:tr>
      <w:tr w:rsidR="005D044D" w:rsidRPr="000C35A1">
        <w:tc>
          <w:tcPr>
            <w:tcW w:w="5000" w:type="pct"/>
            <w:gridSpan w:val="10"/>
            <w:tcBorders>
              <w:bottom w:val="single" w:sz="4" w:space="0" w:color="auto"/>
            </w:tcBorders>
            <w:shd w:val="clear" w:color="auto" w:fill="auto"/>
            <w:vAlign w:val="center"/>
          </w:tcPr>
          <w:p w:rsidR="00B62715" w:rsidRPr="000C35A1" w:rsidRDefault="00B62715" w:rsidP="00EC00C9">
            <w:pPr>
              <w:rPr>
                <w:rFonts w:ascii="Arial Narrow" w:hAnsi="Arial Narrow"/>
                <w:b/>
                <w:color w:val="000000"/>
                <w:sz w:val="20"/>
                <w:szCs w:val="18"/>
              </w:rPr>
            </w:pPr>
            <w:r w:rsidRPr="000C35A1">
              <w:rPr>
                <w:rFonts w:ascii="Arial Narrow" w:hAnsi="Arial Narrow"/>
                <w:b/>
                <w:color w:val="000000"/>
                <w:sz w:val="20"/>
                <w:szCs w:val="18"/>
              </w:rPr>
              <w:t>Benefits</w:t>
            </w:r>
          </w:p>
        </w:tc>
      </w:tr>
      <w:tr w:rsidR="00186BC8" w:rsidRPr="000C35A1">
        <w:tc>
          <w:tcPr>
            <w:tcW w:w="5000" w:type="pct"/>
            <w:gridSpan w:val="10"/>
            <w:tcBorders>
              <w:top w:val="single" w:sz="4" w:space="0" w:color="auto"/>
              <w:bottom w:val="single" w:sz="4" w:space="0" w:color="auto"/>
            </w:tcBorders>
            <w:shd w:val="clear" w:color="auto" w:fill="auto"/>
            <w:vAlign w:val="center"/>
          </w:tcPr>
          <w:p w:rsidR="00186BC8" w:rsidRPr="000C35A1" w:rsidRDefault="004675AB" w:rsidP="00186BC8">
            <w:pPr>
              <w:rPr>
                <w:rFonts w:ascii="Arial Narrow" w:hAnsi="Arial Narrow"/>
                <w:b/>
                <w:color w:val="000000"/>
                <w:sz w:val="20"/>
                <w:szCs w:val="18"/>
              </w:rPr>
            </w:pPr>
            <w:r w:rsidRPr="000C35A1">
              <w:rPr>
                <w:rFonts w:ascii="Arial Narrow" w:hAnsi="Arial Narrow"/>
                <w:b/>
                <w:color w:val="000000"/>
                <w:sz w:val="20"/>
                <w:szCs w:val="18"/>
              </w:rPr>
              <w:t xml:space="preserve">Mean change in baseline BCVA in </w:t>
            </w:r>
            <w:r w:rsidR="004209BF" w:rsidRPr="000C35A1">
              <w:rPr>
                <w:rFonts w:ascii="Arial Narrow" w:hAnsi="Arial Narrow"/>
                <w:b/>
                <w:color w:val="000000"/>
                <w:sz w:val="20"/>
                <w:szCs w:val="18"/>
              </w:rPr>
              <w:t>ETDRS</w:t>
            </w:r>
            <w:r w:rsidRPr="000C35A1">
              <w:rPr>
                <w:rFonts w:ascii="Arial Narrow" w:hAnsi="Arial Narrow"/>
                <w:b/>
                <w:color w:val="000000"/>
                <w:sz w:val="20"/>
                <w:szCs w:val="18"/>
              </w:rPr>
              <w:t xml:space="preserve"> letter score at 12 months</w:t>
            </w:r>
          </w:p>
        </w:tc>
      </w:tr>
      <w:tr w:rsidR="00920EE5" w:rsidRPr="000C35A1">
        <w:trPr>
          <w:trHeight w:val="225"/>
        </w:trPr>
        <w:tc>
          <w:tcPr>
            <w:tcW w:w="1571" w:type="pct"/>
            <w:gridSpan w:val="2"/>
            <w:vMerge w:val="restart"/>
            <w:shd w:val="clear" w:color="auto" w:fill="auto"/>
            <w:vAlign w:val="center"/>
          </w:tcPr>
          <w:p w:rsidR="003F3CE6" w:rsidRPr="000C35A1" w:rsidRDefault="003F3CE6" w:rsidP="003F3CE6">
            <w:pPr>
              <w:jc w:val="center"/>
              <w:rPr>
                <w:rFonts w:ascii="Arial Narrow" w:hAnsi="Arial Narrow"/>
                <w:color w:val="000000"/>
                <w:sz w:val="20"/>
                <w:szCs w:val="18"/>
              </w:rPr>
            </w:pPr>
          </w:p>
        </w:tc>
        <w:tc>
          <w:tcPr>
            <w:tcW w:w="1628" w:type="pct"/>
            <w:gridSpan w:val="4"/>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b/>
                <w:color w:val="000000"/>
                <w:sz w:val="20"/>
                <w:szCs w:val="18"/>
              </w:rPr>
              <w:t>AFB 2Q8 or RBZ 0.5mg vs laser photocoagulation</w:t>
            </w:r>
          </w:p>
        </w:tc>
        <w:tc>
          <w:tcPr>
            <w:tcW w:w="1802" w:type="pct"/>
            <w:gridSpan w:val="4"/>
            <w:vAlign w:val="center"/>
          </w:tcPr>
          <w:p w:rsidR="003F3CE6" w:rsidRPr="000C35A1" w:rsidRDefault="003F3CE6" w:rsidP="003F3CE6">
            <w:pPr>
              <w:jc w:val="center"/>
              <w:rPr>
                <w:rFonts w:ascii="Arial Narrow" w:hAnsi="Arial Narrow"/>
                <w:b/>
                <w:sz w:val="20"/>
                <w:szCs w:val="18"/>
              </w:rPr>
            </w:pPr>
            <w:r w:rsidRPr="000C35A1">
              <w:rPr>
                <w:rFonts w:ascii="Arial Narrow" w:hAnsi="Arial Narrow"/>
                <w:b/>
                <w:sz w:val="20"/>
                <w:szCs w:val="18"/>
              </w:rPr>
              <w:t xml:space="preserve">Indirect comparison: </w:t>
            </w:r>
          </w:p>
          <w:p w:rsidR="003F3CE6" w:rsidRPr="000C35A1" w:rsidRDefault="003F3CE6" w:rsidP="00920EE5">
            <w:pPr>
              <w:jc w:val="center"/>
              <w:rPr>
                <w:rFonts w:ascii="Arial Narrow" w:hAnsi="Arial Narrow"/>
                <w:b/>
                <w:sz w:val="20"/>
                <w:szCs w:val="18"/>
              </w:rPr>
            </w:pPr>
            <w:r w:rsidRPr="000C35A1">
              <w:rPr>
                <w:rFonts w:ascii="Arial Narrow" w:hAnsi="Arial Narrow"/>
                <w:b/>
                <w:color w:val="000000"/>
                <w:sz w:val="20"/>
                <w:szCs w:val="18"/>
              </w:rPr>
              <w:t>AFB 2Q8 vs RBZ 0.5mg</w:t>
            </w:r>
            <w:r w:rsidRPr="000C35A1">
              <w:rPr>
                <w:rFonts w:ascii="Arial Narrow" w:hAnsi="Arial Narrow"/>
                <w:b/>
                <w:sz w:val="20"/>
                <w:szCs w:val="18"/>
              </w:rPr>
              <w:t>; MD: (95%CI)</w:t>
            </w:r>
          </w:p>
        </w:tc>
      </w:tr>
      <w:tr w:rsidR="00920EE5" w:rsidRPr="000C35A1">
        <w:trPr>
          <w:trHeight w:val="70"/>
        </w:trPr>
        <w:tc>
          <w:tcPr>
            <w:tcW w:w="1571" w:type="pct"/>
            <w:gridSpan w:val="2"/>
            <w:vMerge/>
            <w:shd w:val="clear" w:color="auto" w:fill="auto"/>
            <w:vAlign w:val="center"/>
          </w:tcPr>
          <w:p w:rsidR="003F3CE6" w:rsidRPr="000C35A1" w:rsidRDefault="003F3CE6" w:rsidP="003F3CE6">
            <w:pPr>
              <w:jc w:val="center"/>
              <w:rPr>
                <w:rFonts w:ascii="Arial Narrow" w:hAnsi="Arial Narrow"/>
                <w:b/>
                <w:color w:val="000000"/>
                <w:sz w:val="20"/>
                <w:szCs w:val="18"/>
              </w:rPr>
            </w:pPr>
          </w:p>
        </w:tc>
        <w:tc>
          <w:tcPr>
            <w:tcW w:w="370" w:type="pct"/>
            <w:vAlign w:val="center"/>
          </w:tcPr>
          <w:p w:rsidR="003F3CE6" w:rsidRPr="000C35A1" w:rsidRDefault="003F3CE6" w:rsidP="003F3CE6">
            <w:pPr>
              <w:jc w:val="center"/>
              <w:rPr>
                <w:rFonts w:ascii="Arial Narrow" w:hAnsi="Arial Narrow"/>
                <w:b/>
                <w:sz w:val="20"/>
                <w:szCs w:val="18"/>
              </w:rPr>
            </w:pPr>
            <w:r w:rsidRPr="000C35A1">
              <w:rPr>
                <w:rFonts w:ascii="Arial Narrow" w:hAnsi="Arial Narrow"/>
                <w:b/>
                <w:color w:val="000000"/>
                <w:sz w:val="20"/>
                <w:szCs w:val="18"/>
              </w:rPr>
              <w:t>n</w:t>
            </w:r>
          </w:p>
        </w:tc>
        <w:tc>
          <w:tcPr>
            <w:tcW w:w="1258" w:type="pct"/>
            <w:gridSpan w:val="3"/>
            <w:vAlign w:val="center"/>
          </w:tcPr>
          <w:p w:rsidR="003F3CE6" w:rsidRPr="000C35A1" w:rsidRDefault="003F3CE6" w:rsidP="003F3CE6">
            <w:pPr>
              <w:jc w:val="center"/>
              <w:rPr>
                <w:rFonts w:ascii="Arial Narrow" w:hAnsi="Arial Narrow"/>
                <w:b/>
                <w:sz w:val="20"/>
                <w:szCs w:val="18"/>
              </w:rPr>
            </w:pPr>
            <w:r w:rsidRPr="000C35A1">
              <w:rPr>
                <w:rFonts w:ascii="Arial Narrow" w:hAnsi="Arial Narrow"/>
                <w:b/>
                <w:sz w:val="20"/>
                <w:szCs w:val="18"/>
              </w:rPr>
              <w:t>MD (95% CI)</w:t>
            </w:r>
          </w:p>
        </w:tc>
        <w:tc>
          <w:tcPr>
            <w:tcW w:w="1802" w:type="pct"/>
            <w:gridSpan w:val="4"/>
            <w:vMerge w:val="restart"/>
            <w:vAlign w:val="center"/>
          </w:tcPr>
          <w:p w:rsidR="003F3CE6" w:rsidRPr="000C35A1" w:rsidRDefault="003F3CE6" w:rsidP="003F3CE6">
            <w:pPr>
              <w:jc w:val="center"/>
              <w:rPr>
                <w:rFonts w:ascii="Arial Narrow" w:hAnsi="Arial Narrow"/>
                <w:sz w:val="20"/>
                <w:szCs w:val="18"/>
              </w:rPr>
            </w:pPr>
            <w:r w:rsidRPr="000C35A1">
              <w:rPr>
                <w:rFonts w:ascii="Arial Narrow" w:hAnsi="Arial Narrow"/>
                <w:sz w:val="20"/>
                <w:szCs w:val="18"/>
              </w:rPr>
              <w:t>4.81 (2.51, 7.11)</w:t>
            </w:r>
          </w:p>
        </w:tc>
      </w:tr>
      <w:tr w:rsidR="00920EE5" w:rsidRPr="000C35A1">
        <w:tc>
          <w:tcPr>
            <w:tcW w:w="1571" w:type="pct"/>
            <w:gridSpan w:val="2"/>
            <w:tcBorders>
              <w:bottom w:val="single" w:sz="4" w:space="0" w:color="auto"/>
            </w:tcBorders>
            <w:shd w:val="clear" w:color="auto" w:fill="auto"/>
            <w:vAlign w:val="center"/>
          </w:tcPr>
          <w:p w:rsidR="003F3CE6" w:rsidRPr="000C35A1" w:rsidRDefault="003F3CE6" w:rsidP="003F3CE6">
            <w:pPr>
              <w:rPr>
                <w:rFonts w:ascii="Arial Narrow" w:hAnsi="Arial Narrow"/>
                <w:sz w:val="20"/>
              </w:rPr>
            </w:pPr>
            <w:r w:rsidRPr="000C35A1">
              <w:rPr>
                <w:rFonts w:ascii="Arial Narrow" w:hAnsi="Arial Narrow"/>
                <w:color w:val="000000"/>
                <w:sz w:val="20"/>
                <w:szCs w:val="18"/>
              </w:rPr>
              <w:t xml:space="preserve">VIVID, VISTA: </w:t>
            </w:r>
            <w:proofErr w:type="spellStart"/>
            <w:r w:rsidRPr="000C35A1">
              <w:rPr>
                <w:rFonts w:ascii="Arial Narrow" w:hAnsi="Arial Narrow"/>
                <w:color w:val="000000"/>
                <w:sz w:val="20"/>
                <w:szCs w:val="18"/>
              </w:rPr>
              <w:t>meta analysis</w:t>
            </w:r>
            <w:proofErr w:type="spellEnd"/>
          </w:p>
        </w:tc>
        <w:tc>
          <w:tcPr>
            <w:tcW w:w="370" w:type="pct"/>
            <w:tcBorders>
              <w:bottom w:val="single" w:sz="4" w:space="0" w:color="auto"/>
            </w:tcBorders>
            <w:vAlign w:val="center"/>
          </w:tcPr>
          <w:p w:rsidR="003F3CE6" w:rsidRPr="000C35A1" w:rsidRDefault="003F3CE6" w:rsidP="003F3CE6">
            <w:pPr>
              <w:jc w:val="center"/>
              <w:rPr>
                <w:rFonts w:ascii="Arial Narrow" w:hAnsi="Arial Narrow"/>
                <w:color w:val="000000"/>
                <w:sz w:val="20"/>
              </w:rPr>
            </w:pPr>
            <w:r w:rsidRPr="000C35A1">
              <w:rPr>
                <w:rFonts w:ascii="Arial Narrow" w:hAnsi="Arial Narrow"/>
                <w:sz w:val="20"/>
              </w:rPr>
              <w:t>572</w:t>
            </w:r>
          </w:p>
        </w:tc>
        <w:tc>
          <w:tcPr>
            <w:tcW w:w="1258" w:type="pct"/>
            <w:gridSpan w:val="3"/>
            <w:tcBorders>
              <w:bottom w:val="single" w:sz="4" w:space="0" w:color="auto"/>
            </w:tcBorders>
            <w:vAlign w:val="center"/>
          </w:tcPr>
          <w:p w:rsidR="003F3CE6" w:rsidRPr="000C35A1" w:rsidRDefault="003F3CE6" w:rsidP="003F3CE6">
            <w:pPr>
              <w:jc w:val="center"/>
              <w:rPr>
                <w:rFonts w:ascii="Arial Narrow" w:hAnsi="Arial Narrow"/>
                <w:color w:val="000000"/>
                <w:sz w:val="20"/>
              </w:rPr>
            </w:pPr>
            <w:r w:rsidRPr="000C35A1">
              <w:rPr>
                <w:rFonts w:ascii="Arial Narrow" w:hAnsi="Arial Narrow"/>
                <w:color w:val="000000"/>
                <w:sz w:val="20"/>
              </w:rPr>
              <w:t>10.01 (8.32, 11.69)</w:t>
            </w:r>
          </w:p>
        </w:tc>
        <w:tc>
          <w:tcPr>
            <w:tcW w:w="1802" w:type="pct"/>
            <w:gridSpan w:val="4"/>
            <w:vMerge/>
            <w:vAlign w:val="center"/>
          </w:tcPr>
          <w:p w:rsidR="003F3CE6" w:rsidRPr="000C35A1" w:rsidRDefault="003F3CE6" w:rsidP="003F3CE6">
            <w:pPr>
              <w:jc w:val="center"/>
              <w:rPr>
                <w:rFonts w:ascii="Arial Narrow" w:hAnsi="Arial Narrow"/>
                <w:sz w:val="20"/>
              </w:rPr>
            </w:pPr>
          </w:p>
        </w:tc>
      </w:tr>
      <w:tr w:rsidR="00920EE5" w:rsidRPr="000C35A1">
        <w:tc>
          <w:tcPr>
            <w:tcW w:w="1571" w:type="pct"/>
            <w:gridSpan w:val="2"/>
            <w:tcBorders>
              <w:bottom w:val="double" w:sz="4" w:space="0" w:color="auto"/>
            </w:tcBorders>
            <w:shd w:val="clear" w:color="auto" w:fill="auto"/>
            <w:vAlign w:val="center"/>
          </w:tcPr>
          <w:p w:rsidR="003F3CE6" w:rsidRPr="000C35A1" w:rsidRDefault="003F3CE6" w:rsidP="003F3CE6">
            <w:pPr>
              <w:jc w:val="left"/>
              <w:rPr>
                <w:rFonts w:ascii="Arial Narrow" w:hAnsi="Arial Narrow"/>
                <w:color w:val="000000"/>
                <w:sz w:val="20"/>
              </w:rPr>
            </w:pPr>
            <w:r w:rsidRPr="000C35A1">
              <w:rPr>
                <w:rFonts w:ascii="Arial Narrow" w:hAnsi="Arial Narrow"/>
                <w:color w:val="000000"/>
                <w:sz w:val="20"/>
                <w:szCs w:val="18"/>
              </w:rPr>
              <w:t>RESTORE, REVEAL meta-analysis</w:t>
            </w:r>
          </w:p>
        </w:tc>
        <w:tc>
          <w:tcPr>
            <w:tcW w:w="370" w:type="pct"/>
            <w:tcBorders>
              <w:bottom w:val="double" w:sz="4" w:space="0" w:color="auto"/>
            </w:tcBorders>
            <w:vAlign w:val="center"/>
          </w:tcPr>
          <w:p w:rsidR="003F3CE6" w:rsidRPr="000C35A1" w:rsidRDefault="003F3CE6" w:rsidP="003F3CE6">
            <w:pPr>
              <w:jc w:val="center"/>
              <w:rPr>
                <w:rFonts w:ascii="Arial Narrow" w:hAnsi="Arial Narrow"/>
                <w:color w:val="000000"/>
                <w:sz w:val="20"/>
              </w:rPr>
            </w:pPr>
            <w:r w:rsidRPr="000C35A1">
              <w:rPr>
                <w:rFonts w:ascii="Arial Narrow" w:hAnsi="Arial Narrow"/>
                <w:color w:val="000000"/>
                <w:sz w:val="20"/>
              </w:rPr>
              <w:t>486</w:t>
            </w:r>
          </w:p>
        </w:tc>
        <w:tc>
          <w:tcPr>
            <w:tcW w:w="1258" w:type="pct"/>
            <w:gridSpan w:val="3"/>
            <w:tcBorders>
              <w:bottom w:val="double" w:sz="4" w:space="0" w:color="auto"/>
            </w:tcBorders>
            <w:vAlign w:val="center"/>
          </w:tcPr>
          <w:p w:rsidR="003F3CE6" w:rsidRPr="000C35A1" w:rsidRDefault="003F3CE6" w:rsidP="003F3CE6">
            <w:pPr>
              <w:jc w:val="center"/>
              <w:rPr>
                <w:rFonts w:ascii="Arial Narrow" w:hAnsi="Arial Narrow"/>
                <w:color w:val="000000"/>
                <w:sz w:val="20"/>
              </w:rPr>
            </w:pPr>
            <w:r w:rsidRPr="000C35A1">
              <w:rPr>
                <w:rFonts w:ascii="Arial Narrow" w:hAnsi="Arial Narrow"/>
                <w:color w:val="000000"/>
                <w:sz w:val="20"/>
              </w:rPr>
              <w:t>5.19 (3.63, 6.75)</w:t>
            </w:r>
          </w:p>
        </w:tc>
        <w:tc>
          <w:tcPr>
            <w:tcW w:w="1802" w:type="pct"/>
            <w:gridSpan w:val="4"/>
            <w:vMerge/>
            <w:tcBorders>
              <w:bottom w:val="double" w:sz="4" w:space="0" w:color="auto"/>
            </w:tcBorders>
            <w:vAlign w:val="center"/>
          </w:tcPr>
          <w:p w:rsidR="003F3CE6" w:rsidRPr="000C35A1" w:rsidRDefault="003F3CE6" w:rsidP="003F3CE6">
            <w:pPr>
              <w:jc w:val="center"/>
              <w:rPr>
                <w:rFonts w:ascii="Arial Narrow" w:hAnsi="Arial Narrow"/>
                <w:b/>
                <w:sz w:val="20"/>
                <w:szCs w:val="18"/>
              </w:rPr>
            </w:pPr>
          </w:p>
        </w:tc>
      </w:tr>
      <w:tr w:rsidR="003F3CE6" w:rsidRPr="000C35A1">
        <w:tc>
          <w:tcPr>
            <w:tcW w:w="5000" w:type="pct"/>
            <w:gridSpan w:val="10"/>
            <w:tcBorders>
              <w:bottom w:val="single" w:sz="4" w:space="0" w:color="auto"/>
            </w:tcBorders>
            <w:shd w:val="clear" w:color="auto" w:fill="auto"/>
            <w:vAlign w:val="center"/>
          </w:tcPr>
          <w:p w:rsidR="003F3CE6" w:rsidRPr="000C35A1" w:rsidRDefault="003F3CE6" w:rsidP="003F3CE6">
            <w:pPr>
              <w:rPr>
                <w:rFonts w:ascii="Arial Narrow" w:hAnsi="Arial Narrow"/>
                <w:b/>
                <w:color w:val="000000"/>
                <w:sz w:val="20"/>
                <w:szCs w:val="18"/>
              </w:rPr>
            </w:pPr>
            <w:r w:rsidRPr="000C35A1">
              <w:rPr>
                <w:rFonts w:ascii="Arial Narrow" w:hAnsi="Arial Narrow"/>
                <w:b/>
                <w:color w:val="000000"/>
                <w:sz w:val="20"/>
                <w:szCs w:val="18"/>
              </w:rPr>
              <w:t>Harms</w:t>
            </w:r>
          </w:p>
        </w:tc>
      </w:tr>
      <w:tr w:rsidR="00920EE5" w:rsidRPr="000C35A1">
        <w:trPr>
          <w:trHeight w:val="150"/>
        </w:trPr>
        <w:tc>
          <w:tcPr>
            <w:tcW w:w="1077" w:type="pct"/>
            <w:vMerge w:val="restart"/>
            <w:shd w:val="clear" w:color="auto" w:fill="auto"/>
            <w:vAlign w:val="center"/>
          </w:tcPr>
          <w:p w:rsidR="003F3CE6" w:rsidRPr="000C35A1" w:rsidRDefault="003F3CE6" w:rsidP="003F3CE6">
            <w:pPr>
              <w:rPr>
                <w:rFonts w:ascii="Arial Narrow" w:hAnsi="Arial Narrow"/>
                <w:b/>
                <w:color w:val="000000"/>
                <w:sz w:val="20"/>
                <w:szCs w:val="18"/>
              </w:rPr>
            </w:pPr>
            <w:r w:rsidRPr="000C35A1">
              <w:rPr>
                <w:rFonts w:ascii="Arial Narrow" w:hAnsi="Arial Narrow"/>
                <w:b/>
                <w:color w:val="000000"/>
                <w:sz w:val="20"/>
                <w:szCs w:val="18"/>
              </w:rPr>
              <w:t>Trial</w:t>
            </w:r>
          </w:p>
        </w:tc>
        <w:tc>
          <w:tcPr>
            <w:tcW w:w="494" w:type="pct"/>
            <w:vMerge w:val="restart"/>
            <w:vAlign w:val="center"/>
          </w:tcPr>
          <w:p w:rsidR="003F3CE6" w:rsidRPr="000C35A1" w:rsidRDefault="003F3CE6" w:rsidP="003F3CE6">
            <w:pPr>
              <w:jc w:val="center"/>
              <w:rPr>
                <w:rFonts w:ascii="Arial Narrow" w:hAnsi="Arial Narrow"/>
                <w:b/>
                <w:color w:val="000000"/>
                <w:sz w:val="20"/>
                <w:szCs w:val="18"/>
              </w:rPr>
            </w:pPr>
            <w:r w:rsidRPr="000C35A1">
              <w:rPr>
                <w:rFonts w:ascii="Arial Narrow" w:hAnsi="Arial Narrow"/>
                <w:b/>
                <w:color w:val="000000"/>
                <w:sz w:val="20"/>
                <w:szCs w:val="18"/>
              </w:rPr>
              <w:t>AFB 2Q8</w:t>
            </w:r>
          </w:p>
        </w:tc>
        <w:tc>
          <w:tcPr>
            <w:tcW w:w="392" w:type="pct"/>
            <w:gridSpan w:val="2"/>
            <w:vMerge w:val="restart"/>
            <w:vAlign w:val="center"/>
          </w:tcPr>
          <w:p w:rsidR="003F3CE6" w:rsidRPr="000C35A1" w:rsidRDefault="003F3CE6" w:rsidP="003F3CE6">
            <w:pPr>
              <w:jc w:val="center"/>
              <w:rPr>
                <w:rFonts w:ascii="Arial Narrow" w:hAnsi="Arial Narrow"/>
                <w:b/>
                <w:color w:val="000000"/>
                <w:sz w:val="20"/>
                <w:szCs w:val="18"/>
              </w:rPr>
            </w:pPr>
            <w:r w:rsidRPr="000C35A1">
              <w:rPr>
                <w:rFonts w:ascii="Arial Narrow" w:hAnsi="Arial Narrow"/>
                <w:b/>
                <w:color w:val="000000"/>
                <w:sz w:val="20"/>
                <w:szCs w:val="18"/>
              </w:rPr>
              <w:t>Laser</w:t>
            </w:r>
          </w:p>
        </w:tc>
        <w:tc>
          <w:tcPr>
            <w:tcW w:w="606" w:type="pct"/>
            <w:vMerge w:val="restart"/>
            <w:vAlign w:val="center"/>
          </w:tcPr>
          <w:p w:rsidR="003F3CE6" w:rsidRPr="000C35A1" w:rsidRDefault="003F3CE6" w:rsidP="003F3CE6">
            <w:pPr>
              <w:jc w:val="center"/>
              <w:rPr>
                <w:rFonts w:ascii="Arial Narrow" w:hAnsi="Arial Narrow"/>
                <w:b/>
                <w:color w:val="000000"/>
                <w:sz w:val="20"/>
                <w:szCs w:val="18"/>
              </w:rPr>
            </w:pPr>
            <w:r w:rsidRPr="000C35A1">
              <w:rPr>
                <w:rFonts w:ascii="Arial Narrow" w:hAnsi="Arial Narrow"/>
                <w:b/>
                <w:color w:val="000000"/>
                <w:sz w:val="20"/>
                <w:szCs w:val="18"/>
              </w:rPr>
              <w:t>RBZ 0.5mg</w:t>
            </w:r>
          </w:p>
        </w:tc>
        <w:tc>
          <w:tcPr>
            <w:tcW w:w="630" w:type="pct"/>
            <w:vMerge w:val="restart"/>
            <w:vAlign w:val="center"/>
          </w:tcPr>
          <w:p w:rsidR="003F3CE6" w:rsidRPr="000C35A1" w:rsidRDefault="003F3CE6" w:rsidP="003F3CE6">
            <w:pPr>
              <w:jc w:val="center"/>
              <w:rPr>
                <w:rFonts w:ascii="Arial Narrow" w:hAnsi="Arial Narrow"/>
                <w:b/>
                <w:color w:val="000000"/>
                <w:sz w:val="20"/>
                <w:szCs w:val="18"/>
              </w:rPr>
            </w:pPr>
            <w:r w:rsidRPr="000C35A1">
              <w:rPr>
                <w:rFonts w:ascii="Arial Narrow" w:hAnsi="Arial Narrow"/>
                <w:b/>
                <w:color w:val="000000"/>
                <w:sz w:val="20"/>
                <w:szCs w:val="18"/>
              </w:rPr>
              <w:t>RR</w:t>
            </w:r>
          </w:p>
          <w:p w:rsidR="003F3CE6" w:rsidRPr="000C35A1" w:rsidRDefault="003F3CE6" w:rsidP="003F3CE6">
            <w:pPr>
              <w:jc w:val="center"/>
              <w:rPr>
                <w:rFonts w:ascii="Arial Narrow" w:hAnsi="Arial Narrow"/>
                <w:b/>
                <w:color w:val="000000"/>
                <w:sz w:val="20"/>
                <w:szCs w:val="18"/>
              </w:rPr>
            </w:pPr>
            <w:r w:rsidRPr="000C35A1">
              <w:rPr>
                <w:rFonts w:ascii="Arial Narrow" w:hAnsi="Arial Narrow"/>
                <w:b/>
                <w:color w:val="000000"/>
                <w:sz w:val="20"/>
                <w:szCs w:val="18"/>
              </w:rPr>
              <w:t>(95% CI)</w:t>
            </w:r>
          </w:p>
        </w:tc>
        <w:tc>
          <w:tcPr>
            <w:tcW w:w="1163" w:type="pct"/>
            <w:gridSpan w:val="3"/>
            <w:vAlign w:val="center"/>
          </w:tcPr>
          <w:p w:rsidR="003F3CE6" w:rsidRPr="000C35A1" w:rsidRDefault="003F3CE6" w:rsidP="003F3CE6">
            <w:pPr>
              <w:jc w:val="center"/>
              <w:rPr>
                <w:rFonts w:ascii="Arial Narrow" w:hAnsi="Arial Narrow"/>
                <w:b/>
                <w:color w:val="000000"/>
                <w:sz w:val="20"/>
                <w:szCs w:val="18"/>
              </w:rPr>
            </w:pPr>
            <w:r w:rsidRPr="000C35A1">
              <w:rPr>
                <w:rFonts w:ascii="Arial Narrow" w:hAnsi="Arial Narrow"/>
                <w:b/>
                <w:color w:val="000000"/>
                <w:sz w:val="20"/>
                <w:szCs w:val="18"/>
              </w:rPr>
              <w:t xml:space="preserve">Event rate/100 patients* </w:t>
            </w:r>
          </w:p>
        </w:tc>
        <w:tc>
          <w:tcPr>
            <w:tcW w:w="638" w:type="pct"/>
            <w:vMerge w:val="restart"/>
            <w:vAlign w:val="center"/>
          </w:tcPr>
          <w:p w:rsidR="003F3CE6" w:rsidRPr="000C35A1" w:rsidRDefault="003F3CE6" w:rsidP="003F3CE6">
            <w:pPr>
              <w:jc w:val="center"/>
              <w:rPr>
                <w:rFonts w:ascii="Arial Narrow" w:hAnsi="Arial Narrow"/>
                <w:b/>
                <w:color w:val="000000"/>
                <w:sz w:val="20"/>
                <w:szCs w:val="18"/>
              </w:rPr>
            </w:pPr>
            <w:r w:rsidRPr="000C35A1">
              <w:rPr>
                <w:rFonts w:ascii="Arial Narrow" w:hAnsi="Arial Narrow"/>
                <w:b/>
                <w:color w:val="000000"/>
                <w:sz w:val="20"/>
                <w:szCs w:val="18"/>
              </w:rPr>
              <w:t xml:space="preserve">RD% </w:t>
            </w:r>
          </w:p>
          <w:p w:rsidR="003F3CE6" w:rsidRPr="000C35A1" w:rsidRDefault="003F3CE6" w:rsidP="003F3CE6">
            <w:pPr>
              <w:jc w:val="center"/>
              <w:rPr>
                <w:rFonts w:ascii="Arial Narrow" w:hAnsi="Arial Narrow"/>
                <w:b/>
                <w:color w:val="000000"/>
                <w:sz w:val="20"/>
                <w:szCs w:val="18"/>
              </w:rPr>
            </w:pPr>
            <w:r w:rsidRPr="000C35A1">
              <w:rPr>
                <w:rFonts w:ascii="Arial Narrow" w:hAnsi="Arial Narrow"/>
                <w:b/>
                <w:color w:val="000000"/>
                <w:sz w:val="20"/>
                <w:szCs w:val="18"/>
              </w:rPr>
              <w:t>(95% CI)</w:t>
            </w:r>
          </w:p>
        </w:tc>
      </w:tr>
      <w:tr w:rsidR="00920EE5" w:rsidRPr="000C35A1">
        <w:trPr>
          <w:trHeight w:val="70"/>
        </w:trPr>
        <w:tc>
          <w:tcPr>
            <w:tcW w:w="1077" w:type="pct"/>
            <w:vMerge/>
            <w:shd w:val="clear" w:color="auto" w:fill="auto"/>
            <w:vAlign w:val="center"/>
          </w:tcPr>
          <w:p w:rsidR="003F3CE6" w:rsidRPr="000C35A1" w:rsidRDefault="003F3CE6" w:rsidP="003F3CE6">
            <w:pPr>
              <w:rPr>
                <w:rFonts w:ascii="Arial Narrow" w:hAnsi="Arial Narrow"/>
                <w:b/>
                <w:color w:val="000000"/>
                <w:sz w:val="20"/>
                <w:szCs w:val="18"/>
              </w:rPr>
            </w:pPr>
          </w:p>
        </w:tc>
        <w:tc>
          <w:tcPr>
            <w:tcW w:w="494" w:type="pct"/>
            <w:vMerge/>
            <w:vAlign w:val="center"/>
          </w:tcPr>
          <w:p w:rsidR="003F3CE6" w:rsidRPr="000C35A1" w:rsidRDefault="003F3CE6" w:rsidP="003F3CE6">
            <w:pPr>
              <w:jc w:val="center"/>
              <w:rPr>
                <w:rFonts w:ascii="Arial Narrow" w:hAnsi="Arial Narrow"/>
                <w:b/>
                <w:color w:val="000000"/>
                <w:sz w:val="20"/>
                <w:szCs w:val="18"/>
              </w:rPr>
            </w:pPr>
          </w:p>
        </w:tc>
        <w:tc>
          <w:tcPr>
            <w:tcW w:w="392" w:type="pct"/>
            <w:gridSpan w:val="2"/>
            <w:vMerge/>
            <w:vAlign w:val="center"/>
          </w:tcPr>
          <w:p w:rsidR="003F3CE6" w:rsidRPr="000C35A1" w:rsidRDefault="003F3CE6" w:rsidP="003F3CE6">
            <w:pPr>
              <w:jc w:val="center"/>
              <w:rPr>
                <w:rFonts w:ascii="Arial Narrow" w:hAnsi="Arial Narrow"/>
                <w:b/>
                <w:color w:val="000000"/>
                <w:sz w:val="20"/>
                <w:szCs w:val="18"/>
              </w:rPr>
            </w:pPr>
          </w:p>
        </w:tc>
        <w:tc>
          <w:tcPr>
            <w:tcW w:w="606" w:type="pct"/>
            <w:vMerge/>
            <w:vAlign w:val="center"/>
          </w:tcPr>
          <w:p w:rsidR="003F3CE6" w:rsidRPr="000C35A1" w:rsidRDefault="003F3CE6" w:rsidP="003F3CE6">
            <w:pPr>
              <w:jc w:val="center"/>
              <w:rPr>
                <w:rFonts w:ascii="Arial Narrow" w:hAnsi="Arial Narrow"/>
                <w:b/>
                <w:color w:val="000000"/>
                <w:sz w:val="20"/>
                <w:szCs w:val="18"/>
              </w:rPr>
            </w:pPr>
          </w:p>
        </w:tc>
        <w:tc>
          <w:tcPr>
            <w:tcW w:w="630" w:type="pct"/>
            <w:vMerge/>
            <w:vAlign w:val="center"/>
          </w:tcPr>
          <w:p w:rsidR="003F3CE6" w:rsidRPr="000C35A1" w:rsidRDefault="003F3CE6" w:rsidP="003F3CE6">
            <w:pPr>
              <w:jc w:val="center"/>
              <w:rPr>
                <w:rFonts w:ascii="Arial Narrow" w:hAnsi="Arial Narrow"/>
                <w:b/>
                <w:color w:val="000000"/>
                <w:sz w:val="20"/>
                <w:szCs w:val="18"/>
              </w:rPr>
            </w:pPr>
          </w:p>
        </w:tc>
        <w:tc>
          <w:tcPr>
            <w:tcW w:w="416" w:type="pct"/>
            <w:vAlign w:val="center"/>
          </w:tcPr>
          <w:p w:rsidR="003F3CE6" w:rsidRPr="000C35A1" w:rsidRDefault="003F3CE6" w:rsidP="003F3CE6">
            <w:pPr>
              <w:jc w:val="center"/>
              <w:rPr>
                <w:rFonts w:ascii="Arial Narrow" w:hAnsi="Arial Narrow"/>
                <w:b/>
                <w:color w:val="000000"/>
                <w:sz w:val="20"/>
                <w:szCs w:val="18"/>
              </w:rPr>
            </w:pPr>
            <w:r w:rsidRPr="000C35A1">
              <w:rPr>
                <w:rFonts w:ascii="Arial Narrow" w:hAnsi="Arial Narrow"/>
                <w:b/>
                <w:color w:val="000000"/>
                <w:sz w:val="20"/>
                <w:szCs w:val="18"/>
              </w:rPr>
              <w:t>AFB</w:t>
            </w:r>
          </w:p>
        </w:tc>
        <w:tc>
          <w:tcPr>
            <w:tcW w:w="418" w:type="pct"/>
            <w:vAlign w:val="center"/>
          </w:tcPr>
          <w:p w:rsidR="003F3CE6" w:rsidRPr="000C35A1" w:rsidRDefault="003F3CE6" w:rsidP="003F3CE6">
            <w:pPr>
              <w:jc w:val="center"/>
              <w:rPr>
                <w:rFonts w:ascii="Arial Narrow" w:hAnsi="Arial Narrow"/>
                <w:b/>
                <w:color w:val="000000"/>
                <w:sz w:val="20"/>
                <w:szCs w:val="18"/>
              </w:rPr>
            </w:pPr>
            <w:r w:rsidRPr="000C35A1">
              <w:rPr>
                <w:rFonts w:ascii="Arial Narrow" w:hAnsi="Arial Narrow"/>
                <w:b/>
                <w:color w:val="000000"/>
                <w:sz w:val="20"/>
                <w:szCs w:val="18"/>
              </w:rPr>
              <w:t>Laser</w:t>
            </w:r>
          </w:p>
        </w:tc>
        <w:tc>
          <w:tcPr>
            <w:tcW w:w="329" w:type="pct"/>
            <w:vAlign w:val="center"/>
          </w:tcPr>
          <w:p w:rsidR="003F3CE6" w:rsidRPr="000C35A1" w:rsidRDefault="003F3CE6" w:rsidP="003F3CE6">
            <w:pPr>
              <w:jc w:val="center"/>
              <w:rPr>
                <w:rFonts w:ascii="Arial Narrow" w:hAnsi="Arial Narrow"/>
                <w:b/>
                <w:color w:val="000000"/>
                <w:sz w:val="20"/>
                <w:szCs w:val="18"/>
              </w:rPr>
            </w:pPr>
            <w:r w:rsidRPr="000C35A1">
              <w:rPr>
                <w:rFonts w:ascii="Arial Narrow" w:hAnsi="Arial Narrow"/>
                <w:b/>
                <w:color w:val="000000"/>
                <w:sz w:val="20"/>
                <w:szCs w:val="18"/>
              </w:rPr>
              <w:t>RBZ</w:t>
            </w:r>
          </w:p>
        </w:tc>
        <w:tc>
          <w:tcPr>
            <w:tcW w:w="638" w:type="pct"/>
            <w:vMerge/>
            <w:vAlign w:val="center"/>
          </w:tcPr>
          <w:p w:rsidR="003F3CE6" w:rsidRPr="000C35A1" w:rsidRDefault="003F3CE6" w:rsidP="003F3CE6">
            <w:pPr>
              <w:jc w:val="center"/>
              <w:rPr>
                <w:rFonts w:ascii="Arial Narrow" w:hAnsi="Arial Narrow"/>
                <w:b/>
                <w:color w:val="000000"/>
                <w:sz w:val="20"/>
                <w:szCs w:val="18"/>
              </w:rPr>
            </w:pPr>
          </w:p>
        </w:tc>
      </w:tr>
      <w:tr w:rsidR="003F3CE6" w:rsidRPr="000C35A1">
        <w:tc>
          <w:tcPr>
            <w:tcW w:w="5000" w:type="pct"/>
            <w:gridSpan w:val="10"/>
            <w:tcBorders>
              <w:top w:val="single" w:sz="4" w:space="0" w:color="auto"/>
            </w:tcBorders>
            <w:shd w:val="clear" w:color="auto" w:fill="auto"/>
            <w:vAlign w:val="center"/>
          </w:tcPr>
          <w:p w:rsidR="003F3CE6" w:rsidRPr="000C35A1" w:rsidRDefault="003F3CE6" w:rsidP="003F3CE6">
            <w:pPr>
              <w:rPr>
                <w:rFonts w:ascii="Arial Narrow" w:hAnsi="Arial Narrow"/>
                <w:b/>
                <w:color w:val="000000"/>
                <w:sz w:val="20"/>
                <w:szCs w:val="18"/>
              </w:rPr>
            </w:pPr>
            <w:r w:rsidRPr="000C35A1">
              <w:rPr>
                <w:rFonts w:ascii="Arial Narrow" w:hAnsi="Arial Narrow"/>
                <w:b/>
                <w:color w:val="000000"/>
                <w:sz w:val="20"/>
                <w:szCs w:val="18"/>
              </w:rPr>
              <w:t xml:space="preserve">Serious </w:t>
            </w:r>
            <w:r w:rsidR="0040015B" w:rsidRPr="000C35A1">
              <w:rPr>
                <w:rFonts w:ascii="Arial Narrow" w:hAnsi="Arial Narrow"/>
                <w:b/>
                <w:color w:val="000000"/>
                <w:sz w:val="20"/>
                <w:szCs w:val="18"/>
              </w:rPr>
              <w:t>adverse events</w:t>
            </w:r>
          </w:p>
        </w:tc>
      </w:tr>
      <w:tr w:rsidR="00920EE5" w:rsidRPr="000C35A1">
        <w:tc>
          <w:tcPr>
            <w:tcW w:w="1077" w:type="pct"/>
            <w:shd w:val="clear" w:color="auto" w:fill="auto"/>
            <w:vAlign w:val="center"/>
          </w:tcPr>
          <w:p w:rsidR="003F3CE6" w:rsidRPr="000C35A1" w:rsidRDefault="0040015B" w:rsidP="003F3CE6">
            <w:pPr>
              <w:jc w:val="left"/>
              <w:rPr>
                <w:rFonts w:ascii="Arial Narrow" w:hAnsi="Arial Narrow"/>
                <w:color w:val="000000"/>
                <w:sz w:val="20"/>
                <w:szCs w:val="18"/>
              </w:rPr>
            </w:pPr>
            <w:r>
              <w:rPr>
                <w:rFonts w:ascii="Arial Narrow" w:hAnsi="Arial Narrow"/>
                <w:color w:val="000000"/>
                <w:sz w:val="20"/>
                <w:szCs w:val="18"/>
              </w:rPr>
              <w:t>VIVID &amp; VISTA:</w:t>
            </w:r>
          </w:p>
          <w:p w:rsidR="003F3CE6" w:rsidRPr="000C35A1" w:rsidRDefault="003F3CE6" w:rsidP="003F3CE6">
            <w:pPr>
              <w:jc w:val="left"/>
              <w:rPr>
                <w:rFonts w:ascii="Arial Narrow" w:hAnsi="Arial Narrow"/>
                <w:color w:val="000000"/>
                <w:sz w:val="20"/>
                <w:szCs w:val="18"/>
              </w:rPr>
            </w:pPr>
            <w:r w:rsidRPr="000C35A1">
              <w:rPr>
                <w:rFonts w:ascii="Arial Narrow" w:hAnsi="Arial Narrow"/>
                <w:color w:val="000000"/>
                <w:sz w:val="20"/>
                <w:szCs w:val="18"/>
              </w:rPr>
              <w:t>meta-analysis</w:t>
            </w:r>
          </w:p>
        </w:tc>
        <w:tc>
          <w:tcPr>
            <w:tcW w:w="494" w:type="pct"/>
            <w:vAlign w:val="center"/>
          </w:tcPr>
          <w:p w:rsidR="003F3CE6" w:rsidRPr="000C35A1" w:rsidRDefault="003F3CE6" w:rsidP="003F3CE6">
            <w:pPr>
              <w:jc w:val="center"/>
              <w:rPr>
                <w:rFonts w:ascii="Arial Narrow" w:hAnsi="Arial Narrow"/>
                <w:sz w:val="20"/>
                <w:szCs w:val="18"/>
              </w:rPr>
            </w:pPr>
            <w:r w:rsidRPr="000C35A1">
              <w:rPr>
                <w:rFonts w:ascii="Arial Narrow" w:hAnsi="Arial Narrow"/>
                <w:sz w:val="20"/>
                <w:szCs w:val="18"/>
              </w:rPr>
              <w:t>72/287</w:t>
            </w:r>
          </w:p>
        </w:tc>
        <w:tc>
          <w:tcPr>
            <w:tcW w:w="392" w:type="pct"/>
            <w:gridSpan w:val="2"/>
            <w:vAlign w:val="center"/>
          </w:tcPr>
          <w:p w:rsidR="003F3CE6" w:rsidRPr="000C35A1" w:rsidRDefault="003F3CE6" w:rsidP="003F3CE6">
            <w:pPr>
              <w:jc w:val="center"/>
              <w:rPr>
                <w:rFonts w:ascii="Arial Narrow" w:hAnsi="Arial Narrow"/>
                <w:sz w:val="20"/>
                <w:szCs w:val="18"/>
              </w:rPr>
            </w:pPr>
            <w:r w:rsidRPr="000C35A1">
              <w:rPr>
                <w:rFonts w:ascii="Arial Narrow" w:hAnsi="Arial Narrow"/>
                <w:sz w:val="20"/>
                <w:szCs w:val="18"/>
              </w:rPr>
              <w:t>78/287</w:t>
            </w:r>
          </w:p>
        </w:tc>
        <w:tc>
          <w:tcPr>
            <w:tcW w:w="606"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w:t>
            </w:r>
          </w:p>
        </w:tc>
        <w:tc>
          <w:tcPr>
            <w:tcW w:w="630" w:type="pct"/>
            <w:vAlign w:val="center"/>
          </w:tcPr>
          <w:p w:rsidR="003F3CE6" w:rsidRPr="000C35A1" w:rsidRDefault="003F3CE6" w:rsidP="003F3CE6">
            <w:pPr>
              <w:jc w:val="center"/>
              <w:rPr>
                <w:rFonts w:ascii="Arial Narrow" w:hAnsi="Arial Narrow"/>
                <w:sz w:val="19"/>
                <w:szCs w:val="19"/>
              </w:rPr>
            </w:pPr>
            <w:r w:rsidRPr="000C35A1">
              <w:rPr>
                <w:rFonts w:ascii="Arial Narrow" w:hAnsi="Arial Narrow"/>
                <w:sz w:val="19"/>
                <w:szCs w:val="19"/>
              </w:rPr>
              <w:t xml:space="preserve">0.95 </w:t>
            </w:r>
          </w:p>
          <w:p w:rsidR="003F3CE6" w:rsidRPr="000C35A1" w:rsidRDefault="003F3CE6" w:rsidP="003F3CE6">
            <w:pPr>
              <w:jc w:val="center"/>
              <w:rPr>
                <w:rFonts w:ascii="Arial Narrow" w:hAnsi="Arial Narrow"/>
                <w:sz w:val="20"/>
                <w:szCs w:val="18"/>
              </w:rPr>
            </w:pPr>
            <w:r w:rsidRPr="000C35A1">
              <w:rPr>
                <w:rFonts w:ascii="Arial Narrow" w:hAnsi="Arial Narrow"/>
                <w:sz w:val="19"/>
                <w:szCs w:val="19"/>
              </w:rPr>
              <w:t>(0.62, 1.47)</w:t>
            </w:r>
          </w:p>
        </w:tc>
        <w:tc>
          <w:tcPr>
            <w:tcW w:w="416"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25.1</w:t>
            </w:r>
          </w:p>
        </w:tc>
        <w:tc>
          <w:tcPr>
            <w:tcW w:w="418"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27.2</w:t>
            </w:r>
          </w:p>
        </w:tc>
        <w:tc>
          <w:tcPr>
            <w:tcW w:w="329"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w:t>
            </w:r>
          </w:p>
        </w:tc>
        <w:tc>
          <w:tcPr>
            <w:tcW w:w="638" w:type="pct"/>
            <w:vAlign w:val="center"/>
          </w:tcPr>
          <w:p w:rsidR="003F3CE6" w:rsidRPr="000C35A1" w:rsidRDefault="003F3CE6" w:rsidP="003F3CE6">
            <w:pPr>
              <w:jc w:val="center"/>
              <w:rPr>
                <w:rFonts w:ascii="Arial Narrow" w:hAnsi="Arial Narrow"/>
                <w:sz w:val="19"/>
                <w:szCs w:val="19"/>
              </w:rPr>
            </w:pPr>
            <w:r w:rsidRPr="000C35A1">
              <w:rPr>
                <w:rFonts w:ascii="Arial Narrow" w:hAnsi="Arial Narrow"/>
                <w:sz w:val="19"/>
                <w:szCs w:val="19"/>
              </w:rPr>
              <w:t xml:space="preserve">-1.0 </w:t>
            </w:r>
          </w:p>
          <w:p w:rsidR="003F3CE6" w:rsidRPr="000C35A1" w:rsidRDefault="003F3CE6" w:rsidP="003F3CE6">
            <w:pPr>
              <w:jc w:val="center"/>
              <w:rPr>
                <w:rFonts w:ascii="Arial Narrow" w:hAnsi="Arial Narrow"/>
                <w:color w:val="000000"/>
                <w:sz w:val="20"/>
                <w:szCs w:val="18"/>
              </w:rPr>
            </w:pPr>
            <w:r w:rsidRPr="000C35A1">
              <w:rPr>
                <w:rFonts w:ascii="Arial Narrow" w:hAnsi="Arial Narrow"/>
                <w:sz w:val="19"/>
                <w:szCs w:val="19"/>
              </w:rPr>
              <w:t>(-13.0, 10.0)</w:t>
            </w:r>
          </w:p>
        </w:tc>
      </w:tr>
      <w:tr w:rsidR="00920EE5" w:rsidRPr="000C35A1">
        <w:trPr>
          <w:trHeight w:val="70"/>
        </w:trPr>
        <w:tc>
          <w:tcPr>
            <w:tcW w:w="1077" w:type="pct"/>
            <w:shd w:val="clear" w:color="auto" w:fill="auto"/>
            <w:vAlign w:val="center"/>
          </w:tcPr>
          <w:p w:rsidR="003F3CE6" w:rsidRPr="000C35A1" w:rsidRDefault="003F3CE6" w:rsidP="003F3CE6">
            <w:pPr>
              <w:jc w:val="left"/>
              <w:rPr>
                <w:rFonts w:ascii="Arial Narrow" w:hAnsi="Arial Narrow"/>
                <w:color w:val="000000"/>
                <w:sz w:val="20"/>
                <w:szCs w:val="18"/>
              </w:rPr>
            </w:pPr>
            <w:r w:rsidRPr="000C35A1">
              <w:rPr>
                <w:rFonts w:ascii="Arial Narrow" w:hAnsi="Arial Narrow"/>
                <w:color w:val="000000"/>
                <w:sz w:val="20"/>
                <w:szCs w:val="18"/>
              </w:rPr>
              <w:t>REVEAL</w:t>
            </w:r>
          </w:p>
        </w:tc>
        <w:tc>
          <w:tcPr>
            <w:tcW w:w="494" w:type="pct"/>
            <w:vAlign w:val="center"/>
          </w:tcPr>
          <w:p w:rsidR="003F3CE6" w:rsidRPr="000C35A1" w:rsidRDefault="003F3CE6" w:rsidP="003F3CE6">
            <w:pPr>
              <w:jc w:val="center"/>
              <w:rPr>
                <w:rFonts w:ascii="Arial Narrow" w:hAnsi="Arial Narrow"/>
                <w:sz w:val="20"/>
                <w:szCs w:val="18"/>
              </w:rPr>
            </w:pPr>
            <w:r w:rsidRPr="000C35A1">
              <w:rPr>
                <w:rFonts w:ascii="Arial Narrow" w:hAnsi="Arial Narrow"/>
                <w:sz w:val="20"/>
                <w:szCs w:val="18"/>
              </w:rPr>
              <w:t>-</w:t>
            </w:r>
          </w:p>
        </w:tc>
        <w:tc>
          <w:tcPr>
            <w:tcW w:w="392" w:type="pct"/>
            <w:gridSpan w:val="2"/>
            <w:vAlign w:val="center"/>
          </w:tcPr>
          <w:p w:rsidR="003F3CE6" w:rsidRPr="000C35A1" w:rsidRDefault="003F3CE6" w:rsidP="003F3CE6">
            <w:pPr>
              <w:jc w:val="center"/>
              <w:rPr>
                <w:rFonts w:ascii="Arial Narrow" w:hAnsi="Arial Narrow"/>
                <w:sz w:val="20"/>
                <w:szCs w:val="18"/>
              </w:rPr>
            </w:pPr>
            <w:r w:rsidRPr="000C35A1">
              <w:rPr>
                <w:rFonts w:ascii="Arial Narrow" w:hAnsi="Arial Narrow"/>
                <w:sz w:val="20"/>
                <w:szCs w:val="18"/>
              </w:rPr>
              <w:t>19/128</w:t>
            </w:r>
          </w:p>
        </w:tc>
        <w:tc>
          <w:tcPr>
            <w:tcW w:w="606"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21/133</w:t>
            </w:r>
          </w:p>
        </w:tc>
        <w:tc>
          <w:tcPr>
            <w:tcW w:w="630" w:type="pct"/>
            <w:vAlign w:val="center"/>
          </w:tcPr>
          <w:p w:rsidR="003F3CE6" w:rsidRPr="000C35A1" w:rsidRDefault="003F3CE6" w:rsidP="003F3CE6">
            <w:pPr>
              <w:jc w:val="center"/>
              <w:rPr>
                <w:rFonts w:ascii="Arial Narrow" w:hAnsi="Arial Narrow"/>
                <w:sz w:val="20"/>
                <w:szCs w:val="18"/>
              </w:rPr>
            </w:pPr>
            <w:r w:rsidRPr="000C35A1">
              <w:rPr>
                <w:rFonts w:ascii="Arial Narrow" w:hAnsi="Arial Narrow"/>
                <w:sz w:val="20"/>
                <w:szCs w:val="18"/>
              </w:rPr>
              <w:t xml:space="preserve">1.06 </w:t>
            </w:r>
          </w:p>
          <w:p w:rsidR="003F3CE6" w:rsidRPr="000C35A1" w:rsidRDefault="003F3CE6" w:rsidP="003F3CE6">
            <w:pPr>
              <w:jc w:val="center"/>
              <w:rPr>
                <w:rFonts w:ascii="Arial Narrow" w:hAnsi="Arial Narrow"/>
                <w:sz w:val="20"/>
                <w:szCs w:val="18"/>
              </w:rPr>
            </w:pPr>
            <w:r w:rsidRPr="000C35A1">
              <w:rPr>
                <w:rFonts w:ascii="Arial Narrow" w:hAnsi="Arial Narrow"/>
                <w:sz w:val="20"/>
                <w:szCs w:val="18"/>
              </w:rPr>
              <w:t>(0.60, 1.88)</w:t>
            </w:r>
          </w:p>
        </w:tc>
        <w:tc>
          <w:tcPr>
            <w:tcW w:w="416"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w:t>
            </w:r>
          </w:p>
        </w:tc>
        <w:tc>
          <w:tcPr>
            <w:tcW w:w="418"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14.8</w:t>
            </w:r>
          </w:p>
        </w:tc>
        <w:tc>
          <w:tcPr>
            <w:tcW w:w="329"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15.8</w:t>
            </w:r>
          </w:p>
        </w:tc>
        <w:tc>
          <w:tcPr>
            <w:tcW w:w="638"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 xml:space="preserve">0.9 </w:t>
            </w:r>
          </w:p>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(-7.8, 9.7)</w:t>
            </w:r>
          </w:p>
        </w:tc>
      </w:tr>
      <w:tr w:rsidR="00920EE5" w:rsidRPr="000C35A1">
        <w:trPr>
          <w:trHeight w:val="70"/>
        </w:trPr>
        <w:tc>
          <w:tcPr>
            <w:tcW w:w="2568" w:type="pct"/>
            <w:gridSpan w:val="5"/>
            <w:tcBorders>
              <w:bottom w:val="single" w:sz="4" w:space="0" w:color="auto"/>
            </w:tcBorders>
            <w:shd w:val="clear" w:color="auto" w:fill="auto"/>
            <w:vAlign w:val="center"/>
          </w:tcPr>
          <w:p w:rsidR="003F3CE6" w:rsidRPr="000C35A1" w:rsidRDefault="003F3CE6" w:rsidP="003F3CE6">
            <w:pPr>
              <w:rPr>
                <w:rFonts w:ascii="Arial Narrow" w:hAnsi="Arial Narrow"/>
                <w:color w:val="000000"/>
                <w:sz w:val="20"/>
                <w:szCs w:val="18"/>
              </w:rPr>
            </w:pPr>
            <w:r w:rsidRPr="000C35A1">
              <w:rPr>
                <w:rFonts w:ascii="Arial Narrow" w:hAnsi="Arial Narrow"/>
                <w:color w:val="000000"/>
                <w:sz w:val="20"/>
                <w:szCs w:val="18"/>
              </w:rPr>
              <w:t>Indirect comparison: aflibercept vs ranibizumab</w:t>
            </w:r>
          </w:p>
        </w:tc>
        <w:tc>
          <w:tcPr>
            <w:tcW w:w="630" w:type="pct"/>
            <w:tcBorders>
              <w:bottom w:val="single" w:sz="4" w:space="0" w:color="auto"/>
            </w:tcBorders>
            <w:vAlign w:val="center"/>
          </w:tcPr>
          <w:p w:rsidR="003F3CE6" w:rsidRPr="000C35A1" w:rsidRDefault="003F3CE6" w:rsidP="003F3CE6">
            <w:pPr>
              <w:jc w:val="center"/>
              <w:rPr>
                <w:rFonts w:ascii="Arial Narrow" w:hAnsi="Arial Narrow"/>
                <w:sz w:val="20"/>
              </w:rPr>
            </w:pPr>
            <w:r w:rsidRPr="000C35A1">
              <w:rPr>
                <w:rFonts w:ascii="Arial Narrow" w:hAnsi="Arial Narrow"/>
                <w:sz w:val="20"/>
              </w:rPr>
              <w:t xml:space="preserve">0.90 </w:t>
            </w:r>
          </w:p>
          <w:p w:rsidR="003F3CE6" w:rsidRPr="000C35A1" w:rsidRDefault="003F3CE6" w:rsidP="003F3CE6">
            <w:pPr>
              <w:jc w:val="center"/>
              <w:rPr>
                <w:rFonts w:ascii="Arial Narrow" w:hAnsi="Arial Narrow"/>
                <w:color w:val="000000"/>
                <w:sz w:val="20"/>
                <w:szCs w:val="18"/>
              </w:rPr>
            </w:pPr>
            <w:r w:rsidRPr="000C35A1">
              <w:rPr>
                <w:rFonts w:ascii="Arial Narrow" w:hAnsi="Arial Narrow"/>
                <w:sz w:val="20"/>
              </w:rPr>
              <w:t>(0.44, 1.83)</w:t>
            </w:r>
          </w:p>
        </w:tc>
        <w:tc>
          <w:tcPr>
            <w:tcW w:w="1163" w:type="pct"/>
            <w:gridSpan w:val="3"/>
            <w:tcBorders>
              <w:bottom w:val="single" w:sz="4" w:space="0" w:color="auto"/>
            </w:tcBorders>
            <w:shd w:val="clear" w:color="auto" w:fill="auto"/>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w:t>
            </w:r>
          </w:p>
        </w:tc>
        <w:tc>
          <w:tcPr>
            <w:tcW w:w="638" w:type="pct"/>
            <w:tcBorders>
              <w:bottom w:val="single" w:sz="4" w:space="0" w:color="auto"/>
            </w:tcBorders>
            <w:vAlign w:val="center"/>
          </w:tcPr>
          <w:p w:rsidR="003F3CE6" w:rsidRPr="000C35A1" w:rsidRDefault="003F3CE6" w:rsidP="003F3CE6">
            <w:pPr>
              <w:jc w:val="center"/>
              <w:rPr>
                <w:rFonts w:ascii="Arial Narrow" w:hAnsi="Arial Narrow"/>
                <w:sz w:val="20"/>
              </w:rPr>
            </w:pPr>
            <w:r w:rsidRPr="000C35A1">
              <w:rPr>
                <w:rFonts w:ascii="Arial Narrow" w:hAnsi="Arial Narrow"/>
                <w:sz w:val="20"/>
              </w:rPr>
              <w:t xml:space="preserve">-1.9 </w:t>
            </w:r>
          </w:p>
          <w:p w:rsidR="003F3CE6" w:rsidRPr="000C35A1" w:rsidRDefault="003F3CE6" w:rsidP="003F3CE6">
            <w:pPr>
              <w:jc w:val="center"/>
              <w:rPr>
                <w:rFonts w:ascii="Arial Narrow" w:hAnsi="Arial Narrow"/>
                <w:color w:val="000000"/>
                <w:sz w:val="20"/>
                <w:szCs w:val="18"/>
              </w:rPr>
            </w:pPr>
            <w:r w:rsidRPr="000C35A1">
              <w:rPr>
                <w:rFonts w:ascii="Arial Narrow" w:hAnsi="Arial Narrow"/>
                <w:sz w:val="20"/>
              </w:rPr>
              <w:t>(-16.4, 12.6)</w:t>
            </w:r>
          </w:p>
        </w:tc>
      </w:tr>
      <w:tr w:rsidR="003F3CE6" w:rsidRPr="000C35A1">
        <w:tc>
          <w:tcPr>
            <w:tcW w:w="5000" w:type="pct"/>
            <w:gridSpan w:val="10"/>
            <w:tcBorders>
              <w:top w:val="single" w:sz="4" w:space="0" w:color="auto"/>
            </w:tcBorders>
            <w:shd w:val="clear" w:color="auto" w:fill="auto"/>
            <w:vAlign w:val="center"/>
          </w:tcPr>
          <w:p w:rsidR="003F3CE6" w:rsidRPr="000C35A1" w:rsidRDefault="003F3CE6" w:rsidP="003F3CE6">
            <w:pPr>
              <w:rPr>
                <w:rFonts w:ascii="Arial Narrow" w:hAnsi="Arial Narrow"/>
                <w:b/>
                <w:color w:val="000000"/>
                <w:sz w:val="20"/>
                <w:szCs w:val="18"/>
              </w:rPr>
            </w:pPr>
            <w:r w:rsidRPr="000C35A1">
              <w:rPr>
                <w:rFonts w:ascii="Arial Narrow" w:hAnsi="Arial Narrow"/>
                <w:b/>
                <w:color w:val="000000"/>
                <w:sz w:val="20"/>
                <w:szCs w:val="18"/>
              </w:rPr>
              <w:t>Ocular</w:t>
            </w:r>
            <w:r w:rsidR="0040015B" w:rsidRPr="000C35A1">
              <w:rPr>
                <w:rFonts w:ascii="Arial Narrow" w:hAnsi="Arial Narrow"/>
                <w:b/>
                <w:color w:val="000000"/>
                <w:sz w:val="20"/>
                <w:szCs w:val="18"/>
              </w:rPr>
              <w:t xml:space="preserve"> adverse events</w:t>
            </w:r>
          </w:p>
        </w:tc>
      </w:tr>
      <w:tr w:rsidR="00920EE5" w:rsidRPr="000C35A1">
        <w:tc>
          <w:tcPr>
            <w:tcW w:w="1077" w:type="pct"/>
            <w:shd w:val="clear" w:color="auto" w:fill="auto"/>
            <w:vAlign w:val="center"/>
          </w:tcPr>
          <w:p w:rsidR="003F3CE6" w:rsidRPr="000C35A1" w:rsidRDefault="0040015B" w:rsidP="003F3CE6">
            <w:pPr>
              <w:jc w:val="left"/>
              <w:rPr>
                <w:rFonts w:ascii="Arial Narrow" w:hAnsi="Arial Narrow"/>
                <w:color w:val="000000"/>
                <w:sz w:val="20"/>
                <w:szCs w:val="18"/>
              </w:rPr>
            </w:pPr>
            <w:r>
              <w:rPr>
                <w:rFonts w:ascii="Arial Narrow" w:hAnsi="Arial Narrow"/>
                <w:color w:val="000000"/>
                <w:sz w:val="20"/>
                <w:szCs w:val="18"/>
              </w:rPr>
              <w:t>VIVID &amp; VISTA:</w:t>
            </w:r>
          </w:p>
          <w:p w:rsidR="003F3CE6" w:rsidRPr="000C35A1" w:rsidRDefault="003F3CE6" w:rsidP="003F3CE6">
            <w:pPr>
              <w:jc w:val="left"/>
              <w:rPr>
                <w:rFonts w:ascii="Arial Narrow" w:hAnsi="Arial Narrow"/>
                <w:color w:val="000000"/>
                <w:sz w:val="20"/>
                <w:szCs w:val="18"/>
              </w:rPr>
            </w:pPr>
            <w:r w:rsidRPr="000C35A1">
              <w:rPr>
                <w:rFonts w:ascii="Arial Narrow" w:hAnsi="Arial Narrow"/>
                <w:color w:val="000000"/>
                <w:sz w:val="20"/>
                <w:szCs w:val="18"/>
              </w:rPr>
              <w:t>meta-analysis</w:t>
            </w:r>
          </w:p>
        </w:tc>
        <w:tc>
          <w:tcPr>
            <w:tcW w:w="494" w:type="pct"/>
            <w:vAlign w:val="center"/>
          </w:tcPr>
          <w:p w:rsidR="003F3CE6" w:rsidRPr="000C35A1" w:rsidRDefault="003F3CE6" w:rsidP="003F3CE6">
            <w:pPr>
              <w:jc w:val="center"/>
              <w:rPr>
                <w:rFonts w:ascii="Arial Narrow" w:hAnsi="Arial Narrow"/>
                <w:sz w:val="20"/>
                <w:szCs w:val="18"/>
              </w:rPr>
            </w:pPr>
            <w:r w:rsidRPr="000C35A1">
              <w:rPr>
                <w:rFonts w:ascii="Arial Narrow" w:hAnsi="Arial Narrow"/>
                <w:sz w:val="20"/>
                <w:szCs w:val="18"/>
              </w:rPr>
              <w:t>202/287</w:t>
            </w:r>
          </w:p>
        </w:tc>
        <w:tc>
          <w:tcPr>
            <w:tcW w:w="392" w:type="pct"/>
            <w:gridSpan w:val="2"/>
            <w:vAlign w:val="center"/>
          </w:tcPr>
          <w:p w:rsidR="003F3CE6" w:rsidRPr="000C35A1" w:rsidRDefault="003F3CE6" w:rsidP="003F3CE6">
            <w:pPr>
              <w:jc w:val="center"/>
              <w:rPr>
                <w:rFonts w:ascii="Arial Narrow" w:hAnsi="Arial Narrow"/>
                <w:sz w:val="20"/>
                <w:szCs w:val="18"/>
              </w:rPr>
            </w:pPr>
            <w:r w:rsidRPr="000C35A1">
              <w:rPr>
                <w:rFonts w:ascii="Arial Narrow" w:hAnsi="Arial Narrow"/>
                <w:sz w:val="20"/>
                <w:szCs w:val="18"/>
              </w:rPr>
              <w:t>204/287</w:t>
            </w:r>
          </w:p>
        </w:tc>
        <w:tc>
          <w:tcPr>
            <w:tcW w:w="606"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w:t>
            </w:r>
          </w:p>
        </w:tc>
        <w:tc>
          <w:tcPr>
            <w:tcW w:w="630" w:type="pct"/>
            <w:vAlign w:val="center"/>
          </w:tcPr>
          <w:p w:rsidR="003F3CE6" w:rsidRPr="000C35A1" w:rsidRDefault="003F3CE6" w:rsidP="003F3CE6">
            <w:pPr>
              <w:jc w:val="center"/>
              <w:rPr>
                <w:rFonts w:ascii="Arial Narrow" w:hAnsi="Arial Narrow"/>
                <w:sz w:val="19"/>
                <w:szCs w:val="19"/>
              </w:rPr>
            </w:pPr>
            <w:r w:rsidRPr="000C35A1">
              <w:rPr>
                <w:rFonts w:ascii="Arial Narrow" w:hAnsi="Arial Narrow"/>
                <w:sz w:val="19"/>
                <w:szCs w:val="19"/>
              </w:rPr>
              <w:t xml:space="preserve">0.99 </w:t>
            </w:r>
          </w:p>
          <w:p w:rsidR="003F3CE6" w:rsidRPr="000C35A1" w:rsidRDefault="003F3CE6" w:rsidP="003F3CE6">
            <w:pPr>
              <w:jc w:val="center"/>
              <w:rPr>
                <w:rFonts w:ascii="Arial Narrow" w:hAnsi="Arial Narrow"/>
                <w:sz w:val="20"/>
                <w:szCs w:val="18"/>
              </w:rPr>
            </w:pPr>
            <w:r w:rsidRPr="000C35A1">
              <w:rPr>
                <w:rFonts w:ascii="Arial Narrow" w:hAnsi="Arial Narrow"/>
                <w:sz w:val="19"/>
                <w:szCs w:val="19"/>
              </w:rPr>
              <w:t>(0.89, 1.10)</w:t>
            </w:r>
          </w:p>
        </w:tc>
        <w:tc>
          <w:tcPr>
            <w:tcW w:w="416"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70.4</w:t>
            </w:r>
          </w:p>
        </w:tc>
        <w:tc>
          <w:tcPr>
            <w:tcW w:w="418"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71.1</w:t>
            </w:r>
          </w:p>
        </w:tc>
        <w:tc>
          <w:tcPr>
            <w:tcW w:w="329"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w:t>
            </w:r>
          </w:p>
        </w:tc>
        <w:tc>
          <w:tcPr>
            <w:tcW w:w="638" w:type="pct"/>
            <w:vAlign w:val="center"/>
          </w:tcPr>
          <w:p w:rsidR="003F3CE6" w:rsidRPr="000C35A1" w:rsidRDefault="003F3CE6" w:rsidP="003F3CE6">
            <w:pPr>
              <w:jc w:val="center"/>
              <w:rPr>
                <w:rFonts w:ascii="Arial Narrow" w:hAnsi="Arial Narrow"/>
                <w:sz w:val="19"/>
                <w:szCs w:val="19"/>
              </w:rPr>
            </w:pPr>
            <w:r w:rsidRPr="000C35A1">
              <w:rPr>
                <w:rFonts w:ascii="Arial Narrow" w:hAnsi="Arial Narrow"/>
                <w:sz w:val="19"/>
                <w:szCs w:val="19"/>
              </w:rPr>
              <w:t xml:space="preserve">-1.0 </w:t>
            </w:r>
          </w:p>
          <w:p w:rsidR="003F3CE6" w:rsidRPr="000C35A1" w:rsidRDefault="003F3CE6" w:rsidP="003F3CE6">
            <w:pPr>
              <w:jc w:val="center"/>
              <w:rPr>
                <w:rFonts w:ascii="Arial Narrow" w:hAnsi="Arial Narrow"/>
                <w:color w:val="000000"/>
                <w:sz w:val="20"/>
                <w:szCs w:val="18"/>
              </w:rPr>
            </w:pPr>
            <w:r w:rsidRPr="000C35A1">
              <w:rPr>
                <w:rFonts w:ascii="Arial Narrow" w:hAnsi="Arial Narrow"/>
                <w:sz w:val="19"/>
                <w:szCs w:val="19"/>
              </w:rPr>
              <w:t>(-8.0, 7.0)</w:t>
            </w:r>
          </w:p>
        </w:tc>
      </w:tr>
      <w:tr w:rsidR="00920EE5" w:rsidRPr="000C35A1">
        <w:tc>
          <w:tcPr>
            <w:tcW w:w="1077" w:type="pct"/>
            <w:shd w:val="clear" w:color="auto" w:fill="auto"/>
            <w:vAlign w:val="center"/>
          </w:tcPr>
          <w:p w:rsidR="003F3CE6" w:rsidRPr="000C35A1" w:rsidRDefault="003F3CE6" w:rsidP="003F3CE6">
            <w:pPr>
              <w:jc w:val="left"/>
              <w:rPr>
                <w:rFonts w:ascii="Arial Narrow" w:hAnsi="Arial Narrow"/>
                <w:color w:val="000000"/>
                <w:sz w:val="20"/>
                <w:szCs w:val="18"/>
              </w:rPr>
            </w:pPr>
            <w:r w:rsidRPr="000C35A1">
              <w:rPr>
                <w:rFonts w:ascii="Arial Narrow" w:hAnsi="Arial Narrow"/>
                <w:color w:val="000000"/>
                <w:sz w:val="20"/>
                <w:szCs w:val="18"/>
              </w:rPr>
              <w:t>RESTORE</w:t>
            </w:r>
          </w:p>
        </w:tc>
        <w:tc>
          <w:tcPr>
            <w:tcW w:w="494" w:type="pct"/>
            <w:vAlign w:val="center"/>
          </w:tcPr>
          <w:p w:rsidR="003F3CE6" w:rsidRPr="000C35A1" w:rsidRDefault="003F3CE6" w:rsidP="003F3CE6">
            <w:pPr>
              <w:jc w:val="center"/>
              <w:rPr>
                <w:rFonts w:ascii="Arial Narrow" w:hAnsi="Arial Narrow"/>
                <w:sz w:val="20"/>
                <w:szCs w:val="18"/>
              </w:rPr>
            </w:pPr>
            <w:r w:rsidRPr="000C35A1">
              <w:rPr>
                <w:rFonts w:ascii="Arial Narrow" w:hAnsi="Arial Narrow"/>
                <w:sz w:val="20"/>
                <w:szCs w:val="18"/>
              </w:rPr>
              <w:t>-</w:t>
            </w:r>
          </w:p>
        </w:tc>
        <w:tc>
          <w:tcPr>
            <w:tcW w:w="392" w:type="pct"/>
            <w:gridSpan w:val="2"/>
            <w:vAlign w:val="center"/>
          </w:tcPr>
          <w:p w:rsidR="003F3CE6" w:rsidRPr="000C35A1" w:rsidRDefault="003F3CE6" w:rsidP="003F3CE6">
            <w:pPr>
              <w:jc w:val="center"/>
              <w:rPr>
                <w:rFonts w:ascii="Arial Narrow" w:hAnsi="Arial Narrow"/>
                <w:sz w:val="20"/>
                <w:szCs w:val="18"/>
              </w:rPr>
            </w:pPr>
            <w:r w:rsidRPr="000C35A1">
              <w:rPr>
                <w:rFonts w:ascii="Arial Narrow" w:hAnsi="Arial Narrow"/>
                <w:sz w:val="20"/>
                <w:szCs w:val="18"/>
              </w:rPr>
              <w:t>43/110</w:t>
            </w:r>
          </w:p>
        </w:tc>
        <w:tc>
          <w:tcPr>
            <w:tcW w:w="606"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49/115</w:t>
            </w:r>
          </w:p>
        </w:tc>
        <w:tc>
          <w:tcPr>
            <w:tcW w:w="630" w:type="pct"/>
            <w:vAlign w:val="center"/>
          </w:tcPr>
          <w:p w:rsidR="003F3CE6" w:rsidRPr="000C35A1" w:rsidRDefault="003F3CE6" w:rsidP="003F3CE6">
            <w:pPr>
              <w:jc w:val="center"/>
              <w:rPr>
                <w:rFonts w:ascii="Arial Narrow" w:hAnsi="Arial Narrow"/>
                <w:sz w:val="20"/>
                <w:szCs w:val="18"/>
              </w:rPr>
            </w:pPr>
            <w:r w:rsidRPr="000C35A1">
              <w:rPr>
                <w:rFonts w:ascii="Arial Narrow" w:hAnsi="Arial Narrow"/>
                <w:sz w:val="20"/>
                <w:szCs w:val="18"/>
              </w:rPr>
              <w:t xml:space="preserve">1.09 </w:t>
            </w:r>
          </w:p>
          <w:p w:rsidR="003F3CE6" w:rsidRPr="000C35A1" w:rsidRDefault="003F3CE6" w:rsidP="003F3CE6">
            <w:pPr>
              <w:jc w:val="center"/>
              <w:rPr>
                <w:rFonts w:ascii="Arial Narrow" w:hAnsi="Arial Narrow"/>
                <w:sz w:val="20"/>
                <w:szCs w:val="18"/>
              </w:rPr>
            </w:pPr>
            <w:r w:rsidRPr="000C35A1">
              <w:rPr>
                <w:rFonts w:ascii="Arial Narrow" w:hAnsi="Arial Narrow"/>
                <w:sz w:val="20"/>
                <w:szCs w:val="18"/>
              </w:rPr>
              <w:t>(0.80, 1.49</w:t>
            </w:r>
          </w:p>
        </w:tc>
        <w:tc>
          <w:tcPr>
            <w:tcW w:w="416"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w:t>
            </w:r>
          </w:p>
        </w:tc>
        <w:tc>
          <w:tcPr>
            <w:tcW w:w="418"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39.1</w:t>
            </w:r>
          </w:p>
        </w:tc>
        <w:tc>
          <w:tcPr>
            <w:tcW w:w="329"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42.6</w:t>
            </w:r>
          </w:p>
        </w:tc>
        <w:tc>
          <w:tcPr>
            <w:tcW w:w="638" w:type="pct"/>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 xml:space="preserve">3.5 </w:t>
            </w:r>
          </w:p>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(-9.3, 16.4)</w:t>
            </w:r>
          </w:p>
        </w:tc>
      </w:tr>
      <w:tr w:rsidR="00920EE5" w:rsidRPr="000C35A1">
        <w:tc>
          <w:tcPr>
            <w:tcW w:w="2568" w:type="pct"/>
            <w:gridSpan w:val="5"/>
            <w:tcBorders>
              <w:bottom w:val="single" w:sz="4" w:space="0" w:color="auto"/>
            </w:tcBorders>
            <w:shd w:val="clear" w:color="auto" w:fill="auto"/>
            <w:vAlign w:val="center"/>
          </w:tcPr>
          <w:p w:rsidR="003F3CE6" w:rsidRPr="000C35A1" w:rsidRDefault="003F3CE6" w:rsidP="003F3CE6">
            <w:pPr>
              <w:rPr>
                <w:rFonts w:ascii="Arial Narrow" w:hAnsi="Arial Narrow"/>
                <w:color w:val="000000"/>
                <w:sz w:val="20"/>
                <w:szCs w:val="18"/>
              </w:rPr>
            </w:pPr>
            <w:r w:rsidRPr="000C35A1">
              <w:rPr>
                <w:rFonts w:ascii="Arial Narrow" w:hAnsi="Arial Narrow"/>
                <w:color w:val="000000"/>
                <w:sz w:val="20"/>
                <w:szCs w:val="18"/>
              </w:rPr>
              <w:t>Indirect comparison: aflibercept vs ranibizumab</w:t>
            </w:r>
          </w:p>
        </w:tc>
        <w:tc>
          <w:tcPr>
            <w:tcW w:w="630" w:type="pct"/>
            <w:tcBorders>
              <w:bottom w:val="single" w:sz="4" w:space="0" w:color="auto"/>
            </w:tcBorders>
            <w:vAlign w:val="center"/>
          </w:tcPr>
          <w:p w:rsidR="003F3CE6" w:rsidRPr="000C35A1" w:rsidRDefault="003F3CE6" w:rsidP="003F3CE6">
            <w:pPr>
              <w:jc w:val="center"/>
              <w:rPr>
                <w:rFonts w:ascii="Arial Narrow" w:hAnsi="Arial Narrow"/>
                <w:sz w:val="20"/>
              </w:rPr>
            </w:pPr>
            <w:r w:rsidRPr="000C35A1">
              <w:rPr>
                <w:rFonts w:ascii="Arial Narrow" w:hAnsi="Arial Narrow"/>
                <w:sz w:val="20"/>
              </w:rPr>
              <w:t xml:space="preserve">0.91 </w:t>
            </w:r>
          </w:p>
          <w:p w:rsidR="003F3CE6" w:rsidRPr="000C35A1" w:rsidRDefault="003F3CE6" w:rsidP="003F3CE6">
            <w:pPr>
              <w:jc w:val="center"/>
              <w:rPr>
                <w:rFonts w:ascii="Arial Narrow" w:hAnsi="Arial Narrow"/>
                <w:color w:val="000000"/>
                <w:sz w:val="20"/>
                <w:szCs w:val="18"/>
              </w:rPr>
            </w:pPr>
            <w:r w:rsidRPr="000C35A1">
              <w:rPr>
                <w:rFonts w:ascii="Arial Narrow" w:hAnsi="Arial Narrow"/>
                <w:sz w:val="20"/>
              </w:rPr>
              <w:t>(0.65, 1.26)</w:t>
            </w:r>
          </w:p>
        </w:tc>
        <w:tc>
          <w:tcPr>
            <w:tcW w:w="1163" w:type="pct"/>
            <w:gridSpan w:val="3"/>
            <w:tcBorders>
              <w:bottom w:val="single" w:sz="4" w:space="0" w:color="auto"/>
            </w:tcBorders>
            <w:shd w:val="clear" w:color="auto" w:fill="auto"/>
            <w:vAlign w:val="center"/>
          </w:tcPr>
          <w:p w:rsidR="003F3CE6" w:rsidRPr="000C35A1" w:rsidRDefault="003F3CE6" w:rsidP="003F3CE6">
            <w:pPr>
              <w:jc w:val="center"/>
              <w:rPr>
                <w:rFonts w:ascii="Arial Narrow" w:hAnsi="Arial Narrow"/>
                <w:color w:val="000000"/>
                <w:sz w:val="20"/>
                <w:szCs w:val="18"/>
              </w:rPr>
            </w:pPr>
            <w:r w:rsidRPr="000C35A1">
              <w:rPr>
                <w:rFonts w:ascii="Arial Narrow" w:hAnsi="Arial Narrow"/>
                <w:color w:val="000000"/>
                <w:sz w:val="20"/>
                <w:szCs w:val="18"/>
              </w:rPr>
              <w:t>-</w:t>
            </w:r>
          </w:p>
        </w:tc>
        <w:tc>
          <w:tcPr>
            <w:tcW w:w="638" w:type="pct"/>
            <w:tcBorders>
              <w:bottom w:val="single" w:sz="4" w:space="0" w:color="auto"/>
            </w:tcBorders>
            <w:vAlign w:val="center"/>
          </w:tcPr>
          <w:p w:rsidR="003F3CE6" w:rsidRPr="000C35A1" w:rsidRDefault="003F3CE6" w:rsidP="003F3CE6">
            <w:pPr>
              <w:jc w:val="center"/>
              <w:rPr>
                <w:rFonts w:ascii="Arial Narrow" w:hAnsi="Arial Narrow"/>
                <w:sz w:val="20"/>
              </w:rPr>
            </w:pPr>
            <w:r w:rsidRPr="000C35A1">
              <w:rPr>
                <w:rFonts w:ascii="Arial Narrow" w:hAnsi="Arial Narrow"/>
                <w:sz w:val="20"/>
              </w:rPr>
              <w:t xml:space="preserve">-4.5 </w:t>
            </w:r>
          </w:p>
          <w:p w:rsidR="003F3CE6" w:rsidRPr="000C35A1" w:rsidRDefault="003F3CE6" w:rsidP="003F3CE6">
            <w:pPr>
              <w:jc w:val="center"/>
              <w:rPr>
                <w:rFonts w:ascii="Arial Narrow" w:hAnsi="Arial Narrow"/>
                <w:color w:val="000000"/>
                <w:sz w:val="20"/>
                <w:szCs w:val="18"/>
              </w:rPr>
            </w:pPr>
            <w:r w:rsidRPr="000C35A1">
              <w:rPr>
                <w:rFonts w:ascii="Arial Narrow" w:hAnsi="Arial Narrow"/>
                <w:sz w:val="20"/>
              </w:rPr>
              <w:t>(-19.4, 10.4)</w:t>
            </w:r>
          </w:p>
        </w:tc>
      </w:tr>
    </w:tbl>
    <w:p w:rsidR="00B62715" w:rsidRDefault="00B62715" w:rsidP="0067417B">
      <w:pPr>
        <w:pStyle w:val="TableFooter"/>
        <w:ind w:left="720"/>
      </w:pPr>
      <w:r w:rsidRPr="0072416F">
        <w:t xml:space="preserve">* </w:t>
      </w:r>
      <w:r w:rsidR="004209BF">
        <w:t>D</w:t>
      </w:r>
      <w:r w:rsidRPr="0072416F">
        <w:t>uration of follow-up</w:t>
      </w:r>
      <w:r w:rsidR="004209BF">
        <w:t>: 52 weeks: VIVID, VISTA; 12 months: RESTORE, REVEAL</w:t>
      </w:r>
      <w:r w:rsidR="003F3CE6">
        <w:t xml:space="preserve">.  </w:t>
      </w:r>
      <w:r w:rsidRPr="0072416F">
        <w:t xml:space="preserve">Abbreviations: </w:t>
      </w:r>
      <w:r w:rsidR="004209BF">
        <w:t>AFB = aflibercept</w:t>
      </w:r>
      <w:r w:rsidRPr="0072416F">
        <w:t>;</w:t>
      </w:r>
      <w:r w:rsidR="004209BF">
        <w:t xml:space="preserve"> BCVA = best corrected visual acuity; </w:t>
      </w:r>
      <w:r w:rsidR="004209BF" w:rsidRPr="004209BF">
        <w:t>ETDRS = early treatment diabetic retinopathy study</w:t>
      </w:r>
      <w:r w:rsidR="004209BF">
        <w:t>;</w:t>
      </w:r>
      <w:r w:rsidR="004209BF" w:rsidRPr="004209BF">
        <w:t xml:space="preserve"> </w:t>
      </w:r>
      <w:r w:rsidR="003F3CE6">
        <w:t xml:space="preserve">MD = mean difference; </w:t>
      </w:r>
      <w:r w:rsidR="004209BF">
        <w:t xml:space="preserve">RBZ = ranibizumab; </w:t>
      </w:r>
      <w:r w:rsidRPr="0072416F">
        <w:t>RD = risk difference; RR = risk ratio</w:t>
      </w:r>
      <w:r w:rsidR="004209BF">
        <w:t xml:space="preserve">; </w:t>
      </w:r>
      <w:r w:rsidRPr="0072416F">
        <w:t>Source: Compiled during the evaluation</w:t>
      </w:r>
    </w:p>
    <w:p w:rsidR="00FC1884" w:rsidRPr="00523C28" w:rsidRDefault="00FC1884" w:rsidP="00FC1884"/>
    <w:p w:rsidR="00FC1884" w:rsidRPr="00523C28" w:rsidRDefault="00FC1884" w:rsidP="00A7001B">
      <w:pPr>
        <w:pStyle w:val="ListParagraph"/>
        <w:widowControl/>
        <w:numPr>
          <w:ilvl w:val="1"/>
          <w:numId w:val="3"/>
        </w:numPr>
        <w:rPr>
          <w:lang w:val="en-US"/>
        </w:rPr>
      </w:pPr>
      <w:r w:rsidRPr="00523C28">
        <w:rPr>
          <w:lang w:val="en-US"/>
        </w:rPr>
        <w:t>On the basis of direct</w:t>
      </w:r>
      <w:r w:rsidR="006732B2">
        <w:rPr>
          <w:lang w:val="en-US"/>
        </w:rPr>
        <w:t xml:space="preserve"> </w:t>
      </w:r>
      <w:r w:rsidRPr="00523C28">
        <w:rPr>
          <w:lang w:val="en-US"/>
        </w:rPr>
        <w:t xml:space="preserve">evidence presented by the submission, </w:t>
      </w:r>
      <w:r w:rsidR="006732B2">
        <w:rPr>
          <w:lang w:val="en-US"/>
        </w:rPr>
        <w:t>for patients treated with aflibercept</w:t>
      </w:r>
      <w:r w:rsidR="00846197">
        <w:rPr>
          <w:lang w:val="en-US"/>
        </w:rPr>
        <w:t xml:space="preserve"> there would be</w:t>
      </w:r>
      <w:r w:rsidRPr="00523C28">
        <w:rPr>
          <w:lang w:val="en-US"/>
        </w:rPr>
        <w:t>:</w:t>
      </w:r>
    </w:p>
    <w:p w:rsidR="00DB0A95" w:rsidRDefault="00F51ABC" w:rsidP="00361C7A">
      <w:pPr>
        <w:pStyle w:val="ListParagraph"/>
        <w:numPr>
          <w:ilvl w:val="0"/>
          <w:numId w:val="2"/>
        </w:numPr>
        <w:autoSpaceDE w:val="0"/>
        <w:autoSpaceDN w:val="0"/>
        <w:adjustRightInd w:val="0"/>
        <w:ind w:left="993" w:hanging="284"/>
        <w:rPr>
          <w:lang w:val="en-US"/>
        </w:rPr>
      </w:pPr>
      <w:r>
        <w:rPr>
          <w:lang w:val="en-US"/>
        </w:rPr>
        <w:t>a</w:t>
      </w:r>
      <w:r w:rsidR="00DB0A95">
        <w:rPr>
          <w:lang w:val="en-US"/>
        </w:rPr>
        <w:t>pproximately a 10.01 letter gain in BCVA for aflibercept when compared to l</w:t>
      </w:r>
      <w:r>
        <w:rPr>
          <w:lang w:val="en-US"/>
        </w:rPr>
        <w:t>aser photocoagulation over a 12-</w:t>
      </w:r>
      <w:r w:rsidR="00DB0A95">
        <w:rPr>
          <w:lang w:val="en-US"/>
        </w:rPr>
        <w:t>month duration of follow-up</w:t>
      </w:r>
    </w:p>
    <w:p w:rsidR="00846197" w:rsidRPr="00846197" w:rsidRDefault="00846197" w:rsidP="00846197">
      <w:pPr>
        <w:autoSpaceDE w:val="0"/>
        <w:autoSpaceDN w:val="0"/>
        <w:adjustRightInd w:val="0"/>
        <w:ind w:left="720"/>
        <w:rPr>
          <w:lang w:val="en-US"/>
        </w:rPr>
      </w:pPr>
      <w:r>
        <w:rPr>
          <w:lang w:val="en-US"/>
        </w:rPr>
        <w:t xml:space="preserve">On the basis of the indirect comparison of aflibercept with ranibizumab, there would </w:t>
      </w:r>
      <w:r>
        <w:rPr>
          <w:lang w:val="en-US"/>
        </w:rPr>
        <w:lastRenderedPageBreak/>
        <w:t>be</w:t>
      </w:r>
      <w:r w:rsidR="00F51ABC">
        <w:rPr>
          <w:lang w:val="en-US"/>
        </w:rPr>
        <w:t>:</w:t>
      </w:r>
    </w:p>
    <w:p w:rsidR="0008637B" w:rsidRDefault="00F51ABC" w:rsidP="00FE25CF">
      <w:pPr>
        <w:pStyle w:val="ListParagraph"/>
        <w:numPr>
          <w:ilvl w:val="0"/>
          <w:numId w:val="2"/>
        </w:numPr>
        <w:autoSpaceDE w:val="0"/>
        <w:autoSpaceDN w:val="0"/>
        <w:adjustRightInd w:val="0"/>
        <w:ind w:left="993" w:hanging="284"/>
        <w:rPr>
          <w:lang w:val="en-US"/>
        </w:rPr>
      </w:pPr>
      <w:proofErr w:type="gramStart"/>
      <w:r w:rsidRPr="00CF4741">
        <w:rPr>
          <w:lang w:val="en-US"/>
        </w:rPr>
        <w:t>a</w:t>
      </w:r>
      <w:r w:rsidR="00FC1884" w:rsidRPr="00CF4741">
        <w:rPr>
          <w:lang w:val="en-US"/>
        </w:rPr>
        <w:t>pproximately</w:t>
      </w:r>
      <w:proofErr w:type="gramEnd"/>
      <w:r w:rsidR="00FC1884" w:rsidRPr="00CF4741">
        <w:rPr>
          <w:lang w:val="en-US"/>
        </w:rPr>
        <w:t xml:space="preserve"> </w:t>
      </w:r>
      <w:r w:rsidR="00D61846" w:rsidRPr="00CF4741">
        <w:rPr>
          <w:lang w:val="en-US"/>
        </w:rPr>
        <w:t xml:space="preserve">a </w:t>
      </w:r>
      <w:r w:rsidR="00DB0A95" w:rsidRPr="00CF4741">
        <w:rPr>
          <w:lang w:val="en-US"/>
        </w:rPr>
        <w:t>4.81 letter gain in BCVA for aflibercept when compared to ranibizumab over a 1</w:t>
      </w:r>
      <w:r>
        <w:rPr>
          <w:lang w:val="en-US"/>
        </w:rPr>
        <w:t>2-</w:t>
      </w:r>
      <w:r w:rsidR="00221AE4" w:rsidRPr="00CF4741">
        <w:rPr>
          <w:lang w:val="en-US"/>
        </w:rPr>
        <w:t>month duration of follow-up.</w:t>
      </w:r>
      <w:r w:rsidR="00C52173" w:rsidRPr="00CF4741">
        <w:rPr>
          <w:lang w:val="en-US"/>
        </w:rPr>
        <w:t xml:space="preserve"> However, this difference may be an artefact of the difference in trial populations</w:t>
      </w:r>
      <w:r w:rsidR="005E4493" w:rsidRPr="005E4493">
        <w:t xml:space="preserve"> </w:t>
      </w:r>
      <w:r w:rsidR="005E4493" w:rsidRPr="005E4493">
        <w:rPr>
          <w:lang w:val="en-US"/>
        </w:rPr>
        <w:t>and does not represent a clinically significant improve</w:t>
      </w:r>
      <w:r w:rsidR="005E4493">
        <w:rPr>
          <w:lang w:val="en-US"/>
        </w:rPr>
        <w:t>ment in vision-related quality o</w:t>
      </w:r>
      <w:r w:rsidR="005E4493" w:rsidRPr="005E4493">
        <w:rPr>
          <w:lang w:val="en-US"/>
        </w:rPr>
        <w:t>f life.</w:t>
      </w:r>
    </w:p>
    <w:p w:rsidR="00FE25CF" w:rsidRPr="00F47113" w:rsidRDefault="00FE25CF" w:rsidP="00FE25CF">
      <w:pPr>
        <w:pStyle w:val="ListParagraph"/>
        <w:autoSpaceDE w:val="0"/>
        <w:autoSpaceDN w:val="0"/>
        <w:adjustRightInd w:val="0"/>
        <w:ind w:left="993"/>
        <w:rPr>
          <w:lang w:val="en-US"/>
        </w:rPr>
      </w:pPr>
    </w:p>
    <w:p w:rsidR="0067417B" w:rsidRPr="00523C28" w:rsidRDefault="0067417B" w:rsidP="0008637B">
      <w:pPr>
        <w:pStyle w:val="ListParagraph"/>
        <w:widowControl/>
        <w:numPr>
          <w:ilvl w:val="1"/>
          <w:numId w:val="3"/>
        </w:numPr>
        <w:rPr>
          <w:lang w:val="en-US"/>
        </w:rPr>
      </w:pPr>
      <w:r w:rsidRPr="00E43F01">
        <w:t xml:space="preserve">On </w:t>
      </w:r>
      <w:r w:rsidRPr="0008637B">
        <w:rPr>
          <w:lang w:val="en-US"/>
        </w:rPr>
        <w:t>the</w:t>
      </w:r>
      <w:r w:rsidRPr="00E43F01">
        <w:t xml:space="preserve"> basis of the indirect comparison presented, the frequency of adverse effects</w:t>
      </w:r>
      <w:r w:rsidR="0008637B">
        <w:t xml:space="preserve"> over 12 months</w:t>
      </w:r>
      <w:r w:rsidRPr="00E43F01">
        <w:t xml:space="preserve"> appears to be </w:t>
      </w:r>
      <w:r w:rsidR="00221AE4">
        <w:t>similar</w:t>
      </w:r>
      <w:r>
        <w:t xml:space="preserve"> for patients treated with either aflibercept or ranibizumab.</w:t>
      </w:r>
    </w:p>
    <w:p w:rsidR="00B60939" w:rsidRPr="00882085" w:rsidRDefault="00B60939" w:rsidP="00FC1884"/>
    <w:p w:rsidR="00B60939" w:rsidRPr="00BF0C39" w:rsidRDefault="00B60939" w:rsidP="00BF0C39">
      <w:pPr>
        <w:rPr>
          <w:b/>
        </w:rPr>
      </w:pPr>
      <w:bookmarkStart w:id="11" w:name="_Toc398652603"/>
      <w:r w:rsidRPr="00BF0C39">
        <w:rPr>
          <w:b/>
        </w:rPr>
        <w:t>Clinical claim</w:t>
      </w:r>
      <w:bookmarkEnd w:id="11"/>
    </w:p>
    <w:p w:rsidR="00B60939" w:rsidRPr="00882085" w:rsidRDefault="00B60939" w:rsidP="00B60939">
      <w:pPr>
        <w:ind w:left="720" w:hanging="720"/>
        <w:rPr>
          <w:szCs w:val="22"/>
        </w:rPr>
      </w:pPr>
    </w:p>
    <w:p w:rsidR="008C5C99" w:rsidRPr="00BA1FEA" w:rsidRDefault="00C010B3" w:rsidP="00B80C0B">
      <w:pPr>
        <w:pStyle w:val="ListParagraph"/>
        <w:widowControl/>
        <w:numPr>
          <w:ilvl w:val="1"/>
          <w:numId w:val="3"/>
        </w:numPr>
        <w:rPr>
          <w:szCs w:val="22"/>
        </w:rPr>
      </w:pPr>
      <w:r w:rsidRPr="00BA1FEA">
        <w:t>The submission describe</w:t>
      </w:r>
      <w:r w:rsidR="000C35A1">
        <w:t>d</w:t>
      </w:r>
      <w:r w:rsidRPr="00BA1FEA">
        <w:t xml:space="preserve"> aflibercept as superior in terms of </w:t>
      </w:r>
      <w:r w:rsidR="00636A1A">
        <w:t xml:space="preserve">comparative effectiveness </w:t>
      </w:r>
      <w:r w:rsidRPr="00BA1FEA">
        <w:t xml:space="preserve">over laser photocoagulation.  This claim </w:t>
      </w:r>
      <w:r w:rsidR="00F51ABC">
        <w:t>was considered to be</w:t>
      </w:r>
      <w:r w:rsidRPr="00BA1FEA">
        <w:t xml:space="preserve"> adequately supported for the one year primary endpoint analyses, although the following</w:t>
      </w:r>
      <w:r w:rsidR="00283A73" w:rsidRPr="00BA1FEA">
        <w:t xml:space="preserve"> questions </w:t>
      </w:r>
      <w:r w:rsidR="00F51ABC">
        <w:t xml:space="preserve">were </w:t>
      </w:r>
      <w:r w:rsidR="00283A73" w:rsidRPr="00BA1FEA">
        <w:t>noted</w:t>
      </w:r>
      <w:r w:rsidR="00F51ABC">
        <w:t>:</w:t>
      </w:r>
    </w:p>
    <w:p w:rsidR="008C5C99" w:rsidRPr="00BA1FEA" w:rsidRDefault="00F4199E" w:rsidP="008C5C99">
      <w:pPr>
        <w:pStyle w:val="ListParagraph"/>
        <w:widowControl/>
      </w:pPr>
      <w:r w:rsidRPr="00BA1FEA">
        <w:t>(1)</w:t>
      </w:r>
      <w:r w:rsidR="00C010B3" w:rsidRPr="00BA1FEA">
        <w:t xml:space="preserve"> </w:t>
      </w:r>
      <w:proofErr w:type="gramStart"/>
      <w:r w:rsidR="00F51ABC" w:rsidRPr="00BA1FEA">
        <w:t>w</w:t>
      </w:r>
      <w:r w:rsidR="00636A1A" w:rsidRPr="00BA1FEA">
        <w:t>hether</w:t>
      </w:r>
      <w:proofErr w:type="gramEnd"/>
      <w:r w:rsidR="00283A73" w:rsidRPr="00BA1FEA">
        <w:t xml:space="preserve"> the l</w:t>
      </w:r>
      <w:r w:rsidR="00C010B3" w:rsidRPr="00BA1FEA">
        <w:t xml:space="preserve">ong term effectiveness of </w:t>
      </w:r>
      <w:r w:rsidR="005C0214" w:rsidRPr="00BA1FEA">
        <w:t>aflibercept</w:t>
      </w:r>
      <w:r w:rsidR="00C010B3" w:rsidRPr="00BA1FEA">
        <w:t xml:space="preserve"> for the treatment of DME</w:t>
      </w:r>
      <w:r w:rsidR="00283A73" w:rsidRPr="00BA1FEA">
        <w:t xml:space="preserve"> will be sustained given that</w:t>
      </w:r>
      <w:r w:rsidR="00C010B3" w:rsidRPr="00BA1FEA">
        <w:t xml:space="preserve"> two to three </w:t>
      </w:r>
      <w:r w:rsidR="00313041" w:rsidRPr="00BA1FEA">
        <w:t xml:space="preserve">year </w:t>
      </w:r>
      <w:r w:rsidR="00C010B3" w:rsidRPr="00BA1FEA">
        <w:t>efficacy ou</w:t>
      </w:r>
      <w:r w:rsidR="00F51ABC">
        <w:t>tcomes have yet to be reported;</w:t>
      </w:r>
    </w:p>
    <w:p w:rsidR="00E200C5" w:rsidRPr="00CF4741" w:rsidRDefault="00C010B3" w:rsidP="00E200C5">
      <w:pPr>
        <w:ind w:left="720"/>
      </w:pPr>
      <w:r w:rsidRPr="00CF4741">
        <w:t xml:space="preserve">(2) </w:t>
      </w:r>
      <w:proofErr w:type="gramStart"/>
      <w:r w:rsidR="00F51ABC" w:rsidRPr="00CF4741">
        <w:t>e</w:t>
      </w:r>
      <w:r w:rsidRPr="00CF4741">
        <w:t>ffects</w:t>
      </w:r>
      <w:proofErr w:type="gramEnd"/>
      <w:r w:rsidRPr="00CF4741">
        <w:t xml:space="preserve"> upon health related quality of life: EQ-5D outcomes from VIVID indicated minimal change from baseline to week 52 in the treat</w:t>
      </w:r>
      <w:r w:rsidR="00F4199E" w:rsidRPr="00CF4741">
        <w:t>ment</w:t>
      </w:r>
      <w:r w:rsidRPr="00CF4741">
        <w:t xml:space="preserve"> groups and the VISTA CSR</w:t>
      </w:r>
      <w:r w:rsidR="00283A73" w:rsidRPr="00CF4741">
        <w:t xml:space="preserve"> did not</w:t>
      </w:r>
      <w:r w:rsidRPr="00CF4741">
        <w:t xml:space="preserve"> repor</w:t>
      </w:r>
      <w:r w:rsidR="00283A73" w:rsidRPr="00CF4741">
        <w:t>t</w:t>
      </w:r>
      <w:r w:rsidRPr="00CF4741">
        <w:t xml:space="preserve"> EQ-5D results.</w:t>
      </w:r>
      <w:r w:rsidR="009D123B" w:rsidRPr="00CF4741">
        <w:t xml:space="preserve">  .</w:t>
      </w:r>
    </w:p>
    <w:p w:rsidR="00E200C5" w:rsidRDefault="00E200C5" w:rsidP="00E200C5">
      <w:pPr>
        <w:ind w:left="720" w:hanging="720"/>
      </w:pPr>
    </w:p>
    <w:p w:rsidR="00F4199E" w:rsidRPr="00CF4741" w:rsidRDefault="00E200C5" w:rsidP="00E200C5">
      <w:pPr>
        <w:pStyle w:val="ListParagraph"/>
        <w:widowControl/>
        <w:numPr>
          <w:ilvl w:val="1"/>
          <w:numId w:val="3"/>
        </w:numPr>
        <w:rPr>
          <w:szCs w:val="22"/>
        </w:rPr>
      </w:pPr>
      <w:r w:rsidRPr="00CF4741">
        <w:rPr>
          <w:szCs w:val="22"/>
        </w:rPr>
        <w:t>The submission describe</w:t>
      </w:r>
      <w:r w:rsidR="000C35A1">
        <w:rPr>
          <w:szCs w:val="22"/>
        </w:rPr>
        <w:t>d</w:t>
      </w:r>
      <w:r w:rsidRPr="00CF4741">
        <w:rPr>
          <w:szCs w:val="22"/>
        </w:rPr>
        <w:t xml:space="preserve"> aflibercept as superior in terms of efficacy with respect to mean difference in change in BCVA letter score over ranibizumab.  </w:t>
      </w:r>
      <w:r w:rsidR="00554380">
        <w:rPr>
          <w:szCs w:val="22"/>
        </w:rPr>
        <w:t>The evaluation noted that a</w:t>
      </w:r>
      <w:r w:rsidRPr="00CF4741">
        <w:rPr>
          <w:szCs w:val="22"/>
        </w:rPr>
        <w:t>lthough a statistically significant letter gain of 4.81 (95% CI: 2.51, 7.11) in favour of aflibercept was estimated for the indirect comparison, the PBAC has previously considered that a 1</w:t>
      </w:r>
      <w:r w:rsidR="00F51ABC">
        <w:rPr>
          <w:szCs w:val="22"/>
        </w:rPr>
        <w:t>0-</w:t>
      </w:r>
      <w:r w:rsidRPr="00CF4741">
        <w:rPr>
          <w:szCs w:val="22"/>
        </w:rPr>
        <w:t>letter gain is required to achieve a clinically significant improvement in vision related quality of life (ranibizumab DME PSD, November 2013).  The ESC agreed with the evaluation and considered that</w:t>
      </w:r>
      <w:r w:rsidR="00F51ABC">
        <w:rPr>
          <w:szCs w:val="22"/>
        </w:rPr>
        <w:t>,</w:t>
      </w:r>
      <w:r w:rsidRPr="00CF4741">
        <w:rPr>
          <w:szCs w:val="22"/>
        </w:rPr>
        <w:t xml:space="preserve"> while this difference is statistically significant, the formal indirect comparison of other outcomes (i.e. such as patients who gained/lost at least 10 and 15 ETDRS letters in BCVA) does not show consistent statistically significant differences in favour of aflibercept.</w:t>
      </w:r>
    </w:p>
    <w:p w:rsidR="00E200C5" w:rsidRPr="00CF4741" w:rsidRDefault="00E200C5" w:rsidP="00E200C5">
      <w:pPr>
        <w:widowControl/>
        <w:rPr>
          <w:szCs w:val="22"/>
        </w:rPr>
      </w:pPr>
    </w:p>
    <w:p w:rsidR="00356B82" w:rsidRDefault="00F4199E" w:rsidP="00C52173">
      <w:pPr>
        <w:pStyle w:val="ListParagraph"/>
        <w:widowControl/>
        <w:numPr>
          <w:ilvl w:val="1"/>
          <w:numId w:val="3"/>
        </w:numPr>
        <w:rPr>
          <w:szCs w:val="22"/>
        </w:rPr>
      </w:pPr>
      <w:r w:rsidRPr="00BA1FEA">
        <w:rPr>
          <w:szCs w:val="22"/>
        </w:rPr>
        <w:t>The submission describe</w:t>
      </w:r>
      <w:r w:rsidR="000C35A1">
        <w:rPr>
          <w:szCs w:val="22"/>
        </w:rPr>
        <w:t>d</w:t>
      </w:r>
      <w:r w:rsidRPr="00BA1FEA">
        <w:rPr>
          <w:szCs w:val="22"/>
        </w:rPr>
        <w:t xml:space="preserve"> aflibercept as equivalent in terms of safety over laser photocoagulation and ranibizumab.  </w:t>
      </w:r>
      <w:r w:rsidR="007A0898" w:rsidRPr="00BA1FEA">
        <w:rPr>
          <w:szCs w:val="22"/>
        </w:rPr>
        <w:t xml:space="preserve">Although the trial evidence is supportive of an equivalent safety claim for aflibercept, results are limited to a 1 year analysis. </w:t>
      </w:r>
    </w:p>
    <w:p w:rsidR="00554380" w:rsidRDefault="00554380" w:rsidP="00554380">
      <w:pPr>
        <w:pStyle w:val="ListParagraph"/>
        <w:rPr>
          <w:szCs w:val="22"/>
        </w:rPr>
      </w:pPr>
    </w:p>
    <w:p w:rsidR="00220308" w:rsidRPr="008A3302" w:rsidRDefault="00220308" w:rsidP="00220308">
      <w:pPr>
        <w:widowControl/>
        <w:ind w:left="709"/>
        <w:contextualSpacing/>
        <w:rPr>
          <w:rFonts w:cs="Times New Roman"/>
          <w:i/>
          <w:snapToGrid/>
          <w:szCs w:val="22"/>
          <w:lang w:eastAsia="en-AU"/>
        </w:rPr>
      </w:pPr>
      <w:r w:rsidRPr="00A53ADC">
        <w:rPr>
          <w:rFonts w:cs="Times New Roman"/>
          <w:i/>
          <w:snapToGrid/>
          <w:szCs w:val="22"/>
          <w:lang w:eastAsia="en-AU"/>
        </w:rPr>
        <w:t>For more detail on PBAC’s view, see section 7 “PBAC outcome”</w:t>
      </w:r>
    </w:p>
    <w:p w:rsidR="0008229B" w:rsidRDefault="0008229B" w:rsidP="00BF0C39">
      <w:pPr>
        <w:pStyle w:val="BodyText"/>
      </w:pPr>
      <w:bookmarkStart w:id="12" w:name="_Toc398652604"/>
    </w:p>
    <w:p w:rsidR="00B60939" w:rsidRPr="00BF0C39" w:rsidRDefault="00B60939" w:rsidP="00BF0C39">
      <w:pPr>
        <w:rPr>
          <w:b/>
        </w:rPr>
      </w:pPr>
      <w:r w:rsidRPr="00BF0C39">
        <w:rPr>
          <w:b/>
        </w:rPr>
        <w:t>Economic analysis</w:t>
      </w:r>
      <w:bookmarkEnd w:id="12"/>
    </w:p>
    <w:p w:rsidR="00B60939" w:rsidRPr="00882085" w:rsidRDefault="00B60939" w:rsidP="00B60939">
      <w:pPr>
        <w:ind w:left="720" w:hanging="720"/>
        <w:rPr>
          <w:szCs w:val="22"/>
        </w:rPr>
      </w:pPr>
    </w:p>
    <w:p w:rsidR="008C5C99" w:rsidRPr="008C5C99" w:rsidRDefault="00614077" w:rsidP="00614077">
      <w:pPr>
        <w:pStyle w:val="ListParagraph"/>
        <w:widowControl/>
        <w:numPr>
          <w:ilvl w:val="1"/>
          <w:numId w:val="3"/>
        </w:numPr>
        <w:rPr>
          <w:szCs w:val="22"/>
        </w:rPr>
      </w:pPr>
      <w:r>
        <w:t xml:space="preserve">Two economic evaluations </w:t>
      </w:r>
      <w:r w:rsidR="00F51ABC">
        <w:t>we</w:t>
      </w:r>
      <w:r w:rsidR="00221AE4">
        <w:t>re presented by the submission:</w:t>
      </w:r>
    </w:p>
    <w:p w:rsidR="008C5C99" w:rsidRDefault="00614077" w:rsidP="008C5C99">
      <w:pPr>
        <w:pStyle w:val="ListParagraph"/>
        <w:widowControl/>
      </w:pPr>
      <w:r>
        <w:t>(1) CUA</w:t>
      </w:r>
      <w:r w:rsidRPr="00614077">
        <w:t xml:space="preserve"> based on the comparisons of aflibercept vs laser photocoagulation and aflibercept vs ranibizumab</w:t>
      </w:r>
      <w:r w:rsidR="0056285B">
        <w:t xml:space="preserve"> (aflibercept vial price = </w:t>
      </w:r>
      <w:r w:rsidR="00BF0C39">
        <w:rPr>
          <w:noProof/>
          <w:color w:val="000000"/>
          <w:highlight w:val="black"/>
        </w:rPr>
        <w:t>'''''''''''''''''</w:t>
      </w:r>
      <w:r w:rsidR="00172CF0">
        <w:t>)</w:t>
      </w:r>
      <w:r w:rsidR="00221AE4">
        <w:t>;</w:t>
      </w:r>
    </w:p>
    <w:p w:rsidR="00614077" w:rsidRPr="00614077" w:rsidRDefault="00614077" w:rsidP="008C5C99">
      <w:pPr>
        <w:pStyle w:val="ListParagraph"/>
        <w:widowControl/>
        <w:rPr>
          <w:szCs w:val="22"/>
        </w:rPr>
      </w:pPr>
      <w:r>
        <w:t xml:space="preserve">(2) CMA based on the comparison of aflibercept </w:t>
      </w:r>
      <w:r w:rsidR="00313041">
        <w:t xml:space="preserve">vs </w:t>
      </w:r>
      <w:r>
        <w:t>bevacizumab</w:t>
      </w:r>
      <w:r w:rsidR="00172CF0">
        <w:t xml:space="preserve"> (aflibercept vial price = </w:t>
      </w:r>
      <w:r w:rsidR="00BF0C39">
        <w:rPr>
          <w:noProof/>
          <w:color w:val="000000"/>
          <w:highlight w:val="black"/>
        </w:rPr>
        <w:t>''''''''''''''''''''</w:t>
      </w:r>
      <w:r w:rsidR="00172CF0">
        <w:t>)</w:t>
      </w:r>
      <w:r>
        <w:t>.</w:t>
      </w:r>
    </w:p>
    <w:p w:rsidR="00614077" w:rsidRPr="00221AE4" w:rsidRDefault="00614077" w:rsidP="00221AE4">
      <w:pPr>
        <w:widowControl/>
        <w:rPr>
          <w:szCs w:val="22"/>
        </w:rPr>
      </w:pPr>
    </w:p>
    <w:p w:rsidR="007756B2" w:rsidRPr="007756B2" w:rsidRDefault="009E589B" w:rsidP="00FD620F">
      <w:pPr>
        <w:pStyle w:val="ListParagraph"/>
        <w:widowControl/>
        <w:numPr>
          <w:ilvl w:val="1"/>
          <w:numId w:val="3"/>
        </w:numPr>
        <w:rPr>
          <w:szCs w:val="22"/>
        </w:rPr>
      </w:pPr>
      <w:r>
        <w:rPr>
          <w:u w:val="single"/>
        </w:rPr>
        <w:t xml:space="preserve">CUA: </w:t>
      </w:r>
      <w:r w:rsidR="009729BC" w:rsidRPr="00E36D0D">
        <w:rPr>
          <w:u w:val="single"/>
        </w:rPr>
        <w:t>aflibercept vs laser photocoagulation and aflibercept vs ranibizumab:</w:t>
      </w:r>
      <w:r w:rsidR="009729BC">
        <w:t xml:space="preserve"> The submission present</w:t>
      </w:r>
      <w:r w:rsidR="00350903">
        <w:t>ed</w:t>
      </w:r>
      <w:r w:rsidR="009729BC">
        <w:t xml:space="preserve"> a nine state (8 VA health states plus death) Markov state transition model.  </w:t>
      </w:r>
      <w:r w:rsidR="008C5C99">
        <w:t xml:space="preserve">Treatment </w:t>
      </w:r>
      <w:r w:rsidR="00F51ABC">
        <w:t>wa</w:t>
      </w:r>
      <w:r w:rsidR="008C5C99">
        <w:t xml:space="preserve">s modelled through the application of relevant utilities </w:t>
      </w:r>
      <w:r w:rsidR="008C5C99">
        <w:lastRenderedPageBreak/>
        <w:t xml:space="preserve">associated with the </w:t>
      </w:r>
      <w:r w:rsidR="0040015B">
        <w:t xml:space="preserve">better </w:t>
      </w:r>
      <w:proofErr w:type="gramStart"/>
      <w:r w:rsidR="0040015B">
        <w:t>seeing eye</w:t>
      </w:r>
      <w:proofErr w:type="gramEnd"/>
      <w:r w:rsidR="0040015B">
        <w:t xml:space="preserve"> (</w:t>
      </w:r>
      <w:r w:rsidR="008C5C99">
        <w:t>BSE</w:t>
      </w:r>
      <w:r w:rsidR="0040015B">
        <w:t>)</w:t>
      </w:r>
      <w:r w:rsidR="008C5C99">
        <w:t xml:space="preserve"> or </w:t>
      </w:r>
      <w:r w:rsidR="0040015B">
        <w:t>worse seeing eye (</w:t>
      </w:r>
      <w:r w:rsidR="008C5C99">
        <w:t>WSE</w:t>
      </w:r>
      <w:r w:rsidR="0040015B">
        <w:t>)</w:t>
      </w:r>
      <w:r w:rsidR="008C5C99">
        <w:t xml:space="preserve"> status of the tr</w:t>
      </w:r>
      <w:r w:rsidR="007756B2">
        <w:t xml:space="preserve">eated eye.  The overall ICER </w:t>
      </w:r>
      <w:r w:rsidR="00F51ABC">
        <w:t>wa</w:t>
      </w:r>
      <w:r w:rsidR="007756B2">
        <w:t>s calculated via</w:t>
      </w:r>
      <w:r w:rsidR="008C5C99">
        <w:t xml:space="preserve"> a </w:t>
      </w:r>
      <w:r w:rsidR="00BF0C39">
        <w:rPr>
          <w:noProof/>
          <w:color w:val="000000"/>
          <w:highlight w:val="black"/>
        </w:rPr>
        <w:t>''''''''''''''</w:t>
      </w:r>
      <w:r w:rsidR="008C5C99">
        <w:t xml:space="preserve"> distribution</w:t>
      </w:r>
      <w:r w:rsidR="00353BF0">
        <w:t>:</w:t>
      </w:r>
    </w:p>
    <w:p w:rsidR="00353BF0" w:rsidRPr="00353BF0" w:rsidRDefault="00353BF0" w:rsidP="00353BF0">
      <w:pPr>
        <w:pStyle w:val="ListParagraph"/>
        <w:widowControl/>
        <w:ind w:left="993" w:hanging="284"/>
        <w:rPr>
          <w:szCs w:val="22"/>
        </w:rPr>
      </w:pPr>
      <w:r w:rsidRPr="00353BF0">
        <w:rPr>
          <w:szCs w:val="22"/>
        </w:rPr>
        <w:t>1.</w:t>
      </w:r>
      <w:r w:rsidRPr="00353BF0">
        <w:rPr>
          <w:szCs w:val="22"/>
        </w:rPr>
        <w:tab/>
        <w:t xml:space="preserve">Unilaterally in the WSE </w:t>
      </w:r>
      <w:r w:rsidR="00BF0C39">
        <w:rPr>
          <w:noProof/>
          <w:color w:val="000000"/>
          <w:szCs w:val="22"/>
          <w:highlight w:val="black"/>
        </w:rPr>
        <w:t>'''''''''''''</w:t>
      </w:r>
      <w:r w:rsidRPr="00353BF0">
        <w:rPr>
          <w:szCs w:val="22"/>
        </w:rPr>
        <w:t xml:space="preserve">: The PBAC </w:t>
      </w:r>
      <w:r w:rsidR="00221AE4">
        <w:rPr>
          <w:szCs w:val="22"/>
        </w:rPr>
        <w:t xml:space="preserve">has previously </w:t>
      </w:r>
      <w:r w:rsidRPr="00353BF0">
        <w:rPr>
          <w:szCs w:val="22"/>
        </w:rPr>
        <w:t xml:space="preserve">considered that a discernible effect on overall VA would occur in patients </w:t>
      </w:r>
      <w:r w:rsidR="00221AE4">
        <w:rPr>
          <w:szCs w:val="22"/>
        </w:rPr>
        <w:t xml:space="preserve">for </w:t>
      </w:r>
      <w:r w:rsidRPr="00353BF0">
        <w:rPr>
          <w:szCs w:val="22"/>
        </w:rPr>
        <w:t xml:space="preserve">whom the treated eye was the BSE after 12 months follow up, </w:t>
      </w:r>
      <w:r w:rsidR="00221AE4">
        <w:rPr>
          <w:szCs w:val="22"/>
        </w:rPr>
        <w:t xml:space="preserve">and </w:t>
      </w:r>
      <w:r w:rsidRPr="00353BF0">
        <w:rPr>
          <w:szCs w:val="22"/>
        </w:rPr>
        <w:t>where the treated eye was originally the WSE (ranibizumab DME November 2013 PSD, p6).  This scena</w:t>
      </w:r>
      <w:r>
        <w:rPr>
          <w:szCs w:val="22"/>
        </w:rPr>
        <w:t>rio wa</w:t>
      </w:r>
      <w:r w:rsidRPr="00353BF0">
        <w:rPr>
          <w:szCs w:val="22"/>
        </w:rPr>
        <w:t>s not conside</w:t>
      </w:r>
      <w:r>
        <w:rPr>
          <w:szCs w:val="22"/>
        </w:rPr>
        <w:t>red in the economic model.  It wa</w:t>
      </w:r>
      <w:r w:rsidRPr="00353BF0">
        <w:rPr>
          <w:szCs w:val="22"/>
        </w:rPr>
        <w:t>s assumed that</w:t>
      </w:r>
      <w:r w:rsidR="00221AE4">
        <w:rPr>
          <w:szCs w:val="22"/>
        </w:rPr>
        <w:t>,</w:t>
      </w:r>
      <w:r w:rsidRPr="00353BF0">
        <w:rPr>
          <w:szCs w:val="22"/>
        </w:rPr>
        <w:t xml:space="preserve"> following treatment, the WSE status of the treated eye does not change for the entire duration of the model.</w:t>
      </w:r>
    </w:p>
    <w:p w:rsidR="00353BF0" w:rsidRPr="00353BF0" w:rsidRDefault="00353BF0" w:rsidP="00353BF0">
      <w:pPr>
        <w:pStyle w:val="ListParagraph"/>
        <w:widowControl/>
        <w:ind w:left="993" w:hanging="284"/>
        <w:rPr>
          <w:szCs w:val="22"/>
        </w:rPr>
      </w:pPr>
      <w:r w:rsidRPr="00353BF0">
        <w:rPr>
          <w:szCs w:val="22"/>
        </w:rPr>
        <w:t>2.</w:t>
      </w:r>
      <w:r w:rsidRPr="00353BF0">
        <w:rPr>
          <w:szCs w:val="22"/>
        </w:rPr>
        <w:tab/>
        <w:t xml:space="preserve">Bilateral </w:t>
      </w:r>
      <w:r w:rsidR="00BF0C39">
        <w:rPr>
          <w:noProof/>
          <w:color w:val="000000"/>
          <w:szCs w:val="22"/>
          <w:highlight w:val="black"/>
        </w:rPr>
        <w:t>'''''''''''''''</w:t>
      </w:r>
      <w:r w:rsidRPr="00353BF0">
        <w:rPr>
          <w:szCs w:val="22"/>
        </w:rPr>
        <w:t xml:space="preserve">: cumulative QALYs from treatment in the BSE and WSE as well as associated costs inform the estimated ICER.  The assumption that treatment will occur in a WSE </w:t>
      </w:r>
      <w:r w:rsidR="00BF0C39">
        <w:rPr>
          <w:noProof/>
          <w:color w:val="000000"/>
          <w:szCs w:val="22"/>
          <w:highlight w:val="black"/>
        </w:rPr>
        <w:t>'''''''''''''''</w:t>
      </w:r>
      <w:r w:rsidRPr="00353BF0">
        <w:rPr>
          <w:szCs w:val="22"/>
        </w:rPr>
        <w:t xml:space="preserve">/bilateral </w:t>
      </w:r>
      <w:r w:rsidR="00BF0C39">
        <w:rPr>
          <w:noProof/>
          <w:color w:val="000000"/>
          <w:szCs w:val="22"/>
          <w:highlight w:val="black"/>
        </w:rPr>
        <w:t>''''''''''''''</w:t>
      </w:r>
      <w:r w:rsidRPr="00353BF0">
        <w:rPr>
          <w:szCs w:val="22"/>
        </w:rPr>
        <w:t xml:space="preserve"> distribution on the basis of VISTA was inadequately justified, given the significant differences in the extent of fellow eye treatment across the aflibercept trials.  Additionally, a significantly lower proportion of patients with bilateral disease (12%) </w:t>
      </w:r>
      <w:r w:rsidR="0018144D" w:rsidRPr="00353BF0">
        <w:rPr>
          <w:szCs w:val="22"/>
        </w:rPr>
        <w:t>have</w:t>
      </w:r>
      <w:r w:rsidRPr="00353BF0">
        <w:rPr>
          <w:szCs w:val="22"/>
        </w:rPr>
        <w:t xml:space="preserve"> been observed in population based studies (</w:t>
      </w:r>
      <w:proofErr w:type="spellStart"/>
      <w:r w:rsidRPr="00353BF0">
        <w:rPr>
          <w:szCs w:val="22"/>
        </w:rPr>
        <w:t>Petrella</w:t>
      </w:r>
      <w:proofErr w:type="spellEnd"/>
      <w:r w:rsidRPr="00353BF0">
        <w:rPr>
          <w:szCs w:val="22"/>
        </w:rPr>
        <w:t xml:space="preserve"> 2012).  Overall, it is likely that the extent of bilateral treatment has been overestimated by the submission.</w:t>
      </w:r>
    </w:p>
    <w:p w:rsidR="00353BF0" w:rsidRPr="00221AE4" w:rsidRDefault="00353BF0" w:rsidP="00221AE4">
      <w:pPr>
        <w:widowControl/>
        <w:rPr>
          <w:szCs w:val="22"/>
        </w:rPr>
      </w:pPr>
    </w:p>
    <w:p w:rsidR="005506B2" w:rsidRPr="00CF4741" w:rsidRDefault="005506B2" w:rsidP="005506B2">
      <w:pPr>
        <w:pStyle w:val="ListParagraph"/>
        <w:widowControl/>
        <w:numPr>
          <w:ilvl w:val="1"/>
          <w:numId w:val="3"/>
        </w:numPr>
      </w:pPr>
      <w:r w:rsidRPr="00425F34">
        <w:t>The submission describe</w:t>
      </w:r>
      <w:r w:rsidR="0040015B">
        <w:t>d</w:t>
      </w:r>
      <w:r w:rsidRPr="00425F34">
        <w:t xml:space="preserve"> the economic model as a ‘one eye model’. </w:t>
      </w:r>
      <w:r w:rsidR="00221AE4">
        <w:t xml:space="preserve"> </w:t>
      </w:r>
      <w:r w:rsidRPr="00425F34">
        <w:t>However, the evaluation of the model found that both the study eye and non-study eye were modelled in a unilateral (</w:t>
      </w:r>
      <w:r w:rsidR="00BF0C39">
        <w:rPr>
          <w:noProof/>
          <w:color w:val="000000"/>
          <w:highlight w:val="black"/>
        </w:rPr>
        <w:t>'''''''''''</w:t>
      </w:r>
      <w:r w:rsidRPr="00425F34">
        <w:t xml:space="preserve"> treated eye/fellow eye) and bilateral (</w:t>
      </w:r>
      <w:r w:rsidR="00BF0C39">
        <w:rPr>
          <w:noProof/>
          <w:color w:val="000000"/>
          <w:highlight w:val="black"/>
        </w:rPr>
        <w:t>''''''''''''</w:t>
      </w:r>
      <w:r w:rsidRPr="00425F34">
        <w:t xml:space="preserve">: treated eye/treated eye) scenario.  This two eye framework for both unilateral and bilateral settings, leads to a situation where each treated eye VA health states each have 64 associated fellow eye transitions.  In its entirety, the model uses </w:t>
      </w:r>
      <w:r w:rsidR="00BF0C39">
        <w:rPr>
          <w:noProof/>
          <w:color w:val="000000"/>
          <w:highlight w:val="black"/>
        </w:rPr>
        <w:t>'''''''''''''</w:t>
      </w:r>
      <w:r w:rsidRPr="00425F34">
        <w:t xml:space="preserve"> readjusted transition probabilities for unilateral and bilateral treatment in the efficacy phase.  It is unclear why the submission utilised such an extensive approach, when the utility inputs were based on the VA in the BSE or WSE and not on a combination of VA in both eyes.  Conceptually, there is also structural disconnect between the single eye BSE/WSE utilities and transitions which are informed by 4 or 8 eyes.  Overall, the level of specificity in the model is unlikely to contribute to the reliability of the </w:t>
      </w:r>
      <w:r w:rsidRPr="00CF4741">
        <w:t xml:space="preserve">estimated ICER.  The </w:t>
      </w:r>
      <w:proofErr w:type="gramStart"/>
      <w:r w:rsidRPr="00CF4741">
        <w:t>PSCR  stated</w:t>
      </w:r>
      <w:proofErr w:type="gramEnd"/>
      <w:r w:rsidRPr="00CF4741">
        <w:t xml:space="preserve"> that the model in the submission retains features of a two-eye model, but results are generated only for the study eye using 64 transition probabilities with many of the transition probabilities in specific cycles being zero.</w:t>
      </w:r>
    </w:p>
    <w:p w:rsidR="005506B2" w:rsidRPr="001E2420" w:rsidRDefault="005506B2" w:rsidP="005506B2">
      <w:pPr>
        <w:widowControl/>
        <w:rPr>
          <w:szCs w:val="22"/>
        </w:rPr>
      </w:pPr>
    </w:p>
    <w:p w:rsidR="00275C5A" w:rsidRDefault="00275C5A" w:rsidP="005506B2">
      <w:pPr>
        <w:ind w:firstLine="720"/>
        <w:rPr>
          <w:rStyle w:val="CommentReference"/>
        </w:rPr>
      </w:pPr>
      <w:r w:rsidRPr="00A56B6A">
        <w:rPr>
          <w:rStyle w:val="CommentReference"/>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9"/>
        <w:gridCol w:w="6926"/>
      </w:tblGrid>
      <w:tr w:rsidR="00275C5A" w:rsidRPr="00E2771E">
        <w:trPr>
          <w:tblHeader/>
        </w:trPr>
        <w:tc>
          <w:tcPr>
            <w:tcW w:w="850" w:type="pct"/>
            <w:shd w:val="clear" w:color="auto" w:fill="auto"/>
            <w:vAlign w:val="center"/>
          </w:tcPr>
          <w:p w:rsidR="00275C5A" w:rsidRPr="00E2771E" w:rsidRDefault="00275C5A" w:rsidP="00D110BD">
            <w:pPr>
              <w:jc w:val="left"/>
              <w:rPr>
                <w:rFonts w:ascii="Arial Narrow" w:hAnsi="Arial Narrow"/>
                <w:b/>
                <w:sz w:val="20"/>
              </w:rPr>
            </w:pPr>
            <w:r w:rsidRPr="00E2771E">
              <w:rPr>
                <w:rFonts w:ascii="Arial Narrow" w:hAnsi="Arial Narrow"/>
                <w:b/>
                <w:sz w:val="20"/>
              </w:rPr>
              <w:t>Component</w:t>
            </w:r>
          </w:p>
        </w:tc>
        <w:tc>
          <w:tcPr>
            <w:tcW w:w="4150" w:type="pct"/>
            <w:shd w:val="clear" w:color="auto" w:fill="auto"/>
            <w:vAlign w:val="center"/>
          </w:tcPr>
          <w:p w:rsidR="00275C5A" w:rsidRPr="00E2771E" w:rsidRDefault="00275C5A" w:rsidP="00D110BD">
            <w:pPr>
              <w:jc w:val="center"/>
              <w:rPr>
                <w:rFonts w:ascii="Arial Narrow" w:hAnsi="Arial Narrow"/>
                <w:b/>
                <w:sz w:val="20"/>
              </w:rPr>
            </w:pPr>
            <w:r w:rsidRPr="00E2771E">
              <w:rPr>
                <w:rFonts w:ascii="Arial Narrow" w:hAnsi="Arial Narrow"/>
                <w:b/>
                <w:sz w:val="20"/>
              </w:rPr>
              <w:t>Summary</w:t>
            </w:r>
          </w:p>
        </w:tc>
      </w:tr>
      <w:tr w:rsidR="00275C5A" w:rsidRPr="00E2771E">
        <w:tc>
          <w:tcPr>
            <w:tcW w:w="850" w:type="pct"/>
            <w:shd w:val="clear" w:color="auto" w:fill="auto"/>
            <w:vAlign w:val="center"/>
          </w:tcPr>
          <w:p w:rsidR="00275C5A" w:rsidRPr="00425F34" w:rsidRDefault="00275C5A" w:rsidP="00D110BD">
            <w:pPr>
              <w:jc w:val="left"/>
              <w:rPr>
                <w:rFonts w:ascii="Arial Narrow" w:hAnsi="Arial Narrow"/>
                <w:sz w:val="20"/>
              </w:rPr>
            </w:pPr>
            <w:r w:rsidRPr="00425F34">
              <w:rPr>
                <w:rFonts w:ascii="Arial Narrow" w:hAnsi="Arial Narrow"/>
                <w:sz w:val="20"/>
              </w:rPr>
              <w:t>Time horizon</w:t>
            </w:r>
          </w:p>
        </w:tc>
        <w:tc>
          <w:tcPr>
            <w:tcW w:w="4150" w:type="pct"/>
            <w:shd w:val="clear" w:color="auto" w:fill="auto"/>
            <w:vAlign w:val="center"/>
          </w:tcPr>
          <w:p w:rsidR="00275C5A" w:rsidRPr="00425F34" w:rsidRDefault="009729BC" w:rsidP="009729BC">
            <w:pPr>
              <w:jc w:val="left"/>
              <w:rPr>
                <w:rFonts w:ascii="Arial Narrow" w:hAnsi="Arial Narrow"/>
                <w:sz w:val="20"/>
              </w:rPr>
            </w:pPr>
            <w:r w:rsidRPr="00425F34">
              <w:rPr>
                <w:rFonts w:ascii="Arial Narrow" w:hAnsi="Arial Narrow"/>
                <w:sz w:val="20"/>
              </w:rPr>
              <w:t>15</w:t>
            </w:r>
            <w:r w:rsidR="00275C5A" w:rsidRPr="00425F34">
              <w:rPr>
                <w:rFonts w:ascii="Arial Narrow" w:hAnsi="Arial Narrow"/>
                <w:sz w:val="20"/>
              </w:rPr>
              <w:t xml:space="preserve"> years in the model base case versus </w:t>
            </w:r>
            <w:r w:rsidRPr="00425F34">
              <w:rPr>
                <w:rFonts w:ascii="Arial Narrow" w:hAnsi="Arial Narrow"/>
                <w:sz w:val="20"/>
              </w:rPr>
              <w:t>1 year</w:t>
            </w:r>
            <w:r w:rsidR="00275C5A" w:rsidRPr="00425F34">
              <w:rPr>
                <w:rFonts w:ascii="Arial Narrow" w:hAnsi="Arial Narrow"/>
                <w:sz w:val="20"/>
              </w:rPr>
              <w:t xml:space="preserve"> in </w:t>
            </w:r>
            <w:r w:rsidRPr="00425F34">
              <w:rPr>
                <w:rFonts w:ascii="Arial Narrow" w:hAnsi="Arial Narrow"/>
                <w:sz w:val="20"/>
              </w:rPr>
              <w:t xml:space="preserve">the </w:t>
            </w:r>
            <w:r w:rsidR="00275C5A" w:rsidRPr="00425F34">
              <w:rPr>
                <w:rFonts w:ascii="Arial Narrow" w:hAnsi="Arial Narrow"/>
                <w:sz w:val="20"/>
              </w:rPr>
              <w:t>trial</w:t>
            </w:r>
            <w:r w:rsidRPr="00425F34">
              <w:rPr>
                <w:rFonts w:ascii="Arial Narrow" w:hAnsi="Arial Narrow"/>
                <w:sz w:val="20"/>
              </w:rPr>
              <w:t>s</w:t>
            </w:r>
          </w:p>
        </w:tc>
      </w:tr>
      <w:tr w:rsidR="00275C5A" w:rsidRPr="00E2771E">
        <w:tc>
          <w:tcPr>
            <w:tcW w:w="850" w:type="pct"/>
            <w:shd w:val="clear" w:color="auto" w:fill="auto"/>
            <w:vAlign w:val="center"/>
          </w:tcPr>
          <w:p w:rsidR="00275C5A" w:rsidRPr="00425F34" w:rsidRDefault="00275C5A" w:rsidP="00D110BD">
            <w:pPr>
              <w:jc w:val="left"/>
              <w:rPr>
                <w:rFonts w:ascii="Arial Narrow" w:hAnsi="Arial Narrow"/>
                <w:sz w:val="20"/>
              </w:rPr>
            </w:pPr>
            <w:r w:rsidRPr="00425F34">
              <w:rPr>
                <w:rFonts w:ascii="Arial Narrow" w:hAnsi="Arial Narrow"/>
                <w:sz w:val="20"/>
              </w:rPr>
              <w:t>Outcomes</w:t>
            </w:r>
          </w:p>
        </w:tc>
        <w:tc>
          <w:tcPr>
            <w:tcW w:w="4150" w:type="pct"/>
            <w:shd w:val="clear" w:color="auto" w:fill="auto"/>
            <w:vAlign w:val="center"/>
          </w:tcPr>
          <w:p w:rsidR="00275C5A" w:rsidRPr="00425F34" w:rsidRDefault="009729BC" w:rsidP="00D110BD">
            <w:pPr>
              <w:jc w:val="left"/>
              <w:rPr>
                <w:rFonts w:ascii="Arial Narrow" w:hAnsi="Arial Narrow"/>
                <w:sz w:val="20"/>
              </w:rPr>
            </w:pPr>
            <w:r w:rsidRPr="00425F34">
              <w:rPr>
                <w:rFonts w:ascii="Arial Narrow" w:hAnsi="Arial Narrow"/>
                <w:sz w:val="20"/>
              </w:rPr>
              <w:t>Cost/QALY</w:t>
            </w:r>
          </w:p>
        </w:tc>
      </w:tr>
      <w:tr w:rsidR="00275C5A" w:rsidRPr="00E2771E">
        <w:tc>
          <w:tcPr>
            <w:tcW w:w="850" w:type="pct"/>
            <w:shd w:val="clear" w:color="auto" w:fill="auto"/>
            <w:vAlign w:val="center"/>
          </w:tcPr>
          <w:p w:rsidR="00275C5A" w:rsidRPr="00425F34" w:rsidRDefault="00275C5A" w:rsidP="00D110BD">
            <w:pPr>
              <w:jc w:val="left"/>
              <w:rPr>
                <w:rFonts w:ascii="Arial Narrow" w:hAnsi="Arial Narrow"/>
                <w:sz w:val="20"/>
              </w:rPr>
            </w:pPr>
            <w:r w:rsidRPr="00425F34">
              <w:rPr>
                <w:rFonts w:ascii="Arial Narrow" w:hAnsi="Arial Narrow"/>
                <w:sz w:val="20"/>
              </w:rPr>
              <w:t>Methods used to generate results</w:t>
            </w:r>
          </w:p>
        </w:tc>
        <w:tc>
          <w:tcPr>
            <w:tcW w:w="4150" w:type="pct"/>
            <w:shd w:val="clear" w:color="auto" w:fill="auto"/>
            <w:vAlign w:val="center"/>
          </w:tcPr>
          <w:p w:rsidR="000A1F71" w:rsidRPr="00425F34" w:rsidRDefault="009729BC" w:rsidP="000A1F71">
            <w:pPr>
              <w:jc w:val="left"/>
              <w:rPr>
                <w:rFonts w:ascii="Arial Narrow" w:hAnsi="Arial Narrow"/>
                <w:sz w:val="20"/>
              </w:rPr>
            </w:pPr>
            <w:r w:rsidRPr="00425F34">
              <w:rPr>
                <w:rFonts w:ascii="Arial Narrow" w:hAnsi="Arial Narrow"/>
                <w:sz w:val="20"/>
              </w:rPr>
              <w:t>Markov state transition model</w:t>
            </w:r>
            <w:r w:rsidR="000A1F71" w:rsidRPr="00425F34">
              <w:rPr>
                <w:rFonts w:ascii="Arial Narrow" w:hAnsi="Arial Narrow"/>
                <w:sz w:val="20"/>
              </w:rPr>
              <w:t xml:space="preserve"> incorporating 3 distinct phases: </w:t>
            </w:r>
          </w:p>
          <w:p w:rsidR="00275C5A" w:rsidRPr="00425F34" w:rsidRDefault="000A1F71" w:rsidP="000A1F71">
            <w:pPr>
              <w:jc w:val="left"/>
              <w:rPr>
                <w:rFonts w:ascii="Arial Narrow" w:hAnsi="Arial Narrow"/>
                <w:sz w:val="20"/>
              </w:rPr>
            </w:pPr>
            <w:r w:rsidRPr="00425F34">
              <w:rPr>
                <w:rFonts w:ascii="Arial Narrow" w:hAnsi="Arial Narrow"/>
                <w:sz w:val="20"/>
              </w:rPr>
              <w:t>(1) Efficacy phase</w:t>
            </w:r>
            <w:r w:rsidR="00815877" w:rsidRPr="00425F34">
              <w:rPr>
                <w:rFonts w:ascii="Arial Narrow" w:hAnsi="Arial Narrow"/>
                <w:sz w:val="20"/>
              </w:rPr>
              <w:t>: Year 1</w:t>
            </w:r>
          </w:p>
          <w:p w:rsidR="000A1F71" w:rsidRPr="00425F34" w:rsidRDefault="000A1F71" w:rsidP="000A1F71">
            <w:pPr>
              <w:jc w:val="left"/>
              <w:rPr>
                <w:rFonts w:ascii="Arial Narrow" w:hAnsi="Arial Narrow"/>
                <w:sz w:val="20"/>
              </w:rPr>
            </w:pPr>
            <w:r w:rsidRPr="00425F34">
              <w:rPr>
                <w:rFonts w:ascii="Arial Narrow" w:hAnsi="Arial Narrow"/>
                <w:sz w:val="20"/>
              </w:rPr>
              <w:t>(2) Maintenance Phase: Year 2 &amp; 3 – VA is assumed to remain stable</w:t>
            </w:r>
          </w:p>
          <w:p w:rsidR="00FD620F" w:rsidRPr="00425F34" w:rsidRDefault="000A1F71" w:rsidP="00FD620F">
            <w:pPr>
              <w:jc w:val="left"/>
              <w:rPr>
                <w:rFonts w:ascii="Arial Narrow" w:hAnsi="Arial Narrow"/>
                <w:sz w:val="20"/>
              </w:rPr>
            </w:pPr>
            <w:r w:rsidRPr="00425F34">
              <w:rPr>
                <w:rFonts w:ascii="Arial Narrow" w:hAnsi="Arial Narrow"/>
                <w:sz w:val="20"/>
              </w:rPr>
              <w:t>(3) Rest of life phase: Year 4 to 15 – long term decline in VA with age as informed by ETDRS</w:t>
            </w:r>
          </w:p>
        </w:tc>
      </w:tr>
      <w:tr w:rsidR="00275C5A" w:rsidRPr="00E2771E">
        <w:tc>
          <w:tcPr>
            <w:tcW w:w="850" w:type="pct"/>
            <w:shd w:val="clear" w:color="auto" w:fill="auto"/>
            <w:vAlign w:val="center"/>
          </w:tcPr>
          <w:p w:rsidR="00275C5A" w:rsidRPr="00425F34" w:rsidRDefault="00275C5A" w:rsidP="00D110BD">
            <w:pPr>
              <w:jc w:val="left"/>
              <w:rPr>
                <w:rFonts w:ascii="Arial Narrow" w:hAnsi="Arial Narrow"/>
                <w:sz w:val="20"/>
              </w:rPr>
            </w:pPr>
            <w:r w:rsidRPr="00425F34">
              <w:rPr>
                <w:rFonts w:ascii="Arial Narrow" w:hAnsi="Arial Narrow"/>
                <w:sz w:val="20"/>
              </w:rPr>
              <w:t>Health states</w:t>
            </w:r>
          </w:p>
        </w:tc>
        <w:tc>
          <w:tcPr>
            <w:tcW w:w="4150" w:type="pct"/>
            <w:shd w:val="clear" w:color="auto" w:fill="auto"/>
            <w:vAlign w:val="center"/>
          </w:tcPr>
          <w:p w:rsidR="00275C5A" w:rsidRPr="00425F34" w:rsidRDefault="009729BC" w:rsidP="00D110BD">
            <w:pPr>
              <w:jc w:val="left"/>
              <w:rPr>
                <w:rFonts w:ascii="Arial Narrow" w:hAnsi="Arial Narrow"/>
                <w:sz w:val="20"/>
              </w:rPr>
            </w:pPr>
            <w:r w:rsidRPr="00425F34">
              <w:rPr>
                <w:rFonts w:ascii="Arial Narrow" w:hAnsi="Arial Narrow"/>
                <w:sz w:val="20"/>
              </w:rPr>
              <w:t>8 VA health states and death</w:t>
            </w:r>
          </w:p>
        </w:tc>
      </w:tr>
      <w:tr w:rsidR="00275C5A" w:rsidRPr="00E2771E">
        <w:tc>
          <w:tcPr>
            <w:tcW w:w="850" w:type="pct"/>
            <w:shd w:val="clear" w:color="auto" w:fill="auto"/>
            <w:vAlign w:val="center"/>
          </w:tcPr>
          <w:p w:rsidR="00275C5A" w:rsidRPr="00425F34" w:rsidRDefault="00275C5A" w:rsidP="00D110BD">
            <w:pPr>
              <w:jc w:val="left"/>
              <w:rPr>
                <w:rFonts w:ascii="Arial Narrow" w:hAnsi="Arial Narrow"/>
                <w:sz w:val="20"/>
              </w:rPr>
            </w:pPr>
            <w:r w:rsidRPr="00425F34">
              <w:rPr>
                <w:rFonts w:ascii="Arial Narrow" w:hAnsi="Arial Narrow"/>
                <w:sz w:val="20"/>
              </w:rPr>
              <w:t>Cycle length</w:t>
            </w:r>
          </w:p>
        </w:tc>
        <w:tc>
          <w:tcPr>
            <w:tcW w:w="4150" w:type="pct"/>
            <w:shd w:val="clear" w:color="auto" w:fill="auto"/>
            <w:vAlign w:val="center"/>
          </w:tcPr>
          <w:p w:rsidR="00275C5A" w:rsidRPr="00425F34" w:rsidRDefault="009729BC" w:rsidP="00D110BD">
            <w:pPr>
              <w:jc w:val="left"/>
              <w:rPr>
                <w:rFonts w:ascii="Arial Narrow" w:hAnsi="Arial Narrow"/>
                <w:sz w:val="20"/>
              </w:rPr>
            </w:pPr>
            <w:r w:rsidRPr="00425F34">
              <w:rPr>
                <w:rFonts w:ascii="Arial Narrow" w:hAnsi="Arial Narrow"/>
                <w:sz w:val="20"/>
              </w:rPr>
              <w:t>Year 1-2: 4 weeks; Year 2-15: 1 year</w:t>
            </w:r>
          </w:p>
        </w:tc>
      </w:tr>
      <w:tr w:rsidR="00275C5A" w:rsidRPr="00E2771E">
        <w:tc>
          <w:tcPr>
            <w:tcW w:w="850" w:type="pct"/>
            <w:shd w:val="clear" w:color="auto" w:fill="auto"/>
            <w:vAlign w:val="center"/>
          </w:tcPr>
          <w:p w:rsidR="00275C5A" w:rsidRPr="00425F34" w:rsidRDefault="00275C5A" w:rsidP="00D110BD">
            <w:pPr>
              <w:jc w:val="left"/>
              <w:rPr>
                <w:rFonts w:ascii="Arial Narrow" w:hAnsi="Arial Narrow"/>
                <w:sz w:val="20"/>
              </w:rPr>
            </w:pPr>
            <w:r w:rsidRPr="00425F34">
              <w:rPr>
                <w:rFonts w:ascii="Arial Narrow" w:hAnsi="Arial Narrow"/>
                <w:sz w:val="20"/>
              </w:rPr>
              <w:t>Transition probabilities</w:t>
            </w:r>
            <w:r w:rsidR="000A1F71" w:rsidRPr="00425F34">
              <w:rPr>
                <w:rFonts w:ascii="Arial Narrow" w:hAnsi="Arial Narrow"/>
                <w:sz w:val="20"/>
              </w:rPr>
              <w:t xml:space="preserve"> (efficacy phase</w:t>
            </w:r>
            <w:r w:rsidR="00815877" w:rsidRPr="00425F34">
              <w:rPr>
                <w:rFonts w:ascii="Arial Narrow" w:hAnsi="Arial Narrow"/>
                <w:sz w:val="20"/>
              </w:rPr>
              <w:t xml:space="preserve"> – year 1</w:t>
            </w:r>
            <w:r w:rsidR="000A1F71" w:rsidRPr="00425F34">
              <w:rPr>
                <w:rFonts w:ascii="Arial Narrow" w:hAnsi="Arial Narrow"/>
                <w:sz w:val="20"/>
              </w:rPr>
              <w:t>)</w:t>
            </w:r>
          </w:p>
        </w:tc>
        <w:tc>
          <w:tcPr>
            <w:tcW w:w="4150" w:type="pct"/>
            <w:shd w:val="clear" w:color="auto" w:fill="auto"/>
            <w:vAlign w:val="center"/>
          </w:tcPr>
          <w:p w:rsidR="00275C5A" w:rsidRPr="00425F34" w:rsidRDefault="000A1F71" w:rsidP="00D110BD">
            <w:pPr>
              <w:jc w:val="left"/>
              <w:rPr>
                <w:rFonts w:ascii="Arial Narrow" w:hAnsi="Arial Narrow"/>
                <w:sz w:val="20"/>
              </w:rPr>
            </w:pPr>
            <w:r w:rsidRPr="00425F34">
              <w:rPr>
                <w:rFonts w:ascii="Arial Narrow" w:hAnsi="Arial Narrow"/>
                <w:sz w:val="20"/>
              </w:rPr>
              <w:t>Aflibercept, Laser: Derived from an integrated analysis of VISTA and VIVID.  Although methods used by the submission were appropriate, the number of VA health states resulted in limited patient samples populating the VA subgroups, especially in the lower VA health states</w:t>
            </w:r>
          </w:p>
          <w:p w:rsidR="000A1F71" w:rsidRPr="00425F34" w:rsidRDefault="000A1F71" w:rsidP="00F568DE">
            <w:pPr>
              <w:jc w:val="left"/>
              <w:rPr>
                <w:rFonts w:ascii="Arial Narrow" w:hAnsi="Arial Narrow"/>
                <w:sz w:val="20"/>
              </w:rPr>
            </w:pPr>
            <w:r w:rsidRPr="00425F34">
              <w:rPr>
                <w:rFonts w:ascii="Arial Narrow" w:hAnsi="Arial Narrow"/>
                <w:sz w:val="20"/>
              </w:rPr>
              <w:t xml:space="preserve">Ranibizumab: The deterministic calibration model used to derive ranibizumab transition probabilities was informed by the RR of gain/loss of 10/15 letters from the pooled analysis of RESTORE and REVEAL.  Given that no statistically significant </w:t>
            </w:r>
            <w:r w:rsidR="00F568DE">
              <w:rPr>
                <w:rFonts w:ascii="Arial Narrow" w:hAnsi="Arial Narrow"/>
                <w:sz w:val="20"/>
              </w:rPr>
              <w:t>relative risks</w:t>
            </w:r>
            <w:r w:rsidRPr="00425F34">
              <w:rPr>
                <w:rFonts w:ascii="Arial Narrow" w:hAnsi="Arial Narrow"/>
                <w:sz w:val="20"/>
              </w:rPr>
              <w:t xml:space="preserve"> were observed for the secondary outcomes in the indirect comparison of aflibercept 2Q8 and ranibizumab </w:t>
            </w:r>
            <w:r w:rsidRPr="00425F34">
              <w:rPr>
                <w:rFonts w:ascii="Arial Narrow" w:hAnsi="Arial Narrow"/>
                <w:sz w:val="20"/>
              </w:rPr>
              <w:lastRenderedPageBreak/>
              <w:t xml:space="preserve">monotherapy, it is questionable as to whether the calibrated transition probabilities are a reliable means of deriving any potential differences in VA.  </w:t>
            </w:r>
          </w:p>
        </w:tc>
      </w:tr>
    </w:tbl>
    <w:p w:rsidR="00DB313E" w:rsidRDefault="00C4311C" w:rsidP="00DB313E">
      <w:pPr>
        <w:pStyle w:val="TableFooter"/>
        <w:ind w:left="720"/>
      </w:pPr>
      <w:r>
        <w:lastRenderedPageBreak/>
        <w:t xml:space="preserve">Abbreviations: </w:t>
      </w:r>
      <w:r w:rsidR="00DB313E">
        <w:t xml:space="preserve">ETDRS </w:t>
      </w:r>
      <w:r w:rsidR="00DB313E" w:rsidRPr="002C72AE">
        <w:t>= early treatment diabetic retinopathy study</w:t>
      </w:r>
      <w:r w:rsidR="00F568DE">
        <w:t>;</w:t>
      </w:r>
      <w:r w:rsidR="00DB313E">
        <w:t xml:space="preserve"> </w:t>
      </w:r>
      <w:r w:rsidR="00F568DE">
        <w:t>VA = visual acuity.</w:t>
      </w:r>
    </w:p>
    <w:p w:rsidR="00275C5A" w:rsidRDefault="00275C5A" w:rsidP="00DB313E">
      <w:pPr>
        <w:pStyle w:val="TableFooter"/>
        <w:ind w:left="720"/>
      </w:pPr>
      <w:r w:rsidRPr="00275C5A">
        <w:t>Source: compiled during the evaluation</w:t>
      </w:r>
    </w:p>
    <w:p w:rsidR="000B5B2B" w:rsidRPr="00275C5A" w:rsidRDefault="000B5B2B" w:rsidP="00DB313E">
      <w:pPr>
        <w:pStyle w:val="TableFooter"/>
        <w:ind w:left="720"/>
      </w:pPr>
    </w:p>
    <w:p w:rsidR="00275C5A" w:rsidRPr="00FD620F" w:rsidRDefault="00FD620F" w:rsidP="00DB313E">
      <w:pPr>
        <w:pStyle w:val="ListParagraph"/>
        <w:widowControl/>
        <w:numPr>
          <w:ilvl w:val="1"/>
          <w:numId w:val="3"/>
        </w:numPr>
        <w:rPr>
          <w:szCs w:val="22"/>
        </w:rPr>
      </w:pPr>
      <w:r>
        <w:t>Key drivers of the model are summarised in the table below</w:t>
      </w:r>
      <w:r w:rsidR="0040015B">
        <w:t>.</w:t>
      </w:r>
    </w:p>
    <w:p w:rsidR="00275C5A" w:rsidRDefault="00275C5A" w:rsidP="00275C5A">
      <w:pPr>
        <w:widowControl/>
        <w:rPr>
          <w:szCs w:val="22"/>
        </w:rPr>
      </w:pPr>
    </w:p>
    <w:p w:rsidR="00D110BD" w:rsidRDefault="00D110BD" w:rsidP="005D044D">
      <w:pPr>
        <w:ind w:firstLine="720"/>
        <w:rPr>
          <w:rStyle w:val="CommentReference"/>
        </w:rPr>
      </w:pPr>
      <w:r w:rsidRPr="00A56B6A">
        <w:rPr>
          <w:rStyle w:val="CommentReference"/>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3"/>
        <w:gridCol w:w="3401"/>
        <w:gridCol w:w="1561"/>
        <w:gridCol w:w="1540"/>
      </w:tblGrid>
      <w:tr w:rsidR="00C4311C" w:rsidRPr="00E2771E">
        <w:trPr>
          <w:tblHeader/>
        </w:trPr>
        <w:tc>
          <w:tcPr>
            <w:tcW w:w="1104" w:type="pct"/>
            <w:vMerge w:val="restart"/>
            <w:shd w:val="clear" w:color="auto" w:fill="auto"/>
            <w:vAlign w:val="center"/>
          </w:tcPr>
          <w:p w:rsidR="00C4311C" w:rsidRPr="00E2771E" w:rsidRDefault="00C4311C" w:rsidP="00D110BD">
            <w:pPr>
              <w:jc w:val="left"/>
              <w:rPr>
                <w:rFonts w:ascii="Arial Narrow" w:hAnsi="Arial Narrow"/>
                <w:b/>
                <w:sz w:val="20"/>
                <w:lang w:val="en-US"/>
              </w:rPr>
            </w:pPr>
            <w:r w:rsidRPr="00E2771E">
              <w:rPr>
                <w:rFonts w:ascii="Arial Narrow" w:hAnsi="Arial Narrow"/>
                <w:b/>
                <w:sz w:val="20"/>
                <w:lang w:val="en-US"/>
              </w:rPr>
              <w:t>Description</w:t>
            </w:r>
          </w:p>
        </w:tc>
        <w:tc>
          <w:tcPr>
            <w:tcW w:w="2038" w:type="pct"/>
            <w:vMerge w:val="restart"/>
            <w:shd w:val="clear" w:color="auto" w:fill="auto"/>
            <w:vAlign w:val="center"/>
          </w:tcPr>
          <w:p w:rsidR="00C4311C" w:rsidRPr="00E2771E" w:rsidRDefault="00C4311C" w:rsidP="00D110BD">
            <w:pPr>
              <w:jc w:val="center"/>
              <w:rPr>
                <w:rFonts w:ascii="Arial Narrow" w:hAnsi="Arial Narrow"/>
                <w:b/>
                <w:sz w:val="20"/>
                <w:lang w:val="en-US"/>
              </w:rPr>
            </w:pPr>
            <w:r w:rsidRPr="00E2771E">
              <w:rPr>
                <w:rFonts w:ascii="Arial Narrow" w:hAnsi="Arial Narrow"/>
                <w:b/>
                <w:sz w:val="20"/>
                <w:lang w:val="en-US"/>
              </w:rPr>
              <w:t>Method/Value</w:t>
            </w:r>
          </w:p>
        </w:tc>
        <w:tc>
          <w:tcPr>
            <w:tcW w:w="1858" w:type="pct"/>
            <w:gridSpan w:val="2"/>
            <w:shd w:val="clear" w:color="auto" w:fill="auto"/>
            <w:vAlign w:val="center"/>
          </w:tcPr>
          <w:p w:rsidR="00C4311C" w:rsidRPr="00E2771E" w:rsidRDefault="00C4311C" w:rsidP="00D110BD">
            <w:pPr>
              <w:jc w:val="center"/>
              <w:rPr>
                <w:rFonts w:ascii="Arial Narrow" w:hAnsi="Arial Narrow"/>
                <w:b/>
                <w:sz w:val="20"/>
                <w:lang w:val="en-US"/>
              </w:rPr>
            </w:pPr>
            <w:r w:rsidRPr="00E2771E">
              <w:rPr>
                <w:rFonts w:ascii="Arial Narrow" w:hAnsi="Arial Narrow"/>
                <w:b/>
                <w:sz w:val="20"/>
                <w:lang w:val="en-US"/>
              </w:rPr>
              <w:t>Impact</w:t>
            </w:r>
          </w:p>
        </w:tc>
      </w:tr>
      <w:tr w:rsidR="00C4311C" w:rsidRPr="00E2771E">
        <w:trPr>
          <w:tblHeader/>
        </w:trPr>
        <w:tc>
          <w:tcPr>
            <w:tcW w:w="1104" w:type="pct"/>
            <w:vMerge/>
            <w:shd w:val="clear" w:color="auto" w:fill="auto"/>
            <w:vAlign w:val="center"/>
          </w:tcPr>
          <w:p w:rsidR="00C4311C" w:rsidRPr="00E2771E" w:rsidRDefault="00C4311C" w:rsidP="00D110BD">
            <w:pPr>
              <w:jc w:val="left"/>
              <w:rPr>
                <w:rFonts w:ascii="Arial Narrow" w:hAnsi="Arial Narrow"/>
                <w:b/>
                <w:sz w:val="20"/>
                <w:lang w:val="en-US"/>
              </w:rPr>
            </w:pPr>
          </w:p>
        </w:tc>
        <w:tc>
          <w:tcPr>
            <w:tcW w:w="2038" w:type="pct"/>
            <w:vMerge/>
            <w:shd w:val="clear" w:color="auto" w:fill="auto"/>
            <w:vAlign w:val="center"/>
          </w:tcPr>
          <w:p w:rsidR="00C4311C" w:rsidRPr="00E2771E" w:rsidRDefault="00C4311C" w:rsidP="00D110BD">
            <w:pPr>
              <w:jc w:val="center"/>
              <w:rPr>
                <w:rFonts w:ascii="Arial Narrow" w:hAnsi="Arial Narrow"/>
                <w:b/>
                <w:sz w:val="20"/>
                <w:lang w:val="en-US"/>
              </w:rPr>
            </w:pPr>
          </w:p>
        </w:tc>
        <w:tc>
          <w:tcPr>
            <w:tcW w:w="935" w:type="pct"/>
            <w:shd w:val="clear" w:color="auto" w:fill="auto"/>
            <w:vAlign w:val="center"/>
          </w:tcPr>
          <w:p w:rsidR="00C4311C" w:rsidRPr="00E2771E" w:rsidRDefault="00C4311C" w:rsidP="0040015B">
            <w:pPr>
              <w:jc w:val="center"/>
              <w:rPr>
                <w:rFonts w:ascii="Arial Narrow" w:hAnsi="Arial Narrow"/>
                <w:b/>
                <w:sz w:val="20"/>
                <w:lang w:val="en-US"/>
              </w:rPr>
            </w:pPr>
            <w:r>
              <w:rPr>
                <w:rFonts w:ascii="Arial Narrow" w:hAnsi="Arial Narrow"/>
                <w:b/>
                <w:sz w:val="20"/>
                <w:lang w:val="en-US"/>
              </w:rPr>
              <w:t xml:space="preserve">Aflibercept vs </w:t>
            </w:r>
            <w:r w:rsidR="0040015B">
              <w:rPr>
                <w:rFonts w:ascii="Arial Narrow" w:hAnsi="Arial Narrow"/>
                <w:b/>
                <w:sz w:val="20"/>
                <w:lang w:val="en-US"/>
              </w:rPr>
              <w:t>l</w:t>
            </w:r>
            <w:r>
              <w:rPr>
                <w:rFonts w:ascii="Arial Narrow" w:hAnsi="Arial Narrow"/>
                <w:b/>
                <w:sz w:val="20"/>
                <w:lang w:val="en-US"/>
              </w:rPr>
              <w:t>aser</w:t>
            </w:r>
          </w:p>
        </w:tc>
        <w:tc>
          <w:tcPr>
            <w:tcW w:w="923" w:type="pct"/>
            <w:shd w:val="clear" w:color="auto" w:fill="auto"/>
            <w:vAlign w:val="center"/>
          </w:tcPr>
          <w:p w:rsidR="00C4311C" w:rsidRPr="00E2771E" w:rsidRDefault="00C4311C" w:rsidP="0040015B">
            <w:pPr>
              <w:jc w:val="center"/>
              <w:rPr>
                <w:rFonts w:ascii="Arial Narrow" w:hAnsi="Arial Narrow"/>
                <w:b/>
                <w:sz w:val="20"/>
                <w:lang w:val="en-US"/>
              </w:rPr>
            </w:pPr>
            <w:r>
              <w:rPr>
                <w:rFonts w:ascii="Arial Narrow" w:hAnsi="Arial Narrow"/>
                <w:b/>
                <w:sz w:val="20"/>
                <w:lang w:val="en-US"/>
              </w:rPr>
              <w:t xml:space="preserve">Aflibercept vs </w:t>
            </w:r>
            <w:r w:rsidR="0040015B">
              <w:rPr>
                <w:rFonts w:ascii="Arial Narrow" w:hAnsi="Arial Narrow"/>
                <w:b/>
                <w:sz w:val="20"/>
                <w:lang w:val="en-US"/>
              </w:rPr>
              <w:t>r</w:t>
            </w:r>
            <w:r>
              <w:rPr>
                <w:rFonts w:ascii="Arial Narrow" w:hAnsi="Arial Narrow"/>
                <w:b/>
                <w:sz w:val="20"/>
                <w:lang w:val="en-US"/>
              </w:rPr>
              <w:t>anibizumab</w:t>
            </w:r>
          </w:p>
        </w:tc>
      </w:tr>
      <w:tr w:rsidR="00C4311C" w:rsidRPr="00E2771E">
        <w:tc>
          <w:tcPr>
            <w:tcW w:w="1104" w:type="pct"/>
            <w:shd w:val="clear" w:color="auto" w:fill="auto"/>
            <w:vAlign w:val="center"/>
          </w:tcPr>
          <w:p w:rsidR="00C4311C" w:rsidRPr="00E2771E" w:rsidRDefault="00C4311C" w:rsidP="00C4311C">
            <w:pPr>
              <w:jc w:val="left"/>
              <w:rPr>
                <w:rFonts w:ascii="Arial Narrow" w:hAnsi="Arial Narrow"/>
                <w:sz w:val="20"/>
                <w:lang w:val="en-US"/>
              </w:rPr>
            </w:pPr>
            <w:r>
              <w:rPr>
                <w:rFonts w:ascii="Arial Narrow" w:hAnsi="Arial Narrow"/>
                <w:sz w:val="20"/>
                <w:lang w:val="en-US"/>
              </w:rPr>
              <w:t>Utilities</w:t>
            </w:r>
          </w:p>
        </w:tc>
        <w:tc>
          <w:tcPr>
            <w:tcW w:w="2038" w:type="pct"/>
            <w:shd w:val="clear" w:color="auto" w:fill="auto"/>
            <w:vAlign w:val="center"/>
          </w:tcPr>
          <w:p w:rsidR="00C4311C" w:rsidRDefault="00C4311C" w:rsidP="00C4311C">
            <w:pPr>
              <w:jc w:val="center"/>
              <w:rPr>
                <w:rFonts w:ascii="Arial Narrow" w:hAnsi="Arial Narrow"/>
                <w:sz w:val="20"/>
                <w:lang w:val="en-US"/>
              </w:rPr>
            </w:pPr>
            <w:r>
              <w:rPr>
                <w:rFonts w:ascii="Arial Narrow" w:hAnsi="Arial Narrow"/>
                <w:sz w:val="20"/>
                <w:lang w:val="en-US"/>
              </w:rPr>
              <w:t xml:space="preserve">BSE: </w:t>
            </w:r>
            <w:proofErr w:type="spellStart"/>
            <w:r>
              <w:rPr>
                <w:rFonts w:ascii="Arial Narrow" w:hAnsi="Arial Narrow"/>
                <w:sz w:val="20"/>
                <w:lang w:val="en-US"/>
              </w:rPr>
              <w:t>Czosky</w:t>
            </w:r>
            <w:proofErr w:type="spellEnd"/>
            <w:r>
              <w:rPr>
                <w:rFonts w:ascii="Arial Narrow" w:hAnsi="Arial Narrow"/>
                <w:sz w:val="20"/>
                <w:lang w:val="en-US"/>
              </w:rPr>
              <w:t>-Murray 2009</w:t>
            </w:r>
          </w:p>
          <w:p w:rsidR="00C4311C" w:rsidRPr="00E2771E" w:rsidRDefault="00C4311C" w:rsidP="00C4311C">
            <w:pPr>
              <w:jc w:val="center"/>
              <w:rPr>
                <w:rFonts w:ascii="Arial Narrow" w:hAnsi="Arial Narrow"/>
                <w:sz w:val="20"/>
                <w:lang w:val="en-US"/>
              </w:rPr>
            </w:pPr>
            <w:r>
              <w:rPr>
                <w:rFonts w:ascii="Arial Narrow" w:hAnsi="Arial Narrow"/>
                <w:sz w:val="20"/>
                <w:lang w:val="en-US"/>
              </w:rPr>
              <w:t xml:space="preserve">WSE: </w:t>
            </w:r>
            <w:r w:rsidRPr="008C5C99">
              <w:rPr>
                <w:rFonts w:ascii="Arial Narrow" w:hAnsi="Arial Narrow"/>
                <w:sz w:val="20"/>
                <w:lang w:val="en-US"/>
              </w:rPr>
              <w:t>30% of the difference of that in the BSE</w:t>
            </w:r>
          </w:p>
        </w:tc>
        <w:tc>
          <w:tcPr>
            <w:tcW w:w="1858" w:type="pct"/>
            <w:gridSpan w:val="2"/>
            <w:shd w:val="clear" w:color="auto" w:fill="auto"/>
            <w:vAlign w:val="center"/>
          </w:tcPr>
          <w:p w:rsidR="00C4311C" w:rsidRPr="00E2771E" w:rsidRDefault="00C4311C" w:rsidP="00C4311C">
            <w:pPr>
              <w:jc w:val="center"/>
              <w:rPr>
                <w:rFonts w:ascii="Arial Narrow" w:hAnsi="Arial Narrow"/>
                <w:sz w:val="20"/>
                <w:lang w:val="en-US"/>
              </w:rPr>
            </w:pPr>
            <w:r w:rsidRPr="00E2771E">
              <w:rPr>
                <w:rFonts w:ascii="Arial Narrow" w:hAnsi="Arial Narrow"/>
                <w:sz w:val="20"/>
                <w:lang w:val="en-US"/>
              </w:rPr>
              <w:t xml:space="preserve">High, </w:t>
            </w:r>
            <w:r w:rsidRPr="008C5C99">
              <w:rPr>
                <w:rFonts w:ascii="Arial Narrow" w:hAnsi="Arial Narrow"/>
                <w:sz w:val="20"/>
              </w:rPr>
              <w:t>favours</w:t>
            </w:r>
            <w:r w:rsidRPr="00E2771E">
              <w:rPr>
                <w:rFonts w:ascii="Arial Narrow" w:hAnsi="Arial Narrow"/>
                <w:sz w:val="20"/>
                <w:lang w:val="en-US"/>
              </w:rPr>
              <w:t xml:space="preserve"> </w:t>
            </w:r>
            <w:r>
              <w:rPr>
                <w:rFonts w:ascii="Arial Narrow" w:hAnsi="Arial Narrow"/>
                <w:sz w:val="20"/>
                <w:lang w:val="en-US"/>
              </w:rPr>
              <w:t>aflibercept</w:t>
            </w:r>
          </w:p>
        </w:tc>
      </w:tr>
      <w:tr w:rsidR="00C4311C" w:rsidRPr="00E2771E">
        <w:tc>
          <w:tcPr>
            <w:tcW w:w="1104" w:type="pct"/>
            <w:shd w:val="clear" w:color="auto" w:fill="auto"/>
            <w:vAlign w:val="center"/>
          </w:tcPr>
          <w:p w:rsidR="00C4311C" w:rsidRPr="00E2771E" w:rsidRDefault="00C4311C" w:rsidP="00C4311C">
            <w:pPr>
              <w:jc w:val="left"/>
              <w:rPr>
                <w:rFonts w:ascii="Arial Narrow" w:hAnsi="Arial Narrow"/>
                <w:sz w:val="20"/>
                <w:lang w:val="en-US"/>
              </w:rPr>
            </w:pPr>
            <w:r>
              <w:rPr>
                <w:rFonts w:ascii="Arial Narrow" w:hAnsi="Arial Narrow"/>
                <w:sz w:val="20"/>
                <w:lang w:val="en-US"/>
              </w:rPr>
              <w:t>Time horizon</w:t>
            </w:r>
          </w:p>
        </w:tc>
        <w:tc>
          <w:tcPr>
            <w:tcW w:w="2038" w:type="pct"/>
            <w:shd w:val="clear" w:color="auto" w:fill="auto"/>
            <w:vAlign w:val="center"/>
          </w:tcPr>
          <w:p w:rsidR="00C4311C" w:rsidRPr="00E2771E" w:rsidRDefault="00C4311C" w:rsidP="00C4311C">
            <w:pPr>
              <w:jc w:val="center"/>
              <w:rPr>
                <w:rFonts w:ascii="Arial Narrow" w:hAnsi="Arial Narrow"/>
                <w:sz w:val="20"/>
                <w:lang w:val="en-US"/>
              </w:rPr>
            </w:pPr>
            <w:r>
              <w:rPr>
                <w:rFonts w:ascii="Arial Narrow" w:hAnsi="Arial Narrow"/>
                <w:sz w:val="20"/>
                <w:lang w:val="en-US"/>
              </w:rPr>
              <w:t>15 years, assumed from 1 year trial duration</w:t>
            </w:r>
          </w:p>
        </w:tc>
        <w:tc>
          <w:tcPr>
            <w:tcW w:w="1858" w:type="pct"/>
            <w:gridSpan w:val="2"/>
            <w:shd w:val="clear" w:color="auto" w:fill="auto"/>
            <w:vAlign w:val="center"/>
          </w:tcPr>
          <w:p w:rsidR="00C4311C" w:rsidRPr="00E2771E" w:rsidRDefault="00C4311C" w:rsidP="00C4311C">
            <w:pPr>
              <w:jc w:val="center"/>
              <w:rPr>
                <w:rFonts w:ascii="Arial Narrow" w:hAnsi="Arial Narrow"/>
                <w:sz w:val="20"/>
                <w:lang w:val="en-US"/>
              </w:rPr>
            </w:pPr>
            <w:r>
              <w:rPr>
                <w:rFonts w:ascii="Arial Narrow" w:hAnsi="Arial Narrow"/>
                <w:sz w:val="20"/>
                <w:lang w:val="en-US"/>
              </w:rPr>
              <w:t xml:space="preserve">High, </w:t>
            </w:r>
            <w:proofErr w:type="spellStart"/>
            <w:r>
              <w:rPr>
                <w:rFonts w:ascii="Arial Narrow" w:hAnsi="Arial Narrow"/>
                <w:sz w:val="20"/>
                <w:lang w:val="en-US"/>
              </w:rPr>
              <w:t>favours</w:t>
            </w:r>
            <w:proofErr w:type="spellEnd"/>
            <w:r>
              <w:rPr>
                <w:rFonts w:ascii="Arial Narrow" w:hAnsi="Arial Narrow"/>
                <w:sz w:val="20"/>
                <w:lang w:val="en-US"/>
              </w:rPr>
              <w:t xml:space="preserve"> aflibercept</w:t>
            </w:r>
          </w:p>
        </w:tc>
      </w:tr>
      <w:tr w:rsidR="00C4311C" w:rsidRPr="00E2771E">
        <w:tc>
          <w:tcPr>
            <w:tcW w:w="1104" w:type="pct"/>
            <w:shd w:val="clear" w:color="auto" w:fill="auto"/>
            <w:vAlign w:val="center"/>
          </w:tcPr>
          <w:p w:rsidR="00C4311C" w:rsidRPr="00E2771E" w:rsidRDefault="00C4311C" w:rsidP="00C4311C">
            <w:pPr>
              <w:jc w:val="left"/>
              <w:rPr>
                <w:rFonts w:ascii="Arial Narrow" w:hAnsi="Arial Narrow"/>
                <w:sz w:val="20"/>
                <w:lang w:val="en-US"/>
              </w:rPr>
            </w:pPr>
            <w:r>
              <w:rPr>
                <w:rFonts w:ascii="Arial Narrow" w:hAnsi="Arial Narrow"/>
                <w:sz w:val="20"/>
                <w:lang w:val="en-US"/>
              </w:rPr>
              <w:t>Injection frequencies</w:t>
            </w:r>
          </w:p>
        </w:tc>
        <w:tc>
          <w:tcPr>
            <w:tcW w:w="2038" w:type="pct"/>
            <w:shd w:val="clear" w:color="auto" w:fill="auto"/>
            <w:vAlign w:val="center"/>
          </w:tcPr>
          <w:p w:rsidR="00C4311C" w:rsidRPr="00E2771E" w:rsidRDefault="00C4311C" w:rsidP="00C4311C">
            <w:pPr>
              <w:jc w:val="center"/>
              <w:rPr>
                <w:rFonts w:ascii="Arial Narrow" w:hAnsi="Arial Narrow"/>
                <w:sz w:val="20"/>
                <w:lang w:val="en-US"/>
              </w:rPr>
            </w:pPr>
            <w:r>
              <w:rPr>
                <w:rFonts w:ascii="Arial Narrow" w:hAnsi="Arial Narrow"/>
                <w:sz w:val="20"/>
                <w:lang w:val="en-US"/>
              </w:rPr>
              <w:t>Year 1: 9.8; Year 2: 4.9</w:t>
            </w:r>
          </w:p>
        </w:tc>
        <w:tc>
          <w:tcPr>
            <w:tcW w:w="1858" w:type="pct"/>
            <w:gridSpan w:val="2"/>
            <w:shd w:val="clear" w:color="auto" w:fill="auto"/>
            <w:vAlign w:val="center"/>
          </w:tcPr>
          <w:p w:rsidR="00C4311C" w:rsidRPr="00E2771E" w:rsidRDefault="00C4311C" w:rsidP="00C4311C">
            <w:pPr>
              <w:jc w:val="center"/>
              <w:rPr>
                <w:rFonts w:ascii="Arial Narrow" w:hAnsi="Arial Narrow"/>
                <w:sz w:val="20"/>
                <w:lang w:val="en-US"/>
              </w:rPr>
            </w:pPr>
            <w:r>
              <w:rPr>
                <w:rFonts w:ascii="Arial Narrow" w:hAnsi="Arial Narrow"/>
                <w:sz w:val="20"/>
                <w:lang w:val="en-US"/>
              </w:rPr>
              <w:t xml:space="preserve">High, </w:t>
            </w:r>
            <w:proofErr w:type="spellStart"/>
            <w:r>
              <w:rPr>
                <w:rFonts w:ascii="Arial Narrow" w:hAnsi="Arial Narrow"/>
                <w:sz w:val="20"/>
                <w:lang w:val="en-US"/>
              </w:rPr>
              <w:t>favours</w:t>
            </w:r>
            <w:proofErr w:type="spellEnd"/>
            <w:r>
              <w:rPr>
                <w:rFonts w:ascii="Arial Narrow" w:hAnsi="Arial Narrow"/>
                <w:sz w:val="20"/>
                <w:lang w:val="en-US"/>
              </w:rPr>
              <w:t xml:space="preserve"> aflibercept</w:t>
            </w:r>
          </w:p>
        </w:tc>
      </w:tr>
      <w:tr w:rsidR="00C4311C" w:rsidRPr="00E2771E">
        <w:tc>
          <w:tcPr>
            <w:tcW w:w="1104" w:type="pct"/>
            <w:shd w:val="clear" w:color="auto" w:fill="auto"/>
            <w:vAlign w:val="center"/>
          </w:tcPr>
          <w:p w:rsidR="00C4311C" w:rsidRDefault="00C4311C" w:rsidP="00C4311C">
            <w:pPr>
              <w:jc w:val="left"/>
              <w:rPr>
                <w:rFonts w:ascii="Arial Narrow" w:hAnsi="Arial Narrow"/>
                <w:sz w:val="20"/>
                <w:lang w:val="en-US"/>
              </w:rPr>
            </w:pPr>
            <w:r>
              <w:rPr>
                <w:rFonts w:ascii="Arial Narrow" w:hAnsi="Arial Narrow"/>
                <w:sz w:val="20"/>
                <w:lang w:val="en-US"/>
              </w:rPr>
              <w:t>Duration of treatment</w:t>
            </w:r>
          </w:p>
        </w:tc>
        <w:tc>
          <w:tcPr>
            <w:tcW w:w="2038" w:type="pct"/>
            <w:shd w:val="clear" w:color="auto" w:fill="auto"/>
            <w:vAlign w:val="center"/>
          </w:tcPr>
          <w:p w:rsidR="00C4311C" w:rsidRDefault="00C4311C" w:rsidP="00C4311C">
            <w:pPr>
              <w:jc w:val="center"/>
              <w:rPr>
                <w:rFonts w:ascii="Arial Narrow" w:hAnsi="Arial Narrow"/>
                <w:sz w:val="20"/>
                <w:lang w:val="en-US"/>
              </w:rPr>
            </w:pPr>
            <w:r>
              <w:rPr>
                <w:rFonts w:ascii="Arial Narrow" w:hAnsi="Arial Narrow"/>
                <w:sz w:val="20"/>
                <w:lang w:val="en-US"/>
              </w:rPr>
              <w:t>Limited to 2 years</w:t>
            </w:r>
          </w:p>
        </w:tc>
        <w:tc>
          <w:tcPr>
            <w:tcW w:w="1858" w:type="pct"/>
            <w:gridSpan w:val="2"/>
            <w:shd w:val="clear" w:color="auto" w:fill="auto"/>
            <w:vAlign w:val="center"/>
          </w:tcPr>
          <w:p w:rsidR="00C4311C" w:rsidRDefault="00C4311C" w:rsidP="00C4311C">
            <w:pPr>
              <w:jc w:val="center"/>
              <w:rPr>
                <w:rFonts w:ascii="Arial Narrow" w:hAnsi="Arial Narrow"/>
                <w:sz w:val="20"/>
                <w:lang w:val="en-US"/>
              </w:rPr>
            </w:pPr>
            <w:r>
              <w:rPr>
                <w:rFonts w:ascii="Arial Narrow" w:hAnsi="Arial Narrow"/>
                <w:sz w:val="20"/>
                <w:lang w:val="en-US"/>
              </w:rPr>
              <w:t xml:space="preserve">High, </w:t>
            </w:r>
            <w:proofErr w:type="spellStart"/>
            <w:r>
              <w:rPr>
                <w:rFonts w:ascii="Arial Narrow" w:hAnsi="Arial Narrow"/>
                <w:sz w:val="20"/>
                <w:lang w:val="en-US"/>
              </w:rPr>
              <w:t>favours</w:t>
            </w:r>
            <w:proofErr w:type="spellEnd"/>
            <w:r>
              <w:rPr>
                <w:rFonts w:ascii="Arial Narrow" w:hAnsi="Arial Narrow"/>
                <w:sz w:val="20"/>
                <w:lang w:val="en-US"/>
              </w:rPr>
              <w:t xml:space="preserve"> aflibercept</w:t>
            </w:r>
          </w:p>
        </w:tc>
      </w:tr>
      <w:tr w:rsidR="00C4311C" w:rsidRPr="00E2771E">
        <w:trPr>
          <w:trHeight w:val="394"/>
        </w:trPr>
        <w:tc>
          <w:tcPr>
            <w:tcW w:w="1104" w:type="pct"/>
            <w:shd w:val="clear" w:color="auto" w:fill="auto"/>
            <w:vAlign w:val="center"/>
          </w:tcPr>
          <w:p w:rsidR="00C4311C" w:rsidRPr="00E2771E" w:rsidRDefault="00C4311C" w:rsidP="00C4311C">
            <w:pPr>
              <w:jc w:val="left"/>
              <w:rPr>
                <w:rFonts w:ascii="Arial Narrow" w:hAnsi="Arial Narrow"/>
                <w:sz w:val="20"/>
                <w:lang w:val="en-US"/>
              </w:rPr>
            </w:pPr>
            <w:r>
              <w:rPr>
                <w:rFonts w:ascii="Arial Narrow" w:hAnsi="Arial Narrow"/>
                <w:sz w:val="20"/>
                <w:lang w:val="en-US"/>
              </w:rPr>
              <w:t>Adverse events</w:t>
            </w:r>
          </w:p>
        </w:tc>
        <w:tc>
          <w:tcPr>
            <w:tcW w:w="2038" w:type="pct"/>
            <w:shd w:val="clear" w:color="auto" w:fill="auto"/>
            <w:vAlign w:val="center"/>
          </w:tcPr>
          <w:p w:rsidR="00C4311C" w:rsidRPr="00E2771E" w:rsidRDefault="00C4311C" w:rsidP="00C4311C">
            <w:pPr>
              <w:jc w:val="center"/>
              <w:rPr>
                <w:rFonts w:ascii="Arial Narrow" w:hAnsi="Arial Narrow"/>
                <w:sz w:val="20"/>
                <w:lang w:val="en-US"/>
              </w:rPr>
            </w:pPr>
            <w:r>
              <w:rPr>
                <w:rFonts w:ascii="Arial Narrow" w:hAnsi="Arial Narrow"/>
                <w:sz w:val="20"/>
                <w:lang w:val="en-US"/>
              </w:rPr>
              <w:t xml:space="preserve">Costs and disutilities: cataract, vitreous </w:t>
            </w:r>
            <w:proofErr w:type="spellStart"/>
            <w:r>
              <w:rPr>
                <w:rFonts w:ascii="Arial Narrow" w:hAnsi="Arial Narrow"/>
                <w:sz w:val="20"/>
                <w:lang w:val="en-US"/>
              </w:rPr>
              <w:t>haemorrhage</w:t>
            </w:r>
            <w:proofErr w:type="spellEnd"/>
            <w:r>
              <w:rPr>
                <w:rFonts w:ascii="Arial Narrow" w:hAnsi="Arial Narrow"/>
                <w:sz w:val="20"/>
                <w:lang w:val="en-US"/>
              </w:rPr>
              <w:t xml:space="preserve"> and ATE</w:t>
            </w:r>
          </w:p>
        </w:tc>
        <w:tc>
          <w:tcPr>
            <w:tcW w:w="935" w:type="pct"/>
            <w:shd w:val="clear" w:color="auto" w:fill="auto"/>
            <w:vAlign w:val="center"/>
          </w:tcPr>
          <w:p w:rsidR="00C4311C" w:rsidRPr="00E2771E" w:rsidRDefault="00C4311C" w:rsidP="00C4311C">
            <w:pPr>
              <w:jc w:val="center"/>
              <w:rPr>
                <w:rFonts w:ascii="Arial Narrow" w:hAnsi="Arial Narrow"/>
                <w:sz w:val="20"/>
                <w:lang w:val="en-US"/>
              </w:rPr>
            </w:pPr>
            <w:r>
              <w:rPr>
                <w:rFonts w:ascii="Arial Narrow" w:hAnsi="Arial Narrow"/>
                <w:sz w:val="20"/>
                <w:lang w:val="en-US"/>
              </w:rPr>
              <w:t>Low</w:t>
            </w:r>
          </w:p>
        </w:tc>
        <w:tc>
          <w:tcPr>
            <w:tcW w:w="923" w:type="pct"/>
            <w:shd w:val="clear" w:color="auto" w:fill="auto"/>
            <w:vAlign w:val="center"/>
          </w:tcPr>
          <w:p w:rsidR="00C4311C" w:rsidRPr="00E2771E" w:rsidRDefault="00C4311C" w:rsidP="00C4311C">
            <w:pPr>
              <w:jc w:val="center"/>
              <w:rPr>
                <w:rFonts w:ascii="Arial Narrow" w:hAnsi="Arial Narrow"/>
                <w:sz w:val="20"/>
                <w:lang w:val="en-US"/>
              </w:rPr>
            </w:pPr>
            <w:r>
              <w:rPr>
                <w:rFonts w:ascii="Arial Narrow" w:hAnsi="Arial Narrow"/>
                <w:sz w:val="20"/>
                <w:lang w:val="en-US"/>
              </w:rPr>
              <w:t xml:space="preserve">High, </w:t>
            </w:r>
            <w:proofErr w:type="spellStart"/>
            <w:r>
              <w:rPr>
                <w:rFonts w:ascii="Arial Narrow" w:hAnsi="Arial Narrow"/>
                <w:sz w:val="20"/>
                <w:lang w:val="en-US"/>
              </w:rPr>
              <w:t>favours</w:t>
            </w:r>
            <w:proofErr w:type="spellEnd"/>
            <w:r>
              <w:rPr>
                <w:rFonts w:ascii="Arial Narrow" w:hAnsi="Arial Narrow"/>
                <w:sz w:val="20"/>
                <w:lang w:val="en-US"/>
              </w:rPr>
              <w:t xml:space="preserve"> aflibercept</w:t>
            </w:r>
          </w:p>
        </w:tc>
      </w:tr>
    </w:tbl>
    <w:p w:rsidR="00C4311C" w:rsidRDefault="00C4311C" w:rsidP="005D044D">
      <w:pPr>
        <w:pStyle w:val="TableFooter"/>
        <w:ind w:firstLine="720"/>
      </w:pPr>
      <w:r>
        <w:t xml:space="preserve">Abbreviations: ATE = arterial thromboembolic events; BSE = best </w:t>
      </w:r>
      <w:proofErr w:type="gramStart"/>
      <w:r>
        <w:t>seeing eye</w:t>
      </w:r>
      <w:proofErr w:type="gramEnd"/>
      <w:r>
        <w:t>; WSE = worse seeing eye</w:t>
      </w:r>
    </w:p>
    <w:p w:rsidR="00D110BD" w:rsidRPr="00D110BD" w:rsidRDefault="00D110BD" w:rsidP="005D044D">
      <w:pPr>
        <w:pStyle w:val="TableFooter"/>
        <w:ind w:firstLine="720"/>
      </w:pPr>
      <w:r w:rsidRPr="00D110BD">
        <w:t>Source: compiled during the evaluation</w:t>
      </w:r>
    </w:p>
    <w:p w:rsidR="00E23648" w:rsidRPr="00275C5A" w:rsidRDefault="00E23648" w:rsidP="00275C5A">
      <w:pPr>
        <w:widowControl/>
        <w:rPr>
          <w:szCs w:val="22"/>
        </w:rPr>
      </w:pPr>
    </w:p>
    <w:p w:rsidR="000968DF" w:rsidRDefault="00E23648" w:rsidP="003B534E">
      <w:pPr>
        <w:pStyle w:val="ListParagraph"/>
        <w:widowControl/>
        <w:numPr>
          <w:ilvl w:val="1"/>
          <w:numId w:val="3"/>
        </w:numPr>
      </w:pPr>
      <w:r w:rsidRPr="00425F34">
        <w:t>Utilities for the BSE were based on a time trade off study (</w:t>
      </w:r>
      <w:proofErr w:type="spellStart"/>
      <w:r w:rsidRPr="00425F34">
        <w:t>Czosky</w:t>
      </w:r>
      <w:proofErr w:type="spellEnd"/>
      <w:r w:rsidRPr="00425F34">
        <w:t xml:space="preserve">-Murray 2009), where vision states were simulated in a general patient cohort.  There are significant concerns as to the appropriateness of the simulated vision impairment scenarios used in </w:t>
      </w:r>
      <w:proofErr w:type="spellStart"/>
      <w:r w:rsidRPr="00425F34">
        <w:t>Czosky</w:t>
      </w:r>
      <w:proofErr w:type="spellEnd"/>
      <w:r w:rsidRPr="00425F34">
        <w:t>-Murray 2009, given the likelihood that these methods significantly overstate health related quality of life differences based on changes to VA</w:t>
      </w:r>
      <w:r w:rsidR="003B534E">
        <w:t>.</w:t>
      </w:r>
    </w:p>
    <w:p w:rsidR="000968DF" w:rsidRDefault="000968DF" w:rsidP="000968DF">
      <w:pPr>
        <w:widowControl/>
      </w:pPr>
    </w:p>
    <w:p w:rsidR="003B534E" w:rsidRPr="00CF4741" w:rsidRDefault="000968DF" w:rsidP="003B534E">
      <w:pPr>
        <w:pStyle w:val="ListParagraph"/>
        <w:widowControl/>
        <w:numPr>
          <w:ilvl w:val="1"/>
          <w:numId w:val="3"/>
        </w:numPr>
      </w:pPr>
      <w:r w:rsidRPr="00CF4741">
        <w:t xml:space="preserve">The submission’s approach to the derivation of WSE utilities involved an adjustment to account for </w:t>
      </w:r>
      <w:r w:rsidR="00BF0C39">
        <w:rPr>
          <w:noProof/>
          <w:color w:val="000000"/>
          <w:highlight w:val="black"/>
        </w:rPr>
        <w:t>'''''''''''</w:t>
      </w:r>
      <w:r w:rsidRPr="00CF4741">
        <w:t xml:space="preserve"> of the difference of that in the BSE as utilised in prior NICE evaluations.  The ESC considered that this adjustment was arbitrary and may not adequately represent health related quality of life associated with VA changes in the WSE.  There is the potential that differences in WSE utilities may be more pronounced in cases where visual acuity of the BSE is lower.  Therefore, to simply apply a proportional reduction to BSE utility differences is unlikely to adequately inform WSE utilities.</w:t>
      </w:r>
    </w:p>
    <w:p w:rsidR="000968DF" w:rsidRPr="00CF4741" w:rsidRDefault="000968DF" w:rsidP="000968DF">
      <w:pPr>
        <w:widowControl/>
      </w:pPr>
    </w:p>
    <w:p w:rsidR="00E23648" w:rsidRPr="00CF4741" w:rsidRDefault="00AB6435" w:rsidP="003B534E">
      <w:pPr>
        <w:pStyle w:val="ListParagraph"/>
        <w:widowControl/>
        <w:numPr>
          <w:ilvl w:val="1"/>
          <w:numId w:val="3"/>
        </w:numPr>
        <w:rPr>
          <w:szCs w:val="22"/>
        </w:rPr>
      </w:pPr>
      <w:r w:rsidRPr="00CF4741">
        <w:t>The submission d</w:t>
      </w:r>
      <w:r w:rsidR="00AB53A2" w:rsidRPr="00CF4741">
        <w:t>id</w:t>
      </w:r>
      <w:r w:rsidRPr="00CF4741">
        <w:t xml:space="preserve"> not discuss the use of trial based utilities in the economic model.  In VIVID and VISTA, the EQ-5D was administered at baseline, Week 24 and Week 52.  Although minimal changes in the EQ-5D from baseline to </w:t>
      </w:r>
      <w:r w:rsidR="0040015B" w:rsidRPr="00CF4741">
        <w:t>W</w:t>
      </w:r>
      <w:r w:rsidRPr="00CF4741">
        <w:t xml:space="preserve">eek 52 in treatment groups were observed in VIVID, point estimates of treated eye utilities according to the VA health states presented in the economic model potentially indicate some differences across VA health states. </w:t>
      </w:r>
      <w:r w:rsidR="0040015B">
        <w:t xml:space="preserve"> </w:t>
      </w:r>
      <w:r w:rsidRPr="00CF4741">
        <w:t xml:space="preserve">Although treated eye utilities are not applicable for an economic evaluation based on a ‘one eye BSE/WSE model’, given the above concerns associated with the methods used in </w:t>
      </w:r>
      <w:proofErr w:type="spellStart"/>
      <w:r w:rsidRPr="00CF4741">
        <w:t>Czosky</w:t>
      </w:r>
      <w:proofErr w:type="spellEnd"/>
      <w:r w:rsidRPr="00CF4741">
        <w:t xml:space="preserve">-Murray 2009 and the arbitrary approach applied in the derivation of utilities for the WSE, it would have been more appropriate if the submission had provided greater regard to the use of trial based utilities for the BSE and WSE from VISTA and VIVID.  </w:t>
      </w:r>
      <w:r w:rsidR="008362C0" w:rsidRPr="00CF4741">
        <w:t xml:space="preserve">The ESC </w:t>
      </w:r>
      <w:r w:rsidR="000968DF" w:rsidRPr="00CF4741">
        <w:t xml:space="preserve">considered </w:t>
      </w:r>
      <w:r w:rsidR="00AB53A2" w:rsidRPr="00CF4741">
        <w:t xml:space="preserve">that </w:t>
      </w:r>
      <w:r w:rsidR="008362C0" w:rsidRPr="00CF4741">
        <w:t xml:space="preserve">the utilities in </w:t>
      </w:r>
      <w:proofErr w:type="spellStart"/>
      <w:r w:rsidR="008362C0" w:rsidRPr="00CF4741">
        <w:t>Czosky</w:t>
      </w:r>
      <w:proofErr w:type="spellEnd"/>
      <w:r w:rsidR="008362C0" w:rsidRPr="00CF4741">
        <w:t xml:space="preserve">-Murray </w:t>
      </w:r>
      <w:r w:rsidR="000968DF" w:rsidRPr="00CF4741">
        <w:t>were</w:t>
      </w:r>
      <w:r w:rsidR="008362C0" w:rsidRPr="00CF4741">
        <w:t xml:space="preserve"> likely </w:t>
      </w:r>
      <w:r w:rsidR="00B2780E" w:rsidRPr="00CF4741">
        <w:t xml:space="preserve">to be </w:t>
      </w:r>
      <w:r w:rsidR="008362C0" w:rsidRPr="00CF4741">
        <w:t>overestimated</w:t>
      </w:r>
      <w:r w:rsidR="0062034C" w:rsidRPr="00CF4741">
        <w:t xml:space="preserve"> </w:t>
      </w:r>
      <w:r w:rsidR="00AB53A2" w:rsidRPr="00CF4741">
        <w:t>and considered</w:t>
      </w:r>
      <w:r w:rsidR="007D1CFF" w:rsidRPr="00CF4741">
        <w:t xml:space="preserve"> that</w:t>
      </w:r>
      <w:r w:rsidR="00AB53A2" w:rsidRPr="00CF4741">
        <w:t xml:space="preserve"> </w:t>
      </w:r>
      <w:r w:rsidR="0062034C" w:rsidRPr="00CF4741">
        <w:t xml:space="preserve">the trial based EQ-5D utilities </w:t>
      </w:r>
      <w:r w:rsidR="000968DF" w:rsidRPr="00CF4741">
        <w:t>may be</w:t>
      </w:r>
      <w:r w:rsidR="0062034C" w:rsidRPr="00CF4741">
        <w:t xml:space="preserve"> more appropriate</w:t>
      </w:r>
      <w:r w:rsidR="008362C0" w:rsidRPr="00CF4741">
        <w:t>.</w:t>
      </w:r>
    </w:p>
    <w:p w:rsidR="00AB53A2" w:rsidRPr="00CF4741" w:rsidRDefault="00AB53A2" w:rsidP="00AB53A2">
      <w:pPr>
        <w:widowControl/>
        <w:rPr>
          <w:szCs w:val="22"/>
        </w:rPr>
      </w:pPr>
    </w:p>
    <w:p w:rsidR="00AB53A2" w:rsidRPr="00CF4741" w:rsidRDefault="00AB53A2" w:rsidP="005F23C4">
      <w:pPr>
        <w:pStyle w:val="ListParagraph"/>
        <w:widowControl/>
        <w:numPr>
          <w:ilvl w:val="1"/>
          <w:numId w:val="3"/>
        </w:numPr>
        <w:rPr>
          <w:szCs w:val="22"/>
        </w:rPr>
      </w:pPr>
      <w:r w:rsidRPr="00CF4741">
        <w:rPr>
          <w:szCs w:val="22"/>
        </w:rPr>
        <w:lastRenderedPageBreak/>
        <w:t xml:space="preserve">The ESC noted </w:t>
      </w:r>
      <w:r w:rsidR="00B2780E" w:rsidRPr="00CF4741">
        <w:rPr>
          <w:szCs w:val="22"/>
        </w:rPr>
        <w:t xml:space="preserve">that the statistical analyses conducted by the evaluation indicated there were no significant differences </w:t>
      </w:r>
      <w:r w:rsidR="00B2780E" w:rsidRPr="00CF4741">
        <w:t xml:space="preserve">for the direct comparison of aflibercept vs. laser and the indirect comparison of aflibercept and ranibizumab in regard to the adverse events of cataract, vitreous haemorrhage, ocular hypertension and arterial thromboembolic events.  The ESC </w:t>
      </w:r>
      <w:r w:rsidR="000968DF" w:rsidRPr="00CF4741">
        <w:t>considered</w:t>
      </w:r>
      <w:r w:rsidR="00B2780E" w:rsidRPr="00CF4741">
        <w:t xml:space="preserve"> that there </w:t>
      </w:r>
      <w:r w:rsidR="000968DF" w:rsidRPr="00CF4741">
        <w:t>was insufficient</w:t>
      </w:r>
      <w:r w:rsidR="00B2780E" w:rsidRPr="00CF4741">
        <w:t xml:space="preserve"> justification for the consideration of these adverse events, which is further compounded by the lack of reliable sources informing the disutility values used in the economic evaluation.  In regard to the comparison of aflibercept and ranibizumab, </w:t>
      </w:r>
      <w:r w:rsidR="000968DF" w:rsidRPr="00CF4741">
        <w:t xml:space="preserve">the ESC noted that </w:t>
      </w:r>
      <w:r w:rsidR="00B2780E" w:rsidRPr="00CF4741">
        <w:t xml:space="preserve">the economic model was highly </w:t>
      </w:r>
      <w:r w:rsidR="0018144D" w:rsidRPr="00CF4741">
        <w:t>sensitive to</w:t>
      </w:r>
      <w:r w:rsidR="00B2780E" w:rsidRPr="00CF4741">
        <w:t xml:space="preserve"> the removal of costs and utilities associated with adverse events</w:t>
      </w:r>
      <w:r w:rsidR="000968DF" w:rsidRPr="00CF4741">
        <w:t xml:space="preserve">, resulting in a </w:t>
      </w:r>
      <w:r w:rsidR="00BF0C39">
        <w:rPr>
          <w:noProof/>
          <w:color w:val="000000"/>
          <w:highlight w:val="black"/>
        </w:rPr>
        <w:t>''''''''''''''</w:t>
      </w:r>
      <w:r w:rsidR="000968DF" w:rsidRPr="00CF4741">
        <w:t xml:space="preserve"> increase over the base case ICER.</w:t>
      </w:r>
    </w:p>
    <w:p w:rsidR="008F36A3" w:rsidRPr="00CF4741" w:rsidRDefault="008F36A3" w:rsidP="008F36A3">
      <w:pPr>
        <w:rPr>
          <w:szCs w:val="22"/>
        </w:rPr>
      </w:pPr>
    </w:p>
    <w:p w:rsidR="008F36A3" w:rsidRPr="00CF4741" w:rsidRDefault="008F36A3" w:rsidP="005F23C4">
      <w:pPr>
        <w:pStyle w:val="ListParagraph"/>
        <w:widowControl/>
        <w:numPr>
          <w:ilvl w:val="1"/>
          <w:numId w:val="3"/>
        </w:numPr>
        <w:rPr>
          <w:szCs w:val="22"/>
        </w:rPr>
      </w:pPr>
      <w:r w:rsidRPr="00CF4741">
        <w:rPr>
          <w:szCs w:val="22"/>
        </w:rPr>
        <w:t>The ESC noted that the submission used Christ et al (2008)</w:t>
      </w:r>
      <w:r w:rsidR="000E442E" w:rsidRPr="00CF4741">
        <w:rPr>
          <w:szCs w:val="22"/>
        </w:rPr>
        <w:t xml:space="preserve"> study</w:t>
      </w:r>
      <w:r w:rsidRPr="00CF4741">
        <w:rPr>
          <w:szCs w:val="22"/>
        </w:rPr>
        <w:t xml:space="preserve"> in the model </w:t>
      </w:r>
      <w:r w:rsidR="000E442E" w:rsidRPr="00CF4741">
        <w:rPr>
          <w:szCs w:val="22"/>
        </w:rPr>
        <w:t xml:space="preserve">to estimate the direct and indirect effects of self-reported visual impairment on mortality, </w:t>
      </w:r>
      <w:r w:rsidRPr="00CF4741">
        <w:rPr>
          <w:szCs w:val="22"/>
        </w:rPr>
        <w:t xml:space="preserve">similar </w:t>
      </w:r>
      <w:r w:rsidR="000E442E" w:rsidRPr="00CF4741">
        <w:rPr>
          <w:szCs w:val="22"/>
        </w:rPr>
        <w:t>to the March 2014 and concurrent submission for CRVO.  The ESC</w:t>
      </w:r>
      <w:r w:rsidR="004E23EB" w:rsidRPr="00CF4741">
        <w:rPr>
          <w:szCs w:val="22"/>
        </w:rPr>
        <w:t xml:space="preserve"> </w:t>
      </w:r>
      <w:r w:rsidR="000968DF" w:rsidRPr="00CF4741">
        <w:rPr>
          <w:szCs w:val="22"/>
        </w:rPr>
        <w:t>considered</w:t>
      </w:r>
      <w:r w:rsidR="000E442E" w:rsidRPr="00CF4741">
        <w:rPr>
          <w:szCs w:val="22"/>
        </w:rPr>
        <w:t xml:space="preserve"> that </w:t>
      </w:r>
      <w:r w:rsidR="00FA6F1C" w:rsidRPr="00CF4741">
        <w:rPr>
          <w:szCs w:val="22"/>
        </w:rPr>
        <w:t>the addition of indirect effects (via disability and self-rated health) to direct effects on mortality resulted in a stronger association between visual impairment and mortality, with differences most prominent in the severe visual impairment category.</w:t>
      </w:r>
      <w:r w:rsidR="00310F27" w:rsidRPr="00CF4741">
        <w:rPr>
          <w:szCs w:val="22"/>
        </w:rPr>
        <w:t xml:space="preserve">  Furthermore, background probabilities of death per year adjusted for diabetes are multiplied by the RR of mortalities informed by Christ 2008 for the VA7 and VA8 health states.  The application of hazard ratios across the VA7 and VA8 health states irrespective of treatment in BSE or WSE does not reflect the prospect that the BSE is most likely to correlate with a patient’s risk of mortality</w:t>
      </w:r>
      <w:r w:rsidR="00310F27" w:rsidRPr="0040015B">
        <w:rPr>
          <w:szCs w:val="22"/>
        </w:rPr>
        <w:t>.</w:t>
      </w:r>
    </w:p>
    <w:p w:rsidR="005F23C4" w:rsidRPr="003B534E" w:rsidDel="00AB6435" w:rsidRDefault="005F23C4" w:rsidP="005F23C4">
      <w:pPr>
        <w:rPr>
          <w:szCs w:val="22"/>
        </w:rPr>
      </w:pPr>
    </w:p>
    <w:p w:rsidR="004C06B2" w:rsidRPr="00310F27" w:rsidRDefault="00310F27" w:rsidP="00310F27">
      <w:pPr>
        <w:ind w:firstLine="720"/>
        <w:rPr>
          <w:rFonts w:ascii="Arial Narrow" w:hAnsi="Arial Narrow"/>
          <w:b/>
          <w:sz w:val="20"/>
        </w:rPr>
      </w:pPr>
      <w:r w:rsidRPr="00F21AA8">
        <w:rPr>
          <w:rFonts w:ascii="Arial Narrow" w:hAnsi="Arial Narrow"/>
          <w:b/>
          <w:sz w:val="20"/>
        </w:rPr>
        <w:t>Hazard ratio</w:t>
      </w:r>
      <w:r>
        <w:rPr>
          <w:rFonts w:ascii="Arial Narrow" w:hAnsi="Arial Narrow"/>
          <w:b/>
          <w:sz w:val="20"/>
        </w:rPr>
        <w:t>s</w:t>
      </w:r>
      <w:r w:rsidRPr="00F21AA8">
        <w:rPr>
          <w:rFonts w:ascii="Arial Narrow" w:hAnsi="Arial Narrow"/>
          <w:b/>
          <w:sz w:val="20"/>
        </w:rPr>
        <w:t xml:space="preserve"> of the direct and indirect effects of visual impairment on mortality</w:t>
      </w:r>
    </w:p>
    <w:tbl>
      <w:tblPr>
        <w:tblStyle w:val="TableGrid"/>
        <w:tblW w:w="4594" w:type="pct"/>
        <w:tblInd w:w="737" w:type="dxa"/>
        <w:tblCellMar>
          <w:left w:w="28" w:type="dxa"/>
          <w:right w:w="28" w:type="dxa"/>
        </w:tblCellMar>
        <w:tblLook w:val="04A0" w:firstRow="1" w:lastRow="0" w:firstColumn="1" w:lastColumn="0" w:noHBand="0" w:noVBand="1"/>
      </w:tblPr>
      <w:tblGrid>
        <w:gridCol w:w="2408"/>
        <w:gridCol w:w="1559"/>
        <w:gridCol w:w="1846"/>
        <w:gridCol w:w="2532"/>
      </w:tblGrid>
      <w:tr w:rsidR="00310F27" w:rsidTr="0040015B">
        <w:tc>
          <w:tcPr>
            <w:tcW w:w="1443" w:type="pct"/>
            <w:vMerge w:val="restart"/>
            <w:vAlign w:val="center"/>
          </w:tcPr>
          <w:p w:rsidR="00310F27" w:rsidRDefault="00310F27" w:rsidP="00D54C0C">
            <w:pPr>
              <w:jc w:val="left"/>
              <w:rPr>
                <w:rFonts w:ascii="Arial Narrow" w:hAnsi="Arial Narrow"/>
                <w:sz w:val="20"/>
              </w:rPr>
            </w:pPr>
          </w:p>
        </w:tc>
        <w:tc>
          <w:tcPr>
            <w:tcW w:w="3557" w:type="pct"/>
            <w:gridSpan w:val="3"/>
            <w:vAlign w:val="center"/>
          </w:tcPr>
          <w:p w:rsidR="00310F27" w:rsidRPr="00AD0CB4" w:rsidRDefault="00310F27" w:rsidP="00D54C0C">
            <w:pPr>
              <w:jc w:val="center"/>
              <w:rPr>
                <w:rFonts w:ascii="Arial Narrow" w:hAnsi="Arial Narrow"/>
                <w:b/>
                <w:sz w:val="20"/>
              </w:rPr>
            </w:pPr>
            <w:r w:rsidRPr="00AD0CB4">
              <w:rPr>
                <w:rFonts w:ascii="Arial Narrow" w:hAnsi="Arial Narrow"/>
                <w:b/>
                <w:sz w:val="20"/>
              </w:rPr>
              <w:t>H</w:t>
            </w:r>
            <w:r>
              <w:rPr>
                <w:rFonts w:ascii="Arial Narrow" w:hAnsi="Arial Narrow"/>
                <w:b/>
                <w:sz w:val="20"/>
              </w:rPr>
              <w:t xml:space="preserve">azard </w:t>
            </w:r>
            <w:r w:rsidR="0040015B" w:rsidRPr="00AD0CB4">
              <w:rPr>
                <w:rFonts w:ascii="Arial Narrow" w:hAnsi="Arial Narrow"/>
                <w:b/>
                <w:sz w:val="20"/>
              </w:rPr>
              <w:t>r</w:t>
            </w:r>
            <w:r>
              <w:rPr>
                <w:rFonts w:ascii="Arial Narrow" w:hAnsi="Arial Narrow"/>
                <w:b/>
                <w:sz w:val="20"/>
              </w:rPr>
              <w:t>atio</w:t>
            </w:r>
            <w:r w:rsidRPr="00AD0CB4">
              <w:rPr>
                <w:rFonts w:ascii="Arial Narrow" w:hAnsi="Arial Narrow"/>
                <w:b/>
                <w:sz w:val="20"/>
              </w:rPr>
              <w:t xml:space="preserve"> (95% CI)</w:t>
            </w:r>
          </w:p>
        </w:tc>
      </w:tr>
      <w:tr w:rsidR="0040015B" w:rsidTr="0040015B">
        <w:tc>
          <w:tcPr>
            <w:tcW w:w="1443" w:type="pct"/>
            <w:vMerge/>
            <w:vAlign w:val="center"/>
          </w:tcPr>
          <w:p w:rsidR="00310F27" w:rsidRDefault="00310F27" w:rsidP="00D54C0C">
            <w:pPr>
              <w:jc w:val="left"/>
              <w:rPr>
                <w:rFonts w:ascii="Arial Narrow" w:hAnsi="Arial Narrow"/>
                <w:sz w:val="20"/>
              </w:rPr>
            </w:pPr>
          </w:p>
        </w:tc>
        <w:tc>
          <w:tcPr>
            <w:tcW w:w="934" w:type="pct"/>
            <w:vAlign w:val="center"/>
          </w:tcPr>
          <w:p w:rsidR="00310F27" w:rsidRPr="00AD0CB4" w:rsidRDefault="00310F27" w:rsidP="00D54C0C">
            <w:pPr>
              <w:jc w:val="center"/>
              <w:rPr>
                <w:rFonts w:ascii="Arial Narrow" w:hAnsi="Arial Narrow"/>
                <w:b/>
                <w:sz w:val="20"/>
              </w:rPr>
            </w:pPr>
            <w:r w:rsidRPr="00AD0CB4">
              <w:rPr>
                <w:rFonts w:ascii="Arial Narrow" w:hAnsi="Arial Narrow"/>
                <w:b/>
                <w:sz w:val="20"/>
              </w:rPr>
              <w:t xml:space="preserve">Direct </w:t>
            </w:r>
            <w:r w:rsidR="0040015B" w:rsidRPr="00AD0CB4">
              <w:rPr>
                <w:rFonts w:ascii="Arial Narrow" w:hAnsi="Arial Narrow"/>
                <w:b/>
                <w:sz w:val="20"/>
              </w:rPr>
              <w:t>effects on mo</w:t>
            </w:r>
            <w:r w:rsidRPr="00AD0CB4">
              <w:rPr>
                <w:rFonts w:ascii="Arial Narrow" w:hAnsi="Arial Narrow"/>
                <w:b/>
                <w:sz w:val="20"/>
              </w:rPr>
              <w:t>rtality</w:t>
            </w:r>
          </w:p>
        </w:tc>
        <w:tc>
          <w:tcPr>
            <w:tcW w:w="1105" w:type="pct"/>
            <w:vAlign w:val="center"/>
          </w:tcPr>
          <w:p w:rsidR="00310F27" w:rsidRPr="00AD0CB4" w:rsidRDefault="00310F27" w:rsidP="00D54C0C">
            <w:pPr>
              <w:jc w:val="center"/>
              <w:rPr>
                <w:rFonts w:ascii="Arial Narrow" w:hAnsi="Arial Narrow"/>
                <w:b/>
                <w:sz w:val="20"/>
              </w:rPr>
            </w:pPr>
            <w:r>
              <w:rPr>
                <w:rFonts w:ascii="Arial Narrow" w:hAnsi="Arial Narrow"/>
                <w:b/>
                <w:sz w:val="20"/>
              </w:rPr>
              <w:t>Indirect^ &amp; direct effects on mortality</w:t>
            </w:r>
          </w:p>
        </w:tc>
        <w:tc>
          <w:tcPr>
            <w:tcW w:w="1518" w:type="pct"/>
            <w:vAlign w:val="center"/>
          </w:tcPr>
          <w:p w:rsidR="00310F27" w:rsidRPr="00AD0CB4" w:rsidRDefault="00310F27" w:rsidP="00D54C0C">
            <w:pPr>
              <w:jc w:val="center"/>
              <w:rPr>
                <w:rFonts w:ascii="Arial Narrow" w:hAnsi="Arial Narrow"/>
                <w:b/>
                <w:sz w:val="20"/>
              </w:rPr>
            </w:pPr>
            <w:r>
              <w:rPr>
                <w:rFonts w:ascii="Arial Narrow" w:hAnsi="Arial Narrow"/>
                <w:b/>
                <w:sz w:val="20"/>
              </w:rPr>
              <w:t>Indirect &amp; direct effects on mortality: subset analysis</w:t>
            </w:r>
          </w:p>
        </w:tc>
      </w:tr>
      <w:tr w:rsidR="00310F27" w:rsidTr="0040015B">
        <w:tc>
          <w:tcPr>
            <w:tcW w:w="1443" w:type="pct"/>
            <w:vMerge/>
            <w:vAlign w:val="center"/>
          </w:tcPr>
          <w:p w:rsidR="00310F27" w:rsidRDefault="00310F27" w:rsidP="00D54C0C">
            <w:pPr>
              <w:jc w:val="left"/>
              <w:rPr>
                <w:rFonts w:ascii="Arial Narrow" w:hAnsi="Arial Narrow"/>
                <w:sz w:val="20"/>
              </w:rPr>
            </w:pPr>
          </w:p>
        </w:tc>
        <w:tc>
          <w:tcPr>
            <w:tcW w:w="2040" w:type="pct"/>
            <w:gridSpan w:val="2"/>
            <w:vAlign w:val="center"/>
          </w:tcPr>
          <w:p w:rsidR="00310F27" w:rsidRDefault="00310F27" w:rsidP="00D54C0C">
            <w:pPr>
              <w:jc w:val="center"/>
              <w:rPr>
                <w:rFonts w:ascii="Arial Narrow" w:hAnsi="Arial Narrow"/>
                <w:b/>
                <w:sz w:val="20"/>
              </w:rPr>
            </w:pPr>
            <w:r>
              <w:rPr>
                <w:rFonts w:ascii="Arial Narrow" w:hAnsi="Arial Narrow"/>
                <w:b/>
                <w:sz w:val="20"/>
              </w:rPr>
              <w:t>N=135,581</w:t>
            </w:r>
          </w:p>
        </w:tc>
        <w:tc>
          <w:tcPr>
            <w:tcW w:w="1518" w:type="pct"/>
            <w:vAlign w:val="center"/>
          </w:tcPr>
          <w:p w:rsidR="00310F27" w:rsidRPr="00AD0CB4" w:rsidRDefault="00310F27" w:rsidP="00D54C0C">
            <w:pPr>
              <w:jc w:val="center"/>
              <w:rPr>
                <w:rFonts w:ascii="Arial Narrow" w:hAnsi="Arial Narrow"/>
                <w:b/>
                <w:sz w:val="20"/>
              </w:rPr>
            </w:pPr>
            <w:r>
              <w:rPr>
                <w:rFonts w:ascii="Arial Narrow" w:hAnsi="Arial Narrow"/>
                <w:b/>
                <w:sz w:val="20"/>
              </w:rPr>
              <w:t>N=40,211</w:t>
            </w:r>
          </w:p>
        </w:tc>
      </w:tr>
      <w:tr w:rsidR="0040015B" w:rsidTr="0040015B">
        <w:tc>
          <w:tcPr>
            <w:tcW w:w="1443" w:type="pct"/>
            <w:vAlign w:val="center"/>
          </w:tcPr>
          <w:p w:rsidR="00310F27" w:rsidRDefault="00310F27" w:rsidP="0040015B">
            <w:pPr>
              <w:jc w:val="left"/>
              <w:rPr>
                <w:rFonts w:ascii="Arial Narrow" w:hAnsi="Arial Narrow"/>
                <w:sz w:val="20"/>
              </w:rPr>
            </w:pPr>
            <w:r>
              <w:rPr>
                <w:rFonts w:ascii="Arial Narrow" w:hAnsi="Arial Narrow"/>
                <w:sz w:val="20"/>
              </w:rPr>
              <w:t xml:space="preserve">Some </w:t>
            </w:r>
            <w:r w:rsidR="0040015B">
              <w:rPr>
                <w:rFonts w:ascii="Arial Narrow" w:hAnsi="Arial Narrow"/>
                <w:sz w:val="20"/>
              </w:rPr>
              <w:t>visual impairment</w:t>
            </w:r>
            <w:r w:rsidRPr="00CE6E0D">
              <w:rPr>
                <w:rFonts w:ascii="Arial Narrow" w:hAnsi="Arial Narrow"/>
                <w:sz w:val="20"/>
                <w:vertAlign w:val="superscript"/>
              </w:rPr>
              <w:t>‡</w:t>
            </w:r>
          </w:p>
        </w:tc>
        <w:tc>
          <w:tcPr>
            <w:tcW w:w="934" w:type="pct"/>
            <w:vAlign w:val="center"/>
          </w:tcPr>
          <w:p w:rsidR="00310F27" w:rsidRDefault="00310F27" w:rsidP="00D54C0C">
            <w:pPr>
              <w:jc w:val="center"/>
              <w:rPr>
                <w:rFonts w:ascii="Arial Narrow" w:hAnsi="Arial Narrow"/>
                <w:sz w:val="20"/>
              </w:rPr>
            </w:pPr>
            <w:r>
              <w:rPr>
                <w:rFonts w:ascii="Arial Narrow" w:hAnsi="Arial Narrow"/>
                <w:sz w:val="20"/>
              </w:rPr>
              <w:t>1.13 (1.07, 1.20)</w:t>
            </w:r>
          </w:p>
        </w:tc>
        <w:tc>
          <w:tcPr>
            <w:tcW w:w="1105" w:type="pct"/>
            <w:vAlign w:val="center"/>
          </w:tcPr>
          <w:p w:rsidR="00310F27" w:rsidRDefault="00310F27" w:rsidP="00D54C0C">
            <w:pPr>
              <w:jc w:val="center"/>
              <w:rPr>
                <w:rFonts w:ascii="Arial Narrow" w:hAnsi="Arial Narrow"/>
                <w:sz w:val="20"/>
              </w:rPr>
            </w:pPr>
            <w:r>
              <w:rPr>
                <w:rFonts w:ascii="Arial Narrow" w:hAnsi="Arial Narrow"/>
                <w:sz w:val="20"/>
              </w:rPr>
              <w:t>1.23 (1.16, 1.31)</w:t>
            </w:r>
          </w:p>
        </w:tc>
        <w:tc>
          <w:tcPr>
            <w:tcW w:w="1518" w:type="pct"/>
            <w:vAlign w:val="center"/>
          </w:tcPr>
          <w:p w:rsidR="00310F27" w:rsidRDefault="00310F27" w:rsidP="00D54C0C">
            <w:pPr>
              <w:jc w:val="center"/>
              <w:rPr>
                <w:rFonts w:ascii="Arial Narrow" w:hAnsi="Arial Narrow"/>
                <w:sz w:val="20"/>
              </w:rPr>
            </w:pPr>
            <w:r>
              <w:rPr>
                <w:rFonts w:ascii="Arial Narrow" w:hAnsi="Arial Narrow"/>
                <w:sz w:val="20"/>
              </w:rPr>
              <w:t>1.16 (1.05, 1.28)</w:t>
            </w:r>
          </w:p>
        </w:tc>
      </w:tr>
      <w:tr w:rsidR="0040015B" w:rsidTr="0040015B">
        <w:tc>
          <w:tcPr>
            <w:tcW w:w="1443" w:type="pct"/>
            <w:vAlign w:val="center"/>
          </w:tcPr>
          <w:p w:rsidR="00310F27" w:rsidRDefault="00310F27" w:rsidP="0040015B">
            <w:pPr>
              <w:jc w:val="left"/>
              <w:rPr>
                <w:rFonts w:ascii="Arial Narrow" w:hAnsi="Arial Narrow"/>
                <w:sz w:val="20"/>
              </w:rPr>
            </w:pPr>
            <w:r>
              <w:rPr>
                <w:rFonts w:ascii="Arial Narrow" w:hAnsi="Arial Narrow"/>
                <w:sz w:val="20"/>
              </w:rPr>
              <w:t xml:space="preserve">Severe </w:t>
            </w:r>
            <w:r w:rsidR="0040015B">
              <w:rPr>
                <w:rFonts w:ascii="Arial Narrow" w:hAnsi="Arial Narrow"/>
                <w:sz w:val="20"/>
              </w:rPr>
              <w:t>visual impairment</w:t>
            </w:r>
            <w:r w:rsidRPr="00CE6E0D">
              <w:rPr>
                <w:rFonts w:ascii="Arial Narrow" w:hAnsi="Arial Narrow"/>
                <w:sz w:val="20"/>
                <w:vertAlign w:val="superscript"/>
              </w:rPr>
              <w:t>‡</w:t>
            </w:r>
          </w:p>
        </w:tc>
        <w:tc>
          <w:tcPr>
            <w:tcW w:w="934" w:type="pct"/>
            <w:vAlign w:val="center"/>
          </w:tcPr>
          <w:p w:rsidR="00310F27" w:rsidRDefault="00310F27" w:rsidP="00D54C0C">
            <w:pPr>
              <w:jc w:val="center"/>
              <w:rPr>
                <w:rFonts w:ascii="Arial Narrow" w:hAnsi="Arial Narrow"/>
                <w:sz w:val="20"/>
              </w:rPr>
            </w:pPr>
            <w:r>
              <w:rPr>
                <w:rFonts w:ascii="Arial Narrow" w:hAnsi="Arial Narrow"/>
                <w:sz w:val="20"/>
              </w:rPr>
              <w:t>1.28 (1.07, 1.53)</w:t>
            </w:r>
          </w:p>
        </w:tc>
        <w:tc>
          <w:tcPr>
            <w:tcW w:w="1105" w:type="pct"/>
            <w:vAlign w:val="center"/>
          </w:tcPr>
          <w:p w:rsidR="00310F27" w:rsidRDefault="00310F27" w:rsidP="00D54C0C">
            <w:pPr>
              <w:jc w:val="center"/>
              <w:rPr>
                <w:rFonts w:ascii="Arial Narrow" w:hAnsi="Arial Narrow"/>
                <w:sz w:val="20"/>
              </w:rPr>
            </w:pPr>
            <w:r>
              <w:rPr>
                <w:rFonts w:ascii="Arial Narrow" w:hAnsi="Arial Narrow"/>
                <w:sz w:val="20"/>
              </w:rPr>
              <w:t>1.54 (1.28, 1.86)</w:t>
            </w:r>
          </w:p>
        </w:tc>
        <w:tc>
          <w:tcPr>
            <w:tcW w:w="1518" w:type="pct"/>
            <w:vAlign w:val="center"/>
          </w:tcPr>
          <w:p w:rsidR="00310F27" w:rsidRDefault="00310F27" w:rsidP="00D54C0C">
            <w:pPr>
              <w:jc w:val="center"/>
              <w:rPr>
                <w:rFonts w:ascii="Arial Narrow" w:hAnsi="Arial Narrow"/>
                <w:sz w:val="20"/>
              </w:rPr>
            </w:pPr>
            <w:r>
              <w:rPr>
                <w:rFonts w:ascii="Arial Narrow" w:hAnsi="Arial Narrow"/>
                <w:sz w:val="20"/>
              </w:rPr>
              <w:t>1.48 (1.15, 1.89)</w:t>
            </w:r>
          </w:p>
        </w:tc>
      </w:tr>
    </w:tbl>
    <w:p w:rsidR="00310F27" w:rsidRDefault="00310F27" w:rsidP="00310F27">
      <w:pPr>
        <w:ind w:left="720"/>
        <w:rPr>
          <w:rFonts w:ascii="Arial Narrow" w:hAnsi="Arial Narrow"/>
          <w:sz w:val="18"/>
        </w:rPr>
      </w:pPr>
      <w:r w:rsidRPr="00CE6E0D">
        <w:rPr>
          <w:rFonts w:ascii="Arial Narrow" w:hAnsi="Arial Narrow"/>
          <w:sz w:val="18"/>
          <w:vertAlign w:val="superscript"/>
        </w:rPr>
        <w:t>‡</w:t>
      </w:r>
      <w:r w:rsidRPr="00CE6E0D">
        <w:rPr>
          <w:rFonts w:ascii="Arial Narrow" w:hAnsi="Arial Narrow"/>
          <w:sz w:val="18"/>
        </w:rPr>
        <w:t xml:space="preserve"> Severe visual impairment</w:t>
      </w:r>
      <w:r>
        <w:rPr>
          <w:rFonts w:ascii="Arial Narrow" w:hAnsi="Arial Narrow"/>
          <w:sz w:val="18"/>
        </w:rPr>
        <w:t xml:space="preserve"> = blind in both eyes; Some visual impairment: visual impairment in both eyes, blind in one eye, visual impaired in the other eye, blind or visually impaired in one eye only, with the other eye having good vision or not mentioned.  ^ Indirect effects on mortality included those through disability and self-rated health.  </w:t>
      </w:r>
      <w:r w:rsidRPr="006E51A1">
        <w:rPr>
          <w:rFonts w:ascii="Arial Narrow" w:hAnsi="Arial Narrow"/>
          <w:sz w:val="18"/>
        </w:rPr>
        <w:t>Source: Table 1, Table 2, p8, Christ 2008</w:t>
      </w:r>
    </w:p>
    <w:p w:rsidR="00287EB9" w:rsidRPr="003B534E" w:rsidDel="00AB6435" w:rsidRDefault="00287EB9" w:rsidP="00287EB9">
      <w:pPr>
        <w:rPr>
          <w:szCs w:val="22"/>
        </w:rPr>
      </w:pPr>
    </w:p>
    <w:p w:rsidR="00310F27" w:rsidRPr="00310F27" w:rsidRDefault="00310F27" w:rsidP="002B72D6">
      <w:pPr>
        <w:widowControl/>
        <w:ind w:firstLine="720"/>
        <w:jc w:val="left"/>
        <w:rPr>
          <w:rFonts w:ascii="Arial Narrow" w:hAnsi="Arial Narrow"/>
          <w:b/>
          <w:sz w:val="20"/>
        </w:rPr>
      </w:pPr>
      <w:r>
        <w:rPr>
          <w:rFonts w:ascii="Arial Narrow" w:hAnsi="Arial Narrow"/>
          <w:b/>
          <w:sz w:val="20"/>
        </w:rPr>
        <w:t>Application of hazard ratios in the economic evaluation</w:t>
      </w:r>
    </w:p>
    <w:tbl>
      <w:tblPr>
        <w:tblStyle w:val="TableGrid"/>
        <w:tblW w:w="0" w:type="auto"/>
        <w:tblInd w:w="737" w:type="dxa"/>
        <w:tblCellMar>
          <w:left w:w="28" w:type="dxa"/>
          <w:right w:w="28" w:type="dxa"/>
        </w:tblCellMar>
        <w:tblLook w:val="04A0" w:firstRow="1" w:lastRow="0" w:firstColumn="1" w:lastColumn="0" w:noHBand="0" w:noVBand="1"/>
      </w:tblPr>
      <w:tblGrid>
        <w:gridCol w:w="5245"/>
        <w:gridCol w:w="3101"/>
      </w:tblGrid>
      <w:tr w:rsidR="00310F27" w:rsidRPr="002203E0">
        <w:tc>
          <w:tcPr>
            <w:tcW w:w="5245" w:type="dxa"/>
          </w:tcPr>
          <w:p w:rsidR="00310F27" w:rsidRPr="002203E0" w:rsidRDefault="00310F27" w:rsidP="00D54C0C">
            <w:pPr>
              <w:rPr>
                <w:rFonts w:ascii="Arial Narrow" w:hAnsi="Arial Narrow"/>
                <w:b/>
                <w:sz w:val="20"/>
              </w:rPr>
            </w:pPr>
            <w:r w:rsidRPr="002203E0">
              <w:rPr>
                <w:rFonts w:ascii="Arial Narrow" w:hAnsi="Arial Narrow"/>
                <w:b/>
                <w:sz w:val="20"/>
              </w:rPr>
              <w:t>VA health states:</w:t>
            </w:r>
          </w:p>
        </w:tc>
        <w:tc>
          <w:tcPr>
            <w:tcW w:w="3101" w:type="dxa"/>
            <w:vAlign w:val="center"/>
          </w:tcPr>
          <w:p w:rsidR="00310F27" w:rsidRPr="002203E0" w:rsidRDefault="00310F27" w:rsidP="00D54C0C">
            <w:pPr>
              <w:jc w:val="center"/>
              <w:rPr>
                <w:rFonts w:ascii="Arial Narrow" w:hAnsi="Arial Narrow"/>
                <w:b/>
                <w:sz w:val="20"/>
              </w:rPr>
            </w:pPr>
            <w:r w:rsidRPr="002203E0">
              <w:rPr>
                <w:rFonts w:ascii="Arial Narrow" w:hAnsi="Arial Narrow"/>
                <w:b/>
                <w:sz w:val="20"/>
              </w:rPr>
              <w:t>HR applied in the economic evaluation</w:t>
            </w:r>
          </w:p>
        </w:tc>
      </w:tr>
      <w:tr w:rsidR="00310F27" w:rsidRPr="002203E0">
        <w:tc>
          <w:tcPr>
            <w:tcW w:w="5245" w:type="dxa"/>
          </w:tcPr>
          <w:p w:rsidR="00310F27" w:rsidRPr="002203E0" w:rsidRDefault="00310F27" w:rsidP="00D54C0C">
            <w:pPr>
              <w:rPr>
                <w:rFonts w:ascii="Arial Narrow" w:hAnsi="Arial Narrow"/>
                <w:sz w:val="20"/>
              </w:rPr>
            </w:pPr>
            <w:r w:rsidRPr="002203E0">
              <w:rPr>
                <w:rFonts w:ascii="Arial Narrow" w:hAnsi="Arial Narrow"/>
                <w:sz w:val="20"/>
              </w:rPr>
              <w:t xml:space="preserve">Treated eye: VA7 or VA8 </w:t>
            </w:r>
          </w:p>
        </w:tc>
        <w:tc>
          <w:tcPr>
            <w:tcW w:w="3101" w:type="dxa"/>
            <w:vMerge w:val="restart"/>
            <w:vAlign w:val="center"/>
          </w:tcPr>
          <w:p w:rsidR="00310F27" w:rsidRPr="00BF0C39" w:rsidRDefault="00BF0C39" w:rsidP="00D54C0C">
            <w:pPr>
              <w:jc w:val="center"/>
              <w:rPr>
                <w:rFonts w:ascii="Arial Narrow" w:hAnsi="Arial Narrow"/>
                <w:sz w:val="20"/>
                <w:highlight w:val="black"/>
              </w:rPr>
            </w:pPr>
            <w:r>
              <w:rPr>
                <w:rFonts w:ascii="Arial Narrow" w:hAnsi="Arial Narrow"/>
                <w:noProof/>
                <w:color w:val="000000"/>
                <w:sz w:val="20"/>
                <w:highlight w:val="black"/>
              </w:rPr>
              <w:t>'''''''''''</w:t>
            </w:r>
          </w:p>
        </w:tc>
      </w:tr>
      <w:tr w:rsidR="00310F27" w:rsidRPr="002203E0">
        <w:tc>
          <w:tcPr>
            <w:tcW w:w="5245" w:type="dxa"/>
            <w:tcBorders>
              <w:bottom w:val="double" w:sz="4" w:space="0" w:color="auto"/>
            </w:tcBorders>
          </w:tcPr>
          <w:p w:rsidR="00310F27" w:rsidRPr="002203E0" w:rsidRDefault="00310F27" w:rsidP="00D54C0C">
            <w:pPr>
              <w:rPr>
                <w:rFonts w:ascii="Arial Narrow" w:hAnsi="Arial Narrow"/>
                <w:sz w:val="20"/>
              </w:rPr>
            </w:pPr>
            <w:r w:rsidRPr="002203E0">
              <w:rPr>
                <w:rFonts w:ascii="Arial Narrow" w:hAnsi="Arial Narrow"/>
                <w:sz w:val="20"/>
              </w:rPr>
              <w:t>Fellow eye: VA1, VA2, VA3, VA4, VA5 or VA6</w:t>
            </w:r>
          </w:p>
        </w:tc>
        <w:tc>
          <w:tcPr>
            <w:tcW w:w="3101" w:type="dxa"/>
            <w:vMerge/>
            <w:tcBorders>
              <w:bottom w:val="double" w:sz="4" w:space="0" w:color="auto"/>
            </w:tcBorders>
            <w:vAlign w:val="center"/>
          </w:tcPr>
          <w:p w:rsidR="00310F27" w:rsidRPr="002203E0" w:rsidRDefault="00310F27" w:rsidP="00D54C0C">
            <w:pPr>
              <w:jc w:val="center"/>
              <w:rPr>
                <w:rFonts w:ascii="Arial Narrow" w:hAnsi="Arial Narrow"/>
                <w:sz w:val="20"/>
              </w:rPr>
            </w:pPr>
          </w:p>
        </w:tc>
      </w:tr>
      <w:tr w:rsidR="00310F27" w:rsidRPr="002203E0">
        <w:tc>
          <w:tcPr>
            <w:tcW w:w="5245" w:type="dxa"/>
            <w:tcBorders>
              <w:top w:val="double" w:sz="4" w:space="0" w:color="auto"/>
            </w:tcBorders>
          </w:tcPr>
          <w:p w:rsidR="00310F27" w:rsidRPr="002203E0" w:rsidRDefault="00310F27" w:rsidP="00D54C0C">
            <w:pPr>
              <w:rPr>
                <w:rFonts w:ascii="Arial Narrow" w:hAnsi="Arial Narrow"/>
                <w:sz w:val="20"/>
              </w:rPr>
            </w:pPr>
            <w:r w:rsidRPr="002203E0">
              <w:rPr>
                <w:rFonts w:ascii="Arial Narrow" w:hAnsi="Arial Narrow"/>
                <w:sz w:val="20"/>
              </w:rPr>
              <w:t>Treated eye: VA1, VA2, VA3, VA4, VA5 or VA6</w:t>
            </w:r>
          </w:p>
        </w:tc>
        <w:tc>
          <w:tcPr>
            <w:tcW w:w="3101" w:type="dxa"/>
            <w:vMerge w:val="restart"/>
            <w:tcBorders>
              <w:top w:val="double" w:sz="4" w:space="0" w:color="auto"/>
            </w:tcBorders>
            <w:vAlign w:val="center"/>
          </w:tcPr>
          <w:p w:rsidR="00310F27" w:rsidRPr="00BF0C39" w:rsidRDefault="00BF0C39" w:rsidP="00D54C0C">
            <w:pPr>
              <w:jc w:val="center"/>
              <w:rPr>
                <w:rFonts w:ascii="Arial Narrow" w:hAnsi="Arial Narrow"/>
                <w:sz w:val="20"/>
                <w:highlight w:val="black"/>
              </w:rPr>
            </w:pPr>
            <w:r>
              <w:rPr>
                <w:rFonts w:ascii="Arial Narrow" w:hAnsi="Arial Narrow"/>
                <w:noProof/>
                <w:color w:val="000000"/>
                <w:sz w:val="20"/>
                <w:highlight w:val="black"/>
              </w:rPr>
              <w:t>''''''''''</w:t>
            </w:r>
          </w:p>
        </w:tc>
      </w:tr>
      <w:tr w:rsidR="00310F27" w:rsidRPr="002203E0">
        <w:tc>
          <w:tcPr>
            <w:tcW w:w="5245" w:type="dxa"/>
            <w:tcBorders>
              <w:bottom w:val="double" w:sz="4" w:space="0" w:color="auto"/>
            </w:tcBorders>
          </w:tcPr>
          <w:p w:rsidR="00310F27" w:rsidRPr="002203E0" w:rsidRDefault="00310F27" w:rsidP="00D54C0C">
            <w:pPr>
              <w:rPr>
                <w:rFonts w:ascii="Arial Narrow" w:hAnsi="Arial Narrow"/>
                <w:sz w:val="20"/>
              </w:rPr>
            </w:pPr>
            <w:r w:rsidRPr="002203E0">
              <w:rPr>
                <w:rFonts w:ascii="Arial Narrow" w:hAnsi="Arial Narrow"/>
                <w:sz w:val="20"/>
              </w:rPr>
              <w:t>Fellow eye: VA7 or VA8</w:t>
            </w:r>
          </w:p>
        </w:tc>
        <w:tc>
          <w:tcPr>
            <w:tcW w:w="3101" w:type="dxa"/>
            <w:vMerge/>
            <w:tcBorders>
              <w:bottom w:val="double" w:sz="4" w:space="0" w:color="auto"/>
            </w:tcBorders>
            <w:vAlign w:val="center"/>
          </w:tcPr>
          <w:p w:rsidR="00310F27" w:rsidRPr="002203E0" w:rsidRDefault="00310F27" w:rsidP="00D54C0C">
            <w:pPr>
              <w:jc w:val="center"/>
              <w:rPr>
                <w:rFonts w:ascii="Arial Narrow" w:hAnsi="Arial Narrow"/>
                <w:sz w:val="20"/>
              </w:rPr>
            </w:pPr>
          </w:p>
        </w:tc>
      </w:tr>
      <w:tr w:rsidR="00310F27" w:rsidRPr="002203E0">
        <w:tc>
          <w:tcPr>
            <w:tcW w:w="5245" w:type="dxa"/>
            <w:tcBorders>
              <w:top w:val="double" w:sz="4" w:space="0" w:color="auto"/>
            </w:tcBorders>
          </w:tcPr>
          <w:p w:rsidR="00310F27" w:rsidRPr="002203E0" w:rsidRDefault="00310F27" w:rsidP="00D54C0C">
            <w:pPr>
              <w:rPr>
                <w:rFonts w:ascii="Arial Narrow" w:hAnsi="Arial Narrow"/>
                <w:sz w:val="20"/>
              </w:rPr>
            </w:pPr>
            <w:r w:rsidRPr="002203E0">
              <w:rPr>
                <w:rFonts w:ascii="Arial Narrow" w:hAnsi="Arial Narrow"/>
                <w:sz w:val="20"/>
              </w:rPr>
              <w:t xml:space="preserve">Treated eye: VA7 or VA8 </w:t>
            </w:r>
          </w:p>
        </w:tc>
        <w:tc>
          <w:tcPr>
            <w:tcW w:w="3101" w:type="dxa"/>
            <w:vMerge w:val="restart"/>
            <w:tcBorders>
              <w:top w:val="double" w:sz="4" w:space="0" w:color="auto"/>
            </w:tcBorders>
            <w:vAlign w:val="center"/>
          </w:tcPr>
          <w:p w:rsidR="00310F27" w:rsidRPr="00BF0C39" w:rsidRDefault="00BF0C39" w:rsidP="00D54C0C">
            <w:pPr>
              <w:jc w:val="center"/>
              <w:rPr>
                <w:rFonts w:ascii="Arial Narrow" w:hAnsi="Arial Narrow"/>
                <w:sz w:val="20"/>
                <w:highlight w:val="black"/>
              </w:rPr>
            </w:pPr>
            <w:r>
              <w:rPr>
                <w:rFonts w:ascii="Arial Narrow" w:hAnsi="Arial Narrow"/>
                <w:noProof/>
                <w:color w:val="000000"/>
                <w:sz w:val="20"/>
                <w:highlight w:val="black"/>
              </w:rPr>
              <w:t>''''''''''</w:t>
            </w:r>
          </w:p>
        </w:tc>
      </w:tr>
      <w:tr w:rsidR="00310F27" w:rsidRPr="002203E0">
        <w:tc>
          <w:tcPr>
            <w:tcW w:w="5245" w:type="dxa"/>
          </w:tcPr>
          <w:p w:rsidR="00310F27" w:rsidRPr="002203E0" w:rsidRDefault="00310F27" w:rsidP="00D54C0C">
            <w:pPr>
              <w:rPr>
                <w:rFonts w:ascii="Arial Narrow" w:hAnsi="Arial Narrow"/>
                <w:sz w:val="20"/>
              </w:rPr>
            </w:pPr>
            <w:r w:rsidRPr="002203E0">
              <w:rPr>
                <w:rFonts w:ascii="Arial Narrow" w:hAnsi="Arial Narrow"/>
                <w:sz w:val="20"/>
              </w:rPr>
              <w:t xml:space="preserve">Fellow eye: VA7 or VA8 </w:t>
            </w:r>
          </w:p>
        </w:tc>
        <w:tc>
          <w:tcPr>
            <w:tcW w:w="3101" w:type="dxa"/>
            <w:vMerge/>
            <w:vAlign w:val="center"/>
          </w:tcPr>
          <w:p w:rsidR="00310F27" w:rsidRPr="002203E0" w:rsidRDefault="00310F27" w:rsidP="00D54C0C">
            <w:pPr>
              <w:jc w:val="center"/>
              <w:rPr>
                <w:rFonts w:ascii="Arial Narrow" w:hAnsi="Arial Narrow"/>
                <w:sz w:val="20"/>
              </w:rPr>
            </w:pPr>
          </w:p>
        </w:tc>
      </w:tr>
    </w:tbl>
    <w:p w:rsidR="00310F27" w:rsidRPr="0020644D" w:rsidRDefault="00310F27" w:rsidP="00310F27">
      <w:pPr>
        <w:ind w:firstLine="720"/>
        <w:rPr>
          <w:rFonts w:ascii="Arial Narrow" w:hAnsi="Arial Narrow"/>
          <w:sz w:val="18"/>
        </w:rPr>
      </w:pPr>
      <w:r>
        <w:rPr>
          <w:rFonts w:ascii="Arial Narrow" w:hAnsi="Arial Narrow"/>
          <w:sz w:val="18"/>
        </w:rPr>
        <w:t>Source: Constructed during the evaluation</w:t>
      </w:r>
    </w:p>
    <w:p w:rsidR="00144DB9" w:rsidRDefault="00144DB9" w:rsidP="00166A8F">
      <w:pPr>
        <w:widowControl/>
        <w:rPr>
          <w:szCs w:val="22"/>
        </w:rPr>
      </w:pPr>
    </w:p>
    <w:p w:rsidR="00144DB9" w:rsidRPr="00CF4741" w:rsidRDefault="00144DB9" w:rsidP="00144DB9">
      <w:pPr>
        <w:pStyle w:val="ListParagraph"/>
        <w:widowControl/>
        <w:numPr>
          <w:ilvl w:val="1"/>
          <w:numId w:val="3"/>
        </w:numPr>
        <w:rPr>
          <w:szCs w:val="22"/>
        </w:rPr>
      </w:pPr>
      <w:r w:rsidRPr="00CF4741">
        <w:rPr>
          <w:szCs w:val="22"/>
        </w:rPr>
        <w:t xml:space="preserve">The ESC noted the issues with the model and that the structure of the model could not be verified. </w:t>
      </w:r>
      <w:r w:rsidR="00F55584">
        <w:rPr>
          <w:szCs w:val="22"/>
        </w:rPr>
        <w:t xml:space="preserve"> </w:t>
      </w:r>
      <w:r w:rsidRPr="00CF4741">
        <w:rPr>
          <w:szCs w:val="22"/>
        </w:rPr>
        <w:t>Overall, the ESC considered that the model was unlikely to be reliable.</w:t>
      </w:r>
    </w:p>
    <w:p w:rsidR="00144DB9" w:rsidRPr="00166A8F" w:rsidRDefault="00144DB9" w:rsidP="00166A8F">
      <w:pPr>
        <w:widowControl/>
        <w:rPr>
          <w:szCs w:val="22"/>
        </w:rPr>
      </w:pPr>
    </w:p>
    <w:p w:rsidR="00275C5A" w:rsidRPr="007756B2" w:rsidRDefault="00767300" w:rsidP="00B80C0B">
      <w:pPr>
        <w:pStyle w:val="ListParagraph"/>
        <w:widowControl/>
        <w:numPr>
          <w:ilvl w:val="1"/>
          <w:numId w:val="3"/>
        </w:numPr>
        <w:rPr>
          <w:szCs w:val="22"/>
        </w:rPr>
      </w:pPr>
      <w:r>
        <w:t>The t</w:t>
      </w:r>
      <w:r w:rsidR="007756B2">
        <w:t xml:space="preserve">able </w:t>
      </w:r>
      <w:r>
        <w:t xml:space="preserve">below </w:t>
      </w:r>
      <w:r w:rsidR="007756B2">
        <w:t>provides the results of the economic evaluation</w:t>
      </w:r>
      <w:r w:rsidR="00F55584">
        <w:t>.</w:t>
      </w:r>
    </w:p>
    <w:p w:rsidR="00D110BD" w:rsidRDefault="00D110BD" w:rsidP="007756B2">
      <w:pPr>
        <w:widowControl/>
        <w:tabs>
          <w:tab w:val="left" w:pos="1935"/>
        </w:tabs>
        <w:rPr>
          <w:szCs w:val="22"/>
        </w:rPr>
      </w:pPr>
    </w:p>
    <w:p w:rsidR="007756B2" w:rsidRPr="007756B2" w:rsidRDefault="007756B2" w:rsidP="00C96097">
      <w:pPr>
        <w:ind w:firstLine="720"/>
        <w:rPr>
          <w:rFonts w:ascii="Arial Narrow" w:hAnsi="Arial Narrow"/>
          <w:b/>
          <w:sz w:val="20"/>
          <w:szCs w:val="16"/>
        </w:rPr>
      </w:pPr>
      <w:r w:rsidRPr="00410EC7">
        <w:rPr>
          <w:rStyle w:val="CommentReference"/>
        </w:rPr>
        <w:lastRenderedPageBreak/>
        <w:t>Results of the economic evaluation</w:t>
      </w:r>
    </w:p>
    <w:tbl>
      <w:tblPr>
        <w:tblW w:w="4552"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54"/>
        <w:gridCol w:w="1327"/>
        <w:gridCol w:w="1327"/>
        <w:gridCol w:w="1332"/>
        <w:gridCol w:w="1180"/>
        <w:gridCol w:w="1176"/>
      </w:tblGrid>
      <w:tr w:rsidR="007756B2" w:rsidRPr="004E2ADC">
        <w:trPr>
          <w:cantSplit/>
          <w:trHeight w:val="70"/>
        </w:trPr>
        <w:tc>
          <w:tcPr>
            <w:tcW w:w="1177" w:type="pct"/>
            <w:vMerge w:val="restart"/>
            <w:tcBorders>
              <w:top w:val="single" w:sz="4" w:space="0" w:color="auto"/>
              <w:left w:val="single" w:sz="4" w:space="0" w:color="auto"/>
              <w:right w:val="single" w:sz="4" w:space="0" w:color="auto"/>
            </w:tcBorders>
            <w:tcMar>
              <w:left w:w="57" w:type="dxa"/>
              <w:right w:w="57" w:type="dxa"/>
            </w:tcMar>
            <w:vAlign w:val="center"/>
          </w:tcPr>
          <w:p w:rsidR="007756B2" w:rsidRPr="004E2ADC" w:rsidRDefault="007756B2" w:rsidP="00926718">
            <w:pPr>
              <w:tabs>
                <w:tab w:val="left" w:pos="198"/>
              </w:tabs>
              <w:jc w:val="left"/>
              <w:rPr>
                <w:rFonts w:ascii="Arial Narrow" w:hAnsi="Arial Narrow" w:cs="Times New Roman"/>
                <w:b/>
                <w:sz w:val="20"/>
              </w:rPr>
            </w:pPr>
            <w:r>
              <w:rPr>
                <w:rFonts w:ascii="Arial Narrow" w:hAnsi="Arial Narrow" w:cs="Times New Roman"/>
                <w:b/>
                <w:sz w:val="20"/>
              </w:rPr>
              <w:t>Component</w:t>
            </w:r>
          </w:p>
        </w:tc>
        <w:tc>
          <w:tcPr>
            <w:tcW w:w="800" w:type="pct"/>
            <w:vMerge w:val="restart"/>
            <w:tcBorders>
              <w:top w:val="single" w:sz="4" w:space="0" w:color="auto"/>
              <w:left w:val="single" w:sz="4" w:space="0" w:color="auto"/>
              <w:right w:val="single" w:sz="4" w:space="0" w:color="auto"/>
            </w:tcBorders>
            <w:tcMar>
              <w:left w:w="57" w:type="dxa"/>
              <w:right w:w="57" w:type="dxa"/>
            </w:tcMar>
            <w:vAlign w:val="center"/>
          </w:tcPr>
          <w:p w:rsidR="007756B2" w:rsidRPr="004E2ADC" w:rsidRDefault="007756B2" w:rsidP="00926718">
            <w:pPr>
              <w:jc w:val="center"/>
              <w:rPr>
                <w:rFonts w:ascii="Arial Narrow" w:hAnsi="Arial Narrow" w:cs="Times New Roman"/>
                <w:b/>
                <w:sz w:val="20"/>
              </w:rPr>
            </w:pPr>
            <w:r>
              <w:rPr>
                <w:rFonts w:ascii="Arial Narrow" w:hAnsi="Arial Narrow" w:cs="Times New Roman"/>
                <w:b/>
                <w:sz w:val="20"/>
              </w:rPr>
              <w:t>AFB</w:t>
            </w:r>
          </w:p>
        </w:tc>
        <w:tc>
          <w:tcPr>
            <w:tcW w:w="800" w:type="pct"/>
            <w:vMerge w:val="restart"/>
            <w:tcBorders>
              <w:top w:val="single" w:sz="4" w:space="0" w:color="auto"/>
              <w:left w:val="single" w:sz="4" w:space="0" w:color="auto"/>
              <w:right w:val="single" w:sz="4" w:space="0" w:color="auto"/>
            </w:tcBorders>
            <w:tcMar>
              <w:left w:w="57" w:type="dxa"/>
              <w:right w:w="57" w:type="dxa"/>
            </w:tcMar>
            <w:vAlign w:val="center"/>
          </w:tcPr>
          <w:p w:rsidR="007756B2" w:rsidRPr="004E2ADC" w:rsidRDefault="007756B2" w:rsidP="00926718">
            <w:pPr>
              <w:jc w:val="center"/>
              <w:rPr>
                <w:rFonts w:ascii="Arial Narrow" w:hAnsi="Arial Narrow" w:cs="Times New Roman"/>
                <w:b/>
                <w:sz w:val="20"/>
              </w:rPr>
            </w:pPr>
            <w:r>
              <w:rPr>
                <w:rFonts w:ascii="Arial Narrow" w:hAnsi="Arial Narrow" w:cs="Times New Roman"/>
                <w:b/>
                <w:sz w:val="20"/>
              </w:rPr>
              <w:t>RBZ</w:t>
            </w:r>
          </w:p>
        </w:tc>
        <w:tc>
          <w:tcPr>
            <w:tcW w:w="802" w:type="pct"/>
            <w:vMerge w:val="restart"/>
            <w:tcBorders>
              <w:top w:val="single" w:sz="4" w:space="0" w:color="auto"/>
              <w:left w:val="single" w:sz="4" w:space="0" w:color="auto"/>
              <w:right w:val="single" w:sz="4" w:space="0" w:color="auto"/>
            </w:tcBorders>
            <w:tcMar>
              <w:left w:w="57" w:type="dxa"/>
              <w:right w:w="57" w:type="dxa"/>
            </w:tcMar>
            <w:vAlign w:val="center"/>
          </w:tcPr>
          <w:p w:rsidR="007756B2" w:rsidRPr="004E2ADC" w:rsidRDefault="007756B2" w:rsidP="00926718">
            <w:pPr>
              <w:ind w:right="-20"/>
              <w:jc w:val="center"/>
              <w:rPr>
                <w:rFonts w:ascii="Arial Narrow" w:hAnsi="Arial Narrow" w:cs="Times New Roman"/>
                <w:b/>
                <w:sz w:val="20"/>
              </w:rPr>
            </w:pPr>
            <w:r>
              <w:rPr>
                <w:rFonts w:ascii="Arial Narrow" w:hAnsi="Arial Narrow" w:cs="Times New Roman"/>
                <w:b/>
                <w:sz w:val="20"/>
              </w:rPr>
              <w:t>Laser</w:t>
            </w:r>
          </w:p>
        </w:tc>
        <w:tc>
          <w:tcPr>
            <w:tcW w:w="1420" w:type="pct"/>
            <w:gridSpan w:val="2"/>
            <w:tcBorders>
              <w:top w:val="single" w:sz="4" w:space="0" w:color="auto"/>
              <w:left w:val="single" w:sz="4" w:space="0" w:color="auto"/>
              <w:bottom w:val="single" w:sz="4" w:space="0" w:color="auto"/>
              <w:right w:val="single" w:sz="4" w:space="0" w:color="auto"/>
            </w:tcBorders>
            <w:vAlign w:val="center"/>
          </w:tcPr>
          <w:p w:rsidR="007756B2" w:rsidRPr="004E2ADC" w:rsidRDefault="007756B2" w:rsidP="00926718">
            <w:pPr>
              <w:ind w:right="-20"/>
              <w:jc w:val="center"/>
              <w:rPr>
                <w:rFonts w:ascii="Arial Narrow" w:hAnsi="Arial Narrow" w:cs="Times New Roman"/>
                <w:b/>
                <w:sz w:val="20"/>
              </w:rPr>
            </w:pPr>
            <w:r>
              <w:rPr>
                <w:rFonts w:ascii="Arial Narrow" w:hAnsi="Arial Narrow" w:cs="Times New Roman"/>
                <w:b/>
                <w:sz w:val="20"/>
              </w:rPr>
              <w:t>Increment</w:t>
            </w:r>
          </w:p>
        </w:tc>
      </w:tr>
      <w:tr w:rsidR="007756B2" w:rsidRPr="004E2ADC">
        <w:trPr>
          <w:cantSplit/>
          <w:trHeight w:val="70"/>
        </w:trPr>
        <w:tc>
          <w:tcPr>
            <w:tcW w:w="1177" w:type="pct"/>
            <w:vMerge/>
            <w:tcBorders>
              <w:left w:val="single" w:sz="4" w:space="0" w:color="auto"/>
              <w:bottom w:val="single" w:sz="4" w:space="0" w:color="auto"/>
              <w:right w:val="single" w:sz="4" w:space="0" w:color="auto"/>
            </w:tcBorders>
            <w:tcMar>
              <w:left w:w="57" w:type="dxa"/>
              <w:right w:w="57" w:type="dxa"/>
            </w:tcMar>
            <w:vAlign w:val="center"/>
          </w:tcPr>
          <w:p w:rsidR="007756B2" w:rsidRPr="004E2ADC" w:rsidRDefault="007756B2" w:rsidP="00926718">
            <w:pPr>
              <w:tabs>
                <w:tab w:val="left" w:pos="198"/>
              </w:tabs>
              <w:jc w:val="left"/>
              <w:rPr>
                <w:rFonts w:ascii="Arial Narrow" w:hAnsi="Arial Narrow" w:cs="Times New Roman"/>
                <w:b/>
                <w:sz w:val="20"/>
              </w:rPr>
            </w:pPr>
          </w:p>
        </w:tc>
        <w:tc>
          <w:tcPr>
            <w:tcW w:w="800" w:type="pct"/>
            <w:vMerge/>
            <w:tcBorders>
              <w:left w:val="single" w:sz="4" w:space="0" w:color="auto"/>
              <w:bottom w:val="single" w:sz="4" w:space="0" w:color="auto"/>
              <w:right w:val="single" w:sz="4" w:space="0" w:color="auto"/>
            </w:tcBorders>
            <w:tcMar>
              <w:left w:w="57" w:type="dxa"/>
              <w:right w:w="57" w:type="dxa"/>
            </w:tcMar>
            <w:vAlign w:val="center"/>
          </w:tcPr>
          <w:p w:rsidR="007756B2" w:rsidRDefault="007756B2" w:rsidP="00926718">
            <w:pPr>
              <w:jc w:val="center"/>
              <w:rPr>
                <w:rFonts w:ascii="Arial Narrow" w:hAnsi="Arial Narrow" w:cs="Times New Roman"/>
                <w:b/>
                <w:sz w:val="20"/>
              </w:rPr>
            </w:pPr>
          </w:p>
        </w:tc>
        <w:tc>
          <w:tcPr>
            <w:tcW w:w="800" w:type="pct"/>
            <w:vMerge/>
            <w:tcBorders>
              <w:left w:val="single" w:sz="4" w:space="0" w:color="auto"/>
              <w:bottom w:val="single" w:sz="4" w:space="0" w:color="auto"/>
              <w:right w:val="single" w:sz="4" w:space="0" w:color="auto"/>
            </w:tcBorders>
            <w:tcMar>
              <w:left w:w="57" w:type="dxa"/>
              <w:right w:w="57" w:type="dxa"/>
            </w:tcMar>
            <w:vAlign w:val="center"/>
          </w:tcPr>
          <w:p w:rsidR="007756B2" w:rsidRDefault="007756B2" w:rsidP="00926718">
            <w:pPr>
              <w:jc w:val="center"/>
              <w:rPr>
                <w:rFonts w:ascii="Arial Narrow" w:hAnsi="Arial Narrow" w:cs="Times New Roman"/>
                <w:b/>
                <w:sz w:val="20"/>
              </w:rPr>
            </w:pPr>
          </w:p>
        </w:tc>
        <w:tc>
          <w:tcPr>
            <w:tcW w:w="802" w:type="pct"/>
            <w:vMerge/>
            <w:tcBorders>
              <w:left w:val="single" w:sz="4" w:space="0" w:color="auto"/>
              <w:bottom w:val="single" w:sz="4" w:space="0" w:color="auto"/>
              <w:right w:val="single" w:sz="4" w:space="0" w:color="auto"/>
            </w:tcBorders>
            <w:tcMar>
              <w:left w:w="57" w:type="dxa"/>
              <w:right w:w="57" w:type="dxa"/>
            </w:tcMar>
            <w:vAlign w:val="center"/>
          </w:tcPr>
          <w:p w:rsidR="007756B2" w:rsidRDefault="007756B2" w:rsidP="00926718">
            <w:pPr>
              <w:ind w:right="-20"/>
              <w:jc w:val="center"/>
              <w:rPr>
                <w:rFonts w:ascii="Arial Narrow" w:hAnsi="Arial Narrow" w:cs="Times New Roman"/>
                <w:b/>
                <w:sz w:val="20"/>
              </w:rPr>
            </w:pPr>
          </w:p>
        </w:tc>
        <w:tc>
          <w:tcPr>
            <w:tcW w:w="711" w:type="pct"/>
            <w:tcBorders>
              <w:top w:val="single" w:sz="4" w:space="0" w:color="auto"/>
              <w:left w:val="single" w:sz="4" w:space="0" w:color="auto"/>
              <w:bottom w:val="single" w:sz="4" w:space="0" w:color="auto"/>
              <w:right w:val="single" w:sz="4" w:space="0" w:color="auto"/>
            </w:tcBorders>
            <w:vAlign w:val="center"/>
          </w:tcPr>
          <w:p w:rsidR="007756B2" w:rsidRDefault="007756B2" w:rsidP="00926718">
            <w:pPr>
              <w:ind w:right="-20"/>
              <w:jc w:val="center"/>
              <w:rPr>
                <w:rFonts w:ascii="Arial Narrow" w:hAnsi="Arial Narrow" w:cs="Times New Roman"/>
                <w:b/>
                <w:sz w:val="20"/>
              </w:rPr>
            </w:pPr>
            <w:r>
              <w:rPr>
                <w:rFonts w:ascii="Arial Narrow" w:hAnsi="Arial Narrow" w:cs="Times New Roman"/>
                <w:b/>
                <w:sz w:val="20"/>
              </w:rPr>
              <w:t>AFB vs RBZ</w:t>
            </w:r>
          </w:p>
        </w:tc>
        <w:tc>
          <w:tcPr>
            <w:tcW w:w="709" w:type="pct"/>
            <w:tcBorders>
              <w:top w:val="single" w:sz="4" w:space="0" w:color="auto"/>
              <w:left w:val="single" w:sz="4" w:space="0" w:color="auto"/>
              <w:bottom w:val="single" w:sz="4" w:space="0" w:color="auto"/>
              <w:right w:val="single" w:sz="4" w:space="0" w:color="auto"/>
            </w:tcBorders>
            <w:vAlign w:val="center"/>
          </w:tcPr>
          <w:p w:rsidR="007756B2" w:rsidRDefault="007756B2" w:rsidP="00926718">
            <w:pPr>
              <w:ind w:right="-20"/>
              <w:jc w:val="center"/>
              <w:rPr>
                <w:rFonts w:ascii="Arial Narrow" w:hAnsi="Arial Narrow" w:cs="Times New Roman"/>
                <w:b/>
                <w:sz w:val="20"/>
              </w:rPr>
            </w:pPr>
            <w:r>
              <w:rPr>
                <w:rFonts w:ascii="Arial Narrow" w:hAnsi="Arial Narrow" w:cs="Times New Roman"/>
                <w:b/>
                <w:sz w:val="20"/>
              </w:rPr>
              <w:t>AFB vs laser</w:t>
            </w:r>
          </w:p>
        </w:tc>
      </w:tr>
      <w:tr w:rsidR="007756B2" w:rsidRPr="00496474">
        <w:trPr>
          <w:cantSplit/>
          <w:trHeight w:val="70"/>
        </w:trPr>
        <w:tc>
          <w:tcPr>
            <w:tcW w:w="500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496474" w:rsidRDefault="007756B2" w:rsidP="00926718">
            <w:pPr>
              <w:ind w:right="-20"/>
              <w:jc w:val="left"/>
              <w:rPr>
                <w:rFonts w:ascii="Arial Narrow" w:hAnsi="Arial Narrow" w:cs="Times New Roman"/>
                <w:b/>
                <w:sz w:val="20"/>
              </w:rPr>
            </w:pPr>
            <w:r>
              <w:rPr>
                <w:rFonts w:ascii="Arial Narrow" w:hAnsi="Arial Narrow" w:cs="Times New Roman"/>
                <w:b/>
                <w:sz w:val="20"/>
              </w:rPr>
              <w:t>WSE</w:t>
            </w:r>
            <w:r w:rsidRPr="00496474">
              <w:rPr>
                <w:rFonts w:ascii="Arial Narrow" w:hAnsi="Arial Narrow" w:cs="Times New Roman"/>
                <w:b/>
                <w:sz w:val="20"/>
              </w:rPr>
              <w:t xml:space="preserve"> (35%)</w:t>
            </w:r>
          </w:p>
        </w:tc>
      </w:tr>
      <w:tr w:rsidR="007756B2" w:rsidRPr="004E2ADC">
        <w:trPr>
          <w:cantSplit/>
        </w:trPr>
        <w:tc>
          <w:tcPr>
            <w:tcW w:w="117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1D36E9" w:rsidRDefault="007756B2" w:rsidP="00926718">
            <w:pPr>
              <w:tabs>
                <w:tab w:val="left" w:pos="198"/>
              </w:tabs>
              <w:jc w:val="left"/>
              <w:rPr>
                <w:rFonts w:ascii="Arial Narrow" w:hAnsi="Arial Narrow" w:cs="Times New Roman"/>
                <w:sz w:val="20"/>
              </w:rPr>
            </w:pPr>
            <w:r>
              <w:rPr>
                <w:rFonts w:ascii="Arial Narrow" w:hAnsi="Arial Narrow" w:cs="Times New Roman"/>
                <w:sz w:val="20"/>
              </w:rPr>
              <w:t>Cost</w:t>
            </w:r>
          </w:p>
        </w:tc>
        <w:tc>
          <w:tcPr>
            <w:tcW w:w="8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11"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09"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756B2" w:rsidRPr="004E2ADC">
        <w:trPr>
          <w:cantSplit/>
        </w:trPr>
        <w:tc>
          <w:tcPr>
            <w:tcW w:w="117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1D36E9" w:rsidRDefault="007756B2" w:rsidP="00926718">
            <w:pPr>
              <w:tabs>
                <w:tab w:val="left" w:pos="198"/>
              </w:tabs>
              <w:jc w:val="left"/>
              <w:rPr>
                <w:rFonts w:ascii="Arial Narrow" w:hAnsi="Arial Narrow" w:cs="Times New Roman"/>
                <w:sz w:val="20"/>
              </w:rPr>
            </w:pPr>
            <w:r>
              <w:rPr>
                <w:rFonts w:ascii="Arial Narrow" w:hAnsi="Arial Narrow" w:cs="Times New Roman"/>
                <w:sz w:val="20"/>
              </w:rPr>
              <w:t>QALYs</w:t>
            </w:r>
          </w:p>
        </w:tc>
        <w:tc>
          <w:tcPr>
            <w:tcW w:w="8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11"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09"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756B2" w:rsidRPr="004E2ADC">
        <w:trPr>
          <w:cantSplit/>
        </w:trPr>
        <w:tc>
          <w:tcPr>
            <w:tcW w:w="3580" w:type="pct"/>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Default="007756B2" w:rsidP="00F568DE">
            <w:pPr>
              <w:ind w:right="-20"/>
              <w:jc w:val="right"/>
              <w:rPr>
                <w:rFonts w:ascii="Arial Narrow" w:hAnsi="Arial Narrow" w:cs="Times New Roman"/>
                <w:sz w:val="20"/>
              </w:rPr>
            </w:pPr>
            <w:r>
              <w:rPr>
                <w:rFonts w:ascii="Arial Narrow" w:hAnsi="Arial Narrow" w:cs="Times New Roman"/>
                <w:sz w:val="20"/>
              </w:rPr>
              <w:t xml:space="preserve">Incremental </w:t>
            </w:r>
            <w:r w:rsidR="00F568DE">
              <w:rPr>
                <w:rFonts w:ascii="Arial Narrow" w:hAnsi="Arial Narrow" w:cs="Times New Roman"/>
                <w:sz w:val="20"/>
              </w:rPr>
              <w:t>c</w:t>
            </w:r>
            <w:r>
              <w:rPr>
                <w:rFonts w:ascii="Arial Narrow" w:hAnsi="Arial Narrow" w:cs="Times New Roman"/>
                <w:sz w:val="20"/>
              </w:rPr>
              <w:t>ost/QALY</w:t>
            </w:r>
          </w:p>
        </w:tc>
        <w:tc>
          <w:tcPr>
            <w:tcW w:w="711"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09"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756B2" w:rsidRPr="00E420CB">
        <w:trPr>
          <w:cantSplit/>
        </w:trPr>
        <w:tc>
          <w:tcPr>
            <w:tcW w:w="500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E420CB" w:rsidRDefault="007756B2" w:rsidP="00926718">
            <w:pPr>
              <w:ind w:right="-20"/>
              <w:jc w:val="left"/>
              <w:rPr>
                <w:rFonts w:ascii="Arial Narrow" w:hAnsi="Arial Narrow" w:cs="Times New Roman"/>
                <w:b/>
                <w:sz w:val="20"/>
              </w:rPr>
            </w:pPr>
            <w:r w:rsidRPr="00E420CB">
              <w:rPr>
                <w:rFonts w:ascii="Arial Narrow" w:hAnsi="Arial Narrow" w:cs="Times New Roman"/>
                <w:b/>
                <w:sz w:val="20"/>
              </w:rPr>
              <w:t>BSE*</w:t>
            </w:r>
          </w:p>
        </w:tc>
      </w:tr>
      <w:tr w:rsidR="007756B2" w:rsidRPr="004E2ADC">
        <w:trPr>
          <w:cantSplit/>
        </w:trPr>
        <w:tc>
          <w:tcPr>
            <w:tcW w:w="117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Default="007756B2" w:rsidP="00926718">
            <w:pPr>
              <w:tabs>
                <w:tab w:val="left" w:pos="198"/>
              </w:tabs>
              <w:jc w:val="left"/>
              <w:rPr>
                <w:rFonts w:ascii="Arial Narrow" w:hAnsi="Arial Narrow" w:cs="Times New Roman"/>
                <w:sz w:val="20"/>
              </w:rPr>
            </w:pPr>
            <w:r>
              <w:rPr>
                <w:rFonts w:ascii="Arial Narrow" w:hAnsi="Arial Narrow" w:cs="Times New Roman"/>
                <w:sz w:val="20"/>
              </w:rPr>
              <w:t>Cost</w:t>
            </w:r>
          </w:p>
        </w:tc>
        <w:tc>
          <w:tcPr>
            <w:tcW w:w="8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11"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09"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756B2" w:rsidRPr="004E2ADC">
        <w:trPr>
          <w:cantSplit/>
        </w:trPr>
        <w:tc>
          <w:tcPr>
            <w:tcW w:w="117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Default="007756B2" w:rsidP="00926718">
            <w:pPr>
              <w:tabs>
                <w:tab w:val="left" w:pos="198"/>
              </w:tabs>
              <w:jc w:val="left"/>
              <w:rPr>
                <w:rFonts w:ascii="Arial Narrow" w:hAnsi="Arial Narrow" w:cs="Times New Roman"/>
                <w:sz w:val="20"/>
              </w:rPr>
            </w:pPr>
            <w:r>
              <w:rPr>
                <w:rFonts w:ascii="Arial Narrow" w:hAnsi="Arial Narrow" w:cs="Times New Roman"/>
                <w:sz w:val="20"/>
              </w:rPr>
              <w:t>QALYs</w:t>
            </w:r>
          </w:p>
        </w:tc>
        <w:tc>
          <w:tcPr>
            <w:tcW w:w="8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11"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09"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756B2" w:rsidRPr="004E2ADC">
        <w:trPr>
          <w:cantSplit/>
        </w:trPr>
        <w:tc>
          <w:tcPr>
            <w:tcW w:w="3580" w:type="pct"/>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Default="00F568DE" w:rsidP="00926718">
            <w:pPr>
              <w:ind w:right="-20"/>
              <w:jc w:val="right"/>
              <w:rPr>
                <w:rFonts w:ascii="Arial Narrow" w:hAnsi="Arial Narrow" w:cs="Times New Roman"/>
                <w:sz w:val="20"/>
              </w:rPr>
            </w:pPr>
            <w:r>
              <w:rPr>
                <w:rFonts w:ascii="Arial Narrow" w:hAnsi="Arial Narrow" w:cs="Times New Roman"/>
                <w:sz w:val="20"/>
              </w:rPr>
              <w:t>Incremental c</w:t>
            </w:r>
            <w:r w:rsidR="007756B2">
              <w:rPr>
                <w:rFonts w:ascii="Arial Narrow" w:hAnsi="Arial Narrow" w:cs="Times New Roman"/>
                <w:sz w:val="20"/>
              </w:rPr>
              <w:t>ost/QALY</w:t>
            </w:r>
          </w:p>
        </w:tc>
        <w:tc>
          <w:tcPr>
            <w:tcW w:w="711"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09"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756B2" w:rsidRPr="00E420CB">
        <w:trPr>
          <w:cantSplit/>
        </w:trPr>
        <w:tc>
          <w:tcPr>
            <w:tcW w:w="500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E420CB" w:rsidRDefault="007756B2" w:rsidP="00926718">
            <w:pPr>
              <w:ind w:right="-20"/>
              <w:jc w:val="left"/>
              <w:rPr>
                <w:rFonts w:ascii="Arial Narrow" w:hAnsi="Arial Narrow" w:cs="Times New Roman"/>
                <w:b/>
                <w:sz w:val="20"/>
              </w:rPr>
            </w:pPr>
            <w:r w:rsidRPr="00E420CB">
              <w:rPr>
                <w:rFonts w:ascii="Arial Narrow" w:hAnsi="Arial Narrow" w:cs="Times New Roman"/>
                <w:b/>
                <w:sz w:val="20"/>
              </w:rPr>
              <w:t>Bilateral</w:t>
            </w:r>
            <w:r>
              <w:rPr>
                <w:rFonts w:ascii="Arial Narrow" w:hAnsi="Arial Narrow" w:cs="Times New Roman"/>
                <w:b/>
                <w:sz w:val="20"/>
              </w:rPr>
              <w:t xml:space="preserve"> (65%)</w:t>
            </w:r>
          </w:p>
        </w:tc>
      </w:tr>
      <w:tr w:rsidR="007756B2" w:rsidRPr="004E2ADC">
        <w:trPr>
          <w:cantSplit/>
        </w:trPr>
        <w:tc>
          <w:tcPr>
            <w:tcW w:w="117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Default="007756B2" w:rsidP="00926718">
            <w:pPr>
              <w:tabs>
                <w:tab w:val="left" w:pos="198"/>
              </w:tabs>
              <w:jc w:val="left"/>
              <w:rPr>
                <w:rFonts w:ascii="Arial Narrow" w:hAnsi="Arial Narrow" w:cs="Times New Roman"/>
                <w:sz w:val="20"/>
              </w:rPr>
            </w:pPr>
            <w:r>
              <w:rPr>
                <w:rFonts w:ascii="Arial Narrow" w:hAnsi="Arial Narrow" w:cs="Times New Roman"/>
                <w:sz w:val="20"/>
              </w:rPr>
              <w:t>Cost</w:t>
            </w:r>
          </w:p>
        </w:tc>
        <w:tc>
          <w:tcPr>
            <w:tcW w:w="8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11"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09"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756B2" w:rsidRPr="004E2ADC">
        <w:trPr>
          <w:cantSplit/>
        </w:trPr>
        <w:tc>
          <w:tcPr>
            <w:tcW w:w="117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Default="007756B2" w:rsidP="00926718">
            <w:pPr>
              <w:tabs>
                <w:tab w:val="left" w:pos="198"/>
              </w:tabs>
              <w:jc w:val="left"/>
              <w:rPr>
                <w:rFonts w:ascii="Arial Narrow" w:hAnsi="Arial Narrow" w:cs="Times New Roman"/>
                <w:sz w:val="20"/>
              </w:rPr>
            </w:pPr>
            <w:r>
              <w:rPr>
                <w:rFonts w:ascii="Arial Narrow" w:hAnsi="Arial Narrow" w:cs="Times New Roman"/>
                <w:sz w:val="20"/>
              </w:rPr>
              <w:t>QALYs</w:t>
            </w:r>
          </w:p>
        </w:tc>
        <w:tc>
          <w:tcPr>
            <w:tcW w:w="8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11"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09"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756B2" w:rsidRPr="004E2ADC">
        <w:trPr>
          <w:cantSplit/>
        </w:trPr>
        <w:tc>
          <w:tcPr>
            <w:tcW w:w="3580" w:type="pct"/>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Default="00F568DE" w:rsidP="00926718">
            <w:pPr>
              <w:ind w:right="-20"/>
              <w:jc w:val="right"/>
              <w:rPr>
                <w:rFonts w:ascii="Arial Narrow" w:hAnsi="Arial Narrow" w:cs="Times New Roman"/>
                <w:sz w:val="20"/>
              </w:rPr>
            </w:pPr>
            <w:r>
              <w:rPr>
                <w:rFonts w:ascii="Arial Narrow" w:hAnsi="Arial Narrow" w:cs="Times New Roman"/>
                <w:sz w:val="20"/>
              </w:rPr>
              <w:t>Incremental c</w:t>
            </w:r>
            <w:r w:rsidR="007756B2">
              <w:rPr>
                <w:rFonts w:ascii="Arial Narrow" w:hAnsi="Arial Narrow" w:cs="Times New Roman"/>
                <w:sz w:val="20"/>
              </w:rPr>
              <w:t>ost/QALY</w:t>
            </w:r>
          </w:p>
        </w:tc>
        <w:tc>
          <w:tcPr>
            <w:tcW w:w="711"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09"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756B2" w:rsidRPr="00E420CB">
        <w:trPr>
          <w:cantSplit/>
        </w:trPr>
        <w:tc>
          <w:tcPr>
            <w:tcW w:w="500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E420CB" w:rsidRDefault="007756B2" w:rsidP="00926718">
            <w:pPr>
              <w:ind w:right="-20"/>
              <w:jc w:val="left"/>
              <w:rPr>
                <w:rFonts w:ascii="Arial Narrow" w:hAnsi="Arial Narrow" w:cs="Times New Roman"/>
                <w:b/>
                <w:sz w:val="20"/>
              </w:rPr>
            </w:pPr>
            <w:r w:rsidRPr="00E420CB">
              <w:rPr>
                <w:rFonts w:ascii="Arial Narrow" w:hAnsi="Arial Narrow" w:cs="Times New Roman"/>
                <w:b/>
                <w:sz w:val="20"/>
              </w:rPr>
              <w:t xml:space="preserve">Final </w:t>
            </w:r>
            <w:r w:rsidR="00F568DE" w:rsidRPr="00E420CB">
              <w:rPr>
                <w:rFonts w:ascii="Arial Narrow" w:hAnsi="Arial Narrow" w:cs="Times New Roman"/>
                <w:b/>
                <w:sz w:val="20"/>
              </w:rPr>
              <w:t>weighted a</w:t>
            </w:r>
            <w:r w:rsidRPr="00E420CB">
              <w:rPr>
                <w:rFonts w:ascii="Arial Narrow" w:hAnsi="Arial Narrow" w:cs="Times New Roman"/>
                <w:b/>
                <w:sz w:val="20"/>
              </w:rPr>
              <w:t>nalysis</w:t>
            </w:r>
          </w:p>
        </w:tc>
      </w:tr>
      <w:tr w:rsidR="007756B2" w:rsidRPr="004E2ADC">
        <w:trPr>
          <w:cantSplit/>
        </w:trPr>
        <w:tc>
          <w:tcPr>
            <w:tcW w:w="117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Default="007756B2" w:rsidP="00926718">
            <w:pPr>
              <w:tabs>
                <w:tab w:val="left" w:pos="198"/>
              </w:tabs>
              <w:jc w:val="left"/>
              <w:rPr>
                <w:rFonts w:ascii="Arial Narrow" w:hAnsi="Arial Narrow" w:cs="Times New Roman"/>
                <w:sz w:val="20"/>
              </w:rPr>
            </w:pPr>
            <w:r>
              <w:rPr>
                <w:rFonts w:ascii="Arial Narrow" w:hAnsi="Arial Narrow" w:cs="Times New Roman"/>
                <w:sz w:val="20"/>
              </w:rPr>
              <w:t>Cost</w:t>
            </w:r>
          </w:p>
        </w:tc>
        <w:tc>
          <w:tcPr>
            <w:tcW w:w="2403" w:type="pct"/>
            <w:gridSpan w:val="3"/>
            <w:vMerge w:val="restart"/>
            <w:tcBorders>
              <w:top w:val="single" w:sz="4" w:space="0" w:color="auto"/>
              <w:left w:val="single" w:sz="4" w:space="0" w:color="auto"/>
              <w:right w:val="single" w:sz="4" w:space="0" w:color="auto"/>
            </w:tcBorders>
            <w:tcMar>
              <w:left w:w="57" w:type="dxa"/>
              <w:right w:w="57" w:type="dxa"/>
            </w:tcMar>
            <w:vAlign w:val="center"/>
          </w:tcPr>
          <w:p w:rsidR="007756B2" w:rsidRDefault="007756B2" w:rsidP="00926718">
            <w:pPr>
              <w:ind w:right="-20"/>
              <w:jc w:val="center"/>
              <w:rPr>
                <w:rFonts w:ascii="Arial Narrow" w:hAnsi="Arial Narrow" w:cs="Times New Roman"/>
                <w:sz w:val="20"/>
              </w:rPr>
            </w:pPr>
            <w:r>
              <w:rPr>
                <w:rFonts w:ascii="Arial Narrow" w:hAnsi="Arial Narrow" w:cs="Times New Roman"/>
                <w:sz w:val="20"/>
              </w:rPr>
              <w:t>NC</w:t>
            </w:r>
          </w:p>
        </w:tc>
        <w:tc>
          <w:tcPr>
            <w:tcW w:w="711"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09"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756B2" w:rsidRPr="004E2ADC">
        <w:trPr>
          <w:cantSplit/>
        </w:trPr>
        <w:tc>
          <w:tcPr>
            <w:tcW w:w="117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Default="007756B2" w:rsidP="00926718">
            <w:pPr>
              <w:tabs>
                <w:tab w:val="left" w:pos="198"/>
              </w:tabs>
              <w:jc w:val="left"/>
              <w:rPr>
                <w:rFonts w:ascii="Arial Narrow" w:hAnsi="Arial Narrow" w:cs="Times New Roman"/>
                <w:sz w:val="20"/>
              </w:rPr>
            </w:pPr>
            <w:r>
              <w:rPr>
                <w:rFonts w:ascii="Arial Narrow" w:hAnsi="Arial Narrow" w:cs="Times New Roman"/>
                <w:sz w:val="20"/>
              </w:rPr>
              <w:t>QALY</w:t>
            </w:r>
          </w:p>
        </w:tc>
        <w:tc>
          <w:tcPr>
            <w:tcW w:w="2403" w:type="pct"/>
            <w:gridSpan w:val="3"/>
            <w:vMerge/>
            <w:tcBorders>
              <w:left w:val="single" w:sz="4" w:space="0" w:color="auto"/>
              <w:bottom w:val="single" w:sz="4" w:space="0" w:color="auto"/>
              <w:right w:val="single" w:sz="4" w:space="0" w:color="auto"/>
            </w:tcBorders>
            <w:tcMar>
              <w:left w:w="57" w:type="dxa"/>
              <w:right w:w="57" w:type="dxa"/>
            </w:tcMar>
            <w:vAlign w:val="center"/>
          </w:tcPr>
          <w:p w:rsidR="007756B2" w:rsidRDefault="007756B2" w:rsidP="00926718">
            <w:pPr>
              <w:ind w:right="-20"/>
              <w:jc w:val="center"/>
              <w:rPr>
                <w:rFonts w:ascii="Arial Narrow" w:hAnsi="Arial Narrow" w:cs="Times New Roman"/>
                <w:sz w:val="20"/>
              </w:rPr>
            </w:pPr>
          </w:p>
        </w:tc>
        <w:tc>
          <w:tcPr>
            <w:tcW w:w="711"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09"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756B2" w:rsidRPr="001D0C39">
        <w:trPr>
          <w:cantSplit/>
        </w:trPr>
        <w:tc>
          <w:tcPr>
            <w:tcW w:w="3580" w:type="pct"/>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756B2" w:rsidRPr="001D0C39" w:rsidRDefault="007756B2" w:rsidP="00F568DE">
            <w:pPr>
              <w:ind w:right="-20"/>
              <w:jc w:val="right"/>
              <w:rPr>
                <w:rFonts w:ascii="Arial Narrow" w:hAnsi="Arial Narrow" w:cs="Times New Roman"/>
                <w:b/>
                <w:sz w:val="20"/>
              </w:rPr>
            </w:pPr>
            <w:r w:rsidRPr="001D0C39">
              <w:rPr>
                <w:rFonts w:ascii="Arial Narrow" w:hAnsi="Arial Narrow" w:cs="Times New Roman"/>
                <w:b/>
                <w:sz w:val="20"/>
              </w:rPr>
              <w:t>Ove</w:t>
            </w:r>
            <w:r w:rsidR="00F568DE">
              <w:rPr>
                <w:rFonts w:ascii="Arial Narrow" w:hAnsi="Arial Narrow" w:cs="Times New Roman"/>
                <w:b/>
                <w:sz w:val="20"/>
              </w:rPr>
              <w:t>rall incremental c</w:t>
            </w:r>
            <w:r w:rsidRPr="001D0C39">
              <w:rPr>
                <w:rFonts w:ascii="Arial Narrow" w:hAnsi="Arial Narrow" w:cs="Times New Roman"/>
                <w:b/>
                <w:sz w:val="20"/>
              </w:rPr>
              <w:t>ost/QALY</w:t>
            </w:r>
          </w:p>
        </w:tc>
        <w:tc>
          <w:tcPr>
            <w:tcW w:w="711"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c>
          <w:tcPr>
            <w:tcW w:w="709" w:type="pct"/>
            <w:tcBorders>
              <w:top w:val="single" w:sz="4" w:space="0" w:color="auto"/>
              <w:left w:val="single" w:sz="4" w:space="0" w:color="auto"/>
              <w:bottom w:val="single" w:sz="4" w:space="0" w:color="auto"/>
              <w:right w:val="single" w:sz="4" w:space="0" w:color="auto"/>
            </w:tcBorders>
            <w:vAlign w:val="center"/>
          </w:tcPr>
          <w:p w:rsidR="007756B2" w:rsidRPr="00BF0C39" w:rsidRDefault="00BF0C39" w:rsidP="00926718">
            <w:pPr>
              <w:ind w:right="-20"/>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r>
    </w:tbl>
    <w:p w:rsidR="007756B2" w:rsidRDefault="007756B2" w:rsidP="00C96097">
      <w:pPr>
        <w:pStyle w:val="TableFooter"/>
        <w:ind w:left="720"/>
      </w:pPr>
      <w:r w:rsidRPr="00053C29">
        <w:t>*</w:t>
      </w:r>
      <w:r>
        <w:t xml:space="preserve"> The BSE analysis is incorporated into the estimates for bilateral treatment, which essentially is the culmination of incremental costs and outcomes from the BSE &amp; WSE.  The submission assumes that treatment will only occur in the WSE and bilaterally in a </w:t>
      </w:r>
      <w:r w:rsidR="00BF0C39">
        <w:rPr>
          <w:noProof/>
          <w:color w:val="000000"/>
          <w:highlight w:val="black"/>
        </w:rPr>
        <w:t>''''''''''''''</w:t>
      </w:r>
      <w:r>
        <w:t xml:space="preserve"> distribution.  </w:t>
      </w:r>
    </w:p>
    <w:p w:rsidR="007756B2" w:rsidRDefault="007756B2" w:rsidP="00C96097">
      <w:pPr>
        <w:pStyle w:val="TableFooter"/>
        <w:ind w:firstLine="720"/>
      </w:pPr>
      <w:r>
        <w:t xml:space="preserve">Abbreviations: AFB = aflibercept; BSE = best </w:t>
      </w:r>
      <w:proofErr w:type="gramStart"/>
      <w:r>
        <w:t>seeing eye</w:t>
      </w:r>
      <w:proofErr w:type="gramEnd"/>
      <w:r>
        <w:t>; RBZ = ranibizumab; WSE = worse seeing eye</w:t>
      </w:r>
    </w:p>
    <w:p w:rsidR="007756B2" w:rsidRPr="00D13A3E" w:rsidRDefault="007756B2" w:rsidP="00C96097">
      <w:pPr>
        <w:pStyle w:val="TableFooter"/>
        <w:ind w:firstLine="720"/>
      </w:pPr>
      <w:r w:rsidRPr="00D13A3E">
        <w:t xml:space="preserve">Source: </w:t>
      </w:r>
      <w:r>
        <w:t>Table D.5.12, Table D.5.13, p43-44, Section D-CEA of the submission</w:t>
      </w:r>
    </w:p>
    <w:p w:rsidR="007756B2" w:rsidRDefault="007756B2" w:rsidP="00D110BD">
      <w:pPr>
        <w:widowControl/>
        <w:rPr>
          <w:szCs w:val="22"/>
        </w:rPr>
      </w:pPr>
    </w:p>
    <w:p w:rsidR="003767C0" w:rsidRPr="00767300" w:rsidRDefault="00E36D0D" w:rsidP="00E36D0D">
      <w:pPr>
        <w:pStyle w:val="ListParagraph"/>
        <w:widowControl/>
        <w:numPr>
          <w:ilvl w:val="1"/>
          <w:numId w:val="3"/>
        </w:numPr>
        <w:rPr>
          <w:szCs w:val="22"/>
        </w:rPr>
      </w:pPr>
      <w:r w:rsidRPr="00767300">
        <w:rPr>
          <w:szCs w:val="22"/>
          <w:u w:val="single"/>
        </w:rPr>
        <w:t>Aflibercept vs laser</w:t>
      </w:r>
      <w:r w:rsidRPr="00F55584">
        <w:rPr>
          <w:szCs w:val="22"/>
        </w:rPr>
        <w:t>:</w:t>
      </w:r>
      <w:r w:rsidRPr="00767300">
        <w:rPr>
          <w:szCs w:val="22"/>
        </w:rPr>
        <w:t xml:space="preserve"> </w:t>
      </w:r>
      <w:r w:rsidR="00F568DE">
        <w:rPr>
          <w:szCs w:val="22"/>
        </w:rPr>
        <w:t>The ESC advised that i</w:t>
      </w:r>
      <w:r w:rsidRPr="00767300">
        <w:rPr>
          <w:szCs w:val="22"/>
        </w:rPr>
        <w:t xml:space="preserve">t is most likely that QALY gains </w:t>
      </w:r>
      <w:r w:rsidR="00BF0C39">
        <w:rPr>
          <w:noProof/>
          <w:color w:val="000000"/>
          <w:szCs w:val="22"/>
          <w:highlight w:val="black"/>
        </w:rPr>
        <w:t>''''''''''''''''</w:t>
      </w:r>
      <w:r w:rsidRPr="00767300">
        <w:rPr>
          <w:szCs w:val="22"/>
        </w:rPr>
        <w:t xml:space="preserve"> have been </w:t>
      </w:r>
      <w:proofErr w:type="spellStart"/>
      <w:r w:rsidR="00256BAD">
        <w:rPr>
          <w:szCs w:val="22"/>
        </w:rPr>
        <w:t>substantially</w:t>
      </w:r>
      <w:r w:rsidRPr="00767300">
        <w:rPr>
          <w:szCs w:val="22"/>
        </w:rPr>
        <w:t>overestimated</w:t>
      </w:r>
      <w:proofErr w:type="spellEnd"/>
      <w:r w:rsidRPr="00767300">
        <w:rPr>
          <w:szCs w:val="22"/>
        </w:rPr>
        <w:t xml:space="preserve"> given the application of utilities from </w:t>
      </w:r>
      <w:proofErr w:type="spellStart"/>
      <w:r w:rsidRPr="00767300">
        <w:rPr>
          <w:szCs w:val="22"/>
        </w:rPr>
        <w:t>Czosky</w:t>
      </w:r>
      <w:proofErr w:type="spellEnd"/>
      <w:r w:rsidRPr="00767300">
        <w:rPr>
          <w:szCs w:val="22"/>
        </w:rPr>
        <w:t xml:space="preserve">-Murray 2009.  Additionally, the assumption of a </w:t>
      </w:r>
      <w:r w:rsidR="00BF0C39">
        <w:rPr>
          <w:noProof/>
          <w:color w:val="000000"/>
          <w:szCs w:val="22"/>
          <w:highlight w:val="black"/>
        </w:rPr>
        <w:t>''''''''''''''''</w:t>
      </w:r>
      <w:r w:rsidRPr="00767300">
        <w:rPr>
          <w:szCs w:val="22"/>
        </w:rPr>
        <w:t xml:space="preserve"> maximum duration of treatment </w:t>
      </w:r>
      <w:r w:rsidR="00256BAD">
        <w:rPr>
          <w:szCs w:val="22"/>
        </w:rPr>
        <w:t xml:space="preserve">may </w:t>
      </w:r>
      <w:r w:rsidRPr="00767300">
        <w:rPr>
          <w:szCs w:val="22"/>
        </w:rPr>
        <w:t>underestimate incremental costs associated with aflibercept.  Whilst these are the main factors contributing to the ICER being underestimated, this is in the context of structural issues that impact upo</w:t>
      </w:r>
      <w:r w:rsidR="00F568DE">
        <w:rPr>
          <w:szCs w:val="22"/>
        </w:rPr>
        <w:t>n the reliability of the model:</w:t>
      </w:r>
    </w:p>
    <w:p w:rsidR="003767C0" w:rsidRPr="00767300" w:rsidRDefault="00E36D0D" w:rsidP="003767C0">
      <w:pPr>
        <w:pStyle w:val="ListParagraph"/>
        <w:widowControl/>
        <w:rPr>
          <w:szCs w:val="22"/>
        </w:rPr>
      </w:pPr>
      <w:r w:rsidRPr="00767300">
        <w:rPr>
          <w:szCs w:val="22"/>
        </w:rPr>
        <w:t xml:space="preserve">(1) </w:t>
      </w:r>
      <w:proofErr w:type="gramStart"/>
      <w:r w:rsidRPr="00767300">
        <w:rPr>
          <w:szCs w:val="22"/>
        </w:rPr>
        <w:t>divergence</w:t>
      </w:r>
      <w:proofErr w:type="gramEnd"/>
      <w:r w:rsidRPr="00767300">
        <w:rPr>
          <w:szCs w:val="22"/>
        </w:rPr>
        <w:t xml:space="preserve"> from a ‘one eye approach’ through the readjustment of transition probabilities derived from the study eye and non-study eye across unilateral and</w:t>
      </w:r>
      <w:r w:rsidR="00F568DE">
        <w:rPr>
          <w:szCs w:val="22"/>
        </w:rPr>
        <w:t xml:space="preserve"> bilateral treatment scenarios; and</w:t>
      </w:r>
    </w:p>
    <w:p w:rsidR="00A86E8B" w:rsidRPr="00767300" w:rsidRDefault="00E36D0D" w:rsidP="003767C0">
      <w:pPr>
        <w:pStyle w:val="ListParagraph"/>
        <w:widowControl/>
        <w:rPr>
          <w:szCs w:val="22"/>
        </w:rPr>
      </w:pPr>
      <w:r w:rsidRPr="00767300">
        <w:rPr>
          <w:szCs w:val="22"/>
        </w:rPr>
        <w:t xml:space="preserve">(2) </w:t>
      </w:r>
      <w:proofErr w:type="gramStart"/>
      <w:r w:rsidRPr="00767300">
        <w:rPr>
          <w:szCs w:val="22"/>
        </w:rPr>
        <w:t>reliability</w:t>
      </w:r>
      <w:proofErr w:type="gramEnd"/>
      <w:r w:rsidRPr="00767300">
        <w:rPr>
          <w:szCs w:val="22"/>
        </w:rPr>
        <w:t xml:space="preserve"> of transition probabilities given the 8 VA he</w:t>
      </w:r>
      <w:r w:rsidR="003B534E">
        <w:rPr>
          <w:szCs w:val="22"/>
        </w:rPr>
        <w:t>alth states used in the model.</w:t>
      </w:r>
    </w:p>
    <w:p w:rsidR="00E36D0D" w:rsidRPr="00F568DE" w:rsidRDefault="00E36D0D" w:rsidP="00F568DE">
      <w:pPr>
        <w:widowControl/>
        <w:rPr>
          <w:szCs w:val="22"/>
        </w:rPr>
      </w:pPr>
    </w:p>
    <w:p w:rsidR="00E36D0D" w:rsidRPr="00CF4741" w:rsidRDefault="00E36D0D" w:rsidP="00E36D0D">
      <w:pPr>
        <w:pStyle w:val="ListParagraph"/>
        <w:widowControl/>
        <w:numPr>
          <w:ilvl w:val="1"/>
          <w:numId w:val="3"/>
        </w:numPr>
        <w:rPr>
          <w:szCs w:val="22"/>
          <w:u w:val="single"/>
        </w:rPr>
      </w:pPr>
      <w:r w:rsidRPr="00CF4741">
        <w:rPr>
          <w:szCs w:val="22"/>
          <w:u w:val="single"/>
        </w:rPr>
        <w:t>Aflibercept vs ranibizumab</w:t>
      </w:r>
      <w:r w:rsidRPr="00F568DE">
        <w:rPr>
          <w:szCs w:val="22"/>
        </w:rPr>
        <w:t>:</w:t>
      </w:r>
      <w:r w:rsidRPr="00CF4741">
        <w:rPr>
          <w:szCs w:val="22"/>
        </w:rPr>
        <w:t xml:space="preserve"> </w:t>
      </w:r>
      <w:r w:rsidR="00434EAA" w:rsidRPr="00CF4741">
        <w:t>A calibration model was used to derive ranibizumab transition probabilities for the efficacy phase of the model (year 1).  This involved the adjustment of laser transition probabilities from VIVID and VISTA for secondary outcomes (</w:t>
      </w:r>
      <w:r w:rsidR="00F568DE">
        <w:t>relative risk of</w:t>
      </w:r>
      <w:r w:rsidR="00434EAA" w:rsidRPr="00CF4741">
        <w:t xml:space="preserve"> gain/loss of 10/15 letters) from a pooled analysis of RESTORE and REVEAL.  Given that no statistically significant </w:t>
      </w:r>
      <w:r w:rsidR="00F568DE">
        <w:t>relative risks</w:t>
      </w:r>
      <w:r w:rsidR="00434EAA" w:rsidRPr="00CF4741">
        <w:t xml:space="preserve"> were observed for the secondary outcomes in the indirect comparison of aflibercept 2Q8 and ranibizumab monotherapy, </w:t>
      </w:r>
      <w:r w:rsidR="000968DF" w:rsidRPr="00CF4741">
        <w:t xml:space="preserve">the ESC questioned </w:t>
      </w:r>
      <w:r w:rsidRPr="00CF4741">
        <w:rPr>
          <w:szCs w:val="22"/>
        </w:rPr>
        <w:t>whether</w:t>
      </w:r>
      <w:r w:rsidR="000034B7" w:rsidRPr="00CF4741">
        <w:rPr>
          <w:szCs w:val="22"/>
        </w:rPr>
        <w:t xml:space="preserve"> the calibrated transition probabilities are a reliable means of deriving any potential differences in VA.</w:t>
      </w:r>
      <w:r w:rsidRPr="00CF4741">
        <w:rPr>
          <w:szCs w:val="22"/>
        </w:rPr>
        <w:t xml:space="preserve"> </w:t>
      </w:r>
      <w:r w:rsidR="00F568DE">
        <w:rPr>
          <w:szCs w:val="22"/>
        </w:rPr>
        <w:t>The ESC</w:t>
      </w:r>
      <w:r w:rsidR="000034B7" w:rsidRPr="00CF4741">
        <w:rPr>
          <w:szCs w:val="22"/>
        </w:rPr>
        <w:t xml:space="preserve"> also question</w:t>
      </w:r>
      <w:r w:rsidR="00FF67AA" w:rsidRPr="00CF4741">
        <w:rPr>
          <w:szCs w:val="22"/>
        </w:rPr>
        <w:t>ed</w:t>
      </w:r>
      <w:r w:rsidR="000034B7" w:rsidRPr="00CF4741">
        <w:rPr>
          <w:szCs w:val="22"/>
        </w:rPr>
        <w:t xml:space="preserve"> whether </w:t>
      </w:r>
      <w:r w:rsidRPr="00CF4741">
        <w:rPr>
          <w:szCs w:val="22"/>
        </w:rPr>
        <w:t>th</w:t>
      </w:r>
      <w:r w:rsidR="000034B7" w:rsidRPr="00CF4741">
        <w:rPr>
          <w:szCs w:val="22"/>
        </w:rPr>
        <w:t>e</w:t>
      </w:r>
      <w:r w:rsidRPr="00CF4741">
        <w:rPr>
          <w:szCs w:val="22"/>
        </w:rPr>
        <w:t xml:space="preserve"> estimated ICER is meaningful, given that the modelled treatment effect of ranibizumab was primarily informed by non-statistically significant differe</w:t>
      </w:r>
      <w:r w:rsidR="003B534E" w:rsidRPr="00CF4741">
        <w:rPr>
          <w:szCs w:val="22"/>
        </w:rPr>
        <w:t>nces in the clinical evidence.</w:t>
      </w:r>
    </w:p>
    <w:p w:rsidR="00E36D0D" w:rsidRPr="00144DB9" w:rsidRDefault="00E36D0D" w:rsidP="00144DB9">
      <w:pPr>
        <w:widowControl/>
        <w:rPr>
          <w:szCs w:val="22"/>
        </w:rPr>
      </w:pPr>
    </w:p>
    <w:p w:rsidR="00144DB9" w:rsidRPr="00CF4741" w:rsidRDefault="00144DB9" w:rsidP="009E589B">
      <w:pPr>
        <w:pStyle w:val="ListParagraph"/>
        <w:widowControl/>
        <w:numPr>
          <w:ilvl w:val="1"/>
          <w:numId w:val="3"/>
        </w:numPr>
        <w:rPr>
          <w:szCs w:val="22"/>
        </w:rPr>
      </w:pPr>
      <w:r w:rsidRPr="00CF4741">
        <w:rPr>
          <w:szCs w:val="22"/>
        </w:rPr>
        <w:t>Sensitivity analyses indicated the model was most sensitive to time horizon, utility value data source, assumed duration of treatment and discount rate.  It was also observed that</w:t>
      </w:r>
      <w:r w:rsidR="00F568DE">
        <w:rPr>
          <w:szCs w:val="22"/>
        </w:rPr>
        <w:t>,</w:t>
      </w:r>
      <w:r w:rsidRPr="00CF4741">
        <w:rPr>
          <w:szCs w:val="22"/>
        </w:rPr>
        <w:t xml:space="preserve"> for the comparison of aflibercept and ranibizumab, the model was sensitive to the exclusion of adverse events </w:t>
      </w:r>
      <w:r w:rsidR="00BF0C39">
        <w:rPr>
          <w:noProof/>
          <w:color w:val="000000"/>
          <w:szCs w:val="22"/>
          <w:highlight w:val="black"/>
        </w:rPr>
        <w:t>'''''''''''''''' ''' '''''''''''''''''''''</w:t>
      </w:r>
      <w:r w:rsidRPr="00CF4741">
        <w:rPr>
          <w:szCs w:val="22"/>
        </w:rPr>
        <w:t xml:space="preserve">) and the adjustment </w:t>
      </w:r>
      <w:r w:rsidRPr="00CF4741">
        <w:rPr>
          <w:szCs w:val="22"/>
        </w:rPr>
        <w:lastRenderedPageBreak/>
        <w:t xml:space="preserve">of injection frequencies for aflibercept to reflect the ongoing treatment regimen used in the phase 3 trials (Year 1: </w:t>
      </w:r>
      <w:r w:rsidR="00BF0C39">
        <w:rPr>
          <w:noProof/>
          <w:color w:val="000000"/>
          <w:szCs w:val="22"/>
          <w:highlight w:val="black"/>
        </w:rPr>
        <w:t>'''' ''''''''''''''''''''''</w:t>
      </w:r>
      <w:r w:rsidRPr="00CF4741">
        <w:rPr>
          <w:szCs w:val="22"/>
        </w:rPr>
        <w:t xml:space="preserve">; Year 2: </w:t>
      </w:r>
      <w:r w:rsidR="00BF0C39">
        <w:rPr>
          <w:noProof/>
          <w:color w:val="000000"/>
          <w:szCs w:val="22"/>
          <w:highlight w:val="black"/>
        </w:rPr>
        <w:t>''' ''''''''''''''''''''</w:t>
      </w:r>
      <w:r w:rsidR="003B534E" w:rsidRPr="00CF4741">
        <w:rPr>
          <w:szCs w:val="22"/>
        </w:rPr>
        <w:t xml:space="preserve">; ICER = </w:t>
      </w:r>
      <w:r w:rsidR="00BF0C39">
        <w:rPr>
          <w:noProof/>
          <w:color w:val="000000"/>
          <w:szCs w:val="22"/>
          <w:highlight w:val="black"/>
        </w:rPr>
        <w:t>'''''''''''''''''''''</w:t>
      </w:r>
      <w:r w:rsidR="003B534E" w:rsidRPr="00CF4741">
        <w:rPr>
          <w:szCs w:val="22"/>
        </w:rPr>
        <w:t>).</w:t>
      </w:r>
    </w:p>
    <w:p w:rsidR="001D2F73" w:rsidRPr="00CF4741" w:rsidRDefault="001D2F73" w:rsidP="001D2F73">
      <w:pPr>
        <w:rPr>
          <w:szCs w:val="22"/>
        </w:rPr>
      </w:pPr>
    </w:p>
    <w:p w:rsidR="001D2F73" w:rsidRPr="00CF4741" w:rsidRDefault="0014145C" w:rsidP="009E589B">
      <w:pPr>
        <w:pStyle w:val="ListParagraph"/>
        <w:widowControl/>
        <w:numPr>
          <w:ilvl w:val="1"/>
          <w:numId w:val="3"/>
        </w:numPr>
        <w:rPr>
          <w:szCs w:val="22"/>
        </w:rPr>
      </w:pPr>
      <w:r w:rsidRPr="00CF4741">
        <w:rPr>
          <w:szCs w:val="22"/>
        </w:rPr>
        <w:t>Overall, t</w:t>
      </w:r>
      <w:r w:rsidR="001D2F73" w:rsidRPr="00CF4741">
        <w:rPr>
          <w:szCs w:val="22"/>
        </w:rPr>
        <w:t>he ESC</w:t>
      </w:r>
      <w:r w:rsidRPr="00CF4741">
        <w:rPr>
          <w:szCs w:val="22"/>
        </w:rPr>
        <w:t xml:space="preserve"> considered that a cost-minimisation analysis between aflibercept and ranibizumab </w:t>
      </w:r>
      <w:r w:rsidR="00F568DE">
        <w:rPr>
          <w:szCs w:val="22"/>
        </w:rPr>
        <w:t>would be</w:t>
      </w:r>
      <w:r w:rsidRPr="00CF4741">
        <w:rPr>
          <w:szCs w:val="22"/>
        </w:rPr>
        <w:t xml:space="preserve"> a more appropriate approach and the equi-effective </w:t>
      </w:r>
      <w:r w:rsidR="000B5B2B" w:rsidRPr="00CF4741">
        <w:rPr>
          <w:szCs w:val="22"/>
        </w:rPr>
        <w:t>doses w</w:t>
      </w:r>
      <w:r w:rsidR="00F568DE">
        <w:rPr>
          <w:szCs w:val="22"/>
        </w:rPr>
        <w:t>ould</w:t>
      </w:r>
      <w:r w:rsidRPr="00CF4741">
        <w:rPr>
          <w:szCs w:val="22"/>
        </w:rPr>
        <w:t xml:space="preserve"> need to be established.  The ESC also </w:t>
      </w:r>
      <w:r w:rsidR="002070BE" w:rsidRPr="00CF4741">
        <w:rPr>
          <w:szCs w:val="22"/>
        </w:rPr>
        <w:t>noted</w:t>
      </w:r>
      <w:r w:rsidR="00635EBD" w:rsidRPr="00CF4741">
        <w:rPr>
          <w:szCs w:val="22"/>
        </w:rPr>
        <w:t xml:space="preserve"> the differences in </w:t>
      </w:r>
      <w:r w:rsidR="006F5A0F" w:rsidRPr="00CF4741">
        <w:rPr>
          <w:szCs w:val="22"/>
        </w:rPr>
        <w:t xml:space="preserve">the </w:t>
      </w:r>
      <w:r w:rsidRPr="00CF4741">
        <w:rPr>
          <w:szCs w:val="22"/>
        </w:rPr>
        <w:t xml:space="preserve">average dose frequency (and duration) between the two drugs, </w:t>
      </w:r>
      <w:r w:rsidR="002070BE" w:rsidRPr="00CF4741">
        <w:rPr>
          <w:szCs w:val="22"/>
        </w:rPr>
        <w:t>which</w:t>
      </w:r>
      <w:r w:rsidRPr="00CF4741">
        <w:rPr>
          <w:szCs w:val="22"/>
        </w:rPr>
        <w:t xml:space="preserve"> </w:t>
      </w:r>
      <w:r w:rsidR="006F5A0F" w:rsidRPr="00CF4741">
        <w:rPr>
          <w:szCs w:val="22"/>
        </w:rPr>
        <w:t xml:space="preserve">will </w:t>
      </w:r>
      <w:r w:rsidRPr="00CF4741">
        <w:rPr>
          <w:szCs w:val="22"/>
        </w:rPr>
        <w:t xml:space="preserve">be determined once final TGA </w:t>
      </w:r>
      <w:r w:rsidR="003B534E" w:rsidRPr="00CF4741">
        <w:rPr>
          <w:szCs w:val="22"/>
        </w:rPr>
        <w:t>dosing recommendations are available</w:t>
      </w:r>
      <w:r w:rsidRPr="00CF4741">
        <w:rPr>
          <w:szCs w:val="22"/>
        </w:rPr>
        <w:t>.</w:t>
      </w:r>
    </w:p>
    <w:p w:rsidR="00412B12" w:rsidRPr="00FD1850" w:rsidRDefault="00412B12" w:rsidP="00144DB9"/>
    <w:p w:rsidR="003747D9" w:rsidRPr="00123170" w:rsidRDefault="003747D9" w:rsidP="003747D9">
      <w:pPr>
        <w:ind w:left="720"/>
        <w:rPr>
          <w:b/>
          <w:i/>
          <w:u w:val="single"/>
        </w:rPr>
      </w:pPr>
      <w:r w:rsidRPr="00087F28">
        <w:rPr>
          <w:b/>
          <w:i/>
          <w:u w:val="single"/>
        </w:rPr>
        <w:t>Committee-in-Confidence</w:t>
      </w:r>
    </w:p>
    <w:p w:rsidR="003747D9" w:rsidRPr="00FD1850" w:rsidRDefault="003747D9" w:rsidP="003B534E">
      <w:pPr>
        <w:rPr>
          <w:szCs w:val="22"/>
        </w:rPr>
      </w:pPr>
    </w:p>
    <w:p w:rsidR="003747D9" w:rsidRPr="00894B72" w:rsidRDefault="00894B72" w:rsidP="003747D9">
      <w:pPr>
        <w:ind w:left="720"/>
        <w:rPr>
          <w:rFonts w:ascii="Arial Narrow" w:hAnsi="Arial Narrow"/>
          <w:b/>
          <w:sz w:val="20"/>
          <w:highlight w:val="black"/>
        </w:rPr>
      </w:pPr>
      <w:r>
        <w:rPr>
          <w:rFonts w:ascii="Arial Narrow" w:hAnsi="Arial Narrow"/>
          <w:b/>
          <w:noProof/>
          <w:color w:val="000000"/>
          <w:sz w:val="20"/>
          <w:highlight w:val="black"/>
        </w:rPr>
        <w:t xml:space="preserve">''''''''''''''''''''' '''' '''''' ''''''''''' '''''''''''''''''' ''''''''''''''''''' '''''''' '''''''''''''''''' '''' ''''''' '''''''''''''''''' ''''''''''''''' ''''''''''' '''' '''''' ''''''''''''''''''''''''' '''''''' ''''''''' '''''''''''''''''''''''''' '''''''' ''''''' '''''''''''''''''''' ''''''''''''''''''''' '''''''''' '''''''''''''''''''''''' </w:t>
      </w:r>
    </w:p>
    <w:tbl>
      <w:tblPr>
        <w:tblStyle w:val="TableGrid"/>
        <w:tblW w:w="4636" w:type="pct"/>
        <w:tblInd w:w="737" w:type="dxa"/>
        <w:tblCellMar>
          <w:left w:w="28" w:type="dxa"/>
          <w:right w:w="28" w:type="dxa"/>
        </w:tblCellMar>
        <w:tblLook w:val="04A0" w:firstRow="1" w:lastRow="0" w:firstColumn="1" w:lastColumn="0" w:noHBand="0" w:noVBand="1"/>
      </w:tblPr>
      <w:tblGrid>
        <w:gridCol w:w="1559"/>
        <w:gridCol w:w="850"/>
        <w:gridCol w:w="1277"/>
        <w:gridCol w:w="851"/>
        <w:gridCol w:w="707"/>
        <w:gridCol w:w="1134"/>
        <w:gridCol w:w="1134"/>
        <w:gridCol w:w="910"/>
      </w:tblGrid>
      <w:tr w:rsidR="003747D9" w:rsidRPr="004651D0">
        <w:trPr>
          <w:tblHeader/>
        </w:trPr>
        <w:tc>
          <w:tcPr>
            <w:tcW w:w="926" w:type="pct"/>
            <w:tcBorders>
              <w:top w:val="single" w:sz="4" w:space="0" w:color="auto"/>
              <w:left w:val="single" w:sz="4" w:space="0" w:color="auto"/>
              <w:bottom w:val="single" w:sz="4" w:space="0" w:color="auto"/>
              <w:right w:val="single" w:sz="4" w:space="0" w:color="auto"/>
            </w:tcBorders>
            <w:vAlign w:val="center"/>
          </w:tcPr>
          <w:p w:rsidR="00412B12" w:rsidRPr="00894B72" w:rsidRDefault="00412B12" w:rsidP="00D54C0C">
            <w:pPr>
              <w:jc w:val="left"/>
              <w:rPr>
                <w:rFonts w:ascii="Arial Narrow" w:hAnsi="Arial Narrow"/>
                <w:b/>
                <w:sz w:val="20"/>
              </w:rPr>
            </w:pPr>
          </w:p>
        </w:tc>
        <w:tc>
          <w:tcPr>
            <w:tcW w:w="1768" w:type="pct"/>
            <w:gridSpan w:val="3"/>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b/>
                <w:sz w:val="20"/>
                <w:highlight w:val="black"/>
              </w:rPr>
            </w:pPr>
            <w:r>
              <w:rPr>
                <w:rFonts w:ascii="Arial Narrow" w:hAnsi="Arial Narrow"/>
                <w:b/>
                <w:noProof/>
                <w:color w:val="000000"/>
                <w:sz w:val="20"/>
                <w:highlight w:val="black"/>
              </w:rPr>
              <w:t xml:space="preserve">'''''''''''''''''''''''''' ''''''''' ''''''''' '''''''''' </w:t>
            </w:r>
          </w:p>
          <w:p w:rsidR="00412B12" w:rsidRPr="00894B72" w:rsidRDefault="00894B72" w:rsidP="00D54C0C">
            <w:pPr>
              <w:jc w:val="center"/>
              <w:rPr>
                <w:rFonts w:ascii="Arial Narrow" w:hAnsi="Arial Narrow"/>
                <w:b/>
                <w:sz w:val="20"/>
                <w:highlight w:val="black"/>
              </w:rPr>
            </w:pPr>
            <w:r>
              <w:rPr>
                <w:rFonts w:ascii="Arial Narrow" w:hAnsi="Arial Narrow"/>
                <w:b/>
                <w:noProof/>
                <w:color w:val="000000"/>
                <w:sz w:val="20"/>
                <w:highlight w:val="black"/>
              </w:rPr>
              <w:t>''''''''''''''' '''''''''' ''''''''''''</w:t>
            </w:r>
          </w:p>
        </w:tc>
        <w:tc>
          <w:tcPr>
            <w:tcW w:w="2306" w:type="pct"/>
            <w:gridSpan w:val="4"/>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b/>
                <w:sz w:val="20"/>
                <w:highlight w:val="black"/>
              </w:rPr>
            </w:pPr>
            <w:r>
              <w:rPr>
                <w:rFonts w:ascii="Arial Narrow" w:hAnsi="Arial Narrow"/>
                <w:b/>
                <w:noProof/>
                <w:color w:val="000000"/>
                <w:sz w:val="20"/>
                <w:highlight w:val="black"/>
              </w:rPr>
              <w:t>'''''''''''''''''''''' '''''''''' ''''''''''''''''''' ''''''''''</w:t>
            </w:r>
          </w:p>
        </w:tc>
      </w:tr>
      <w:tr w:rsidR="003747D9" w:rsidRPr="004651D0">
        <w:trPr>
          <w:trHeight w:val="70"/>
        </w:trPr>
        <w:tc>
          <w:tcPr>
            <w:tcW w:w="926" w:type="pct"/>
            <w:vMerge w:val="restar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left"/>
              <w:rPr>
                <w:rFonts w:ascii="Arial Narrow" w:hAnsi="Arial Narrow"/>
                <w:sz w:val="20"/>
                <w:highlight w:val="black"/>
              </w:rPr>
            </w:pPr>
            <w:r>
              <w:rPr>
                <w:rFonts w:ascii="Arial Narrow" w:hAnsi="Arial Narrow"/>
                <w:noProof/>
                <w:color w:val="000000"/>
                <w:sz w:val="20"/>
                <w:highlight w:val="black"/>
              </w:rPr>
              <w:t>''''''''''''''''''''''' '''''''''''''''''''''''' ''''''''' ''''''''''''''''''''</w:t>
            </w:r>
          </w:p>
        </w:tc>
        <w:tc>
          <w:tcPr>
            <w:tcW w:w="1768" w:type="pct"/>
            <w:gridSpan w:val="3"/>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 ''''''''''''''''''''' ''''''''''''''''' '''' ''''''''''''''</w:t>
            </w:r>
          </w:p>
        </w:tc>
        <w:tc>
          <w:tcPr>
            <w:tcW w:w="2306" w:type="pct"/>
            <w:gridSpan w:val="4"/>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 '''''''''''''''''''''' '''''''''''''''''' ''' ''''''''''''''</w:t>
            </w:r>
          </w:p>
        </w:tc>
      </w:tr>
      <w:tr w:rsidR="003747D9" w:rsidRPr="004651D0">
        <w:trPr>
          <w:trHeight w:val="70"/>
        </w:trPr>
        <w:tc>
          <w:tcPr>
            <w:tcW w:w="926" w:type="pct"/>
            <w:vMerge/>
            <w:tcBorders>
              <w:top w:val="single" w:sz="4" w:space="0" w:color="auto"/>
              <w:left w:val="single" w:sz="4" w:space="0" w:color="auto"/>
              <w:bottom w:val="single" w:sz="4" w:space="0" w:color="auto"/>
              <w:right w:val="single" w:sz="4" w:space="0" w:color="auto"/>
            </w:tcBorders>
            <w:vAlign w:val="center"/>
          </w:tcPr>
          <w:p w:rsidR="00412B12" w:rsidRPr="00894B72" w:rsidRDefault="00412B12" w:rsidP="00D54C0C">
            <w:pPr>
              <w:jc w:val="left"/>
              <w:rPr>
                <w:rFonts w:ascii="Arial Narrow" w:hAnsi="Arial Narrow"/>
                <w:sz w:val="20"/>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758"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505"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420"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673"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673"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540"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r>
      <w:tr w:rsidR="003747D9" w:rsidRPr="004651D0">
        <w:trPr>
          <w:trHeight w:val="70"/>
        </w:trPr>
        <w:tc>
          <w:tcPr>
            <w:tcW w:w="926" w:type="pct"/>
            <w:vMerge/>
            <w:tcBorders>
              <w:top w:val="single" w:sz="4" w:space="0" w:color="auto"/>
              <w:left w:val="single" w:sz="4" w:space="0" w:color="auto"/>
              <w:bottom w:val="single" w:sz="4" w:space="0" w:color="auto"/>
              <w:right w:val="single" w:sz="4" w:space="0" w:color="auto"/>
            </w:tcBorders>
            <w:vAlign w:val="center"/>
          </w:tcPr>
          <w:p w:rsidR="00412B12" w:rsidRPr="00894B72" w:rsidRDefault="00412B12" w:rsidP="00D54C0C">
            <w:pPr>
              <w:jc w:val="left"/>
              <w:rPr>
                <w:rFonts w:ascii="Arial Narrow" w:hAnsi="Arial Narrow"/>
                <w:sz w:val="20"/>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 '''</w:t>
            </w:r>
          </w:p>
        </w:tc>
        <w:tc>
          <w:tcPr>
            <w:tcW w:w="758"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505"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420"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 ''''</w:t>
            </w:r>
          </w:p>
        </w:tc>
        <w:tc>
          <w:tcPr>
            <w:tcW w:w="673"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673"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540"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r>
      <w:tr w:rsidR="003747D9" w:rsidRPr="004651D0">
        <w:trPr>
          <w:trHeight w:val="70"/>
        </w:trPr>
        <w:tc>
          <w:tcPr>
            <w:tcW w:w="926" w:type="pct"/>
            <w:vMerge/>
            <w:tcBorders>
              <w:top w:val="single" w:sz="4" w:space="0" w:color="auto"/>
              <w:left w:val="single" w:sz="4" w:space="0" w:color="auto"/>
              <w:bottom w:val="single" w:sz="4" w:space="0" w:color="auto"/>
              <w:right w:val="single" w:sz="4" w:space="0" w:color="auto"/>
            </w:tcBorders>
            <w:vAlign w:val="center"/>
          </w:tcPr>
          <w:p w:rsidR="00412B12" w:rsidRPr="00894B72" w:rsidRDefault="00412B12" w:rsidP="00D54C0C">
            <w:pPr>
              <w:jc w:val="left"/>
              <w:rPr>
                <w:rFonts w:ascii="Arial Narrow" w:hAnsi="Arial Narrow"/>
                <w:sz w:val="20"/>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 ''''</w:t>
            </w:r>
          </w:p>
        </w:tc>
        <w:tc>
          <w:tcPr>
            <w:tcW w:w="758"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505"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 '''</w:t>
            </w:r>
          </w:p>
        </w:tc>
        <w:tc>
          <w:tcPr>
            <w:tcW w:w="673" w:type="pct"/>
            <w:vMerge w:val="restar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673" w:type="pct"/>
            <w:vMerge w:val="restar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540" w:type="pct"/>
            <w:vMerge w:val="restar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r>
      <w:tr w:rsidR="003747D9" w:rsidRPr="004651D0">
        <w:trPr>
          <w:trHeight w:val="70"/>
        </w:trPr>
        <w:tc>
          <w:tcPr>
            <w:tcW w:w="926" w:type="pct"/>
            <w:vMerge/>
            <w:tcBorders>
              <w:top w:val="single" w:sz="4" w:space="0" w:color="auto"/>
              <w:left w:val="single" w:sz="4" w:space="0" w:color="auto"/>
              <w:bottom w:val="single" w:sz="4" w:space="0" w:color="auto"/>
              <w:right w:val="single" w:sz="4" w:space="0" w:color="auto"/>
            </w:tcBorders>
            <w:vAlign w:val="center"/>
          </w:tcPr>
          <w:p w:rsidR="00412B12" w:rsidRPr="00894B72" w:rsidRDefault="00412B12" w:rsidP="00D54C0C">
            <w:pPr>
              <w:jc w:val="left"/>
              <w:rPr>
                <w:rFonts w:ascii="Arial Narrow" w:hAnsi="Arial Narrow"/>
                <w:sz w:val="20"/>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 ''''</w:t>
            </w:r>
          </w:p>
        </w:tc>
        <w:tc>
          <w:tcPr>
            <w:tcW w:w="758"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505" w:type="pct"/>
            <w:tcBorders>
              <w:top w:val="single" w:sz="4" w:space="0" w:color="auto"/>
              <w:left w:val="single" w:sz="4" w:space="0" w:color="auto"/>
              <w:bottom w:val="single" w:sz="4" w:space="0" w:color="auto"/>
              <w:right w:val="single" w:sz="4" w:space="0" w:color="auto"/>
            </w:tcBorders>
            <w:vAlign w:val="center"/>
          </w:tcPr>
          <w:p w:rsidR="00412B12" w:rsidRPr="00894B72" w:rsidRDefault="00894B72" w:rsidP="00D54C0C">
            <w:pPr>
              <w:jc w:val="center"/>
              <w:rPr>
                <w:rFonts w:ascii="Arial Narrow" w:hAnsi="Arial Narrow"/>
                <w:sz w:val="20"/>
                <w:highlight w:val="black"/>
              </w:rPr>
            </w:pPr>
            <w:r>
              <w:rPr>
                <w:rFonts w:ascii="Arial Narrow" w:hAnsi="Arial Narrow"/>
                <w:noProof/>
                <w:color w:val="000000"/>
                <w:sz w:val="20"/>
                <w:highlight w:val="black"/>
              </w:rPr>
              <w:t>''''</w:t>
            </w:r>
          </w:p>
        </w:tc>
        <w:tc>
          <w:tcPr>
            <w:tcW w:w="420" w:type="pct"/>
            <w:vMerge/>
            <w:tcBorders>
              <w:top w:val="single" w:sz="4" w:space="0" w:color="auto"/>
              <w:left w:val="single" w:sz="4" w:space="0" w:color="auto"/>
              <w:bottom w:val="single" w:sz="4" w:space="0" w:color="auto"/>
              <w:right w:val="single" w:sz="4" w:space="0" w:color="auto"/>
            </w:tcBorders>
            <w:vAlign w:val="center"/>
          </w:tcPr>
          <w:p w:rsidR="00412B12" w:rsidRPr="00894B72" w:rsidRDefault="00412B12" w:rsidP="00D54C0C">
            <w:pPr>
              <w:jc w:val="left"/>
              <w:rPr>
                <w:rFonts w:ascii="Arial Narrow" w:hAnsi="Arial Narrow"/>
                <w:sz w:val="20"/>
                <w:szCs w:val="22"/>
              </w:rPr>
            </w:pPr>
          </w:p>
        </w:tc>
        <w:tc>
          <w:tcPr>
            <w:tcW w:w="673" w:type="pct"/>
            <w:vMerge/>
            <w:tcBorders>
              <w:top w:val="single" w:sz="4" w:space="0" w:color="auto"/>
              <w:left w:val="single" w:sz="4" w:space="0" w:color="auto"/>
              <w:bottom w:val="single" w:sz="4" w:space="0" w:color="auto"/>
              <w:right w:val="single" w:sz="4" w:space="0" w:color="auto"/>
            </w:tcBorders>
            <w:vAlign w:val="center"/>
          </w:tcPr>
          <w:p w:rsidR="00412B12" w:rsidRPr="00894B72" w:rsidRDefault="00412B12" w:rsidP="00D54C0C">
            <w:pPr>
              <w:jc w:val="left"/>
              <w:rPr>
                <w:rFonts w:ascii="Arial Narrow" w:hAnsi="Arial Narrow"/>
                <w:sz w:val="20"/>
                <w:szCs w:val="22"/>
              </w:rPr>
            </w:pPr>
          </w:p>
        </w:tc>
        <w:tc>
          <w:tcPr>
            <w:tcW w:w="673" w:type="pct"/>
            <w:vMerge/>
            <w:tcBorders>
              <w:top w:val="single" w:sz="4" w:space="0" w:color="auto"/>
              <w:left w:val="single" w:sz="4" w:space="0" w:color="auto"/>
              <w:bottom w:val="single" w:sz="4" w:space="0" w:color="auto"/>
              <w:right w:val="single" w:sz="4" w:space="0" w:color="auto"/>
            </w:tcBorders>
            <w:vAlign w:val="center"/>
          </w:tcPr>
          <w:p w:rsidR="00412B12" w:rsidRPr="00894B72" w:rsidRDefault="00412B12" w:rsidP="00D54C0C">
            <w:pPr>
              <w:jc w:val="left"/>
              <w:rPr>
                <w:rFonts w:ascii="Arial Narrow" w:hAnsi="Arial Narrow"/>
                <w:sz w:val="20"/>
                <w:szCs w:val="22"/>
              </w:rPr>
            </w:pPr>
          </w:p>
        </w:tc>
        <w:tc>
          <w:tcPr>
            <w:tcW w:w="540" w:type="pct"/>
            <w:vMerge/>
            <w:tcBorders>
              <w:top w:val="single" w:sz="4" w:space="0" w:color="auto"/>
              <w:left w:val="single" w:sz="4" w:space="0" w:color="auto"/>
              <w:bottom w:val="single" w:sz="4" w:space="0" w:color="auto"/>
              <w:right w:val="single" w:sz="4" w:space="0" w:color="auto"/>
            </w:tcBorders>
            <w:vAlign w:val="center"/>
          </w:tcPr>
          <w:p w:rsidR="00412B12" w:rsidRPr="00894B72" w:rsidRDefault="00412B12" w:rsidP="00D54C0C">
            <w:pPr>
              <w:jc w:val="left"/>
              <w:rPr>
                <w:rFonts w:ascii="Arial Narrow" w:hAnsi="Arial Narrow"/>
                <w:sz w:val="20"/>
                <w:szCs w:val="22"/>
              </w:rPr>
            </w:pPr>
          </w:p>
        </w:tc>
      </w:tr>
    </w:tbl>
    <w:p w:rsidR="00412B12" w:rsidRPr="00894B72" w:rsidRDefault="00894B72" w:rsidP="003747D9">
      <w:pPr>
        <w:ind w:firstLine="720"/>
        <w:rPr>
          <w:rFonts w:ascii="Arial Narrow" w:hAnsi="Arial Narrow"/>
          <w:sz w:val="18"/>
          <w:highlight w:val="black"/>
        </w:rPr>
      </w:pPr>
      <w:r>
        <w:rPr>
          <w:rFonts w:ascii="Arial Narrow" w:hAnsi="Arial Narrow"/>
          <w:noProof/>
          <w:color w:val="000000"/>
          <w:sz w:val="18"/>
          <w:highlight w:val="black"/>
        </w:rPr>
        <w:t>''''''''''''''''' ''''''''''''''''''''''''''' '''''''''''''''' '''''''' ''''''''''''''''''''''''</w:t>
      </w:r>
    </w:p>
    <w:p w:rsidR="003747D9" w:rsidRPr="00FD1850" w:rsidRDefault="003747D9" w:rsidP="003B534E"/>
    <w:p w:rsidR="00412B12" w:rsidRPr="00123170" w:rsidRDefault="003747D9" w:rsidP="00144DB9">
      <w:pPr>
        <w:pStyle w:val="ListParagraph"/>
        <w:rPr>
          <w:b/>
          <w:i/>
          <w:u w:val="single"/>
        </w:rPr>
      </w:pPr>
      <w:r w:rsidRPr="00123170">
        <w:rPr>
          <w:b/>
          <w:i/>
          <w:u w:val="single"/>
        </w:rPr>
        <w:t>End-Committee-in-Confidence</w:t>
      </w:r>
    </w:p>
    <w:p w:rsidR="00412B12" w:rsidRPr="00FD1850" w:rsidRDefault="00412B12" w:rsidP="00123170"/>
    <w:p w:rsidR="00A86E8B" w:rsidRPr="00A20554" w:rsidRDefault="009E589B" w:rsidP="009E589B">
      <w:pPr>
        <w:pStyle w:val="ListParagraph"/>
        <w:widowControl/>
        <w:numPr>
          <w:ilvl w:val="1"/>
          <w:numId w:val="3"/>
        </w:numPr>
        <w:rPr>
          <w:szCs w:val="22"/>
        </w:rPr>
      </w:pPr>
      <w:r w:rsidRPr="00A20554">
        <w:rPr>
          <w:u w:val="single"/>
        </w:rPr>
        <w:t>CMA: aflibercept vs bevacizumab</w:t>
      </w:r>
      <w:r w:rsidR="00FD1850">
        <w:t>:</w:t>
      </w:r>
      <w:r w:rsidR="00833B05" w:rsidRPr="00FD1850">
        <w:t xml:space="preserve"> </w:t>
      </w:r>
      <w:r w:rsidR="00A86E8B" w:rsidRPr="00A20554">
        <w:t xml:space="preserve">The equi-effective </w:t>
      </w:r>
      <w:r w:rsidRPr="00A20554">
        <w:t>doses</w:t>
      </w:r>
      <w:r w:rsidR="00A86E8B" w:rsidRPr="00A20554">
        <w:t xml:space="preserve"> </w:t>
      </w:r>
      <w:r w:rsidR="00FD1850">
        <w:t>we</w:t>
      </w:r>
      <w:r w:rsidR="00A86E8B" w:rsidRPr="00A20554">
        <w:t xml:space="preserve">re estimated as </w:t>
      </w:r>
      <w:r w:rsidRPr="00A20554">
        <w:t xml:space="preserve">aflibercept </w:t>
      </w:r>
      <w:r w:rsidR="00BF0C39">
        <w:rPr>
          <w:noProof/>
          <w:color w:val="000000"/>
          <w:highlight w:val="black"/>
        </w:rPr>
        <w:t>'''''''</w:t>
      </w:r>
      <w:r w:rsidRPr="00A20554">
        <w:t xml:space="preserve"> injections </w:t>
      </w:r>
      <w:r w:rsidR="00A86E8B" w:rsidRPr="00A20554">
        <w:t xml:space="preserve">and </w:t>
      </w:r>
      <w:r w:rsidRPr="00A20554">
        <w:t xml:space="preserve">bevacizumab </w:t>
      </w:r>
      <w:r w:rsidR="00BF0C39">
        <w:rPr>
          <w:noProof/>
          <w:color w:val="000000"/>
          <w:highlight w:val="black"/>
        </w:rPr>
        <w:t>''''''''''''</w:t>
      </w:r>
      <w:r w:rsidRPr="00A20554">
        <w:t xml:space="preserve"> injections</w:t>
      </w:r>
      <w:r w:rsidR="00A86E8B" w:rsidRPr="00A20554">
        <w:t xml:space="preserve"> over </w:t>
      </w:r>
      <w:r w:rsidRPr="00A20554">
        <w:t xml:space="preserve">the first year of therapy.  </w:t>
      </w:r>
      <w:r w:rsidR="0056285B" w:rsidRPr="00A20554">
        <w:t xml:space="preserve">No formal clinical claim </w:t>
      </w:r>
      <w:r w:rsidR="00FD1850">
        <w:t>wa</w:t>
      </w:r>
      <w:r w:rsidR="0056285B" w:rsidRPr="00A20554">
        <w:t xml:space="preserve">s made to support the CMA.  The inclusion of adverse event costs in the CMA </w:t>
      </w:r>
      <w:r w:rsidR="00FD1850">
        <w:t>was considered to be</w:t>
      </w:r>
      <w:r w:rsidR="0056285B" w:rsidRPr="00A20554">
        <w:t xml:space="preserve"> questionable given the non-systematic approach used by the submission and the lack of evidence informing the long term systemic adverse events ac</w:t>
      </w:r>
      <w:r w:rsidR="003B534E">
        <w:t>ross the VEGF inhibitors.</w:t>
      </w:r>
    </w:p>
    <w:p w:rsidR="0056285B" w:rsidRPr="00914530" w:rsidRDefault="0056285B" w:rsidP="0056285B"/>
    <w:p w:rsidR="0056285B" w:rsidRPr="00914530" w:rsidRDefault="0056285B" w:rsidP="0056285B">
      <w:pPr>
        <w:widowControl/>
        <w:ind w:firstLine="720"/>
        <w:jc w:val="left"/>
        <w:rPr>
          <w:rFonts w:ascii="Arial Narrow" w:hAnsi="Arial Narrow"/>
          <w:b/>
          <w:sz w:val="20"/>
        </w:rPr>
      </w:pPr>
      <w:r w:rsidRPr="00914530">
        <w:rPr>
          <w:rFonts w:ascii="Arial Narrow" w:hAnsi="Arial Narrow"/>
          <w:b/>
          <w:sz w:val="20"/>
        </w:rPr>
        <w:t>Cost minimisation price of aflibercept compared to bevacizumab</w:t>
      </w:r>
    </w:p>
    <w:tbl>
      <w:tblPr>
        <w:tblStyle w:val="TableGrid"/>
        <w:tblW w:w="4525" w:type="pct"/>
        <w:tblInd w:w="737" w:type="dxa"/>
        <w:tblCellMar>
          <w:left w:w="28" w:type="dxa"/>
          <w:right w:w="28" w:type="dxa"/>
        </w:tblCellMar>
        <w:tblLook w:val="04A0" w:firstRow="1" w:lastRow="0" w:firstColumn="1" w:lastColumn="0" w:noHBand="0" w:noVBand="1"/>
      </w:tblPr>
      <w:tblGrid>
        <w:gridCol w:w="4253"/>
        <w:gridCol w:w="1984"/>
        <w:gridCol w:w="1983"/>
      </w:tblGrid>
      <w:tr w:rsidR="0056285B" w:rsidRPr="00914530">
        <w:trPr>
          <w:trHeight w:val="200"/>
        </w:trPr>
        <w:tc>
          <w:tcPr>
            <w:tcW w:w="2587" w:type="pct"/>
            <w:vAlign w:val="center"/>
          </w:tcPr>
          <w:p w:rsidR="0056285B" w:rsidRPr="00914530" w:rsidRDefault="0056285B" w:rsidP="00926718">
            <w:pPr>
              <w:jc w:val="left"/>
              <w:rPr>
                <w:rFonts w:ascii="Arial Narrow" w:hAnsi="Arial Narrow"/>
                <w:b/>
                <w:sz w:val="20"/>
              </w:rPr>
            </w:pPr>
            <w:r w:rsidRPr="00914530">
              <w:rPr>
                <w:rFonts w:ascii="Arial Narrow" w:hAnsi="Arial Narrow"/>
                <w:b/>
                <w:sz w:val="20"/>
              </w:rPr>
              <w:t>Parameter</w:t>
            </w:r>
          </w:p>
        </w:tc>
        <w:tc>
          <w:tcPr>
            <w:tcW w:w="1207" w:type="pct"/>
            <w:vAlign w:val="center"/>
          </w:tcPr>
          <w:p w:rsidR="0056285B" w:rsidRDefault="0056285B" w:rsidP="00926718">
            <w:pPr>
              <w:jc w:val="center"/>
              <w:rPr>
                <w:rFonts w:ascii="Arial Narrow" w:hAnsi="Arial Narrow"/>
                <w:b/>
                <w:sz w:val="20"/>
              </w:rPr>
            </w:pPr>
            <w:r w:rsidRPr="00914530">
              <w:rPr>
                <w:rFonts w:ascii="Arial Narrow" w:hAnsi="Arial Narrow"/>
                <w:b/>
                <w:sz w:val="20"/>
              </w:rPr>
              <w:t>Bevacizumab</w:t>
            </w:r>
          </w:p>
        </w:tc>
        <w:tc>
          <w:tcPr>
            <w:tcW w:w="1207" w:type="pct"/>
            <w:vAlign w:val="center"/>
          </w:tcPr>
          <w:p w:rsidR="0056285B" w:rsidRDefault="0056285B" w:rsidP="00926718">
            <w:pPr>
              <w:jc w:val="center"/>
              <w:rPr>
                <w:rFonts w:ascii="Arial Narrow" w:hAnsi="Arial Narrow"/>
                <w:b/>
                <w:sz w:val="20"/>
              </w:rPr>
            </w:pPr>
            <w:r>
              <w:rPr>
                <w:rFonts w:ascii="Arial Narrow" w:hAnsi="Arial Narrow"/>
                <w:b/>
                <w:sz w:val="20"/>
              </w:rPr>
              <w:t>Aflibercept</w:t>
            </w:r>
          </w:p>
        </w:tc>
      </w:tr>
      <w:tr w:rsidR="0056285B" w:rsidRPr="00DB2CD7">
        <w:tc>
          <w:tcPr>
            <w:tcW w:w="2587" w:type="pct"/>
            <w:vAlign w:val="center"/>
          </w:tcPr>
          <w:p w:rsidR="0056285B" w:rsidRPr="00DB2CD7" w:rsidRDefault="0056285B" w:rsidP="00926718">
            <w:pPr>
              <w:widowControl/>
              <w:jc w:val="left"/>
              <w:rPr>
                <w:rFonts w:ascii="Arial Narrow" w:hAnsi="Arial Narrow"/>
                <w:b/>
                <w:sz w:val="20"/>
              </w:rPr>
            </w:pPr>
            <w:r w:rsidRPr="00DB2CD7">
              <w:rPr>
                <w:rFonts w:ascii="Arial Narrow" w:hAnsi="Arial Narrow"/>
                <w:b/>
                <w:sz w:val="20"/>
              </w:rPr>
              <w:t>Drug cost per injection</w:t>
            </w:r>
          </w:p>
        </w:tc>
        <w:tc>
          <w:tcPr>
            <w:tcW w:w="1207" w:type="pct"/>
            <w:vAlign w:val="center"/>
          </w:tcPr>
          <w:p w:rsidR="0056285B" w:rsidRPr="00BF0C39" w:rsidRDefault="00BF0C39" w:rsidP="00926718">
            <w:pPr>
              <w:widowControl/>
              <w:jc w:val="center"/>
              <w:rPr>
                <w:rFonts w:ascii="Arial Narrow" w:hAnsi="Arial Narrow"/>
                <w:b/>
                <w:sz w:val="20"/>
                <w:highlight w:val="black"/>
              </w:rPr>
            </w:pPr>
            <w:r>
              <w:rPr>
                <w:rFonts w:ascii="Arial Narrow" w:hAnsi="Arial Narrow"/>
                <w:b/>
                <w:noProof/>
                <w:color w:val="000000"/>
                <w:sz w:val="20"/>
                <w:highlight w:val="black"/>
              </w:rPr>
              <w:t>'''''''''''''''</w:t>
            </w:r>
          </w:p>
        </w:tc>
        <w:tc>
          <w:tcPr>
            <w:tcW w:w="1207" w:type="pct"/>
            <w:vAlign w:val="center"/>
          </w:tcPr>
          <w:p w:rsidR="0056285B" w:rsidRPr="00BF0C39" w:rsidRDefault="00BF0C39" w:rsidP="00926718">
            <w:pPr>
              <w:widowControl/>
              <w:jc w:val="center"/>
              <w:rPr>
                <w:rFonts w:ascii="Arial Narrow" w:hAnsi="Arial Narrow"/>
                <w:b/>
                <w:sz w:val="20"/>
                <w:highlight w:val="black"/>
              </w:rPr>
            </w:pPr>
            <w:r>
              <w:rPr>
                <w:rFonts w:ascii="Arial Narrow" w:hAnsi="Arial Narrow"/>
                <w:b/>
                <w:noProof/>
                <w:color w:val="000000"/>
                <w:sz w:val="20"/>
                <w:highlight w:val="black"/>
              </w:rPr>
              <w:t>''''''''''''''</w:t>
            </w:r>
          </w:p>
        </w:tc>
      </w:tr>
      <w:tr w:rsidR="0056285B">
        <w:tc>
          <w:tcPr>
            <w:tcW w:w="2587" w:type="pct"/>
            <w:vAlign w:val="center"/>
          </w:tcPr>
          <w:p w:rsidR="0056285B" w:rsidRDefault="0056285B" w:rsidP="00926718">
            <w:pPr>
              <w:widowControl/>
              <w:jc w:val="left"/>
              <w:rPr>
                <w:rFonts w:ascii="Arial Narrow" w:hAnsi="Arial Narrow"/>
                <w:sz w:val="20"/>
              </w:rPr>
            </w:pPr>
            <w:r>
              <w:rPr>
                <w:rFonts w:ascii="Arial Narrow" w:hAnsi="Arial Narrow"/>
                <w:sz w:val="20"/>
              </w:rPr>
              <w:t>Administration cost/injection</w:t>
            </w:r>
          </w:p>
        </w:tc>
        <w:tc>
          <w:tcPr>
            <w:tcW w:w="1207" w:type="pct"/>
            <w:vAlign w:val="center"/>
          </w:tcPr>
          <w:p w:rsidR="0056285B" w:rsidRPr="00BF0C39" w:rsidRDefault="00BF0C39" w:rsidP="00926718">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7" w:type="pct"/>
            <w:vAlign w:val="center"/>
          </w:tcPr>
          <w:p w:rsidR="0056285B" w:rsidRPr="00BF0C39" w:rsidRDefault="00BF0C39" w:rsidP="00926718">
            <w:pPr>
              <w:widowControl/>
              <w:jc w:val="center"/>
              <w:rPr>
                <w:rFonts w:ascii="Arial Narrow" w:hAnsi="Arial Narrow"/>
                <w:sz w:val="20"/>
                <w:highlight w:val="black"/>
              </w:rPr>
            </w:pPr>
            <w:r>
              <w:rPr>
                <w:rFonts w:ascii="Arial Narrow" w:hAnsi="Arial Narrow"/>
                <w:noProof/>
                <w:color w:val="000000"/>
                <w:sz w:val="20"/>
                <w:highlight w:val="black"/>
              </w:rPr>
              <w:t>''''''''''''''''''''''</w:t>
            </w:r>
          </w:p>
        </w:tc>
      </w:tr>
      <w:tr w:rsidR="0056285B">
        <w:tc>
          <w:tcPr>
            <w:tcW w:w="2587" w:type="pct"/>
            <w:tcBorders>
              <w:bottom w:val="double" w:sz="4" w:space="0" w:color="auto"/>
            </w:tcBorders>
            <w:vAlign w:val="center"/>
          </w:tcPr>
          <w:p w:rsidR="0056285B" w:rsidRDefault="0056285B" w:rsidP="00926718">
            <w:pPr>
              <w:widowControl/>
              <w:jc w:val="left"/>
              <w:rPr>
                <w:rFonts w:ascii="Arial Narrow" w:hAnsi="Arial Narrow"/>
                <w:sz w:val="20"/>
              </w:rPr>
            </w:pPr>
            <w:r>
              <w:rPr>
                <w:rFonts w:ascii="Arial Narrow" w:hAnsi="Arial Narrow"/>
                <w:sz w:val="20"/>
              </w:rPr>
              <w:t>Drug and administration cost/injection</w:t>
            </w:r>
          </w:p>
        </w:tc>
        <w:tc>
          <w:tcPr>
            <w:tcW w:w="1207" w:type="pct"/>
            <w:tcBorders>
              <w:bottom w:val="double" w:sz="4" w:space="0" w:color="auto"/>
            </w:tcBorders>
            <w:vAlign w:val="center"/>
          </w:tcPr>
          <w:p w:rsidR="0056285B" w:rsidRPr="00BF0C39" w:rsidRDefault="00BF0C39" w:rsidP="00926718">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7" w:type="pct"/>
            <w:tcBorders>
              <w:bottom w:val="double" w:sz="4" w:space="0" w:color="auto"/>
            </w:tcBorders>
            <w:vAlign w:val="center"/>
          </w:tcPr>
          <w:p w:rsidR="0056285B" w:rsidRPr="00BF0C39" w:rsidRDefault="00BF0C39" w:rsidP="00926718">
            <w:pPr>
              <w:widowControl/>
              <w:jc w:val="center"/>
              <w:rPr>
                <w:rFonts w:ascii="Arial Narrow" w:hAnsi="Arial Narrow"/>
                <w:sz w:val="20"/>
                <w:highlight w:val="black"/>
              </w:rPr>
            </w:pPr>
            <w:r>
              <w:rPr>
                <w:rFonts w:ascii="Arial Narrow" w:hAnsi="Arial Narrow"/>
                <w:noProof/>
                <w:color w:val="000000"/>
                <w:sz w:val="20"/>
                <w:highlight w:val="black"/>
              </w:rPr>
              <w:t>''''''''''''''''''</w:t>
            </w:r>
          </w:p>
        </w:tc>
      </w:tr>
      <w:tr w:rsidR="0056285B">
        <w:tc>
          <w:tcPr>
            <w:tcW w:w="2587" w:type="pct"/>
            <w:tcBorders>
              <w:top w:val="double" w:sz="4" w:space="0" w:color="auto"/>
              <w:bottom w:val="single" w:sz="4" w:space="0" w:color="auto"/>
            </w:tcBorders>
            <w:vAlign w:val="center"/>
          </w:tcPr>
          <w:p w:rsidR="0056285B" w:rsidRDefault="0056285B" w:rsidP="00926718">
            <w:pPr>
              <w:widowControl/>
              <w:jc w:val="left"/>
              <w:rPr>
                <w:rFonts w:ascii="Arial Narrow" w:hAnsi="Arial Narrow"/>
                <w:sz w:val="20"/>
              </w:rPr>
            </w:pPr>
            <w:r>
              <w:rPr>
                <w:rFonts w:ascii="Arial Narrow" w:hAnsi="Arial Narrow"/>
                <w:sz w:val="20"/>
              </w:rPr>
              <w:t>Injections per patient: Year 1</w:t>
            </w:r>
          </w:p>
        </w:tc>
        <w:tc>
          <w:tcPr>
            <w:tcW w:w="1207" w:type="pct"/>
            <w:tcBorders>
              <w:top w:val="double" w:sz="4" w:space="0" w:color="auto"/>
              <w:bottom w:val="single" w:sz="4" w:space="0" w:color="auto"/>
            </w:tcBorders>
            <w:vAlign w:val="center"/>
          </w:tcPr>
          <w:p w:rsidR="0056285B" w:rsidRPr="00BF0C39" w:rsidRDefault="00BF0C39" w:rsidP="00926718">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7" w:type="pct"/>
            <w:tcBorders>
              <w:top w:val="double" w:sz="4" w:space="0" w:color="auto"/>
              <w:bottom w:val="single" w:sz="4" w:space="0" w:color="auto"/>
            </w:tcBorders>
            <w:vAlign w:val="center"/>
          </w:tcPr>
          <w:p w:rsidR="0056285B" w:rsidRPr="00BF0C39" w:rsidRDefault="00BF0C39" w:rsidP="00926718">
            <w:pPr>
              <w:widowControl/>
              <w:jc w:val="center"/>
              <w:rPr>
                <w:rFonts w:ascii="Arial Narrow" w:hAnsi="Arial Narrow"/>
                <w:sz w:val="20"/>
                <w:highlight w:val="black"/>
              </w:rPr>
            </w:pPr>
            <w:r>
              <w:rPr>
                <w:rFonts w:ascii="Arial Narrow" w:hAnsi="Arial Narrow"/>
                <w:noProof/>
                <w:color w:val="000000"/>
                <w:sz w:val="20"/>
                <w:highlight w:val="black"/>
              </w:rPr>
              <w:t>''''''''</w:t>
            </w:r>
          </w:p>
        </w:tc>
      </w:tr>
      <w:tr w:rsidR="0056285B">
        <w:tc>
          <w:tcPr>
            <w:tcW w:w="2587" w:type="pct"/>
            <w:tcBorders>
              <w:top w:val="single" w:sz="4" w:space="0" w:color="auto"/>
              <w:bottom w:val="single" w:sz="4" w:space="0" w:color="auto"/>
            </w:tcBorders>
            <w:vAlign w:val="center"/>
          </w:tcPr>
          <w:p w:rsidR="0056285B" w:rsidRDefault="0056285B" w:rsidP="00926718">
            <w:pPr>
              <w:widowControl/>
              <w:jc w:val="left"/>
              <w:rPr>
                <w:rFonts w:ascii="Arial Narrow" w:hAnsi="Arial Narrow"/>
                <w:sz w:val="20"/>
              </w:rPr>
            </w:pPr>
            <w:r>
              <w:rPr>
                <w:rFonts w:ascii="Arial Narrow" w:hAnsi="Arial Narrow"/>
                <w:sz w:val="20"/>
              </w:rPr>
              <w:t>Total drug and administration costs per patient: Year 1</w:t>
            </w:r>
          </w:p>
        </w:tc>
        <w:tc>
          <w:tcPr>
            <w:tcW w:w="1207" w:type="pct"/>
            <w:tcBorders>
              <w:top w:val="single" w:sz="4" w:space="0" w:color="auto"/>
              <w:bottom w:val="single" w:sz="4" w:space="0" w:color="auto"/>
            </w:tcBorders>
            <w:vAlign w:val="center"/>
          </w:tcPr>
          <w:p w:rsidR="0056285B" w:rsidRPr="00BF0C39" w:rsidRDefault="00BF0C39" w:rsidP="00926718">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7" w:type="pct"/>
            <w:tcBorders>
              <w:top w:val="single" w:sz="4" w:space="0" w:color="auto"/>
              <w:bottom w:val="single" w:sz="4" w:space="0" w:color="auto"/>
            </w:tcBorders>
            <w:vAlign w:val="center"/>
          </w:tcPr>
          <w:p w:rsidR="0056285B" w:rsidRPr="00BF0C39" w:rsidRDefault="00BF0C39" w:rsidP="00926718">
            <w:pPr>
              <w:widowControl/>
              <w:jc w:val="center"/>
              <w:rPr>
                <w:rFonts w:ascii="Arial Narrow" w:hAnsi="Arial Narrow"/>
                <w:sz w:val="20"/>
                <w:highlight w:val="black"/>
              </w:rPr>
            </w:pPr>
            <w:r>
              <w:rPr>
                <w:rFonts w:ascii="Arial Narrow" w:hAnsi="Arial Narrow"/>
                <w:noProof/>
                <w:color w:val="000000"/>
                <w:sz w:val="20"/>
                <w:highlight w:val="black"/>
              </w:rPr>
              <w:t>''''''''''''''''''''''</w:t>
            </w:r>
          </w:p>
        </w:tc>
      </w:tr>
      <w:tr w:rsidR="0056285B">
        <w:tc>
          <w:tcPr>
            <w:tcW w:w="2587" w:type="pct"/>
            <w:tcBorders>
              <w:top w:val="single" w:sz="4" w:space="0" w:color="auto"/>
              <w:bottom w:val="single" w:sz="4" w:space="0" w:color="auto"/>
            </w:tcBorders>
            <w:vAlign w:val="center"/>
          </w:tcPr>
          <w:p w:rsidR="0056285B" w:rsidRDefault="0056285B" w:rsidP="00926718">
            <w:pPr>
              <w:widowControl/>
              <w:jc w:val="left"/>
              <w:rPr>
                <w:rFonts w:ascii="Arial Narrow" w:hAnsi="Arial Narrow"/>
                <w:sz w:val="20"/>
              </w:rPr>
            </w:pPr>
            <w:r>
              <w:rPr>
                <w:rFonts w:ascii="Arial Narrow" w:hAnsi="Arial Narrow"/>
                <w:sz w:val="20"/>
              </w:rPr>
              <w:t>Adverse event costs</w:t>
            </w:r>
          </w:p>
        </w:tc>
        <w:tc>
          <w:tcPr>
            <w:tcW w:w="1207" w:type="pct"/>
            <w:tcBorders>
              <w:top w:val="single" w:sz="4" w:space="0" w:color="auto"/>
              <w:bottom w:val="single" w:sz="4" w:space="0" w:color="auto"/>
            </w:tcBorders>
            <w:vAlign w:val="center"/>
          </w:tcPr>
          <w:p w:rsidR="0056285B" w:rsidRPr="00BF0C39" w:rsidRDefault="00BF0C39" w:rsidP="00926718">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07" w:type="pct"/>
            <w:tcBorders>
              <w:top w:val="single" w:sz="4" w:space="0" w:color="auto"/>
              <w:bottom w:val="single" w:sz="4" w:space="0" w:color="auto"/>
            </w:tcBorders>
            <w:vAlign w:val="center"/>
          </w:tcPr>
          <w:p w:rsidR="0056285B" w:rsidRPr="00BF0C39" w:rsidRDefault="00BF0C39" w:rsidP="00926718">
            <w:pPr>
              <w:widowControl/>
              <w:jc w:val="center"/>
              <w:rPr>
                <w:rFonts w:ascii="Arial Narrow" w:hAnsi="Arial Narrow"/>
                <w:sz w:val="20"/>
                <w:highlight w:val="black"/>
              </w:rPr>
            </w:pPr>
            <w:r>
              <w:rPr>
                <w:rFonts w:ascii="Arial Narrow" w:hAnsi="Arial Narrow"/>
                <w:noProof/>
                <w:color w:val="000000"/>
                <w:sz w:val="20"/>
                <w:highlight w:val="black"/>
              </w:rPr>
              <w:t>''''''</w:t>
            </w:r>
          </w:p>
        </w:tc>
      </w:tr>
      <w:tr w:rsidR="0056285B" w:rsidRPr="00DB2CD7">
        <w:tc>
          <w:tcPr>
            <w:tcW w:w="2587" w:type="pct"/>
            <w:tcBorders>
              <w:top w:val="single" w:sz="4" w:space="0" w:color="auto"/>
            </w:tcBorders>
            <w:vAlign w:val="center"/>
          </w:tcPr>
          <w:p w:rsidR="0056285B" w:rsidRPr="00DB2CD7" w:rsidRDefault="0056285B" w:rsidP="00926718">
            <w:pPr>
              <w:widowControl/>
              <w:jc w:val="left"/>
              <w:rPr>
                <w:rFonts w:ascii="Arial Narrow" w:hAnsi="Arial Narrow"/>
                <w:b/>
                <w:sz w:val="20"/>
              </w:rPr>
            </w:pPr>
            <w:r w:rsidRPr="00DB2CD7">
              <w:rPr>
                <w:rFonts w:ascii="Arial Narrow" w:hAnsi="Arial Narrow"/>
                <w:b/>
                <w:sz w:val="20"/>
              </w:rPr>
              <w:t>Total costs per patient: Year 1</w:t>
            </w:r>
          </w:p>
        </w:tc>
        <w:tc>
          <w:tcPr>
            <w:tcW w:w="1207" w:type="pct"/>
            <w:tcBorders>
              <w:top w:val="single" w:sz="4" w:space="0" w:color="auto"/>
            </w:tcBorders>
            <w:vAlign w:val="center"/>
          </w:tcPr>
          <w:p w:rsidR="0056285B" w:rsidRPr="00BF0C39" w:rsidRDefault="00BF0C39" w:rsidP="00926718">
            <w:pPr>
              <w:widowControl/>
              <w:jc w:val="center"/>
              <w:rPr>
                <w:rFonts w:ascii="Arial Narrow" w:hAnsi="Arial Narrow"/>
                <w:b/>
                <w:sz w:val="20"/>
                <w:highlight w:val="black"/>
              </w:rPr>
            </w:pPr>
            <w:r>
              <w:rPr>
                <w:rFonts w:ascii="Arial Narrow" w:hAnsi="Arial Narrow"/>
                <w:b/>
                <w:noProof/>
                <w:color w:val="000000"/>
                <w:sz w:val="20"/>
                <w:highlight w:val="black"/>
              </w:rPr>
              <w:t>''''''''''''''''</w:t>
            </w:r>
          </w:p>
        </w:tc>
        <w:tc>
          <w:tcPr>
            <w:tcW w:w="1207" w:type="pct"/>
            <w:tcBorders>
              <w:top w:val="single" w:sz="4" w:space="0" w:color="auto"/>
            </w:tcBorders>
            <w:vAlign w:val="center"/>
          </w:tcPr>
          <w:p w:rsidR="0056285B" w:rsidRPr="00BF0C39" w:rsidRDefault="00BF0C39" w:rsidP="00926718">
            <w:pPr>
              <w:widowControl/>
              <w:jc w:val="center"/>
              <w:rPr>
                <w:rFonts w:ascii="Arial Narrow" w:hAnsi="Arial Narrow"/>
                <w:b/>
                <w:sz w:val="20"/>
                <w:highlight w:val="black"/>
              </w:rPr>
            </w:pPr>
            <w:r>
              <w:rPr>
                <w:rFonts w:ascii="Arial Narrow" w:hAnsi="Arial Narrow"/>
                <w:b/>
                <w:noProof/>
                <w:color w:val="000000"/>
                <w:sz w:val="20"/>
                <w:highlight w:val="black"/>
              </w:rPr>
              <w:t>''''''''''''''''</w:t>
            </w:r>
          </w:p>
        </w:tc>
      </w:tr>
    </w:tbl>
    <w:p w:rsidR="0056285B" w:rsidRPr="00F976C6" w:rsidRDefault="0056285B" w:rsidP="0056285B">
      <w:pPr>
        <w:widowControl/>
        <w:ind w:firstLine="720"/>
        <w:jc w:val="left"/>
        <w:rPr>
          <w:rFonts w:ascii="Arial Narrow" w:hAnsi="Arial Narrow"/>
          <w:sz w:val="18"/>
        </w:rPr>
      </w:pPr>
      <w:r w:rsidRPr="00F976C6">
        <w:rPr>
          <w:rFonts w:ascii="Arial Narrow" w:hAnsi="Arial Narrow"/>
          <w:sz w:val="18"/>
        </w:rPr>
        <w:t>Source: Table D.2.4, p15, Section D-CMA of the submission</w:t>
      </w:r>
    </w:p>
    <w:p w:rsidR="0056285B" w:rsidRDefault="0056285B" w:rsidP="00A86E8B">
      <w:pPr>
        <w:widowControl/>
        <w:rPr>
          <w:szCs w:val="22"/>
        </w:rPr>
      </w:pPr>
    </w:p>
    <w:p w:rsidR="0056285B" w:rsidRDefault="0056285B" w:rsidP="0056285B">
      <w:pPr>
        <w:pStyle w:val="ListParagraph"/>
        <w:widowControl/>
        <w:numPr>
          <w:ilvl w:val="1"/>
          <w:numId w:val="3"/>
        </w:numPr>
        <w:rPr>
          <w:szCs w:val="22"/>
        </w:rPr>
      </w:pPr>
      <w:r>
        <w:rPr>
          <w:szCs w:val="22"/>
        </w:rPr>
        <w:t>The submission request</w:t>
      </w:r>
      <w:r w:rsidR="00FD1850">
        <w:rPr>
          <w:szCs w:val="22"/>
        </w:rPr>
        <w:t>ed</w:t>
      </w:r>
      <w:r>
        <w:rPr>
          <w:szCs w:val="22"/>
        </w:rPr>
        <w:t xml:space="preserve"> a price premium for aflibercept </w:t>
      </w:r>
      <w:r w:rsidR="00BF0C39">
        <w:rPr>
          <w:noProof/>
          <w:color w:val="000000"/>
          <w:szCs w:val="22"/>
          <w:highlight w:val="black"/>
        </w:rPr>
        <w:t>'''''''''''''''''' '''''''' ''''''''''</w:t>
      </w:r>
      <w:r>
        <w:rPr>
          <w:szCs w:val="22"/>
        </w:rPr>
        <w:t xml:space="preserve"> </w:t>
      </w:r>
      <w:r w:rsidR="003B534E">
        <w:rPr>
          <w:szCs w:val="22"/>
        </w:rPr>
        <w:t xml:space="preserve">over bevacizumab </w:t>
      </w:r>
      <w:r>
        <w:rPr>
          <w:szCs w:val="22"/>
        </w:rPr>
        <w:t xml:space="preserve">on the basis of </w:t>
      </w:r>
      <w:r w:rsidRPr="0056285B">
        <w:rPr>
          <w:szCs w:val="22"/>
        </w:rPr>
        <w:t xml:space="preserve">costs associated with </w:t>
      </w:r>
      <w:r w:rsidR="00A31B6E">
        <w:rPr>
          <w:szCs w:val="22"/>
        </w:rPr>
        <w:t xml:space="preserve">research and development, </w:t>
      </w:r>
      <w:r w:rsidRPr="0056285B">
        <w:rPr>
          <w:szCs w:val="22"/>
        </w:rPr>
        <w:t>registration, reimbursement, patien</w:t>
      </w:r>
      <w:r>
        <w:rPr>
          <w:szCs w:val="22"/>
        </w:rPr>
        <w:t>t support and pharmacovigilance.  This result</w:t>
      </w:r>
      <w:r w:rsidR="00FD1850">
        <w:rPr>
          <w:szCs w:val="22"/>
        </w:rPr>
        <w:t>ed</w:t>
      </w:r>
      <w:r>
        <w:rPr>
          <w:szCs w:val="22"/>
        </w:rPr>
        <w:t xml:space="preserve"> in a proposed </w:t>
      </w:r>
      <w:r w:rsidR="00EA3FCE">
        <w:rPr>
          <w:szCs w:val="22"/>
        </w:rPr>
        <w:t xml:space="preserve">aflibercept vial </w:t>
      </w:r>
      <w:r>
        <w:rPr>
          <w:szCs w:val="22"/>
        </w:rPr>
        <w:t xml:space="preserve">price of </w:t>
      </w:r>
      <w:r w:rsidR="00BF0C39">
        <w:rPr>
          <w:noProof/>
          <w:color w:val="000000"/>
          <w:szCs w:val="22"/>
          <w:highlight w:val="black"/>
        </w:rPr>
        <w:t>''''''''''''''''''''</w:t>
      </w:r>
      <w:r>
        <w:rPr>
          <w:szCs w:val="22"/>
        </w:rPr>
        <w:t xml:space="preserve"> for</w:t>
      </w:r>
      <w:r w:rsidR="00EA3FCE">
        <w:rPr>
          <w:szCs w:val="22"/>
        </w:rPr>
        <w:t xml:space="preserve"> the comparison with bevacizumab</w:t>
      </w:r>
      <w:r w:rsidR="003B534E">
        <w:rPr>
          <w:szCs w:val="22"/>
        </w:rPr>
        <w:t>.</w:t>
      </w:r>
    </w:p>
    <w:p w:rsidR="0056285B" w:rsidRPr="00A86E8B" w:rsidRDefault="0056285B" w:rsidP="00A86E8B">
      <w:pPr>
        <w:widowControl/>
        <w:rPr>
          <w:szCs w:val="22"/>
        </w:rPr>
      </w:pPr>
    </w:p>
    <w:p w:rsidR="00A86E8B" w:rsidRPr="00172CF0" w:rsidRDefault="00172CF0" w:rsidP="00B80C0B">
      <w:pPr>
        <w:pStyle w:val="ListParagraph"/>
        <w:widowControl/>
        <w:numPr>
          <w:ilvl w:val="1"/>
          <w:numId w:val="3"/>
        </w:numPr>
        <w:rPr>
          <w:szCs w:val="22"/>
        </w:rPr>
      </w:pPr>
      <w:r>
        <w:t xml:space="preserve">On the basis of the aflibercept vial prices used in the economic evaluations, the overall effective price </w:t>
      </w:r>
      <w:r w:rsidR="00BF0C39">
        <w:rPr>
          <w:noProof/>
          <w:color w:val="000000"/>
          <w:highlight w:val="black"/>
        </w:rPr>
        <w:t>'''''''''''''''''''''''''</w:t>
      </w:r>
      <w:r>
        <w:t xml:space="preserve"> </w:t>
      </w:r>
      <w:r w:rsidR="00FD1850">
        <w:t>wa</w:t>
      </w:r>
      <w:r>
        <w:t xml:space="preserve">s informed by a </w:t>
      </w:r>
      <w:r w:rsidR="00BF0C39">
        <w:rPr>
          <w:noProof/>
          <w:color w:val="000000"/>
          <w:highlight w:val="black"/>
        </w:rPr>
        <w:t>''''''''''''''''''''''</w:t>
      </w:r>
      <w:r>
        <w:t xml:space="preserve"> distribution across </w:t>
      </w:r>
      <w:r w:rsidR="003B534E">
        <w:t>ranibizumab/bevacizumab/laser</w:t>
      </w:r>
      <w:r w:rsidR="00FD1850">
        <w:t xml:space="preserve"> as comparators</w:t>
      </w:r>
      <w:r w:rsidR="003B534E">
        <w:t>.</w:t>
      </w:r>
    </w:p>
    <w:p w:rsidR="00C25D9C" w:rsidRDefault="00C25D9C" w:rsidP="00C25D9C">
      <w:pPr>
        <w:widowControl/>
        <w:rPr>
          <w:szCs w:val="22"/>
        </w:rPr>
      </w:pPr>
    </w:p>
    <w:p w:rsidR="0042307F" w:rsidRPr="008A3302" w:rsidRDefault="0042307F" w:rsidP="0042307F">
      <w:pPr>
        <w:widowControl/>
        <w:ind w:left="709"/>
        <w:contextualSpacing/>
        <w:rPr>
          <w:rFonts w:cs="Times New Roman"/>
          <w:i/>
          <w:snapToGrid/>
          <w:szCs w:val="22"/>
          <w:lang w:eastAsia="en-AU"/>
        </w:rPr>
      </w:pPr>
      <w:r w:rsidRPr="00A53ADC">
        <w:rPr>
          <w:rFonts w:cs="Times New Roman"/>
          <w:i/>
          <w:snapToGrid/>
          <w:szCs w:val="22"/>
          <w:lang w:eastAsia="en-AU"/>
        </w:rPr>
        <w:t>For more detail on PBAC’s view, see section 7 “PBAC outcome”</w:t>
      </w:r>
    </w:p>
    <w:p w:rsidR="0042307F" w:rsidRDefault="0042307F" w:rsidP="00C25D9C">
      <w:pPr>
        <w:widowControl/>
        <w:rPr>
          <w:szCs w:val="22"/>
        </w:rPr>
      </w:pPr>
    </w:p>
    <w:p w:rsidR="00123170" w:rsidRPr="00DC7F09" w:rsidRDefault="00C25D9C" w:rsidP="00E6031F">
      <w:r w:rsidRPr="00DC7F09">
        <w:rPr>
          <w:b/>
        </w:rPr>
        <w:t>Drug cost/patient</w:t>
      </w:r>
      <w:r w:rsidR="00E6031F" w:rsidRPr="00DC7F09">
        <w:rPr>
          <w:b/>
        </w:rPr>
        <w:t>/</w:t>
      </w:r>
      <w:r w:rsidRPr="00DC7F09">
        <w:rPr>
          <w:b/>
        </w:rPr>
        <w:t>year:</w:t>
      </w:r>
    </w:p>
    <w:p w:rsidR="00123170" w:rsidRDefault="00123170" w:rsidP="00E6031F"/>
    <w:p w:rsidR="00C25D9C" w:rsidRPr="00E6031F" w:rsidRDefault="0036454A" w:rsidP="00123170">
      <w:pPr>
        <w:pStyle w:val="ListParagraph"/>
        <w:widowControl/>
        <w:numPr>
          <w:ilvl w:val="1"/>
          <w:numId w:val="3"/>
        </w:numPr>
        <w:rPr>
          <w:szCs w:val="22"/>
        </w:rPr>
      </w:pPr>
      <w:r>
        <w:t xml:space="preserve">The drug cost/patient/year was estimated to be </w:t>
      </w:r>
      <w:r w:rsidR="00BF0C39">
        <w:rPr>
          <w:noProof/>
          <w:color w:val="000000"/>
          <w:highlight w:val="black"/>
        </w:rPr>
        <w:t>''''''''''''''''''''''''''</w:t>
      </w:r>
      <w:r>
        <w:t xml:space="preserve"> in Year 1</w:t>
      </w:r>
      <w:r w:rsidR="00E6031F">
        <w:t xml:space="preserve">; </w:t>
      </w:r>
      <w:r w:rsidR="00BF0C39">
        <w:rPr>
          <w:noProof/>
          <w:color w:val="000000"/>
          <w:highlight w:val="black"/>
        </w:rPr>
        <w:t>''''''''''''''''''''''</w:t>
      </w:r>
      <w:r>
        <w:t xml:space="preserve"> in Year 2</w:t>
      </w:r>
      <w:r w:rsidR="00E6031F">
        <w:t xml:space="preserve">; </w:t>
      </w:r>
      <w:r w:rsidR="00BF0C39">
        <w:rPr>
          <w:noProof/>
          <w:color w:val="000000"/>
          <w:highlight w:val="black"/>
        </w:rPr>
        <w:t>''''''''''''''''''''''</w:t>
      </w:r>
      <w:r>
        <w:t xml:space="preserve"> in</w:t>
      </w:r>
      <w:r w:rsidRPr="0036454A">
        <w:t xml:space="preserve"> </w:t>
      </w:r>
      <w:r>
        <w:t>Year 3</w:t>
      </w:r>
      <w:r w:rsidR="00E6031F">
        <w:t xml:space="preserve">; </w:t>
      </w:r>
      <w:r w:rsidR="00BF0C39">
        <w:rPr>
          <w:noProof/>
          <w:color w:val="000000"/>
          <w:highlight w:val="black"/>
        </w:rPr>
        <w:t>'''''''''''''''''''''''</w:t>
      </w:r>
      <w:r>
        <w:t xml:space="preserve"> in Year 4 and</w:t>
      </w:r>
      <w:r w:rsidR="00E6031F">
        <w:t xml:space="preserve"> </w:t>
      </w:r>
      <w:r w:rsidR="00BF0C39">
        <w:rPr>
          <w:noProof/>
          <w:color w:val="000000"/>
          <w:highlight w:val="black"/>
        </w:rPr>
        <w:t>''''''''''''''''''''''</w:t>
      </w:r>
      <w:r>
        <w:t xml:space="preserve"> in Year 5</w:t>
      </w:r>
      <w:r w:rsidR="00123170">
        <w:t>.</w:t>
      </w:r>
    </w:p>
    <w:p w:rsidR="00C25D9C" w:rsidRPr="00C25D9C" w:rsidRDefault="00C25D9C" w:rsidP="00C25D9C">
      <w:pPr>
        <w:widowControl/>
        <w:rPr>
          <w:szCs w:val="22"/>
        </w:rPr>
      </w:pPr>
    </w:p>
    <w:p w:rsidR="00262F34" w:rsidRPr="00A20554" w:rsidRDefault="00FD1850" w:rsidP="00262F34">
      <w:pPr>
        <w:pStyle w:val="ListParagraph"/>
        <w:widowControl/>
        <w:numPr>
          <w:ilvl w:val="1"/>
          <w:numId w:val="3"/>
        </w:numPr>
        <w:rPr>
          <w:szCs w:val="22"/>
        </w:rPr>
      </w:pPr>
      <w:r>
        <w:rPr>
          <w:szCs w:val="22"/>
        </w:rPr>
        <w:t>The d</w:t>
      </w:r>
      <w:r w:rsidR="00262F34" w:rsidRPr="00A20554">
        <w:rPr>
          <w:szCs w:val="22"/>
        </w:rPr>
        <w:t xml:space="preserve">rug cost/patient/year </w:t>
      </w:r>
      <w:r>
        <w:rPr>
          <w:szCs w:val="22"/>
        </w:rPr>
        <w:t>estimate wa</w:t>
      </w:r>
      <w:r w:rsidR="00262F34" w:rsidRPr="00A20554">
        <w:rPr>
          <w:szCs w:val="22"/>
        </w:rPr>
        <w:t xml:space="preserve">s based on an average number of aflibercept injections per treated eye (Year 1: </w:t>
      </w:r>
      <w:r w:rsidR="00BF0C39">
        <w:rPr>
          <w:noProof/>
          <w:color w:val="000000"/>
          <w:szCs w:val="22"/>
          <w:highlight w:val="black"/>
        </w:rPr>
        <w:t>''''''''</w:t>
      </w:r>
      <w:r w:rsidR="00262F34" w:rsidRPr="00A20554">
        <w:rPr>
          <w:szCs w:val="22"/>
        </w:rPr>
        <w:t xml:space="preserve">, Year 2: </w:t>
      </w:r>
      <w:r w:rsidR="00BF0C39">
        <w:rPr>
          <w:noProof/>
          <w:color w:val="000000"/>
          <w:szCs w:val="22"/>
          <w:highlight w:val="black"/>
        </w:rPr>
        <w:t>'''''''</w:t>
      </w:r>
      <w:r w:rsidR="00262F34" w:rsidRPr="00A20554">
        <w:rPr>
          <w:szCs w:val="22"/>
        </w:rPr>
        <w:t xml:space="preserve">, Year 3: </w:t>
      </w:r>
      <w:r w:rsidR="00BF0C39">
        <w:rPr>
          <w:noProof/>
          <w:color w:val="000000"/>
          <w:szCs w:val="22"/>
          <w:highlight w:val="black"/>
        </w:rPr>
        <w:t>'''''''</w:t>
      </w:r>
      <w:r w:rsidR="00262F34" w:rsidRPr="00A20554">
        <w:rPr>
          <w:szCs w:val="22"/>
        </w:rPr>
        <w:t xml:space="preserve">, Year 4 &amp; 5: </w:t>
      </w:r>
      <w:r w:rsidR="00BF0C39">
        <w:rPr>
          <w:noProof/>
          <w:color w:val="000000"/>
          <w:szCs w:val="22"/>
          <w:highlight w:val="black"/>
        </w:rPr>
        <w:t>'''''''</w:t>
      </w:r>
      <w:r w:rsidR="00262F34" w:rsidRPr="00A20554">
        <w:rPr>
          <w:szCs w:val="22"/>
        </w:rPr>
        <w:t xml:space="preserve">), which </w:t>
      </w:r>
      <w:r>
        <w:rPr>
          <w:szCs w:val="22"/>
        </w:rPr>
        <w:t>we</w:t>
      </w:r>
      <w:r w:rsidR="00262F34" w:rsidRPr="00A20554">
        <w:rPr>
          <w:szCs w:val="22"/>
        </w:rPr>
        <w:t xml:space="preserve">re then adjusted for the expected extent of bilateral treatment </w:t>
      </w:r>
      <w:r w:rsidR="00BF0C39">
        <w:rPr>
          <w:noProof/>
          <w:color w:val="000000"/>
          <w:szCs w:val="22"/>
          <w:highlight w:val="black"/>
        </w:rPr>
        <w:t>''''''''''''''''''</w:t>
      </w:r>
      <w:r w:rsidR="00262F34" w:rsidRPr="00A20554">
        <w:rPr>
          <w:szCs w:val="22"/>
        </w:rPr>
        <w:t>.  As to whether these trial based treatment frequencies (</w:t>
      </w:r>
      <w:r w:rsidR="003B534E" w:rsidRPr="00A20554">
        <w:rPr>
          <w:szCs w:val="22"/>
        </w:rPr>
        <w:t>Y</w:t>
      </w:r>
      <w:r w:rsidR="00262F34" w:rsidRPr="00A20554">
        <w:rPr>
          <w:szCs w:val="22"/>
        </w:rPr>
        <w:t xml:space="preserve">ear 1 and </w:t>
      </w:r>
      <w:r w:rsidR="003B534E" w:rsidRPr="00A20554">
        <w:rPr>
          <w:szCs w:val="22"/>
        </w:rPr>
        <w:t>Y</w:t>
      </w:r>
      <w:r w:rsidR="00262F34" w:rsidRPr="00A20554">
        <w:rPr>
          <w:szCs w:val="22"/>
        </w:rPr>
        <w:t>ear 2) will eventuate in practice is depend</w:t>
      </w:r>
      <w:r w:rsidR="003B534E">
        <w:rPr>
          <w:szCs w:val="22"/>
        </w:rPr>
        <w:t>ent upon the following factors</w:t>
      </w:r>
      <w:r>
        <w:rPr>
          <w:szCs w:val="22"/>
        </w:rPr>
        <w:t>.</w:t>
      </w:r>
    </w:p>
    <w:p w:rsidR="00262F34" w:rsidRPr="00FD1850" w:rsidRDefault="00262F34" w:rsidP="00FD1850">
      <w:pPr>
        <w:pStyle w:val="ListParagraph"/>
        <w:widowControl/>
        <w:numPr>
          <w:ilvl w:val="0"/>
          <w:numId w:val="15"/>
        </w:numPr>
        <w:ind w:left="1134"/>
        <w:rPr>
          <w:szCs w:val="22"/>
        </w:rPr>
      </w:pPr>
      <w:r w:rsidRPr="00FD1850">
        <w:rPr>
          <w:szCs w:val="22"/>
        </w:rPr>
        <w:t>Reduction in out of pocket costs with the proposed listing may result in increased accessibility to treatment and adoption of ongoing treatment practices (</w:t>
      </w:r>
      <w:r w:rsidR="00BF0C39">
        <w:rPr>
          <w:noProof/>
          <w:color w:val="000000"/>
          <w:szCs w:val="22"/>
          <w:highlight w:val="black"/>
        </w:rPr>
        <w:t>''''</w:t>
      </w:r>
      <w:r w:rsidRPr="00FD1850">
        <w:rPr>
          <w:szCs w:val="22"/>
        </w:rPr>
        <w:t xml:space="preserve"> injections in year 1 and </w:t>
      </w:r>
      <w:r w:rsidR="00BF0C39">
        <w:rPr>
          <w:noProof/>
          <w:color w:val="000000"/>
          <w:szCs w:val="22"/>
          <w:highlight w:val="black"/>
        </w:rPr>
        <w:t>'''</w:t>
      </w:r>
      <w:r w:rsidRPr="00FD1850">
        <w:rPr>
          <w:szCs w:val="22"/>
        </w:rPr>
        <w:t xml:space="preserve"> injections per year thereafter for the treated eye).</w:t>
      </w:r>
    </w:p>
    <w:p w:rsidR="00262F34" w:rsidRPr="00FD1850" w:rsidRDefault="00262F34" w:rsidP="00FD1850">
      <w:pPr>
        <w:pStyle w:val="ListParagraph"/>
        <w:widowControl/>
        <w:numPr>
          <w:ilvl w:val="0"/>
          <w:numId w:val="15"/>
        </w:numPr>
        <w:ind w:left="1134"/>
        <w:rPr>
          <w:szCs w:val="22"/>
        </w:rPr>
      </w:pPr>
      <w:r w:rsidRPr="00FD1850">
        <w:rPr>
          <w:szCs w:val="22"/>
        </w:rPr>
        <w:t>Ongoing treatment schedules may be impracticable, given the considerable burden this may impose on patients.  There is the potential that aflibercept may be administered on a PRN basis in such circumstances.</w:t>
      </w:r>
    </w:p>
    <w:p w:rsidR="00220308" w:rsidRPr="003B534E" w:rsidRDefault="00220308" w:rsidP="003B534E">
      <w:pPr>
        <w:widowControl/>
        <w:rPr>
          <w:szCs w:val="22"/>
        </w:rPr>
      </w:pPr>
    </w:p>
    <w:p w:rsidR="00B60939" w:rsidRPr="00BF0C39" w:rsidRDefault="00B60939" w:rsidP="00BF0C39">
      <w:pPr>
        <w:rPr>
          <w:b/>
        </w:rPr>
      </w:pPr>
      <w:bookmarkStart w:id="13" w:name="_Toc398652605"/>
      <w:r w:rsidRPr="00BF0C39">
        <w:rPr>
          <w:b/>
        </w:rPr>
        <w:t>Estimated PBS usage &amp; financial implications</w:t>
      </w:r>
      <w:bookmarkEnd w:id="13"/>
    </w:p>
    <w:p w:rsidR="00B60939" w:rsidRPr="00A20554" w:rsidRDefault="00B60939" w:rsidP="00B60939">
      <w:pPr>
        <w:ind w:left="720" w:hanging="720"/>
        <w:rPr>
          <w:b/>
          <w:szCs w:val="22"/>
        </w:rPr>
      </w:pPr>
    </w:p>
    <w:p w:rsidR="00C25D9C" w:rsidRPr="00A20554" w:rsidRDefault="00262F34" w:rsidP="008256AA">
      <w:pPr>
        <w:pStyle w:val="ListParagraph"/>
        <w:widowControl/>
        <w:numPr>
          <w:ilvl w:val="1"/>
          <w:numId w:val="3"/>
        </w:numPr>
        <w:rPr>
          <w:szCs w:val="22"/>
        </w:rPr>
      </w:pPr>
      <w:r w:rsidRPr="00A20554">
        <w:t xml:space="preserve">This submission </w:t>
      </w:r>
      <w:r w:rsidR="00E21302" w:rsidRPr="00A20554">
        <w:t xml:space="preserve">was </w:t>
      </w:r>
      <w:r w:rsidR="00C25D9C" w:rsidRPr="00A20554">
        <w:t>not considered by DUSC</w:t>
      </w:r>
      <w:r w:rsidR="00C25D9C" w:rsidRPr="00A20554">
        <w:rPr>
          <w:color w:val="0070C0"/>
        </w:rPr>
        <w:t>.</w:t>
      </w:r>
    </w:p>
    <w:p w:rsidR="00A20554" w:rsidRDefault="00A20554" w:rsidP="00A20554">
      <w:pPr>
        <w:widowControl/>
        <w:jc w:val="left"/>
        <w:rPr>
          <w:szCs w:val="22"/>
        </w:rPr>
      </w:pPr>
    </w:p>
    <w:p w:rsidR="008256AA" w:rsidRPr="005B7B4E" w:rsidRDefault="008256AA" w:rsidP="00A20554">
      <w:pPr>
        <w:widowControl/>
        <w:ind w:firstLine="720"/>
        <w:jc w:val="left"/>
        <w:rPr>
          <w:rFonts w:ascii="Arial Narrow" w:hAnsi="Arial Narrow"/>
          <w:b/>
          <w:snapToGrid/>
          <w:sz w:val="20"/>
          <w:szCs w:val="16"/>
        </w:rPr>
      </w:pPr>
      <w:r w:rsidRPr="005B7B4E">
        <w:rPr>
          <w:rFonts w:ascii="Arial Narrow" w:hAnsi="Arial Narrow"/>
          <w:b/>
          <w:snapToGrid/>
          <w:sz w:val="20"/>
          <w:szCs w:val="16"/>
        </w:rPr>
        <w:t>Estimated financial implications for the PBS</w:t>
      </w:r>
    </w:p>
    <w:tbl>
      <w:tblPr>
        <w:tblStyle w:val="TableGrid"/>
        <w:tblW w:w="4608" w:type="pct"/>
        <w:tblInd w:w="737" w:type="dxa"/>
        <w:tblCellMar>
          <w:left w:w="28" w:type="dxa"/>
          <w:right w:w="28" w:type="dxa"/>
        </w:tblCellMar>
        <w:tblLook w:val="04A0" w:firstRow="1" w:lastRow="0" w:firstColumn="1" w:lastColumn="0" w:noHBand="0" w:noVBand="1"/>
      </w:tblPr>
      <w:tblGrid>
        <w:gridCol w:w="2704"/>
        <w:gridCol w:w="1141"/>
        <w:gridCol w:w="1157"/>
        <w:gridCol w:w="1117"/>
        <w:gridCol w:w="1126"/>
        <w:gridCol w:w="1126"/>
      </w:tblGrid>
      <w:tr w:rsidR="008256AA" w:rsidRPr="005B7B4E">
        <w:tc>
          <w:tcPr>
            <w:tcW w:w="1622" w:type="pct"/>
            <w:tcBorders>
              <w:top w:val="single" w:sz="4" w:space="0" w:color="auto"/>
              <w:left w:val="single" w:sz="4" w:space="0" w:color="auto"/>
              <w:bottom w:val="single" w:sz="4" w:space="0" w:color="auto"/>
              <w:right w:val="single" w:sz="4" w:space="0" w:color="auto"/>
            </w:tcBorders>
            <w:vAlign w:val="center"/>
          </w:tcPr>
          <w:p w:rsidR="008256AA" w:rsidRPr="005B7B4E" w:rsidRDefault="008256AA" w:rsidP="00926718">
            <w:pPr>
              <w:snapToGrid w:val="0"/>
              <w:jc w:val="left"/>
              <w:rPr>
                <w:snapToGrid/>
              </w:rPr>
            </w:pPr>
          </w:p>
        </w:tc>
        <w:tc>
          <w:tcPr>
            <w:tcW w:w="688" w:type="pct"/>
            <w:tcBorders>
              <w:top w:val="single" w:sz="4" w:space="0" w:color="auto"/>
              <w:left w:val="single" w:sz="4" w:space="0" w:color="auto"/>
              <w:bottom w:val="single" w:sz="4" w:space="0" w:color="auto"/>
              <w:right w:val="single" w:sz="4" w:space="0" w:color="auto"/>
            </w:tcBorders>
            <w:vAlign w:val="center"/>
          </w:tcPr>
          <w:p w:rsidR="008256AA" w:rsidRPr="005B7B4E" w:rsidRDefault="008256AA" w:rsidP="00926718">
            <w:pPr>
              <w:snapToGrid w:val="0"/>
              <w:jc w:val="center"/>
              <w:rPr>
                <w:rFonts w:ascii="Arial Narrow" w:hAnsi="Arial Narrow"/>
                <w:snapToGrid/>
                <w:sz w:val="20"/>
              </w:rPr>
            </w:pPr>
            <w:r w:rsidRPr="005B7B4E">
              <w:rPr>
                <w:rFonts w:ascii="Arial Narrow" w:hAnsi="Arial Narrow"/>
                <w:b/>
                <w:snapToGrid/>
                <w:sz w:val="20"/>
                <w:szCs w:val="16"/>
              </w:rPr>
              <w:t>Year 1</w:t>
            </w:r>
          </w:p>
        </w:tc>
        <w:tc>
          <w:tcPr>
            <w:tcW w:w="673" w:type="pct"/>
            <w:tcBorders>
              <w:top w:val="single" w:sz="4" w:space="0" w:color="auto"/>
              <w:left w:val="single" w:sz="4" w:space="0" w:color="auto"/>
              <w:bottom w:val="single" w:sz="4" w:space="0" w:color="auto"/>
              <w:right w:val="single" w:sz="4" w:space="0" w:color="auto"/>
            </w:tcBorders>
            <w:vAlign w:val="center"/>
          </w:tcPr>
          <w:p w:rsidR="008256AA" w:rsidRPr="005B7B4E" w:rsidRDefault="008256AA" w:rsidP="00926718">
            <w:pPr>
              <w:snapToGrid w:val="0"/>
              <w:jc w:val="center"/>
              <w:rPr>
                <w:rFonts w:ascii="Arial Narrow" w:hAnsi="Arial Narrow"/>
                <w:snapToGrid/>
                <w:sz w:val="20"/>
              </w:rPr>
            </w:pPr>
            <w:r w:rsidRPr="005B7B4E">
              <w:rPr>
                <w:rFonts w:ascii="Arial Narrow" w:hAnsi="Arial Narrow"/>
                <w:b/>
                <w:snapToGrid/>
                <w:sz w:val="20"/>
                <w:szCs w:val="16"/>
              </w:rPr>
              <w:t>Year 2</w:t>
            </w:r>
          </w:p>
        </w:tc>
        <w:tc>
          <w:tcPr>
            <w:tcW w:w="673" w:type="pct"/>
            <w:tcBorders>
              <w:top w:val="single" w:sz="4" w:space="0" w:color="auto"/>
              <w:left w:val="single" w:sz="4" w:space="0" w:color="auto"/>
              <w:bottom w:val="single" w:sz="4" w:space="0" w:color="auto"/>
              <w:right w:val="single" w:sz="4" w:space="0" w:color="auto"/>
            </w:tcBorders>
            <w:vAlign w:val="center"/>
          </w:tcPr>
          <w:p w:rsidR="008256AA" w:rsidRPr="005B7B4E" w:rsidRDefault="008256AA" w:rsidP="00926718">
            <w:pPr>
              <w:snapToGrid w:val="0"/>
              <w:jc w:val="center"/>
              <w:rPr>
                <w:rFonts w:ascii="Arial Narrow" w:hAnsi="Arial Narrow"/>
                <w:snapToGrid/>
                <w:sz w:val="20"/>
              </w:rPr>
            </w:pPr>
            <w:r w:rsidRPr="005B7B4E">
              <w:rPr>
                <w:rFonts w:ascii="Arial Narrow" w:hAnsi="Arial Narrow"/>
                <w:b/>
                <w:snapToGrid/>
                <w:sz w:val="20"/>
                <w:szCs w:val="16"/>
              </w:rPr>
              <w:t>Year 3</w:t>
            </w:r>
          </w:p>
        </w:tc>
        <w:tc>
          <w:tcPr>
            <w:tcW w:w="673" w:type="pct"/>
            <w:tcBorders>
              <w:top w:val="single" w:sz="4" w:space="0" w:color="auto"/>
              <w:left w:val="single" w:sz="4" w:space="0" w:color="auto"/>
              <w:bottom w:val="single" w:sz="4" w:space="0" w:color="auto"/>
              <w:right w:val="single" w:sz="4" w:space="0" w:color="auto"/>
            </w:tcBorders>
            <w:vAlign w:val="center"/>
          </w:tcPr>
          <w:p w:rsidR="008256AA" w:rsidRPr="005B7B4E" w:rsidRDefault="008256AA" w:rsidP="00926718">
            <w:pPr>
              <w:snapToGrid w:val="0"/>
              <w:jc w:val="center"/>
              <w:rPr>
                <w:rFonts w:ascii="Arial Narrow" w:hAnsi="Arial Narrow"/>
                <w:snapToGrid/>
                <w:sz w:val="20"/>
              </w:rPr>
            </w:pPr>
            <w:r w:rsidRPr="005B7B4E">
              <w:rPr>
                <w:rFonts w:ascii="Arial Narrow" w:hAnsi="Arial Narrow"/>
                <w:b/>
                <w:snapToGrid/>
                <w:sz w:val="20"/>
                <w:szCs w:val="16"/>
              </w:rPr>
              <w:t>Year 4</w:t>
            </w:r>
          </w:p>
        </w:tc>
        <w:tc>
          <w:tcPr>
            <w:tcW w:w="670" w:type="pct"/>
            <w:tcBorders>
              <w:top w:val="single" w:sz="4" w:space="0" w:color="auto"/>
              <w:left w:val="single" w:sz="4" w:space="0" w:color="auto"/>
              <w:bottom w:val="single" w:sz="4" w:space="0" w:color="auto"/>
              <w:right w:val="single" w:sz="4" w:space="0" w:color="auto"/>
            </w:tcBorders>
            <w:vAlign w:val="center"/>
          </w:tcPr>
          <w:p w:rsidR="008256AA" w:rsidRPr="005B7B4E" w:rsidRDefault="008256AA" w:rsidP="00926718">
            <w:pPr>
              <w:snapToGrid w:val="0"/>
              <w:jc w:val="center"/>
              <w:rPr>
                <w:rFonts w:ascii="Arial Narrow" w:hAnsi="Arial Narrow"/>
                <w:snapToGrid/>
                <w:sz w:val="20"/>
              </w:rPr>
            </w:pPr>
            <w:r w:rsidRPr="005B7B4E">
              <w:rPr>
                <w:rFonts w:ascii="Arial Narrow" w:hAnsi="Arial Narrow"/>
                <w:b/>
                <w:snapToGrid/>
                <w:sz w:val="20"/>
                <w:szCs w:val="16"/>
              </w:rPr>
              <w:t>Year 5</w:t>
            </w:r>
          </w:p>
        </w:tc>
      </w:tr>
      <w:tr w:rsidR="00CA3310" w:rsidRPr="005B7B4E">
        <w:tc>
          <w:tcPr>
            <w:tcW w:w="1622" w:type="pct"/>
            <w:tcBorders>
              <w:top w:val="single" w:sz="4" w:space="0" w:color="auto"/>
              <w:left w:val="single" w:sz="4" w:space="0" w:color="auto"/>
              <w:bottom w:val="single" w:sz="4" w:space="0" w:color="auto"/>
              <w:right w:val="single" w:sz="4" w:space="0" w:color="auto"/>
            </w:tcBorders>
            <w:vAlign w:val="center"/>
          </w:tcPr>
          <w:p w:rsidR="00CA3310" w:rsidRPr="005B7B4E" w:rsidRDefault="003767C0" w:rsidP="00CA3310">
            <w:pPr>
              <w:snapToGrid w:val="0"/>
              <w:jc w:val="left"/>
              <w:rPr>
                <w:snapToGrid/>
              </w:rPr>
            </w:pPr>
            <w:r w:rsidRPr="005B7B4E">
              <w:rPr>
                <w:rStyle w:val="CommentReference"/>
                <w:b w:val="0"/>
              </w:rPr>
              <w:t>A</w:t>
            </w:r>
            <w:r w:rsidR="00CA3310" w:rsidRPr="005B7B4E">
              <w:rPr>
                <w:rStyle w:val="CommentReference"/>
                <w:b w:val="0"/>
              </w:rPr>
              <w:t>flibercept treated DME patients</w:t>
            </w:r>
          </w:p>
        </w:tc>
        <w:tc>
          <w:tcPr>
            <w:tcW w:w="688" w:type="pct"/>
            <w:tcBorders>
              <w:top w:val="sing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snapToGrid/>
                <w:sz w:val="20"/>
                <w:szCs w:val="16"/>
                <w:highlight w:val="black"/>
              </w:rPr>
            </w:pPr>
            <w:r>
              <w:rPr>
                <w:rFonts w:ascii="Arial Narrow" w:hAnsi="Arial Narrow"/>
                <w:noProof/>
                <w:color w:val="000000"/>
                <w:sz w:val="20"/>
                <w:highlight w:val="black"/>
              </w:rPr>
              <w:t>'''''''''''''''</w:t>
            </w:r>
          </w:p>
        </w:tc>
        <w:tc>
          <w:tcPr>
            <w:tcW w:w="673" w:type="pct"/>
            <w:tcBorders>
              <w:top w:val="sing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snapToGrid/>
                <w:sz w:val="20"/>
                <w:szCs w:val="16"/>
                <w:highlight w:val="black"/>
              </w:rPr>
            </w:pPr>
            <w:r>
              <w:rPr>
                <w:rFonts w:ascii="Arial Narrow" w:hAnsi="Arial Narrow"/>
                <w:noProof/>
                <w:color w:val="000000"/>
                <w:sz w:val="20"/>
                <w:highlight w:val="black"/>
              </w:rPr>
              <w:t>''''''''''''''''</w:t>
            </w:r>
          </w:p>
        </w:tc>
        <w:tc>
          <w:tcPr>
            <w:tcW w:w="673" w:type="pct"/>
            <w:tcBorders>
              <w:top w:val="sing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snapToGrid/>
                <w:sz w:val="20"/>
                <w:szCs w:val="16"/>
                <w:highlight w:val="black"/>
              </w:rPr>
            </w:pPr>
            <w:r>
              <w:rPr>
                <w:rFonts w:ascii="Arial Narrow" w:hAnsi="Arial Narrow"/>
                <w:noProof/>
                <w:color w:val="000000"/>
                <w:sz w:val="20"/>
                <w:highlight w:val="black"/>
              </w:rPr>
              <w:t>''''''''''''''''''</w:t>
            </w:r>
          </w:p>
        </w:tc>
        <w:tc>
          <w:tcPr>
            <w:tcW w:w="673" w:type="pct"/>
            <w:tcBorders>
              <w:top w:val="sing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snapToGrid/>
                <w:sz w:val="20"/>
                <w:szCs w:val="16"/>
                <w:highlight w:val="black"/>
              </w:rPr>
            </w:pPr>
            <w:r>
              <w:rPr>
                <w:rFonts w:ascii="Arial Narrow" w:hAnsi="Arial Narrow"/>
                <w:noProof/>
                <w:color w:val="000000"/>
                <w:sz w:val="20"/>
                <w:highlight w:val="black"/>
              </w:rPr>
              <w:t>'''''''''''''''''</w:t>
            </w:r>
          </w:p>
        </w:tc>
        <w:tc>
          <w:tcPr>
            <w:tcW w:w="670" w:type="pct"/>
            <w:tcBorders>
              <w:top w:val="sing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snapToGrid/>
                <w:sz w:val="20"/>
                <w:szCs w:val="16"/>
                <w:highlight w:val="black"/>
              </w:rPr>
            </w:pPr>
            <w:r>
              <w:rPr>
                <w:rFonts w:ascii="Arial Narrow" w:hAnsi="Arial Narrow"/>
                <w:noProof/>
                <w:color w:val="000000"/>
                <w:sz w:val="20"/>
                <w:highlight w:val="black"/>
              </w:rPr>
              <w:t>'''''''''''''''</w:t>
            </w:r>
          </w:p>
        </w:tc>
      </w:tr>
      <w:tr w:rsidR="00CA3310" w:rsidRPr="005B7B4E">
        <w:tc>
          <w:tcPr>
            <w:tcW w:w="1622" w:type="pct"/>
            <w:tcBorders>
              <w:top w:val="single" w:sz="4" w:space="0" w:color="auto"/>
              <w:left w:val="single" w:sz="4" w:space="0" w:color="auto"/>
              <w:bottom w:val="single" w:sz="4" w:space="0" w:color="auto"/>
              <w:right w:val="single" w:sz="4" w:space="0" w:color="auto"/>
            </w:tcBorders>
            <w:vAlign w:val="center"/>
          </w:tcPr>
          <w:p w:rsidR="00CA3310" w:rsidRPr="005B7B4E" w:rsidRDefault="00CA3310" w:rsidP="00CA3310">
            <w:pPr>
              <w:snapToGrid w:val="0"/>
              <w:jc w:val="left"/>
              <w:rPr>
                <w:snapToGrid/>
              </w:rPr>
            </w:pPr>
            <w:r w:rsidRPr="005B7B4E">
              <w:rPr>
                <w:rStyle w:val="CommentReference"/>
                <w:b w:val="0"/>
              </w:rPr>
              <w:t xml:space="preserve">Total aflibercept injections </w:t>
            </w:r>
          </w:p>
        </w:tc>
        <w:tc>
          <w:tcPr>
            <w:tcW w:w="688" w:type="pct"/>
            <w:tcBorders>
              <w:top w:val="sing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snapToGrid/>
                <w:sz w:val="20"/>
                <w:szCs w:val="16"/>
                <w:highlight w:val="black"/>
              </w:rPr>
            </w:pPr>
            <w:r>
              <w:rPr>
                <w:rFonts w:ascii="Arial Narrow" w:hAnsi="Arial Narrow"/>
                <w:noProof/>
                <w:color w:val="000000"/>
                <w:sz w:val="20"/>
                <w:highlight w:val="black"/>
              </w:rPr>
              <w:t>''''''''''''''''''''</w:t>
            </w:r>
          </w:p>
        </w:tc>
        <w:tc>
          <w:tcPr>
            <w:tcW w:w="673" w:type="pct"/>
            <w:tcBorders>
              <w:top w:val="sing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snapToGrid/>
                <w:sz w:val="20"/>
                <w:szCs w:val="16"/>
                <w:highlight w:val="black"/>
              </w:rPr>
            </w:pPr>
            <w:r>
              <w:rPr>
                <w:rFonts w:ascii="Arial Narrow" w:hAnsi="Arial Narrow"/>
                <w:noProof/>
                <w:color w:val="000000"/>
                <w:sz w:val="20"/>
                <w:highlight w:val="black"/>
              </w:rPr>
              <w:t>'''''''''''''''''''</w:t>
            </w:r>
          </w:p>
        </w:tc>
        <w:tc>
          <w:tcPr>
            <w:tcW w:w="673" w:type="pct"/>
            <w:tcBorders>
              <w:top w:val="sing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snapToGrid/>
                <w:sz w:val="20"/>
                <w:szCs w:val="16"/>
                <w:highlight w:val="black"/>
              </w:rPr>
            </w:pPr>
            <w:r>
              <w:rPr>
                <w:rFonts w:ascii="Arial Narrow" w:hAnsi="Arial Narrow"/>
                <w:noProof/>
                <w:color w:val="000000"/>
                <w:sz w:val="20"/>
                <w:highlight w:val="black"/>
              </w:rPr>
              <w:t>'''''''''''''''''''''</w:t>
            </w:r>
          </w:p>
        </w:tc>
        <w:tc>
          <w:tcPr>
            <w:tcW w:w="673" w:type="pct"/>
            <w:tcBorders>
              <w:top w:val="sing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snapToGrid/>
                <w:sz w:val="20"/>
                <w:szCs w:val="16"/>
                <w:highlight w:val="black"/>
              </w:rPr>
            </w:pPr>
            <w:r>
              <w:rPr>
                <w:rFonts w:ascii="Arial Narrow" w:hAnsi="Arial Narrow"/>
                <w:noProof/>
                <w:color w:val="000000"/>
                <w:sz w:val="20"/>
                <w:highlight w:val="black"/>
              </w:rPr>
              <w:t>'''''''''''''''''''</w:t>
            </w:r>
          </w:p>
        </w:tc>
        <w:tc>
          <w:tcPr>
            <w:tcW w:w="670" w:type="pct"/>
            <w:tcBorders>
              <w:top w:val="sing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snapToGrid/>
                <w:sz w:val="20"/>
                <w:szCs w:val="16"/>
                <w:highlight w:val="black"/>
              </w:rPr>
            </w:pPr>
            <w:r>
              <w:rPr>
                <w:rFonts w:ascii="Arial Narrow" w:hAnsi="Arial Narrow"/>
                <w:noProof/>
                <w:color w:val="000000"/>
                <w:sz w:val="20"/>
                <w:highlight w:val="black"/>
              </w:rPr>
              <w:t>''''''''''''''''''</w:t>
            </w:r>
          </w:p>
        </w:tc>
      </w:tr>
      <w:tr w:rsidR="00CA3310" w:rsidRPr="005B7B4E">
        <w:tc>
          <w:tcPr>
            <w:tcW w:w="1622" w:type="pct"/>
            <w:tcBorders>
              <w:top w:val="single" w:sz="4" w:space="0" w:color="auto"/>
              <w:left w:val="single" w:sz="4" w:space="0" w:color="auto"/>
              <w:bottom w:val="single" w:sz="4" w:space="0" w:color="auto"/>
              <w:right w:val="single" w:sz="4" w:space="0" w:color="auto"/>
            </w:tcBorders>
            <w:vAlign w:val="center"/>
          </w:tcPr>
          <w:p w:rsidR="00CA3310" w:rsidRPr="005B7B4E" w:rsidRDefault="00CA3310" w:rsidP="00CA3310">
            <w:pPr>
              <w:snapToGrid w:val="0"/>
              <w:jc w:val="left"/>
              <w:rPr>
                <w:rStyle w:val="CommentReference"/>
              </w:rPr>
            </w:pPr>
            <w:r w:rsidRPr="005B7B4E">
              <w:rPr>
                <w:rStyle w:val="CommentReference"/>
                <w:b w:val="0"/>
              </w:rPr>
              <w:t xml:space="preserve">Total cost </w:t>
            </w:r>
            <w:r w:rsidR="00BF0C39">
              <w:rPr>
                <w:rStyle w:val="CommentReference"/>
                <w:b w:val="0"/>
                <w:noProof/>
                <w:color w:val="000000"/>
                <w:highlight w:val="black"/>
              </w:rPr>
              <w:t>'''''''''''''''''''''' '''''''' ''''''''''''''''''''</w:t>
            </w:r>
          </w:p>
        </w:tc>
        <w:tc>
          <w:tcPr>
            <w:tcW w:w="688" w:type="pct"/>
            <w:tcBorders>
              <w:top w:val="sing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sz w:val="20"/>
                <w:highlight w:val="black"/>
              </w:rPr>
            </w:pPr>
            <w:r>
              <w:rPr>
                <w:rFonts w:ascii="Arial Narrow" w:hAnsi="Arial Narrow"/>
                <w:bCs/>
                <w:noProof/>
                <w:color w:val="000000"/>
                <w:sz w:val="20"/>
                <w:highlight w:val="black"/>
              </w:rPr>
              <w:t>'''''''''''''''''''''''''''''</w:t>
            </w:r>
          </w:p>
        </w:tc>
        <w:tc>
          <w:tcPr>
            <w:tcW w:w="673" w:type="pct"/>
            <w:tcBorders>
              <w:top w:val="sing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sz w:val="20"/>
                <w:highlight w:val="black"/>
              </w:rPr>
            </w:pPr>
            <w:r>
              <w:rPr>
                <w:rFonts w:ascii="Arial Narrow" w:hAnsi="Arial Narrow"/>
                <w:bCs/>
                <w:noProof/>
                <w:color w:val="000000"/>
                <w:sz w:val="20"/>
                <w:highlight w:val="black"/>
              </w:rPr>
              <w:t>'''''''''''''''''''''''''''''''''''</w:t>
            </w:r>
          </w:p>
        </w:tc>
        <w:tc>
          <w:tcPr>
            <w:tcW w:w="673" w:type="pct"/>
            <w:tcBorders>
              <w:top w:val="sing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sz w:val="20"/>
                <w:highlight w:val="black"/>
              </w:rPr>
            </w:pPr>
            <w:r>
              <w:rPr>
                <w:rFonts w:ascii="Arial Narrow" w:hAnsi="Arial Narrow"/>
                <w:bCs/>
                <w:noProof/>
                <w:color w:val="000000"/>
                <w:sz w:val="20"/>
                <w:highlight w:val="black"/>
              </w:rPr>
              <w:t>'''''''''''''''''''''''''''''''</w:t>
            </w:r>
          </w:p>
        </w:tc>
        <w:tc>
          <w:tcPr>
            <w:tcW w:w="673" w:type="pct"/>
            <w:tcBorders>
              <w:top w:val="sing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sz w:val="20"/>
                <w:highlight w:val="black"/>
              </w:rPr>
            </w:pPr>
            <w:r>
              <w:rPr>
                <w:rFonts w:ascii="Arial Narrow" w:hAnsi="Arial Narrow"/>
                <w:bCs/>
                <w:noProof/>
                <w:color w:val="000000"/>
                <w:sz w:val="20"/>
                <w:highlight w:val="black"/>
              </w:rPr>
              <w:t>''''''''''''''''''''''''''''''''''</w:t>
            </w:r>
          </w:p>
        </w:tc>
        <w:tc>
          <w:tcPr>
            <w:tcW w:w="670" w:type="pct"/>
            <w:tcBorders>
              <w:top w:val="sing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sz w:val="20"/>
                <w:highlight w:val="black"/>
              </w:rPr>
            </w:pPr>
            <w:r>
              <w:rPr>
                <w:rFonts w:ascii="Arial Narrow" w:hAnsi="Arial Narrow"/>
                <w:bCs/>
                <w:noProof/>
                <w:color w:val="000000"/>
                <w:sz w:val="20"/>
                <w:highlight w:val="black"/>
              </w:rPr>
              <w:t>''''''''''''''''''''''''''''''''''</w:t>
            </w:r>
          </w:p>
        </w:tc>
      </w:tr>
      <w:tr w:rsidR="00CA3310" w:rsidRPr="005B7B4E">
        <w:tc>
          <w:tcPr>
            <w:tcW w:w="1622" w:type="pct"/>
            <w:tcBorders>
              <w:top w:val="single" w:sz="4" w:space="0" w:color="auto"/>
              <w:left w:val="single" w:sz="4" w:space="0" w:color="auto"/>
              <w:bottom w:val="double" w:sz="4" w:space="0" w:color="auto"/>
              <w:right w:val="single" w:sz="4" w:space="0" w:color="auto"/>
            </w:tcBorders>
            <w:vAlign w:val="center"/>
          </w:tcPr>
          <w:p w:rsidR="00CA3310" w:rsidRPr="005B7B4E" w:rsidRDefault="00CA3310" w:rsidP="00CA3310">
            <w:pPr>
              <w:snapToGrid w:val="0"/>
              <w:jc w:val="left"/>
              <w:rPr>
                <w:rStyle w:val="CommentReference"/>
              </w:rPr>
            </w:pPr>
            <w:r w:rsidRPr="005B7B4E">
              <w:rPr>
                <w:rStyle w:val="CommentReference"/>
                <w:b w:val="0"/>
              </w:rPr>
              <w:t>Co-payments ($10.91 per injection)</w:t>
            </w:r>
          </w:p>
        </w:tc>
        <w:tc>
          <w:tcPr>
            <w:tcW w:w="688" w:type="pct"/>
            <w:tcBorders>
              <w:top w:val="single" w:sz="4" w:space="0" w:color="auto"/>
              <w:left w:val="single" w:sz="4" w:space="0" w:color="auto"/>
              <w:bottom w:val="double" w:sz="4" w:space="0" w:color="auto"/>
              <w:right w:val="single" w:sz="4" w:space="0" w:color="auto"/>
            </w:tcBorders>
            <w:vAlign w:val="center"/>
          </w:tcPr>
          <w:p w:rsidR="00CA3310" w:rsidRPr="00BF0C39" w:rsidRDefault="00BF0C39" w:rsidP="00CA3310">
            <w:pPr>
              <w:snapToGrid w:val="0"/>
              <w:jc w:val="center"/>
              <w:rPr>
                <w:rFonts w:ascii="Arial Narrow" w:hAnsi="Arial Narrow"/>
                <w:sz w:val="20"/>
                <w:highlight w:val="black"/>
              </w:rPr>
            </w:pPr>
            <w:r>
              <w:rPr>
                <w:rFonts w:ascii="Arial Narrow" w:hAnsi="Arial Narrow"/>
                <w:noProof/>
                <w:color w:val="000000"/>
                <w:sz w:val="20"/>
                <w:highlight w:val="black"/>
              </w:rPr>
              <w:t>''''''''''''''''''''''''''</w:t>
            </w:r>
          </w:p>
        </w:tc>
        <w:tc>
          <w:tcPr>
            <w:tcW w:w="673" w:type="pct"/>
            <w:tcBorders>
              <w:top w:val="single" w:sz="4" w:space="0" w:color="auto"/>
              <w:left w:val="single" w:sz="4" w:space="0" w:color="auto"/>
              <w:bottom w:val="double" w:sz="4" w:space="0" w:color="auto"/>
              <w:right w:val="single" w:sz="4" w:space="0" w:color="auto"/>
            </w:tcBorders>
            <w:vAlign w:val="center"/>
          </w:tcPr>
          <w:p w:rsidR="00CA3310" w:rsidRPr="00BF0C39" w:rsidRDefault="00BF0C39" w:rsidP="00CA3310">
            <w:pPr>
              <w:snapToGrid w:val="0"/>
              <w:jc w:val="center"/>
              <w:rPr>
                <w:rFonts w:ascii="Arial Narrow" w:hAnsi="Arial Narrow"/>
                <w:sz w:val="20"/>
                <w:highlight w:val="black"/>
              </w:rPr>
            </w:pPr>
            <w:r>
              <w:rPr>
                <w:rFonts w:ascii="Arial Narrow" w:hAnsi="Arial Narrow"/>
                <w:noProof/>
                <w:color w:val="000000"/>
                <w:sz w:val="20"/>
                <w:highlight w:val="black"/>
              </w:rPr>
              <w:t>'''''''''''''''''''''''''</w:t>
            </w:r>
          </w:p>
        </w:tc>
        <w:tc>
          <w:tcPr>
            <w:tcW w:w="673" w:type="pct"/>
            <w:tcBorders>
              <w:top w:val="single" w:sz="4" w:space="0" w:color="auto"/>
              <w:left w:val="single" w:sz="4" w:space="0" w:color="auto"/>
              <w:bottom w:val="double" w:sz="4" w:space="0" w:color="auto"/>
              <w:right w:val="single" w:sz="4" w:space="0" w:color="auto"/>
            </w:tcBorders>
            <w:vAlign w:val="center"/>
          </w:tcPr>
          <w:p w:rsidR="00CA3310" w:rsidRPr="00BF0C39" w:rsidRDefault="00BF0C39" w:rsidP="00CA3310">
            <w:pPr>
              <w:snapToGrid w:val="0"/>
              <w:jc w:val="center"/>
              <w:rPr>
                <w:rFonts w:ascii="Arial Narrow" w:hAnsi="Arial Narrow"/>
                <w:sz w:val="20"/>
                <w:highlight w:val="black"/>
              </w:rPr>
            </w:pPr>
            <w:r>
              <w:rPr>
                <w:rFonts w:ascii="Arial Narrow" w:hAnsi="Arial Narrow"/>
                <w:noProof/>
                <w:color w:val="000000"/>
                <w:sz w:val="20"/>
                <w:highlight w:val="black"/>
              </w:rPr>
              <w:t>'''''''''''''''''''''''''''</w:t>
            </w:r>
          </w:p>
        </w:tc>
        <w:tc>
          <w:tcPr>
            <w:tcW w:w="673" w:type="pct"/>
            <w:tcBorders>
              <w:top w:val="single" w:sz="4" w:space="0" w:color="auto"/>
              <w:left w:val="single" w:sz="4" w:space="0" w:color="auto"/>
              <w:bottom w:val="double" w:sz="4" w:space="0" w:color="auto"/>
              <w:right w:val="single" w:sz="4" w:space="0" w:color="auto"/>
            </w:tcBorders>
            <w:vAlign w:val="center"/>
          </w:tcPr>
          <w:p w:rsidR="00CA3310" w:rsidRPr="00BF0C39" w:rsidRDefault="00BF0C39" w:rsidP="00CA3310">
            <w:pPr>
              <w:snapToGrid w:val="0"/>
              <w:jc w:val="center"/>
              <w:rPr>
                <w:rFonts w:ascii="Arial Narrow" w:hAnsi="Arial Narrow"/>
                <w:sz w:val="20"/>
                <w:highlight w:val="black"/>
              </w:rPr>
            </w:pPr>
            <w:r>
              <w:rPr>
                <w:rFonts w:ascii="Arial Narrow" w:hAnsi="Arial Narrow"/>
                <w:noProof/>
                <w:color w:val="000000"/>
                <w:sz w:val="20"/>
                <w:highlight w:val="black"/>
              </w:rPr>
              <w:t>''''''''''''''''''''''''''</w:t>
            </w:r>
          </w:p>
        </w:tc>
        <w:tc>
          <w:tcPr>
            <w:tcW w:w="670" w:type="pct"/>
            <w:tcBorders>
              <w:top w:val="single" w:sz="4" w:space="0" w:color="auto"/>
              <w:left w:val="single" w:sz="4" w:space="0" w:color="auto"/>
              <w:bottom w:val="double" w:sz="4" w:space="0" w:color="auto"/>
              <w:right w:val="single" w:sz="4" w:space="0" w:color="auto"/>
            </w:tcBorders>
            <w:vAlign w:val="center"/>
          </w:tcPr>
          <w:p w:rsidR="00CA3310" w:rsidRPr="00BF0C39" w:rsidRDefault="00BF0C39" w:rsidP="00CA3310">
            <w:pPr>
              <w:snapToGrid w:val="0"/>
              <w:jc w:val="center"/>
              <w:rPr>
                <w:rFonts w:ascii="Arial Narrow" w:hAnsi="Arial Narrow"/>
                <w:sz w:val="20"/>
                <w:highlight w:val="black"/>
              </w:rPr>
            </w:pPr>
            <w:r>
              <w:rPr>
                <w:rFonts w:ascii="Arial Narrow" w:hAnsi="Arial Narrow"/>
                <w:noProof/>
                <w:color w:val="000000"/>
                <w:sz w:val="20"/>
                <w:highlight w:val="black"/>
              </w:rPr>
              <w:t>'''''''''''''''''''''''''''''</w:t>
            </w:r>
          </w:p>
        </w:tc>
      </w:tr>
      <w:tr w:rsidR="00CA3310" w:rsidRPr="005B7B4E">
        <w:tc>
          <w:tcPr>
            <w:tcW w:w="1622" w:type="pct"/>
            <w:tcBorders>
              <w:top w:val="double" w:sz="4" w:space="0" w:color="auto"/>
              <w:left w:val="single" w:sz="4" w:space="0" w:color="auto"/>
              <w:bottom w:val="single" w:sz="4" w:space="0" w:color="auto"/>
              <w:right w:val="single" w:sz="4" w:space="0" w:color="auto"/>
            </w:tcBorders>
            <w:vAlign w:val="center"/>
          </w:tcPr>
          <w:p w:rsidR="00CA3310" w:rsidRPr="005B7B4E" w:rsidRDefault="00CA3310" w:rsidP="00CA3310">
            <w:pPr>
              <w:snapToGrid w:val="0"/>
              <w:jc w:val="left"/>
              <w:rPr>
                <w:rStyle w:val="CommentReference"/>
              </w:rPr>
            </w:pPr>
            <w:r w:rsidRPr="005B7B4E">
              <w:rPr>
                <w:rStyle w:val="CommentReference"/>
              </w:rPr>
              <w:t>Net cost to PBS</w:t>
            </w:r>
          </w:p>
        </w:tc>
        <w:tc>
          <w:tcPr>
            <w:tcW w:w="688" w:type="pct"/>
            <w:tcBorders>
              <w:top w:val="doub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b/>
                <w:sz w:val="20"/>
                <w:highlight w:val="black"/>
              </w:rPr>
            </w:pPr>
            <w:r>
              <w:rPr>
                <w:rFonts w:ascii="Arial Narrow" w:hAnsi="Arial Narrow"/>
                <w:b/>
                <w:bCs/>
                <w:noProof/>
                <w:color w:val="000000"/>
                <w:sz w:val="20"/>
                <w:highlight w:val="black"/>
              </w:rPr>
              <w:t>'''''''''''''''''''''''''</w:t>
            </w:r>
          </w:p>
        </w:tc>
        <w:tc>
          <w:tcPr>
            <w:tcW w:w="673" w:type="pct"/>
            <w:tcBorders>
              <w:top w:val="doub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b/>
                <w:sz w:val="20"/>
                <w:highlight w:val="black"/>
              </w:rPr>
            </w:pPr>
            <w:r>
              <w:rPr>
                <w:rFonts w:ascii="Arial Narrow" w:hAnsi="Arial Narrow"/>
                <w:b/>
                <w:bCs/>
                <w:noProof/>
                <w:color w:val="000000"/>
                <w:sz w:val="20"/>
                <w:highlight w:val="black"/>
              </w:rPr>
              <w:t>''''''''''''''''''''''''''</w:t>
            </w:r>
          </w:p>
        </w:tc>
        <w:tc>
          <w:tcPr>
            <w:tcW w:w="673" w:type="pct"/>
            <w:tcBorders>
              <w:top w:val="doub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b/>
                <w:sz w:val="20"/>
                <w:highlight w:val="black"/>
              </w:rPr>
            </w:pPr>
            <w:r>
              <w:rPr>
                <w:rFonts w:ascii="Arial Narrow" w:hAnsi="Arial Narrow"/>
                <w:b/>
                <w:bCs/>
                <w:noProof/>
                <w:color w:val="000000"/>
                <w:sz w:val="20"/>
                <w:highlight w:val="black"/>
              </w:rPr>
              <w:t>'''''''''''''''''''''''''''</w:t>
            </w:r>
          </w:p>
        </w:tc>
        <w:tc>
          <w:tcPr>
            <w:tcW w:w="673" w:type="pct"/>
            <w:tcBorders>
              <w:top w:val="doub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b/>
                <w:sz w:val="20"/>
                <w:highlight w:val="black"/>
              </w:rPr>
            </w:pPr>
            <w:r>
              <w:rPr>
                <w:rFonts w:ascii="Arial Narrow" w:hAnsi="Arial Narrow"/>
                <w:b/>
                <w:bCs/>
                <w:noProof/>
                <w:color w:val="000000"/>
                <w:sz w:val="20"/>
                <w:highlight w:val="black"/>
              </w:rPr>
              <w:t>'''''''''''''''''''''''''</w:t>
            </w:r>
          </w:p>
        </w:tc>
        <w:tc>
          <w:tcPr>
            <w:tcW w:w="670" w:type="pct"/>
            <w:tcBorders>
              <w:top w:val="double" w:sz="4" w:space="0" w:color="auto"/>
              <w:left w:val="single" w:sz="4" w:space="0" w:color="auto"/>
              <w:bottom w:val="single" w:sz="4" w:space="0" w:color="auto"/>
              <w:right w:val="single" w:sz="4" w:space="0" w:color="auto"/>
            </w:tcBorders>
            <w:vAlign w:val="center"/>
          </w:tcPr>
          <w:p w:rsidR="00CA3310" w:rsidRPr="00BF0C39" w:rsidRDefault="00BF0C39" w:rsidP="00CA3310">
            <w:pPr>
              <w:snapToGrid w:val="0"/>
              <w:jc w:val="center"/>
              <w:rPr>
                <w:rFonts w:ascii="Arial Narrow" w:hAnsi="Arial Narrow"/>
                <w:b/>
                <w:sz w:val="20"/>
                <w:highlight w:val="black"/>
              </w:rPr>
            </w:pPr>
            <w:r>
              <w:rPr>
                <w:rFonts w:ascii="Arial Narrow" w:hAnsi="Arial Narrow"/>
                <w:b/>
                <w:bCs/>
                <w:noProof/>
                <w:color w:val="000000"/>
                <w:sz w:val="20"/>
                <w:highlight w:val="black"/>
              </w:rPr>
              <w:t>''''''''''''''''''''''''</w:t>
            </w:r>
          </w:p>
        </w:tc>
      </w:tr>
    </w:tbl>
    <w:p w:rsidR="008256AA" w:rsidRDefault="008256AA" w:rsidP="008256AA">
      <w:pPr>
        <w:ind w:left="720"/>
        <w:rPr>
          <w:rFonts w:ascii="Arial Narrow" w:hAnsi="Arial Narrow"/>
          <w:sz w:val="18"/>
        </w:rPr>
      </w:pPr>
      <w:r w:rsidRPr="005B7B4E">
        <w:rPr>
          <w:rFonts w:ascii="Arial Narrow" w:hAnsi="Arial Narrow"/>
          <w:sz w:val="18"/>
        </w:rPr>
        <w:t>Note: During the evaluation the financial estimates were updated to reflect the most recent ABS Australian population projections (ABS 3222.0 Series B, 2013).  Source: Table E.2.4, Section E of the submission</w:t>
      </w:r>
    </w:p>
    <w:p w:rsidR="00047486" w:rsidRDefault="00047486" w:rsidP="008256AA">
      <w:pPr>
        <w:ind w:left="720"/>
        <w:rPr>
          <w:rFonts w:ascii="Arial Narrow" w:hAnsi="Arial Narrow"/>
          <w:sz w:val="18"/>
        </w:rPr>
      </w:pPr>
    </w:p>
    <w:p w:rsidR="00872EC5" w:rsidRPr="00872EC5" w:rsidRDefault="00872EC5" w:rsidP="00047486">
      <w:pPr>
        <w:ind w:left="720"/>
        <w:rPr>
          <w:szCs w:val="22"/>
        </w:rPr>
      </w:pPr>
      <w:r w:rsidRPr="00872EC5">
        <w:rPr>
          <w:szCs w:val="22"/>
        </w:rPr>
        <w:t>The redacted table shows:</w:t>
      </w:r>
    </w:p>
    <w:p w:rsidR="00047486" w:rsidRPr="00872EC5" w:rsidRDefault="00047486" w:rsidP="00047486">
      <w:pPr>
        <w:ind w:left="720"/>
        <w:rPr>
          <w:szCs w:val="22"/>
        </w:rPr>
      </w:pPr>
      <w:r w:rsidRPr="00872EC5">
        <w:rPr>
          <w:szCs w:val="22"/>
        </w:rPr>
        <w:t xml:space="preserve">Estimated patient numbers: </w:t>
      </w:r>
      <w:r w:rsidR="00FE0A7A" w:rsidRPr="00872EC5">
        <w:rPr>
          <w:szCs w:val="22"/>
        </w:rPr>
        <w:t>10,000 – 50,000</w:t>
      </w:r>
      <w:r w:rsidRPr="00872EC5">
        <w:rPr>
          <w:szCs w:val="22"/>
        </w:rPr>
        <w:t xml:space="preserve"> in Year 1, increasing to </w:t>
      </w:r>
    </w:p>
    <w:p w:rsidR="00047486" w:rsidRPr="00872EC5" w:rsidRDefault="00047486" w:rsidP="00047486">
      <w:pPr>
        <w:ind w:left="720"/>
        <w:rPr>
          <w:szCs w:val="22"/>
        </w:rPr>
      </w:pPr>
      <w:r w:rsidRPr="00872EC5">
        <w:rPr>
          <w:szCs w:val="22"/>
        </w:rPr>
        <w:t>50,000 – 100,000 per year in Year 5</w:t>
      </w:r>
      <w:r w:rsidR="00872EC5" w:rsidRPr="00872EC5">
        <w:rPr>
          <w:szCs w:val="22"/>
        </w:rPr>
        <w:t>;</w:t>
      </w:r>
    </w:p>
    <w:p w:rsidR="00047486" w:rsidRPr="00872EC5" w:rsidRDefault="00047486" w:rsidP="00047486">
      <w:pPr>
        <w:ind w:left="720"/>
        <w:rPr>
          <w:szCs w:val="22"/>
        </w:rPr>
      </w:pPr>
      <w:r w:rsidRPr="00872EC5">
        <w:rPr>
          <w:szCs w:val="22"/>
        </w:rPr>
        <w:t xml:space="preserve">Estimated </w:t>
      </w:r>
      <w:r w:rsidR="00FE0A7A" w:rsidRPr="00872EC5">
        <w:rPr>
          <w:szCs w:val="22"/>
        </w:rPr>
        <w:t>injections</w:t>
      </w:r>
      <w:r w:rsidRPr="00872EC5">
        <w:rPr>
          <w:szCs w:val="22"/>
        </w:rPr>
        <w:t xml:space="preserve">: </w:t>
      </w:r>
      <w:r w:rsidR="00FE0A7A" w:rsidRPr="00872EC5">
        <w:rPr>
          <w:szCs w:val="22"/>
        </w:rPr>
        <w:t xml:space="preserve">over </w:t>
      </w:r>
      <w:r w:rsidRPr="00872EC5">
        <w:rPr>
          <w:szCs w:val="22"/>
        </w:rPr>
        <w:t xml:space="preserve">200,000 in Year 1, </w:t>
      </w:r>
      <w:r w:rsidR="00FE0A7A" w:rsidRPr="00872EC5">
        <w:rPr>
          <w:szCs w:val="22"/>
        </w:rPr>
        <w:t>decreasing</w:t>
      </w:r>
      <w:r w:rsidRPr="00872EC5">
        <w:rPr>
          <w:szCs w:val="22"/>
        </w:rPr>
        <w:t xml:space="preserve"> to over 200,000 in Year 5</w:t>
      </w:r>
      <w:r w:rsidR="00872EC5" w:rsidRPr="00872EC5">
        <w:rPr>
          <w:szCs w:val="22"/>
        </w:rPr>
        <w:t>;</w:t>
      </w:r>
    </w:p>
    <w:p w:rsidR="008256AA" w:rsidRPr="00872EC5" w:rsidRDefault="00047486" w:rsidP="00872EC5">
      <w:pPr>
        <w:widowControl/>
        <w:ind w:left="720"/>
        <w:rPr>
          <w:szCs w:val="22"/>
        </w:rPr>
      </w:pPr>
      <w:r w:rsidRPr="00872EC5">
        <w:rPr>
          <w:szCs w:val="22"/>
        </w:rPr>
        <w:t xml:space="preserve">Estimated financial impact: </w:t>
      </w:r>
      <w:r w:rsidR="00FE0A7A" w:rsidRPr="00872EC5">
        <w:rPr>
          <w:szCs w:val="22"/>
        </w:rPr>
        <w:t>Cost</w:t>
      </w:r>
      <w:r w:rsidRPr="00872EC5">
        <w:rPr>
          <w:szCs w:val="22"/>
        </w:rPr>
        <w:t xml:space="preserve"> of </w:t>
      </w:r>
      <w:r w:rsidR="00FE0A7A" w:rsidRPr="00872EC5">
        <w:rPr>
          <w:szCs w:val="22"/>
        </w:rPr>
        <w:t>more than $100</w:t>
      </w:r>
      <w:r w:rsidRPr="00872EC5">
        <w:rPr>
          <w:szCs w:val="22"/>
        </w:rPr>
        <w:t xml:space="preserve"> millio</w:t>
      </w:r>
      <w:r w:rsidR="00FE0A7A" w:rsidRPr="00872EC5">
        <w:rPr>
          <w:szCs w:val="22"/>
        </w:rPr>
        <w:t>n per year in Year 1, decreasing to a cost</w:t>
      </w:r>
      <w:r w:rsidRPr="00872EC5">
        <w:rPr>
          <w:szCs w:val="22"/>
        </w:rPr>
        <w:t xml:space="preserve"> of </w:t>
      </w:r>
      <w:r w:rsidR="00FE0A7A" w:rsidRPr="00872EC5">
        <w:rPr>
          <w:szCs w:val="22"/>
        </w:rPr>
        <w:t>more th</w:t>
      </w:r>
      <w:r w:rsidRPr="00872EC5">
        <w:rPr>
          <w:szCs w:val="22"/>
        </w:rPr>
        <w:t>an $10</w:t>
      </w:r>
      <w:r w:rsidR="00FE0A7A" w:rsidRPr="00872EC5">
        <w:rPr>
          <w:szCs w:val="22"/>
        </w:rPr>
        <w:t>0</w:t>
      </w:r>
      <w:r w:rsidRPr="00872EC5">
        <w:rPr>
          <w:szCs w:val="22"/>
        </w:rPr>
        <w:t xml:space="preserve"> million per year in Year 5.</w:t>
      </w:r>
    </w:p>
    <w:p w:rsidR="00872EC5" w:rsidRPr="005B7B4E" w:rsidRDefault="00872EC5" w:rsidP="00872EC5">
      <w:pPr>
        <w:widowControl/>
        <w:ind w:left="720"/>
        <w:rPr>
          <w:szCs w:val="22"/>
        </w:rPr>
      </w:pPr>
    </w:p>
    <w:p w:rsidR="00CA3310" w:rsidRPr="00A20554" w:rsidRDefault="00A740FB" w:rsidP="00CA3310">
      <w:pPr>
        <w:pStyle w:val="ListParagraph"/>
        <w:widowControl/>
        <w:numPr>
          <w:ilvl w:val="1"/>
          <w:numId w:val="3"/>
        </w:numPr>
        <w:rPr>
          <w:szCs w:val="22"/>
        </w:rPr>
      </w:pPr>
      <w:r w:rsidRPr="00A20554">
        <w:rPr>
          <w:szCs w:val="22"/>
        </w:rPr>
        <w:t>T</w:t>
      </w:r>
      <w:r w:rsidR="00CA3310" w:rsidRPr="00A20554">
        <w:rPr>
          <w:szCs w:val="22"/>
        </w:rPr>
        <w:t>he reliability of the base case estimates</w:t>
      </w:r>
      <w:r w:rsidRPr="00A20554">
        <w:rPr>
          <w:szCs w:val="22"/>
        </w:rPr>
        <w:t xml:space="preserve"> depend</w:t>
      </w:r>
      <w:r w:rsidR="00FD1850">
        <w:rPr>
          <w:szCs w:val="22"/>
        </w:rPr>
        <w:t>ed</w:t>
      </w:r>
      <w:r w:rsidRPr="00A20554">
        <w:rPr>
          <w:szCs w:val="22"/>
        </w:rPr>
        <w:t xml:space="preserve"> on</w:t>
      </w:r>
      <w:r w:rsidR="00CA3310" w:rsidRPr="00A20554">
        <w:rPr>
          <w:szCs w:val="22"/>
        </w:rPr>
        <w:t xml:space="preserve"> the assumption that </w:t>
      </w:r>
      <w:r w:rsidR="00BF0C39">
        <w:rPr>
          <w:noProof/>
          <w:color w:val="000000"/>
          <w:szCs w:val="22"/>
          <w:highlight w:val="black"/>
        </w:rPr>
        <w:t>'''''''''''</w:t>
      </w:r>
      <w:r w:rsidR="00CA3310" w:rsidRPr="00A20554">
        <w:rPr>
          <w:szCs w:val="22"/>
        </w:rPr>
        <w:t xml:space="preserve"> of the population with </w:t>
      </w:r>
      <w:r w:rsidR="00987FFE" w:rsidRPr="00A20554">
        <w:rPr>
          <w:szCs w:val="22"/>
        </w:rPr>
        <w:t>clinically significant macular oedema (</w:t>
      </w:r>
      <w:r w:rsidR="00926718" w:rsidRPr="00A20554">
        <w:rPr>
          <w:szCs w:val="22"/>
        </w:rPr>
        <w:t>CSME</w:t>
      </w:r>
      <w:r w:rsidR="00987FFE" w:rsidRPr="00A20554">
        <w:rPr>
          <w:szCs w:val="22"/>
        </w:rPr>
        <w:t>)</w:t>
      </w:r>
      <w:r w:rsidR="00CA3310" w:rsidRPr="00A20554">
        <w:rPr>
          <w:szCs w:val="22"/>
        </w:rPr>
        <w:t xml:space="preserve"> has visual impairment.  This assumption result</w:t>
      </w:r>
      <w:r w:rsidR="00FD1850">
        <w:rPr>
          <w:szCs w:val="22"/>
        </w:rPr>
        <w:t>ed</w:t>
      </w:r>
      <w:r w:rsidR="00CA3310" w:rsidRPr="00A20554">
        <w:rPr>
          <w:szCs w:val="22"/>
        </w:rPr>
        <w:t xml:space="preserve"> in </w:t>
      </w:r>
      <w:r w:rsidR="00BF0C39">
        <w:rPr>
          <w:noProof/>
          <w:color w:val="000000"/>
          <w:szCs w:val="22"/>
          <w:highlight w:val="black"/>
        </w:rPr>
        <w:t>'''''''''''''''</w:t>
      </w:r>
      <w:r w:rsidR="00CA3310" w:rsidRPr="00A20554">
        <w:rPr>
          <w:szCs w:val="22"/>
        </w:rPr>
        <w:t xml:space="preserve"> of patients with diabetes having visual impairment due to DME.  Considering that smaller proportions of DME patients with VI have been reported (2.</w:t>
      </w:r>
      <w:r w:rsidR="000D1F0A" w:rsidRPr="00A20554">
        <w:rPr>
          <w:szCs w:val="22"/>
        </w:rPr>
        <w:t>93</w:t>
      </w:r>
      <w:r w:rsidR="00CA3310" w:rsidRPr="00A20554">
        <w:rPr>
          <w:szCs w:val="22"/>
        </w:rPr>
        <w:t xml:space="preserve">%, </w:t>
      </w:r>
      <w:proofErr w:type="spellStart"/>
      <w:r w:rsidR="00CA3310" w:rsidRPr="00A20554">
        <w:rPr>
          <w:szCs w:val="22"/>
        </w:rPr>
        <w:t>Petrella</w:t>
      </w:r>
      <w:proofErr w:type="spellEnd"/>
      <w:r w:rsidR="00CA3310" w:rsidRPr="00A20554">
        <w:rPr>
          <w:szCs w:val="22"/>
        </w:rPr>
        <w:t xml:space="preserve"> 2012), </w:t>
      </w:r>
      <w:r w:rsidR="003048D9">
        <w:rPr>
          <w:szCs w:val="22"/>
        </w:rPr>
        <w:t xml:space="preserve">the ESC considered </w:t>
      </w:r>
      <w:r w:rsidR="00CA3310" w:rsidRPr="00A20554">
        <w:rPr>
          <w:szCs w:val="22"/>
        </w:rPr>
        <w:t xml:space="preserve">it probable that the submission’s </w:t>
      </w:r>
      <w:r w:rsidR="00BF0C39">
        <w:rPr>
          <w:noProof/>
          <w:color w:val="000000"/>
          <w:szCs w:val="22"/>
          <w:highlight w:val="black"/>
        </w:rPr>
        <w:t>''''''''''''</w:t>
      </w:r>
      <w:r w:rsidR="00CA3310" w:rsidRPr="00A20554">
        <w:rPr>
          <w:szCs w:val="22"/>
        </w:rPr>
        <w:t xml:space="preserve"> assumption is </w:t>
      </w:r>
      <w:r w:rsidR="003E277D" w:rsidRPr="00A20554">
        <w:rPr>
          <w:szCs w:val="22"/>
        </w:rPr>
        <w:t xml:space="preserve">a </w:t>
      </w:r>
      <w:r w:rsidR="00BF0C39">
        <w:rPr>
          <w:noProof/>
          <w:color w:val="000000"/>
          <w:szCs w:val="22"/>
          <w:highlight w:val="black"/>
        </w:rPr>
        <w:t>''''''''''''''''</w:t>
      </w:r>
      <w:r w:rsidR="003E277D" w:rsidRPr="00A20554">
        <w:rPr>
          <w:szCs w:val="22"/>
        </w:rPr>
        <w:t xml:space="preserve"> </w:t>
      </w:r>
      <w:r w:rsidR="00CA3310" w:rsidRPr="00A20554">
        <w:rPr>
          <w:szCs w:val="22"/>
        </w:rPr>
        <w:t>overestimate.  Halving the extent of VI in the CMSE population (</w:t>
      </w:r>
      <w:r w:rsidR="00BF0C39">
        <w:rPr>
          <w:noProof/>
          <w:color w:val="000000"/>
          <w:szCs w:val="22"/>
          <w:highlight w:val="black"/>
        </w:rPr>
        <w:t>''''''''''''</w:t>
      </w:r>
      <w:r w:rsidR="00CA3310" w:rsidRPr="00A20554">
        <w:rPr>
          <w:szCs w:val="22"/>
        </w:rPr>
        <w:t xml:space="preserve">) </w:t>
      </w:r>
      <w:r w:rsidR="00987FFE" w:rsidRPr="00A20554">
        <w:rPr>
          <w:szCs w:val="22"/>
        </w:rPr>
        <w:t>result</w:t>
      </w:r>
      <w:r w:rsidR="00FD1850">
        <w:rPr>
          <w:szCs w:val="22"/>
        </w:rPr>
        <w:t>ed</w:t>
      </w:r>
      <w:r w:rsidR="00987FFE" w:rsidRPr="00A20554">
        <w:rPr>
          <w:szCs w:val="22"/>
        </w:rPr>
        <w:t xml:space="preserve"> </w:t>
      </w:r>
      <w:r w:rsidR="00CA3310" w:rsidRPr="00A20554">
        <w:rPr>
          <w:szCs w:val="22"/>
        </w:rPr>
        <w:t xml:space="preserve">in a </w:t>
      </w:r>
      <w:r w:rsidR="00BF0C39">
        <w:rPr>
          <w:noProof/>
          <w:color w:val="000000"/>
          <w:szCs w:val="22"/>
          <w:highlight w:val="black"/>
        </w:rPr>
        <w:t>''''''''''''</w:t>
      </w:r>
      <w:r w:rsidR="00CA3310" w:rsidRPr="00A20554">
        <w:rPr>
          <w:szCs w:val="22"/>
        </w:rPr>
        <w:t xml:space="preserve"> decrease in net costs to the PBS over 5 years.  Overall, a highly conservative approach has been used by the submission, which is likely to result in net costs to the PBS being significantly overestimated.</w:t>
      </w:r>
      <w:r w:rsidR="005B7AB3">
        <w:rPr>
          <w:szCs w:val="22"/>
        </w:rPr>
        <w:t xml:space="preserve"> </w:t>
      </w:r>
    </w:p>
    <w:p w:rsidR="00287EB9" w:rsidRDefault="00287EB9">
      <w:pPr>
        <w:widowControl/>
        <w:jc w:val="left"/>
        <w:rPr>
          <w:b/>
          <w:i/>
          <w:szCs w:val="22"/>
          <w:u w:val="single"/>
        </w:rPr>
      </w:pPr>
      <w:r>
        <w:rPr>
          <w:b/>
          <w:i/>
          <w:szCs w:val="22"/>
          <w:u w:val="single"/>
        </w:rPr>
        <w:br w:type="page"/>
      </w:r>
    </w:p>
    <w:p w:rsidR="003C0517" w:rsidRPr="00087F28" w:rsidRDefault="003C0517" w:rsidP="003C0517">
      <w:pPr>
        <w:widowControl/>
        <w:ind w:left="720"/>
        <w:rPr>
          <w:b/>
          <w:i/>
          <w:szCs w:val="22"/>
          <w:u w:val="single"/>
        </w:rPr>
      </w:pPr>
      <w:r w:rsidRPr="00087F28">
        <w:rPr>
          <w:b/>
          <w:i/>
          <w:szCs w:val="22"/>
          <w:u w:val="single"/>
        </w:rPr>
        <w:lastRenderedPageBreak/>
        <w:t>Committee-in-Confidence</w:t>
      </w:r>
    </w:p>
    <w:p w:rsidR="0018144D" w:rsidRPr="00894B72" w:rsidRDefault="0018144D">
      <w:pPr>
        <w:widowControl/>
        <w:jc w:val="left"/>
        <w:rPr>
          <w:rStyle w:val="CommentReference"/>
          <w:rFonts w:ascii="Arial" w:hAnsi="Arial"/>
          <w:b w:val="0"/>
          <w:sz w:val="22"/>
          <w:szCs w:val="22"/>
        </w:rPr>
      </w:pPr>
    </w:p>
    <w:p w:rsidR="003C0517" w:rsidRPr="00894B72" w:rsidRDefault="00894B72" w:rsidP="003C0517">
      <w:pPr>
        <w:ind w:left="709"/>
        <w:rPr>
          <w:rStyle w:val="CommentReference"/>
          <w:highlight w:val="black"/>
        </w:rPr>
      </w:pPr>
      <w:r>
        <w:rPr>
          <w:rStyle w:val="CommentReference"/>
          <w:noProof/>
          <w:color w:val="000000"/>
          <w:highlight w:val="black"/>
        </w:rPr>
        <w:t>'''''''''''''''''''''''' '''''''''' '''''''''''' '''''''''''''''''''' ''''''' ''''''' ''''''''''''''''' '''''''''''''''''''''''''''' ''''''''''''''''''''' '''' '''''''''''''''''''' '''''''''''''''''''''''''''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22"/>
        <w:gridCol w:w="1124"/>
        <w:gridCol w:w="1163"/>
        <w:gridCol w:w="1124"/>
        <w:gridCol w:w="1156"/>
        <w:gridCol w:w="1156"/>
      </w:tblGrid>
      <w:tr w:rsidR="003C0517" w:rsidRPr="004651D0">
        <w:trPr>
          <w:tblHeader/>
        </w:trPr>
        <w:tc>
          <w:tcPr>
            <w:tcW w:w="1613" w:type="pct"/>
            <w:shd w:val="clear" w:color="auto" w:fill="auto"/>
            <w:vAlign w:val="center"/>
          </w:tcPr>
          <w:p w:rsidR="003C0517" w:rsidRPr="00894B72" w:rsidRDefault="003C0517" w:rsidP="00D54C0C">
            <w:pPr>
              <w:tabs>
                <w:tab w:val="left" w:pos="142"/>
              </w:tabs>
              <w:ind w:right="93"/>
              <w:jc w:val="left"/>
              <w:rPr>
                <w:rFonts w:ascii="Arial Narrow" w:hAnsi="Arial Narrow"/>
                <w:b/>
                <w:sz w:val="20"/>
              </w:rPr>
            </w:pPr>
          </w:p>
        </w:tc>
        <w:tc>
          <w:tcPr>
            <w:tcW w:w="679" w:type="pct"/>
            <w:shd w:val="clear" w:color="auto" w:fill="auto"/>
            <w:vAlign w:val="center"/>
          </w:tcPr>
          <w:p w:rsidR="003C0517" w:rsidRPr="00894B72" w:rsidRDefault="00894B72" w:rsidP="00D54C0C">
            <w:pPr>
              <w:ind w:right="93"/>
              <w:jc w:val="center"/>
              <w:rPr>
                <w:rFonts w:ascii="Arial Narrow" w:hAnsi="Arial Narrow"/>
                <w:b/>
                <w:sz w:val="20"/>
                <w:highlight w:val="black"/>
              </w:rPr>
            </w:pPr>
            <w:r>
              <w:rPr>
                <w:rFonts w:ascii="Arial Narrow" w:hAnsi="Arial Narrow"/>
                <w:b/>
                <w:noProof/>
                <w:color w:val="000000"/>
                <w:sz w:val="20"/>
                <w:highlight w:val="black"/>
              </w:rPr>
              <w:t>'''''''''' '''</w:t>
            </w:r>
          </w:p>
        </w:tc>
        <w:tc>
          <w:tcPr>
            <w:tcW w:w="678" w:type="pct"/>
            <w:shd w:val="clear" w:color="auto" w:fill="auto"/>
            <w:vAlign w:val="center"/>
          </w:tcPr>
          <w:p w:rsidR="003C0517" w:rsidRPr="00894B72" w:rsidRDefault="00894B72" w:rsidP="00D54C0C">
            <w:pPr>
              <w:ind w:right="93"/>
              <w:jc w:val="center"/>
              <w:rPr>
                <w:rFonts w:ascii="Arial Narrow" w:hAnsi="Arial Narrow"/>
                <w:b/>
                <w:sz w:val="20"/>
                <w:highlight w:val="black"/>
              </w:rPr>
            </w:pPr>
            <w:r>
              <w:rPr>
                <w:rFonts w:ascii="Arial Narrow" w:hAnsi="Arial Narrow"/>
                <w:b/>
                <w:noProof/>
                <w:color w:val="000000"/>
                <w:sz w:val="20"/>
                <w:highlight w:val="black"/>
              </w:rPr>
              <w:t>'''''''''' '''</w:t>
            </w:r>
          </w:p>
        </w:tc>
        <w:tc>
          <w:tcPr>
            <w:tcW w:w="678" w:type="pct"/>
            <w:shd w:val="clear" w:color="auto" w:fill="auto"/>
            <w:vAlign w:val="center"/>
          </w:tcPr>
          <w:p w:rsidR="003C0517" w:rsidRPr="00894B72" w:rsidRDefault="00894B72" w:rsidP="00D54C0C">
            <w:pPr>
              <w:ind w:right="93"/>
              <w:jc w:val="center"/>
              <w:rPr>
                <w:rFonts w:ascii="Arial Narrow" w:hAnsi="Arial Narrow"/>
                <w:b/>
                <w:sz w:val="20"/>
                <w:highlight w:val="black"/>
              </w:rPr>
            </w:pPr>
            <w:r>
              <w:rPr>
                <w:rFonts w:ascii="Arial Narrow" w:hAnsi="Arial Narrow"/>
                <w:b/>
                <w:noProof/>
                <w:color w:val="000000"/>
                <w:sz w:val="20"/>
                <w:highlight w:val="black"/>
              </w:rPr>
              <w:t>''''''''' ''</w:t>
            </w:r>
          </w:p>
        </w:tc>
        <w:tc>
          <w:tcPr>
            <w:tcW w:w="679" w:type="pct"/>
            <w:shd w:val="clear" w:color="auto" w:fill="auto"/>
            <w:vAlign w:val="center"/>
          </w:tcPr>
          <w:p w:rsidR="003C0517" w:rsidRPr="00894B72" w:rsidRDefault="00894B72" w:rsidP="00D54C0C">
            <w:pPr>
              <w:ind w:right="93"/>
              <w:jc w:val="center"/>
              <w:rPr>
                <w:rFonts w:ascii="Arial Narrow" w:hAnsi="Arial Narrow"/>
                <w:b/>
                <w:sz w:val="20"/>
                <w:highlight w:val="black"/>
              </w:rPr>
            </w:pPr>
            <w:r>
              <w:rPr>
                <w:rFonts w:ascii="Arial Narrow" w:hAnsi="Arial Narrow"/>
                <w:b/>
                <w:noProof/>
                <w:color w:val="000000"/>
                <w:sz w:val="20"/>
                <w:highlight w:val="black"/>
              </w:rPr>
              <w:t>''''''''' '''</w:t>
            </w:r>
          </w:p>
        </w:tc>
        <w:tc>
          <w:tcPr>
            <w:tcW w:w="673" w:type="pct"/>
            <w:shd w:val="clear" w:color="auto" w:fill="auto"/>
            <w:vAlign w:val="center"/>
          </w:tcPr>
          <w:p w:rsidR="003C0517" w:rsidRPr="00894B72" w:rsidRDefault="00894B72" w:rsidP="00D54C0C">
            <w:pPr>
              <w:ind w:right="93"/>
              <w:jc w:val="center"/>
              <w:rPr>
                <w:rFonts w:ascii="Arial Narrow" w:hAnsi="Arial Narrow"/>
                <w:b/>
                <w:sz w:val="20"/>
                <w:highlight w:val="black"/>
              </w:rPr>
            </w:pPr>
            <w:r>
              <w:rPr>
                <w:rFonts w:ascii="Arial Narrow" w:hAnsi="Arial Narrow"/>
                <w:b/>
                <w:noProof/>
                <w:color w:val="000000"/>
                <w:sz w:val="20"/>
                <w:highlight w:val="black"/>
              </w:rPr>
              <w:t>''''''''' '''</w:t>
            </w:r>
          </w:p>
        </w:tc>
      </w:tr>
      <w:tr w:rsidR="003C0517" w:rsidRPr="004651D0">
        <w:tc>
          <w:tcPr>
            <w:tcW w:w="5000" w:type="pct"/>
            <w:gridSpan w:val="6"/>
            <w:shd w:val="clear" w:color="auto" w:fill="auto"/>
            <w:vAlign w:val="center"/>
          </w:tcPr>
          <w:p w:rsidR="003C0517" w:rsidRPr="00894B72" w:rsidRDefault="00894B72" w:rsidP="00D54C0C">
            <w:pPr>
              <w:ind w:right="93"/>
              <w:jc w:val="left"/>
              <w:rPr>
                <w:rFonts w:ascii="Arial Narrow" w:hAnsi="Arial Narrow"/>
                <w:b/>
                <w:bCs/>
                <w:color w:val="000000"/>
                <w:sz w:val="20"/>
                <w:highlight w:val="black"/>
              </w:rPr>
            </w:pPr>
            <w:r>
              <w:rPr>
                <w:rFonts w:ascii="Arial Narrow" w:hAnsi="Arial Narrow"/>
                <w:b/>
                <w:bCs/>
                <w:noProof/>
                <w:color w:val="000000"/>
                <w:sz w:val="20"/>
                <w:highlight w:val="black"/>
              </w:rPr>
              <w:t>'''''''''''''''''''' ''''''''''''' '''' '''''''</w:t>
            </w:r>
          </w:p>
        </w:tc>
      </w:tr>
      <w:tr w:rsidR="003C0517" w:rsidRPr="004651D0">
        <w:tc>
          <w:tcPr>
            <w:tcW w:w="1613" w:type="pct"/>
            <w:shd w:val="clear" w:color="auto" w:fill="auto"/>
            <w:vAlign w:val="center"/>
          </w:tcPr>
          <w:p w:rsidR="003C0517" w:rsidRPr="00894B72" w:rsidRDefault="00894B72" w:rsidP="00D54C0C">
            <w:pPr>
              <w:tabs>
                <w:tab w:val="left" w:pos="142"/>
              </w:tabs>
              <w:ind w:right="93"/>
              <w:jc w:val="left"/>
              <w:rPr>
                <w:rFonts w:ascii="Arial Narrow" w:hAnsi="Arial Narrow"/>
                <w:sz w:val="20"/>
                <w:highlight w:val="black"/>
              </w:rPr>
            </w:pPr>
            <w:r>
              <w:rPr>
                <w:rFonts w:ascii="Arial Narrow" w:hAnsi="Arial Narrow"/>
                <w:noProof/>
                <w:color w:val="000000"/>
                <w:sz w:val="20"/>
                <w:highlight w:val="black"/>
              </w:rPr>
              <w:t>''''''''''''''''''' ''''''''''''''''''</w:t>
            </w:r>
          </w:p>
        </w:tc>
        <w:tc>
          <w:tcPr>
            <w:tcW w:w="679" w:type="pct"/>
            <w:shd w:val="clear" w:color="auto" w:fill="auto"/>
            <w:vAlign w:val="center"/>
          </w:tcPr>
          <w:p w:rsidR="003C0517" w:rsidRPr="00894B72" w:rsidRDefault="00894B72" w:rsidP="00D54C0C">
            <w:pPr>
              <w:ind w:right="93"/>
              <w:jc w:val="center"/>
              <w:rPr>
                <w:rFonts w:ascii="Arial Narrow" w:hAnsi="Arial Narrow"/>
                <w:b/>
                <w:bCs/>
                <w:color w:val="000000"/>
                <w:sz w:val="20"/>
                <w:highlight w:val="black"/>
              </w:rPr>
            </w:pPr>
            <w:r>
              <w:rPr>
                <w:rStyle w:val="CommentReference"/>
                <w:b w:val="0"/>
                <w:noProof/>
                <w:color w:val="00000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b/>
                <w:bCs/>
                <w:color w:val="000000"/>
                <w:sz w:val="20"/>
                <w:highlight w:val="black"/>
              </w:rPr>
            </w:pPr>
            <w:r>
              <w:rPr>
                <w:rStyle w:val="CommentReference"/>
                <w:b w:val="0"/>
                <w:noProof/>
                <w:color w:val="00000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b/>
                <w:bCs/>
                <w:color w:val="000000"/>
                <w:sz w:val="20"/>
                <w:highlight w:val="black"/>
              </w:rPr>
            </w:pPr>
            <w:r>
              <w:rPr>
                <w:rStyle w:val="CommentReference"/>
                <w:b w:val="0"/>
                <w:noProof/>
                <w:color w:val="000000"/>
                <w:highlight w:val="black"/>
              </w:rPr>
              <w:t>''''''''''''''''</w:t>
            </w:r>
          </w:p>
        </w:tc>
        <w:tc>
          <w:tcPr>
            <w:tcW w:w="679" w:type="pct"/>
            <w:shd w:val="clear" w:color="auto" w:fill="auto"/>
            <w:vAlign w:val="center"/>
          </w:tcPr>
          <w:p w:rsidR="003C0517" w:rsidRPr="00894B72" w:rsidRDefault="00894B72" w:rsidP="00D54C0C">
            <w:pPr>
              <w:ind w:right="93"/>
              <w:jc w:val="center"/>
              <w:rPr>
                <w:rFonts w:ascii="Arial Narrow" w:hAnsi="Arial Narrow"/>
                <w:b/>
                <w:bCs/>
                <w:color w:val="000000"/>
                <w:sz w:val="20"/>
                <w:highlight w:val="black"/>
              </w:rPr>
            </w:pPr>
            <w:r>
              <w:rPr>
                <w:rStyle w:val="CommentReference"/>
                <w:b w:val="0"/>
                <w:noProof/>
                <w:color w:val="000000"/>
                <w:highlight w:val="black"/>
              </w:rPr>
              <w:t>'''''''''''''''</w:t>
            </w:r>
          </w:p>
        </w:tc>
        <w:tc>
          <w:tcPr>
            <w:tcW w:w="673" w:type="pct"/>
            <w:shd w:val="clear" w:color="auto" w:fill="auto"/>
            <w:vAlign w:val="center"/>
          </w:tcPr>
          <w:p w:rsidR="003C0517" w:rsidRPr="00894B72" w:rsidRDefault="00894B72" w:rsidP="00D54C0C">
            <w:pPr>
              <w:ind w:right="93"/>
              <w:jc w:val="center"/>
              <w:rPr>
                <w:rFonts w:ascii="Arial Narrow" w:hAnsi="Arial Narrow"/>
                <w:b/>
                <w:bCs/>
                <w:color w:val="000000"/>
                <w:sz w:val="20"/>
                <w:highlight w:val="black"/>
              </w:rPr>
            </w:pPr>
            <w:r>
              <w:rPr>
                <w:rStyle w:val="CommentReference"/>
                <w:b w:val="0"/>
                <w:noProof/>
                <w:color w:val="000000"/>
                <w:highlight w:val="black"/>
              </w:rPr>
              <w:t>''''''''''''''''</w:t>
            </w:r>
          </w:p>
        </w:tc>
      </w:tr>
      <w:tr w:rsidR="003C0517" w:rsidRPr="004651D0">
        <w:tc>
          <w:tcPr>
            <w:tcW w:w="1613" w:type="pct"/>
            <w:shd w:val="clear" w:color="auto" w:fill="auto"/>
            <w:vAlign w:val="center"/>
          </w:tcPr>
          <w:p w:rsidR="003C0517" w:rsidRPr="00894B72" w:rsidRDefault="00894B72" w:rsidP="00D54C0C">
            <w:pPr>
              <w:tabs>
                <w:tab w:val="left" w:pos="142"/>
              </w:tabs>
              <w:ind w:right="93"/>
              <w:jc w:val="left"/>
              <w:rPr>
                <w:rFonts w:ascii="Arial Narrow" w:hAnsi="Arial Narrow"/>
                <w:sz w:val="20"/>
                <w:highlight w:val="black"/>
              </w:rPr>
            </w:pPr>
            <w:r>
              <w:rPr>
                <w:rFonts w:ascii="Arial Narrow" w:hAnsi="Arial Narrow"/>
                <w:noProof/>
                <w:color w:val="000000"/>
                <w:sz w:val="20"/>
                <w:highlight w:val="black"/>
              </w:rPr>
              <w:t>''''''''''''''''' '''''''''''''''' ''' ''''''''' ''''''''''''</w:t>
            </w:r>
          </w:p>
        </w:tc>
        <w:tc>
          <w:tcPr>
            <w:tcW w:w="679" w:type="pct"/>
            <w:shd w:val="clear" w:color="auto" w:fill="auto"/>
            <w:vAlign w:val="center"/>
          </w:tcPr>
          <w:p w:rsidR="003C0517" w:rsidRPr="00894B72" w:rsidRDefault="00894B72" w:rsidP="00D54C0C">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78" w:type="pct"/>
            <w:shd w:val="clear" w:color="auto" w:fill="auto"/>
            <w:vAlign w:val="center"/>
          </w:tcPr>
          <w:p w:rsidR="003C0517" w:rsidRPr="00894B72" w:rsidRDefault="00894B72" w:rsidP="00D54C0C">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78" w:type="pct"/>
            <w:shd w:val="clear" w:color="auto" w:fill="auto"/>
            <w:vAlign w:val="center"/>
          </w:tcPr>
          <w:p w:rsidR="003C0517" w:rsidRPr="00894B72" w:rsidRDefault="00894B72" w:rsidP="00D54C0C">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79" w:type="pct"/>
            <w:shd w:val="clear" w:color="auto" w:fill="auto"/>
            <w:vAlign w:val="center"/>
          </w:tcPr>
          <w:p w:rsidR="003C0517" w:rsidRPr="00894B72" w:rsidRDefault="00894B72" w:rsidP="00D54C0C">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73" w:type="pct"/>
            <w:shd w:val="clear" w:color="auto" w:fill="auto"/>
            <w:vAlign w:val="center"/>
          </w:tcPr>
          <w:p w:rsidR="003C0517" w:rsidRPr="00894B72" w:rsidRDefault="00894B72" w:rsidP="00D54C0C">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r>
      <w:tr w:rsidR="003C0517" w:rsidRPr="004651D0">
        <w:tc>
          <w:tcPr>
            <w:tcW w:w="1613" w:type="pct"/>
            <w:shd w:val="clear" w:color="auto" w:fill="auto"/>
            <w:vAlign w:val="center"/>
          </w:tcPr>
          <w:p w:rsidR="003C0517" w:rsidRPr="00894B72" w:rsidRDefault="00894B72" w:rsidP="00D54C0C">
            <w:pPr>
              <w:tabs>
                <w:tab w:val="left" w:pos="142"/>
              </w:tabs>
              <w:ind w:right="93"/>
              <w:jc w:val="left"/>
              <w:rPr>
                <w:rFonts w:ascii="Arial Narrow" w:hAnsi="Arial Narrow"/>
                <w:sz w:val="20"/>
                <w:highlight w:val="black"/>
              </w:rPr>
            </w:pPr>
            <w:r>
              <w:rPr>
                <w:rFonts w:ascii="Arial Narrow" w:hAnsi="Arial Narrow"/>
                <w:noProof/>
                <w:color w:val="000000"/>
                <w:sz w:val="20"/>
                <w:highlight w:val="black"/>
              </w:rPr>
              <w:t>'''''''''''''''' ''''''''''</w:t>
            </w:r>
          </w:p>
        </w:tc>
        <w:tc>
          <w:tcPr>
            <w:tcW w:w="679"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3"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r>
      <w:tr w:rsidR="003C0517" w:rsidRPr="004651D0">
        <w:tc>
          <w:tcPr>
            <w:tcW w:w="1613" w:type="pct"/>
            <w:shd w:val="clear" w:color="auto" w:fill="auto"/>
            <w:vAlign w:val="center"/>
          </w:tcPr>
          <w:p w:rsidR="003C0517" w:rsidRPr="00894B72" w:rsidRDefault="00894B72" w:rsidP="00D54C0C">
            <w:pPr>
              <w:tabs>
                <w:tab w:val="left" w:pos="142"/>
              </w:tabs>
              <w:ind w:right="93"/>
              <w:jc w:val="left"/>
              <w:rPr>
                <w:rFonts w:ascii="Arial Narrow" w:hAnsi="Arial Narrow"/>
                <w:sz w:val="20"/>
                <w:highlight w:val="black"/>
              </w:rPr>
            </w:pPr>
            <w:r>
              <w:rPr>
                <w:rFonts w:ascii="Arial Narrow" w:hAnsi="Arial Narrow"/>
                <w:noProof/>
                <w:color w:val="000000"/>
                <w:sz w:val="20"/>
                <w:highlight w:val="black"/>
              </w:rPr>
              <w:t>'''''''''''''''' ''''''''' '' '''''''''' '''''''''''</w:t>
            </w:r>
          </w:p>
        </w:tc>
        <w:tc>
          <w:tcPr>
            <w:tcW w:w="679"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3"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r>
      <w:tr w:rsidR="003C0517" w:rsidRPr="004651D0">
        <w:tc>
          <w:tcPr>
            <w:tcW w:w="1613" w:type="pct"/>
            <w:shd w:val="clear" w:color="auto" w:fill="auto"/>
            <w:vAlign w:val="center"/>
          </w:tcPr>
          <w:p w:rsidR="003C0517" w:rsidRPr="00894B72" w:rsidRDefault="00894B72" w:rsidP="00D54C0C">
            <w:pPr>
              <w:tabs>
                <w:tab w:val="left" w:pos="142"/>
              </w:tabs>
              <w:ind w:right="93"/>
              <w:jc w:val="left"/>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3"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3C0517" w:rsidRPr="004651D0">
        <w:tc>
          <w:tcPr>
            <w:tcW w:w="1613" w:type="pct"/>
            <w:shd w:val="clear" w:color="auto" w:fill="auto"/>
            <w:vAlign w:val="center"/>
          </w:tcPr>
          <w:p w:rsidR="003C0517" w:rsidRPr="00894B72" w:rsidRDefault="00894B72" w:rsidP="00D54C0C">
            <w:pPr>
              <w:tabs>
                <w:tab w:val="left" w:pos="142"/>
              </w:tabs>
              <w:ind w:right="93"/>
              <w:jc w:val="left"/>
              <w:rPr>
                <w:rFonts w:ascii="Arial Narrow" w:hAnsi="Arial Narrow"/>
                <w:sz w:val="20"/>
                <w:highlight w:val="black"/>
              </w:rPr>
            </w:pPr>
            <w:r>
              <w:rPr>
                <w:rFonts w:ascii="Arial Narrow" w:hAnsi="Arial Narrow"/>
                <w:noProof/>
                <w:color w:val="000000"/>
                <w:sz w:val="20"/>
                <w:highlight w:val="black"/>
              </w:rPr>
              <w:t>''''''''''''''''''''''''' '' '''''''''' '''''''''''</w:t>
            </w:r>
          </w:p>
        </w:tc>
        <w:tc>
          <w:tcPr>
            <w:tcW w:w="679"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3"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3C0517" w:rsidRPr="004651D0">
        <w:tc>
          <w:tcPr>
            <w:tcW w:w="5000" w:type="pct"/>
            <w:gridSpan w:val="6"/>
            <w:shd w:val="clear" w:color="auto" w:fill="auto"/>
            <w:vAlign w:val="center"/>
          </w:tcPr>
          <w:p w:rsidR="003C0517" w:rsidRPr="00894B72" w:rsidRDefault="00894B72" w:rsidP="00D54C0C">
            <w:pPr>
              <w:ind w:right="93"/>
              <w:jc w:val="left"/>
              <w:rPr>
                <w:rFonts w:ascii="Arial Narrow" w:hAnsi="Arial Narrow"/>
                <w:b/>
                <w:bCs/>
                <w:color w:val="000000"/>
                <w:sz w:val="20"/>
                <w:highlight w:val="black"/>
              </w:rPr>
            </w:pPr>
            <w:r>
              <w:rPr>
                <w:rFonts w:ascii="Arial Narrow" w:hAnsi="Arial Narrow"/>
                <w:b/>
                <w:bCs/>
                <w:noProof/>
                <w:color w:val="000000"/>
                <w:sz w:val="20"/>
                <w:highlight w:val="black"/>
              </w:rPr>
              <w:t>''''''''''''''''''' ''''''' ''''''''' ''''' ''''''''''''''''''''</w:t>
            </w:r>
          </w:p>
        </w:tc>
      </w:tr>
      <w:tr w:rsidR="003C0517" w:rsidRPr="004651D0">
        <w:tc>
          <w:tcPr>
            <w:tcW w:w="1613" w:type="pct"/>
            <w:shd w:val="clear" w:color="auto" w:fill="auto"/>
            <w:vAlign w:val="center"/>
          </w:tcPr>
          <w:p w:rsidR="003C0517" w:rsidRPr="00894B72" w:rsidRDefault="00894B72" w:rsidP="00D54C0C">
            <w:pPr>
              <w:tabs>
                <w:tab w:val="left" w:pos="142"/>
              </w:tabs>
              <w:ind w:right="93"/>
              <w:jc w:val="left"/>
              <w:rPr>
                <w:rFonts w:ascii="Arial Narrow" w:hAnsi="Arial Narrow"/>
                <w:sz w:val="20"/>
                <w:highlight w:val="black"/>
              </w:rPr>
            </w:pPr>
            <w:r>
              <w:rPr>
                <w:rFonts w:ascii="Arial Narrow" w:hAnsi="Arial Narrow"/>
                <w:noProof/>
                <w:color w:val="000000"/>
                <w:sz w:val="20"/>
                <w:highlight w:val="black"/>
              </w:rPr>
              <w:t xml:space="preserve">'''''''' ''''''''''' ''''' '''''''''''' </w:t>
            </w:r>
          </w:p>
        </w:tc>
        <w:tc>
          <w:tcPr>
            <w:tcW w:w="679"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3"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3C0517" w:rsidRPr="004651D0">
        <w:tc>
          <w:tcPr>
            <w:tcW w:w="1613" w:type="pct"/>
            <w:shd w:val="clear" w:color="auto" w:fill="auto"/>
            <w:vAlign w:val="center"/>
          </w:tcPr>
          <w:p w:rsidR="003C0517" w:rsidRPr="00894B72" w:rsidRDefault="00894B72" w:rsidP="00D54C0C">
            <w:pPr>
              <w:tabs>
                <w:tab w:val="left" w:pos="142"/>
              </w:tabs>
              <w:ind w:right="93"/>
              <w:jc w:val="left"/>
              <w:rPr>
                <w:rFonts w:ascii="Arial Narrow" w:hAnsi="Arial Narrow"/>
                <w:sz w:val="20"/>
                <w:highlight w:val="black"/>
              </w:rPr>
            </w:pPr>
            <w:r>
              <w:rPr>
                <w:rFonts w:ascii="Arial Narrow" w:hAnsi="Arial Narrow"/>
                <w:noProof/>
                <w:color w:val="000000"/>
                <w:sz w:val="20"/>
                <w:highlight w:val="black"/>
              </w:rPr>
              <w:t>'''''''' ''''''''''' '''' '''''''''' '' '''''''''' '''''''''''</w:t>
            </w:r>
          </w:p>
        </w:tc>
        <w:tc>
          <w:tcPr>
            <w:tcW w:w="679"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bCs/>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bCs/>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bCs/>
                <w:noProof/>
                <w:color w:val="000000"/>
                <w:sz w:val="20"/>
                <w:highlight w:val="black"/>
              </w:rPr>
              <w:t>''''''''''''''''''''''''''''''''</w:t>
            </w:r>
          </w:p>
        </w:tc>
        <w:tc>
          <w:tcPr>
            <w:tcW w:w="673"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bCs/>
                <w:noProof/>
                <w:color w:val="000000"/>
                <w:sz w:val="20"/>
                <w:highlight w:val="black"/>
              </w:rPr>
              <w:t>''''''''''''''''''''''''''''''''</w:t>
            </w:r>
          </w:p>
        </w:tc>
      </w:tr>
      <w:tr w:rsidR="003C0517" w:rsidRPr="004651D0">
        <w:tc>
          <w:tcPr>
            <w:tcW w:w="1613" w:type="pct"/>
            <w:shd w:val="clear" w:color="auto" w:fill="auto"/>
            <w:vAlign w:val="center"/>
          </w:tcPr>
          <w:p w:rsidR="003C0517" w:rsidRPr="00894B72" w:rsidRDefault="00894B72" w:rsidP="00D54C0C">
            <w:pPr>
              <w:tabs>
                <w:tab w:val="left" w:pos="142"/>
              </w:tabs>
              <w:ind w:right="93"/>
              <w:jc w:val="left"/>
              <w:rPr>
                <w:rFonts w:ascii="Arial Narrow" w:hAnsi="Arial Narrow"/>
                <w:sz w:val="20"/>
                <w:highlight w:val="black"/>
              </w:rPr>
            </w:pPr>
            <w:r>
              <w:rPr>
                <w:rFonts w:ascii="Arial Narrow" w:hAnsi="Arial Narrow"/>
                <w:noProof/>
                <w:color w:val="000000"/>
                <w:sz w:val="20"/>
                <w:highlight w:val="black"/>
              </w:rPr>
              <w:t>'''''''' ''''''''' ''''' ''''''''''''</w:t>
            </w:r>
          </w:p>
        </w:tc>
        <w:tc>
          <w:tcPr>
            <w:tcW w:w="679"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3"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r>
      <w:tr w:rsidR="003C0517" w:rsidRPr="004651D0">
        <w:tc>
          <w:tcPr>
            <w:tcW w:w="1613" w:type="pct"/>
            <w:shd w:val="clear" w:color="auto" w:fill="auto"/>
            <w:vAlign w:val="center"/>
          </w:tcPr>
          <w:p w:rsidR="003C0517" w:rsidRPr="00894B72" w:rsidRDefault="00894B72" w:rsidP="00D54C0C">
            <w:pPr>
              <w:tabs>
                <w:tab w:val="left" w:pos="142"/>
              </w:tabs>
              <w:ind w:right="93"/>
              <w:jc w:val="left"/>
              <w:rPr>
                <w:rFonts w:ascii="Arial Narrow" w:hAnsi="Arial Narrow"/>
                <w:sz w:val="20"/>
                <w:highlight w:val="black"/>
              </w:rPr>
            </w:pPr>
            <w:r>
              <w:rPr>
                <w:rFonts w:ascii="Arial Narrow" w:hAnsi="Arial Narrow"/>
                <w:noProof/>
                <w:color w:val="000000"/>
                <w:sz w:val="20"/>
                <w:highlight w:val="black"/>
              </w:rPr>
              <w:t>''''''''' ''''''''''' '''' ''''''''''' '' ''''''''' '''''''''''</w:t>
            </w:r>
          </w:p>
        </w:tc>
        <w:tc>
          <w:tcPr>
            <w:tcW w:w="679"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3" w:type="pct"/>
            <w:shd w:val="clear" w:color="auto" w:fill="auto"/>
            <w:vAlign w:val="center"/>
          </w:tcPr>
          <w:p w:rsidR="003C0517" w:rsidRPr="00894B72" w:rsidRDefault="00894B72" w:rsidP="00D54C0C">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3C0517" w:rsidRPr="004651D0">
        <w:tc>
          <w:tcPr>
            <w:tcW w:w="5000" w:type="pct"/>
            <w:gridSpan w:val="6"/>
            <w:shd w:val="clear" w:color="auto" w:fill="auto"/>
            <w:vAlign w:val="center"/>
          </w:tcPr>
          <w:p w:rsidR="003C0517" w:rsidRPr="00894B72" w:rsidRDefault="00894B72" w:rsidP="00D54C0C">
            <w:pPr>
              <w:ind w:right="93"/>
              <w:jc w:val="left"/>
              <w:rPr>
                <w:rFonts w:ascii="Arial Narrow" w:hAnsi="Arial Narrow"/>
                <w:b/>
                <w:color w:val="000000"/>
                <w:sz w:val="20"/>
                <w:highlight w:val="black"/>
              </w:rPr>
            </w:pPr>
            <w:r>
              <w:rPr>
                <w:rFonts w:ascii="Arial Narrow" w:hAnsi="Arial Narrow"/>
                <w:b/>
                <w:noProof/>
                <w:color w:val="000000"/>
                <w:sz w:val="20"/>
                <w:highlight w:val="black"/>
              </w:rPr>
              <w:t>'''''''''''''''''''' '''''''''' '''''' '''''''''</w:t>
            </w:r>
          </w:p>
        </w:tc>
      </w:tr>
      <w:tr w:rsidR="003C0517" w:rsidRPr="004651D0">
        <w:tc>
          <w:tcPr>
            <w:tcW w:w="1613" w:type="pct"/>
            <w:shd w:val="clear" w:color="auto" w:fill="auto"/>
            <w:vAlign w:val="center"/>
          </w:tcPr>
          <w:p w:rsidR="003C0517" w:rsidRPr="00894B72" w:rsidRDefault="00894B72" w:rsidP="00D54C0C">
            <w:pPr>
              <w:tabs>
                <w:tab w:val="left" w:pos="142"/>
              </w:tabs>
              <w:ind w:right="93"/>
              <w:jc w:val="left"/>
              <w:rPr>
                <w:rFonts w:ascii="Arial Narrow" w:hAnsi="Arial Narrow"/>
                <w:b/>
                <w:sz w:val="20"/>
                <w:highlight w:val="black"/>
              </w:rPr>
            </w:pPr>
            <w:r>
              <w:rPr>
                <w:rFonts w:ascii="Arial Narrow" w:hAnsi="Arial Narrow"/>
                <w:b/>
                <w:bCs/>
                <w:noProof/>
                <w:color w:val="000000"/>
                <w:sz w:val="20"/>
                <w:highlight w:val="black"/>
              </w:rPr>
              <w:t>''''''' '''''''' '''''''''''''''''''''</w:t>
            </w:r>
          </w:p>
        </w:tc>
        <w:tc>
          <w:tcPr>
            <w:tcW w:w="679" w:type="pct"/>
            <w:shd w:val="clear" w:color="auto" w:fill="auto"/>
            <w:vAlign w:val="center"/>
          </w:tcPr>
          <w:p w:rsidR="003C0517" w:rsidRPr="00894B72" w:rsidRDefault="00894B72" w:rsidP="00D54C0C">
            <w:pPr>
              <w:ind w:right="93"/>
              <w:jc w:val="center"/>
              <w:rPr>
                <w:rFonts w:ascii="Arial Narrow" w:hAnsi="Arial Narrow"/>
                <w:b/>
                <w:bCs/>
                <w:sz w:val="20"/>
                <w:highlight w:val="black"/>
              </w:rPr>
            </w:pPr>
            <w:r>
              <w:rPr>
                <w:rFonts w:ascii="Arial Narrow" w:hAnsi="Arial Narrow"/>
                <w:b/>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b/>
                <w:bCs/>
                <w:sz w:val="20"/>
                <w:highlight w:val="black"/>
              </w:rPr>
            </w:pPr>
            <w:r>
              <w:rPr>
                <w:rFonts w:ascii="Arial Narrow" w:hAnsi="Arial Narrow"/>
                <w:b/>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b/>
                <w:bCs/>
                <w:sz w:val="20"/>
                <w:highlight w:val="black"/>
              </w:rPr>
            </w:pPr>
            <w:r>
              <w:rPr>
                <w:rFonts w:ascii="Arial Narrow" w:hAnsi="Arial Narrow"/>
                <w:b/>
                <w:noProof/>
                <w:color w:val="000000"/>
                <w:sz w:val="20"/>
                <w:highlight w:val="black"/>
              </w:rPr>
              <w:t>'''''''''''''''''''''''</w:t>
            </w:r>
          </w:p>
        </w:tc>
        <w:tc>
          <w:tcPr>
            <w:tcW w:w="679" w:type="pct"/>
            <w:shd w:val="clear" w:color="auto" w:fill="auto"/>
            <w:vAlign w:val="center"/>
          </w:tcPr>
          <w:p w:rsidR="003C0517" w:rsidRPr="00894B72" w:rsidRDefault="00894B72" w:rsidP="00D54C0C">
            <w:pPr>
              <w:ind w:right="93"/>
              <w:jc w:val="center"/>
              <w:rPr>
                <w:rFonts w:ascii="Arial Narrow" w:hAnsi="Arial Narrow"/>
                <w:b/>
                <w:bCs/>
                <w:sz w:val="20"/>
                <w:highlight w:val="black"/>
              </w:rPr>
            </w:pPr>
            <w:r>
              <w:rPr>
                <w:rFonts w:ascii="Arial Narrow" w:hAnsi="Arial Narrow"/>
                <w:b/>
                <w:noProof/>
                <w:color w:val="000000"/>
                <w:sz w:val="20"/>
                <w:highlight w:val="black"/>
              </w:rPr>
              <w:t>'''''''''''''''''''''''''</w:t>
            </w:r>
          </w:p>
        </w:tc>
        <w:tc>
          <w:tcPr>
            <w:tcW w:w="673" w:type="pct"/>
            <w:shd w:val="clear" w:color="auto" w:fill="auto"/>
            <w:vAlign w:val="center"/>
          </w:tcPr>
          <w:p w:rsidR="003C0517" w:rsidRPr="00894B72" w:rsidRDefault="00894B72" w:rsidP="00D54C0C">
            <w:pPr>
              <w:ind w:right="93"/>
              <w:jc w:val="center"/>
              <w:rPr>
                <w:rFonts w:ascii="Arial Narrow" w:hAnsi="Arial Narrow"/>
                <w:b/>
                <w:bCs/>
                <w:sz w:val="20"/>
                <w:highlight w:val="black"/>
              </w:rPr>
            </w:pPr>
            <w:r>
              <w:rPr>
                <w:rFonts w:ascii="Arial Narrow" w:hAnsi="Arial Narrow"/>
                <w:b/>
                <w:noProof/>
                <w:color w:val="000000"/>
                <w:sz w:val="20"/>
                <w:highlight w:val="black"/>
              </w:rPr>
              <w:t>'''''''''''''''''''''''</w:t>
            </w:r>
          </w:p>
        </w:tc>
      </w:tr>
      <w:tr w:rsidR="003C0517" w:rsidRPr="004651D0">
        <w:tc>
          <w:tcPr>
            <w:tcW w:w="1613" w:type="pct"/>
            <w:shd w:val="clear" w:color="auto" w:fill="auto"/>
            <w:vAlign w:val="center"/>
          </w:tcPr>
          <w:p w:rsidR="003C0517" w:rsidRPr="00894B72" w:rsidRDefault="00894B72" w:rsidP="00D54C0C">
            <w:pPr>
              <w:tabs>
                <w:tab w:val="left" w:pos="142"/>
              </w:tabs>
              <w:ind w:right="93"/>
              <w:jc w:val="left"/>
              <w:rPr>
                <w:rFonts w:ascii="Arial Narrow" w:hAnsi="Arial Narrow"/>
                <w:sz w:val="20"/>
                <w:highlight w:val="black"/>
              </w:rPr>
            </w:pPr>
            <w:r>
              <w:rPr>
                <w:rFonts w:ascii="Arial Narrow" w:hAnsi="Arial Narrow"/>
                <w:bCs/>
                <w:noProof/>
                <w:color w:val="000000"/>
                <w:sz w:val="20"/>
                <w:highlight w:val="black"/>
              </w:rPr>
              <w:t>''''''''' ''''''''''' ''''''''''''''''''''''''' '' ''''''''' '''''''''''</w:t>
            </w:r>
          </w:p>
        </w:tc>
        <w:tc>
          <w:tcPr>
            <w:tcW w:w="679" w:type="pct"/>
            <w:shd w:val="clear" w:color="auto" w:fill="auto"/>
            <w:vAlign w:val="center"/>
          </w:tcPr>
          <w:p w:rsidR="003C0517" w:rsidRPr="00894B72" w:rsidRDefault="00894B72" w:rsidP="00D54C0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3C0517" w:rsidRPr="00894B72" w:rsidRDefault="00894B72" w:rsidP="00D54C0C">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3" w:type="pct"/>
            <w:shd w:val="clear" w:color="auto" w:fill="auto"/>
            <w:vAlign w:val="center"/>
          </w:tcPr>
          <w:p w:rsidR="003C0517" w:rsidRPr="00894B72" w:rsidRDefault="00894B72" w:rsidP="00D54C0C">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3C0517" w:rsidRPr="004651D0">
        <w:tc>
          <w:tcPr>
            <w:tcW w:w="1613" w:type="pct"/>
            <w:shd w:val="clear" w:color="auto" w:fill="auto"/>
            <w:vAlign w:val="center"/>
          </w:tcPr>
          <w:p w:rsidR="003C0517" w:rsidRPr="00894B72" w:rsidRDefault="00894B72" w:rsidP="00D54C0C">
            <w:pPr>
              <w:tabs>
                <w:tab w:val="left" w:pos="142"/>
              </w:tabs>
              <w:ind w:right="93"/>
              <w:jc w:val="left"/>
              <w:rPr>
                <w:rFonts w:ascii="Arial Narrow" w:hAnsi="Arial Narrow"/>
                <w:bCs/>
                <w:color w:val="000000"/>
                <w:sz w:val="20"/>
                <w:highlight w:val="black"/>
              </w:rPr>
            </w:pPr>
            <w:r>
              <w:rPr>
                <w:rFonts w:ascii="Arial Narrow" w:hAnsi="Arial Narrow"/>
                <w:bCs/>
                <w:noProof/>
                <w:color w:val="000000"/>
                <w:sz w:val="20"/>
                <w:highlight w:val="black"/>
              </w:rPr>
              <w:t>'''''''' '''''''''' '''''''''''''''''''''''''' ''' '''''''''''''' '''''''''''</w:t>
            </w:r>
          </w:p>
        </w:tc>
        <w:tc>
          <w:tcPr>
            <w:tcW w:w="679"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3" w:type="pct"/>
            <w:shd w:val="clear" w:color="auto" w:fill="auto"/>
            <w:vAlign w:val="center"/>
          </w:tcPr>
          <w:p w:rsidR="003C0517" w:rsidRPr="00894B72" w:rsidRDefault="00894B72" w:rsidP="00D54C0C">
            <w:pPr>
              <w:ind w:right="93"/>
              <w:jc w:val="center"/>
              <w:rPr>
                <w:rFonts w:ascii="Arial Narrow" w:hAnsi="Arial Narrow"/>
                <w:sz w:val="20"/>
                <w:highlight w:val="black"/>
              </w:rPr>
            </w:pPr>
            <w:r>
              <w:rPr>
                <w:rFonts w:ascii="Arial Narrow" w:hAnsi="Arial Narrow"/>
                <w:noProof/>
                <w:color w:val="000000"/>
                <w:sz w:val="20"/>
                <w:highlight w:val="black"/>
              </w:rPr>
              <w:t>'''''''''''''''''''''''''''''''</w:t>
            </w:r>
          </w:p>
        </w:tc>
      </w:tr>
    </w:tbl>
    <w:p w:rsidR="003C0517" w:rsidRPr="00894B72" w:rsidRDefault="00894B72" w:rsidP="00FD1850">
      <w:pPr>
        <w:ind w:left="709"/>
        <w:rPr>
          <w:rFonts w:ascii="Arial Narrow" w:hAnsi="Arial Narrow"/>
          <w:b/>
          <w:sz w:val="20"/>
          <w:highlight w:val="black"/>
        </w:rPr>
      </w:pPr>
      <w:r>
        <w:rPr>
          <w:rFonts w:ascii="Arial Narrow" w:hAnsi="Arial Narrow"/>
          <w:noProof/>
          <w:color w:val="000000"/>
          <w:sz w:val="18"/>
          <w:szCs w:val="18"/>
          <w:highlight w:val="black"/>
        </w:rPr>
        <w:t>'''''''''''''''''' ''''''' ''''''''''''''''''''''''''' '''''''''' ''''''''''' '''''''''''''' '''''''''''''''''''' '''''''''''''''''''' ''''''''</w:t>
      </w:r>
    </w:p>
    <w:p w:rsidR="003C0517" w:rsidRPr="00FD1850" w:rsidRDefault="003C0517" w:rsidP="003B534E">
      <w:pPr>
        <w:widowControl/>
        <w:rPr>
          <w:szCs w:val="22"/>
        </w:rPr>
      </w:pPr>
    </w:p>
    <w:p w:rsidR="003C0517" w:rsidRPr="00087F28" w:rsidRDefault="003C0517" w:rsidP="003C0517">
      <w:pPr>
        <w:widowControl/>
        <w:ind w:left="720"/>
        <w:rPr>
          <w:b/>
          <w:i/>
          <w:szCs w:val="22"/>
          <w:u w:val="single"/>
        </w:rPr>
      </w:pPr>
      <w:r w:rsidRPr="00087F28">
        <w:rPr>
          <w:b/>
          <w:i/>
          <w:szCs w:val="22"/>
          <w:u w:val="single"/>
        </w:rPr>
        <w:t>End-Committee-in-Confidence</w:t>
      </w:r>
    </w:p>
    <w:p w:rsidR="008A3302" w:rsidRDefault="008A3302" w:rsidP="00BB4492">
      <w:pPr>
        <w:widowControl/>
        <w:rPr>
          <w:szCs w:val="22"/>
        </w:rPr>
      </w:pPr>
    </w:p>
    <w:p w:rsidR="00054339" w:rsidRDefault="00054339" w:rsidP="00054339">
      <w:pPr>
        <w:widowControl/>
        <w:numPr>
          <w:ilvl w:val="1"/>
          <w:numId w:val="3"/>
        </w:numPr>
      </w:pPr>
      <w:r>
        <w:t>The PBAC noted that the submission did not propose a risk sharing arrangement</w:t>
      </w:r>
      <w:r w:rsidR="00BD2733">
        <w:t>.</w:t>
      </w:r>
      <w:r>
        <w:t xml:space="preserve"> </w:t>
      </w:r>
      <w:r w:rsidR="00BD2733">
        <w:t xml:space="preserve"> T</w:t>
      </w:r>
      <w:r>
        <w:t>herefore,</w:t>
      </w:r>
      <w:r w:rsidR="00BD2733">
        <w:t xml:space="preserve"> the Committee</w:t>
      </w:r>
      <w:r>
        <w:t xml:space="preserve"> recommended that the Department ensure a subsidisation cap </w:t>
      </w:r>
      <w:r w:rsidR="00BD2733">
        <w:t xml:space="preserve">be put in place, </w:t>
      </w:r>
      <w:r>
        <w:t>based</w:t>
      </w:r>
      <w:r w:rsidR="00F25906">
        <w:t xml:space="preserve"> on the financial estimates derived using the </w:t>
      </w:r>
      <w:r>
        <w:t>treatment duration</w:t>
      </w:r>
      <w:r w:rsidR="00F25906">
        <w:t xml:space="preserve"> in the trial</w:t>
      </w:r>
      <w:r>
        <w:t>.</w:t>
      </w:r>
    </w:p>
    <w:p w:rsidR="00054339" w:rsidRDefault="00054339" w:rsidP="00BB4492">
      <w:pPr>
        <w:widowControl/>
        <w:rPr>
          <w:szCs w:val="22"/>
        </w:rPr>
      </w:pPr>
    </w:p>
    <w:p w:rsidR="00220308" w:rsidRPr="008A3302" w:rsidRDefault="00220308" w:rsidP="00220308">
      <w:pPr>
        <w:widowControl/>
        <w:ind w:left="709"/>
        <w:contextualSpacing/>
        <w:rPr>
          <w:rFonts w:cs="Times New Roman"/>
          <w:i/>
          <w:snapToGrid/>
          <w:szCs w:val="22"/>
          <w:lang w:eastAsia="en-AU"/>
        </w:rPr>
      </w:pPr>
      <w:r w:rsidRPr="00A53ADC">
        <w:rPr>
          <w:rFonts w:cs="Times New Roman"/>
          <w:i/>
          <w:snapToGrid/>
          <w:szCs w:val="22"/>
          <w:lang w:eastAsia="en-AU"/>
        </w:rPr>
        <w:t>For more detail on PBAC’s view, see section 7 “PBAC outcome”</w:t>
      </w:r>
    </w:p>
    <w:p w:rsidR="00C45D34" w:rsidRDefault="00C45D34" w:rsidP="00BB4492">
      <w:pPr>
        <w:widowControl/>
        <w:rPr>
          <w:szCs w:val="22"/>
        </w:rPr>
      </w:pPr>
    </w:p>
    <w:p w:rsidR="00C45D34" w:rsidRPr="00FD1850" w:rsidRDefault="00C45D34" w:rsidP="00BB4492">
      <w:pPr>
        <w:widowControl/>
        <w:rPr>
          <w:szCs w:val="22"/>
        </w:rPr>
      </w:pPr>
    </w:p>
    <w:p w:rsidR="008A3302" w:rsidRPr="005B7B4E" w:rsidRDefault="008A3302" w:rsidP="008A3302">
      <w:pPr>
        <w:widowControl/>
        <w:numPr>
          <w:ilvl w:val="0"/>
          <w:numId w:val="3"/>
        </w:numPr>
        <w:jc w:val="left"/>
        <w:rPr>
          <w:b/>
          <w:bCs/>
          <w:szCs w:val="22"/>
        </w:rPr>
      </w:pPr>
      <w:r w:rsidRPr="005B7B4E">
        <w:rPr>
          <w:b/>
          <w:bCs/>
          <w:szCs w:val="22"/>
        </w:rPr>
        <w:t>PBAC Outcome</w:t>
      </w:r>
    </w:p>
    <w:p w:rsidR="008A3302" w:rsidRPr="00FD1850" w:rsidRDefault="008A3302" w:rsidP="00056E9D">
      <w:pPr>
        <w:widowControl/>
        <w:rPr>
          <w:bCs/>
          <w:szCs w:val="22"/>
          <w:lang w:val="en-GB"/>
        </w:rPr>
      </w:pPr>
    </w:p>
    <w:p w:rsidR="008A3302" w:rsidRPr="00056E9D" w:rsidRDefault="005B7B4E" w:rsidP="00056E9D">
      <w:pPr>
        <w:widowControl/>
        <w:numPr>
          <w:ilvl w:val="1"/>
          <w:numId w:val="3"/>
        </w:numPr>
        <w:rPr>
          <w:bCs/>
          <w:szCs w:val="22"/>
          <w:lang w:val="en-GB"/>
        </w:rPr>
      </w:pPr>
      <w:r w:rsidRPr="00056E9D">
        <w:rPr>
          <w:bCs/>
          <w:szCs w:val="22"/>
          <w:lang w:val="en-GB"/>
        </w:rPr>
        <w:t xml:space="preserve">The PBAC recommended extending the listing of aflibercept as Section 85 Authority required </w:t>
      </w:r>
      <w:r w:rsidR="008D6F90">
        <w:rPr>
          <w:bCs/>
          <w:szCs w:val="22"/>
          <w:lang w:val="en-GB"/>
        </w:rPr>
        <w:t>benefit to include treatment</w:t>
      </w:r>
      <w:r w:rsidR="00BC08B4" w:rsidRPr="00056E9D">
        <w:t xml:space="preserve"> of a patient with visual impairment due to </w:t>
      </w:r>
      <w:r w:rsidR="00202CD7">
        <w:t>diabetic macular oedema</w:t>
      </w:r>
      <w:r w:rsidR="0000384F">
        <w:t xml:space="preserve"> (DME)</w:t>
      </w:r>
      <w:r w:rsidR="00BC08B4" w:rsidRPr="00056E9D">
        <w:t xml:space="preserve">.  The PBAC considered that authority applications through the PBS and Specialised </w:t>
      </w:r>
      <w:r w:rsidR="00056E9D" w:rsidRPr="00056E9D">
        <w:rPr>
          <w:rFonts w:cs="Times New Roman"/>
          <w:snapToGrid/>
          <w:szCs w:val="22"/>
          <w:lang w:eastAsia="en-AU"/>
        </w:rPr>
        <w:t xml:space="preserve">Drugs Branch of the Department of Human Services would be appropriate for </w:t>
      </w:r>
      <w:r w:rsidR="00056E9D">
        <w:rPr>
          <w:rFonts w:cs="Times New Roman"/>
          <w:snapToGrid/>
          <w:szCs w:val="22"/>
          <w:lang w:eastAsia="en-AU"/>
        </w:rPr>
        <w:t>aflibercept</w:t>
      </w:r>
      <w:r w:rsidR="00056E9D" w:rsidRPr="00056E9D">
        <w:rPr>
          <w:rFonts w:cs="Times New Roman"/>
          <w:snapToGrid/>
          <w:szCs w:val="22"/>
          <w:lang w:eastAsia="en-AU"/>
        </w:rPr>
        <w:t>, similar to administrative arrangements for ranibizumab and aflibercept in AMD</w:t>
      </w:r>
      <w:r w:rsidR="00056E9D">
        <w:rPr>
          <w:rFonts w:cs="Times New Roman"/>
          <w:snapToGrid/>
          <w:szCs w:val="22"/>
          <w:lang w:eastAsia="en-AU"/>
        </w:rPr>
        <w:t>.</w:t>
      </w:r>
    </w:p>
    <w:p w:rsidR="008A3302" w:rsidRPr="00056E9D" w:rsidRDefault="008A3302" w:rsidP="00056E9D">
      <w:pPr>
        <w:widowControl/>
        <w:rPr>
          <w:bCs/>
          <w:szCs w:val="22"/>
          <w:lang w:val="en-GB"/>
        </w:rPr>
      </w:pPr>
    </w:p>
    <w:p w:rsidR="001913E1" w:rsidRDefault="008A2A8A" w:rsidP="003F62AC">
      <w:pPr>
        <w:widowControl/>
        <w:numPr>
          <w:ilvl w:val="1"/>
          <w:numId w:val="3"/>
        </w:numPr>
        <w:rPr>
          <w:bCs/>
          <w:szCs w:val="22"/>
          <w:lang w:val="en-GB"/>
        </w:rPr>
      </w:pPr>
      <w:r w:rsidRPr="008A2A8A">
        <w:rPr>
          <w:bCs/>
          <w:szCs w:val="22"/>
          <w:lang w:val="en-GB"/>
        </w:rPr>
        <w:t>T</w:t>
      </w:r>
      <w:r w:rsidRPr="00D514E5">
        <w:rPr>
          <w:bCs/>
          <w:szCs w:val="22"/>
          <w:lang w:val="en-GB"/>
        </w:rPr>
        <w:t>h</w:t>
      </w:r>
      <w:r w:rsidRPr="008A2A8A">
        <w:rPr>
          <w:bCs/>
          <w:szCs w:val="22"/>
          <w:lang w:val="en-GB"/>
        </w:rPr>
        <w:t>e PBAC recommended the listing of aflibercept on a cost-minimisation basis with ranibizumab.</w:t>
      </w:r>
      <w:r w:rsidR="001F41CC">
        <w:rPr>
          <w:bCs/>
          <w:szCs w:val="22"/>
          <w:lang w:val="en-GB"/>
        </w:rPr>
        <w:t xml:space="preserve">  </w:t>
      </w:r>
      <w:r w:rsidR="0069244B" w:rsidRPr="00D5175D">
        <w:rPr>
          <w:bCs/>
          <w:szCs w:val="22"/>
          <w:lang w:val="en-GB"/>
        </w:rPr>
        <w:t>T</w:t>
      </w:r>
      <w:r w:rsidR="005F079C" w:rsidRPr="00D5175D">
        <w:rPr>
          <w:bCs/>
          <w:szCs w:val="22"/>
          <w:lang w:val="en-GB"/>
        </w:rPr>
        <w:t>he</w:t>
      </w:r>
      <w:r w:rsidR="00B159D8" w:rsidRPr="00D5175D">
        <w:rPr>
          <w:bCs/>
          <w:szCs w:val="22"/>
          <w:lang w:val="en-GB"/>
        </w:rPr>
        <w:t xml:space="preserve"> PBAC determined that the</w:t>
      </w:r>
      <w:r w:rsidR="005F079C" w:rsidRPr="00D5175D">
        <w:rPr>
          <w:bCs/>
          <w:szCs w:val="22"/>
          <w:lang w:val="en-GB"/>
        </w:rPr>
        <w:t xml:space="preserve"> </w:t>
      </w:r>
      <w:r w:rsidR="00C61BC2" w:rsidRPr="00D5175D">
        <w:rPr>
          <w:bCs/>
          <w:szCs w:val="22"/>
          <w:lang w:val="en-GB"/>
        </w:rPr>
        <w:t>equi-effective doses are</w:t>
      </w:r>
      <w:r w:rsidR="008326F3" w:rsidRPr="00D5175D">
        <w:rPr>
          <w:bCs/>
          <w:szCs w:val="22"/>
          <w:lang w:val="en-GB"/>
        </w:rPr>
        <w:t xml:space="preserve"> </w:t>
      </w:r>
      <w:r w:rsidR="00C61BC2" w:rsidRPr="00D5175D">
        <w:rPr>
          <w:bCs/>
          <w:szCs w:val="22"/>
          <w:lang w:val="en-GB"/>
        </w:rPr>
        <w:t>aflibercept 2</w:t>
      </w:r>
      <w:r w:rsidR="00BB40E6">
        <w:rPr>
          <w:bCs/>
          <w:szCs w:val="22"/>
          <w:lang w:val="en-GB"/>
        </w:rPr>
        <w:t> </w:t>
      </w:r>
      <w:r w:rsidR="00C61BC2" w:rsidRPr="00D5175D">
        <w:rPr>
          <w:bCs/>
          <w:szCs w:val="22"/>
          <w:lang w:val="en-GB"/>
        </w:rPr>
        <w:t>mg</w:t>
      </w:r>
      <w:r w:rsidR="007848DA">
        <w:rPr>
          <w:bCs/>
          <w:szCs w:val="22"/>
          <w:lang w:val="en-GB"/>
        </w:rPr>
        <w:t xml:space="preserve"> </w:t>
      </w:r>
      <w:proofErr w:type="gramStart"/>
      <w:r w:rsidR="007848DA">
        <w:rPr>
          <w:bCs/>
          <w:szCs w:val="22"/>
          <w:lang w:val="en-GB"/>
        </w:rPr>
        <w:t xml:space="preserve">injection </w:t>
      </w:r>
      <w:r w:rsidR="00C61BC2" w:rsidRPr="00D5175D">
        <w:rPr>
          <w:bCs/>
          <w:szCs w:val="22"/>
          <w:lang w:val="en-GB"/>
        </w:rPr>
        <w:t>:</w:t>
      </w:r>
      <w:proofErr w:type="gramEnd"/>
      <w:r w:rsidR="007848DA">
        <w:rPr>
          <w:bCs/>
          <w:szCs w:val="22"/>
          <w:lang w:val="en-GB"/>
        </w:rPr>
        <w:t xml:space="preserve"> </w:t>
      </w:r>
      <w:r w:rsidR="00CB42B2" w:rsidRPr="00D5175D">
        <w:rPr>
          <w:bCs/>
          <w:szCs w:val="22"/>
          <w:lang w:val="en-GB"/>
        </w:rPr>
        <w:t>0.5</w:t>
      </w:r>
      <w:r w:rsidR="00BB40E6">
        <w:rPr>
          <w:bCs/>
          <w:szCs w:val="22"/>
          <w:lang w:val="en-GB"/>
        </w:rPr>
        <w:t> </w:t>
      </w:r>
      <w:r w:rsidR="00CB42B2" w:rsidRPr="00D5175D">
        <w:rPr>
          <w:bCs/>
          <w:szCs w:val="22"/>
          <w:lang w:val="en-GB"/>
        </w:rPr>
        <w:t>mg ranibizumab</w:t>
      </w:r>
      <w:r w:rsidR="007848DA">
        <w:rPr>
          <w:bCs/>
          <w:szCs w:val="22"/>
          <w:lang w:val="en-GB"/>
        </w:rPr>
        <w:t xml:space="preserve"> injection</w:t>
      </w:r>
      <w:r w:rsidR="001913E1">
        <w:rPr>
          <w:bCs/>
          <w:szCs w:val="22"/>
          <w:lang w:val="en-GB"/>
        </w:rPr>
        <w:t>.</w:t>
      </w:r>
    </w:p>
    <w:p w:rsidR="001913E1" w:rsidRDefault="001913E1" w:rsidP="001913E1">
      <w:pPr>
        <w:pStyle w:val="ListParagraph"/>
      </w:pPr>
    </w:p>
    <w:p w:rsidR="001913E1" w:rsidRPr="001913E1" w:rsidRDefault="001913E1" w:rsidP="001913E1">
      <w:pPr>
        <w:widowControl/>
        <w:numPr>
          <w:ilvl w:val="1"/>
          <w:numId w:val="3"/>
        </w:numPr>
        <w:rPr>
          <w:bCs/>
          <w:szCs w:val="22"/>
          <w:lang w:val="en-GB"/>
        </w:rPr>
      </w:pPr>
      <w:r>
        <w:t xml:space="preserve">The PBAC </w:t>
      </w:r>
      <w:r w:rsidR="00E071A5">
        <w:t>con</w:t>
      </w:r>
      <w:r w:rsidR="00DD3592">
        <w:t>cluded</w:t>
      </w:r>
      <w:r>
        <w:t xml:space="preserve"> that, based on the totality of the available </w:t>
      </w:r>
      <w:r w:rsidR="004F5FE7">
        <w:t xml:space="preserve">clinical </w:t>
      </w:r>
      <w:r>
        <w:t xml:space="preserve">evidence, aflibercept </w:t>
      </w:r>
      <w:r w:rsidR="00DD3592">
        <w:t xml:space="preserve">can also be considered </w:t>
      </w:r>
      <w:r>
        <w:t xml:space="preserve">non-inferior in terms of effectiveness and safety with bevacizumab. </w:t>
      </w:r>
      <w:r w:rsidR="00E071A5">
        <w:t xml:space="preserve"> </w:t>
      </w:r>
      <w:r>
        <w:t xml:space="preserve">The equi-effective doses for this comparison are </w:t>
      </w:r>
      <w:r w:rsidRPr="001913E1">
        <w:t>aflibercept 2 mg</w:t>
      </w:r>
      <w:r w:rsidR="00144B78">
        <w:t xml:space="preserve"> </w:t>
      </w:r>
      <w:proofErr w:type="gramStart"/>
      <w:r w:rsidR="00144B78">
        <w:t>injection :</w:t>
      </w:r>
      <w:proofErr w:type="gramEnd"/>
      <w:r w:rsidR="00144B78">
        <w:t xml:space="preserve"> 1.5 mg bevacizumab</w:t>
      </w:r>
      <w:r w:rsidRPr="001913E1">
        <w:t xml:space="preserve"> injection</w:t>
      </w:r>
      <w:r>
        <w:t xml:space="preserve">. </w:t>
      </w:r>
      <w:r w:rsidR="00256BAD">
        <w:t xml:space="preserve"> The</w:t>
      </w:r>
      <w:r w:rsidR="00047734">
        <w:t xml:space="preserve"> PBAC noted the bevacizumab equi-effective dose</w:t>
      </w:r>
      <w:r w:rsidR="00256BAD">
        <w:t xml:space="preserve"> </w:t>
      </w:r>
      <w:r w:rsidR="00047734">
        <w:t xml:space="preserve">for this </w:t>
      </w:r>
      <w:r w:rsidR="00256BAD">
        <w:t>submission</w:t>
      </w:r>
      <w:r w:rsidR="00047734">
        <w:t xml:space="preserve"> is different with the </w:t>
      </w:r>
      <w:r w:rsidR="00817D20">
        <w:t xml:space="preserve">submission for aflibercept for </w:t>
      </w:r>
      <w:r w:rsidR="00817D20">
        <w:lastRenderedPageBreak/>
        <w:t>central retinal vein occlusion (</w:t>
      </w:r>
      <w:r w:rsidR="00047734">
        <w:t>CRVO</w:t>
      </w:r>
      <w:r w:rsidR="00817D20">
        <w:t>) also considered on the November 2014 agenda (item 7.1 refers)</w:t>
      </w:r>
      <w:r w:rsidR="00AE6174">
        <w:t xml:space="preserve">. </w:t>
      </w:r>
      <w:r w:rsidR="00183FD8">
        <w:t xml:space="preserve"> </w:t>
      </w:r>
      <w:r w:rsidR="00AE6174">
        <w:t>The PBAC considered that this</w:t>
      </w:r>
      <w:r w:rsidR="00126C5C">
        <w:t xml:space="preserve"> wa</w:t>
      </w:r>
      <w:r w:rsidR="00AE6174">
        <w:t xml:space="preserve">s </w:t>
      </w:r>
      <w:r w:rsidR="00047734">
        <w:t>due to</w:t>
      </w:r>
      <w:r w:rsidR="00AE6174">
        <w:t xml:space="preserve"> the</w:t>
      </w:r>
      <w:r w:rsidR="00047734">
        <w:t xml:space="preserve"> </w:t>
      </w:r>
      <w:r w:rsidR="00AE6174">
        <w:t>different</w:t>
      </w:r>
      <w:r w:rsidR="00047734">
        <w:t xml:space="preserve"> trial data available for bevacizumab</w:t>
      </w:r>
      <w:r w:rsidR="00AE6174">
        <w:t xml:space="preserve"> for each indication</w:t>
      </w:r>
      <w:r w:rsidR="00183FD8">
        <w:t>.</w:t>
      </w:r>
      <w:r w:rsidR="00256BAD">
        <w:t xml:space="preserve"> </w:t>
      </w:r>
    </w:p>
    <w:p w:rsidR="001913E1" w:rsidRPr="001913E1" w:rsidRDefault="001913E1" w:rsidP="001913E1">
      <w:pPr>
        <w:widowControl/>
        <w:ind w:left="720"/>
        <w:rPr>
          <w:bCs/>
          <w:szCs w:val="22"/>
          <w:lang w:val="en-GB"/>
        </w:rPr>
      </w:pPr>
    </w:p>
    <w:p w:rsidR="008A2A8A" w:rsidRPr="00D5175D" w:rsidRDefault="0054624E" w:rsidP="001913E1">
      <w:pPr>
        <w:widowControl/>
        <w:numPr>
          <w:ilvl w:val="1"/>
          <w:numId w:val="3"/>
        </w:numPr>
        <w:rPr>
          <w:bCs/>
          <w:szCs w:val="22"/>
          <w:lang w:val="en-GB"/>
        </w:rPr>
      </w:pPr>
      <w:r>
        <w:t xml:space="preserve">The </w:t>
      </w:r>
      <w:r w:rsidR="00E071A5">
        <w:t xml:space="preserve">PBAC further </w:t>
      </w:r>
      <w:r w:rsidR="007E47A3">
        <w:t>considered</w:t>
      </w:r>
      <w:r w:rsidR="00BD4CE1">
        <w:t xml:space="preserve"> </w:t>
      </w:r>
      <w:r>
        <w:t>that</w:t>
      </w:r>
      <w:r w:rsidR="00BD4CE1">
        <w:t xml:space="preserve"> the data provided did not enable any further differentiation across these three alternative</w:t>
      </w:r>
      <w:r w:rsidR="007E47A3">
        <w:t xml:space="preserve"> VEGF inhibitors</w:t>
      </w:r>
      <w:r w:rsidR="00BD4CE1">
        <w:t xml:space="preserve"> by dose frequency or treatment duration</w:t>
      </w:r>
      <w:r w:rsidR="007E47A3">
        <w:t xml:space="preserve"> for DME</w:t>
      </w:r>
      <w:r w:rsidR="00BD4CE1">
        <w:t>.</w:t>
      </w:r>
    </w:p>
    <w:p w:rsidR="00682667" w:rsidRDefault="00682667" w:rsidP="00682667">
      <w:pPr>
        <w:widowControl/>
      </w:pPr>
    </w:p>
    <w:p w:rsidR="006F235F" w:rsidRDefault="00640FFD" w:rsidP="007171B5">
      <w:pPr>
        <w:widowControl/>
        <w:numPr>
          <w:ilvl w:val="1"/>
          <w:numId w:val="3"/>
        </w:numPr>
        <w:rPr>
          <w:bCs/>
          <w:szCs w:val="22"/>
          <w:lang w:val="en-GB"/>
        </w:rPr>
      </w:pPr>
      <w:r>
        <w:rPr>
          <w:bCs/>
          <w:szCs w:val="22"/>
          <w:lang w:val="en-GB"/>
        </w:rPr>
        <w:t xml:space="preserve">The PBAC </w:t>
      </w:r>
      <w:r w:rsidR="00696953">
        <w:rPr>
          <w:bCs/>
          <w:szCs w:val="22"/>
          <w:lang w:val="en-GB"/>
        </w:rPr>
        <w:t>advised that</w:t>
      </w:r>
      <w:r>
        <w:rPr>
          <w:bCs/>
          <w:szCs w:val="22"/>
          <w:lang w:val="en-GB"/>
        </w:rPr>
        <w:t xml:space="preserve"> the restriction wording </w:t>
      </w:r>
      <w:r w:rsidR="00696953">
        <w:rPr>
          <w:bCs/>
          <w:szCs w:val="22"/>
          <w:lang w:val="en-GB"/>
        </w:rPr>
        <w:t>for aflibercept needs to</w:t>
      </w:r>
      <w:r w:rsidR="00783F3A">
        <w:rPr>
          <w:bCs/>
          <w:szCs w:val="22"/>
          <w:lang w:val="en-GB"/>
        </w:rPr>
        <w:t xml:space="preserve"> include</w:t>
      </w:r>
      <w:r w:rsidR="006F235F">
        <w:rPr>
          <w:bCs/>
          <w:szCs w:val="22"/>
          <w:lang w:val="en-GB"/>
        </w:rPr>
        <w:t xml:space="preserve"> the following information:</w:t>
      </w:r>
    </w:p>
    <w:p w:rsidR="006F235F" w:rsidRPr="00C15E83" w:rsidRDefault="006F235F" w:rsidP="006F235F">
      <w:pPr>
        <w:pStyle w:val="ListParagraph"/>
        <w:numPr>
          <w:ilvl w:val="0"/>
          <w:numId w:val="13"/>
        </w:numPr>
        <w:ind w:left="993" w:hanging="284"/>
        <w:rPr>
          <w:b/>
          <w:bCs/>
          <w:lang w:val="en-GB"/>
        </w:rPr>
      </w:pPr>
      <w:r>
        <w:rPr>
          <w:bCs/>
          <w:szCs w:val="22"/>
          <w:lang w:val="en-GB"/>
        </w:rPr>
        <w:t xml:space="preserve">criteria </w:t>
      </w:r>
      <w:r w:rsidR="007125FF">
        <w:rPr>
          <w:bCs/>
          <w:szCs w:val="22"/>
          <w:lang w:val="en-GB"/>
        </w:rPr>
        <w:t xml:space="preserve">(trial based) </w:t>
      </w:r>
      <w:r>
        <w:rPr>
          <w:bCs/>
          <w:szCs w:val="22"/>
          <w:lang w:val="en-GB"/>
        </w:rPr>
        <w:t xml:space="preserve">for patients to be eligible for treatment must be consistent with </w:t>
      </w:r>
      <w:r w:rsidR="007125FF">
        <w:rPr>
          <w:bCs/>
          <w:szCs w:val="22"/>
          <w:lang w:val="en-GB"/>
        </w:rPr>
        <w:t xml:space="preserve">the recommended criteria for </w:t>
      </w:r>
      <w:r>
        <w:rPr>
          <w:bCs/>
          <w:szCs w:val="22"/>
          <w:lang w:val="en-GB"/>
        </w:rPr>
        <w:t>ranibizumab;</w:t>
      </w:r>
    </w:p>
    <w:p w:rsidR="006F235F" w:rsidRPr="00C15E83" w:rsidRDefault="006F235F" w:rsidP="006F235F">
      <w:pPr>
        <w:pStyle w:val="ListParagraph"/>
        <w:numPr>
          <w:ilvl w:val="0"/>
          <w:numId w:val="13"/>
        </w:numPr>
        <w:ind w:left="993" w:hanging="284"/>
        <w:rPr>
          <w:b/>
          <w:bCs/>
          <w:lang w:val="en-GB"/>
        </w:rPr>
      </w:pPr>
      <w:r w:rsidRPr="00C15E83">
        <w:rPr>
          <w:bCs/>
          <w:szCs w:val="22"/>
          <w:lang w:val="en-GB"/>
        </w:rPr>
        <w:t>a documentation of assessment of response (at each visit) to establish eligibility for continuation</w:t>
      </w:r>
      <w:r>
        <w:rPr>
          <w:bCs/>
          <w:szCs w:val="22"/>
          <w:lang w:val="en-GB"/>
        </w:rPr>
        <w:t xml:space="preserve"> or </w:t>
      </w:r>
      <w:r w:rsidRPr="00C15E83">
        <w:rPr>
          <w:bCs/>
          <w:szCs w:val="22"/>
          <w:lang w:val="en-GB"/>
        </w:rPr>
        <w:t>cessation of treatment</w:t>
      </w:r>
      <w:r>
        <w:rPr>
          <w:bCs/>
          <w:szCs w:val="22"/>
          <w:lang w:val="en-GB"/>
        </w:rPr>
        <w:t>;</w:t>
      </w:r>
    </w:p>
    <w:p w:rsidR="006F235F" w:rsidRPr="00C15E83" w:rsidRDefault="006F235F" w:rsidP="006F235F">
      <w:pPr>
        <w:pStyle w:val="ListParagraph"/>
        <w:numPr>
          <w:ilvl w:val="0"/>
          <w:numId w:val="13"/>
        </w:numPr>
        <w:ind w:left="993" w:hanging="284"/>
        <w:rPr>
          <w:b/>
          <w:bCs/>
          <w:lang w:val="en-GB"/>
        </w:rPr>
      </w:pPr>
      <w:r w:rsidRPr="00C15E83">
        <w:rPr>
          <w:bCs/>
          <w:szCs w:val="22"/>
          <w:lang w:val="en-GB"/>
        </w:rPr>
        <w:t>appropriate method</w:t>
      </w:r>
      <w:r w:rsidR="007125FF">
        <w:rPr>
          <w:bCs/>
          <w:szCs w:val="22"/>
          <w:lang w:val="en-GB"/>
        </w:rPr>
        <w:t>(s) to assess response</w:t>
      </w:r>
      <w:r>
        <w:rPr>
          <w:bCs/>
          <w:szCs w:val="22"/>
          <w:lang w:val="en-GB"/>
        </w:rPr>
        <w:t>; and</w:t>
      </w:r>
    </w:p>
    <w:p w:rsidR="006F235F" w:rsidRPr="00C15E83" w:rsidRDefault="00810D10" w:rsidP="006F235F">
      <w:pPr>
        <w:pStyle w:val="ListParagraph"/>
        <w:numPr>
          <w:ilvl w:val="0"/>
          <w:numId w:val="13"/>
        </w:numPr>
        <w:ind w:left="993" w:hanging="284"/>
        <w:rPr>
          <w:b/>
          <w:bCs/>
          <w:lang w:val="en-GB"/>
        </w:rPr>
      </w:pPr>
      <w:proofErr w:type="gramStart"/>
      <w:r>
        <w:rPr>
          <w:bCs/>
          <w:szCs w:val="22"/>
          <w:lang w:val="en-GB"/>
        </w:rPr>
        <w:t>if</w:t>
      </w:r>
      <w:proofErr w:type="gramEnd"/>
      <w:r>
        <w:rPr>
          <w:bCs/>
          <w:szCs w:val="22"/>
          <w:lang w:val="en-GB"/>
        </w:rPr>
        <w:t xml:space="preserve"> possible, </w:t>
      </w:r>
      <w:r w:rsidR="006F235F">
        <w:rPr>
          <w:bCs/>
          <w:szCs w:val="22"/>
          <w:lang w:val="en-GB"/>
        </w:rPr>
        <w:t>duration of treatment</w:t>
      </w:r>
      <w:r>
        <w:rPr>
          <w:bCs/>
          <w:szCs w:val="22"/>
          <w:lang w:val="en-GB"/>
        </w:rPr>
        <w:t>.</w:t>
      </w:r>
    </w:p>
    <w:p w:rsidR="006F235F" w:rsidRPr="00C15E83" w:rsidRDefault="006F235F" w:rsidP="006F235F">
      <w:pPr>
        <w:ind w:left="709"/>
        <w:rPr>
          <w:b/>
          <w:bCs/>
          <w:lang w:val="en-GB"/>
        </w:rPr>
      </w:pPr>
      <w:r w:rsidRPr="00C15E83">
        <w:rPr>
          <w:bCs/>
          <w:szCs w:val="22"/>
          <w:lang w:val="en-GB"/>
        </w:rPr>
        <w:t xml:space="preserve">The PBAC requested the Department to work with the Restriction Working Group </w:t>
      </w:r>
      <w:r w:rsidR="007125FF">
        <w:rPr>
          <w:bCs/>
          <w:szCs w:val="22"/>
          <w:lang w:val="en-GB"/>
        </w:rPr>
        <w:t>to</w:t>
      </w:r>
      <w:r w:rsidRPr="00C15E83">
        <w:rPr>
          <w:bCs/>
          <w:szCs w:val="22"/>
          <w:lang w:val="en-GB"/>
        </w:rPr>
        <w:t xml:space="preserve"> </w:t>
      </w:r>
      <w:r w:rsidRPr="005155B5">
        <w:rPr>
          <w:bCs/>
          <w:szCs w:val="22"/>
          <w:lang w:val="en-GB"/>
        </w:rPr>
        <w:t>finalis</w:t>
      </w:r>
      <w:r w:rsidR="007125FF" w:rsidRPr="005155B5">
        <w:rPr>
          <w:bCs/>
          <w:szCs w:val="22"/>
          <w:lang w:val="en-GB"/>
        </w:rPr>
        <w:t>e</w:t>
      </w:r>
      <w:r w:rsidRPr="005155B5">
        <w:rPr>
          <w:bCs/>
          <w:szCs w:val="22"/>
          <w:lang w:val="en-GB"/>
        </w:rPr>
        <w:t xml:space="preserve"> a restriction wording</w:t>
      </w:r>
      <w:r w:rsidRPr="00C15E83">
        <w:rPr>
          <w:bCs/>
          <w:szCs w:val="22"/>
          <w:lang w:val="en-GB"/>
        </w:rPr>
        <w:t>.</w:t>
      </w:r>
    </w:p>
    <w:p w:rsidR="00601DC1" w:rsidRPr="007125FF" w:rsidRDefault="00601DC1" w:rsidP="007125FF">
      <w:pPr>
        <w:rPr>
          <w:bCs/>
          <w:szCs w:val="22"/>
          <w:lang w:val="en-GB"/>
        </w:rPr>
      </w:pPr>
    </w:p>
    <w:p w:rsidR="008A2A8A" w:rsidRDefault="008A2A8A" w:rsidP="00CE1883">
      <w:pPr>
        <w:widowControl/>
        <w:numPr>
          <w:ilvl w:val="1"/>
          <w:numId w:val="3"/>
        </w:numPr>
        <w:rPr>
          <w:bCs/>
          <w:szCs w:val="22"/>
          <w:lang w:val="en-GB"/>
        </w:rPr>
      </w:pPr>
      <w:r>
        <w:rPr>
          <w:bCs/>
          <w:szCs w:val="22"/>
          <w:lang w:val="en-GB"/>
        </w:rPr>
        <w:t xml:space="preserve">The PBAC noted the clinical place for aflibercept </w:t>
      </w:r>
      <w:r w:rsidR="007125FF">
        <w:rPr>
          <w:bCs/>
          <w:szCs w:val="22"/>
          <w:lang w:val="en-GB"/>
        </w:rPr>
        <w:t>as being</w:t>
      </w:r>
      <w:r w:rsidR="00487D6B">
        <w:rPr>
          <w:bCs/>
          <w:szCs w:val="22"/>
          <w:lang w:val="en-GB"/>
        </w:rPr>
        <w:t xml:space="preserve"> an alternative to ranibizumab</w:t>
      </w:r>
      <w:r w:rsidR="007125FF">
        <w:rPr>
          <w:bCs/>
          <w:szCs w:val="22"/>
          <w:lang w:val="en-GB"/>
        </w:rPr>
        <w:t>,</w:t>
      </w:r>
      <w:r w:rsidR="00487D6B">
        <w:rPr>
          <w:bCs/>
          <w:szCs w:val="22"/>
          <w:lang w:val="en-GB"/>
        </w:rPr>
        <w:t xml:space="preserve"> bevacizumab</w:t>
      </w:r>
      <w:r w:rsidR="007125FF">
        <w:rPr>
          <w:bCs/>
          <w:szCs w:val="22"/>
          <w:lang w:val="en-GB"/>
        </w:rPr>
        <w:t>, and</w:t>
      </w:r>
      <w:r w:rsidR="00487D6B">
        <w:rPr>
          <w:bCs/>
          <w:szCs w:val="22"/>
          <w:lang w:val="en-GB"/>
        </w:rPr>
        <w:t xml:space="preserve"> laser photocoagulation for the</w:t>
      </w:r>
      <w:r>
        <w:rPr>
          <w:bCs/>
          <w:szCs w:val="22"/>
          <w:lang w:val="en-GB"/>
        </w:rPr>
        <w:t xml:space="preserve"> treatment of visual impairment due to DME.</w:t>
      </w:r>
    </w:p>
    <w:p w:rsidR="00251C41" w:rsidRPr="007125FF" w:rsidRDefault="00251C41" w:rsidP="00251C41">
      <w:pPr>
        <w:rPr>
          <w:bCs/>
          <w:szCs w:val="22"/>
          <w:lang w:val="en-GB"/>
        </w:rPr>
      </w:pPr>
    </w:p>
    <w:p w:rsidR="0069244B" w:rsidRDefault="0069244B" w:rsidP="0069244B">
      <w:pPr>
        <w:widowControl/>
        <w:numPr>
          <w:ilvl w:val="1"/>
          <w:numId w:val="3"/>
        </w:numPr>
        <w:rPr>
          <w:bCs/>
          <w:szCs w:val="22"/>
          <w:lang w:val="en-GB"/>
        </w:rPr>
      </w:pPr>
      <w:r>
        <w:rPr>
          <w:bCs/>
          <w:szCs w:val="22"/>
          <w:lang w:val="en-GB"/>
        </w:rPr>
        <w:t xml:space="preserve">The PBAC noted that a final TGA </w:t>
      </w:r>
      <w:r w:rsidR="007125FF">
        <w:rPr>
          <w:bCs/>
          <w:szCs w:val="22"/>
          <w:lang w:val="en-GB"/>
        </w:rPr>
        <w:t>decision</w:t>
      </w:r>
      <w:r>
        <w:rPr>
          <w:bCs/>
          <w:szCs w:val="22"/>
          <w:lang w:val="en-GB"/>
        </w:rPr>
        <w:t xml:space="preserve"> will be available in early 2015.</w:t>
      </w:r>
    </w:p>
    <w:p w:rsidR="0069244B" w:rsidRDefault="0069244B" w:rsidP="0069244B">
      <w:pPr>
        <w:widowControl/>
        <w:rPr>
          <w:bCs/>
          <w:szCs w:val="22"/>
          <w:lang w:val="en-GB"/>
        </w:rPr>
      </w:pPr>
    </w:p>
    <w:p w:rsidR="00FF51AF" w:rsidRPr="00FF51AF" w:rsidRDefault="00251C41" w:rsidP="00FF51AF">
      <w:pPr>
        <w:widowControl/>
        <w:numPr>
          <w:ilvl w:val="1"/>
          <w:numId w:val="3"/>
        </w:numPr>
        <w:rPr>
          <w:bCs/>
          <w:szCs w:val="22"/>
          <w:lang w:val="en-GB"/>
        </w:rPr>
      </w:pPr>
      <w:r w:rsidRPr="00D5175D">
        <w:rPr>
          <w:bCs/>
          <w:szCs w:val="22"/>
          <w:lang w:val="en-GB"/>
        </w:rPr>
        <w:t>The PBAC</w:t>
      </w:r>
      <w:r w:rsidR="000019E8" w:rsidRPr="00D5175D">
        <w:rPr>
          <w:bCs/>
          <w:szCs w:val="22"/>
          <w:lang w:val="en-GB"/>
        </w:rPr>
        <w:t xml:space="preserve"> noted that the primary comparator nominated by the submission was laser photocoagulation, with ranibizumab as a secondary comparator and bevacizumab as a hypothetical economic comparator. </w:t>
      </w:r>
      <w:r w:rsidR="009F3228">
        <w:rPr>
          <w:bCs/>
          <w:szCs w:val="22"/>
          <w:lang w:val="en-GB"/>
        </w:rPr>
        <w:t xml:space="preserve"> </w:t>
      </w:r>
      <w:r w:rsidR="00FF51AF">
        <w:rPr>
          <w:bCs/>
          <w:szCs w:val="22"/>
          <w:lang w:val="en-GB"/>
        </w:rPr>
        <w:t xml:space="preserve">The PBAC agreed with ESC that ranibizumab is the appropriate comparator and maintains that bevacizumab </w:t>
      </w:r>
      <w:r w:rsidR="00A24206">
        <w:rPr>
          <w:bCs/>
          <w:szCs w:val="22"/>
          <w:lang w:val="en-GB"/>
        </w:rPr>
        <w:t>is</w:t>
      </w:r>
      <w:r w:rsidR="00FF51AF">
        <w:rPr>
          <w:bCs/>
          <w:szCs w:val="22"/>
          <w:lang w:val="en-GB"/>
        </w:rPr>
        <w:t xml:space="preserve"> </w:t>
      </w:r>
      <w:r w:rsidR="00E3272A">
        <w:rPr>
          <w:bCs/>
          <w:szCs w:val="22"/>
          <w:lang w:val="en-GB"/>
        </w:rPr>
        <w:t>also a relevant</w:t>
      </w:r>
      <w:r w:rsidR="00FF51AF">
        <w:rPr>
          <w:bCs/>
          <w:szCs w:val="22"/>
          <w:lang w:val="en-GB"/>
        </w:rPr>
        <w:t xml:space="preserve"> comparator.</w:t>
      </w:r>
    </w:p>
    <w:p w:rsidR="00FF51AF" w:rsidRPr="007125FF" w:rsidRDefault="00FF51AF" w:rsidP="00FF51AF">
      <w:pPr>
        <w:rPr>
          <w:highlight w:val="yellow"/>
        </w:rPr>
      </w:pPr>
    </w:p>
    <w:p w:rsidR="009F3228" w:rsidRDefault="00FF51AF" w:rsidP="007F1052">
      <w:pPr>
        <w:widowControl/>
        <w:numPr>
          <w:ilvl w:val="1"/>
          <w:numId w:val="3"/>
        </w:numPr>
      </w:pPr>
      <w:r w:rsidRPr="00FF51AF">
        <w:t>The PBAC</w:t>
      </w:r>
      <w:r>
        <w:t xml:space="preserve"> </w:t>
      </w:r>
      <w:r w:rsidR="00113D1A">
        <w:t>accepted</w:t>
      </w:r>
      <w:r>
        <w:t xml:space="preserve"> the indirect comparison</w:t>
      </w:r>
      <w:r w:rsidR="00113D1A">
        <w:t xml:space="preserve"> of aflibercept and ranibizumab trials and that the trials are </w:t>
      </w:r>
      <w:r w:rsidR="007125FF">
        <w:t>sufficiently exchangeable</w:t>
      </w:r>
      <w:r w:rsidR="00113D1A">
        <w:t xml:space="preserve"> to use for determining comparative effectiveness.  </w:t>
      </w:r>
      <w:r w:rsidR="00E14549">
        <w:t xml:space="preserve">The PBAC </w:t>
      </w:r>
      <w:r w:rsidR="00050C07">
        <w:t>considered</w:t>
      </w:r>
      <w:r w:rsidR="00E14549">
        <w:t xml:space="preserve"> </w:t>
      </w:r>
      <w:r w:rsidR="00050C07">
        <w:t>that</w:t>
      </w:r>
      <w:r w:rsidR="000468A2">
        <w:t>,</w:t>
      </w:r>
      <w:r w:rsidR="00050C07">
        <w:t xml:space="preserve"> </w:t>
      </w:r>
      <w:r w:rsidR="00050C07" w:rsidRPr="006E7B58">
        <w:t>a</w:t>
      </w:r>
      <w:r w:rsidR="00050C07">
        <w:t>lthough a</w:t>
      </w:r>
      <w:r w:rsidR="00050C07" w:rsidRPr="006E7B58">
        <w:t xml:space="preserve"> statistically significant letter gain of 4.81 (95% CI 2.51, 7.11) in favour of aflibercept </w:t>
      </w:r>
      <w:r w:rsidR="00050C07">
        <w:t>2mg every eight weeks (</w:t>
      </w:r>
      <w:r w:rsidR="00050C07" w:rsidRPr="006E7B58">
        <w:t>2Q8</w:t>
      </w:r>
      <w:r w:rsidR="00050C07">
        <w:t xml:space="preserve">) was observed from </w:t>
      </w:r>
      <w:r w:rsidR="00050C07" w:rsidRPr="006E7B58">
        <w:t>the indirect comparison</w:t>
      </w:r>
      <w:r w:rsidR="007F1052">
        <w:t>,</w:t>
      </w:r>
      <w:r w:rsidR="007F1052" w:rsidRPr="007F1052">
        <w:t xml:space="preserve"> </w:t>
      </w:r>
      <w:r w:rsidR="007F1052">
        <w:t>t</w:t>
      </w:r>
      <w:r w:rsidR="007F1052" w:rsidRPr="007F1052">
        <w:t>he gain in letters by aflibercept compared to ranibizumab is less than half of that previously accepted to be clinically significant.</w:t>
      </w:r>
      <w:r w:rsidR="007F1052">
        <w:t xml:space="preserve">  The PBAC recalled its previous consideration </w:t>
      </w:r>
      <w:r w:rsidR="007F1052" w:rsidRPr="007F1052">
        <w:t>that a 10</w:t>
      </w:r>
      <w:r w:rsidR="000468A2">
        <w:t>-</w:t>
      </w:r>
      <w:r w:rsidR="007F1052" w:rsidRPr="007F1052">
        <w:t>letter gain is required to achieve a clinically significant improvement in vision</w:t>
      </w:r>
      <w:r w:rsidR="00646F78">
        <w:t>-</w:t>
      </w:r>
      <w:r w:rsidR="007F1052" w:rsidRPr="007F1052">
        <w:t xml:space="preserve">related quality of life (ranibizumab DME PSD, November 2013).  </w:t>
      </w:r>
      <w:r w:rsidR="007F1052">
        <w:t xml:space="preserve">The PBAC also considered </w:t>
      </w:r>
      <w:r w:rsidR="00050C07" w:rsidRPr="007F1052">
        <w:t xml:space="preserve">that while this difference is statistically significant, the formal indirect comparison of other outcomes (i.e. such as patients who gained/lost at least 10 and 15 ETDRS letters in BCVA) </w:t>
      </w:r>
      <w:r w:rsidR="007F1052">
        <w:t>did</w:t>
      </w:r>
      <w:r w:rsidR="00050C07" w:rsidRPr="007F1052">
        <w:t xml:space="preserve"> not show consistent statistically significant differences in favour of aflibercept.</w:t>
      </w:r>
      <w:r w:rsidR="007F1052">
        <w:t xml:space="preserve">  </w:t>
      </w:r>
      <w:r w:rsidR="00F022A3">
        <w:t xml:space="preserve">Therefore, </w:t>
      </w:r>
      <w:r w:rsidR="00E66F88" w:rsidRPr="006F794A">
        <w:t>the PBAC did not accept the submission’s claim of superiority with respect to mean difference in change in BCVA with</w:t>
      </w:r>
      <w:r w:rsidR="00E66F88">
        <w:t xml:space="preserve"> ranibizumab</w:t>
      </w:r>
      <w:r w:rsidR="00F022A3">
        <w:t>. The PBAC considered</w:t>
      </w:r>
      <w:r w:rsidR="00E66F88">
        <w:t xml:space="preserve"> that</w:t>
      </w:r>
      <w:r w:rsidR="00F022A3">
        <w:t xml:space="preserve"> the indirect comparison indicates</w:t>
      </w:r>
      <w:r w:rsidR="00E66F88">
        <w:t xml:space="preserve"> </w:t>
      </w:r>
      <w:r w:rsidR="00F022A3">
        <w:t xml:space="preserve">that </w:t>
      </w:r>
      <w:r w:rsidR="00E66F88">
        <w:t xml:space="preserve">aflibercept is non-inferior in terms of efficacy </w:t>
      </w:r>
      <w:r w:rsidR="00F022A3">
        <w:t xml:space="preserve">compared </w:t>
      </w:r>
      <w:r w:rsidR="00E66F88">
        <w:t>to ranibizumab.</w:t>
      </w:r>
      <w:r w:rsidR="00F022A3">
        <w:t xml:space="preserve">  The PBAC </w:t>
      </w:r>
      <w:r w:rsidR="000468A2">
        <w:t xml:space="preserve">also </w:t>
      </w:r>
      <w:r w:rsidR="00F022A3">
        <w:t>accepted that aflibercept is non-inferior in terms of safety compared to ranibizumab.</w:t>
      </w:r>
    </w:p>
    <w:p w:rsidR="00050C07" w:rsidRDefault="00050C07" w:rsidP="006F794A"/>
    <w:p w:rsidR="002B6E4A" w:rsidRPr="002B6E4A" w:rsidRDefault="009F3228" w:rsidP="002B6E4A">
      <w:pPr>
        <w:widowControl/>
        <w:numPr>
          <w:ilvl w:val="1"/>
          <w:numId w:val="3"/>
        </w:numPr>
      </w:pPr>
      <w:r>
        <w:lastRenderedPageBreak/>
        <w:t>The P</w:t>
      </w:r>
      <w:r w:rsidRPr="002B6E4A">
        <w:rPr>
          <w:bCs/>
          <w:szCs w:val="22"/>
          <w:lang w:val="en-GB"/>
        </w:rPr>
        <w:t xml:space="preserve">BAC noted that </w:t>
      </w:r>
      <w:r w:rsidR="004F5FE7">
        <w:rPr>
          <w:bCs/>
          <w:szCs w:val="22"/>
          <w:lang w:val="en-GB"/>
        </w:rPr>
        <w:t xml:space="preserve">the submission provided </w:t>
      </w:r>
      <w:r w:rsidRPr="002B6E4A">
        <w:rPr>
          <w:bCs/>
          <w:szCs w:val="22"/>
          <w:lang w:val="en-GB"/>
        </w:rPr>
        <w:t xml:space="preserve">no formal clinical comparison to support </w:t>
      </w:r>
      <w:r w:rsidR="004F5FE7">
        <w:rPr>
          <w:bCs/>
          <w:szCs w:val="22"/>
          <w:lang w:val="en-GB"/>
        </w:rPr>
        <w:t xml:space="preserve">its </w:t>
      </w:r>
      <w:r w:rsidRPr="002B6E4A">
        <w:rPr>
          <w:bCs/>
          <w:szCs w:val="22"/>
          <w:lang w:val="en-GB"/>
        </w:rPr>
        <w:t xml:space="preserve">cost-minimisation analysis against bevacizumab.  The submission identified one </w:t>
      </w:r>
      <w:r w:rsidR="007E2CB2">
        <w:rPr>
          <w:bCs/>
          <w:szCs w:val="22"/>
          <w:lang w:val="en-GB"/>
        </w:rPr>
        <w:t xml:space="preserve">randomised </w:t>
      </w:r>
      <w:r w:rsidRPr="002B6E4A">
        <w:rPr>
          <w:bCs/>
          <w:szCs w:val="22"/>
          <w:lang w:val="en-GB"/>
        </w:rPr>
        <w:t xml:space="preserve">trial </w:t>
      </w:r>
      <w:r w:rsidR="00313F4A">
        <w:rPr>
          <w:bCs/>
          <w:szCs w:val="22"/>
          <w:lang w:val="en-GB"/>
        </w:rPr>
        <w:t xml:space="preserve">in DME </w:t>
      </w:r>
      <w:r w:rsidR="007E2CB2">
        <w:rPr>
          <w:bCs/>
          <w:szCs w:val="22"/>
          <w:lang w:val="en-GB"/>
        </w:rPr>
        <w:t xml:space="preserve">comparing bevacizumab 1.5 mg and ranibizumab 0.5 mg </w:t>
      </w:r>
      <w:r w:rsidRPr="002B6E4A">
        <w:rPr>
          <w:bCs/>
          <w:szCs w:val="22"/>
          <w:lang w:val="en-GB"/>
        </w:rPr>
        <w:t>(Nepomuceno 2013)</w:t>
      </w:r>
      <w:r w:rsidR="000A76CD" w:rsidRPr="002B6E4A">
        <w:rPr>
          <w:bCs/>
          <w:szCs w:val="22"/>
          <w:lang w:val="en-GB"/>
        </w:rPr>
        <w:t xml:space="preserve"> </w:t>
      </w:r>
      <w:r w:rsidR="00EE45EC">
        <w:rPr>
          <w:bCs/>
          <w:szCs w:val="22"/>
          <w:lang w:val="en-GB"/>
        </w:rPr>
        <w:t>which could</w:t>
      </w:r>
      <w:r w:rsidR="000A76CD" w:rsidRPr="002B6E4A">
        <w:rPr>
          <w:bCs/>
          <w:szCs w:val="22"/>
          <w:lang w:val="en-GB"/>
        </w:rPr>
        <w:t xml:space="preserve"> establish equi-effective doses by indirectly comparing injection numbers for aflibercept and bevacizumab via ranibizumab.</w:t>
      </w:r>
      <w:r w:rsidRPr="002B6E4A">
        <w:rPr>
          <w:bCs/>
          <w:szCs w:val="22"/>
          <w:lang w:val="en-GB"/>
        </w:rPr>
        <w:t xml:space="preserve">  </w:t>
      </w:r>
      <w:r w:rsidR="000A76CD" w:rsidRPr="002B6E4A">
        <w:rPr>
          <w:bCs/>
          <w:szCs w:val="22"/>
          <w:lang w:val="en-GB"/>
        </w:rPr>
        <w:t>The PBAC also noted that</w:t>
      </w:r>
      <w:r w:rsidR="000468A2">
        <w:rPr>
          <w:bCs/>
          <w:szCs w:val="22"/>
          <w:lang w:val="en-GB"/>
        </w:rPr>
        <w:t>,</w:t>
      </w:r>
      <w:r w:rsidR="00EB79FD" w:rsidRPr="002B6E4A">
        <w:rPr>
          <w:bCs/>
          <w:szCs w:val="22"/>
          <w:lang w:val="en-GB"/>
        </w:rPr>
        <w:t xml:space="preserve"> although </w:t>
      </w:r>
      <w:r w:rsidRPr="002B6E4A">
        <w:rPr>
          <w:bCs/>
          <w:szCs w:val="22"/>
          <w:lang w:val="en-GB"/>
        </w:rPr>
        <w:t>the</w:t>
      </w:r>
      <w:r w:rsidR="00EB79FD" w:rsidRPr="002B6E4A">
        <w:rPr>
          <w:bCs/>
          <w:szCs w:val="22"/>
          <w:lang w:val="en-GB"/>
        </w:rPr>
        <w:t xml:space="preserve"> submission did not provide evidence to support clinical equivalence or superiority, the </w:t>
      </w:r>
      <w:r w:rsidRPr="002B6E4A">
        <w:rPr>
          <w:bCs/>
          <w:szCs w:val="22"/>
          <w:lang w:val="en-GB"/>
        </w:rPr>
        <w:t>submission</w:t>
      </w:r>
      <w:r w:rsidR="00183FD8">
        <w:rPr>
          <w:bCs/>
          <w:szCs w:val="22"/>
          <w:lang w:val="en-GB"/>
        </w:rPr>
        <w:t>’s approach implicitly</w:t>
      </w:r>
      <w:r w:rsidRPr="002B6E4A">
        <w:rPr>
          <w:bCs/>
          <w:szCs w:val="22"/>
          <w:lang w:val="en-GB"/>
        </w:rPr>
        <w:t xml:space="preserve"> assumed similar efficacy and safety to bevacizumab</w:t>
      </w:r>
      <w:r w:rsidR="00EB79FD" w:rsidRPr="002B6E4A">
        <w:rPr>
          <w:bCs/>
          <w:szCs w:val="22"/>
          <w:lang w:val="en-GB"/>
        </w:rPr>
        <w:t xml:space="preserve"> based on the claim that aflibercept is superior to ranibizumab</w:t>
      </w:r>
      <w:r w:rsidRPr="002B6E4A">
        <w:rPr>
          <w:bCs/>
          <w:szCs w:val="22"/>
          <w:lang w:val="en-GB"/>
        </w:rPr>
        <w:t>.</w:t>
      </w:r>
      <w:r w:rsidR="002B6E4A" w:rsidRPr="002B6E4A">
        <w:rPr>
          <w:bCs/>
          <w:szCs w:val="22"/>
          <w:lang w:val="en-GB"/>
        </w:rPr>
        <w:t xml:space="preserve">  </w:t>
      </w:r>
      <w:r w:rsidR="000468A2">
        <w:t xml:space="preserve">On the totality of the evidence available, it is reasonable to conclude non-inferiority across all three VEGF </w:t>
      </w:r>
      <w:r w:rsidR="00C814C9">
        <w:t>inhibitors</w:t>
      </w:r>
      <w:r w:rsidR="000468A2">
        <w:t>.</w:t>
      </w:r>
    </w:p>
    <w:p w:rsidR="002B6E4A" w:rsidRDefault="002B6E4A" w:rsidP="00F022A3"/>
    <w:p w:rsidR="00E165C6" w:rsidRDefault="00115137" w:rsidP="000A76CD">
      <w:pPr>
        <w:widowControl/>
        <w:numPr>
          <w:ilvl w:val="1"/>
          <w:numId w:val="3"/>
        </w:numPr>
      </w:pPr>
      <w:r>
        <w:t>The PBAC noted that the submission presented two economic evaluations, a cost-utility analysis based on the comparisons of aflibercept versus laser photocoagulation and aflibercept versus ranibizumab and a cost-mini</w:t>
      </w:r>
      <w:r w:rsidR="00EB5446">
        <w:t>mi</w:t>
      </w:r>
      <w:r>
        <w:t xml:space="preserve">sation analysis between aflibercept and bevacizumab.  </w:t>
      </w:r>
      <w:r w:rsidR="00EB5446">
        <w:t xml:space="preserve">The PBAC considered the issues in the economic models raised by ESC. </w:t>
      </w:r>
      <w:r w:rsidR="00963BDC">
        <w:t xml:space="preserve"> Given </w:t>
      </w:r>
      <w:r>
        <w:t>the acceptance of equivalence</w:t>
      </w:r>
      <w:r w:rsidR="00963BDC">
        <w:t xml:space="preserve"> in efficacy and safety</w:t>
      </w:r>
      <w:r>
        <w:t xml:space="preserve"> between aflibercept and ranibizu</w:t>
      </w:r>
      <w:r w:rsidR="00EB5446">
        <w:t>mab</w:t>
      </w:r>
      <w:r w:rsidR="00963BDC">
        <w:t xml:space="preserve"> (paragraph 7.</w:t>
      </w:r>
      <w:r w:rsidR="002A5C2A">
        <w:t>7</w:t>
      </w:r>
      <w:r w:rsidR="00963BDC">
        <w:t>)</w:t>
      </w:r>
      <w:proofErr w:type="gramStart"/>
      <w:r>
        <w:t>,</w:t>
      </w:r>
      <w:proofErr w:type="gramEnd"/>
      <w:r>
        <w:t xml:space="preserve"> the PBAC considered that the primary analysis should be a cost-minimisation to ranibizumab</w:t>
      </w:r>
      <w:r w:rsidR="00390122">
        <w:t xml:space="preserve"> and cost-minimisation to bevacizumab </w:t>
      </w:r>
      <w:r w:rsidR="005132EA">
        <w:t>as</w:t>
      </w:r>
      <w:r w:rsidR="00390122">
        <w:t xml:space="preserve"> </w:t>
      </w:r>
      <w:r w:rsidR="007E47A3">
        <w:t xml:space="preserve">a </w:t>
      </w:r>
      <w:r w:rsidR="00390122">
        <w:t>secondary analysis.</w:t>
      </w:r>
      <w:r w:rsidR="00AF3561">
        <w:t xml:space="preserve">  The PBAC noted that the sponsor accepted </w:t>
      </w:r>
      <w:proofErr w:type="gramStart"/>
      <w:r w:rsidR="00AF3561">
        <w:t>a 1:1</w:t>
      </w:r>
      <w:proofErr w:type="gramEnd"/>
      <w:r w:rsidR="00AF3561">
        <w:t xml:space="preserve"> dose relativity (price parity) to ranibizumab in its Pre-PBAC Response, should ranibizumab become listed on the PBS.</w:t>
      </w:r>
    </w:p>
    <w:p w:rsidR="00E071A5" w:rsidRDefault="00E071A5" w:rsidP="00E071A5">
      <w:pPr>
        <w:widowControl/>
        <w:ind w:left="720"/>
      </w:pPr>
    </w:p>
    <w:p w:rsidR="00963BDC" w:rsidRDefault="000D403F" w:rsidP="000A76CD">
      <w:pPr>
        <w:widowControl/>
        <w:numPr>
          <w:ilvl w:val="1"/>
          <w:numId w:val="3"/>
        </w:numPr>
      </w:pPr>
      <w:r>
        <w:t>The PBAC did not accept the submission’s proposed pricing approach where the price of aflibercept is the overall aflibercept vial price calculated by a weighting across the ranibizumab, laser photocoagulation and bevacizumab comparisons.</w:t>
      </w:r>
    </w:p>
    <w:p w:rsidR="00963BDC" w:rsidRDefault="00963BDC" w:rsidP="00963BDC"/>
    <w:p w:rsidR="00113D1A" w:rsidRDefault="00963BDC" w:rsidP="00282C56">
      <w:pPr>
        <w:widowControl/>
        <w:numPr>
          <w:ilvl w:val="1"/>
          <w:numId w:val="3"/>
        </w:numPr>
      </w:pPr>
      <w:r>
        <w:t xml:space="preserve">The PBAC </w:t>
      </w:r>
      <w:r w:rsidR="00D55383">
        <w:t>considered</w:t>
      </w:r>
      <w:r>
        <w:t xml:space="preserve"> the issues in the cost-minimisation analysis between aflibercept and bevacizumab.  The </w:t>
      </w:r>
      <w:r w:rsidR="00D55383">
        <w:t xml:space="preserve">PBAC noted the </w:t>
      </w:r>
      <w:r>
        <w:t xml:space="preserve">inclusion of </w:t>
      </w:r>
      <w:r w:rsidR="00A8559D">
        <w:t xml:space="preserve">bevacizumab </w:t>
      </w:r>
      <w:r>
        <w:t xml:space="preserve">adverse events costs in the </w:t>
      </w:r>
      <w:r w:rsidR="001017AB">
        <w:t>model which was based on two trials (IVAN and CATT) comparing bevacizumab and rani</w:t>
      </w:r>
      <w:r w:rsidR="00D55383">
        <w:t>bizumab in the treatment of AMD, i.e. the submission conclude</w:t>
      </w:r>
      <w:r w:rsidR="002A5C2A">
        <w:t>d</w:t>
      </w:r>
      <w:r w:rsidR="00D55383">
        <w:t xml:space="preserve"> that any differences in systemic adverse events evident in bevacizumab compared to ranibizumab, can reasonably be assumed to be associated with bevacizumab and not aflibercept.  The</w:t>
      </w:r>
      <w:r w:rsidR="001017AB">
        <w:t xml:space="preserve"> </w:t>
      </w:r>
      <w:r w:rsidR="00D55383">
        <w:t xml:space="preserve">PBAC did not accept this </w:t>
      </w:r>
      <w:r w:rsidR="00036E60">
        <w:t>assumption given the lack of direct evidence and presumptive basis for the consideration of IVAN and CATT trials.  Furthermore, the PBAC note</w:t>
      </w:r>
      <w:r w:rsidR="002A5C2A">
        <w:t>d</w:t>
      </w:r>
      <w:r w:rsidR="00036E60">
        <w:t xml:space="preserve"> a</w:t>
      </w:r>
      <w:r w:rsidR="00282C56">
        <w:t xml:space="preserve"> recent Cochrane review </w:t>
      </w:r>
      <w:r w:rsidR="00036E60">
        <w:t xml:space="preserve">by </w:t>
      </w:r>
      <w:proofErr w:type="spellStart"/>
      <w:r w:rsidR="00036E60">
        <w:t>Moja</w:t>
      </w:r>
      <w:proofErr w:type="spellEnd"/>
      <w:r w:rsidR="00036E60">
        <w:t xml:space="preserve"> et al 2014</w:t>
      </w:r>
      <w:r w:rsidR="00282C56">
        <w:t xml:space="preserve"> wh</w:t>
      </w:r>
      <w:r w:rsidR="00313F4A">
        <w:t>ich</w:t>
      </w:r>
      <w:r w:rsidR="00282C56">
        <w:t xml:space="preserve"> found the systemic safety of bevacizumab for </w:t>
      </w:r>
      <w:proofErr w:type="spellStart"/>
      <w:r w:rsidR="00282C56">
        <w:t>neovascular</w:t>
      </w:r>
      <w:proofErr w:type="spellEnd"/>
      <w:r w:rsidR="00282C56">
        <w:t xml:space="preserve"> AMD to be similar to that of ranibizumab, except for gastrointestinal disorders, which was a part of a secondary analysis.</w:t>
      </w:r>
    </w:p>
    <w:p w:rsidR="00246313" w:rsidRDefault="00246313" w:rsidP="00067DBE"/>
    <w:p w:rsidR="009D5E1E" w:rsidRDefault="00C6608F" w:rsidP="00282C56">
      <w:pPr>
        <w:widowControl/>
        <w:numPr>
          <w:ilvl w:val="1"/>
          <w:numId w:val="3"/>
        </w:numPr>
      </w:pPr>
      <w:r>
        <w:t xml:space="preserve">The PBAC noted the </w:t>
      </w:r>
      <w:r w:rsidR="009D5E1E">
        <w:t xml:space="preserve">financial </w:t>
      </w:r>
      <w:r>
        <w:t>estimates presented in the submission</w:t>
      </w:r>
      <w:r w:rsidR="009D5E1E">
        <w:t>.  The PBAC</w:t>
      </w:r>
      <w:r>
        <w:t xml:space="preserve"> agreed with ESC that the </w:t>
      </w:r>
      <w:r w:rsidR="009D5E1E">
        <w:t xml:space="preserve">submission’s assumption </w:t>
      </w:r>
      <w:r w:rsidR="005E4493">
        <w:t xml:space="preserve">that </w:t>
      </w:r>
      <w:r w:rsidR="00BF0C39">
        <w:rPr>
          <w:noProof/>
          <w:color w:val="000000"/>
          <w:highlight w:val="black"/>
        </w:rPr>
        <w:t>''''''''''</w:t>
      </w:r>
      <w:r w:rsidR="005E4493">
        <w:t xml:space="preserve"> </w:t>
      </w:r>
      <w:r w:rsidR="009D5E1E">
        <w:t xml:space="preserve">of </w:t>
      </w:r>
      <w:r w:rsidR="005E4493">
        <w:t xml:space="preserve">the </w:t>
      </w:r>
      <w:r w:rsidR="009D5E1E">
        <w:t xml:space="preserve">population with clinically significant macular oedema has visual impairment is </w:t>
      </w:r>
      <w:r w:rsidR="004A748F">
        <w:t xml:space="preserve">an </w:t>
      </w:r>
      <w:r w:rsidR="009D5E1E">
        <w:t>overestimate.  The</w:t>
      </w:r>
      <w:r w:rsidR="00072897">
        <w:t xml:space="preserve"> sponsor in its</w:t>
      </w:r>
      <w:r w:rsidR="009D5E1E">
        <w:t xml:space="preserve"> Pre-PBAC Response agreed that the estimates in the submission were overestimated and presented a sensitivity analysis using lower prevalence rates </w:t>
      </w:r>
      <w:r w:rsidR="00BF0C39">
        <w:rPr>
          <w:noProof/>
          <w:color w:val="000000"/>
          <w:highlight w:val="black"/>
        </w:rPr>
        <w:t>''''''''''''' ''''''''' ''''''''''''''</w:t>
      </w:r>
      <w:r w:rsidR="009D5E1E">
        <w:t xml:space="preserve">.  The PBAC considered </w:t>
      </w:r>
      <w:r w:rsidR="00DA5BC5">
        <w:t xml:space="preserve">that </w:t>
      </w:r>
      <w:r w:rsidR="009D5E1E">
        <w:t>the revised prevalence rate</w:t>
      </w:r>
      <w:r w:rsidR="00DA5BC5">
        <w:t xml:space="preserve">s </w:t>
      </w:r>
      <w:r w:rsidR="009D5E1E">
        <w:t>still</w:t>
      </w:r>
      <w:r w:rsidR="00DA5BC5">
        <w:t xml:space="preserve"> indicate</w:t>
      </w:r>
      <w:r w:rsidR="009D5E1E">
        <w:t xml:space="preserve"> </w:t>
      </w:r>
      <w:r w:rsidR="00DA5BC5">
        <w:t>overestimation</w:t>
      </w:r>
      <w:r w:rsidR="009D5E1E">
        <w:t>.</w:t>
      </w:r>
    </w:p>
    <w:p w:rsidR="004D4584" w:rsidRPr="00235248" w:rsidRDefault="004D4584" w:rsidP="004D4584">
      <w:pPr>
        <w:widowControl/>
        <w:contextualSpacing/>
        <w:rPr>
          <w:rFonts w:cs="Times New Roman"/>
          <w:snapToGrid/>
          <w:szCs w:val="22"/>
          <w:lang w:eastAsia="en-AU"/>
        </w:rPr>
      </w:pPr>
    </w:p>
    <w:p w:rsidR="004D4584" w:rsidRDefault="004D4584" w:rsidP="00282C56">
      <w:pPr>
        <w:widowControl/>
        <w:numPr>
          <w:ilvl w:val="1"/>
          <w:numId w:val="3"/>
        </w:numPr>
      </w:pPr>
      <w:r>
        <w:t>The PBAC advised that aflibercept is not suitable for prescribing by nurse practitioners.</w:t>
      </w:r>
    </w:p>
    <w:p w:rsidR="004D4584" w:rsidRDefault="004D4584" w:rsidP="000468A2">
      <w:pPr>
        <w:widowControl/>
      </w:pPr>
    </w:p>
    <w:p w:rsidR="00282C56" w:rsidRPr="00282C56" w:rsidRDefault="004D4584" w:rsidP="00282C56">
      <w:pPr>
        <w:widowControl/>
        <w:numPr>
          <w:ilvl w:val="1"/>
          <w:numId w:val="3"/>
        </w:numPr>
      </w:pPr>
      <w:r>
        <w:t>The PBAC recommended that the Safety Net 20 Day Rule should not apply.</w:t>
      </w:r>
    </w:p>
    <w:p w:rsidR="008A2A8A" w:rsidRDefault="008A2A8A" w:rsidP="008A3302">
      <w:pPr>
        <w:widowControl/>
        <w:jc w:val="left"/>
        <w:rPr>
          <w:bCs/>
          <w:szCs w:val="22"/>
          <w:lang w:val="en-GB"/>
        </w:rPr>
      </w:pPr>
    </w:p>
    <w:p w:rsidR="008A2A8A" w:rsidRPr="008A2A8A" w:rsidRDefault="008A2A8A" w:rsidP="008A3302">
      <w:pPr>
        <w:widowControl/>
        <w:jc w:val="left"/>
        <w:rPr>
          <w:bCs/>
          <w:szCs w:val="22"/>
          <w:lang w:val="en-GB"/>
        </w:rPr>
      </w:pPr>
    </w:p>
    <w:p w:rsidR="008A3302" w:rsidRPr="00811D0B" w:rsidRDefault="008A3302" w:rsidP="008A3302">
      <w:pPr>
        <w:widowControl/>
        <w:jc w:val="left"/>
        <w:rPr>
          <w:b/>
          <w:bCs/>
          <w:szCs w:val="22"/>
          <w:lang w:val="en-GB"/>
        </w:rPr>
      </w:pPr>
      <w:r w:rsidRPr="00811D0B">
        <w:rPr>
          <w:b/>
          <w:bCs/>
          <w:szCs w:val="22"/>
          <w:lang w:val="en-GB"/>
        </w:rPr>
        <w:t>Outcome:</w:t>
      </w:r>
    </w:p>
    <w:p w:rsidR="008A3302" w:rsidRDefault="00306715" w:rsidP="008A3302">
      <w:pPr>
        <w:widowControl/>
        <w:jc w:val="left"/>
        <w:rPr>
          <w:bCs/>
          <w:szCs w:val="22"/>
          <w:lang w:val="en-GB"/>
        </w:rPr>
      </w:pPr>
      <w:r>
        <w:rPr>
          <w:bCs/>
          <w:szCs w:val="22"/>
          <w:lang w:val="en-GB"/>
        </w:rPr>
        <w:t>Recommended</w:t>
      </w:r>
    </w:p>
    <w:p w:rsidR="00811D0B" w:rsidRDefault="00811D0B" w:rsidP="008A3302">
      <w:pPr>
        <w:widowControl/>
        <w:jc w:val="left"/>
        <w:rPr>
          <w:bCs/>
          <w:i/>
          <w:szCs w:val="22"/>
          <w:lang w:val="en-GB"/>
        </w:rPr>
      </w:pPr>
    </w:p>
    <w:p w:rsidR="008A3302" w:rsidRPr="005B7B4E" w:rsidRDefault="008A3302" w:rsidP="008A3302">
      <w:pPr>
        <w:widowControl/>
        <w:numPr>
          <w:ilvl w:val="0"/>
          <w:numId w:val="3"/>
        </w:numPr>
        <w:jc w:val="left"/>
        <w:rPr>
          <w:b/>
          <w:bCs/>
          <w:szCs w:val="22"/>
          <w:lang w:val="en-GB"/>
        </w:rPr>
      </w:pPr>
      <w:r w:rsidRPr="005B7B4E">
        <w:rPr>
          <w:b/>
          <w:bCs/>
          <w:szCs w:val="22"/>
          <w:lang w:val="en-GB"/>
        </w:rPr>
        <w:t>Recommended listing</w:t>
      </w:r>
    </w:p>
    <w:p w:rsidR="008A3302" w:rsidRPr="00811D0B" w:rsidRDefault="008A3302" w:rsidP="008A3302">
      <w:pPr>
        <w:widowControl/>
        <w:numPr>
          <w:ilvl w:val="1"/>
          <w:numId w:val="3"/>
        </w:numPr>
        <w:jc w:val="left"/>
        <w:rPr>
          <w:bCs/>
          <w:szCs w:val="22"/>
        </w:rPr>
      </w:pPr>
      <w:r w:rsidRPr="00811D0B">
        <w:rPr>
          <w:bCs/>
          <w:szCs w:val="22"/>
        </w:rPr>
        <w:t>Amend existing/recommended listing as follows:</w:t>
      </w:r>
    </w:p>
    <w:p w:rsidR="008A3302" w:rsidRPr="00306715" w:rsidRDefault="008A3302" w:rsidP="008A3302">
      <w:pPr>
        <w:widowControl/>
        <w:jc w:val="left"/>
        <w:rPr>
          <w:bCs/>
          <w:szCs w:val="22"/>
        </w:rPr>
      </w:pPr>
    </w:p>
    <w:p w:rsidR="00E25B21" w:rsidRPr="007A44E3" w:rsidRDefault="00E25B21" w:rsidP="00E25B21">
      <w:pPr>
        <w:ind w:left="720"/>
        <w:rPr>
          <w:bCs/>
          <w:i/>
        </w:rPr>
      </w:pPr>
      <w:r w:rsidRPr="00FA3836">
        <w:t>Suggested wording for the restriction (final restriction to be finalised).</w:t>
      </w:r>
    </w:p>
    <w:p w:rsidR="008A3302" w:rsidRPr="00E25B21" w:rsidRDefault="008A3302" w:rsidP="00E25B21">
      <w:pPr>
        <w:widowControl/>
        <w:ind w:left="720"/>
        <w:jc w:val="left"/>
        <w:rPr>
          <w:b/>
          <w:szCs w:val="22"/>
        </w:rPr>
      </w:pPr>
    </w:p>
    <w:tbl>
      <w:tblPr>
        <w:tblW w:w="4566" w:type="pct"/>
        <w:tblInd w:w="817" w:type="dxa"/>
        <w:tblLayout w:type="fixed"/>
        <w:tblLook w:val="0000" w:firstRow="0" w:lastRow="0" w:firstColumn="0" w:lastColumn="0" w:noHBand="0" w:noVBand="0"/>
      </w:tblPr>
      <w:tblGrid>
        <w:gridCol w:w="3489"/>
        <w:gridCol w:w="1097"/>
        <w:gridCol w:w="739"/>
        <w:gridCol w:w="368"/>
        <w:gridCol w:w="2142"/>
        <w:gridCol w:w="606"/>
      </w:tblGrid>
      <w:tr w:rsidR="009038EE" w:rsidRPr="00AE041C" w:rsidTr="009038EE">
        <w:trPr>
          <w:cantSplit/>
          <w:trHeight w:val="502"/>
        </w:trPr>
        <w:tc>
          <w:tcPr>
            <w:tcW w:w="2066" w:type="pct"/>
            <w:tcBorders>
              <w:bottom w:val="single" w:sz="4" w:space="0" w:color="auto"/>
            </w:tcBorders>
          </w:tcPr>
          <w:p w:rsidR="009038EE" w:rsidRPr="00AE041C" w:rsidRDefault="009038EE" w:rsidP="00B83E48">
            <w:pPr>
              <w:keepNext/>
              <w:widowControl/>
              <w:ind w:left="-108"/>
              <w:rPr>
                <w:rFonts w:ascii="Arial Narrow" w:eastAsia="Calibri" w:hAnsi="Arial Narrow"/>
                <w:snapToGrid/>
                <w:sz w:val="20"/>
              </w:rPr>
            </w:pPr>
            <w:r w:rsidRPr="00AE041C">
              <w:rPr>
                <w:rFonts w:ascii="Arial Narrow" w:eastAsia="Calibri" w:hAnsi="Arial Narrow"/>
                <w:snapToGrid/>
                <w:sz w:val="20"/>
              </w:rPr>
              <w:t>Name, Restriction,</w:t>
            </w:r>
          </w:p>
          <w:p w:rsidR="009038EE" w:rsidRPr="00AE041C" w:rsidRDefault="009038EE" w:rsidP="00B83E48">
            <w:pPr>
              <w:keepNext/>
              <w:widowControl/>
              <w:ind w:left="-108"/>
              <w:rPr>
                <w:rFonts w:ascii="Arial Narrow" w:eastAsia="Calibri" w:hAnsi="Arial Narrow"/>
                <w:snapToGrid/>
                <w:sz w:val="20"/>
              </w:rPr>
            </w:pPr>
            <w:r w:rsidRPr="00AE041C">
              <w:rPr>
                <w:rFonts w:ascii="Arial Narrow" w:eastAsia="Calibri" w:hAnsi="Arial Narrow"/>
                <w:snapToGrid/>
                <w:sz w:val="20"/>
              </w:rPr>
              <w:t xml:space="preserve">Manner of administration </w:t>
            </w:r>
          </w:p>
          <w:p w:rsidR="009038EE" w:rsidRPr="00AE041C" w:rsidRDefault="009038EE" w:rsidP="00B83E48">
            <w:pPr>
              <w:keepNext/>
              <w:widowControl/>
              <w:ind w:left="-108"/>
              <w:rPr>
                <w:rFonts w:ascii="Arial Narrow" w:eastAsia="Calibri" w:hAnsi="Arial Narrow"/>
                <w:snapToGrid/>
                <w:sz w:val="20"/>
              </w:rPr>
            </w:pPr>
            <w:r w:rsidRPr="00AE041C">
              <w:rPr>
                <w:rFonts w:ascii="Arial Narrow" w:eastAsia="Calibri" w:hAnsi="Arial Narrow"/>
                <w:snapToGrid/>
                <w:sz w:val="20"/>
              </w:rPr>
              <w:t>and form</w:t>
            </w:r>
          </w:p>
        </w:tc>
        <w:tc>
          <w:tcPr>
            <w:tcW w:w="650" w:type="pct"/>
            <w:tcBorders>
              <w:bottom w:val="single" w:sz="4" w:space="0" w:color="auto"/>
            </w:tcBorders>
          </w:tcPr>
          <w:p w:rsidR="009038EE" w:rsidRPr="00AE041C" w:rsidRDefault="009038EE" w:rsidP="00B83E48">
            <w:pPr>
              <w:keepNext/>
              <w:widowControl/>
              <w:ind w:left="-108"/>
              <w:rPr>
                <w:rFonts w:ascii="Arial Narrow" w:eastAsia="Calibri" w:hAnsi="Arial Narrow"/>
                <w:snapToGrid/>
                <w:sz w:val="20"/>
              </w:rPr>
            </w:pPr>
            <w:r w:rsidRPr="00AE041C">
              <w:rPr>
                <w:rFonts w:ascii="Arial Narrow" w:eastAsia="Calibri" w:hAnsi="Arial Narrow"/>
                <w:snapToGrid/>
                <w:sz w:val="20"/>
              </w:rPr>
              <w:t>Max.</w:t>
            </w:r>
          </w:p>
          <w:p w:rsidR="009038EE" w:rsidRPr="00AE041C" w:rsidRDefault="009038EE" w:rsidP="00B83E48">
            <w:pPr>
              <w:keepNext/>
              <w:widowControl/>
              <w:ind w:left="-108"/>
              <w:rPr>
                <w:rFonts w:ascii="Arial Narrow" w:eastAsia="Calibri" w:hAnsi="Arial Narrow"/>
                <w:snapToGrid/>
                <w:sz w:val="20"/>
              </w:rPr>
            </w:pPr>
            <w:r w:rsidRPr="00AE041C">
              <w:rPr>
                <w:rFonts w:ascii="Arial Narrow" w:eastAsia="Calibri" w:hAnsi="Arial Narrow"/>
                <w:snapToGrid/>
                <w:sz w:val="20"/>
              </w:rPr>
              <w:t>Qty</w:t>
            </w:r>
          </w:p>
        </w:tc>
        <w:tc>
          <w:tcPr>
            <w:tcW w:w="438" w:type="pct"/>
            <w:tcBorders>
              <w:bottom w:val="single" w:sz="4" w:space="0" w:color="auto"/>
            </w:tcBorders>
          </w:tcPr>
          <w:p w:rsidR="009038EE" w:rsidRPr="00F3531E" w:rsidRDefault="009038EE" w:rsidP="00B83E48">
            <w:pPr>
              <w:keepNext/>
              <w:widowControl/>
              <w:ind w:left="-108"/>
              <w:rPr>
                <w:rFonts w:ascii="Arial Narrow" w:eastAsia="Calibri" w:hAnsi="Arial Narrow"/>
                <w:snapToGrid/>
                <w:sz w:val="20"/>
              </w:rPr>
            </w:pPr>
            <w:r w:rsidRPr="00F3531E">
              <w:rPr>
                <w:rFonts w:ascii="Arial Narrow" w:eastAsia="Calibri" w:hAnsi="Arial Narrow" w:cs="Times New Roman"/>
                <w:snapToGrid/>
                <w:sz w:val="20"/>
              </w:rPr>
              <w:t>№</w:t>
            </w:r>
            <w:r w:rsidRPr="00F3531E">
              <w:rPr>
                <w:rFonts w:ascii="Arial Narrow" w:eastAsia="Calibri" w:hAnsi="Arial Narrow"/>
                <w:snapToGrid/>
                <w:sz w:val="20"/>
              </w:rPr>
              <w:t>.of</w:t>
            </w:r>
          </w:p>
          <w:p w:rsidR="009038EE" w:rsidRPr="00AE041C" w:rsidRDefault="009038EE" w:rsidP="00B83E48">
            <w:pPr>
              <w:keepNext/>
              <w:widowControl/>
              <w:ind w:left="-108"/>
              <w:rPr>
                <w:rFonts w:ascii="Arial Narrow" w:eastAsia="Calibri" w:hAnsi="Arial Narrow"/>
                <w:snapToGrid/>
                <w:sz w:val="20"/>
              </w:rPr>
            </w:pPr>
            <w:r w:rsidRPr="00F3531E">
              <w:rPr>
                <w:rFonts w:ascii="Arial Narrow" w:eastAsia="Calibri" w:hAnsi="Arial Narrow"/>
                <w:snapToGrid/>
                <w:sz w:val="20"/>
              </w:rPr>
              <w:t>Rpts</w:t>
            </w:r>
          </w:p>
        </w:tc>
        <w:tc>
          <w:tcPr>
            <w:tcW w:w="218" w:type="pct"/>
            <w:tcBorders>
              <w:bottom w:val="single" w:sz="4" w:space="0" w:color="auto"/>
            </w:tcBorders>
          </w:tcPr>
          <w:p w:rsidR="009038EE" w:rsidRPr="00AE041C" w:rsidRDefault="009038EE" w:rsidP="00B83E48">
            <w:pPr>
              <w:keepNext/>
              <w:widowControl/>
              <w:ind w:left="-108"/>
              <w:rPr>
                <w:rFonts w:ascii="Arial Narrow" w:eastAsia="Calibri" w:hAnsi="Arial Narrow"/>
                <w:snapToGrid/>
                <w:sz w:val="20"/>
              </w:rPr>
            </w:pPr>
          </w:p>
        </w:tc>
        <w:tc>
          <w:tcPr>
            <w:tcW w:w="1628" w:type="pct"/>
            <w:gridSpan w:val="2"/>
            <w:tcBorders>
              <w:bottom w:val="single" w:sz="4" w:space="0" w:color="auto"/>
            </w:tcBorders>
          </w:tcPr>
          <w:p w:rsidR="009038EE" w:rsidRPr="00AE041C" w:rsidRDefault="009038EE" w:rsidP="00B83E48">
            <w:pPr>
              <w:keepNext/>
              <w:widowControl/>
              <w:rPr>
                <w:rFonts w:ascii="Arial Narrow" w:eastAsia="Calibri" w:hAnsi="Arial Narrow"/>
                <w:snapToGrid/>
                <w:sz w:val="20"/>
              </w:rPr>
            </w:pPr>
            <w:r w:rsidRPr="00AE041C">
              <w:rPr>
                <w:rFonts w:ascii="Arial Narrow" w:eastAsia="Calibri" w:hAnsi="Arial Narrow"/>
                <w:snapToGrid/>
                <w:sz w:val="20"/>
              </w:rPr>
              <w:t xml:space="preserve">Proprietary Name </w:t>
            </w:r>
          </w:p>
          <w:p w:rsidR="009038EE" w:rsidRPr="00AE041C" w:rsidRDefault="009038EE" w:rsidP="00B83E48">
            <w:pPr>
              <w:keepNext/>
              <w:widowControl/>
              <w:rPr>
                <w:rFonts w:ascii="Arial Narrow" w:eastAsia="Calibri" w:hAnsi="Arial Narrow"/>
                <w:snapToGrid/>
                <w:sz w:val="20"/>
                <w:lang w:val="fr-FR"/>
              </w:rPr>
            </w:pPr>
            <w:r w:rsidRPr="00AE041C">
              <w:rPr>
                <w:rFonts w:ascii="Arial Narrow" w:eastAsia="Calibri" w:hAnsi="Arial Narrow"/>
                <w:snapToGrid/>
                <w:sz w:val="20"/>
              </w:rPr>
              <w:t>and Manufacturer</w:t>
            </w:r>
          </w:p>
        </w:tc>
      </w:tr>
      <w:tr w:rsidR="009038EE" w:rsidRPr="00AE041C" w:rsidTr="009038EE">
        <w:trPr>
          <w:cantSplit/>
          <w:trHeight w:val="616"/>
        </w:trPr>
        <w:tc>
          <w:tcPr>
            <w:tcW w:w="2066" w:type="pct"/>
          </w:tcPr>
          <w:p w:rsidR="009038EE" w:rsidRPr="00AE041C" w:rsidRDefault="009038EE" w:rsidP="00B83E48">
            <w:pPr>
              <w:keepNext/>
              <w:widowControl/>
              <w:ind w:left="-108"/>
              <w:rPr>
                <w:rFonts w:ascii="Arial Narrow" w:eastAsia="Calibri" w:hAnsi="Arial Narrow"/>
                <w:snapToGrid/>
                <w:sz w:val="20"/>
              </w:rPr>
            </w:pPr>
            <w:r w:rsidRPr="00AE041C">
              <w:rPr>
                <w:rFonts w:ascii="Arial Narrow" w:eastAsia="Calibri" w:hAnsi="Arial Narrow"/>
                <w:smallCaps/>
                <w:snapToGrid/>
                <w:sz w:val="20"/>
              </w:rPr>
              <w:t>AFLIBERCEPT</w:t>
            </w:r>
          </w:p>
          <w:p w:rsidR="009038EE" w:rsidRPr="00AE041C" w:rsidRDefault="009038EE" w:rsidP="00B83E48">
            <w:pPr>
              <w:keepNext/>
              <w:widowControl/>
              <w:ind w:left="-108"/>
              <w:rPr>
                <w:rFonts w:ascii="Arial Narrow" w:eastAsia="Calibri" w:hAnsi="Arial Narrow"/>
                <w:snapToGrid/>
                <w:sz w:val="20"/>
              </w:rPr>
            </w:pPr>
          </w:p>
          <w:p w:rsidR="009038EE" w:rsidRDefault="009038EE" w:rsidP="00B83E48">
            <w:pPr>
              <w:keepNext/>
              <w:widowControl/>
              <w:ind w:left="-108"/>
              <w:rPr>
                <w:rFonts w:ascii="Arial Narrow" w:eastAsia="Calibri" w:hAnsi="Arial Narrow"/>
                <w:snapToGrid/>
                <w:sz w:val="20"/>
              </w:rPr>
            </w:pPr>
            <w:r w:rsidRPr="00AE041C">
              <w:rPr>
                <w:rFonts w:ascii="Arial Narrow" w:eastAsia="Calibri" w:hAnsi="Arial Narrow"/>
                <w:snapToGrid/>
                <w:sz w:val="20"/>
              </w:rPr>
              <w:t>aflibercept 4mg/</w:t>
            </w:r>
            <w:r w:rsidRPr="00AE041C">
              <w:rPr>
                <w:rFonts w:ascii="Arial Narrow" w:eastAsia="Calibri" w:hAnsi="Arial Narrow"/>
                <w:snapToGrid/>
                <w:sz w:val="20"/>
                <w:lang w:eastAsia="zh-CN"/>
              </w:rPr>
              <w:t>0.1</w:t>
            </w:r>
            <w:r w:rsidRPr="00AE041C">
              <w:rPr>
                <w:rFonts w:ascii="Arial Narrow" w:eastAsia="Calibri" w:hAnsi="Arial Narrow"/>
                <w:snapToGrid/>
                <w:sz w:val="20"/>
              </w:rPr>
              <w:t xml:space="preserve">mL injection, </w:t>
            </w:r>
          </w:p>
          <w:p w:rsidR="009038EE" w:rsidRPr="00AE041C" w:rsidRDefault="009038EE" w:rsidP="00B83E48">
            <w:pPr>
              <w:keepNext/>
              <w:widowControl/>
              <w:rPr>
                <w:rFonts w:ascii="Arial Narrow" w:eastAsia="Calibri" w:hAnsi="Arial Narrow"/>
                <w:snapToGrid/>
                <w:sz w:val="20"/>
                <w:lang w:eastAsia="zh-CN"/>
              </w:rPr>
            </w:pPr>
            <w:r w:rsidRPr="00AE041C">
              <w:rPr>
                <w:rFonts w:ascii="Arial Narrow" w:eastAsia="Calibri" w:hAnsi="Arial Narrow"/>
                <w:snapToGrid/>
                <w:sz w:val="20"/>
              </w:rPr>
              <w:t>1 x</w:t>
            </w:r>
            <w:r w:rsidRPr="00AE041C">
              <w:rPr>
                <w:rFonts w:ascii="Arial Narrow" w:eastAsia="Calibri" w:hAnsi="Arial Narrow"/>
                <w:snapToGrid/>
                <w:sz w:val="20"/>
                <w:lang w:eastAsia="zh-CN"/>
              </w:rPr>
              <w:t xml:space="preserve"> 0.1 mL </w:t>
            </w:r>
            <w:r w:rsidRPr="00AE041C">
              <w:rPr>
                <w:rFonts w:ascii="Arial Narrow" w:eastAsia="Calibri" w:hAnsi="Arial Narrow"/>
                <w:snapToGrid/>
                <w:sz w:val="20"/>
              </w:rPr>
              <w:t>vial</w:t>
            </w:r>
          </w:p>
          <w:p w:rsidR="009038EE" w:rsidRDefault="009038EE" w:rsidP="00B83E48">
            <w:pPr>
              <w:keepNext/>
              <w:widowControl/>
              <w:ind w:left="-108"/>
              <w:rPr>
                <w:rFonts w:ascii="Arial Narrow" w:eastAsia="Calibri" w:hAnsi="Arial Narrow"/>
                <w:snapToGrid/>
                <w:sz w:val="20"/>
              </w:rPr>
            </w:pPr>
            <w:r w:rsidRPr="00AE041C">
              <w:rPr>
                <w:rFonts w:ascii="Arial Narrow" w:eastAsia="Calibri" w:hAnsi="Arial Narrow"/>
                <w:snapToGrid/>
                <w:sz w:val="20"/>
              </w:rPr>
              <w:t>aflibercept 4mg/</w:t>
            </w:r>
            <w:r w:rsidRPr="00AE041C">
              <w:rPr>
                <w:rFonts w:ascii="Arial Narrow" w:eastAsia="Calibri" w:hAnsi="Arial Narrow"/>
                <w:snapToGrid/>
                <w:sz w:val="20"/>
                <w:lang w:eastAsia="zh-CN"/>
              </w:rPr>
              <w:t>0.1</w:t>
            </w:r>
            <w:r w:rsidRPr="00AE041C">
              <w:rPr>
                <w:rFonts w:ascii="Arial Narrow" w:eastAsia="Calibri" w:hAnsi="Arial Narrow"/>
                <w:snapToGrid/>
                <w:sz w:val="20"/>
              </w:rPr>
              <w:t xml:space="preserve">mL injection, </w:t>
            </w:r>
          </w:p>
          <w:p w:rsidR="009038EE" w:rsidRPr="00AE041C" w:rsidRDefault="009038EE" w:rsidP="00B83E48">
            <w:pPr>
              <w:keepNext/>
              <w:widowControl/>
              <w:ind w:left="-108"/>
              <w:rPr>
                <w:rFonts w:ascii="Arial Narrow" w:eastAsia="Calibri" w:hAnsi="Arial Narrow"/>
                <w:snapToGrid/>
                <w:sz w:val="20"/>
                <w:lang w:eastAsia="zh-CN"/>
              </w:rPr>
            </w:pPr>
            <w:r w:rsidRPr="00AE041C">
              <w:rPr>
                <w:rFonts w:ascii="Arial Narrow" w:eastAsia="Calibri" w:hAnsi="Arial Narrow"/>
                <w:snapToGrid/>
                <w:sz w:val="20"/>
              </w:rPr>
              <w:t>1 x</w:t>
            </w:r>
            <w:r w:rsidRPr="00AE041C">
              <w:rPr>
                <w:rFonts w:ascii="Arial Narrow" w:eastAsia="Calibri" w:hAnsi="Arial Narrow"/>
                <w:snapToGrid/>
                <w:sz w:val="20"/>
                <w:lang w:eastAsia="zh-CN"/>
              </w:rPr>
              <w:t xml:space="preserve"> 0.09 mL pre-filled syringe</w:t>
            </w:r>
          </w:p>
        </w:tc>
        <w:tc>
          <w:tcPr>
            <w:tcW w:w="650" w:type="pct"/>
          </w:tcPr>
          <w:p w:rsidR="009038EE" w:rsidRPr="00AE041C" w:rsidRDefault="009038EE" w:rsidP="00B83E48">
            <w:pPr>
              <w:keepNext/>
              <w:widowControl/>
              <w:ind w:left="-108"/>
              <w:rPr>
                <w:rFonts w:ascii="Arial Narrow" w:eastAsia="Calibri" w:hAnsi="Arial Narrow"/>
                <w:snapToGrid/>
                <w:sz w:val="20"/>
              </w:rPr>
            </w:pPr>
          </w:p>
          <w:p w:rsidR="009038EE" w:rsidRPr="00AE041C" w:rsidRDefault="009038EE" w:rsidP="00B83E48">
            <w:pPr>
              <w:keepNext/>
              <w:widowControl/>
              <w:ind w:left="-108"/>
              <w:rPr>
                <w:rFonts w:ascii="Arial Narrow" w:eastAsia="Calibri" w:hAnsi="Arial Narrow"/>
                <w:snapToGrid/>
                <w:sz w:val="20"/>
              </w:rPr>
            </w:pPr>
          </w:p>
          <w:p w:rsidR="009038EE" w:rsidRPr="00AE041C" w:rsidRDefault="009038EE" w:rsidP="00B83E48">
            <w:pPr>
              <w:keepNext/>
              <w:widowControl/>
              <w:ind w:left="-108"/>
              <w:rPr>
                <w:rFonts w:ascii="Arial Narrow" w:eastAsia="Calibri" w:hAnsi="Arial Narrow"/>
                <w:snapToGrid/>
                <w:sz w:val="20"/>
                <w:lang w:eastAsia="zh-CN"/>
              </w:rPr>
            </w:pPr>
            <w:r w:rsidRPr="00AE041C">
              <w:rPr>
                <w:rFonts w:ascii="Arial Narrow" w:eastAsia="Calibri" w:hAnsi="Arial Narrow"/>
                <w:snapToGrid/>
                <w:sz w:val="20"/>
              </w:rPr>
              <w:t>1</w:t>
            </w:r>
          </w:p>
          <w:p w:rsidR="009038EE" w:rsidRPr="00AE041C" w:rsidRDefault="009038EE" w:rsidP="00B83E48">
            <w:pPr>
              <w:keepNext/>
              <w:widowControl/>
              <w:ind w:left="-108"/>
              <w:rPr>
                <w:rFonts w:ascii="Arial Narrow" w:eastAsia="Calibri" w:hAnsi="Arial Narrow"/>
                <w:snapToGrid/>
                <w:sz w:val="20"/>
                <w:lang w:eastAsia="zh-CN"/>
              </w:rPr>
            </w:pPr>
          </w:p>
          <w:p w:rsidR="009038EE" w:rsidRPr="00AE041C" w:rsidRDefault="009038EE" w:rsidP="00B83E48">
            <w:pPr>
              <w:keepNext/>
              <w:widowControl/>
              <w:ind w:left="-108"/>
              <w:rPr>
                <w:rFonts w:ascii="Arial Narrow" w:eastAsia="Calibri" w:hAnsi="Arial Narrow"/>
                <w:snapToGrid/>
                <w:sz w:val="20"/>
                <w:lang w:eastAsia="zh-CN"/>
              </w:rPr>
            </w:pPr>
          </w:p>
          <w:p w:rsidR="009038EE" w:rsidRPr="00AE041C" w:rsidRDefault="009038EE" w:rsidP="00B83E48">
            <w:pPr>
              <w:keepNext/>
              <w:widowControl/>
              <w:ind w:left="-108"/>
              <w:rPr>
                <w:rFonts w:ascii="Arial Narrow" w:eastAsia="Calibri" w:hAnsi="Arial Narrow"/>
                <w:snapToGrid/>
                <w:sz w:val="20"/>
                <w:lang w:eastAsia="zh-CN"/>
              </w:rPr>
            </w:pPr>
            <w:r w:rsidRPr="00AE041C">
              <w:rPr>
                <w:rFonts w:ascii="Arial Narrow" w:eastAsia="Calibri" w:hAnsi="Arial Narrow"/>
                <w:snapToGrid/>
                <w:sz w:val="20"/>
                <w:lang w:eastAsia="zh-CN"/>
              </w:rPr>
              <w:t>1</w:t>
            </w:r>
          </w:p>
        </w:tc>
        <w:tc>
          <w:tcPr>
            <w:tcW w:w="438" w:type="pct"/>
          </w:tcPr>
          <w:p w:rsidR="009038EE" w:rsidRPr="00AE041C" w:rsidRDefault="009038EE" w:rsidP="00B83E48">
            <w:pPr>
              <w:keepNext/>
              <w:widowControl/>
              <w:rPr>
                <w:rFonts w:ascii="Arial Narrow" w:eastAsia="Calibri" w:hAnsi="Arial Narrow"/>
                <w:snapToGrid/>
                <w:sz w:val="20"/>
              </w:rPr>
            </w:pPr>
          </w:p>
          <w:p w:rsidR="009038EE" w:rsidRPr="00AE041C" w:rsidRDefault="009038EE" w:rsidP="00B83E48">
            <w:pPr>
              <w:keepNext/>
              <w:widowControl/>
              <w:rPr>
                <w:rFonts w:ascii="Arial Narrow" w:eastAsia="Calibri" w:hAnsi="Arial Narrow"/>
                <w:snapToGrid/>
                <w:sz w:val="20"/>
              </w:rPr>
            </w:pPr>
          </w:p>
          <w:p w:rsidR="009038EE" w:rsidRPr="00AE041C" w:rsidRDefault="009038EE" w:rsidP="00B83E48">
            <w:pPr>
              <w:keepNext/>
              <w:widowControl/>
              <w:rPr>
                <w:rFonts w:ascii="Arial Narrow" w:eastAsia="Calibri" w:hAnsi="Arial Narrow"/>
                <w:snapToGrid/>
                <w:sz w:val="20"/>
                <w:lang w:eastAsia="zh-CN"/>
              </w:rPr>
            </w:pPr>
          </w:p>
          <w:p w:rsidR="009038EE" w:rsidRPr="00AE041C" w:rsidRDefault="009038EE" w:rsidP="00B83E48">
            <w:pPr>
              <w:keepNext/>
              <w:widowControl/>
              <w:ind w:left="-108"/>
              <w:rPr>
                <w:rFonts w:ascii="Arial Narrow" w:eastAsia="Calibri" w:hAnsi="Arial Narrow"/>
                <w:strike/>
                <w:snapToGrid/>
                <w:sz w:val="20"/>
                <w:lang w:eastAsia="zh-CN"/>
              </w:rPr>
            </w:pPr>
          </w:p>
          <w:p w:rsidR="009038EE" w:rsidRPr="00AE041C" w:rsidRDefault="009038EE" w:rsidP="005D64C9">
            <w:pPr>
              <w:keepNext/>
              <w:widowControl/>
              <w:ind w:left="-108"/>
              <w:rPr>
                <w:rFonts w:ascii="Arial Narrow" w:eastAsia="Calibri" w:hAnsi="Arial Narrow"/>
                <w:snapToGrid/>
                <w:sz w:val="20"/>
                <w:lang w:eastAsia="zh-CN"/>
              </w:rPr>
            </w:pPr>
            <w:r w:rsidRPr="00AE041C">
              <w:rPr>
                <w:rFonts w:ascii="Arial Narrow" w:eastAsia="Calibri" w:hAnsi="Arial Narrow"/>
                <w:i/>
                <w:snapToGrid/>
                <w:sz w:val="20"/>
                <w:lang w:eastAsia="zh-CN"/>
              </w:rPr>
              <w:t xml:space="preserve"> </w:t>
            </w:r>
          </w:p>
        </w:tc>
        <w:tc>
          <w:tcPr>
            <w:tcW w:w="218" w:type="pct"/>
          </w:tcPr>
          <w:p w:rsidR="009038EE" w:rsidRPr="00AE041C" w:rsidRDefault="009038EE" w:rsidP="00B83E48">
            <w:pPr>
              <w:keepNext/>
              <w:widowControl/>
              <w:ind w:left="-108"/>
              <w:rPr>
                <w:rFonts w:ascii="Arial Narrow" w:eastAsia="Calibri" w:hAnsi="Arial Narrow"/>
                <w:snapToGrid/>
                <w:sz w:val="20"/>
              </w:rPr>
            </w:pPr>
          </w:p>
          <w:p w:rsidR="009038EE" w:rsidRPr="00AE041C" w:rsidRDefault="009038EE" w:rsidP="00B83E48">
            <w:pPr>
              <w:keepNext/>
              <w:widowControl/>
              <w:ind w:left="-108"/>
              <w:rPr>
                <w:rFonts w:ascii="Arial Narrow" w:eastAsia="Calibri" w:hAnsi="Arial Narrow"/>
                <w:snapToGrid/>
                <w:sz w:val="20"/>
              </w:rPr>
            </w:pPr>
          </w:p>
          <w:p w:rsidR="009038EE" w:rsidRPr="00AE041C" w:rsidRDefault="009038EE" w:rsidP="00B83E48">
            <w:pPr>
              <w:keepNext/>
              <w:widowControl/>
              <w:ind w:left="-108"/>
              <w:rPr>
                <w:rFonts w:ascii="Arial Narrow" w:eastAsia="Calibri" w:hAnsi="Arial Narrow"/>
                <w:snapToGrid/>
                <w:sz w:val="20"/>
                <w:lang w:eastAsia="zh-CN"/>
              </w:rPr>
            </w:pPr>
          </w:p>
          <w:p w:rsidR="009038EE" w:rsidRPr="00AE041C" w:rsidRDefault="009038EE" w:rsidP="00B83E48">
            <w:pPr>
              <w:keepNext/>
              <w:widowControl/>
              <w:ind w:left="-108"/>
              <w:rPr>
                <w:rFonts w:ascii="Arial Narrow" w:eastAsia="Calibri" w:hAnsi="Arial Narrow"/>
                <w:snapToGrid/>
                <w:sz w:val="20"/>
                <w:lang w:eastAsia="zh-CN"/>
              </w:rPr>
            </w:pPr>
          </w:p>
          <w:p w:rsidR="009038EE" w:rsidRPr="00AE041C" w:rsidRDefault="009038EE" w:rsidP="00B83E48">
            <w:pPr>
              <w:keepNext/>
              <w:widowControl/>
              <w:ind w:left="-108"/>
              <w:rPr>
                <w:rFonts w:ascii="Arial Narrow" w:eastAsia="Calibri" w:hAnsi="Arial Narrow"/>
                <w:snapToGrid/>
                <w:sz w:val="20"/>
                <w:lang w:eastAsia="zh-CN"/>
              </w:rPr>
            </w:pPr>
          </w:p>
        </w:tc>
        <w:tc>
          <w:tcPr>
            <w:tcW w:w="1269" w:type="pct"/>
          </w:tcPr>
          <w:p w:rsidR="009038EE" w:rsidRPr="00AE041C" w:rsidRDefault="009038EE" w:rsidP="00B83E48">
            <w:pPr>
              <w:keepNext/>
              <w:widowControl/>
              <w:rPr>
                <w:rFonts w:ascii="Arial Narrow" w:eastAsia="Calibri" w:hAnsi="Arial Narrow"/>
                <w:snapToGrid/>
                <w:sz w:val="20"/>
              </w:rPr>
            </w:pPr>
          </w:p>
          <w:p w:rsidR="009038EE" w:rsidRPr="00AE041C" w:rsidRDefault="009038EE" w:rsidP="00B83E48">
            <w:pPr>
              <w:keepNext/>
              <w:widowControl/>
              <w:rPr>
                <w:rFonts w:ascii="Arial Narrow" w:eastAsia="Calibri" w:hAnsi="Arial Narrow"/>
                <w:snapToGrid/>
                <w:sz w:val="20"/>
              </w:rPr>
            </w:pPr>
          </w:p>
          <w:p w:rsidR="009038EE" w:rsidRPr="00AE041C" w:rsidRDefault="009038EE" w:rsidP="00B83E48">
            <w:pPr>
              <w:keepNext/>
              <w:widowControl/>
              <w:rPr>
                <w:rFonts w:ascii="Arial Narrow" w:eastAsia="Calibri" w:hAnsi="Arial Narrow"/>
                <w:snapToGrid/>
                <w:sz w:val="20"/>
                <w:lang w:eastAsia="zh-CN"/>
              </w:rPr>
            </w:pPr>
            <w:proofErr w:type="spellStart"/>
            <w:r w:rsidRPr="00AE041C">
              <w:rPr>
                <w:rFonts w:ascii="Arial Narrow" w:eastAsia="Calibri" w:hAnsi="Arial Narrow"/>
                <w:snapToGrid/>
                <w:sz w:val="20"/>
              </w:rPr>
              <w:t>Eylea</w:t>
            </w:r>
            <w:proofErr w:type="spellEnd"/>
          </w:p>
          <w:p w:rsidR="009038EE" w:rsidRPr="00AE041C" w:rsidRDefault="009038EE" w:rsidP="00B83E48">
            <w:pPr>
              <w:keepNext/>
              <w:widowControl/>
              <w:rPr>
                <w:rFonts w:ascii="Arial Narrow" w:eastAsia="Calibri" w:hAnsi="Arial Narrow"/>
                <w:snapToGrid/>
                <w:sz w:val="20"/>
                <w:lang w:eastAsia="zh-CN"/>
              </w:rPr>
            </w:pPr>
          </w:p>
          <w:p w:rsidR="009038EE" w:rsidRPr="00AE041C" w:rsidRDefault="009038EE" w:rsidP="00B83E48">
            <w:pPr>
              <w:keepNext/>
              <w:widowControl/>
              <w:rPr>
                <w:rFonts w:ascii="Arial Narrow" w:eastAsia="Calibri" w:hAnsi="Arial Narrow"/>
                <w:snapToGrid/>
                <w:sz w:val="20"/>
                <w:lang w:eastAsia="zh-CN"/>
              </w:rPr>
            </w:pPr>
          </w:p>
          <w:p w:rsidR="009038EE" w:rsidRPr="00AE041C" w:rsidRDefault="009038EE" w:rsidP="00B83E48">
            <w:pPr>
              <w:keepNext/>
              <w:widowControl/>
              <w:rPr>
                <w:rFonts w:ascii="Arial Narrow" w:eastAsia="Calibri" w:hAnsi="Arial Narrow"/>
                <w:snapToGrid/>
                <w:sz w:val="20"/>
                <w:lang w:eastAsia="zh-CN"/>
              </w:rPr>
            </w:pPr>
            <w:proofErr w:type="spellStart"/>
            <w:r w:rsidRPr="00AE041C">
              <w:rPr>
                <w:rFonts w:ascii="Arial Narrow" w:eastAsia="Calibri" w:hAnsi="Arial Narrow"/>
                <w:snapToGrid/>
                <w:sz w:val="20"/>
              </w:rPr>
              <w:t>Eylea</w:t>
            </w:r>
            <w:proofErr w:type="spellEnd"/>
          </w:p>
          <w:p w:rsidR="009038EE" w:rsidRPr="00AE041C" w:rsidRDefault="009038EE" w:rsidP="00B83E48">
            <w:pPr>
              <w:keepNext/>
              <w:widowControl/>
              <w:rPr>
                <w:rFonts w:ascii="Arial Narrow" w:eastAsia="Calibri" w:hAnsi="Arial Narrow"/>
                <w:snapToGrid/>
                <w:sz w:val="20"/>
                <w:lang w:eastAsia="zh-CN"/>
              </w:rPr>
            </w:pPr>
          </w:p>
        </w:tc>
        <w:tc>
          <w:tcPr>
            <w:tcW w:w="359" w:type="pct"/>
          </w:tcPr>
          <w:p w:rsidR="009038EE" w:rsidRPr="00AE041C" w:rsidRDefault="009038EE" w:rsidP="00B83E48">
            <w:pPr>
              <w:keepNext/>
              <w:widowControl/>
              <w:rPr>
                <w:rFonts w:ascii="Arial Narrow" w:eastAsia="Calibri" w:hAnsi="Arial Narrow"/>
                <w:snapToGrid/>
                <w:sz w:val="20"/>
              </w:rPr>
            </w:pPr>
          </w:p>
          <w:p w:rsidR="009038EE" w:rsidRPr="00AE041C" w:rsidRDefault="009038EE" w:rsidP="00B83E48">
            <w:pPr>
              <w:keepNext/>
              <w:widowControl/>
              <w:rPr>
                <w:rFonts w:ascii="Arial Narrow" w:eastAsia="Calibri" w:hAnsi="Arial Narrow"/>
                <w:snapToGrid/>
                <w:sz w:val="20"/>
              </w:rPr>
            </w:pPr>
          </w:p>
          <w:p w:rsidR="009038EE" w:rsidRPr="00AE041C" w:rsidRDefault="009038EE" w:rsidP="00B83E48">
            <w:pPr>
              <w:keepNext/>
              <w:widowControl/>
              <w:rPr>
                <w:rFonts w:ascii="Arial Narrow" w:eastAsia="Calibri" w:hAnsi="Arial Narrow"/>
                <w:snapToGrid/>
                <w:sz w:val="20"/>
              </w:rPr>
            </w:pPr>
            <w:r w:rsidRPr="00AE041C">
              <w:rPr>
                <w:rFonts w:ascii="Arial Narrow" w:eastAsia="Calibri" w:hAnsi="Arial Narrow"/>
                <w:snapToGrid/>
                <w:sz w:val="20"/>
              </w:rPr>
              <w:t>BN</w:t>
            </w:r>
          </w:p>
          <w:p w:rsidR="009038EE" w:rsidRPr="00AE041C" w:rsidRDefault="009038EE" w:rsidP="00B83E48">
            <w:pPr>
              <w:keepNext/>
              <w:widowControl/>
              <w:rPr>
                <w:rFonts w:ascii="Arial Narrow" w:eastAsia="Calibri" w:hAnsi="Arial Narrow"/>
                <w:snapToGrid/>
                <w:sz w:val="20"/>
                <w:lang w:eastAsia="zh-CN"/>
              </w:rPr>
            </w:pPr>
          </w:p>
          <w:p w:rsidR="009038EE" w:rsidRPr="00AE041C" w:rsidRDefault="009038EE" w:rsidP="00B83E48">
            <w:pPr>
              <w:keepNext/>
              <w:widowControl/>
              <w:rPr>
                <w:rFonts w:ascii="Arial Narrow" w:eastAsia="Calibri" w:hAnsi="Arial Narrow"/>
                <w:snapToGrid/>
                <w:sz w:val="20"/>
                <w:lang w:eastAsia="zh-CN"/>
              </w:rPr>
            </w:pPr>
          </w:p>
          <w:p w:rsidR="009038EE" w:rsidRPr="00AE041C" w:rsidRDefault="009038EE" w:rsidP="00B83E48">
            <w:pPr>
              <w:keepNext/>
              <w:widowControl/>
              <w:rPr>
                <w:rFonts w:ascii="Arial Narrow" w:eastAsia="Calibri" w:hAnsi="Arial Narrow"/>
                <w:snapToGrid/>
                <w:sz w:val="20"/>
              </w:rPr>
            </w:pPr>
            <w:r w:rsidRPr="00AE041C">
              <w:rPr>
                <w:rFonts w:ascii="Arial Narrow" w:eastAsia="Calibri" w:hAnsi="Arial Narrow"/>
                <w:snapToGrid/>
                <w:sz w:val="20"/>
              </w:rPr>
              <w:t>BN</w:t>
            </w:r>
          </w:p>
        </w:tc>
      </w:tr>
    </w:tbl>
    <w:p w:rsidR="009B11BF" w:rsidRDefault="009B11BF" w:rsidP="009B11BF">
      <w:pPr>
        <w:widowControl/>
        <w:rPr>
          <w:rFonts w:ascii="Arial Narrow" w:hAnsi="Arial Narrow"/>
          <w:b/>
          <w:i/>
          <w:snapToGrid/>
          <w:sz w:val="20"/>
          <w:lang w:eastAsia="en-AU"/>
        </w:rPr>
      </w:pPr>
    </w:p>
    <w:tbl>
      <w:tblPr>
        <w:tblW w:w="8501" w:type="dxa"/>
        <w:tblInd w:w="817" w:type="dxa"/>
        <w:tblLayout w:type="fixed"/>
        <w:tblLook w:val="04A0" w:firstRow="1" w:lastRow="0" w:firstColumn="1" w:lastColumn="0" w:noHBand="0" w:noVBand="1"/>
      </w:tblPr>
      <w:tblGrid>
        <w:gridCol w:w="2410"/>
        <w:gridCol w:w="6091"/>
      </w:tblGrid>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 xml:space="preserve">Category / </w:t>
            </w:r>
          </w:p>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Program</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GENERAL – General Schedule (Code GE)</w:t>
            </w:r>
          </w:p>
          <w:p w:rsidR="009B11BF" w:rsidRPr="00AE041C" w:rsidRDefault="009B11BF" w:rsidP="00B83E48">
            <w:pPr>
              <w:widowControl/>
              <w:jc w:val="left"/>
              <w:rPr>
                <w:rFonts w:ascii="Arial Narrow" w:hAnsi="Arial Narrow" w:cs="Times New Roman"/>
                <w:snapToGrid/>
                <w:sz w:val="20"/>
                <w:lang w:eastAsia="en-AU"/>
              </w:rPr>
            </w:pP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Prescriber type:</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1"/>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 xml:space="preserve">Dental  </w:t>
            </w:r>
            <w:r w:rsidRPr="00AE041C">
              <w:rPr>
                <w:rFonts w:ascii="Arial Narrow" w:hAnsi="Arial Narrow" w:cs="Times New Roman"/>
                <w:snapToGrid/>
                <w:sz w:val="20"/>
                <w:lang w:eastAsia="en-AU"/>
              </w:rPr>
              <w:fldChar w:fldCharType="begin">
                <w:ffData>
                  <w:name w:val=""/>
                  <w:enabled/>
                  <w:calcOnExit w:val="0"/>
                  <w:checkBox>
                    <w:sizeAuto/>
                    <w:default w:val="1"/>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 xml:space="preserve">Medical Practitioners  </w:t>
            </w:r>
            <w:r w:rsidRPr="00AE041C">
              <w:rPr>
                <w:rFonts w:ascii="Arial Narrow" w:hAnsi="Arial Narrow" w:cs="Times New Roman"/>
                <w:snapToGrid/>
                <w:sz w:val="20"/>
                <w:lang w:eastAsia="en-AU"/>
              </w:rPr>
              <w:fldChar w:fldCharType="begin">
                <w:ffData>
                  <w:name w:val="Check3"/>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 xml:space="preserve">Nurse practitioners  </w:t>
            </w:r>
            <w:r w:rsidRPr="00AE041C">
              <w:rPr>
                <w:rFonts w:ascii="Arial Narrow" w:hAnsi="Arial Narrow" w:cs="Times New Roman"/>
                <w:snapToGrid/>
                <w:sz w:val="20"/>
                <w:lang w:eastAsia="en-AU"/>
              </w:rPr>
              <w:fldChar w:fldCharType="begin">
                <w:ffData>
                  <w:name w:val=""/>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Optometrists</w:t>
            </w:r>
          </w:p>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5"/>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Midwives</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proofErr w:type="spellStart"/>
            <w:r w:rsidRPr="00AE041C">
              <w:rPr>
                <w:rFonts w:ascii="Arial Narrow" w:hAnsi="Arial Narrow" w:cs="Times New Roman"/>
                <w:b/>
                <w:snapToGrid/>
                <w:sz w:val="20"/>
                <w:lang w:eastAsia="en-AU"/>
              </w:rPr>
              <w:t>Episodicity</w:t>
            </w:r>
            <w:proofErr w:type="spellEnd"/>
            <w:r w:rsidRPr="00AE041C">
              <w:rPr>
                <w:rFonts w:ascii="Arial Narrow" w:hAnsi="Arial Narrow" w:cs="Times New Roman"/>
                <w:b/>
                <w:snapToGrid/>
                <w:sz w:val="20"/>
                <w:lang w:eastAsia="en-AU"/>
              </w:rPr>
              <w:t>:</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snapToGrid/>
                <w:sz w:val="20"/>
                <w:lang w:eastAsia="en-AU"/>
              </w:rPr>
            </w:pP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Severity:</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snapToGrid/>
                <w:sz w:val="20"/>
                <w:lang w:eastAsia="en-AU"/>
              </w:rPr>
            </w:pP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Condition:</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Diabetic macular oedema</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PBS Indication:</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 xml:space="preserve">Diabetic macular oedema </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Treatment phase:</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Initial treatment</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Restriction Level / Method:</w:t>
            </w:r>
          </w:p>
          <w:p w:rsidR="009B11BF" w:rsidRPr="00AE041C" w:rsidRDefault="009B11BF" w:rsidP="00B83E48">
            <w:pPr>
              <w:widowControl/>
              <w:jc w:val="left"/>
              <w:rPr>
                <w:rFonts w:ascii="Arial Narrow" w:hAnsi="Arial Narrow" w:cs="Times New Roman"/>
                <w:b/>
                <w:snapToGrid/>
                <w:sz w:val="20"/>
                <w:lang w:eastAsia="en-AU"/>
              </w:rPr>
            </w:pP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1"/>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Restricted benefit</w:t>
            </w:r>
          </w:p>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
                  <w:enabled/>
                  <w:calcOnExit w:val="0"/>
                  <w:checkBox>
                    <w:sizeAuto/>
                    <w:default w:val="1"/>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Authority Required - In Writing</w:t>
            </w:r>
          </w:p>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3"/>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Authority Required - Telephone</w:t>
            </w:r>
          </w:p>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Authority Required - Emergency</w:t>
            </w:r>
          </w:p>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5"/>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Authority Required - Electronic</w:t>
            </w:r>
          </w:p>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5"/>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Streamlined</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306715">
            <w:pPr>
              <w:widowControl/>
              <w:jc w:val="left"/>
              <w:rPr>
                <w:rFonts w:ascii="Arial Narrow" w:hAnsi="Arial Narrow" w:cs="Times New Roman"/>
                <w:snapToGrid/>
                <w:sz w:val="20"/>
                <w:lang w:eastAsia="en-AU"/>
              </w:rPr>
            </w:pPr>
            <w:r w:rsidRPr="00AE041C">
              <w:rPr>
                <w:rFonts w:ascii="Arial Narrow" w:hAnsi="Arial Narrow" w:cs="Times New Roman"/>
                <w:b/>
                <w:snapToGrid/>
                <w:sz w:val="20"/>
                <w:lang w:eastAsia="en-AU"/>
              </w:rPr>
              <w:t>Treatment criteria:</w:t>
            </w:r>
          </w:p>
        </w:tc>
        <w:tc>
          <w:tcPr>
            <w:tcW w:w="6091" w:type="dxa"/>
            <w:tcBorders>
              <w:top w:val="single" w:sz="4" w:space="0" w:color="auto"/>
              <w:left w:val="single" w:sz="4" w:space="0" w:color="auto"/>
              <w:bottom w:val="single" w:sz="4" w:space="0" w:color="auto"/>
              <w:right w:val="single" w:sz="4" w:space="0" w:color="auto"/>
            </w:tcBorders>
          </w:tcPr>
          <w:p w:rsidR="009B11BF" w:rsidRPr="000B5B2B"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Must be treated by an ophthalmologist</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lastRenderedPageBreak/>
              <w:t>Clinical criteria:</w:t>
            </w:r>
          </w:p>
          <w:p w:rsidR="009B11BF" w:rsidRPr="00AE041C" w:rsidRDefault="009B11BF" w:rsidP="00B83E48">
            <w:pPr>
              <w:widowControl/>
              <w:jc w:val="left"/>
              <w:rPr>
                <w:rFonts w:ascii="Arial Narrow" w:hAnsi="Arial Narrow" w:cs="Times New Roman"/>
                <w:snapToGrid/>
                <w:sz w:val="20"/>
                <w:lang w:eastAsia="en-AU"/>
              </w:rPr>
            </w:pPr>
          </w:p>
          <w:p w:rsidR="009B11BF" w:rsidRPr="00AE041C" w:rsidRDefault="009B11BF" w:rsidP="00306715">
            <w:pPr>
              <w:widowControl/>
              <w:jc w:val="left"/>
              <w:rPr>
                <w:rFonts w:ascii="Arial Narrow" w:hAnsi="Arial Narrow" w:cs="Times New Roman"/>
                <w:snapToGrid/>
                <w:sz w:val="20"/>
                <w:lang w:eastAsia="en-AU"/>
              </w:rPr>
            </w:pPr>
            <w:r w:rsidRPr="00AE041C">
              <w:rPr>
                <w:rFonts w:ascii="Arial Narrow" w:hAnsi="Arial Narrow" w:cs="Times New Roman"/>
                <w:i/>
                <w:snapToGrid/>
                <w:sz w:val="20"/>
                <w:lang w:eastAsia="en-AU"/>
              </w:rPr>
              <w:t>(to be finalised at a later stage)</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The condition must be due to diabetic macular oedema</w:t>
            </w:r>
          </w:p>
          <w:p w:rsidR="009B11BF" w:rsidRPr="00AE041C" w:rsidRDefault="009B11BF" w:rsidP="00B83E48">
            <w:pPr>
              <w:widowControl/>
              <w:jc w:val="left"/>
              <w:rPr>
                <w:rFonts w:ascii="Arial Narrow" w:hAnsi="Arial Narrow" w:cs="Times New Roman"/>
                <w:snapToGrid/>
                <w:sz w:val="20"/>
                <w:lang w:eastAsia="en-AU"/>
              </w:rPr>
            </w:pPr>
          </w:p>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AND</w:t>
            </w:r>
          </w:p>
          <w:p w:rsidR="009B11BF" w:rsidRPr="00AE041C" w:rsidRDefault="009B11BF" w:rsidP="00B83E48">
            <w:pPr>
              <w:widowControl/>
              <w:jc w:val="left"/>
              <w:rPr>
                <w:rFonts w:ascii="Arial Narrow" w:hAnsi="Arial Narrow" w:cs="Times New Roman"/>
                <w:snapToGrid/>
                <w:sz w:val="20"/>
                <w:lang w:eastAsia="en-AU"/>
              </w:rPr>
            </w:pPr>
          </w:p>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The condition must be diagnosed by fluorescein angiography</w:t>
            </w:r>
          </w:p>
          <w:p w:rsidR="009B11BF" w:rsidRPr="00AE041C" w:rsidRDefault="009B11BF" w:rsidP="00B83E48">
            <w:pPr>
              <w:widowControl/>
              <w:jc w:val="left"/>
              <w:rPr>
                <w:rFonts w:ascii="Arial Narrow" w:hAnsi="Arial Narrow" w:cs="Times New Roman"/>
                <w:snapToGrid/>
                <w:sz w:val="20"/>
                <w:lang w:eastAsia="en-AU"/>
              </w:rPr>
            </w:pP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AND</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Patient must have documented impairment of best corrected visual acuity (BCVA) on the early treatment diabetic retinopathy study (EDTRS) chart</w:t>
            </w:r>
          </w:p>
          <w:p w:rsidR="009B11BF" w:rsidRPr="00AE041C" w:rsidRDefault="009B11BF" w:rsidP="00B83E48">
            <w:pPr>
              <w:widowControl/>
              <w:jc w:val="left"/>
              <w:rPr>
                <w:rFonts w:ascii="Arial Narrow" w:hAnsi="Arial Narrow" w:cs="Times New Roman"/>
                <w:snapToGrid/>
                <w:sz w:val="20"/>
                <w:lang w:eastAsia="en-AU"/>
              </w:rPr>
            </w:pP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AND</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The treatment must be as monotherapy; OR</w:t>
            </w:r>
          </w:p>
          <w:p w:rsidR="009B11BF" w:rsidRPr="000B5B2B"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The treatment must be in combination with laser photocoagulation</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18144D" w:rsidRDefault="009B11BF" w:rsidP="00306715">
            <w:pPr>
              <w:widowControl/>
              <w:jc w:val="left"/>
              <w:rPr>
                <w:rFonts w:ascii="Arial Narrow" w:hAnsi="Arial Narrow" w:cs="Times New Roman"/>
                <w:sz w:val="20"/>
                <w:lang w:eastAsia="en-AU"/>
              </w:rPr>
            </w:pPr>
            <w:r w:rsidRPr="00AE041C">
              <w:rPr>
                <w:rFonts w:ascii="Arial Narrow" w:hAnsi="Arial Narrow" w:cs="Times New Roman"/>
                <w:b/>
                <w:snapToGrid/>
                <w:sz w:val="20"/>
                <w:lang w:eastAsia="en-AU"/>
              </w:rPr>
              <w:t>Definitions</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ind w:left="-108"/>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 xml:space="preserve">Visual impairment is defined as best corrected visual acuity score between 73 and 24 letters based on Early Treatment Diabetic Retinopathy Study (ETDRS)-like VA testing charts administered at a distance of 4 meters (approximate </w:t>
            </w:r>
            <w:proofErr w:type="spellStart"/>
            <w:r w:rsidRPr="00AE041C">
              <w:rPr>
                <w:rFonts w:ascii="Arial Narrow" w:hAnsi="Arial Narrow" w:cs="Times New Roman"/>
                <w:i/>
                <w:snapToGrid/>
                <w:sz w:val="20"/>
                <w:lang w:eastAsia="en-AU"/>
              </w:rPr>
              <w:t>Snellen</w:t>
            </w:r>
            <w:proofErr w:type="spellEnd"/>
            <w:r w:rsidRPr="00AE041C">
              <w:rPr>
                <w:rFonts w:ascii="Arial Narrow" w:hAnsi="Arial Narrow" w:cs="Times New Roman"/>
                <w:i/>
                <w:snapToGrid/>
                <w:sz w:val="20"/>
                <w:lang w:eastAsia="en-AU"/>
              </w:rPr>
              <w:t xml:space="preserve"> equivalent 20/40-20/320). </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Prescriber Instructions</w:t>
            </w:r>
          </w:p>
          <w:p w:rsidR="009B11BF" w:rsidRPr="00AE041C" w:rsidRDefault="009B11BF" w:rsidP="00B83E48">
            <w:pPr>
              <w:widowControl/>
              <w:jc w:val="left"/>
              <w:rPr>
                <w:rFonts w:ascii="Arial Narrow" w:hAnsi="Arial Narrow" w:cs="Times New Roman"/>
                <w:snapToGrid/>
                <w:sz w:val="20"/>
                <w:lang w:eastAsia="en-AU"/>
              </w:rPr>
            </w:pPr>
          </w:p>
          <w:p w:rsidR="009B11BF" w:rsidRPr="00AE041C" w:rsidRDefault="009B11BF" w:rsidP="00306715">
            <w:pPr>
              <w:widowControl/>
              <w:jc w:val="left"/>
              <w:rPr>
                <w:rFonts w:ascii="Arial Narrow" w:hAnsi="Arial Narrow" w:cs="Times New Roman"/>
                <w:snapToGrid/>
                <w:sz w:val="20"/>
                <w:lang w:eastAsia="en-AU"/>
              </w:rPr>
            </w:pPr>
            <w:r w:rsidRPr="00AE041C">
              <w:rPr>
                <w:rFonts w:ascii="Arial Narrow" w:hAnsi="Arial Narrow" w:cs="Times New Roman"/>
                <w:i/>
                <w:snapToGrid/>
                <w:sz w:val="20"/>
                <w:lang w:eastAsia="en-AU"/>
              </w:rPr>
              <w:t>(to be finalised at a later stage)</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Treatment must be monthly injections for up to five months followed by 2 mg doses every eight weeks.</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Authority approval for initial treatment of each eye must be sought.</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 xml:space="preserve">The first authority application for each eye must be made in writing or by telephone. </w:t>
            </w: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 written application must include:</w:t>
            </w: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 a completed authority prescription form;</w:t>
            </w: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b) a completed [insert name of form] - PBS Supporting Information Form; and</w:t>
            </w: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 xml:space="preserve">c) </w:t>
            </w:r>
            <w:proofErr w:type="gramStart"/>
            <w:r w:rsidRPr="00AE041C">
              <w:rPr>
                <w:rFonts w:ascii="Arial Narrow" w:hAnsi="Arial Narrow" w:cs="Times New Roman"/>
                <w:i/>
                <w:snapToGrid/>
                <w:sz w:val="20"/>
                <w:lang w:eastAsia="en-AU"/>
              </w:rPr>
              <w:t>a</w:t>
            </w:r>
            <w:proofErr w:type="gramEnd"/>
            <w:r w:rsidRPr="00AE041C">
              <w:rPr>
                <w:rFonts w:ascii="Arial Narrow" w:hAnsi="Arial Narrow" w:cs="Times New Roman"/>
                <w:i/>
                <w:snapToGrid/>
                <w:sz w:val="20"/>
                <w:lang w:eastAsia="en-AU"/>
              </w:rPr>
              <w:t xml:space="preserve"> copy of the fluorescein angiogram or alternative method of diagnosis where applicable.</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 telephone application must be made following submission by facsimile of a copy of a completed [insert name of form] - PBS Supporting Information Form and a copy of the [appropriate diagnostic report]. The original documentation must be submitted to the Chief Executive Medicare by post after the application has been authorised.</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Where a fluorescein angiogram cannot be performed due to a contraindication as listed in the TGA-approved product information, details of the contraindication must be provided.  A copy of the report of an alternative method of diagnosis must be included in the application, for example optical coherence tomography (OCT) or red free photography.</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306715">
            <w:pPr>
              <w:widowControl/>
              <w:jc w:val="left"/>
              <w:rPr>
                <w:rFonts w:ascii="Arial Narrow" w:hAnsi="Arial Narrow" w:cs="Times New Roman"/>
                <w:i/>
                <w:snapToGrid/>
                <w:sz w:val="20"/>
                <w:lang w:eastAsia="en-AU"/>
              </w:rPr>
            </w:pPr>
            <w:r w:rsidRPr="00AE041C">
              <w:rPr>
                <w:rFonts w:ascii="Arial Narrow" w:hAnsi="Arial Narrow" w:cs="Times New Roman"/>
                <w:b/>
                <w:snapToGrid/>
                <w:sz w:val="20"/>
                <w:lang w:eastAsia="en-AU"/>
              </w:rPr>
              <w:lastRenderedPageBreak/>
              <w:t>Administrative Advice</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Authority approvals will be administered by the Complex Drugs Unit of the Department of Human Services</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 xml:space="preserve">Any queries concerning the arrangements to prescribe may be directed to the Department of Human Services on 1800 700 270 (hours of operation 8 a.m. to 5 p.m. EST Monday to Friday). </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Prescribing information (including Authority Application forms and other relevant documentation as applicable) is available on the Department of Human Services website at www.humanservices.gov.au</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Written applications for authority prescribe should be forwarded to:</w:t>
            </w: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Department of Human Services</w:t>
            </w: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Prior Written Approval of Complex Drugs</w:t>
            </w: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Reply Paid 9826</w:t>
            </w: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GPO Box 9826</w:t>
            </w: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HOBART  TAS  7001</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u w:val="single"/>
                <w:lang w:eastAsia="en-AU"/>
              </w:rPr>
            </w:pPr>
            <w:r w:rsidRPr="00AE041C">
              <w:rPr>
                <w:rFonts w:ascii="Arial Narrow" w:hAnsi="Arial Narrow" w:cs="Times New Roman"/>
                <w:i/>
                <w:snapToGrid/>
                <w:sz w:val="20"/>
                <w:u w:val="single"/>
                <w:lang w:eastAsia="en-AU"/>
              </w:rPr>
              <w:t>Note</w:t>
            </w: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No increase in the maximum quantity or number of units may be authorised</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u w:val="single"/>
                <w:lang w:eastAsia="en-AU"/>
              </w:rPr>
            </w:pPr>
            <w:r w:rsidRPr="00AE041C">
              <w:rPr>
                <w:rFonts w:ascii="Arial Narrow" w:hAnsi="Arial Narrow" w:cs="Times New Roman"/>
                <w:i/>
                <w:snapToGrid/>
                <w:sz w:val="20"/>
                <w:u w:val="single"/>
                <w:lang w:eastAsia="en-AU"/>
              </w:rPr>
              <w:t>Note</w:t>
            </w: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No increase in the maximum number of repeats may be authorised</w:t>
            </w:r>
          </w:p>
          <w:p w:rsidR="009B11BF" w:rsidRPr="00AE041C" w:rsidRDefault="009B11BF" w:rsidP="00B83E48">
            <w:pPr>
              <w:widowControl/>
              <w:jc w:val="left"/>
              <w:rPr>
                <w:rFonts w:ascii="Arial Narrow" w:hAnsi="Arial Narrow" w:cs="Times New Roman"/>
                <w:i/>
                <w:snapToGrid/>
                <w:sz w:val="20"/>
                <w:u w:val="single"/>
                <w:lang w:eastAsia="en-AU"/>
              </w:rPr>
            </w:pPr>
          </w:p>
          <w:p w:rsidR="009B11BF" w:rsidRPr="00AE041C" w:rsidRDefault="009B11BF" w:rsidP="00B83E48">
            <w:pPr>
              <w:widowControl/>
              <w:jc w:val="left"/>
              <w:rPr>
                <w:rFonts w:ascii="Arial Narrow" w:hAnsi="Arial Narrow" w:cs="Times New Roman"/>
                <w:i/>
                <w:snapToGrid/>
                <w:sz w:val="20"/>
                <w:u w:val="single"/>
                <w:lang w:eastAsia="en-AU"/>
              </w:rPr>
            </w:pPr>
            <w:r w:rsidRPr="00AE041C">
              <w:rPr>
                <w:rFonts w:ascii="Arial Narrow" w:hAnsi="Arial Narrow" w:cs="Times New Roman"/>
                <w:i/>
                <w:snapToGrid/>
                <w:sz w:val="20"/>
                <w:u w:val="single"/>
                <w:lang w:eastAsia="en-AU"/>
              </w:rPr>
              <w:t>Note</w:t>
            </w:r>
          </w:p>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i/>
                <w:snapToGrid/>
                <w:sz w:val="20"/>
                <w:lang w:eastAsia="en-AU"/>
              </w:rPr>
              <w:t>Special Pricing Arrangements apply.</w:t>
            </w:r>
          </w:p>
        </w:tc>
      </w:tr>
    </w:tbl>
    <w:p w:rsidR="009B11BF" w:rsidRPr="00AE041C" w:rsidRDefault="009B11BF" w:rsidP="009B11BF">
      <w:pPr>
        <w:widowControl/>
        <w:rPr>
          <w:rFonts w:ascii="Arial Narrow" w:hAnsi="Arial Narrow"/>
          <w:b/>
          <w:i/>
          <w:snapToGrid/>
          <w:sz w:val="20"/>
          <w:lang w:eastAsia="en-AU"/>
        </w:rPr>
      </w:pPr>
    </w:p>
    <w:p w:rsidR="009B11BF" w:rsidRPr="00AE041C" w:rsidRDefault="009B11BF" w:rsidP="009B11BF">
      <w:pPr>
        <w:widowControl/>
        <w:rPr>
          <w:rFonts w:ascii="Arial Narrow" w:hAnsi="Arial Narrow"/>
          <w:b/>
          <w:i/>
          <w:snapToGrid/>
          <w:sz w:val="20"/>
          <w:lang w:eastAsia="en-AU"/>
        </w:rPr>
      </w:pPr>
    </w:p>
    <w:tbl>
      <w:tblPr>
        <w:tblW w:w="4588" w:type="pct"/>
        <w:tblInd w:w="817" w:type="dxa"/>
        <w:tblLayout w:type="fixed"/>
        <w:tblLook w:val="0000" w:firstRow="0" w:lastRow="0" w:firstColumn="0" w:lastColumn="0" w:noHBand="0" w:noVBand="0"/>
      </w:tblPr>
      <w:tblGrid>
        <w:gridCol w:w="3321"/>
        <w:gridCol w:w="1002"/>
        <w:gridCol w:w="1167"/>
        <w:gridCol w:w="1829"/>
        <w:gridCol w:w="1162"/>
      </w:tblGrid>
      <w:tr w:rsidR="009038EE" w:rsidRPr="00AE041C" w:rsidTr="009038EE">
        <w:trPr>
          <w:cantSplit/>
          <w:trHeight w:val="462"/>
        </w:trPr>
        <w:tc>
          <w:tcPr>
            <w:tcW w:w="1958" w:type="pct"/>
            <w:tcBorders>
              <w:bottom w:val="single" w:sz="4" w:space="0" w:color="auto"/>
            </w:tcBorders>
          </w:tcPr>
          <w:p w:rsidR="009038EE" w:rsidRPr="00AE041C" w:rsidRDefault="009038EE" w:rsidP="00B83E48">
            <w:pPr>
              <w:keepNext/>
              <w:widowControl/>
              <w:ind w:left="-108"/>
              <w:rPr>
                <w:rFonts w:ascii="Arial Narrow" w:eastAsia="Calibri" w:hAnsi="Arial Narrow"/>
                <w:snapToGrid/>
                <w:sz w:val="20"/>
              </w:rPr>
            </w:pPr>
            <w:r w:rsidRPr="00AE041C">
              <w:rPr>
                <w:rFonts w:ascii="Arial Narrow" w:eastAsia="Calibri" w:hAnsi="Arial Narrow"/>
                <w:snapToGrid/>
                <w:sz w:val="20"/>
              </w:rPr>
              <w:t>Name, Restriction,</w:t>
            </w:r>
          </w:p>
          <w:p w:rsidR="009038EE" w:rsidRPr="00AE041C" w:rsidRDefault="009038EE" w:rsidP="00B83E48">
            <w:pPr>
              <w:keepNext/>
              <w:widowControl/>
              <w:ind w:left="-108"/>
              <w:rPr>
                <w:rFonts w:ascii="Arial Narrow" w:eastAsia="Calibri" w:hAnsi="Arial Narrow"/>
                <w:snapToGrid/>
                <w:sz w:val="20"/>
              </w:rPr>
            </w:pPr>
            <w:r w:rsidRPr="00AE041C">
              <w:rPr>
                <w:rFonts w:ascii="Arial Narrow" w:eastAsia="Calibri" w:hAnsi="Arial Narrow"/>
                <w:snapToGrid/>
                <w:sz w:val="20"/>
              </w:rPr>
              <w:t xml:space="preserve">Manner of administration </w:t>
            </w:r>
          </w:p>
          <w:p w:rsidR="009038EE" w:rsidRPr="00AE041C" w:rsidRDefault="009038EE" w:rsidP="00B83E48">
            <w:pPr>
              <w:keepNext/>
              <w:widowControl/>
              <w:ind w:left="-108"/>
              <w:rPr>
                <w:rFonts w:ascii="Arial Narrow" w:eastAsia="Calibri" w:hAnsi="Arial Narrow"/>
                <w:snapToGrid/>
                <w:sz w:val="20"/>
              </w:rPr>
            </w:pPr>
            <w:r w:rsidRPr="00AE041C">
              <w:rPr>
                <w:rFonts w:ascii="Arial Narrow" w:eastAsia="Calibri" w:hAnsi="Arial Narrow"/>
                <w:snapToGrid/>
                <w:sz w:val="20"/>
              </w:rPr>
              <w:t>and form</w:t>
            </w:r>
          </w:p>
        </w:tc>
        <w:tc>
          <w:tcPr>
            <w:tcW w:w="591" w:type="pct"/>
            <w:tcBorders>
              <w:bottom w:val="single" w:sz="4" w:space="0" w:color="auto"/>
            </w:tcBorders>
          </w:tcPr>
          <w:p w:rsidR="009038EE" w:rsidRPr="00AE041C" w:rsidRDefault="009038EE" w:rsidP="00B83E48">
            <w:pPr>
              <w:keepNext/>
              <w:widowControl/>
              <w:ind w:left="-108"/>
              <w:rPr>
                <w:rFonts w:ascii="Arial Narrow" w:eastAsia="Calibri" w:hAnsi="Arial Narrow"/>
                <w:snapToGrid/>
                <w:sz w:val="20"/>
              </w:rPr>
            </w:pPr>
            <w:r w:rsidRPr="00AE041C">
              <w:rPr>
                <w:rFonts w:ascii="Arial Narrow" w:eastAsia="Calibri" w:hAnsi="Arial Narrow"/>
                <w:snapToGrid/>
                <w:sz w:val="20"/>
              </w:rPr>
              <w:t>Max.</w:t>
            </w:r>
          </w:p>
          <w:p w:rsidR="009038EE" w:rsidRPr="00AE041C" w:rsidRDefault="009038EE" w:rsidP="00B83E48">
            <w:pPr>
              <w:keepNext/>
              <w:widowControl/>
              <w:ind w:left="-108"/>
              <w:rPr>
                <w:rFonts w:ascii="Arial Narrow" w:eastAsia="Calibri" w:hAnsi="Arial Narrow"/>
                <w:snapToGrid/>
                <w:sz w:val="20"/>
              </w:rPr>
            </w:pPr>
            <w:r w:rsidRPr="00AE041C">
              <w:rPr>
                <w:rFonts w:ascii="Arial Narrow" w:eastAsia="Calibri" w:hAnsi="Arial Narrow"/>
                <w:snapToGrid/>
                <w:sz w:val="20"/>
              </w:rPr>
              <w:t>Qty</w:t>
            </w:r>
          </w:p>
        </w:tc>
        <w:tc>
          <w:tcPr>
            <w:tcW w:w="688" w:type="pct"/>
            <w:tcBorders>
              <w:bottom w:val="single" w:sz="4" w:space="0" w:color="auto"/>
            </w:tcBorders>
          </w:tcPr>
          <w:p w:rsidR="009038EE" w:rsidRPr="00F3531E" w:rsidRDefault="009038EE" w:rsidP="00B83E48">
            <w:pPr>
              <w:keepNext/>
              <w:widowControl/>
              <w:ind w:left="-108"/>
              <w:rPr>
                <w:rFonts w:ascii="Arial Narrow" w:eastAsia="Calibri" w:hAnsi="Arial Narrow"/>
                <w:snapToGrid/>
                <w:sz w:val="20"/>
              </w:rPr>
            </w:pPr>
            <w:r w:rsidRPr="00F3531E">
              <w:rPr>
                <w:rFonts w:ascii="Arial Narrow" w:eastAsia="Calibri" w:hAnsi="Arial Narrow" w:cs="Times New Roman"/>
                <w:snapToGrid/>
                <w:sz w:val="20"/>
              </w:rPr>
              <w:t>№</w:t>
            </w:r>
            <w:r w:rsidRPr="00F3531E">
              <w:rPr>
                <w:rFonts w:ascii="Arial Narrow" w:eastAsia="Calibri" w:hAnsi="Arial Narrow"/>
                <w:snapToGrid/>
                <w:sz w:val="20"/>
              </w:rPr>
              <w:t>.of</w:t>
            </w:r>
          </w:p>
          <w:p w:rsidR="009038EE" w:rsidRPr="00AE041C" w:rsidRDefault="009038EE" w:rsidP="00B83E48">
            <w:pPr>
              <w:keepNext/>
              <w:widowControl/>
              <w:ind w:left="-108"/>
              <w:rPr>
                <w:rFonts w:ascii="Arial Narrow" w:eastAsia="Calibri" w:hAnsi="Arial Narrow"/>
                <w:snapToGrid/>
                <w:sz w:val="20"/>
              </w:rPr>
            </w:pPr>
            <w:r w:rsidRPr="00F3531E">
              <w:rPr>
                <w:rFonts w:ascii="Arial Narrow" w:eastAsia="Calibri" w:hAnsi="Arial Narrow"/>
                <w:snapToGrid/>
                <w:sz w:val="20"/>
              </w:rPr>
              <w:t>Rpts</w:t>
            </w:r>
          </w:p>
        </w:tc>
        <w:tc>
          <w:tcPr>
            <w:tcW w:w="1763" w:type="pct"/>
            <w:gridSpan w:val="2"/>
            <w:tcBorders>
              <w:bottom w:val="single" w:sz="4" w:space="0" w:color="auto"/>
            </w:tcBorders>
          </w:tcPr>
          <w:p w:rsidR="009038EE" w:rsidRPr="00AE041C" w:rsidRDefault="009038EE" w:rsidP="00B83E48">
            <w:pPr>
              <w:keepNext/>
              <w:widowControl/>
              <w:rPr>
                <w:rFonts w:ascii="Arial Narrow" w:eastAsia="Calibri" w:hAnsi="Arial Narrow"/>
                <w:snapToGrid/>
                <w:sz w:val="20"/>
              </w:rPr>
            </w:pPr>
            <w:r w:rsidRPr="00AE041C">
              <w:rPr>
                <w:rFonts w:ascii="Arial Narrow" w:eastAsia="Calibri" w:hAnsi="Arial Narrow"/>
                <w:snapToGrid/>
                <w:sz w:val="20"/>
              </w:rPr>
              <w:t xml:space="preserve">Proprietary Name </w:t>
            </w:r>
          </w:p>
          <w:p w:rsidR="009038EE" w:rsidRPr="00AE041C" w:rsidRDefault="009038EE" w:rsidP="00B83E48">
            <w:pPr>
              <w:keepNext/>
              <w:widowControl/>
              <w:rPr>
                <w:rFonts w:ascii="Arial Narrow" w:eastAsia="Calibri" w:hAnsi="Arial Narrow"/>
                <w:snapToGrid/>
                <w:sz w:val="20"/>
                <w:lang w:val="fr-FR"/>
              </w:rPr>
            </w:pPr>
            <w:r w:rsidRPr="00AE041C">
              <w:rPr>
                <w:rFonts w:ascii="Arial Narrow" w:eastAsia="Calibri" w:hAnsi="Arial Narrow"/>
                <w:snapToGrid/>
                <w:sz w:val="20"/>
              </w:rPr>
              <w:t>and Manufacturer</w:t>
            </w:r>
          </w:p>
        </w:tc>
      </w:tr>
      <w:tr w:rsidR="009038EE" w:rsidRPr="00AE041C" w:rsidTr="009038EE">
        <w:trPr>
          <w:cantSplit/>
          <w:trHeight w:val="566"/>
        </w:trPr>
        <w:tc>
          <w:tcPr>
            <w:tcW w:w="1958" w:type="pct"/>
          </w:tcPr>
          <w:p w:rsidR="009038EE" w:rsidRPr="00AE041C" w:rsidRDefault="009038EE" w:rsidP="00B83E48">
            <w:pPr>
              <w:keepNext/>
              <w:widowControl/>
              <w:ind w:left="-108"/>
              <w:rPr>
                <w:rFonts w:ascii="Arial Narrow" w:eastAsia="Calibri" w:hAnsi="Arial Narrow"/>
                <w:snapToGrid/>
                <w:sz w:val="20"/>
              </w:rPr>
            </w:pPr>
            <w:r w:rsidRPr="00AE041C">
              <w:rPr>
                <w:rFonts w:ascii="Arial Narrow" w:eastAsia="Calibri" w:hAnsi="Arial Narrow"/>
                <w:smallCaps/>
                <w:snapToGrid/>
                <w:sz w:val="20"/>
              </w:rPr>
              <w:t>AFLIBERCEPT</w:t>
            </w:r>
          </w:p>
          <w:p w:rsidR="009038EE" w:rsidRPr="00AE041C" w:rsidRDefault="009038EE" w:rsidP="00B83E48">
            <w:pPr>
              <w:keepNext/>
              <w:widowControl/>
              <w:ind w:left="-108"/>
              <w:rPr>
                <w:rFonts w:ascii="Arial Narrow" w:eastAsia="Calibri" w:hAnsi="Arial Narrow"/>
                <w:snapToGrid/>
                <w:sz w:val="20"/>
              </w:rPr>
            </w:pPr>
          </w:p>
          <w:p w:rsidR="009038EE" w:rsidRDefault="009038EE" w:rsidP="00B83E48">
            <w:pPr>
              <w:keepNext/>
              <w:widowControl/>
              <w:ind w:left="-108"/>
              <w:rPr>
                <w:rFonts w:ascii="Arial Narrow" w:eastAsia="Calibri" w:hAnsi="Arial Narrow"/>
                <w:snapToGrid/>
                <w:sz w:val="20"/>
              </w:rPr>
            </w:pPr>
            <w:r w:rsidRPr="00AE041C">
              <w:rPr>
                <w:rFonts w:ascii="Arial Narrow" w:eastAsia="Calibri" w:hAnsi="Arial Narrow"/>
                <w:snapToGrid/>
                <w:sz w:val="20"/>
              </w:rPr>
              <w:t>aflibercept 4mg/</w:t>
            </w:r>
            <w:r w:rsidRPr="00AE041C">
              <w:rPr>
                <w:rFonts w:ascii="Arial Narrow" w:eastAsia="Calibri" w:hAnsi="Arial Narrow"/>
                <w:snapToGrid/>
                <w:sz w:val="20"/>
                <w:lang w:eastAsia="zh-CN"/>
              </w:rPr>
              <w:t>0.1</w:t>
            </w:r>
            <w:r w:rsidRPr="00AE041C">
              <w:rPr>
                <w:rFonts w:ascii="Arial Narrow" w:eastAsia="Calibri" w:hAnsi="Arial Narrow"/>
                <w:snapToGrid/>
                <w:sz w:val="20"/>
              </w:rPr>
              <w:t xml:space="preserve">mL injection, </w:t>
            </w:r>
          </w:p>
          <w:p w:rsidR="009038EE" w:rsidRPr="00AE041C" w:rsidRDefault="009038EE" w:rsidP="00B83E48">
            <w:pPr>
              <w:keepNext/>
              <w:widowControl/>
              <w:ind w:left="-108"/>
              <w:rPr>
                <w:rFonts w:ascii="Arial Narrow" w:eastAsia="Calibri" w:hAnsi="Arial Narrow"/>
                <w:snapToGrid/>
                <w:sz w:val="20"/>
              </w:rPr>
            </w:pPr>
            <w:r w:rsidRPr="00AE041C">
              <w:rPr>
                <w:rFonts w:ascii="Arial Narrow" w:eastAsia="Calibri" w:hAnsi="Arial Narrow"/>
                <w:snapToGrid/>
                <w:sz w:val="20"/>
              </w:rPr>
              <w:t>1 x</w:t>
            </w:r>
            <w:r w:rsidRPr="00AE041C">
              <w:rPr>
                <w:rFonts w:ascii="Arial Narrow" w:eastAsia="Calibri" w:hAnsi="Arial Narrow"/>
                <w:snapToGrid/>
                <w:sz w:val="20"/>
                <w:lang w:eastAsia="zh-CN"/>
              </w:rPr>
              <w:t xml:space="preserve"> 0.1 mL </w:t>
            </w:r>
            <w:r w:rsidRPr="00AE041C">
              <w:rPr>
                <w:rFonts w:ascii="Arial Narrow" w:eastAsia="Calibri" w:hAnsi="Arial Narrow"/>
                <w:snapToGrid/>
                <w:sz w:val="20"/>
              </w:rPr>
              <w:t>vial</w:t>
            </w:r>
          </w:p>
          <w:p w:rsidR="009038EE" w:rsidRPr="00AE041C" w:rsidRDefault="009038EE" w:rsidP="00B83E48">
            <w:pPr>
              <w:keepNext/>
              <w:widowControl/>
              <w:ind w:left="-108"/>
              <w:rPr>
                <w:rFonts w:ascii="Arial Narrow" w:eastAsia="Calibri" w:hAnsi="Arial Narrow"/>
                <w:snapToGrid/>
                <w:sz w:val="20"/>
                <w:lang w:eastAsia="zh-CN"/>
              </w:rPr>
            </w:pPr>
          </w:p>
          <w:p w:rsidR="009038EE" w:rsidRDefault="009038EE" w:rsidP="00B83E48">
            <w:pPr>
              <w:keepNext/>
              <w:widowControl/>
              <w:ind w:left="-108"/>
              <w:rPr>
                <w:rFonts w:ascii="Arial Narrow" w:eastAsia="Calibri" w:hAnsi="Arial Narrow"/>
                <w:snapToGrid/>
                <w:sz w:val="20"/>
              </w:rPr>
            </w:pPr>
            <w:r w:rsidRPr="00AE041C">
              <w:rPr>
                <w:rFonts w:ascii="Arial Narrow" w:eastAsia="Calibri" w:hAnsi="Arial Narrow"/>
                <w:snapToGrid/>
                <w:sz w:val="20"/>
              </w:rPr>
              <w:t>aflibercept 4mg/</w:t>
            </w:r>
            <w:r w:rsidRPr="00AE041C">
              <w:rPr>
                <w:rFonts w:ascii="Arial Narrow" w:eastAsia="Calibri" w:hAnsi="Arial Narrow"/>
                <w:snapToGrid/>
                <w:sz w:val="20"/>
                <w:lang w:eastAsia="zh-CN"/>
              </w:rPr>
              <w:t>0.1</w:t>
            </w:r>
            <w:r w:rsidRPr="00AE041C">
              <w:rPr>
                <w:rFonts w:ascii="Arial Narrow" w:eastAsia="Calibri" w:hAnsi="Arial Narrow"/>
                <w:snapToGrid/>
                <w:sz w:val="20"/>
              </w:rPr>
              <w:t xml:space="preserve">mL injection, </w:t>
            </w:r>
          </w:p>
          <w:p w:rsidR="009038EE" w:rsidRPr="00AE041C" w:rsidRDefault="009038EE" w:rsidP="00B83E48">
            <w:pPr>
              <w:keepNext/>
              <w:widowControl/>
              <w:ind w:left="-108"/>
              <w:rPr>
                <w:rFonts w:ascii="Arial Narrow" w:eastAsia="Calibri" w:hAnsi="Arial Narrow"/>
                <w:snapToGrid/>
                <w:sz w:val="20"/>
                <w:lang w:eastAsia="zh-CN"/>
              </w:rPr>
            </w:pPr>
            <w:r w:rsidRPr="00AE041C">
              <w:rPr>
                <w:rFonts w:ascii="Arial Narrow" w:eastAsia="Calibri" w:hAnsi="Arial Narrow"/>
                <w:snapToGrid/>
                <w:sz w:val="20"/>
              </w:rPr>
              <w:t>1 x</w:t>
            </w:r>
            <w:r w:rsidRPr="00AE041C">
              <w:rPr>
                <w:rFonts w:ascii="Arial Narrow" w:eastAsia="Calibri" w:hAnsi="Arial Narrow"/>
                <w:snapToGrid/>
                <w:sz w:val="20"/>
                <w:lang w:eastAsia="zh-CN"/>
              </w:rPr>
              <w:t xml:space="preserve"> 0.09 ml pre-filled syringe</w:t>
            </w:r>
          </w:p>
        </w:tc>
        <w:tc>
          <w:tcPr>
            <w:tcW w:w="591" w:type="pct"/>
          </w:tcPr>
          <w:p w:rsidR="009038EE" w:rsidRPr="00AE041C" w:rsidRDefault="009038EE" w:rsidP="00B83E48">
            <w:pPr>
              <w:keepNext/>
              <w:widowControl/>
              <w:ind w:left="-108"/>
              <w:rPr>
                <w:rFonts w:ascii="Arial Narrow" w:eastAsia="Calibri" w:hAnsi="Arial Narrow"/>
                <w:snapToGrid/>
                <w:sz w:val="20"/>
              </w:rPr>
            </w:pPr>
          </w:p>
          <w:p w:rsidR="009038EE" w:rsidRPr="00AE041C" w:rsidRDefault="009038EE" w:rsidP="00B83E48">
            <w:pPr>
              <w:keepNext/>
              <w:widowControl/>
              <w:ind w:left="-108"/>
              <w:rPr>
                <w:rFonts w:ascii="Arial Narrow" w:eastAsia="Calibri" w:hAnsi="Arial Narrow"/>
                <w:snapToGrid/>
                <w:sz w:val="20"/>
              </w:rPr>
            </w:pPr>
          </w:p>
          <w:p w:rsidR="009038EE" w:rsidRPr="00AE041C" w:rsidRDefault="009038EE" w:rsidP="00B83E48">
            <w:pPr>
              <w:keepNext/>
              <w:widowControl/>
              <w:ind w:left="-108"/>
              <w:rPr>
                <w:rFonts w:ascii="Arial Narrow" w:eastAsia="Calibri" w:hAnsi="Arial Narrow"/>
                <w:snapToGrid/>
                <w:sz w:val="20"/>
                <w:lang w:eastAsia="zh-CN"/>
              </w:rPr>
            </w:pPr>
            <w:r w:rsidRPr="00AE041C">
              <w:rPr>
                <w:rFonts w:ascii="Arial Narrow" w:eastAsia="Calibri" w:hAnsi="Arial Narrow"/>
                <w:snapToGrid/>
                <w:sz w:val="20"/>
              </w:rPr>
              <w:t>1</w:t>
            </w:r>
          </w:p>
          <w:p w:rsidR="009038EE" w:rsidRPr="00AE041C" w:rsidRDefault="009038EE" w:rsidP="00B83E48">
            <w:pPr>
              <w:keepNext/>
              <w:widowControl/>
              <w:ind w:left="-108"/>
              <w:rPr>
                <w:rFonts w:ascii="Arial Narrow" w:eastAsia="Calibri" w:hAnsi="Arial Narrow"/>
                <w:snapToGrid/>
                <w:sz w:val="20"/>
                <w:lang w:eastAsia="zh-CN"/>
              </w:rPr>
            </w:pPr>
          </w:p>
          <w:p w:rsidR="009038EE" w:rsidRPr="00AE041C" w:rsidRDefault="009038EE" w:rsidP="00B83E48">
            <w:pPr>
              <w:keepNext/>
              <w:widowControl/>
              <w:ind w:left="-108"/>
              <w:rPr>
                <w:rFonts w:ascii="Arial Narrow" w:eastAsia="Calibri" w:hAnsi="Arial Narrow"/>
                <w:snapToGrid/>
                <w:sz w:val="20"/>
                <w:lang w:eastAsia="zh-CN"/>
              </w:rPr>
            </w:pPr>
          </w:p>
          <w:p w:rsidR="009038EE" w:rsidRPr="00AE041C" w:rsidRDefault="009038EE" w:rsidP="00B83E48">
            <w:pPr>
              <w:keepNext/>
              <w:widowControl/>
              <w:ind w:left="-108"/>
              <w:rPr>
                <w:rFonts w:ascii="Arial Narrow" w:eastAsia="Calibri" w:hAnsi="Arial Narrow"/>
                <w:snapToGrid/>
                <w:sz w:val="20"/>
                <w:lang w:eastAsia="zh-CN"/>
              </w:rPr>
            </w:pPr>
            <w:r w:rsidRPr="00AE041C">
              <w:rPr>
                <w:rFonts w:ascii="Arial Narrow" w:eastAsia="Calibri" w:hAnsi="Arial Narrow"/>
                <w:snapToGrid/>
                <w:sz w:val="20"/>
                <w:lang w:eastAsia="zh-CN"/>
              </w:rPr>
              <w:t>1</w:t>
            </w:r>
          </w:p>
        </w:tc>
        <w:tc>
          <w:tcPr>
            <w:tcW w:w="688" w:type="pct"/>
          </w:tcPr>
          <w:p w:rsidR="009038EE" w:rsidRPr="00AE041C" w:rsidRDefault="009038EE" w:rsidP="00B83E48">
            <w:pPr>
              <w:keepNext/>
              <w:widowControl/>
              <w:rPr>
                <w:rFonts w:ascii="Arial Narrow" w:eastAsia="Calibri" w:hAnsi="Arial Narrow"/>
                <w:snapToGrid/>
                <w:sz w:val="20"/>
              </w:rPr>
            </w:pPr>
          </w:p>
          <w:p w:rsidR="009038EE" w:rsidRPr="00AE041C" w:rsidRDefault="009038EE" w:rsidP="00B83E48">
            <w:pPr>
              <w:keepNext/>
              <w:widowControl/>
              <w:rPr>
                <w:rFonts w:ascii="Arial Narrow" w:eastAsia="Calibri" w:hAnsi="Arial Narrow"/>
                <w:snapToGrid/>
                <w:sz w:val="20"/>
              </w:rPr>
            </w:pPr>
          </w:p>
          <w:p w:rsidR="009038EE" w:rsidRPr="00AE041C" w:rsidRDefault="009038EE" w:rsidP="00B83E48">
            <w:pPr>
              <w:keepNext/>
              <w:widowControl/>
              <w:rPr>
                <w:rFonts w:ascii="Arial Narrow" w:eastAsia="Calibri" w:hAnsi="Arial Narrow"/>
                <w:snapToGrid/>
                <w:sz w:val="20"/>
                <w:lang w:eastAsia="zh-CN"/>
              </w:rPr>
            </w:pPr>
          </w:p>
          <w:p w:rsidR="009038EE" w:rsidRPr="00AE041C" w:rsidRDefault="009038EE" w:rsidP="00B83E48">
            <w:pPr>
              <w:keepNext/>
              <w:widowControl/>
              <w:ind w:left="-108"/>
              <w:rPr>
                <w:rFonts w:ascii="Arial Narrow" w:eastAsia="Calibri" w:hAnsi="Arial Narrow"/>
                <w:strike/>
                <w:snapToGrid/>
                <w:sz w:val="20"/>
                <w:lang w:eastAsia="zh-CN"/>
              </w:rPr>
            </w:pPr>
          </w:p>
          <w:p w:rsidR="009038EE" w:rsidRPr="00AE041C" w:rsidRDefault="009038EE" w:rsidP="00B83E48">
            <w:pPr>
              <w:keepNext/>
              <w:widowControl/>
              <w:ind w:left="-108"/>
              <w:rPr>
                <w:rFonts w:ascii="Arial Narrow" w:eastAsia="Calibri" w:hAnsi="Arial Narrow"/>
                <w:snapToGrid/>
                <w:sz w:val="20"/>
                <w:lang w:eastAsia="zh-CN"/>
              </w:rPr>
            </w:pPr>
          </w:p>
        </w:tc>
        <w:tc>
          <w:tcPr>
            <w:tcW w:w="1078" w:type="pct"/>
          </w:tcPr>
          <w:p w:rsidR="009038EE" w:rsidRPr="00AE041C" w:rsidRDefault="009038EE" w:rsidP="00B83E48">
            <w:pPr>
              <w:keepNext/>
              <w:widowControl/>
              <w:rPr>
                <w:rFonts w:ascii="Arial Narrow" w:eastAsia="Calibri" w:hAnsi="Arial Narrow"/>
                <w:snapToGrid/>
                <w:sz w:val="20"/>
              </w:rPr>
            </w:pPr>
          </w:p>
          <w:p w:rsidR="009038EE" w:rsidRPr="00AE041C" w:rsidRDefault="009038EE" w:rsidP="00B83E48">
            <w:pPr>
              <w:keepNext/>
              <w:widowControl/>
              <w:rPr>
                <w:rFonts w:ascii="Arial Narrow" w:eastAsia="Calibri" w:hAnsi="Arial Narrow"/>
                <w:snapToGrid/>
                <w:sz w:val="20"/>
              </w:rPr>
            </w:pPr>
          </w:p>
          <w:p w:rsidR="009038EE" w:rsidRPr="00AE041C" w:rsidRDefault="009038EE" w:rsidP="00B83E48">
            <w:pPr>
              <w:keepNext/>
              <w:widowControl/>
              <w:rPr>
                <w:rFonts w:ascii="Arial Narrow" w:eastAsia="Calibri" w:hAnsi="Arial Narrow"/>
                <w:snapToGrid/>
                <w:sz w:val="20"/>
                <w:lang w:eastAsia="zh-CN"/>
              </w:rPr>
            </w:pPr>
            <w:proofErr w:type="spellStart"/>
            <w:r w:rsidRPr="00AE041C">
              <w:rPr>
                <w:rFonts w:ascii="Arial Narrow" w:eastAsia="Calibri" w:hAnsi="Arial Narrow"/>
                <w:snapToGrid/>
                <w:sz w:val="20"/>
              </w:rPr>
              <w:t>Eylea</w:t>
            </w:r>
            <w:proofErr w:type="spellEnd"/>
          </w:p>
          <w:p w:rsidR="009038EE" w:rsidRPr="00AE041C" w:rsidRDefault="009038EE" w:rsidP="00B83E48">
            <w:pPr>
              <w:keepNext/>
              <w:widowControl/>
              <w:rPr>
                <w:rFonts w:ascii="Arial Narrow" w:eastAsia="Calibri" w:hAnsi="Arial Narrow"/>
                <w:snapToGrid/>
                <w:sz w:val="20"/>
                <w:lang w:eastAsia="zh-CN"/>
              </w:rPr>
            </w:pPr>
          </w:p>
          <w:p w:rsidR="009038EE" w:rsidRPr="00AE041C" w:rsidRDefault="009038EE" w:rsidP="00B83E48">
            <w:pPr>
              <w:keepNext/>
              <w:widowControl/>
              <w:rPr>
                <w:rFonts w:ascii="Arial Narrow" w:eastAsia="Calibri" w:hAnsi="Arial Narrow"/>
                <w:snapToGrid/>
                <w:sz w:val="20"/>
                <w:lang w:eastAsia="zh-CN"/>
              </w:rPr>
            </w:pPr>
          </w:p>
          <w:p w:rsidR="009038EE" w:rsidRPr="00AE041C" w:rsidRDefault="009038EE" w:rsidP="00B83E48">
            <w:pPr>
              <w:keepNext/>
              <w:widowControl/>
              <w:rPr>
                <w:rFonts w:ascii="Arial Narrow" w:eastAsia="Calibri" w:hAnsi="Arial Narrow"/>
                <w:snapToGrid/>
                <w:sz w:val="20"/>
                <w:lang w:eastAsia="zh-CN"/>
              </w:rPr>
            </w:pPr>
            <w:proofErr w:type="spellStart"/>
            <w:r w:rsidRPr="00AE041C">
              <w:rPr>
                <w:rFonts w:ascii="Arial Narrow" w:eastAsia="Calibri" w:hAnsi="Arial Narrow"/>
                <w:snapToGrid/>
                <w:sz w:val="20"/>
              </w:rPr>
              <w:t>Eylea</w:t>
            </w:r>
            <w:proofErr w:type="spellEnd"/>
          </w:p>
          <w:p w:rsidR="009038EE" w:rsidRPr="00AE041C" w:rsidRDefault="009038EE" w:rsidP="00B83E48">
            <w:pPr>
              <w:keepNext/>
              <w:widowControl/>
              <w:rPr>
                <w:rFonts w:ascii="Arial Narrow" w:eastAsia="Calibri" w:hAnsi="Arial Narrow"/>
                <w:snapToGrid/>
                <w:sz w:val="20"/>
                <w:lang w:eastAsia="zh-CN"/>
              </w:rPr>
            </w:pPr>
          </w:p>
        </w:tc>
        <w:tc>
          <w:tcPr>
            <w:tcW w:w="685" w:type="pct"/>
          </w:tcPr>
          <w:p w:rsidR="009038EE" w:rsidRPr="00AE041C" w:rsidRDefault="009038EE" w:rsidP="00B83E48">
            <w:pPr>
              <w:keepNext/>
              <w:widowControl/>
              <w:rPr>
                <w:rFonts w:ascii="Arial Narrow" w:eastAsia="Calibri" w:hAnsi="Arial Narrow"/>
                <w:snapToGrid/>
                <w:sz w:val="20"/>
              </w:rPr>
            </w:pPr>
          </w:p>
          <w:p w:rsidR="009038EE" w:rsidRPr="00AE041C" w:rsidRDefault="009038EE" w:rsidP="00B83E48">
            <w:pPr>
              <w:keepNext/>
              <w:widowControl/>
              <w:rPr>
                <w:rFonts w:ascii="Arial Narrow" w:eastAsia="Calibri" w:hAnsi="Arial Narrow"/>
                <w:snapToGrid/>
                <w:sz w:val="20"/>
              </w:rPr>
            </w:pPr>
          </w:p>
          <w:p w:rsidR="009038EE" w:rsidRPr="00AE041C" w:rsidRDefault="009038EE" w:rsidP="00B83E48">
            <w:pPr>
              <w:keepNext/>
              <w:widowControl/>
              <w:rPr>
                <w:rFonts w:ascii="Arial Narrow" w:eastAsia="Calibri" w:hAnsi="Arial Narrow"/>
                <w:snapToGrid/>
                <w:sz w:val="20"/>
              </w:rPr>
            </w:pPr>
            <w:r w:rsidRPr="00AE041C">
              <w:rPr>
                <w:rFonts w:ascii="Arial Narrow" w:eastAsia="Calibri" w:hAnsi="Arial Narrow"/>
                <w:snapToGrid/>
                <w:sz w:val="20"/>
              </w:rPr>
              <w:t>BN</w:t>
            </w:r>
          </w:p>
          <w:p w:rsidR="009038EE" w:rsidRPr="00AE041C" w:rsidRDefault="009038EE" w:rsidP="00B83E48">
            <w:pPr>
              <w:keepNext/>
              <w:widowControl/>
              <w:rPr>
                <w:rFonts w:ascii="Arial Narrow" w:eastAsia="Calibri" w:hAnsi="Arial Narrow"/>
                <w:snapToGrid/>
                <w:sz w:val="20"/>
                <w:lang w:eastAsia="zh-CN"/>
              </w:rPr>
            </w:pPr>
          </w:p>
          <w:p w:rsidR="009038EE" w:rsidRPr="00AE041C" w:rsidRDefault="009038EE" w:rsidP="00B83E48">
            <w:pPr>
              <w:keepNext/>
              <w:widowControl/>
              <w:rPr>
                <w:rFonts w:ascii="Arial Narrow" w:eastAsia="Calibri" w:hAnsi="Arial Narrow"/>
                <w:snapToGrid/>
                <w:sz w:val="20"/>
                <w:lang w:eastAsia="zh-CN"/>
              </w:rPr>
            </w:pPr>
          </w:p>
          <w:p w:rsidR="009038EE" w:rsidRPr="00AE041C" w:rsidRDefault="009038EE" w:rsidP="00B83E48">
            <w:pPr>
              <w:keepNext/>
              <w:widowControl/>
              <w:rPr>
                <w:rFonts w:ascii="Arial Narrow" w:eastAsia="Calibri" w:hAnsi="Arial Narrow"/>
                <w:snapToGrid/>
                <w:sz w:val="20"/>
              </w:rPr>
            </w:pPr>
            <w:r w:rsidRPr="00AE041C">
              <w:rPr>
                <w:rFonts w:ascii="Arial Narrow" w:eastAsia="Calibri" w:hAnsi="Arial Narrow"/>
                <w:snapToGrid/>
                <w:sz w:val="20"/>
              </w:rPr>
              <w:t>BN</w:t>
            </w:r>
          </w:p>
        </w:tc>
      </w:tr>
    </w:tbl>
    <w:p w:rsidR="009B11BF" w:rsidRPr="00AE041C" w:rsidRDefault="009B11BF" w:rsidP="009B11BF">
      <w:pPr>
        <w:widowControl/>
        <w:jc w:val="left"/>
        <w:rPr>
          <w:rFonts w:ascii="Arial Narrow" w:hAnsi="Arial Narrow" w:cs="Times New Roman"/>
          <w:snapToGrid/>
          <w:sz w:val="20"/>
          <w:lang w:eastAsia="en-AU"/>
        </w:rPr>
      </w:pPr>
    </w:p>
    <w:tbl>
      <w:tblPr>
        <w:tblW w:w="8501" w:type="dxa"/>
        <w:tblInd w:w="817" w:type="dxa"/>
        <w:tblLayout w:type="fixed"/>
        <w:tblLook w:val="04A0" w:firstRow="1" w:lastRow="0" w:firstColumn="1" w:lastColumn="0" w:noHBand="0" w:noVBand="1"/>
      </w:tblPr>
      <w:tblGrid>
        <w:gridCol w:w="2410"/>
        <w:gridCol w:w="6091"/>
      </w:tblGrid>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 xml:space="preserve">Category / </w:t>
            </w:r>
          </w:p>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Program</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GENERAL – General Schedule (Code GE)</w:t>
            </w:r>
          </w:p>
          <w:p w:rsidR="009B11BF" w:rsidRPr="00AE041C" w:rsidRDefault="009B11BF" w:rsidP="00B83E48">
            <w:pPr>
              <w:widowControl/>
              <w:jc w:val="left"/>
              <w:rPr>
                <w:rFonts w:ascii="Arial Narrow" w:hAnsi="Arial Narrow" w:cs="Times New Roman"/>
                <w:snapToGrid/>
                <w:sz w:val="20"/>
                <w:lang w:eastAsia="en-AU"/>
              </w:rPr>
            </w:pP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Prescriber type:</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1"/>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 xml:space="preserve">Dental  </w:t>
            </w:r>
            <w:r w:rsidRPr="00AE041C">
              <w:rPr>
                <w:rFonts w:ascii="Arial Narrow" w:hAnsi="Arial Narrow" w:cs="Times New Roman"/>
                <w:snapToGrid/>
                <w:sz w:val="20"/>
                <w:lang w:eastAsia="en-AU"/>
              </w:rPr>
              <w:fldChar w:fldCharType="begin">
                <w:ffData>
                  <w:name w:val=""/>
                  <w:enabled/>
                  <w:calcOnExit w:val="0"/>
                  <w:checkBox>
                    <w:sizeAuto/>
                    <w:default w:val="1"/>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 xml:space="preserve">Medical Practitioners  </w:t>
            </w:r>
            <w:r w:rsidRPr="00AE041C">
              <w:rPr>
                <w:rFonts w:ascii="Arial Narrow" w:hAnsi="Arial Narrow" w:cs="Times New Roman"/>
                <w:snapToGrid/>
                <w:sz w:val="20"/>
                <w:lang w:eastAsia="en-AU"/>
              </w:rPr>
              <w:fldChar w:fldCharType="begin">
                <w:ffData>
                  <w:name w:val="Check3"/>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 xml:space="preserve">Nurse practitioners  </w:t>
            </w:r>
            <w:r w:rsidRPr="00AE041C">
              <w:rPr>
                <w:rFonts w:ascii="Arial Narrow" w:hAnsi="Arial Narrow" w:cs="Times New Roman"/>
                <w:snapToGrid/>
                <w:sz w:val="20"/>
                <w:lang w:eastAsia="en-AU"/>
              </w:rPr>
              <w:fldChar w:fldCharType="begin">
                <w:ffData>
                  <w:name w:val=""/>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Optometrists</w:t>
            </w:r>
          </w:p>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5"/>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Midwives</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proofErr w:type="spellStart"/>
            <w:r w:rsidRPr="00AE041C">
              <w:rPr>
                <w:rFonts w:ascii="Arial Narrow" w:hAnsi="Arial Narrow" w:cs="Times New Roman"/>
                <w:b/>
                <w:snapToGrid/>
                <w:sz w:val="20"/>
                <w:lang w:eastAsia="en-AU"/>
              </w:rPr>
              <w:t>Episodicity</w:t>
            </w:r>
            <w:proofErr w:type="spellEnd"/>
            <w:r w:rsidRPr="00AE041C">
              <w:rPr>
                <w:rFonts w:ascii="Arial Narrow" w:hAnsi="Arial Narrow" w:cs="Times New Roman"/>
                <w:b/>
                <w:snapToGrid/>
                <w:sz w:val="20"/>
                <w:lang w:eastAsia="en-AU"/>
              </w:rPr>
              <w:t>:</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snapToGrid/>
                <w:sz w:val="20"/>
                <w:lang w:eastAsia="en-AU"/>
              </w:rPr>
            </w:pP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Severity:</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snapToGrid/>
                <w:sz w:val="20"/>
                <w:lang w:eastAsia="en-AU"/>
              </w:rPr>
            </w:pP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Condition:</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Diabetic macular oedema</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PBS Indication:</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Diabetic macular oedema</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Treatment phase:</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Continuing treatment</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lastRenderedPageBreak/>
              <w:t>Restriction Level / Method:</w:t>
            </w:r>
          </w:p>
          <w:p w:rsidR="009B11BF" w:rsidRPr="00AE041C" w:rsidRDefault="009B11BF" w:rsidP="00B83E48">
            <w:pPr>
              <w:widowControl/>
              <w:jc w:val="left"/>
              <w:rPr>
                <w:rFonts w:ascii="Arial Narrow" w:hAnsi="Arial Narrow" w:cs="Times New Roman"/>
                <w:b/>
                <w:snapToGrid/>
                <w:sz w:val="20"/>
                <w:lang w:eastAsia="en-AU"/>
              </w:rPr>
            </w:pP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1"/>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Restricted benefit</w:t>
            </w:r>
          </w:p>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Authority Required - In Writing</w:t>
            </w:r>
          </w:p>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3"/>
                  <w:enabled/>
                  <w:calcOnExit w:val="0"/>
                  <w:checkBox>
                    <w:sizeAuto/>
                    <w:default w:val="1"/>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Authority Required - Telephone</w:t>
            </w:r>
          </w:p>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Authority Required – Emergency</w:t>
            </w:r>
          </w:p>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5"/>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Authority Required - Electronic</w:t>
            </w:r>
          </w:p>
          <w:p w:rsidR="009B11BF" w:rsidRPr="00AE041C" w:rsidRDefault="00C4195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fldChar w:fldCharType="begin">
                <w:ffData>
                  <w:name w:val="Check5"/>
                  <w:enabled/>
                  <w:calcOnExit w:val="0"/>
                  <w:checkBox>
                    <w:sizeAuto/>
                    <w:default w:val="0"/>
                  </w:checkBox>
                </w:ffData>
              </w:fldChar>
            </w:r>
            <w:r w:rsidR="009B11BF" w:rsidRPr="00AE041C">
              <w:rPr>
                <w:rFonts w:ascii="Arial Narrow" w:hAnsi="Arial Narrow" w:cs="Times New Roman"/>
                <w:snapToGrid/>
                <w:sz w:val="20"/>
                <w:lang w:eastAsia="en-AU"/>
              </w:rPr>
              <w:instrText xml:space="preserve"> FORMCHECKBOX </w:instrText>
            </w:r>
            <w:r w:rsidR="009022EE">
              <w:rPr>
                <w:rFonts w:ascii="Arial Narrow" w:hAnsi="Arial Narrow" w:cs="Times New Roman"/>
                <w:snapToGrid/>
                <w:sz w:val="20"/>
                <w:lang w:eastAsia="en-AU"/>
              </w:rPr>
            </w:r>
            <w:r w:rsidR="009022EE">
              <w:rPr>
                <w:rFonts w:ascii="Arial Narrow" w:hAnsi="Arial Narrow" w:cs="Times New Roman"/>
                <w:snapToGrid/>
                <w:sz w:val="20"/>
                <w:lang w:eastAsia="en-AU"/>
              </w:rPr>
              <w:fldChar w:fldCharType="separate"/>
            </w:r>
            <w:r w:rsidRPr="00AE041C">
              <w:rPr>
                <w:rFonts w:ascii="Arial Narrow" w:hAnsi="Arial Narrow" w:cs="Times New Roman"/>
                <w:snapToGrid/>
                <w:sz w:val="20"/>
                <w:lang w:eastAsia="en-AU"/>
              </w:rPr>
              <w:fldChar w:fldCharType="end"/>
            </w:r>
            <w:r w:rsidR="009B11BF" w:rsidRPr="00AE041C">
              <w:rPr>
                <w:rFonts w:ascii="Arial Narrow" w:hAnsi="Arial Narrow" w:cs="Times New Roman"/>
                <w:snapToGrid/>
                <w:sz w:val="20"/>
                <w:lang w:eastAsia="en-AU"/>
              </w:rPr>
              <w:t>Streamlined</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306715">
            <w:pPr>
              <w:widowControl/>
              <w:jc w:val="left"/>
              <w:rPr>
                <w:rFonts w:ascii="Arial Narrow" w:hAnsi="Arial Narrow" w:cs="Times New Roman"/>
                <w:snapToGrid/>
                <w:sz w:val="20"/>
                <w:lang w:eastAsia="en-AU"/>
              </w:rPr>
            </w:pPr>
            <w:r w:rsidRPr="00AE041C">
              <w:rPr>
                <w:rFonts w:ascii="Arial Narrow" w:hAnsi="Arial Narrow" w:cs="Times New Roman"/>
                <w:b/>
                <w:snapToGrid/>
                <w:sz w:val="20"/>
                <w:lang w:eastAsia="en-AU"/>
              </w:rPr>
              <w:t>Treatment criteria:</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Must be treated by an ophthalmologist</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Clinical criteria:</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(to be finalised at a later stage)</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The condition must be due to diabetic macular oedema</w:t>
            </w:r>
          </w:p>
          <w:p w:rsidR="009B11BF" w:rsidRPr="00AE041C" w:rsidRDefault="009B11BF" w:rsidP="00B83E48">
            <w:pPr>
              <w:widowControl/>
              <w:jc w:val="left"/>
              <w:rPr>
                <w:rFonts w:ascii="Arial Narrow" w:hAnsi="Arial Narrow" w:cs="Times New Roman"/>
                <w:snapToGrid/>
                <w:sz w:val="20"/>
                <w:lang w:eastAsia="en-AU"/>
              </w:rPr>
            </w:pPr>
          </w:p>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AND</w:t>
            </w:r>
          </w:p>
          <w:p w:rsidR="009B11BF" w:rsidRPr="00AE041C" w:rsidRDefault="009B11BF" w:rsidP="00B83E48">
            <w:pPr>
              <w:widowControl/>
              <w:jc w:val="left"/>
              <w:rPr>
                <w:rFonts w:ascii="Arial Narrow" w:hAnsi="Arial Narrow" w:cs="Times New Roman"/>
                <w:snapToGrid/>
                <w:sz w:val="20"/>
                <w:lang w:eastAsia="en-AU"/>
              </w:rPr>
            </w:pPr>
          </w:p>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 xml:space="preserve">The treatment must be as monotherapy; </w:t>
            </w:r>
            <w:r w:rsidRPr="00AE041C">
              <w:rPr>
                <w:rFonts w:ascii="Arial Narrow" w:hAnsi="Arial Narrow" w:cs="Times New Roman"/>
                <w:i/>
                <w:snapToGrid/>
                <w:sz w:val="20"/>
                <w:lang w:eastAsia="en-AU"/>
              </w:rPr>
              <w:t>OR</w:t>
            </w: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The treatment must be in combination with laser photocoagulation</w:t>
            </w:r>
          </w:p>
          <w:p w:rsidR="009B11BF" w:rsidRPr="00AE041C" w:rsidRDefault="009B11BF" w:rsidP="00B83E48">
            <w:pPr>
              <w:widowControl/>
              <w:jc w:val="left"/>
              <w:rPr>
                <w:rFonts w:ascii="Arial Narrow" w:hAnsi="Arial Narrow" w:cs="Times New Roman"/>
                <w:snapToGrid/>
                <w:sz w:val="20"/>
                <w:lang w:eastAsia="en-AU"/>
              </w:rPr>
            </w:pPr>
          </w:p>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AND</w:t>
            </w:r>
          </w:p>
          <w:p w:rsidR="009B11BF" w:rsidRPr="00AE041C" w:rsidRDefault="009B11BF" w:rsidP="00B83E48">
            <w:pPr>
              <w:widowControl/>
              <w:jc w:val="left"/>
              <w:rPr>
                <w:rFonts w:ascii="Arial Narrow" w:hAnsi="Arial Narrow" w:cs="Times New Roman"/>
                <w:snapToGrid/>
                <w:sz w:val="20"/>
                <w:lang w:eastAsia="en-AU"/>
              </w:rPr>
            </w:pPr>
          </w:p>
          <w:p w:rsidR="009B11BF" w:rsidRPr="000B5B2B"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Patient must have previously been granted an authority prescription for the same eye</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Prescriber instructions</w:t>
            </w:r>
          </w:p>
          <w:p w:rsidR="009B11BF" w:rsidRPr="00AE041C" w:rsidRDefault="009B11BF" w:rsidP="00B83E48">
            <w:pPr>
              <w:widowControl/>
              <w:jc w:val="left"/>
              <w:rPr>
                <w:rFonts w:ascii="Arial Narrow" w:hAnsi="Arial Narrow" w:cs="Times New Roman"/>
                <w:b/>
                <w:snapToGrid/>
                <w:sz w:val="20"/>
                <w:lang w:eastAsia="en-AU"/>
              </w:rPr>
            </w:pPr>
          </w:p>
          <w:p w:rsidR="009B11BF" w:rsidRPr="00AE041C" w:rsidRDefault="009B11BF" w:rsidP="00306715">
            <w:pPr>
              <w:widowControl/>
              <w:jc w:val="left"/>
              <w:rPr>
                <w:rFonts w:ascii="Arial Narrow" w:hAnsi="Arial Narrow" w:cs="Times New Roman"/>
                <w:b/>
                <w:snapToGrid/>
                <w:sz w:val="20"/>
                <w:lang w:eastAsia="en-AU"/>
              </w:rPr>
            </w:pPr>
            <w:r w:rsidRPr="00AE041C">
              <w:rPr>
                <w:rFonts w:ascii="Arial Narrow" w:hAnsi="Arial Narrow" w:cs="Times New Roman"/>
                <w:i/>
                <w:snapToGrid/>
                <w:sz w:val="20"/>
                <w:lang w:eastAsia="en-AU"/>
              </w:rPr>
              <w:t>(to be finalised at a later stage)</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Treatment should be administered every eight weeks and continued until maximum visual acuity is achieved, confirmed by stable visual acuity. Treatment must be ceased when stable visual acuity is achieved.</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[Stable visual acuity definition]</w:t>
            </w:r>
          </w:p>
          <w:p w:rsidR="009B11BF" w:rsidRPr="00AE041C" w:rsidRDefault="009B11BF" w:rsidP="00B83E48">
            <w:pPr>
              <w:widowControl/>
              <w:jc w:val="left"/>
              <w:rPr>
                <w:rFonts w:ascii="Arial Narrow" w:hAnsi="Arial Narrow" w:cs="Times New Roman"/>
                <w:snapToGrid/>
                <w:sz w:val="20"/>
                <w:lang w:eastAsia="en-AU"/>
              </w:rPr>
            </w:pPr>
          </w:p>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 xml:space="preserve">Patient should be monitored </w:t>
            </w:r>
            <w:r w:rsidRPr="00AE041C">
              <w:rPr>
                <w:rFonts w:ascii="Arial Narrow" w:hAnsi="Arial Narrow" w:cs="Times New Roman"/>
                <w:i/>
                <w:snapToGrid/>
                <w:sz w:val="20"/>
                <w:lang w:eastAsia="en-AU"/>
              </w:rPr>
              <w:t xml:space="preserve">every eight weeks </w:t>
            </w:r>
            <w:r w:rsidRPr="00AE041C">
              <w:rPr>
                <w:rFonts w:ascii="Arial Narrow" w:hAnsi="Arial Narrow" w:cs="Times New Roman"/>
                <w:snapToGrid/>
                <w:sz w:val="20"/>
                <w:lang w:eastAsia="en-AU"/>
              </w:rPr>
              <w:t>for visual acuity following achievement of stable visual acuity.</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 xml:space="preserve">Treatment is resumed with injections every eight weeks when </w:t>
            </w:r>
            <w:r w:rsidRPr="00AE041C">
              <w:rPr>
                <w:rFonts w:ascii="Arial Narrow" w:hAnsi="Arial Narrow" w:cs="Times New Roman"/>
                <w:i/>
                <w:snapToGrid/>
                <w:sz w:val="20"/>
                <w:lang w:eastAsia="en-AU"/>
              </w:rPr>
              <w:t xml:space="preserve">monitoring indicates vision deterioration </w:t>
            </w:r>
            <w:r w:rsidRPr="00AE041C">
              <w:rPr>
                <w:rFonts w:ascii="Arial Narrow" w:hAnsi="Arial Narrow" w:cs="Times New Roman"/>
                <w:snapToGrid/>
                <w:sz w:val="20"/>
                <w:lang w:eastAsia="en-AU"/>
              </w:rPr>
              <w:t xml:space="preserve">due to DME and continued until stable visual acuity is reached again for </w:t>
            </w:r>
            <w:r w:rsidRPr="00AE041C">
              <w:rPr>
                <w:rFonts w:ascii="Arial Narrow" w:hAnsi="Arial Narrow" w:cs="Times New Roman"/>
                <w:snapToGrid/>
                <w:sz w:val="20"/>
                <w:u w:val="single"/>
                <w:lang w:eastAsia="en-AU"/>
              </w:rPr>
              <w:t>three</w:t>
            </w:r>
            <w:r w:rsidRPr="00AE041C">
              <w:rPr>
                <w:rFonts w:ascii="Arial Narrow" w:hAnsi="Arial Narrow" w:cs="Times New Roman"/>
                <w:snapToGrid/>
                <w:sz w:val="20"/>
                <w:lang w:eastAsia="en-AU"/>
              </w:rPr>
              <w:t xml:space="preserve"> consecutive assessments.</w:t>
            </w:r>
          </w:p>
          <w:p w:rsidR="009B11BF" w:rsidRPr="00AE041C" w:rsidRDefault="009B11BF" w:rsidP="00B83E48">
            <w:pPr>
              <w:widowControl/>
              <w:jc w:val="left"/>
              <w:rPr>
                <w:rFonts w:ascii="Arial Narrow" w:hAnsi="Arial Narrow" w:cs="Times New Roman"/>
                <w:snapToGrid/>
                <w:sz w:val="20"/>
                <w:lang w:eastAsia="en-AU"/>
              </w:rPr>
            </w:pPr>
          </w:p>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snapToGrid/>
                <w:sz w:val="20"/>
                <w:lang w:eastAsia="en-AU"/>
              </w:rPr>
              <w:t>The interval between two doses should not be shorter than eight weeks.</w:t>
            </w:r>
          </w:p>
        </w:tc>
      </w:tr>
      <w:tr w:rsidR="009B11BF" w:rsidRPr="00AE04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b/>
                <w:snapToGrid/>
                <w:sz w:val="20"/>
                <w:lang w:eastAsia="en-AU"/>
              </w:rPr>
            </w:pPr>
            <w:r w:rsidRPr="00AE041C">
              <w:rPr>
                <w:rFonts w:ascii="Arial Narrow" w:hAnsi="Arial Narrow" w:cs="Times New Roman"/>
                <w:b/>
                <w:snapToGrid/>
                <w:sz w:val="20"/>
                <w:lang w:eastAsia="en-AU"/>
              </w:rPr>
              <w:t>Administrative Advice</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306715">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(to be finalised at a later stage)</w:t>
            </w:r>
          </w:p>
        </w:tc>
        <w:tc>
          <w:tcPr>
            <w:tcW w:w="6091" w:type="dxa"/>
            <w:tcBorders>
              <w:top w:val="single" w:sz="4" w:space="0" w:color="auto"/>
              <w:left w:val="single" w:sz="4" w:space="0" w:color="auto"/>
              <w:bottom w:val="single" w:sz="4" w:space="0" w:color="auto"/>
              <w:right w:val="single" w:sz="4" w:space="0" w:color="auto"/>
            </w:tcBorders>
          </w:tcPr>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Authority approvals will be administered by the Complex Drugs Unit of the Department of Human Services</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Authority applications for continuing treatment in the same eye may be made by telephone on 1899 700 270 (hours of operation 8 a.m. to 5 p.m. EST Monday to Friday).</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u w:val="single"/>
                <w:lang w:eastAsia="en-AU"/>
              </w:rPr>
            </w:pPr>
            <w:r w:rsidRPr="00AE041C">
              <w:rPr>
                <w:rFonts w:ascii="Arial Narrow" w:hAnsi="Arial Narrow" w:cs="Times New Roman"/>
                <w:i/>
                <w:snapToGrid/>
                <w:sz w:val="20"/>
                <w:u w:val="single"/>
                <w:lang w:eastAsia="en-AU"/>
              </w:rPr>
              <w:t>Note</w:t>
            </w: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No increase in the maximum quantity or number of units may be authorised</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u w:val="single"/>
                <w:lang w:eastAsia="en-AU"/>
              </w:rPr>
            </w:pPr>
            <w:r w:rsidRPr="00AE041C">
              <w:rPr>
                <w:rFonts w:ascii="Arial Narrow" w:hAnsi="Arial Narrow" w:cs="Times New Roman"/>
                <w:i/>
                <w:snapToGrid/>
                <w:sz w:val="20"/>
                <w:u w:val="single"/>
                <w:lang w:eastAsia="en-AU"/>
              </w:rPr>
              <w:t>Note</w:t>
            </w:r>
          </w:p>
          <w:p w:rsidR="009B11BF" w:rsidRPr="00AE041C" w:rsidRDefault="009B11BF" w:rsidP="00B83E48">
            <w:pPr>
              <w:widowControl/>
              <w:jc w:val="left"/>
              <w:rPr>
                <w:rFonts w:ascii="Arial Narrow" w:hAnsi="Arial Narrow" w:cs="Times New Roman"/>
                <w:i/>
                <w:snapToGrid/>
                <w:sz w:val="20"/>
                <w:lang w:eastAsia="en-AU"/>
              </w:rPr>
            </w:pPr>
            <w:r w:rsidRPr="00AE041C">
              <w:rPr>
                <w:rFonts w:ascii="Arial Narrow" w:hAnsi="Arial Narrow" w:cs="Times New Roman"/>
                <w:i/>
                <w:snapToGrid/>
                <w:sz w:val="20"/>
                <w:lang w:eastAsia="en-AU"/>
              </w:rPr>
              <w:t>No increase in the maximum number of repeats may be authorised</w:t>
            </w:r>
          </w:p>
          <w:p w:rsidR="009B11BF" w:rsidRPr="00AE041C" w:rsidRDefault="009B11BF" w:rsidP="00B83E48">
            <w:pPr>
              <w:widowControl/>
              <w:jc w:val="left"/>
              <w:rPr>
                <w:rFonts w:ascii="Arial Narrow" w:hAnsi="Arial Narrow" w:cs="Times New Roman"/>
                <w:i/>
                <w:snapToGrid/>
                <w:sz w:val="20"/>
                <w:lang w:eastAsia="en-AU"/>
              </w:rPr>
            </w:pPr>
          </w:p>
          <w:p w:rsidR="009B11BF" w:rsidRPr="00AE041C" w:rsidRDefault="009B11BF" w:rsidP="00B83E48">
            <w:pPr>
              <w:widowControl/>
              <w:jc w:val="left"/>
              <w:rPr>
                <w:rFonts w:ascii="Arial Narrow" w:hAnsi="Arial Narrow" w:cs="Times New Roman"/>
                <w:i/>
                <w:snapToGrid/>
                <w:sz w:val="20"/>
                <w:u w:val="single"/>
                <w:lang w:eastAsia="en-AU"/>
              </w:rPr>
            </w:pPr>
            <w:r w:rsidRPr="00AE041C">
              <w:rPr>
                <w:rFonts w:ascii="Arial Narrow" w:hAnsi="Arial Narrow" w:cs="Times New Roman"/>
                <w:i/>
                <w:snapToGrid/>
                <w:sz w:val="20"/>
                <w:u w:val="single"/>
                <w:lang w:eastAsia="en-AU"/>
              </w:rPr>
              <w:t>Note</w:t>
            </w:r>
          </w:p>
          <w:p w:rsidR="009B11BF" w:rsidRPr="00AE041C" w:rsidRDefault="009B11BF" w:rsidP="00B83E48">
            <w:pPr>
              <w:widowControl/>
              <w:jc w:val="left"/>
              <w:rPr>
                <w:rFonts w:ascii="Arial Narrow" w:hAnsi="Arial Narrow" w:cs="Times New Roman"/>
                <w:snapToGrid/>
                <w:sz w:val="20"/>
                <w:lang w:eastAsia="en-AU"/>
              </w:rPr>
            </w:pPr>
            <w:r w:rsidRPr="00AE041C">
              <w:rPr>
                <w:rFonts w:ascii="Arial Narrow" w:hAnsi="Arial Narrow" w:cs="Times New Roman"/>
                <w:i/>
                <w:snapToGrid/>
                <w:sz w:val="20"/>
                <w:lang w:eastAsia="en-AU"/>
              </w:rPr>
              <w:t>Special Pricing Arrangements apply.</w:t>
            </w:r>
          </w:p>
        </w:tc>
      </w:tr>
    </w:tbl>
    <w:p w:rsidR="009B11BF" w:rsidRDefault="009B11BF">
      <w:pPr>
        <w:widowControl/>
        <w:jc w:val="left"/>
        <w:rPr>
          <w:b/>
          <w:i/>
          <w:szCs w:val="22"/>
        </w:rPr>
      </w:pPr>
    </w:p>
    <w:p w:rsidR="00287EB9" w:rsidRDefault="00287EB9">
      <w:pPr>
        <w:widowControl/>
        <w:jc w:val="left"/>
        <w:rPr>
          <w:b/>
          <w:i/>
          <w:szCs w:val="22"/>
        </w:rPr>
      </w:pPr>
    </w:p>
    <w:p w:rsidR="003067C0" w:rsidRDefault="003067C0" w:rsidP="003067C0">
      <w:pPr>
        <w:pStyle w:val="ListParagraph"/>
        <w:widowControl/>
        <w:numPr>
          <w:ilvl w:val="0"/>
          <w:numId w:val="3"/>
        </w:numPr>
        <w:rPr>
          <w:b/>
        </w:rPr>
      </w:pPr>
      <w:r w:rsidRPr="00D4420F">
        <w:rPr>
          <w:b/>
        </w:rPr>
        <w:t>Context for Decision</w:t>
      </w:r>
    </w:p>
    <w:p w:rsidR="003067C0" w:rsidRPr="00D4420F" w:rsidRDefault="003067C0" w:rsidP="003067C0">
      <w:pPr>
        <w:pStyle w:val="ListParagraph"/>
        <w:rPr>
          <w:b/>
        </w:rPr>
      </w:pPr>
    </w:p>
    <w:p w:rsidR="003067C0" w:rsidRPr="00D4420F" w:rsidRDefault="003067C0" w:rsidP="003067C0">
      <w:pPr>
        <w:ind w:left="720"/>
      </w:pPr>
      <w:r w:rsidRPr="00D4420F">
        <w:t xml:space="preserve">The PBAC helps decide whether and, if so, how medicines should be subsidised in Australia. It considers submissions in this context. A PBAC decision not to recommend listing or not to recommend changing a listing does not represent a final </w:t>
      </w:r>
      <w:r w:rsidRPr="00D4420F">
        <w:lastRenderedPageBreak/>
        <w:t>PBAC view about the merits of the medicine. A company can resubmit to the PBAC or seek independent review of the PBAC decision.</w:t>
      </w:r>
    </w:p>
    <w:p w:rsidR="003067C0" w:rsidRDefault="003067C0" w:rsidP="003067C0"/>
    <w:p w:rsidR="00287EB9" w:rsidRPr="00D4420F" w:rsidRDefault="00287EB9" w:rsidP="003067C0"/>
    <w:p w:rsidR="003067C0" w:rsidRDefault="003067C0" w:rsidP="003067C0">
      <w:pPr>
        <w:pStyle w:val="ListParagraph"/>
        <w:widowControl/>
        <w:numPr>
          <w:ilvl w:val="0"/>
          <w:numId w:val="3"/>
        </w:numPr>
        <w:rPr>
          <w:b/>
        </w:rPr>
      </w:pPr>
      <w:r w:rsidRPr="00D4420F">
        <w:rPr>
          <w:b/>
        </w:rPr>
        <w:t>Sponsor’s Comment</w:t>
      </w:r>
    </w:p>
    <w:p w:rsidR="006D3CE3" w:rsidRDefault="006D3CE3" w:rsidP="006D3CE3">
      <w:pPr>
        <w:widowControl/>
        <w:rPr>
          <w:b/>
        </w:rPr>
      </w:pPr>
    </w:p>
    <w:p w:rsidR="006D3CE3" w:rsidRPr="006D3CE3" w:rsidRDefault="006D3CE3" w:rsidP="006D3CE3">
      <w:pPr>
        <w:ind w:left="720"/>
      </w:pPr>
      <w:r w:rsidRPr="006D3CE3">
        <w:t>Bayer is concerned that the Ph</w:t>
      </w:r>
      <w:bookmarkStart w:id="14" w:name="_GoBack"/>
      <w:bookmarkEnd w:id="14"/>
      <w:r w:rsidRPr="006D3CE3">
        <w:t>armaceutical Benefits Advisory Committee’s (PBAC) considers a product that has not been approved, formulated or manufactured for use in eye disease in Australia as an appropriate comparator against a Therapeutic Goods Administration (TGA) approved treatment in the reimbursement assessment.”</w:t>
      </w:r>
    </w:p>
    <w:p w:rsidR="00DA25A1" w:rsidRPr="00DA25A1" w:rsidRDefault="00DA25A1" w:rsidP="00DA25A1">
      <w:pPr>
        <w:ind w:left="720"/>
      </w:pPr>
      <w:r w:rsidRPr="00DA25A1">
        <w:rPr>
          <w:iCs/>
          <w:lang w:val="en-US"/>
        </w:rPr>
        <w:t>For this reason, no formal clinical comparison was undertaken between aflibercept and bevacizumab.</w:t>
      </w:r>
    </w:p>
    <w:p w:rsidR="008A3302" w:rsidRPr="00DA25A1" w:rsidRDefault="008A3302" w:rsidP="006D3CE3">
      <w:pPr>
        <w:ind w:left="720"/>
        <w:rPr>
          <w:b/>
        </w:rPr>
      </w:pPr>
    </w:p>
    <w:sectPr w:rsidR="008A3302" w:rsidRPr="00DA25A1" w:rsidSect="00CD4D5F">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C39" w:rsidRDefault="00BF0C39" w:rsidP="00124A51">
      <w:r>
        <w:separator/>
      </w:r>
    </w:p>
  </w:endnote>
  <w:endnote w:type="continuationSeparator" w:id="0">
    <w:p w:rsidR="00BF0C39" w:rsidRDefault="00BF0C3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506138"/>
      <w:docPartObj>
        <w:docPartGallery w:val="Page Numbers (Bottom of Page)"/>
        <w:docPartUnique/>
      </w:docPartObj>
    </w:sdtPr>
    <w:sdtEndPr>
      <w:rPr>
        <w:noProof/>
      </w:rPr>
    </w:sdtEndPr>
    <w:sdtContent>
      <w:p w:rsidR="00BF1E0D" w:rsidRDefault="00BF1E0D">
        <w:pPr>
          <w:pStyle w:val="Footer"/>
          <w:jc w:val="center"/>
        </w:pPr>
      </w:p>
      <w:p w:rsidR="00A329BE" w:rsidRDefault="00A329BE">
        <w:pPr>
          <w:pStyle w:val="Footer"/>
          <w:jc w:val="center"/>
        </w:pPr>
        <w:r>
          <w:fldChar w:fldCharType="begin"/>
        </w:r>
        <w:r>
          <w:instrText xml:space="preserve"> PAGE   \* MERGEFORMAT </w:instrText>
        </w:r>
        <w:r>
          <w:fldChar w:fldCharType="separate"/>
        </w:r>
        <w:r w:rsidR="009022EE">
          <w:rPr>
            <w:noProof/>
          </w:rPr>
          <w:t>29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C39" w:rsidRDefault="00BF0C39" w:rsidP="00124A51">
      <w:r>
        <w:separator/>
      </w:r>
    </w:p>
  </w:footnote>
  <w:footnote w:type="continuationSeparator" w:id="0">
    <w:p w:rsidR="00BF0C39" w:rsidRDefault="00BF0C39"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BE" w:rsidRPr="00F0007C" w:rsidRDefault="00A329BE" w:rsidP="00DC58A2">
    <w:pPr>
      <w:pStyle w:val="Header"/>
      <w:jc w:val="center"/>
      <w:rPr>
        <w:i/>
      </w:rPr>
    </w:pPr>
    <w:r>
      <w:rPr>
        <w:i/>
      </w:rPr>
      <w:t>Public Summary Document</w:t>
    </w:r>
    <w:r w:rsidRPr="00F0007C">
      <w:rPr>
        <w:i/>
      </w:rPr>
      <w:t xml:space="preserve"> – November 2014 PBAC Meeting</w:t>
    </w:r>
  </w:p>
  <w:p w:rsidR="00A329BE" w:rsidRDefault="00A329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BE" w:rsidRPr="00F0007C" w:rsidRDefault="00A329BE" w:rsidP="002B72D6">
    <w:pPr>
      <w:pStyle w:val="Header"/>
      <w:jc w:val="center"/>
      <w:rPr>
        <w:i/>
      </w:rPr>
    </w:pPr>
    <w:r>
      <w:rPr>
        <w:i/>
      </w:rPr>
      <w:t>Public Summary Document</w:t>
    </w:r>
    <w:r w:rsidRPr="00F0007C">
      <w:rPr>
        <w:i/>
      </w:rPr>
      <w:t xml:space="preserve"> – November 2014 PBAC Meeting</w:t>
    </w:r>
  </w:p>
  <w:p w:rsidR="00A329BE" w:rsidRPr="00124A51" w:rsidRDefault="00A329BE" w:rsidP="002B72D6">
    <w:pPr>
      <w:tabs>
        <w:tab w:val="left" w:pos="142"/>
        <w:tab w:val="right" w:pos="1396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F7157"/>
    <w:multiLevelType w:val="hybridMultilevel"/>
    <w:tmpl w:val="3F1096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0901D75"/>
    <w:multiLevelType w:val="multilevel"/>
    <w:tmpl w:val="92A09A32"/>
    <w:lvl w:ilvl="0">
      <w:numFmt w:val="bullet"/>
      <w:lvlText w:val="-"/>
      <w:lvlJc w:val="left"/>
      <w:pPr>
        <w:ind w:left="720" w:hanging="720"/>
      </w:pPr>
      <w:rPr>
        <w:rFonts w:ascii="Times New Roman" w:eastAsia="Times New Roman" w:hAnsi="Times New Roman" w:cs="Times New Roman"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5A04F9A"/>
    <w:multiLevelType w:val="hybridMultilevel"/>
    <w:tmpl w:val="A5149A24"/>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D9E628C"/>
    <w:multiLevelType w:val="hybridMultilevel"/>
    <w:tmpl w:val="D062F436"/>
    <w:lvl w:ilvl="0" w:tplc="FFFFFFFF">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4465646"/>
    <w:multiLevelType w:val="hybridMultilevel"/>
    <w:tmpl w:val="C64AC0F8"/>
    <w:lvl w:ilvl="0" w:tplc="FE64D610">
      <w:start w:val="1"/>
      <w:numFmt w:val="decimal"/>
      <w:lvlText w:val="(%1)"/>
      <w:lvlJc w:val="left"/>
      <w:pPr>
        <w:ind w:left="1080" w:hanging="360"/>
      </w:pPr>
      <w:rPr>
        <w:rFonts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26D15B36"/>
    <w:multiLevelType w:val="hybridMultilevel"/>
    <w:tmpl w:val="B3C2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B25931"/>
    <w:multiLevelType w:val="hybridMultilevel"/>
    <w:tmpl w:val="E210329C"/>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3C74704C"/>
    <w:multiLevelType w:val="hybridMultilevel"/>
    <w:tmpl w:val="E58011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41E77AC9"/>
    <w:multiLevelType w:val="hybridMultilevel"/>
    <w:tmpl w:val="70BC5E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48D1E83"/>
    <w:multiLevelType w:val="hybridMultilevel"/>
    <w:tmpl w:val="24543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F190BEF"/>
    <w:multiLevelType w:val="multilevel"/>
    <w:tmpl w:val="EC5AD4C8"/>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F83416A"/>
    <w:multiLevelType w:val="hybridMultilevel"/>
    <w:tmpl w:val="98F453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784D033C"/>
    <w:multiLevelType w:val="multilevel"/>
    <w:tmpl w:val="01B2469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9946441"/>
    <w:multiLevelType w:val="hybridMultilevel"/>
    <w:tmpl w:val="B17EAE90"/>
    <w:lvl w:ilvl="0" w:tplc="0C090001">
      <w:start w:val="1"/>
      <w:numFmt w:val="bullet"/>
      <w:lvlText w:val=""/>
      <w:lvlJc w:val="left"/>
      <w:pPr>
        <w:ind w:left="1080" w:hanging="360"/>
      </w:pPr>
      <w:rPr>
        <w:rFonts w:ascii="Symbol" w:hAnsi="Symbol"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0"/>
  </w:num>
  <w:num w:numId="3">
    <w:abstractNumId w:val="14"/>
  </w:num>
  <w:num w:numId="4">
    <w:abstractNumId w:val="1"/>
  </w:num>
  <w:num w:numId="5">
    <w:abstractNumId w:val="4"/>
  </w:num>
  <w:num w:numId="6">
    <w:abstractNumId w:val="5"/>
  </w:num>
  <w:num w:numId="7">
    <w:abstractNumId w:val="12"/>
  </w:num>
  <w:num w:numId="8">
    <w:abstractNumId w:val="2"/>
  </w:num>
  <w:num w:numId="9">
    <w:abstractNumId w:val="14"/>
  </w:num>
  <w:num w:numId="10">
    <w:abstractNumId w:val="11"/>
  </w:num>
  <w:num w:numId="11">
    <w:abstractNumId w:val="8"/>
  </w:num>
  <w:num w:numId="12">
    <w:abstractNumId w:val="13"/>
  </w:num>
  <w:num w:numId="13">
    <w:abstractNumId w:val="9"/>
  </w:num>
  <w:num w:numId="14">
    <w:abstractNumId w:val="15"/>
  </w:num>
  <w:num w:numId="15">
    <w:abstractNumId w:val="7"/>
  </w:num>
  <w:num w:numId="16">
    <w:abstractNumId w:val="6"/>
  </w:num>
  <w:num w:numId="17">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0&lt;/ScanUnformatted&gt;&lt;ScanChanges&gt;0&lt;/ScanChanges&gt;&lt;Suspended&gt;0&lt;/Suspended&gt;&lt;/ENInstantFormat&gt;"/>
    <w:docVar w:name="EN.Layout" w:val="&lt;ENLayout&gt;&lt;Style&gt;deakinu-harvard-2013&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ta2xt2alp52sieettkxa5sfrr0f2rvz2spa&quot;&gt;Aflibercept DME&lt;record-ids&gt;&lt;item&gt;1&lt;/item&gt;&lt;/record-ids&gt;&lt;/item&gt;&lt;/Libraries&gt;"/>
  </w:docVars>
  <w:rsids>
    <w:rsidRoot w:val="00E65E79"/>
    <w:rsid w:val="00000790"/>
    <w:rsid w:val="00000B61"/>
    <w:rsid w:val="00001070"/>
    <w:rsid w:val="0000110B"/>
    <w:rsid w:val="00001508"/>
    <w:rsid w:val="000019E8"/>
    <w:rsid w:val="00001C56"/>
    <w:rsid w:val="00001D3B"/>
    <w:rsid w:val="00002744"/>
    <w:rsid w:val="00003499"/>
    <w:rsid w:val="000034B7"/>
    <w:rsid w:val="0000384F"/>
    <w:rsid w:val="000058C0"/>
    <w:rsid w:val="00005A5D"/>
    <w:rsid w:val="00006F7E"/>
    <w:rsid w:val="000073CF"/>
    <w:rsid w:val="0001092D"/>
    <w:rsid w:val="000109FD"/>
    <w:rsid w:val="00011AE6"/>
    <w:rsid w:val="00013247"/>
    <w:rsid w:val="00014C02"/>
    <w:rsid w:val="0001524D"/>
    <w:rsid w:val="00015886"/>
    <w:rsid w:val="000162AB"/>
    <w:rsid w:val="000162EF"/>
    <w:rsid w:val="00016C3C"/>
    <w:rsid w:val="0002225F"/>
    <w:rsid w:val="0002253B"/>
    <w:rsid w:val="00023763"/>
    <w:rsid w:val="00023873"/>
    <w:rsid w:val="00025695"/>
    <w:rsid w:val="00025876"/>
    <w:rsid w:val="000270BE"/>
    <w:rsid w:val="00027125"/>
    <w:rsid w:val="000276B0"/>
    <w:rsid w:val="00027B2C"/>
    <w:rsid w:val="00027DB9"/>
    <w:rsid w:val="000303DC"/>
    <w:rsid w:val="00030495"/>
    <w:rsid w:val="00033B97"/>
    <w:rsid w:val="00033E6E"/>
    <w:rsid w:val="00035265"/>
    <w:rsid w:val="00036E60"/>
    <w:rsid w:val="00037368"/>
    <w:rsid w:val="00040781"/>
    <w:rsid w:val="00040895"/>
    <w:rsid w:val="00041155"/>
    <w:rsid w:val="00041703"/>
    <w:rsid w:val="000433CE"/>
    <w:rsid w:val="00043718"/>
    <w:rsid w:val="00043C37"/>
    <w:rsid w:val="00043E05"/>
    <w:rsid w:val="00044364"/>
    <w:rsid w:val="00045564"/>
    <w:rsid w:val="00045599"/>
    <w:rsid w:val="000461CE"/>
    <w:rsid w:val="00046630"/>
    <w:rsid w:val="000468A2"/>
    <w:rsid w:val="00047181"/>
    <w:rsid w:val="00047486"/>
    <w:rsid w:val="000475F5"/>
    <w:rsid w:val="00047734"/>
    <w:rsid w:val="0005031B"/>
    <w:rsid w:val="00050C07"/>
    <w:rsid w:val="00050C46"/>
    <w:rsid w:val="0005208B"/>
    <w:rsid w:val="00053C29"/>
    <w:rsid w:val="00054339"/>
    <w:rsid w:val="000546D7"/>
    <w:rsid w:val="00054CC6"/>
    <w:rsid w:val="0005502D"/>
    <w:rsid w:val="000551BA"/>
    <w:rsid w:val="00056E9D"/>
    <w:rsid w:val="00057476"/>
    <w:rsid w:val="00057A20"/>
    <w:rsid w:val="000605C8"/>
    <w:rsid w:val="000618AE"/>
    <w:rsid w:val="00062BA2"/>
    <w:rsid w:val="00063056"/>
    <w:rsid w:val="000643E8"/>
    <w:rsid w:val="00064A1C"/>
    <w:rsid w:val="0006557F"/>
    <w:rsid w:val="0006653F"/>
    <w:rsid w:val="000666C0"/>
    <w:rsid w:val="00066F63"/>
    <w:rsid w:val="0006735C"/>
    <w:rsid w:val="000677B2"/>
    <w:rsid w:val="00067A38"/>
    <w:rsid w:val="00067D7B"/>
    <w:rsid w:val="00067DBE"/>
    <w:rsid w:val="00071248"/>
    <w:rsid w:val="000720B9"/>
    <w:rsid w:val="0007210F"/>
    <w:rsid w:val="00072897"/>
    <w:rsid w:val="00072B26"/>
    <w:rsid w:val="0007376F"/>
    <w:rsid w:val="000742A0"/>
    <w:rsid w:val="00074703"/>
    <w:rsid w:val="00074A0E"/>
    <w:rsid w:val="000758CE"/>
    <w:rsid w:val="00075E32"/>
    <w:rsid w:val="000762AA"/>
    <w:rsid w:val="00080788"/>
    <w:rsid w:val="00080ED9"/>
    <w:rsid w:val="00081277"/>
    <w:rsid w:val="000812CA"/>
    <w:rsid w:val="00082089"/>
    <w:rsid w:val="0008229B"/>
    <w:rsid w:val="0008324A"/>
    <w:rsid w:val="000836CB"/>
    <w:rsid w:val="000845E1"/>
    <w:rsid w:val="000847D8"/>
    <w:rsid w:val="000859B1"/>
    <w:rsid w:val="0008637B"/>
    <w:rsid w:val="00087F28"/>
    <w:rsid w:val="000906A8"/>
    <w:rsid w:val="00090C7E"/>
    <w:rsid w:val="000919FB"/>
    <w:rsid w:val="000930FB"/>
    <w:rsid w:val="000949C8"/>
    <w:rsid w:val="00094EF7"/>
    <w:rsid w:val="000960BF"/>
    <w:rsid w:val="00096709"/>
    <w:rsid w:val="000968DF"/>
    <w:rsid w:val="00097C28"/>
    <w:rsid w:val="000A1151"/>
    <w:rsid w:val="000A195C"/>
    <w:rsid w:val="000A1F71"/>
    <w:rsid w:val="000A2DFB"/>
    <w:rsid w:val="000A3532"/>
    <w:rsid w:val="000A3C6C"/>
    <w:rsid w:val="000A3F50"/>
    <w:rsid w:val="000A6856"/>
    <w:rsid w:val="000A68E5"/>
    <w:rsid w:val="000A76CD"/>
    <w:rsid w:val="000B0980"/>
    <w:rsid w:val="000B1626"/>
    <w:rsid w:val="000B23E4"/>
    <w:rsid w:val="000B292B"/>
    <w:rsid w:val="000B298E"/>
    <w:rsid w:val="000B2BE8"/>
    <w:rsid w:val="000B2E42"/>
    <w:rsid w:val="000B3180"/>
    <w:rsid w:val="000B36F5"/>
    <w:rsid w:val="000B3CA3"/>
    <w:rsid w:val="000B4192"/>
    <w:rsid w:val="000B4306"/>
    <w:rsid w:val="000B452C"/>
    <w:rsid w:val="000B4613"/>
    <w:rsid w:val="000B4B56"/>
    <w:rsid w:val="000B59B1"/>
    <w:rsid w:val="000B5A99"/>
    <w:rsid w:val="000B5B2B"/>
    <w:rsid w:val="000B6D62"/>
    <w:rsid w:val="000B75BD"/>
    <w:rsid w:val="000C1060"/>
    <w:rsid w:val="000C198B"/>
    <w:rsid w:val="000C20B1"/>
    <w:rsid w:val="000C34F2"/>
    <w:rsid w:val="000C35A1"/>
    <w:rsid w:val="000C390C"/>
    <w:rsid w:val="000C3B99"/>
    <w:rsid w:val="000C4250"/>
    <w:rsid w:val="000C44DA"/>
    <w:rsid w:val="000C481E"/>
    <w:rsid w:val="000C49BE"/>
    <w:rsid w:val="000C5298"/>
    <w:rsid w:val="000C5AC2"/>
    <w:rsid w:val="000C6D21"/>
    <w:rsid w:val="000C6F08"/>
    <w:rsid w:val="000C710F"/>
    <w:rsid w:val="000C7D20"/>
    <w:rsid w:val="000D0403"/>
    <w:rsid w:val="000D1BFC"/>
    <w:rsid w:val="000D1E4D"/>
    <w:rsid w:val="000D1F0A"/>
    <w:rsid w:val="000D209C"/>
    <w:rsid w:val="000D21E1"/>
    <w:rsid w:val="000D38E6"/>
    <w:rsid w:val="000D403F"/>
    <w:rsid w:val="000D40E5"/>
    <w:rsid w:val="000D6E59"/>
    <w:rsid w:val="000E0ECE"/>
    <w:rsid w:val="000E1326"/>
    <w:rsid w:val="000E139C"/>
    <w:rsid w:val="000E14B4"/>
    <w:rsid w:val="000E18F5"/>
    <w:rsid w:val="000E20A8"/>
    <w:rsid w:val="000E4322"/>
    <w:rsid w:val="000E442E"/>
    <w:rsid w:val="000E5196"/>
    <w:rsid w:val="000E6082"/>
    <w:rsid w:val="000E672D"/>
    <w:rsid w:val="000E7C3D"/>
    <w:rsid w:val="000F0EC6"/>
    <w:rsid w:val="000F13D3"/>
    <w:rsid w:val="000F296C"/>
    <w:rsid w:val="000F3414"/>
    <w:rsid w:val="000F38B9"/>
    <w:rsid w:val="000F3D3D"/>
    <w:rsid w:val="000F4BB8"/>
    <w:rsid w:val="000F4EDF"/>
    <w:rsid w:val="000F526C"/>
    <w:rsid w:val="000F5529"/>
    <w:rsid w:val="000F5DA4"/>
    <w:rsid w:val="000F63B9"/>
    <w:rsid w:val="000F69B2"/>
    <w:rsid w:val="000F6D7D"/>
    <w:rsid w:val="000F7127"/>
    <w:rsid w:val="000F76C9"/>
    <w:rsid w:val="000F79E6"/>
    <w:rsid w:val="000F7F22"/>
    <w:rsid w:val="00100A5E"/>
    <w:rsid w:val="00100F8A"/>
    <w:rsid w:val="001017AB"/>
    <w:rsid w:val="00101C87"/>
    <w:rsid w:val="00104AD1"/>
    <w:rsid w:val="001050F4"/>
    <w:rsid w:val="00105579"/>
    <w:rsid w:val="00107E97"/>
    <w:rsid w:val="0011032E"/>
    <w:rsid w:val="00110FBB"/>
    <w:rsid w:val="00111CAD"/>
    <w:rsid w:val="001126FB"/>
    <w:rsid w:val="0011348B"/>
    <w:rsid w:val="00113BCD"/>
    <w:rsid w:val="00113D00"/>
    <w:rsid w:val="00113D1A"/>
    <w:rsid w:val="00115137"/>
    <w:rsid w:val="00117823"/>
    <w:rsid w:val="00121222"/>
    <w:rsid w:val="00121799"/>
    <w:rsid w:val="001222FC"/>
    <w:rsid w:val="001225BC"/>
    <w:rsid w:val="00123170"/>
    <w:rsid w:val="00124A51"/>
    <w:rsid w:val="00125158"/>
    <w:rsid w:val="001252D9"/>
    <w:rsid w:val="00125501"/>
    <w:rsid w:val="00126621"/>
    <w:rsid w:val="00126C5C"/>
    <w:rsid w:val="00126EDB"/>
    <w:rsid w:val="001275E8"/>
    <w:rsid w:val="0013018A"/>
    <w:rsid w:val="001301E9"/>
    <w:rsid w:val="00130AA4"/>
    <w:rsid w:val="0013145C"/>
    <w:rsid w:val="00131A8B"/>
    <w:rsid w:val="00133AF4"/>
    <w:rsid w:val="001341C3"/>
    <w:rsid w:val="00137645"/>
    <w:rsid w:val="0014015A"/>
    <w:rsid w:val="00140E99"/>
    <w:rsid w:val="0014145C"/>
    <w:rsid w:val="001429C3"/>
    <w:rsid w:val="0014309A"/>
    <w:rsid w:val="00143680"/>
    <w:rsid w:val="0014397F"/>
    <w:rsid w:val="00144294"/>
    <w:rsid w:val="00144B78"/>
    <w:rsid w:val="00144DB9"/>
    <w:rsid w:val="00145540"/>
    <w:rsid w:val="00145589"/>
    <w:rsid w:val="001456B0"/>
    <w:rsid w:val="00145864"/>
    <w:rsid w:val="0014775A"/>
    <w:rsid w:val="001477DB"/>
    <w:rsid w:val="001509D0"/>
    <w:rsid w:val="00151C49"/>
    <w:rsid w:val="00152474"/>
    <w:rsid w:val="001532E3"/>
    <w:rsid w:val="00153F74"/>
    <w:rsid w:val="00154740"/>
    <w:rsid w:val="00154DD8"/>
    <w:rsid w:val="0015548A"/>
    <w:rsid w:val="00155A8B"/>
    <w:rsid w:val="00155E83"/>
    <w:rsid w:val="001566AE"/>
    <w:rsid w:val="00157130"/>
    <w:rsid w:val="0015729C"/>
    <w:rsid w:val="0015763A"/>
    <w:rsid w:val="00160291"/>
    <w:rsid w:val="00162913"/>
    <w:rsid w:val="00163EFF"/>
    <w:rsid w:val="00164B8C"/>
    <w:rsid w:val="0016509A"/>
    <w:rsid w:val="00165588"/>
    <w:rsid w:val="001661FB"/>
    <w:rsid w:val="00166A8F"/>
    <w:rsid w:val="00166B53"/>
    <w:rsid w:val="00167868"/>
    <w:rsid w:val="00170491"/>
    <w:rsid w:val="00170C13"/>
    <w:rsid w:val="0017118B"/>
    <w:rsid w:val="00171AC8"/>
    <w:rsid w:val="00172CF0"/>
    <w:rsid w:val="00172E6A"/>
    <w:rsid w:val="0017356D"/>
    <w:rsid w:val="001739AC"/>
    <w:rsid w:val="00173A4F"/>
    <w:rsid w:val="00175EF9"/>
    <w:rsid w:val="001763CE"/>
    <w:rsid w:val="00176C6D"/>
    <w:rsid w:val="00177365"/>
    <w:rsid w:val="0017768A"/>
    <w:rsid w:val="0018001E"/>
    <w:rsid w:val="00180947"/>
    <w:rsid w:val="00180C79"/>
    <w:rsid w:val="00180EFD"/>
    <w:rsid w:val="001812AB"/>
    <w:rsid w:val="0018144D"/>
    <w:rsid w:val="00181456"/>
    <w:rsid w:val="0018159E"/>
    <w:rsid w:val="00183FD8"/>
    <w:rsid w:val="00186BC8"/>
    <w:rsid w:val="0018752F"/>
    <w:rsid w:val="00190669"/>
    <w:rsid w:val="001913E1"/>
    <w:rsid w:val="00192CD7"/>
    <w:rsid w:val="00193843"/>
    <w:rsid w:val="0019436F"/>
    <w:rsid w:val="00194D4C"/>
    <w:rsid w:val="00194DA1"/>
    <w:rsid w:val="00195222"/>
    <w:rsid w:val="001952B3"/>
    <w:rsid w:val="001975D8"/>
    <w:rsid w:val="001A183D"/>
    <w:rsid w:val="001A19DE"/>
    <w:rsid w:val="001A1A00"/>
    <w:rsid w:val="001A260B"/>
    <w:rsid w:val="001A2847"/>
    <w:rsid w:val="001A3E12"/>
    <w:rsid w:val="001A470D"/>
    <w:rsid w:val="001A5228"/>
    <w:rsid w:val="001A602A"/>
    <w:rsid w:val="001B0F98"/>
    <w:rsid w:val="001B1141"/>
    <w:rsid w:val="001B1D07"/>
    <w:rsid w:val="001B257F"/>
    <w:rsid w:val="001B3443"/>
    <w:rsid w:val="001B4108"/>
    <w:rsid w:val="001B6443"/>
    <w:rsid w:val="001C02F6"/>
    <w:rsid w:val="001C0C26"/>
    <w:rsid w:val="001C239D"/>
    <w:rsid w:val="001C2FF2"/>
    <w:rsid w:val="001C3B18"/>
    <w:rsid w:val="001C3EBF"/>
    <w:rsid w:val="001C41BC"/>
    <w:rsid w:val="001C423D"/>
    <w:rsid w:val="001C4CB6"/>
    <w:rsid w:val="001C5F53"/>
    <w:rsid w:val="001C61E5"/>
    <w:rsid w:val="001C6493"/>
    <w:rsid w:val="001C6E66"/>
    <w:rsid w:val="001C6F9E"/>
    <w:rsid w:val="001C796D"/>
    <w:rsid w:val="001D0131"/>
    <w:rsid w:val="001D0BF2"/>
    <w:rsid w:val="001D0C39"/>
    <w:rsid w:val="001D165F"/>
    <w:rsid w:val="001D1B04"/>
    <w:rsid w:val="001D247E"/>
    <w:rsid w:val="001D2789"/>
    <w:rsid w:val="001D2F73"/>
    <w:rsid w:val="001D338C"/>
    <w:rsid w:val="001D36E9"/>
    <w:rsid w:val="001D5E82"/>
    <w:rsid w:val="001D724D"/>
    <w:rsid w:val="001E1D24"/>
    <w:rsid w:val="001E238E"/>
    <w:rsid w:val="001E2420"/>
    <w:rsid w:val="001E2B1E"/>
    <w:rsid w:val="001E2FDA"/>
    <w:rsid w:val="001E52EB"/>
    <w:rsid w:val="001E5DF3"/>
    <w:rsid w:val="001E679E"/>
    <w:rsid w:val="001E6F9B"/>
    <w:rsid w:val="001E740C"/>
    <w:rsid w:val="001F1235"/>
    <w:rsid w:val="001F1CB3"/>
    <w:rsid w:val="001F1D2F"/>
    <w:rsid w:val="001F1FAB"/>
    <w:rsid w:val="001F3224"/>
    <w:rsid w:val="001F40BF"/>
    <w:rsid w:val="001F41CC"/>
    <w:rsid w:val="001F5602"/>
    <w:rsid w:val="001F59D5"/>
    <w:rsid w:val="001F5BE0"/>
    <w:rsid w:val="001F5E07"/>
    <w:rsid w:val="001F7361"/>
    <w:rsid w:val="001F7E22"/>
    <w:rsid w:val="00200492"/>
    <w:rsid w:val="00200BF5"/>
    <w:rsid w:val="00202609"/>
    <w:rsid w:val="002027E6"/>
    <w:rsid w:val="0020297A"/>
    <w:rsid w:val="00202CD7"/>
    <w:rsid w:val="002032A6"/>
    <w:rsid w:val="0020385F"/>
    <w:rsid w:val="00203D3E"/>
    <w:rsid w:val="00204174"/>
    <w:rsid w:val="00204760"/>
    <w:rsid w:val="00205CC2"/>
    <w:rsid w:val="0020644D"/>
    <w:rsid w:val="00206700"/>
    <w:rsid w:val="00207021"/>
    <w:rsid w:val="002070BE"/>
    <w:rsid w:val="00207D00"/>
    <w:rsid w:val="00207D26"/>
    <w:rsid w:val="00210360"/>
    <w:rsid w:val="002105C1"/>
    <w:rsid w:val="002118EC"/>
    <w:rsid w:val="002124F7"/>
    <w:rsid w:val="002129EA"/>
    <w:rsid w:val="00212A2D"/>
    <w:rsid w:val="00213144"/>
    <w:rsid w:val="002131B4"/>
    <w:rsid w:val="0021348C"/>
    <w:rsid w:val="002155E6"/>
    <w:rsid w:val="00215F95"/>
    <w:rsid w:val="0021666D"/>
    <w:rsid w:val="002177FC"/>
    <w:rsid w:val="002179D4"/>
    <w:rsid w:val="00220308"/>
    <w:rsid w:val="002203E0"/>
    <w:rsid w:val="0022052A"/>
    <w:rsid w:val="00220A10"/>
    <w:rsid w:val="00220F4D"/>
    <w:rsid w:val="0022176B"/>
    <w:rsid w:val="00221AE4"/>
    <w:rsid w:val="00221B1C"/>
    <w:rsid w:val="002225B7"/>
    <w:rsid w:val="00222754"/>
    <w:rsid w:val="00223627"/>
    <w:rsid w:val="00223A56"/>
    <w:rsid w:val="00223B49"/>
    <w:rsid w:val="00223D33"/>
    <w:rsid w:val="0022460E"/>
    <w:rsid w:val="00224DD4"/>
    <w:rsid w:val="0022524C"/>
    <w:rsid w:val="002252A8"/>
    <w:rsid w:val="002256DE"/>
    <w:rsid w:val="00225D3B"/>
    <w:rsid w:val="002267C5"/>
    <w:rsid w:val="002275A6"/>
    <w:rsid w:val="0022762C"/>
    <w:rsid w:val="00227A7A"/>
    <w:rsid w:val="0023036B"/>
    <w:rsid w:val="002309CC"/>
    <w:rsid w:val="002311F2"/>
    <w:rsid w:val="00232E5B"/>
    <w:rsid w:val="00233C74"/>
    <w:rsid w:val="00234EDC"/>
    <w:rsid w:val="00240878"/>
    <w:rsid w:val="00243A80"/>
    <w:rsid w:val="002441A2"/>
    <w:rsid w:val="00244206"/>
    <w:rsid w:val="0024433D"/>
    <w:rsid w:val="00246313"/>
    <w:rsid w:val="00247282"/>
    <w:rsid w:val="00247632"/>
    <w:rsid w:val="00250A4C"/>
    <w:rsid w:val="00251C41"/>
    <w:rsid w:val="00253DFF"/>
    <w:rsid w:val="00254DCF"/>
    <w:rsid w:val="0025534B"/>
    <w:rsid w:val="00255BB7"/>
    <w:rsid w:val="002563A9"/>
    <w:rsid w:val="00256627"/>
    <w:rsid w:val="00256BAD"/>
    <w:rsid w:val="00260C30"/>
    <w:rsid w:val="00261370"/>
    <w:rsid w:val="00261642"/>
    <w:rsid w:val="00262A87"/>
    <w:rsid w:val="00262C81"/>
    <w:rsid w:val="00262D92"/>
    <w:rsid w:val="00262F34"/>
    <w:rsid w:val="002639DE"/>
    <w:rsid w:val="00265899"/>
    <w:rsid w:val="0026608F"/>
    <w:rsid w:val="002670A8"/>
    <w:rsid w:val="0027029E"/>
    <w:rsid w:val="00271C06"/>
    <w:rsid w:val="0027380B"/>
    <w:rsid w:val="00273EEB"/>
    <w:rsid w:val="00274097"/>
    <w:rsid w:val="00274C5A"/>
    <w:rsid w:val="002751C8"/>
    <w:rsid w:val="00275269"/>
    <w:rsid w:val="00275C15"/>
    <w:rsid w:val="00275C5A"/>
    <w:rsid w:val="00277134"/>
    <w:rsid w:val="002771F8"/>
    <w:rsid w:val="0027786A"/>
    <w:rsid w:val="00280E16"/>
    <w:rsid w:val="00281014"/>
    <w:rsid w:val="00281208"/>
    <w:rsid w:val="00281D2F"/>
    <w:rsid w:val="00282C3F"/>
    <w:rsid w:val="00282C56"/>
    <w:rsid w:val="00283A41"/>
    <w:rsid w:val="00283A73"/>
    <w:rsid w:val="00283EE6"/>
    <w:rsid w:val="00284CB0"/>
    <w:rsid w:val="002851F7"/>
    <w:rsid w:val="00285630"/>
    <w:rsid w:val="00287EB9"/>
    <w:rsid w:val="0029389B"/>
    <w:rsid w:val="002950D5"/>
    <w:rsid w:val="002969A3"/>
    <w:rsid w:val="00297A2C"/>
    <w:rsid w:val="002A113C"/>
    <w:rsid w:val="002A14AB"/>
    <w:rsid w:val="002A2019"/>
    <w:rsid w:val="002A25E8"/>
    <w:rsid w:val="002A3C7C"/>
    <w:rsid w:val="002A3E2F"/>
    <w:rsid w:val="002A40FA"/>
    <w:rsid w:val="002A43A3"/>
    <w:rsid w:val="002A5C2A"/>
    <w:rsid w:val="002A78F0"/>
    <w:rsid w:val="002B1255"/>
    <w:rsid w:val="002B1C1F"/>
    <w:rsid w:val="002B2660"/>
    <w:rsid w:val="002B3B11"/>
    <w:rsid w:val="002B3F26"/>
    <w:rsid w:val="002B432F"/>
    <w:rsid w:val="002B4C95"/>
    <w:rsid w:val="002B6053"/>
    <w:rsid w:val="002B6CCE"/>
    <w:rsid w:val="002B6E4A"/>
    <w:rsid w:val="002B72D6"/>
    <w:rsid w:val="002C0D6A"/>
    <w:rsid w:val="002C0FAE"/>
    <w:rsid w:val="002C14B1"/>
    <w:rsid w:val="002C2775"/>
    <w:rsid w:val="002C27C1"/>
    <w:rsid w:val="002C2B2A"/>
    <w:rsid w:val="002C45E4"/>
    <w:rsid w:val="002C6593"/>
    <w:rsid w:val="002C72AE"/>
    <w:rsid w:val="002C7D7D"/>
    <w:rsid w:val="002D0246"/>
    <w:rsid w:val="002D2382"/>
    <w:rsid w:val="002D31BB"/>
    <w:rsid w:val="002D4399"/>
    <w:rsid w:val="002D49E0"/>
    <w:rsid w:val="002D6700"/>
    <w:rsid w:val="002D6AA4"/>
    <w:rsid w:val="002D6D65"/>
    <w:rsid w:val="002D7EA2"/>
    <w:rsid w:val="002E0492"/>
    <w:rsid w:val="002E05A3"/>
    <w:rsid w:val="002E0831"/>
    <w:rsid w:val="002E4D38"/>
    <w:rsid w:val="002E5543"/>
    <w:rsid w:val="002E5B05"/>
    <w:rsid w:val="002E6205"/>
    <w:rsid w:val="002E6C83"/>
    <w:rsid w:val="002F054D"/>
    <w:rsid w:val="002F0E7B"/>
    <w:rsid w:val="002F138E"/>
    <w:rsid w:val="002F2EA8"/>
    <w:rsid w:val="002F4D44"/>
    <w:rsid w:val="002F50DF"/>
    <w:rsid w:val="002F59B4"/>
    <w:rsid w:val="002F75C3"/>
    <w:rsid w:val="002F7669"/>
    <w:rsid w:val="00300CF7"/>
    <w:rsid w:val="00301017"/>
    <w:rsid w:val="003012BD"/>
    <w:rsid w:val="00301D01"/>
    <w:rsid w:val="00301EB3"/>
    <w:rsid w:val="003048D9"/>
    <w:rsid w:val="00304D71"/>
    <w:rsid w:val="00306715"/>
    <w:rsid w:val="003067C0"/>
    <w:rsid w:val="0030786C"/>
    <w:rsid w:val="003078F6"/>
    <w:rsid w:val="0031031A"/>
    <w:rsid w:val="00310981"/>
    <w:rsid w:val="00310F27"/>
    <w:rsid w:val="00313041"/>
    <w:rsid w:val="003130EF"/>
    <w:rsid w:val="00313F4A"/>
    <w:rsid w:val="00314954"/>
    <w:rsid w:val="00314F5D"/>
    <w:rsid w:val="00315498"/>
    <w:rsid w:val="0031614B"/>
    <w:rsid w:val="0031702D"/>
    <w:rsid w:val="00320E26"/>
    <w:rsid w:val="00322795"/>
    <w:rsid w:val="00322C11"/>
    <w:rsid w:val="0032594D"/>
    <w:rsid w:val="00325D66"/>
    <w:rsid w:val="003270BC"/>
    <w:rsid w:val="00327421"/>
    <w:rsid w:val="0032795E"/>
    <w:rsid w:val="003303BE"/>
    <w:rsid w:val="00330829"/>
    <w:rsid w:val="00330B9F"/>
    <w:rsid w:val="003335E8"/>
    <w:rsid w:val="00333DAA"/>
    <w:rsid w:val="00335500"/>
    <w:rsid w:val="00336011"/>
    <w:rsid w:val="003366C9"/>
    <w:rsid w:val="00336E9D"/>
    <w:rsid w:val="003371B0"/>
    <w:rsid w:val="003374F7"/>
    <w:rsid w:val="00340830"/>
    <w:rsid w:val="0034092A"/>
    <w:rsid w:val="00340C18"/>
    <w:rsid w:val="0034117B"/>
    <w:rsid w:val="003436E4"/>
    <w:rsid w:val="00345C6B"/>
    <w:rsid w:val="0034613C"/>
    <w:rsid w:val="00347608"/>
    <w:rsid w:val="00350903"/>
    <w:rsid w:val="003510D5"/>
    <w:rsid w:val="003513E3"/>
    <w:rsid w:val="003524AE"/>
    <w:rsid w:val="00352642"/>
    <w:rsid w:val="003530D2"/>
    <w:rsid w:val="00353BF0"/>
    <w:rsid w:val="0035490C"/>
    <w:rsid w:val="0035620E"/>
    <w:rsid w:val="00356B82"/>
    <w:rsid w:val="00361966"/>
    <w:rsid w:val="00361C7A"/>
    <w:rsid w:val="00361DB5"/>
    <w:rsid w:val="0036268E"/>
    <w:rsid w:val="003628A9"/>
    <w:rsid w:val="0036292E"/>
    <w:rsid w:val="0036414B"/>
    <w:rsid w:val="0036454A"/>
    <w:rsid w:val="00364D34"/>
    <w:rsid w:val="00364D9F"/>
    <w:rsid w:val="003651ED"/>
    <w:rsid w:val="003654AB"/>
    <w:rsid w:val="003654B9"/>
    <w:rsid w:val="00365FC1"/>
    <w:rsid w:val="003662E6"/>
    <w:rsid w:val="003667CC"/>
    <w:rsid w:val="003671AF"/>
    <w:rsid w:val="00370F22"/>
    <w:rsid w:val="003719AE"/>
    <w:rsid w:val="00372CF2"/>
    <w:rsid w:val="0037380B"/>
    <w:rsid w:val="003747D9"/>
    <w:rsid w:val="003750EC"/>
    <w:rsid w:val="003767C0"/>
    <w:rsid w:val="00376CCA"/>
    <w:rsid w:val="00380EE1"/>
    <w:rsid w:val="00382C0B"/>
    <w:rsid w:val="0038365C"/>
    <w:rsid w:val="00383D92"/>
    <w:rsid w:val="00383ECD"/>
    <w:rsid w:val="0038541A"/>
    <w:rsid w:val="00387221"/>
    <w:rsid w:val="00387B0B"/>
    <w:rsid w:val="00390122"/>
    <w:rsid w:val="00390143"/>
    <w:rsid w:val="00391FA6"/>
    <w:rsid w:val="00392873"/>
    <w:rsid w:val="00394182"/>
    <w:rsid w:val="00394401"/>
    <w:rsid w:val="00394C06"/>
    <w:rsid w:val="00395189"/>
    <w:rsid w:val="003952DC"/>
    <w:rsid w:val="00395A27"/>
    <w:rsid w:val="003963E6"/>
    <w:rsid w:val="00396624"/>
    <w:rsid w:val="00396D16"/>
    <w:rsid w:val="00396E86"/>
    <w:rsid w:val="00396FD0"/>
    <w:rsid w:val="00397037"/>
    <w:rsid w:val="00397A9B"/>
    <w:rsid w:val="003A0FDE"/>
    <w:rsid w:val="003A13B0"/>
    <w:rsid w:val="003A1A7A"/>
    <w:rsid w:val="003A1D94"/>
    <w:rsid w:val="003A209E"/>
    <w:rsid w:val="003A2353"/>
    <w:rsid w:val="003A400A"/>
    <w:rsid w:val="003A41AF"/>
    <w:rsid w:val="003A42A6"/>
    <w:rsid w:val="003A4779"/>
    <w:rsid w:val="003A4A8D"/>
    <w:rsid w:val="003A7879"/>
    <w:rsid w:val="003B01B5"/>
    <w:rsid w:val="003B0840"/>
    <w:rsid w:val="003B097D"/>
    <w:rsid w:val="003B1251"/>
    <w:rsid w:val="003B20AB"/>
    <w:rsid w:val="003B3960"/>
    <w:rsid w:val="003B3971"/>
    <w:rsid w:val="003B4A0B"/>
    <w:rsid w:val="003B4F2D"/>
    <w:rsid w:val="003B534E"/>
    <w:rsid w:val="003B77E6"/>
    <w:rsid w:val="003C001B"/>
    <w:rsid w:val="003C0517"/>
    <w:rsid w:val="003C28A7"/>
    <w:rsid w:val="003C353B"/>
    <w:rsid w:val="003C3883"/>
    <w:rsid w:val="003C507B"/>
    <w:rsid w:val="003C52D6"/>
    <w:rsid w:val="003C650D"/>
    <w:rsid w:val="003C7BFE"/>
    <w:rsid w:val="003D1410"/>
    <w:rsid w:val="003D1828"/>
    <w:rsid w:val="003D2422"/>
    <w:rsid w:val="003D484A"/>
    <w:rsid w:val="003D50F2"/>
    <w:rsid w:val="003D573A"/>
    <w:rsid w:val="003D5E61"/>
    <w:rsid w:val="003D676F"/>
    <w:rsid w:val="003D75C2"/>
    <w:rsid w:val="003E001B"/>
    <w:rsid w:val="003E277D"/>
    <w:rsid w:val="003E2F54"/>
    <w:rsid w:val="003E45ED"/>
    <w:rsid w:val="003E48BB"/>
    <w:rsid w:val="003E5518"/>
    <w:rsid w:val="003E5DCB"/>
    <w:rsid w:val="003E6526"/>
    <w:rsid w:val="003E663E"/>
    <w:rsid w:val="003E7FC9"/>
    <w:rsid w:val="003F08EA"/>
    <w:rsid w:val="003F14AC"/>
    <w:rsid w:val="003F1C76"/>
    <w:rsid w:val="003F23BF"/>
    <w:rsid w:val="003F2973"/>
    <w:rsid w:val="003F35FA"/>
    <w:rsid w:val="003F3CE6"/>
    <w:rsid w:val="003F4156"/>
    <w:rsid w:val="003F463D"/>
    <w:rsid w:val="003F54A1"/>
    <w:rsid w:val="003F57B1"/>
    <w:rsid w:val="003F62AC"/>
    <w:rsid w:val="003F6663"/>
    <w:rsid w:val="003F797D"/>
    <w:rsid w:val="0040015B"/>
    <w:rsid w:val="00400309"/>
    <w:rsid w:val="00400787"/>
    <w:rsid w:val="00400828"/>
    <w:rsid w:val="00402768"/>
    <w:rsid w:val="00402A97"/>
    <w:rsid w:val="00405974"/>
    <w:rsid w:val="00406655"/>
    <w:rsid w:val="00410708"/>
    <w:rsid w:val="0041073F"/>
    <w:rsid w:val="0041083C"/>
    <w:rsid w:val="00410EC7"/>
    <w:rsid w:val="0041156B"/>
    <w:rsid w:val="00411CF4"/>
    <w:rsid w:val="004126D2"/>
    <w:rsid w:val="00412808"/>
    <w:rsid w:val="00412B12"/>
    <w:rsid w:val="0041302F"/>
    <w:rsid w:val="00413C65"/>
    <w:rsid w:val="00414476"/>
    <w:rsid w:val="004145F4"/>
    <w:rsid w:val="00415322"/>
    <w:rsid w:val="004164F5"/>
    <w:rsid w:val="00417B27"/>
    <w:rsid w:val="00417BF2"/>
    <w:rsid w:val="004209BF"/>
    <w:rsid w:val="00420B9F"/>
    <w:rsid w:val="004211EC"/>
    <w:rsid w:val="0042307F"/>
    <w:rsid w:val="0042378F"/>
    <w:rsid w:val="00424752"/>
    <w:rsid w:val="004255B1"/>
    <w:rsid w:val="00425972"/>
    <w:rsid w:val="00425A81"/>
    <w:rsid w:val="00425F34"/>
    <w:rsid w:val="0042653A"/>
    <w:rsid w:val="00430BB1"/>
    <w:rsid w:val="004310BA"/>
    <w:rsid w:val="004319F8"/>
    <w:rsid w:val="00433044"/>
    <w:rsid w:val="00434AE0"/>
    <w:rsid w:val="00434EAA"/>
    <w:rsid w:val="00437406"/>
    <w:rsid w:val="00437D8A"/>
    <w:rsid w:val="00440AEE"/>
    <w:rsid w:val="00440ED3"/>
    <w:rsid w:val="00441EB7"/>
    <w:rsid w:val="00442375"/>
    <w:rsid w:val="0044262E"/>
    <w:rsid w:val="004443A7"/>
    <w:rsid w:val="00444EB4"/>
    <w:rsid w:val="004464EB"/>
    <w:rsid w:val="00446F5C"/>
    <w:rsid w:val="00446FD0"/>
    <w:rsid w:val="0044790D"/>
    <w:rsid w:val="00447917"/>
    <w:rsid w:val="00447C69"/>
    <w:rsid w:val="0045050B"/>
    <w:rsid w:val="004507D9"/>
    <w:rsid w:val="004508B0"/>
    <w:rsid w:val="004522AD"/>
    <w:rsid w:val="004529CF"/>
    <w:rsid w:val="004539B8"/>
    <w:rsid w:val="00455D45"/>
    <w:rsid w:val="004561F5"/>
    <w:rsid w:val="004562A2"/>
    <w:rsid w:val="004565C0"/>
    <w:rsid w:val="004579F7"/>
    <w:rsid w:val="00460D1B"/>
    <w:rsid w:val="00461A39"/>
    <w:rsid w:val="00462244"/>
    <w:rsid w:val="00463235"/>
    <w:rsid w:val="00464595"/>
    <w:rsid w:val="00464907"/>
    <w:rsid w:val="004651D0"/>
    <w:rsid w:val="00465C94"/>
    <w:rsid w:val="004675AB"/>
    <w:rsid w:val="00473E99"/>
    <w:rsid w:val="00474665"/>
    <w:rsid w:val="0047471F"/>
    <w:rsid w:val="00474C9C"/>
    <w:rsid w:val="00475640"/>
    <w:rsid w:val="00476312"/>
    <w:rsid w:val="004765E8"/>
    <w:rsid w:val="00477E8E"/>
    <w:rsid w:val="00480884"/>
    <w:rsid w:val="00482049"/>
    <w:rsid w:val="0048212B"/>
    <w:rsid w:val="00482660"/>
    <w:rsid w:val="00482F80"/>
    <w:rsid w:val="004840EC"/>
    <w:rsid w:val="0048487C"/>
    <w:rsid w:val="00484A2A"/>
    <w:rsid w:val="00485B7E"/>
    <w:rsid w:val="00486430"/>
    <w:rsid w:val="0048677C"/>
    <w:rsid w:val="004867E2"/>
    <w:rsid w:val="00486945"/>
    <w:rsid w:val="00486AB8"/>
    <w:rsid w:val="004876D1"/>
    <w:rsid w:val="00487D6B"/>
    <w:rsid w:val="004901BE"/>
    <w:rsid w:val="00491B3A"/>
    <w:rsid w:val="00492CFD"/>
    <w:rsid w:val="00492F6F"/>
    <w:rsid w:val="00493E8E"/>
    <w:rsid w:val="00495EAF"/>
    <w:rsid w:val="004962D2"/>
    <w:rsid w:val="00496474"/>
    <w:rsid w:val="00496FE6"/>
    <w:rsid w:val="00497186"/>
    <w:rsid w:val="004972DE"/>
    <w:rsid w:val="00497C18"/>
    <w:rsid w:val="00497CE1"/>
    <w:rsid w:val="004A009A"/>
    <w:rsid w:val="004A0828"/>
    <w:rsid w:val="004A0DA1"/>
    <w:rsid w:val="004A18BD"/>
    <w:rsid w:val="004A1AC0"/>
    <w:rsid w:val="004A24C0"/>
    <w:rsid w:val="004A258B"/>
    <w:rsid w:val="004A28A8"/>
    <w:rsid w:val="004A4590"/>
    <w:rsid w:val="004A49FD"/>
    <w:rsid w:val="004A5959"/>
    <w:rsid w:val="004A6597"/>
    <w:rsid w:val="004A68BC"/>
    <w:rsid w:val="004A748F"/>
    <w:rsid w:val="004B05AC"/>
    <w:rsid w:val="004B15FF"/>
    <w:rsid w:val="004B18EF"/>
    <w:rsid w:val="004B1ABE"/>
    <w:rsid w:val="004B1CB4"/>
    <w:rsid w:val="004B1F1E"/>
    <w:rsid w:val="004B2F18"/>
    <w:rsid w:val="004B3714"/>
    <w:rsid w:val="004B3AE7"/>
    <w:rsid w:val="004B3DDB"/>
    <w:rsid w:val="004B44FD"/>
    <w:rsid w:val="004B533E"/>
    <w:rsid w:val="004B5344"/>
    <w:rsid w:val="004B57EA"/>
    <w:rsid w:val="004B5CFC"/>
    <w:rsid w:val="004C06B2"/>
    <w:rsid w:val="004C0D3A"/>
    <w:rsid w:val="004C1386"/>
    <w:rsid w:val="004C17F1"/>
    <w:rsid w:val="004C234B"/>
    <w:rsid w:val="004C2CB2"/>
    <w:rsid w:val="004C3B8F"/>
    <w:rsid w:val="004C3FF8"/>
    <w:rsid w:val="004C4847"/>
    <w:rsid w:val="004C4AED"/>
    <w:rsid w:val="004C4E73"/>
    <w:rsid w:val="004C6774"/>
    <w:rsid w:val="004C68A0"/>
    <w:rsid w:val="004C75E4"/>
    <w:rsid w:val="004D2EA4"/>
    <w:rsid w:val="004D4584"/>
    <w:rsid w:val="004D49BD"/>
    <w:rsid w:val="004D521A"/>
    <w:rsid w:val="004D72D2"/>
    <w:rsid w:val="004D7D17"/>
    <w:rsid w:val="004E05E1"/>
    <w:rsid w:val="004E09A4"/>
    <w:rsid w:val="004E0A7E"/>
    <w:rsid w:val="004E0EB8"/>
    <w:rsid w:val="004E2296"/>
    <w:rsid w:val="004E23EB"/>
    <w:rsid w:val="004E2ADC"/>
    <w:rsid w:val="004E2BFB"/>
    <w:rsid w:val="004E2CA3"/>
    <w:rsid w:val="004E356D"/>
    <w:rsid w:val="004E43B2"/>
    <w:rsid w:val="004E4B7B"/>
    <w:rsid w:val="004E6705"/>
    <w:rsid w:val="004F000A"/>
    <w:rsid w:val="004F0182"/>
    <w:rsid w:val="004F01CA"/>
    <w:rsid w:val="004F0392"/>
    <w:rsid w:val="004F15E5"/>
    <w:rsid w:val="004F1D02"/>
    <w:rsid w:val="004F2679"/>
    <w:rsid w:val="004F3319"/>
    <w:rsid w:val="004F46F9"/>
    <w:rsid w:val="004F4AFA"/>
    <w:rsid w:val="004F591C"/>
    <w:rsid w:val="004F5FE7"/>
    <w:rsid w:val="004F6A68"/>
    <w:rsid w:val="004F704C"/>
    <w:rsid w:val="004F7865"/>
    <w:rsid w:val="005035B6"/>
    <w:rsid w:val="0050432D"/>
    <w:rsid w:val="00504CFE"/>
    <w:rsid w:val="005051F4"/>
    <w:rsid w:val="00505358"/>
    <w:rsid w:val="00506928"/>
    <w:rsid w:val="005075CE"/>
    <w:rsid w:val="00507D5D"/>
    <w:rsid w:val="00512262"/>
    <w:rsid w:val="005132EA"/>
    <w:rsid w:val="00514152"/>
    <w:rsid w:val="0051454C"/>
    <w:rsid w:val="005152B5"/>
    <w:rsid w:val="005155B5"/>
    <w:rsid w:val="005163AE"/>
    <w:rsid w:val="005169A2"/>
    <w:rsid w:val="00520284"/>
    <w:rsid w:val="00520569"/>
    <w:rsid w:val="00520E5B"/>
    <w:rsid w:val="00521319"/>
    <w:rsid w:val="00521A9D"/>
    <w:rsid w:val="0052237A"/>
    <w:rsid w:val="00523980"/>
    <w:rsid w:val="00523C28"/>
    <w:rsid w:val="00524719"/>
    <w:rsid w:val="00524C91"/>
    <w:rsid w:val="00525AFD"/>
    <w:rsid w:val="0052692A"/>
    <w:rsid w:val="00527075"/>
    <w:rsid w:val="005305A7"/>
    <w:rsid w:val="00532874"/>
    <w:rsid w:val="00533F22"/>
    <w:rsid w:val="005350B5"/>
    <w:rsid w:val="00535646"/>
    <w:rsid w:val="00536E34"/>
    <w:rsid w:val="00537EDC"/>
    <w:rsid w:val="005403A2"/>
    <w:rsid w:val="00540C4C"/>
    <w:rsid w:val="00541269"/>
    <w:rsid w:val="005431AF"/>
    <w:rsid w:val="0054624E"/>
    <w:rsid w:val="00546374"/>
    <w:rsid w:val="005506B2"/>
    <w:rsid w:val="00551265"/>
    <w:rsid w:val="005517F3"/>
    <w:rsid w:val="00552BD3"/>
    <w:rsid w:val="00554380"/>
    <w:rsid w:val="00554A9A"/>
    <w:rsid w:val="00555109"/>
    <w:rsid w:val="005553A0"/>
    <w:rsid w:val="0055614E"/>
    <w:rsid w:val="00556723"/>
    <w:rsid w:val="005568B0"/>
    <w:rsid w:val="00560309"/>
    <w:rsid w:val="00561818"/>
    <w:rsid w:val="00561AC4"/>
    <w:rsid w:val="0056285B"/>
    <w:rsid w:val="0056308E"/>
    <w:rsid w:val="00563ABE"/>
    <w:rsid w:val="00563F50"/>
    <w:rsid w:val="0056561C"/>
    <w:rsid w:val="00565953"/>
    <w:rsid w:val="0056696F"/>
    <w:rsid w:val="00566F58"/>
    <w:rsid w:val="00570FC6"/>
    <w:rsid w:val="0057169A"/>
    <w:rsid w:val="005717A7"/>
    <w:rsid w:val="005755AB"/>
    <w:rsid w:val="00575793"/>
    <w:rsid w:val="00575D8D"/>
    <w:rsid w:val="00576084"/>
    <w:rsid w:val="00576972"/>
    <w:rsid w:val="005770B6"/>
    <w:rsid w:val="00577299"/>
    <w:rsid w:val="005802C5"/>
    <w:rsid w:val="005814DC"/>
    <w:rsid w:val="00581565"/>
    <w:rsid w:val="005817F1"/>
    <w:rsid w:val="00581EBC"/>
    <w:rsid w:val="00583699"/>
    <w:rsid w:val="0058371B"/>
    <w:rsid w:val="00583939"/>
    <w:rsid w:val="0058505E"/>
    <w:rsid w:val="00585D9F"/>
    <w:rsid w:val="00586B2E"/>
    <w:rsid w:val="00587013"/>
    <w:rsid w:val="00587BE8"/>
    <w:rsid w:val="0059117C"/>
    <w:rsid w:val="00591B53"/>
    <w:rsid w:val="0059250F"/>
    <w:rsid w:val="00593900"/>
    <w:rsid w:val="00593A6B"/>
    <w:rsid w:val="0059706D"/>
    <w:rsid w:val="005976BF"/>
    <w:rsid w:val="005A03C3"/>
    <w:rsid w:val="005A0819"/>
    <w:rsid w:val="005A1076"/>
    <w:rsid w:val="005A111F"/>
    <w:rsid w:val="005A1DA7"/>
    <w:rsid w:val="005A1DFC"/>
    <w:rsid w:val="005A2A9B"/>
    <w:rsid w:val="005A4386"/>
    <w:rsid w:val="005A55E7"/>
    <w:rsid w:val="005A6909"/>
    <w:rsid w:val="005A7549"/>
    <w:rsid w:val="005B06DF"/>
    <w:rsid w:val="005B0FF8"/>
    <w:rsid w:val="005B299E"/>
    <w:rsid w:val="005B3BA9"/>
    <w:rsid w:val="005B5857"/>
    <w:rsid w:val="005B6105"/>
    <w:rsid w:val="005B6BAB"/>
    <w:rsid w:val="005B7017"/>
    <w:rsid w:val="005B7AB3"/>
    <w:rsid w:val="005B7B4E"/>
    <w:rsid w:val="005C0214"/>
    <w:rsid w:val="005C1B83"/>
    <w:rsid w:val="005C2150"/>
    <w:rsid w:val="005C2560"/>
    <w:rsid w:val="005C2E5B"/>
    <w:rsid w:val="005C32B8"/>
    <w:rsid w:val="005C346B"/>
    <w:rsid w:val="005C3F8C"/>
    <w:rsid w:val="005C3FDB"/>
    <w:rsid w:val="005C4C3E"/>
    <w:rsid w:val="005C7E93"/>
    <w:rsid w:val="005D044D"/>
    <w:rsid w:val="005D1425"/>
    <w:rsid w:val="005D18AD"/>
    <w:rsid w:val="005D1B6E"/>
    <w:rsid w:val="005D24F9"/>
    <w:rsid w:val="005D2BC4"/>
    <w:rsid w:val="005D3DD3"/>
    <w:rsid w:val="005D55EA"/>
    <w:rsid w:val="005D64C9"/>
    <w:rsid w:val="005D7431"/>
    <w:rsid w:val="005D792D"/>
    <w:rsid w:val="005D7A81"/>
    <w:rsid w:val="005E0430"/>
    <w:rsid w:val="005E0E15"/>
    <w:rsid w:val="005E17EF"/>
    <w:rsid w:val="005E1D16"/>
    <w:rsid w:val="005E1E66"/>
    <w:rsid w:val="005E21DE"/>
    <w:rsid w:val="005E22DB"/>
    <w:rsid w:val="005E2863"/>
    <w:rsid w:val="005E2CCD"/>
    <w:rsid w:val="005E3403"/>
    <w:rsid w:val="005E4493"/>
    <w:rsid w:val="005E4679"/>
    <w:rsid w:val="005E5747"/>
    <w:rsid w:val="005E6723"/>
    <w:rsid w:val="005E73C0"/>
    <w:rsid w:val="005F079C"/>
    <w:rsid w:val="005F0859"/>
    <w:rsid w:val="005F13F7"/>
    <w:rsid w:val="005F23C4"/>
    <w:rsid w:val="005F2706"/>
    <w:rsid w:val="005F3D43"/>
    <w:rsid w:val="005F3DEB"/>
    <w:rsid w:val="005F488D"/>
    <w:rsid w:val="005F5726"/>
    <w:rsid w:val="005F58B7"/>
    <w:rsid w:val="005F5C43"/>
    <w:rsid w:val="005F633B"/>
    <w:rsid w:val="005F652C"/>
    <w:rsid w:val="005F6A8F"/>
    <w:rsid w:val="005F7692"/>
    <w:rsid w:val="006002E5"/>
    <w:rsid w:val="00601DC1"/>
    <w:rsid w:val="006027ED"/>
    <w:rsid w:val="006037EF"/>
    <w:rsid w:val="00604341"/>
    <w:rsid w:val="00604607"/>
    <w:rsid w:val="00605616"/>
    <w:rsid w:val="00606B06"/>
    <w:rsid w:val="00606D6A"/>
    <w:rsid w:val="0060708D"/>
    <w:rsid w:val="00607669"/>
    <w:rsid w:val="00607C13"/>
    <w:rsid w:val="00610522"/>
    <w:rsid w:val="00611FAF"/>
    <w:rsid w:val="00612F97"/>
    <w:rsid w:val="0061345A"/>
    <w:rsid w:val="00614077"/>
    <w:rsid w:val="00614476"/>
    <w:rsid w:val="006157F4"/>
    <w:rsid w:val="0061652A"/>
    <w:rsid w:val="00616802"/>
    <w:rsid w:val="00617E12"/>
    <w:rsid w:val="0062034C"/>
    <w:rsid w:val="00621477"/>
    <w:rsid w:val="00621A15"/>
    <w:rsid w:val="00621E18"/>
    <w:rsid w:val="006223A0"/>
    <w:rsid w:val="00622E95"/>
    <w:rsid w:val="00623155"/>
    <w:rsid w:val="0062502E"/>
    <w:rsid w:val="00625981"/>
    <w:rsid w:val="00625C43"/>
    <w:rsid w:val="00627503"/>
    <w:rsid w:val="00627723"/>
    <w:rsid w:val="00630759"/>
    <w:rsid w:val="00631D6B"/>
    <w:rsid w:val="00631E60"/>
    <w:rsid w:val="00632168"/>
    <w:rsid w:val="00633B2C"/>
    <w:rsid w:val="0063479F"/>
    <w:rsid w:val="00634B50"/>
    <w:rsid w:val="00635EBD"/>
    <w:rsid w:val="006364A1"/>
    <w:rsid w:val="00636A1A"/>
    <w:rsid w:val="006374AD"/>
    <w:rsid w:val="0063768B"/>
    <w:rsid w:val="00637BFD"/>
    <w:rsid w:val="006402E2"/>
    <w:rsid w:val="006404B3"/>
    <w:rsid w:val="00640FFD"/>
    <w:rsid w:val="00642135"/>
    <w:rsid w:val="00642BE8"/>
    <w:rsid w:val="00643E5F"/>
    <w:rsid w:val="006444A8"/>
    <w:rsid w:val="00644C72"/>
    <w:rsid w:val="00645470"/>
    <w:rsid w:val="00645C14"/>
    <w:rsid w:val="006461CC"/>
    <w:rsid w:val="00646C50"/>
    <w:rsid w:val="00646F09"/>
    <w:rsid w:val="00646F78"/>
    <w:rsid w:val="006471CC"/>
    <w:rsid w:val="006479E9"/>
    <w:rsid w:val="006506F2"/>
    <w:rsid w:val="0065079F"/>
    <w:rsid w:val="00650976"/>
    <w:rsid w:val="00650A8D"/>
    <w:rsid w:val="00652C36"/>
    <w:rsid w:val="00653A39"/>
    <w:rsid w:val="00655405"/>
    <w:rsid w:val="006558F1"/>
    <w:rsid w:val="0065598F"/>
    <w:rsid w:val="00656B9C"/>
    <w:rsid w:val="0065779C"/>
    <w:rsid w:val="00660127"/>
    <w:rsid w:val="00660AAE"/>
    <w:rsid w:val="0066225C"/>
    <w:rsid w:val="00664639"/>
    <w:rsid w:val="006665EB"/>
    <w:rsid w:val="00666624"/>
    <w:rsid w:val="006670AE"/>
    <w:rsid w:val="006679D6"/>
    <w:rsid w:val="00670C3F"/>
    <w:rsid w:val="00672D01"/>
    <w:rsid w:val="006732B2"/>
    <w:rsid w:val="00673EAA"/>
    <w:rsid w:val="0067417B"/>
    <w:rsid w:val="00674E42"/>
    <w:rsid w:val="0067590B"/>
    <w:rsid w:val="00675BB1"/>
    <w:rsid w:val="006813F4"/>
    <w:rsid w:val="00682112"/>
    <w:rsid w:val="00682667"/>
    <w:rsid w:val="00683488"/>
    <w:rsid w:val="00683BCB"/>
    <w:rsid w:val="00685230"/>
    <w:rsid w:val="0068556D"/>
    <w:rsid w:val="00685BE4"/>
    <w:rsid w:val="00686500"/>
    <w:rsid w:val="006868D7"/>
    <w:rsid w:val="00686BBC"/>
    <w:rsid w:val="006872BA"/>
    <w:rsid w:val="0069102B"/>
    <w:rsid w:val="006917D7"/>
    <w:rsid w:val="00691AA7"/>
    <w:rsid w:val="0069244B"/>
    <w:rsid w:val="00693484"/>
    <w:rsid w:val="00694F44"/>
    <w:rsid w:val="006956A5"/>
    <w:rsid w:val="00695B6A"/>
    <w:rsid w:val="00696953"/>
    <w:rsid w:val="00696E70"/>
    <w:rsid w:val="006A1535"/>
    <w:rsid w:val="006A1966"/>
    <w:rsid w:val="006A4A7E"/>
    <w:rsid w:val="006A4BDC"/>
    <w:rsid w:val="006B092B"/>
    <w:rsid w:val="006B178C"/>
    <w:rsid w:val="006B2625"/>
    <w:rsid w:val="006B3E6F"/>
    <w:rsid w:val="006B47EF"/>
    <w:rsid w:val="006B5248"/>
    <w:rsid w:val="006B5E31"/>
    <w:rsid w:val="006B6405"/>
    <w:rsid w:val="006B6E3D"/>
    <w:rsid w:val="006B73C0"/>
    <w:rsid w:val="006B76EA"/>
    <w:rsid w:val="006C04BB"/>
    <w:rsid w:val="006C1D9A"/>
    <w:rsid w:val="006C1F58"/>
    <w:rsid w:val="006C26C2"/>
    <w:rsid w:val="006C2A8E"/>
    <w:rsid w:val="006C320A"/>
    <w:rsid w:val="006C4BC4"/>
    <w:rsid w:val="006C6170"/>
    <w:rsid w:val="006C76C4"/>
    <w:rsid w:val="006C79E3"/>
    <w:rsid w:val="006C7E91"/>
    <w:rsid w:val="006D0FA8"/>
    <w:rsid w:val="006D1749"/>
    <w:rsid w:val="006D176A"/>
    <w:rsid w:val="006D1C85"/>
    <w:rsid w:val="006D1F82"/>
    <w:rsid w:val="006D2963"/>
    <w:rsid w:val="006D2CCA"/>
    <w:rsid w:val="006D3C49"/>
    <w:rsid w:val="006D3C7D"/>
    <w:rsid w:val="006D3CE3"/>
    <w:rsid w:val="006D4260"/>
    <w:rsid w:val="006D5B1A"/>
    <w:rsid w:val="006D5D5F"/>
    <w:rsid w:val="006D6212"/>
    <w:rsid w:val="006D7C92"/>
    <w:rsid w:val="006E078D"/>
    <w:rsid w:val="006E3BC5"/>
    <w:rsid w:val="006E4FD8"/>
    <w:rsid w:val="006E5141"/>
    <w:rsid w:val="006E51A1"/>
    <w:rsid w:val="006E7279"/>
    <w:rsid w:val="006E7B58"/>
    <w:rsid w:val="006E7C12"/>
    <w:rsid w:val="006F104F"/>
    <w:rsid w:val="006F235F"/>
    <w:rsid w:val="006F3B34"/>
    <w:rsid w:val="006F5481"/>
    <w:rsid w:val="006F5A0F"/>
    <w:rsid w:val="006F6307"/>
    <w:rsid w:val="006F63A5"/>
    <w:rsid w:val="006F679B"/>
    <w:rsid w:val="006F696C"/>
    <w:rsid w:val="006F69C8"/>
    <w:rsid w:val="006F794A"/>
    <w:rsid w:val="0070276E"/>
    <w:rsid w:val="00702F8F"/>
    <w:rsid w:val="00704160"/>
    <w:rsid w:val="007050DE"/>
    <w:rsid w:val="007055E0"/>
    <w:rsid w:val="0070656D"/>
    <w:rsid w:val="00706DA8"/>
    <w:rsid w:val="00707C0C"/>
    <w:rsid w:val="007101B8"/>
    <w:rsid w:val="00710DBA"/>
    <w:rsid w:val="00711A36"/>
    <w:rsid w:val="007125FF"/>
    <w:rsid w:val="00712917"/>
    <w:rsid w:val="00714CAF"/>
    <w:rsid w:val="00716073"/>
    <w:rsid w:val="007161B2"/>
    <w:rsid w:val="0071636C"/>
    <w:rsid w:val="00716CED"/>
    <w:rsid w:val="007171B5"/>
    <w:rsid w:val="007172AD"/>
    <w:rsid w:val="0071749C"/>
    <w:rsid w:val="00717B9F"/>
    <w:rsid w:val="00720698"/>
    <w:rsid w:val="0072092D"/>
    <w:rsid w:val="0072299E"/>
    <w:rsid w:val="00724117"/>
    <w:rsid w:val="0072416F"/>
    <w:rsid w:val="00726A87"/>
    <w:rsid w:val="00727CFD"/>
    <w:rsid w:val="00730885"/>
    <w:rsid w:val="007308DD"/>
    <w:rsid w:val="00731F26"/>
    <w:rsid w:val="007335BF"/>
    <w:rsid w:val="00735328"/>
    <w:rsid w:val="00735620"/>
    <w:rsid w:val="00736642"/>
    <w:rsid w:val="0073685B"/>
    <w:rsid w:val="00736BDD"/>
    <w:rsid w:val="00742710"/>
    <w:rsid w:val="00743580"/>
    <w:rsid w:val="007435B6"/>
    <w:rsid w:val="00747526"/>
    <w:rsid w:val="007479BD"/>
    <w:rsid w:val="0075035B"/>
    <w:rsid w:val="00750400"/>
    <w:rsid w:val="00750670"/>
    <w:rsid w:val="00751771"/>
    <w:rsid w:val="00751A1B"/>
    <w:rsid w:val="00753735"/>
    <w:rsid w:val="007537AD"/>
    <w:rsid w:val="00753CE9"/>
    <w:rsid w:val="00754EA2"/>
    <w:rsid w:val="007579C5"/>
    <w:rsid w:val="00761FF7"/>
    <w:rsid w:val="0076515F"/>
    <w:rsid w:val="007659B7"/>
    <w:rsid w:val="007667B5"/>
    <w:rsid w:val="00766D06"/>
    <w:rsid w:val="00767300"/>
    <w:rsid w:val="0077014B"/>
    <w:rsid w:val="00770480"/>
    <w:rsid w:val="007708AD"/>
    <w:rsid w:val="0077177E"/>
    <w:rsid w:val="0077180D"/>
    <w:rsid w:val="007721DF"/>
    <w:rsid w:val="00773BCB"/>
    <w:rsid w:val="0077432A"/>
    <w:rsid w:val="00774ABD"/>
    <w:rsid w:val="00774B61"/>
    <w:rsid w:val="00775300"/>
    <w:rsid w:val="007756B2"/>
    <w:rsid w:val="00776829"/>
    <w:rsid w:val="00780FE7"/>
    <w:rsid w:val="007812B8"/>
    <w:rsid w:val="007825E4"/>
    <w:rsid w:val="00782676"/>
    <w:rsid w:val="00782E70"/>
    <w:rsid w:val="00783446"/>
    <w:rsid w:val="00783EB6"/>
    <w:rsid w:val="00783F3A"/>
    <w:rsid w:val="0078413B"/>
    <w:rsid w:val="00784250"/>
    <w:rsid w:val="007844ED"/>
    <w:rsid w:val="007847A3"/>
    <w:rsid w:val="007848DA"/>
    <w:rsid w:val="0078595E"/>
    <w:rsid w:val="00785CD4"/>
    <w:rsid w:val="00786796"/>
    <w:rsid w:val="00786DF8"/>
    <w:rsid w:val="00787723"/>
    <w:rsid w:val="00787AE1"/>
    <w:rsid w:val="0079019C"/>
    <w:rsid w:val="0079159F"/>
    <w:rsid w:val="00791739"/>
    <w:rsid w:val="0079242D"/>
    <w:rsid w:val="00792B39"/>
    <w:rsid w:val="00792FE8"/>
    <w:rsid w:val="007934DF"/>
    <w:rsid w:val="00793F31"/>
    <w:rsid w:val="00794BE7"/>
    <w:rsid w:val="00795C89"/>
    <w:rsid w:val="00796013"/>
    <w:rsid w:val="0079657D"/>
    <w:rsid w:val="00797F1F"/>
    <w:rsid w:val="007A0898"/>
    <w:rsid w:val="007A09A3"/>
    <w:rsid w:val="007A0A12"/>
    <w:rsid w:val="007A2727"/>
    <w:rsid w:val="007A7A31"/>
    <w:rsid w:val="007B05CB"/>
    <w:rsid w:val="007B19AD"/>
    <w:rsid w:val="007B1B30"/>
    <w:rsid w:val="007B251D"/>
    <w:rsid w:val="007B34DC"/>
    <w:rsid w:val="007B49C1"/>
    <w:rsid w:val="007B68D7"/>
    <w:rsid w:val="007B77D1"/>
    <w:rsid w:val="007B7E17"/>
    <w:rsid w:val="007C24DE"/>
    <w:rsid w:val="007C317B"/>
    <w:rsid w:val="007C361D"/>
    <w:rsid w:val="007C47DC"/>
    <w:rsid w:val="007C6027"/>
    <w:rsid w:val="007C637D"/>
    <w:rsid w:val="007C7E58"/>
    <w:rsid w:val="007C7FA8"/>
    <w:rsid w:val="007D0B38"/>
    <w:rsid w:val="007D1CFF"/>
    <w:rsid w:val="007D2A2F"/>
    <w:rsid w:val="007D2BE3"/>
    <w:rsid w:val="007D4740"/>
    <w:rsid w:val="007D6B7F"/>
    <w:rsid w:val="007D795A"/>
    <w:rsid w:val="007E0617"/>
    <w:rsid w:val="007E0C5D"/>
    <w:rsid w:val="007E20B0"/>
    <w:rsid w:val="007E2CB2"/>
    <w:rsid w:val="007E355F"/>
    <w:rsid w:val="007E47A3"/>
    <w:rsid w:val="007E4A9D"/>
    <w:rsid w:val="007E6B75"/>
    <w:rsid w:val="007F0DB7"/>
    <w:rsid w:val="007F1017"/>
    <w:rsid w:val="007F1052"/>
    <w:rsid w:val="007F1F4F"/>
    <w:rsid w:val="007F3C6B"/>
    <w:rsid w:val="007F4A3F"/>
    <w:rsid w:val="007F65AA"/>
    <w:rsid w:val="007F665D"/>
    <w:rsid w:val="00801898"/>
    <w:rsid w:val="00801D17"/>
    <w:rsid w:val="00801E23"/>
    <w:rsid w:val="00802512"/>
    <w:rsid w:val="00802871"/>
    <w:rsid w:val="0080376A"/>
    <w:rsid w:val="00803C34"/>
    <w:rsid w:val="00804905"/>
    <w:rsid w:val="00805142"/>
    <w:rsid w:val="008058E2"/>
    <w:rsid w:val="00805E6E"/>
    <w:rsid w:val="00807A8B"/>
    <w:rsid w:val="00810D10"/>
    <w:rsid w:val="008117D0"/>
    <w:rsid w:val="00811D0B"/>
    <w:rsid w:val="00812149"/>
    <w:rsid w:val="008129C6"/>
    <w:rsid w:val="00813B91"/>
    <w:rsid w:val="008157D1"/>
    <w:rsid w:val="00815877"/>
    <w:rsid w:val="0081607B"/>
    <w:rsid w:val="008166EF"/>
    <w:rsid w:val="0081735C"/>
    <w:rsid w:val="00817D20"/>
    <w:rsid w:val="008204A3"/>
    <w:rsid w:val="00821C27"/>
    <w:rsid w:val="00821DE8"/>
    <w:rsid w:val="00822CC3"/>
    <w:rsid w:val="00822E20"/>
    <w:rsid w:val="00824C64"/>
    <w:rsid w:val="008251CE"/>
    <w:rsid w:val="00825687"/>
    <w:rsid w:val="008256AA"/>
    <w:rsid w:val="00825D43"/>
    <w:rsid w:val="00826191"/>
    <w:rsid w:val="008264EB"/>
    <w:rsid w:val="00826AFF"/>
    <w:rsid w:val="00826E7C"/>
    <w:rsid w:val="00827971"/>
    <w:rsid w:val="00827E83"/>
    <w:rsid w:val="008315E0"/>
    <w:rsid w:val="008326F3"/>
    <w:rsid w:val="00833406"/>
    <w:rsid w:val="00833919"/>
    <w:rsid w:val="00833B05"/>
    <w:rsid w:val="00834064"/>
    <w:rsid w:val="00835A32"/>
    <w:rsid w:val="00835BA2"/>
    <w:rsid w:val="008362C0"/>
    <w:rsid w:val="0084079D"/>
    <w:rsid w:val="00840A7B"/>
    <w:rsid w:val="00840CA2"/>
    <w:rsid w:val="008438C5"/>
    <w:rsid w:val="00844244"/>
    <w:rsid w:val="00844641"/>
    <w:rsid w:val="0084494A"/>
    <w:rsid w:val="00845E32"/>
    <w:rsid w:val="00846197"/>
    <w:rsid w:val="00847661"/>
    <w:rsid w:val="008477F6"/>
    <w:rsid w:val="00847ED9"/>
    <w:rsid w:val="008522DE"/>
    <w:rsid w:val="00852B2E"/>
    <w:rsid w:val="0085356A"/>
    <w:rsid w:val="00854596"/>
    <w:rsid w:val="00856E9A"/>
    <w:rsid w:val="00857CA6"/>
    <w:rsid w:val="00860AC5"/>
    <w:rsid w:val="008616D3"/>
    <w:rsid w:val="00862502"/>
    <w:rsid w:val="00863862"/>
    <w:rsid w:val="00863929"/>
    <w:rsid w:val="008657E6"/>
    <w:rsid w:val="00867C53"/>
    <w:rsid w:val="008713D4"/>
    <w:rsid w:val="008721B6"/>
    <w:rsid w:val="00872EC5"/>
    <w:rsid w:val="008744A5"/>
    <w:rsid w:val="00874A24"/>
    <w:rsid w:val="00875FE9"/>
    <w:rsid w:val="008813EC"/>
    <w:rsid w:val="00881801"/>
    <w:rsid w:val="00882874"/>
    <w:rsid w:val="00883787"/>
    <w:rsid w:val="008844D0"/>
    <w:rsid w:val="008853DD"/>
    <w:rsid w:val="00886394"/>
    <w:rsid w:val="008868FC"/>
    <w:rsid w:val="00886CD9"/>
    <w:rsid w:val="00887534"/>
    <w:rsid w:val="008875CC"/>
    <w:rsid w:val="00887877"/>
    <w:rsid w:val="00887D7E"/>
    <w:rsid w:val="00893A0F"/>
    <w:rsid w:val="00894489"/>
    <w:rsid w:val="00894817"/>
    <w:rsid w:val="00894B72"/>
    <w:rsid w:val="00894EB3"/>
    <w:rsid w:val="0089542F"/>
    <w:rsid w:val="00895767"/>
    <w:rsid w:val="008958BF"/>
    <w:rsid w:val="00895E93"/>
    <w:rsid w:val="00895EE2"/>
    <w:rsid w:val="008960A1"/>
    <w:rsid w:val="008963A5"/>
    <w:rsid w:val="008A04DB"/>
    <w:rsid w:val="008A08D9"/>
    <w:rsid w:val="008A1732"/>
    <w:rsid w:val="008A2A8A"/>
    <w:rsid w:val="008A3302"/>
    <w:rsid w:val="008A3C3E"/>
    <w:rsid w:val="008A52E5"/>
    <w:rsid w:val="008A5305"/>
    <w:rsid w:val="008A5934"/>
    <w:rsid w:val="008A79DE"/>
    <w:rsid w:val="008A7D59"/>
    <w:rsid w:val="008B3ED8"/>
    <w:rsid w:val="008B56EC"/>
    <w:rsid w:val="008B5874"/>
    <w:rsid w:val="008B7698"/>
    <w:rsid w:val="008B7818"/>
    <w:rsid w:val="008B7D7E"/>
    <w:rsid w:val="008B7D92"/>
    <w:rsid w:val="008C0AC1"/>
    <w:rsid w:val="008C2195"/>
    <w:rsid w:val="008C25B0"/>
    <w:rsid w:val="008C2A84"/>
    <w:rsid w:val="008C34D2"/>
    <w:rsid w:val="008C3E05"/>
    <w:rsid w:val="008C40EA"/>
    <w:rsid w:val="008C5C99"/>
    <w:rsid w:val="008C5CC4"/>
    <w:rsid w:val="008C69B4"/>
    <w:rsid w:val="008C6B46"/>
    <w:rsid w:val="008C7ECB"/>
    <w:rsid w:val="008D0407"/>
    <w:rsid w:val="008D1193"/>
    <w:rsid w:val="008D1C3C"/>
    <w:rsid w:val="008D25FB"/>
    <w:rsid w:val="008D2E25"/>
    <w:rsid w:val="008D34BC"/>
    <w:rsid w:val="008D4358"/>
    <w:rsid w:val="008D6937"/>
    <w:rsid w:val="008D6F90"/>
    <w:rsid w:val="008D7329"/>
    <w:rsid w:val="008D7B99"/>
    <w:rsid w:val="008E1B9E"/>
    <w:rsid w:val="008E240B"/>
    <w:rsid w:val="008E351D"/>
    <w:rsid w:val="008E3AB6"/>
    <w:rsid w:val="008E488A"/>
    <w:rsid w:val="008E5162"/>
    <w:rsid w:val="008E5B58"/>
    <w:rsid w:val="008E5F1D"/>
    <w:rsid w:val="008E7732"/>
    <w:rsid w:val="008E7AF6"/>
    <w:rsid w:val="008E7F71"/>
    <w:rsid w:val="008F120A"/>
    <w:rsid w:val="008F1AA0"/>
    <w:rsid w:val="008F1B19"/>
    <w:rsid w:val="008F1B94"/>
    <w:rsid w:val="008F1D45"/>
    <w:rsid w:val="008F1DCC"/>
    <w:rsid w:val="008F2FE0"/>
    <w:rsid w:val="008F3016"/>
    <w:rsid w:val="008F32B8"/>
    <w:rsid w:val="008F33D8"/>
    <w:rsid w:val="008F36A3"/>
    <w:rsid w:val="008F37B3"/>
    <w:rsid w:val="008F39D7"/>
    <w:rsid w:val="008F48EB"/>
    <w:rsid w:val="008F4C0F"/>
    <w:rsid w:val="008F4F0B"/>
    <w:rsid w:val="008F55CD"/>
    <w:rsid w:val="008F61F1"/>
    <w:rsid w:val="008F693D"/>
    <w:rsid w:val="008F7F66"/>
    <w:rsid w:val="00901425"/>
    <w:rsid w:val="009020D2"/>
    <w:rsid w:val="009022EE"/>
    <w:rsid w:val="0090233C"/>
    <w:rsid w:val="009029BD"/>
    <w:rsid w:val="00902D0A"/>
    <w:rsid w:val="00902D39"/>
    <w:rsid w:val="009032A9"/>
    <w:rsid w:val="009038EE"/>
    <w:rsid w:val="009057D8"/>
    <w:rsid w:val="009062A5"/>
    <w:rsid w:val="00907857"/>
    <w:rsid w:val="00910A8C"/>
    <w:rsid w:val="009110B6"/>
    <w:rsid w:val="00911272"/>
    <w:rsid w:val="00912163"/>
    <w:rsid w:val="00912909"/>
    <w:rsid w:val="00912B9F"/>
    <w:rsid w:val="00913763"/>
    <w:rsid w:val="009137C0"/>
    <w:rsid w:val="00914530"/>
    <w:rsid w:val="00915F90"/>
    <w:rsid w:val="00916EFE"/>
    <w:rsid w:val="009203E0"/>
    <w:rsid w:val="00920EE5"/>
    <w:rsid w:val="009220FE"/>
    <w:rsid w:val="0092246B"/>
    <w:rsid w:val="009225FE"/>
    <w:rsid w:val="0092263B"/>
    <w:rsid w:val="00924F32"/>
    <w:rsid w:val="009262D2"/>
    <w:rsid w:val="00926718"/>
    <w:rsid w:val="009303DC"/>
    <w:rsid w:val="00931CDD"/>
    <w:rsid w:val="00931ED9"/>
    <w:rsid w:val="00932263"/>
    <w:rsid w:val="00932E27"/>
    <w:rsid w:val="00933305"/>
    <w:rsid w:val="00933434"/>
    <w:rsid w:val="009334BD"/>
    <w:rsid w:val="00933D23"/>
    <w:rsid w:val="00936B36"/>
    <w:rsid w:val="00937216"/>
    <w:rsid w:val="00937F1F"/>
    <w:rsid w:val="00940EE6"/>
    <w:rsid w:val="00942195"/>
    <w:rsid w:val="00943125"/>
    <w:rsid w:val="0094387D"/>
    <w:rsid w:val="00944772"/>
    <w:rsid w:val="0094770F"/>
    <w:rsid w:val="009502D3"/>
    <w:rsid w:val="009512AC"/>
    <w:rsid w:val="009520B3"/>
    <w:rsid w:val="00952369"/>
    <w:rsid w:val="009523BC"/>
    <w:rsid w:val="00953C02"/>
    <w:rsid w:val="00954E81"/>
    <w:rsid w:val="00957513"/>
    <w:rsid w:val="00960600"/>
    <w:rsid w:val="00960EDC"/>
    <w:rsid w:val="00961198"/>
    <w:rsid w:val="00962CB9"/>
    <w:rsid w:val="00962FD9"/>
    <w:rsid w:val="009637BC"/>
    <w:rsid w:val="00963BDC"/>
    <w:rsid w:val="00964312"/>
    <w:rsid w:val="00964CC3"/>
    <w:rsid w:val="009653C6"/>
    <w:rsid w:val="00965A7A"/>
    <w:rsid w:val="00965C7B"/>
    <w:rsid w:val="0096602F"/>
    <w:rsid w:val="009662E9"/>
    <w:rsid w:val="00967294"/>
    <w:rsid w:val="0096796A"/>
    <w:rsid w:val="0097090D"/>
    <w:rsid w:val="00971963"/>
    <w:rsid w:val="00972909"/>
    <w:rsid w:val="009729BC"/>
    <w:rsid w:val="00972AEA"/>
    <w:rsid w:val="00973F87"/>
    <w:rsid w:val="00975A6F"/>
    <w:rsid w:val="00975C51"/>
    <w:rsid w:val="009762CD"/>
    <w:rsid w:val="00976CA1"/>
    <w:rsid w:val="00977898"/>
    <w:rsid w:val="009821F5"/>
    <w:rsid w:val="0098321A"/>
    <w:rsid w:val="009833A0"/>
    <w:rsid w:val="00983803"/>
    <w:rsid w:val="00983E57"/>
    <w:rsid w:val="0098402F"/>
    <w:rsid w:val="009847EC"/>
    <w:rsid w:val="00984BAC"/>
    <w:rsid w:val="00984CEC"/>
    <w:rsid w:val="00987C25"/>
    <w:rsid w:val="00987FFE"/>
    <w:rsid w:val="0099393C"/>
    <w:rsid w:val="00993BAF"/>
    <w:rsid w:val="009946FB"/>
    <w:rsid w:val="00994A96"/>
    <w:rsid w:val="00995E08"/>
    <w:rsid w:val="00995FB2"/>
    <w:rsid w:val="00996407"/>
    <w:rsid w:val="00996B1A"/>
    <w:rsid w:val="0099713E"/>
    <w:rsid w:val="00997E65"/>
    <w:rsid w:val="009A087B"/>
    <w:rsid w:val="009A08C9"/>
    <w:rsid w:val="009A1914"/>
    <w:rsid w:val="009A1B45"/>
    <w:rsid w:val="009A74B2"/>
    <w:rsid w:val="009A7E1D"/>
    <w:rsid w:val="009B00A4"/>
    <w:rsid w:val="009B11BF"/>
    <w:rsid w:val="009B127D"/>
    <w:rsid w:val="009B30AE"/>
    <w:rsid w:val="009B31A3"/>
    <w:rsid w:val="009B3D7D"/>
    <w:rsid w:val="009B3E26"/>
    <w:rsid w:val="009B44A0"/>
    <w:rsid w:val="009B51EB"/>
    <w:rsid w:val="009B5622"/>
    <w:rsid w:val="009B5E9F"/>
    <w:rsid w:val="009B5F24"/>
    <w:rsid w:val="009B6117"/>
    <w:rsid w:val="009B62B5"/>
    <w:rsid w:val="009B714F"/>
    <w:rsid w:val="009B72B3"/>
    <w:rsid w:val="009B7520"/>
    <w:rsid w:val="009C0A25"/>
    <w:rsid w:val="009C0F16"/>
    <w:rsid w:val="009C1007"/>
    <w:rsid w:val="009C14CE"/>
    <w:rsid w:val="009C1891"/>
    <w:rsid w:val="009C23F2"/>
    <w:rsid w:val="009C2717"/>
    <w:rsid w:val="009C2CAE"/>
    <w:rsid w:val="009C309B"/>
    <w:rsid w:val="009C441F"/>
    <w:rsid w:val="009C4835"/>
    <w:rsid w:val="009C580E"/>
    <w:rsid w:val="009C7311"/>
    <w:rsid w:val="009C76CE"/>
    <w:rsid w:val="009D123B"/>
    <w:rsid w:val="009D1DD4"/>
    <w:rsid w:val="009D2AE2"/>
    <w:rsid w:val="009D30F1"/>
    <w:rsid w:val="009D5127"/>
    <w:rsid w:val="009D5128"/>
    <w:rsid w:val="009D5905"/>
    <w:rsid w:val="009D5B91"/>
    <w:rsid w:val="009D5E1E"/>
    <w:rsid w:val="009D5F25"/>
    <w:rsid w:val="009D5F7A"/>
    <w:rsid w:val="009D6099"/>
    <w:rsid w:val="009D7821"/>
    <w:rsid w:val="009E1A12"/>
    <w:rsid w:val="009E3138"/>
    <w:rsid w:val="009E3436"/>
    <w:rsid w:val="009E4C07"/>
    <w:rsid w:val="009E589B"/>
    <w:rsid w:val="009E637D"/>
    <w:rsid w:val="009E66EE"/>
    <w:rsid w:val="009E7838"/>
    <w:rsid w:val="009E790A"/>
    <w:rsid w:val="009F21CA"/>
    <w:rsid w:val="009F259C"/>
    <w:rsid w:val="009F3228"/>
    <w:rsid w:val="009F3425"/>
    <w:rsid w:val="009F41FE"/>
    <w:rsid w:val="009F4945"/>
    <w:rsid w:val="009F49A4"/>
    <w:rsid w:val="009F4AAB"/>
    <w:rsid w:val="009F6624"/>
    <w:rsid w:val="00A00E53"/>
    <w:rsid w:val="00A013D3"/>
    <w:rsid w:val="00A0337E"/>
    <w:rsid w:val="00A03515"/>
    <w:rsid w:val="00A03D43"/>
    <w:rsid w:val="00A04380"/>
    <w:rsid w:val="00A049CE"/>
    <w:rsid w:val="00A05C33"/>
    <w:rsid w:val="00A072A0"/>
    <w:rsid w:val="00A073AB"/>
    <w:rsid w:val="00A073D1"/>
    <w:rsid w:val="00A10B1C"/>
    <w:rsid w:val="00A10ED8"/>
    <w:rsid w:val="00A1310E"/>
    <w:rsid w:val="00A1315D"/>
    <w:rsid w:val="00A13948"/>
    <w:rsid w:val="00A13DDD"/>
    <w:rsid w:val="00A1408F"/>
    <w:rsid w:val="00A150E3"/>
    <w:rsid w:val="00A15519"/>
    <w:rsid w:val="00A16D34"/>
    <w:rsid w:val="00A200BE"/>
    <w:rsid w:val="00A20554"/>
    <w:rsid w:val="00A207B7"/>
    <w:rsid w:val="00A20C79"/>
    <w:rsid w:val="00A230B3"/>
    <w:rsid w:val="00A23315"/>
    <w:rsid w:val="00A23A48"/>
    <w:rsid w:val="00A24206"/>
    <w:rsid w:val="00A25758"/>
    <w:rsid w:val="00A25DB8"/>
    <w:rsid w:val="00A26E0E"/>
    <w:rsid w:val="00A27AEC"/>
    <w:rsid w:val="00A27D64"/>
    <w:rsid w:val="00A30062"/>
    <w:rsid w:val="00A306C4"/>
    <w:rsid w:val="00A314DF"/>
    <w:rsid w:val="00A31B6E"/>
    <w:rsid w:val="00A31C21"/>
    <w:rsid w:val="00A32349"/>
    <w:rsid w:val="00A329BE"/>
    <w:rsid w:val="00A32EF8"/>
    <w:rsid w:val="00A34B2A"/>
    <w:rsid w:val="00A35C88"/>
    <w:rsid w:val="00A35D08"/>
    <w:rsid w:val="00A35D16"/>
    <w:rsid w:val="00A369AC"/>
    <w:rsid w:val="00A36A92"/>
    <w:rsid w:val="00A36EB6"/>
    <w:rsid w:val="00A405AB"/>
    <w:rsid w:val="00A40D0F"/>
    <w:rsid w:val="00A420AA"/>
    <w:rsid w:val="00A438B7"/>
    <w:rsid w:val="00A438C0"/>
    <w:rsid w:val="00A43C59"/>
    <w:rsid w:val="00A45A64"/>
    <w:rsid w:val="00A46312"/>
    <w:rsid w:val="00A47F2A"/>
    <w:rsid w:val="00A47F9E"/>
    <w:rsid w:val="00A50026"/>
    <w:rsid w:val="00A50ECD"/>
    <w:rsid w:val="00A519C6"/>
    <w:rsid w:val="00A5257F"/>
    <w:rsid w:val="00A52729"/>
    <w:rsid w:val="00A52C69"/>
    <w:rsid w:val="00A52E15"/>
    <w:rsid w:val="00A53211"/>
    <w:rsid w:val="00A53675"/>
    <w:rsid w:val="00A53878"/>
    <w:rsid w:val="00A53ADC"/>
    <w:rsid w:val="00A54EF3"/>
    <w:rsid w:val="00A557CE"/>
    <w:rsid w:val="00A55847"/>
    <w:rsid w:val="00A56B6A"/>
    <w:rsid w:val="00A57236"/>
    <w:rsid w:val="00A578DC"/>
    <w:rsid w:val="00A579A7"/>
    <w:rsid w:val="00A60020"/>
    <w:rsid w:val="00A608BF"/>
    <w:rsid w:val="00A609C0"/>
    <w:rsid w:val="00A60B61"/>
    <w:rsid w:val="00A61B7E"/>
    <w:rsid w:val="00A61E5B"/>
    <w:rsid w:val="00A621ED"/>
    <w:rsid w:val="00A6273B"/>
    <w:rsid w:val="00A631D5"/>
    <w:rsid w:val="00A63406"/>
    <w:rsid w:val="00A657DE"/>
    <w:rsid w:val="00A6599B"/>
    <w:rsid w:val="00A66409"/>
    <w:rsid w:val="00A6725B"/>
    <w:rsid w:val="00A7001B"/>
    <w:rsid w:val="00A7067C"/>
    <w:rsid w:val="00A725CF"/>
    <w:rsid w:val="00A72C7D"/>
    <w:rsid w:val="00A73C1B"/>
    <w:rsid w:val="00A7404B"/>
    <w:rsid w:val="00A740FB"/>
    <w:rsid w:val="00A7459A"/>
    <w:rsid w:val="00A76432"/>
    <w:rsid w:val="00A7731D"/>
    <w:rsid w:val="00A80184"/>
    <w:rsid w:val="00A81E49"/>
    <w:rsid w:val="00A8344D"/>
    <w:rsid w:val="00A83524"/>
    <w:rsid w:val="00A83CCF"/>
    <w:rsid w:val="00A8559D"/>
    <w:rsid w:val="00A863CA"/>
    <w:rsid w:val="00A86E8B"/>
    <w:rsid w:val="00A87861"/>
    <w:rsid w:val="00A9024E"/>
    <w:rsid w:val="00A90F53"/>
    <w:rsid w:val="00A911DE"/>
    <w:rsid w:val="00A920D6"/>
    <w:rsid w:val="00A9224F"/>
    <w:rsid w:val="00A92A01"/>
    <w:rsid w:val="00A92EDE"/>
    <w:rsid w:val="00A93072"/>
    <w:rsid w:val="00A93B80"/>
    <w:rsid w:val="00A9419F"/>
    <w:rsid w:val="00A94ADB"/>
    <w:rsid w:val="00A94D8B"/>
    <w:rsid w:val="00A959D8"/>
    <w:rsid w:val="00A95EAF"/>
    <w:rsid w:val="00A963FE"/>
    <w:rsid w:val="00A97F6A"/>
    <w:rsid w:val="00AA16C2"/>
    <w:rsid w:val="00AA3D8E"/>
    <w:rsid w:val="00AA417F"/>
    <w:rsid w:val="00AA4B25"/>
    <w:rsid w:val="00AA5921"/>
    <w:rsid w:val="00AA6AFC"/>
    <w:rsid w:val="00AA79D7"/>
    <w:rsid w:val="00AA7C6B"/>
    <w:rsid w:val="00AB042A"/>
    <w:rsid w:val="00AB04B3"/>
    <w:rsid w:val="00AB10C7"/>
    <w:rsid w:val="00AB1D3E"/>
    <w:rsid w:val="00AB20E4"/>
    <w:rsid w:val="00AB2D34"/>
    <w:rsid w:val="00AB3430"/>
    <w:rsid w:val="00AB355D"/>
    <w:rsid w:val="00AB3E60"/>
    <w:rsid w:val="00AB4204"/>
    <w:rsid w:val="00AB53A2"/>
    <w:rsid w:val="00AB6435"/>
    <w:rsid w:val="00AB65DB"/>
    <w:rsid w:val="00AB6ED0"/>
    <w:rsid w:val="00AB78A3"/>
    <w:rsid w:val="00AB7CFA"/>
    <w:rsid w:val="00AC3603"/>
    <w:rsid w:val="00AC36C3"/>
    <w:rsid w:val="00AC4550"/>
    <w:rsid w:val="00AC46FF"/>
    <w:rsid w:val="00AC4743"/>
    <w:rsid w:val="00AD02A5"/>
    <w:rsid w:val="00AD0946"/>
    <w:rsid w:val="00AD0CB4"/>
    <w:rsid w:val="00AD1F81"/>
    <w:rsid w:val="00AD22FC"/>
    <w:rsid w:val="00AD301D"/>
    <w:rsid w:val="00AD30D3"/>
    <w:rsid w:val="00AD392C"/>
    <w:rsid w:val="00AD4773"/>
    <w:rsid w:val="00AD5094"/>
    <w:rsid w:val="00AD570F"/>
    <w:rsid w:val="00AD5F5C"/>
    <w:rsid w:val="00AD71DD"/>
    <w:rsid w:val="00AE041C"/>
    <w:rsid w:val="00AE0934"/>
    <w:rsid w:val="00AE0E40"/>
    <w:rsid w:val="00AE1155"/>
    <w:rsid w:val="00AE1377"/>
    <w:rsid w:val="00AE21F2"/>
    <w:rsid w:val="00AE6174"/>
    <w:rsid w:val="00AE6897"/>
    <w:rsid w:val="00AE747E"/>
    <w:rsid w:val="00AE7BC1"/>
    <w:rsid w:val="00AF0FF0"/>
    <w:rsid w:val="00AF3561"/>
    <w:rsid w:val="00AF4529"/>
    <w:rsid w:val="00AF4672"/>
    <w:rsid w:val="00AF4BBF"/>
    <w:rsid w:val="00AF5070"/>
    <w:rsid w:val="00AF50B9"/>
    <w:rsid w:val="00AF7337"/>
    <w:rsid w:val="00AF769C"/>
    <w:rsid w:val="00AF77F9"/>
    <w:rsid w:val="00AF7FB1"/>
    <w:rsid w:val="00B00817"/>
    <w:rsid w:val="00B00D02"/>
    <w:rsid w:val="00B01D4C"/>
    <w:rsid w:val="00B0683B"/>
    <w:rsid w:val="00B06E66"/>
    <w:rsid w:val="00B071FD"/>
    <w:rsid w:val="00B074E0"/>
    <w:rsid w:val="00B079E3"/>
    <w:rsid w:val="00B10AC0"/>
    <w:rsid w:val="00B10AF7"/>
    <w:rsid w:val="00B118B1"/>
    <w:rsid w:val="00B12C8F"/>
    <w:rsid w:val="00B13386"/>
    <w:rsid w:val="00B137C9"/>
    <w:rsid w:val="00B14682"/>
    <w:rsid w:val="00B14ED3"/>
    <w:rsid w:val="00B159D8"/>
    <w:rsid w:val="00B179D7"/>
    <w:rsid w:val="00B204D4"/>
    <w:rsid w:val="00B20A59"/>
    <w:rsid w:val="00B20B7B"/>
    <w:rsid w:val="00B2181B"/>
    <w:rsid w:val="00B22E3B"/>
    <w:rsid w:val="00B23181"/>
    <w:rsid w:val="00B2384E"/>
    <w:rsid w:val="00B2520B"/>
    <w:rsid w:val="00B25C4E"/>
    <w:rsid w:val="00B26DDF"/>
    <w:rsid w:val="00B272E1"/>
    <w:rsid w:val="00B2780E"/>
    <w:rsid w:val="00B27B92"/>
    <w:rsid w:val="00B305AC"/>
    <w:rsid w:val="00B30CCC"/>
    <w:rsid w:val="00B30E1E"/>
    <w:rsid w:val="00B318AE"/>
    <w:rsid w:val="00B33B3D"/>
    <w:rsid w:val="00B33BC5"/>
    <w:rsid w:val="00B34E24"/>
    <w:rsid w:val="00B350B2"/>
    <w:rsid w:val="00B3512C"/>
    <w:rsid w:val="00B37864"/>
    <w:rsid w:val="00B37930"/>
    <w:rsid w:val="00B37DB8"/>
    <w:rsid w:val="00B41821"/>
    <w:rsid w:val="00B42851"/>
    <w:rsid w:val="00B429DF"/>
    <w:rsid w:val="00B4300D"/>
    <w:rsid w:val="00B44AD6"/>
    <w:rsid w:val="00B450DD"/>
    <w:rsid w:val="00B45748"/>
    <w:rsid w:val="00B4650F"/>
    <w:rsid w:val="00B46720"/>
    <w:rsid w:val="00B47D98"/>
    <w:rsid w:val="00B5026F"/>
    <w:rsid w:val="00B50DB8"/>
    <w:rsid w:val="00B522F7"/>
    <w:rsid w:val="00B53905"/>
    <w:rsid w:val="00B54B5B"/>
    <w:rsid w:val="00B5562E"/>
    <w:rsid w:val="00B565F0"/>
    <w:rsid w:val="00B5669D"/>
    <w:rsid w:val="00B57000"/>
    <w:rsid w:val="00B57F1A"/>
    <w:rsid w:val="00B60604"/>
    <w:rsid w:val="00B60939"/>
    <w:rsid w:val="00B60AFD"/>
    <w:rsid w:val="00B611A0"/>
    <w:rsid w:val="00B611CB"/>
    <w:rsid w:val="00B62715"/>
    <w:rsid w:val="00B62B39"/>
    <w:rsid w:val="00B63C30"/>
    <w:rsid w:val="00B6427E"/>
    <w:rsid w:val="00B64322"/>
    <w:rsid w:val="00B6542F"/>
    <w:rsid w:val="00B65F15"/>
    <w:rsid w:val="00B676C0"/>
    <w:rsid w:val="00B718E2"/>
    <w:rsid w:val="00B71E56"/>
    <w:rsid w:val="00B729B1"/>
    <w:rsid w:val="00B73AD2"/>
    <w:rsid w:val="00B7538F"/>
    <w:rsid w:val="00B75AB1"/>
    <w:rsid w:val="00B75BAC"/>
    <w:rsid w:val="00B75EBD"/>
    <w:rsid w:val="00B76C5D"/>
    <w:rsid w:val="00B8068E"/>
    <w:rsid w:val="00B8099B"/>
    <w:rsid w:val="00B80C0B"/>
    <w:rsid w:val="00B81065"/>
    <w:rsid w:val="00B818A4"/>
    <w:rsid w:val="00B81D2C"/>
    <w:rsid w:val="00B81D54"/>
    <w:rsid w:val="00B83075"/>
    <w:rsid w:val="00B83E48"/>
    <w:rsid w:val="00B845A7"/>
    <w:rsid w:val="00B85FE7"/>
    <w:rsid w:val="00B8649C"/>
    <w:rsid w:val="00B879CD"/>
    <w:rsid w:val="00B900C4"/>
    <w:rsid w:val="00B91C94"/>
    <w:rsid w:val="00B91E6C"/>
    <w:rsid w:val="00B92D0B"/>
    <w:rsid w:val="00B942BD"/>
    <w:rsid w:val="00B94945"/>
    <w:rsid w:val="00B95673"/>
    <w:rsid w:val="00B95D1C"/>
    <w:rsid w:val="00B961BE"/>
    <w:rsid w:val="00B96C3B"/>
    <w:rsid w:val="00B973E0"/>
    <w:rsid w:val="00B97494"/>
    <w:rsid w:val="00BA03ED"/>
    <w:rsid w:val="00BA1FEA"/>
    <w:rsid w:val="00BA47F7"/>
    <w:rsid w:val="00BA491E"/>
    <w:rsid w:val="00BA726F"/>
    <w:rsid w:val="00BB0CA1"/>
    <w:rsid w:val="00BB1C8A"/>
    <w:rsid w:val="00BB2B6A"/>
    <w:rsid w:val="00BB2FF8"/>
    <w:rsid w:val="00BB40E6"/>
    <w:rsid w:val="00BB4492"/>
    <w:rsid w:val="00BB4C30"/>
    <w:rsid w:val="00BB5DB7"/>
    <w:rsid w:val="00BB636B"/>
    <w:rsid w:val="00BB6553"/>
    <w:rsid w:val="00BB6743"/>
    <w:rsid w:val="00BB6A52"/>
    <w:rsid w:val="00BB7405"/>
    <w:rsid w:val="00BB7EC7"/>
    <w:rsid w:val="00BC0411"/>
    <w:rsid w:val="00BC047A"/>
    <w:rsid w:val="00BC08B4"/>
    <w:rsid w:val="00BC0E41"/>
    <w:rsid w:val="00BC149A"/>
    <w:rsid w:val="00BC1C82"/>
    <w:rsid w:val="00BC1EA1"/>
    <w:rsid w:val="00BC21D9"/>
    <w:rsid w:val="00BC2347"/>
    <w:rsid w:val="00BC40CA"/>
    <w:rsid w:val="00BC5CC9"/>
    <w:rsid w:val="00BC6168"/>
    <w:rsid w:val="00BC67E3"/>
    <w:rsid w:val="00BC7234"/>
    <w:rsid w:val="00BD0295"/>
    <w:rsid w:val="00BD0607"/>
    <w:rsid w:val="00BD0F8E"/>
    <w:rsid w:val="00BD10AB"/>
    <w:rsid w:val="00BD23B4"/>
    <w:rsid w:val="00BD2733"/>
    <w:rsid w:val="00BD336D"/>
    <w:rsid w:val="00BD3B53"/>
    <w:rsid w:val="00BD3E22"/>
    <w:rsid w:val="00BD4CE1"/>
    <w:rsid w:val="00BD5649"/>
    <w:rsid w:val="00BD6C40"/>
    <w:rsid w:val="00BD6CF3"/>
    <w:rsid w:val="00BE0408"/>
    <w:rsid w:val="00BE0D34"/>
    <w:rsid w:val="00BE2180"/>
    <w:rsid w:val="00BE23C9"/>
    <w:rsid w:val="00BE4275"/>
    <w:rsid w:val="00BE43D0"/>
    <w:rsid w:val="00BE4FAA"/>
    <w:rsid w:val="00BE5680"/>
    <w:rsid w:val="00BE5AAD"/>
    <w:rsid w:val="00BE5C35"/>
    <w:rsid w:val="00BE5CF3"/>
    <w:rsid w:val="00BE6648"/>
    <w:rsid w:val="00BF0C0E"/>
    <w:rsid w:val="00BF0C39"/>
    <w:rsid w:val="00BF18F2"/>
    <w:rsid w:val="00BF19BB"/>
    <w:rsid w:val="00BF1E0D"/>
    <w:rsid w:val="00BF22F6"/>
    <w:rsid w:val="00BF2433"/>
    <w:rsid w:val="00BF2CF2"/>
    <w:rsid w:val="00BF3FDB"/>
    <w:rsid w:val="00BF420E"/>
    <w:rsid w:val="00BF61C9"/>
    <w:rsid w:val="00BF7188"/>
    <w:rsid w:val="00BF727C"/>
    <w:rsid w:val="00BF7FA7"/>
    <w:rsid w:val="00C0053E"/>
    <w:rsid w:val="00C010B3"/>
    <w:rsid w:val="00C01EB5"/>
    <w:rsid w:val="00C05E2A"/>
    <w:rsid w:val="00C06147"/>
    <w:rsid w:val="00C064A0"/>
    <w:rsid w:val="00C06E1B"/>
    <w:rsid w:val="00C07114"/>
    <w:rsid w:val="00C0752E"/>
    <w:rsid w:val="00C07CC4"/>
    <w:rsid w:val="00C1020D"/>
    <w:rsid w:val="00C11CF6"/>
    <w:rsid w:val="00C1206E"/>
    <w:rsid w:val="00C12799"/>
    <w:rsid w:val="00C12E88"/>
    <w:rsid w:val="00C13423"/>
    <w:rsid w:val="00C14DDA"/>
    <w:rsid w:val="00C15498"/>
    <w:rsid w:val="00C1584F"/>
    <w:rsid w:val="00C15CC8"/>
    <w:rsid w:val="00C20AC0"/>
    <w:rsid w:val="00C23AD2"/>
    <w:rsid w:val="00C23FAB"/>
    <w:rsid w:val="00C240A6"/>
    <w:rsid w:val="00C25418"/>
    <w:rsid w:val="00C25D9C"/>
    <w:rsid w:val="00C2616F"/>
    <w:rsid w:val="00C26932"/>
    <w:rsid w:val="00C279B7"/>
    <w:rsid w:val="00C30A79"/>
    <w:rsid w:val="00C31649"/>
    <w:rsid w:val="00C332D4"/>
    <w:rsid w:val="00C33595"/>
    <w:rsid w:val="00C33DDD"/>
    <w:rsid w:val="00C34473"/>
    <w:rsid w:val="00C34FF9"/>
    <w:rsid w:val="00C35413"/>
    <w:rsid w:val="00C35696"/>
    <w:rsid w:val="00C36DC7"/>
    <w:rsid w:val="00C3721F"/>
    <w:rsid w:val="00C40385"/>
    <w:rsid w:val="00C40E90"/>
    <w:rsid w:val="00C4195F"/>
    <w:rsid w:val="00C425BC"/>
    <w:rsid w:val="00C42FC4"/>
    <w:rsid w:val="00C4311C"/>
    <w:rsid w:val="00C43E58"/>
    <w:rsid w:val="00C43ED4"/>
    <w:rsid w:val="00C4443F"/>
    <w:rsid w:val="00C44933"/>
    <w:rsid w:val="00C457D7"/>
    <w:rsid w:val="00C45D34"/>
    <w:rsid w:val="00C4660C"/>
    <w:rsid w:val="00C47291"/>
    <w:rsid w:val="00C47AEA"/>
    <w:rsid w:val="00C51860"/>
    <w:rsid w:val="00C52173"/>
    <w:rsid w:val="00C526C8"/>
    <w:rsid w:val="00C5333E"/>
    <w:rsid w:val="00C550A8"/>
    <w:rsid w:val="00C55AD2"/>
    <w:rsid w:val="00C55FE2"/>
    <w:rsid w:val="00C56C00"/>
    <w:rsid w:val="00C57E1A"/>
    <w:rsid w:val="00C602B9"/>
    <w:rsid w:val="00C61740"/>
    <w:rsid w:val="00C61BC2"/>
    <w:rsid w:val="00C62D74"/>
    <w:rsid w:val="00C6325A"/>
    <w:rsid w:val="00C637A1"/>
    <w:rsid w:val="00C65576"/>
    <w:rsid w:val="00C6608F"/>
    <w:rsid w:val="00C66165"/>
    <w:rsid w:val="00C7018B"/>
    <w:rsid w:val="00C70B0C"/>
    <w:rsid w:val="00C70ED4"/>
    <w:rsid w:val="00C73245"/>
    <w:rsid w:val="00C73856"/>
    <w:rsid w:val="00C74926"/>
    <w:rsid w:val="00C750C8"/>
    <w:rsid w:val="00C75ADD"/>
    <w:rsid w:val="00C75B18"/>
    <w:rsid w:val="00C75BAC"/>
    <w:rsid w:val="00C773E9"/>
    <w:rsid w:val="00C80ECF"/>
    <w:rsid w:val="00C814C9"/>
    <w:rsid w:val="00C816C9"/>
    <w:rsid w:val="00C81789"/>
    <w:rsid w:val="00C818E4"/>
    <w:rsid w:val="00C8213F"/>
    <w:rsid w:val="00C82B77"/>
    <w:rsid w:val="00C84632"/>
    <w:rsid w:val="00C85448"/>
    <w:rsid w:val="00C85ADB"/>
    <w:rsid w:val="00C8797A"/>
    <w:rsid w:val="00C91D9C"/>
    <w:rsid w:val="00C924D7"/>
    <w:rsid w:val="00C929FE"/>
    <w:rsid w:val="00C938CF"/>
    <w:rsid w:val="00C939AF"/>
    <w:rsid w:val="00C94ED2"/>
    <w:rsid w:val="00C9532D"/>
    <w:rsid w:val="00C956B8"/>
    <w:rsid w:val="00C95984"/>
    <w:rsid w:val="00C96097"/>
    <w:rsid w:val="00CA1129"/>
    <w:rsid w:val="00CA3310"/>
    <w:rsid w:val="00CA3D22"/>
    <w:rsid w:val="00CA3F0D"/>
    <w:rsid w:val="00CA5245"/>
    <w:rsid w:val="00CA5967"/>
    <w:rsid w:val="00CA673A"/>
    <w:rsid w:val="00CA756F"/>
    <w:rsid w:val="00CA7867"/>
    <w:rsid w:val="00CA7B09"/>
    <w:rsid w:val="00CB2505"/>
    <w:rsid w:val="00CB37D4"/>
    <w:rsid w:val="00CB42B2"/>
    <w:rsid w:val="00CB44F3"/>
    <w:rsid w:val="00CB504A"/>
    <w:rsid w:val="00CB5B1A"/>
    <w:rsid w:val="00CB66FD"/>
    <w:rsid w:val="00CB6DCF"/>
    <w:rsid w:val="00CC05ED"/>
    <w:rsid w:val="00CC1574"/>
    <w:rsid w:val="00CC16F5"/>
    <w:rsid w:val="00CC18DD"/>
    <w:rsid w:val="00CC1967"/>
    <w:rsid w:val="00CC352E"/>
    <w:rsid w:val="00CC3B64"/>
    <w:rsid w:val="00CC3FEE"/>
    <w:rsid w:val="00CC49C2"/>
    <w:rsid w:val="00CC7B32"/>
    <w:rsid w:val="00CD0637"/>
    <w:rsid w:val="00CD0F2E"/>
    <w:rsid w:val="00CD2394"/>
    <w:rsid w:val="00CD31DD"/>
    <w:rsid w:val="00CD456C"/>
    <w:rsid w:val="00CD49F7"/>
    <w:rsid w:val="00CD4D5F"/>
    <w:rsid w:val="00CD62B2"/>
    <w:rsid w:val="00CD6ADC"/>
    <w:rsid w:val="00CE123A"/>
    <w:rsid w:val="00CE1883"/>
    <w:rsid w:val="00CE1C74"/>
    <w:rsid w:val="00CE2363"/>
    <w:rsid w:val="00CE30F6"/>
    <w:rsid w:val="00CE3681"/>
    <w:rsid w:val="00CE38B3"/>
    <w:rsid w:val="00CE6274"/>
    <w:rsid w:val="00CE655E"/>
    <w:rsid w:val="00CE6E0D"/>
    <w:rsid w:val="00CF0581"/>
    <w:rsid w:val="00CF067D"/>
    <w:rsid w:val="00CF24B1"/>
    <w:rsid w:val="00CF2A99"/>
    <w:rsid w:val="00CF2E69"/>
    <w:rsid w:val="00CF3253"/>
    <w:rsid w:val="00CF39BD"/>
    <w:rsid w:val="00CF3A67"/>
    <w:rsid w:val="00CF42AA"/>
    <w:rsid w:val="00CF456B"/>
    <w:rsid w:val="00CF4741"/>
    <w:rsid w:val="00CF49AD"/>
    <w:rsid w:val="00CF5A22"/>
    <w:rsid w:val="00CF7852"/>
    <w:rsid w:val="00D005BC"/>
    <w:rsid w:val="00D0262E"/>
    <w:rsid w:val="00D02851"/>
    <w:rsid w:val="00D02D41"/>
    <w:rsid w:val="00D03387"/>
    <w:rsid w:val="00D039EB"/>
    <w:rsid w:val="00D0553D"/>
    <w:rsid w:val="00D07047"/>
    <w:rsid w:val="00D110BD"/>
    <w:rsid w:val="00D11CA5"/>
    <w:rsid w:val="00D133F4"/>
    <w:rsid w:val="00D1507C"/>
    <w:rsid w:val="00D15399"/>
    <w:rsid w:val="00D15C79"/>
    <w:rsid w:val="00D17CFD"/>
    <w:rsid w:val="00D17D6C"/>
    <w:rsid w:val="00D22278"/>
    <w:rsid w:val="00D22896"/>
    <w:rsid w:val="00D22BA4"/>
    <w:rsid w:val="00D23DBA"/>
    <w:rsid w:val="00D244A1"/>
    <w:rsid w:val="00D262D4"/>
    <w:rsid w:val="00D26F6F"/>
    <w:rsid w:val="00D27619"/>
    <w:rsid w:val="00D30532"/>
    <w:rsid w:val="00D30875"/>
    <w:rsid w:val="00D332C7"/>
    <w:rsid w:val="00D33537"/>
    <w:rsid w:val="00D337EA"/>
    <w:rsid w:val="00D34679"/>
    <w:rsid w:val="00D352A1"/>
    <w:rsid w:val="00D357FF"/>
    <w:rsid w:val="00D35833"/>
    <w:rsid w:val="00D371C4"/>
    <w:rsid w:val="00D37931"/>
    <w:rsid w:val="00D4052B"/>
    <w:rsid w:val="00D45698"/>
    <w:rsid w:val="00D46756"/>
    <w:rsid w:val="00D50183"/>
    <w:rsid w:val="00D50B9E"/>
    <w:rsid w:val="00D50F44"/>
    <w:rsid w:val="00D514E5"/>
    <w:rsid w:val="00D5175D"/>
    <w:rsid w:val="00D51C4C"/>
    <w:rsid w:val="00D5207A"/>
    <w:rsid w:val="00D54C0C"/>
    <w:rsid w:val="00D54D37"/>
    <w:rsid w:val="00D54DB3"/>
    <w:rsid w:val="00D55383"/>
    <w:rsid w:val="00D55BFF"/>
    <w:rsid w:val="00D563F8"/>
    <w:rsid w:val="00D569B0"/>
    <w:rsid w:val="00D600E1"/>
    <w:rsid w:val="00D6040B"/>
    <w:rsid w:val="00D61794"/>
    <w:rsid w:val="00D61846"/>
    <w:rsid w:val="00D619B7"/>
    <w:rsid w:val="00D62518"/>
    <w:rsid w:val="00D62F45"/>
    <w:rsid w:val="00D66C09"/>
    <w:rsid w:val="00D7120C"/>
    <w:rsid w:val="00D7224A"/>
    <w:rsid w:val="00D7463A"/>
    <w:rsid w:val="00D74ACB"/>
    <w:rsid w:val="00D74F27"/>
    <w:rsid w:val="00D766E1"/>
    <w:rsid w:val="00D76A44"/>
    <w:rsid w:val="00D76B91"/>
    <w:rsid w:val="00D76D2A"/>
    <w:rsid w:val="00D76FDB"/>
    <w:rsid w:val="00D80B99"/>
    <w:rsid w:val="00D80DC6"/>
    <w:rsid w:val="00D80EA1"/>
    <w:rsid w:val="00D80FD3"/>
    <w:rsid w:val="00D81593"/>
    <w:rsid w:val="00D81E86"/>
    <w:rsid w:val="00D83511"/>
    <w:rsid w:val="00D84B4F"/>
    <w:rsid w:val="00D856A5"/>
    <w:rsid w:val="00D8751F"/>
    <w:rsid w:val="00D87A38"/>
    <w:rsid w:val="00D87CED"/>
    <w:rsid w:val="00D91EA5"/>
    <w:rsid w:val="00D91FB4"/>
    <w:rsid w:val="00D92451"/>
    <w:rsid w:val="00D92A79"/>
    <w:rsid w:val="00D93753"/>
    <w:rsid w:val="00D938E3"/>
    <w:rsid w:val="00D9597B"/>
    <w:rsid w:val="00D95C1B"/>
    <w:rsid w:val="00D969C3"/>
    <w:rsid w:val="00D97424"/>
    <w:rsid w:val="00DA0DBE"/>
    <w:rsid w:val="00DA0E2D"/>
    <w:rsid w:val="00DA0E2F"/>
    <w:rsid w:val="00DA0F56"/>
    <w:rsid w:val="00DA21E6"/>
    <w:rsid w:val="00DA25A1"/>
    <w:rsid w:val="00DA288C"/>
    <w:rsid w:val="00DA43E1"/>
    <w:rsid w:val="00DA4B89"/>
    <w:rsid w:val="00DA57AC"/>
    <w:rsid w:val="00DA5BC5"/>
    <w:rsid w:val="00DA6033"/>
    <w:rsid w:val="00DA6AB1"/>
    <w:rsid w:val="00DA77A5"/>
    <w:rsid w:val="00DB0A95"/>
    <w:rsid w:val="00DB1A34"/>
    <w:rsid w:val="00DB22C3"/>
    <w:rsid w:val="00DB2CC1"/>
    <w:rsid w:val="00DB2CD7"/>
    <w:rsid w:val="00DB313E"/>
    <w:rsid w:val="00DB35F8"/>
    <w:rsid w:val="00DB4ECC"/>
    <w:rsid w:val="00DB6A24"/>
    <w:rsid w:val="00DB6AFE"/>
    <w:rsid w:val="00DB6BCB"/>
    <w:rsid w:val="00DB7059"/>
    <w:rsid w:val="00DB736D"/>
    <w:rsid w:val="00DC0E10"/>
    <w:rsid w:val="00DC286F"/>
    <w:rsid w:val="00DC5501"/>
    <w:rsid w:val="00DC552A"/>
    <w:rsid w:val="00DC58A2"/>
    <w:rsid w:val="00DC5A54"/>
    <w:rsid w:val="00DC5BC9"/>
    <w:rsid w:val="00DC6EF1"/>
    <w:rsid w:val="00DC7F09"/>
    <w:rsid w:val="00DD0535"/>
    <w:rsid w:val="00DD0860"/>
    <w:rsid w:val="00DD1A3A"/>
    <w:rsid w:val="00DD1AF9"/>
    <w:rsid w:val="00DD267B"/>
    <w:rsid w:val="00DD26C0"/>
    <w:rsid w:val="00DD3592"/>
    <w:rsid w:val="00DD3882"/>
    <w:rsid w:val="00DD3F28"/>
    <w:rsid w:val="00DD42D6"/>
    <w:rsid w:val="00DD4418"/>
    <w:rsid w:val="00DD4537"/>
    <w:rsid w:val="00DD4E15"/>
    <w:rsid w:val="00DD4E83"/>
    <w:rsid w:val="00DD75D7"/>
    <w:rsid w:val="00DD7C05"/>
    <w:rsid w:val="00DE049E"/>
    <w:rsid w:val="00DE1125"/>
    <w:rsid w:val="00DE1777"/>
    <w:rsid w:val="00DE2206"/>
    <w:rsid w:val="00DE3699"/>
    <w:rsid w:val="00DE3714"/>
    <w:rsid w:val="00DE3B78"/>
    <w:rsid w:val="00DE3FB6"/>
    <w:rsid w:val="00DE4F9E"/>
    <w:rsid w:val="00DE4FCB"/>
    <w:rsid w:val="00DE6598"/>
    <w:rsid w:val="00DE7495"/>
    <w:rsid w:val="00DF0BC8"/>
    <w:rsid w:val="00DF0DD1"/>
    <w:rsid w:val="00DF3718"/>
    <w:rsid w:val="00DF4201"/>
    <w:rsid w:val="00DF4E4D"/>
    <w:rsid w:val="00DF5D2B"/>
    <w:rsid w:val="00DF5FCD"/>
    <w:rsid w:val="00E0161E"/>
    <w:rsid w:val="00E041D3"/>
    <w:rsid w:val="00E045D5"/>
    <w:rsid w:val="00E0687F"/>
    <w:rsid w:val="00E071A5"/>
    <w:rsid w:val="00E07C34"/>
    <w:rsid w:val="00E07E49"/>
    <w:rsid w:val="00E10149"/>
    <w:rsid w:val="00E11211"/>
    <w:rsid w:val="00E13594"/>
    <w:rsid w:val="00E14549"/>
    <w:rsid w:val="00E16372"/>
    <w:rsid w:val="00E165C6"/>
    <w:rsid w:val="00E167F9"/>
    <w:rsid w:val="00E1702E"/>
    <w:rsid w:val="00E175B4"/>
    <w:rsid w:val="00E17D6F"/>
    <w:rsid w:val="00E200C5"/>
    <w:rsid w:val="00E203CD"/>
    <w:rsid w:val="00E20ED6"/>
    <w:rsid w:val="00E21302"/>
    <w:rsid w:val="00E21358"/>
    <w:rsid w:val="00E2193C"/>
    <w:rsid w:val="00E2249B"/>
    <w:rsid w:val="00E22652"/>
    <w:rsid w:val="00E22A0D"/>
    <w:rsid w:val="00E23648"/>
    <w:rsid w:val="00E241A9"/>
    <w:rsid w:val="00E25B21"/>
    <w:rsid w:val="00E26E0B"/>
    <w:rsid w:val="00E2771E"/>
    <w:rsid w:val="00E27ED4"/>
    <w:rsid w:val="00E30349"/>
    <w:rsid w:val="00E31085"/>
    <w:rsid w:val="00E31BA6"/>
    <w:rsid w:val="00E31BCB"/>
    <w:rsid w:val="00E3272A"/>
    <w:rsid w:val="00E33D78"/>
    <w:rsid w:val="00E342E7"/>
    <w:rsid w:val="00E3512C"/>
    <w:rsid w:val="00E35170"/>
    <w:rsid w:val="00E36279"/>
    <w:rsid w:val="00E365DF"/>
    <w:rsid w:val="00E36B2F"/>
    <w:rsid w:val="00E36D0D"/>
    <w:rsid w:val="00E37569"/>
    <w:rsid w:val="00E3761A"/>
    <w:rsid w:val="00E377E2"/>
    <w:rsid w:val="00E40AF5"/>
    <w:rsid w:val="00E41E30"/>
    <w:rsid w:val="00E420CB"/>
    <w:rsid w:val="00E43D70"/>
    <w:rsid w:val="00E44DE8"/>
    <w:rsid w:val="00E45BF0"/>
    <w:rsid w:val="00E45C9D"/>
    <w:rsid w:val="00E4628F"/>
    <w:rsid w:val="00E46EE6"/>
    <w:rsid w:val="00E47B2C"/>
    <w:rsid w:val="00E51560"/>
    <w:rsid w:val="00E526F1"/>
    <w:rsid w:val="00E52CBD"/>
    <w:rsid w:val="00E5335A"/>
    <w:rsid w:val="00E5367D"/>
    <w:rsid w:val="00E55424"/>
    <w:rsid w:val="00E55BB5"/>
    <w:rsid w:val="00E56989"/>
    <w:rsid w:val="00E5766A"/>
    <w:rsid w:val="00E57EDA"/>
    <w:rsid w:val="00E6031F"/>
    <w:rsid w:val="00E607C9"/>
    <w:rsid w:val="00E61D2C"/>
    <w:rsid w:val="00E6261D"/>
    <w:rsid w:val="00E63094"/>
    <w:rsid w:val="00E63C1D"/>
    <w:rsid w:val="00E65DFA"/>
    <w:rsid w:val="00E65E79"/>
    <w:rsid w:val="00E66F88"/>
    <w:rsid w:val="00E67416"/>
    <w:rsid w:val="00E6749B"/>
    <w:rsid w:val="00E7004A"/>
    <w:rsid w:val="00E704F5"/>
    <w:rsid w:val="00E718B6"/>
    <w:rsid w:val="00E71E41"/>
    <w:rsid w:val="00E72303"/>
    <w:rsid w:val="00E72D7B"/>
    <w:rsid w:val="00E72E06"/>
    <w:rsid w:val="00E7343C"/>
    <w:rsid w:val="00E73581"/>
    <w:rsid w:val="00E7542E"/>
    <w:rsid w:val="00E75C60"/>
    <w:rsid w:val="00E76B5C"/>
    <w:rsid w:val="00E81294"/>
    <w:rsid w:val="00E81FDA"/>
    <w:rsid w:val="00E830AD"/>
    <w:rsid w:val="00E83A15"/>
    <w:rsid w:val="00E83BDF"/>
    <w:rsid w:val="00E83E4F"/>
    <w:rsid w:val="00E84E6D"/>
    <w:rsid w:val="00E85285"/>
    <w:rsid w:val="00E854FB"/>
    <w:rsid w:val="00E85B79"/>
    <w:rsid w:val="00E85F7E"/>
    <w:rsid w:val="00E85FDF"/>
    <w:rsid w:val="00E878D7"/>
    <w:rsid w:val="00E90D2B"/>
    <w:rsid w:val="00E92209"/>
    <w:rsid w:val="00E938B2"/>
    <w:rsid w:val="00E93B53"/>
    <w:rsid w:val="00E94130"/>
    <w:rsid w:val="00E94759"/>
    <w:rsid w:val="00E95185"/>
    <w:rsid w:val="00E95619"/>
    <w:rsid w:val="00E96EB9"/>
    <w:rsid w:val="00EA11E6"/>
    <w:rsid w:val="00EA2F48"/>
    <w:rsid w:val="00EA3541"/>
    <w:rsid w:val="00EA3864"/>
    <w:rsid w:val="00EA38D6"/>
    <w:rsid w:val="00EA3FCE"/>
    <w:rsid w:val="00EA41F1"/>
    <w:rsid w:val="00EA6774"/>
    <w:rsid w:val="00EA6D57"/>
    <w:rsid w:val="00EB15B6"/>
    <w:rsid w:val="00EB1C03"/>
    <w:rsid w:val="00EB30C1"/>
    <w:rsid w:val="00EB3117"/>
    <w:rsid w:val="00EB4916"/>
    <w:rsid w:val="00EB4BDE"/>
    <w:rsid w:val="00EB5446"/>
    <w:rsid w:val="00EB5CF9"/>
    <w:rsid w:val="00EB6600"/>
    <w:rsid w:val="00EB74E5"/>
    <w:rsid w:val="00EB78F7"/>
    <w:rsid w:val="00EB79FD"/>
    <w:rsid w:val="00EC00C9"/>
    <w:rsid w:val="00EC0F19"/>
    <w:rsid w:val="00EC1C82"/>
    <w:rsid w:val="00EC282E"/>
    <w:rsid w:val="00EC2DC5"/>
    <w:rsid w:val="00EC4BB9"/>
    <w:rsid w:val="00EC50D7"/>
    <w:rsid w:val="00EC54BC"/>
    <w:rsid w:val="00EC5771"/>
    <w:rsid w:val="00EC58B2"/>
    <w:rsid w:val="00EC5EA0"/>
    <w:rsid w:val="00EC771D"/>
    <w:rsid w:val="00EC781C"/>
    <w:rsid w:val="00ED22FF"/>
    <w:rsid w:val="00ED3099"/>
    <w:rsid w:val="00ED3184"/>
    <w:rsid w:val="00ED70F2"/>
    <w:rsid w:val="00EE04ED"/>
    <w:rsid w:val="00EE07D3"/>
    <w:rsid w:val="00EE186A"/>
    <w:rsid w:val="00EE202F"/>
    <w:rsid w:val="00EE3060"/>
    <w:rsid w:val="00EE341D"/>
    <w:rsid w:val="00EE45EC"/>
    <w:rsid w:val="00EE5FC9"/>
    <w:rsid w:val="00EE7D43"/>
    <w:rsid w:val="00EF01E7"/>
    <w:rsid w:val="00EF0924"/>
    <w:rsid w:val="00EF1152"/>
    <w:rsid w:val="00EF12C7"/>
    <w:rsid w:val="00EF1D0D"/>
    <w:rsid w:val="00EF2664"/>
    <w:rsid w:val="00EF2900"/>
    <w:rsid w:val="00EF2B8C"/>
    <w:rsid w:val="00EF3E94"/>
    <w:rsid w:val="00EF4462"/>
    <w:rsid w:val="00EF468D"/>
    <w:rsid w:val="00EF59B7"/>
    <w:rsid w:val="00EF60B3"/>
    <w:rsid w:val="00EF60D2"/>
    <w:rsid w:val="00EF6CAD"/>
    <w:rsid w:val="00EF6EBD"/>
    <w:rsid w:val="00EF796A"/>
    <w:rsid w:val="00F0007C"/>
    <w:rsid w:val="00F00F3F"/>
    <w:rsid w:val="00F00FF1"/>
    <w:rsid w:val="00F013A0"/>
    <w:rsid w:val="00F014D4"/>
    <w:rsid w:val="00F01675"/>
    <w:rsid w:val="00F022A3"/>
    <w:rsid w:val="00F02780"/>
    <w:rsid w:val="00F032F3"/>
    <w:rsid w:val="00F04328"/>
    <w:rsid w:val="00F04706"/>
    <w:rsid w:val="00F056E5"/>
    <w:rsid w:val="00F067A2"/>
    <w:rsid w:val="00F077E8"/>
    <w:rsid w:val="00F10D0A"/>
    <w:rsid w:val="00F11F69"/>
    <w:rsid w:val="00F123E0"/>
    <w:rsid w:val="00F12C55"/>
    <w:rsid w:val="00F144F8"/>
    <w:rsid w:val="00F16880"/>
    <w:rsid w:val="00F179D1"/>
    <w:rsid w:val="00F20575"/>
    <w:rsid w:val="00F209A1"/>
    <w:rsid w:val="00F2193F"/>
    <w:rsid w:val="00F21AA8"/>
    <w:rsid w:val="00F238AB"/>
    <w:rsid w:val="00F23AE1"/>
    <w:rsid w:val="00F24837"/>
    <w:rsid w:val="00F2575F"/>
    <w:rsid w:val="00F25906"/>
    <w:rsid w:val="00F27F7C"/>
    <w:rsid w:val="00F3077F"/>
    <w:rsid w:val="00F31396"/>
    <w:rsid w:val="00F32B2D"/>
    <w:rsid w:val="00F32D8C"/>
    <w:rsid w:val="00F33269"/>
    <w:rsid w:val="00F33DE9"/>
    <w:rsid w:val="00F34CE8"/>
    <w:rsid w:val="00F3507A"/>
    <w:rsid w:val="00F3531E"/>
    <w:rsid w:val="00F3619A"/>
    <w:rsid w:val="00F401FF"/>
    <w:rsid w:val="00F40D57"/>
    <w:rsid w:val="00F41829"/>
    <w:rsid w:val="00F4199E"/>
    <w:rsid w:val="00F42E7C"/>
    <w:rsid w:val="00F435F5"/>
    <w:rsid w:val="00F4451A"/>
    <w:rsid w:val="00F449A7"/>
    <w:rsid w:val="00F44D7D"/>
    <w:rsid w:val="00F46CB6"/>
    <w:rsid w:val="00F47113"/>
    <w:rsid w:val="00F47513"/>
    <w:rsid w:val="00F5075C"/>
    <w:rsid w:val="00F50888"/>
    <w:rsid w:val="00F50E93"/>
    <w:rsid w:val="00F50FB0"/>
    <w:rsid w:val="00F5117D"/>
    <w:rsid w:val="00F517A6"/>
    <w:rsid w:val="00F51ABC"/>
    <w:rsid w:val="00F52911"/>
    <w:rsid w:val="00F535E0"/>
    <w:rsid w:val="00F53BEF"/>
    <w:rsid w:val="00F55584"/>
    <w:rsid w:val="00F55861"/>
    <w:rsid w:val="00F55899"/>
    <w:rsid w:val="00F55E73"/>
    <w:rsid w:val="00F5620F"/>
    <w:rsid w:val="00F568DE"/>
    <w:rsid w:val="00F571A2"/>
    <w:rsid w:val="00F57288"/>
    <w:rsid w:val="00F60092"/>
    <w:rsid w:val="00F60202"/>
    <w:rsid w:val="00F61702"/>
    <w:rsid w:val="00F644F3"/>
    <w:rsid w:val="00F64FAC"/>
    <w:rsid w:val="00F65DAE"/>
    <w:rsid w:val="00F66BF0"/>
    <w:rsid w:val="00F715F4"/>
    <w:rsid w:val="00F72FBB"/>
    <w:rsid w:val="00F73954"/>
    <w:rsid w:val="00F73E44"/>
    <w:rsid w:val="00F80E5D"/>
    <w:rsid w:val="00F814F3"/>
    <w:rsid w:val="00F8150B"/>
    <w:rsid w:val="00F81511"/>
    <w:rsid w:val="00F81AD7"/>
    <w:rsid w:val="00F837D2"/>
    <w:rsid w:val="00F8450A"/>
    <w:rsid w:val="00F851CE"/>
    <w:rsid w:val="00F85EC2"/>
    <w:rsid w:val="00F86892"/>
    <w:rsid w:val="00F8768C"/>
    <w:rsid w:val="00F877D8"/>
    <w:rsid w:val="00F87ABC"/>
    <w:rsid w:val="00F91F36"/>
    <w:rsid w:val="00F92FE4"/>
    <w:rsid w:val="00F943CA"/>
    <w:rsid w:val="00F94681"/>
    <w:rsid w:val="00F95730"/>
    <w:rsid w:val="00F961F9"/>
    <w:rsid w:val="00F9674E"/>
    <w:rsid w:val="00F976C6"/>
    <w:rsid w:val="00F978B1"/>
    <w:rsid w:val="00F97A78"/>
    <w:rsid w:val="00FA0572"/>
    <w:rsid w:val="00FA075C"/>
    <w:rsid w:val="00FA238F"/>
    <w:rsid w:val="00FA24E7"/>
    <w:rsid w:val="00FA3536"/>
    <w:rsid w:val="00FA5DD9"/>
    <w:rsid w:val="00FA6F1C"/>
    <w:rsid w:val="00FA7FAA"/>
    <w:rsid w:val="00FB2FCB"/>
    <w:rsid w:val="00FB5E93"/>
    <w:rsid w:val="00FB6A7D"/>
    <w:rsid w:val="00FB6AE7"/>
    <w:rsid w:val="00FB7A1E"/>
    <w:rsid w:val="00FC0767"/>
    <w:rsid w:val="00FC087A"/>
    <w:rsid w:val="00FC1074"/>
    <w:rsid w:val="00FC1884"/>
    <w:rsid w:val="00FC1C72"/>
    <w:rsid w:val="00FC1F2D"/>
    <w:rsid w:val="00FC2C4B"/>
    <w:rsid w:val="00FC3DE2"/>
    <w:rsid w:val="00FC5728"/>
    <w:rsid w:val="00FC5774"/>
    <w:rsid w:val="00FC5F03"/>
    <w:rsid w:val="00FC7E76"/>
    <w:rsid w:val="00FD1850"/>
    <w:rsid w:val="00FD1BEC"/>
    <w:rsid w:val="00FD2100"/>
    <w:rsid w:val="00FD43EB"/>
    <w:rsid w:val="00FD446D"/>
    <w:rsid w:val="00FD620F"/>
    <w:rsid w:val="00FD72BD"/>
    <w:rsid w:val="00FE00B3"/>
    <w:rsid w:val="00FE0A7A"/>
    <w:rsid w:val="00FE0C9E"/>
    <w:rsid w:val="00FE0D35"/>
    <w:rsid w:val="00FE11C3"/>
    <w:rsid w:val="00FE25CF"/>
    <w:rsid w:val="00FE2A91"/>
    <w:rsid w:val="00FE387C"/>
    <w:rsid w:val="00FE4B68"/>
    <w:rsid w:val="00FE5414"/>
    <w:rsid w:val="00FE5F8A"/>
    <w:rsid w:val="00FE6467"/>
    <w:rsid w:val="00FF0447"/>
    <w:rsid w:val="00FF08AA"/>
    <w:rsid w:val="00FF2D0A"/>
    <w:rsid w:val="00FF33A0"/>
    <w:rsid w:val="00FF3DCF"/>
    <w:rsid w:val="00FF51AF"/>
    <w:rsid w:val="00FF54D7"/>
    <w:rsid w:val="00FF550E"/>
    <w:rsid w:val="00FF5AA3"/>
    <w:rsid w:val="00FF5BEF"/>
    <w:rsid w:val="00FF6651"/>
    <w:rsid w:val="00FF67AA"/>
    <w:rsid w:val="00FF6C09"/>
    <w:rsid w:val="00FF7612"/>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annotation reference" w:uiPriority="99" w:qFormat="1"/>
    <w:lsdException w:name="Body Text"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4508B0"/>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C57E1A"/>
    <w:rPr>
      <w:sz w:val="20"/>
    </w:rPr>
  </w:style>
  <w:style w:type="character" w:customStyle="1" w:styleId="FootnoteTextChar">
    <w:name w:val="Footnote Text Char"/>
    <w:basedOn w:val="DefaultParagraphFont"/>
    <w:link w:val="FootnoteText"/>
    <w:semiHidden/>
    <w:rsid w:val="00C57E1A"/>
    <w:rPr>
      <w:rFonts w:ascii="Arial" w:hAnsi="Arial" w:cs="Arial"/>
      <w:snapToGrid w:val="0"/>
      <w:lang w:eastAsia="en-US"/>
    </w:rPr>
  </w:style>
  <w:style w:type="character" w:styleId="FootnoteReference">
    <w:name w:val="footnote reference"/>
    <w:basedOn w:val="DefaultParagraphFont"/>
    <w:semiHidden/>
    <w:unhideWhenUsed/>
    <w:rsid w:val="00C57E1A"/>
    <w:rPr>
      <w:vertAlign w:val="superscript"/>
    </w:rPr>
  </w:style>
  <w:style w:type="paragraph" w:customStyle="1" w:styleId="EndNoteBibliographyTitle">
    <w:name w:val="EndNote Bibliography Title"/>
    <w:basedOn w:val="Normal"/>
    <w:link w:val="EndNoteBibliographyTitleChar"/>
    <w:rsid w:val="007579C5"/>
    <w:pPr>
      <w:jc w:val="center"/>
    </w:pPr>
    <w:rPr>
      <w:noProof/>
      <w:lang w:val="en-US"/>
    </w:rPr>
  </w:style>
  <w:style w:type="character" w:customStyle="1" w:styleId="EndNoteBibliographyTitleChar">
    <w:name w:val="EndNote Bibliography Title Char"/>
    <w:basedOn w:val="DefaultParagraphFont"/>
    <w:link w:val="EndNoteBibliographyTitle"/>
    <w:rsid w:val="007579C5"/>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7579C5"/>
    <w:rPr>
      <w:noProof/>
      <w:lang w:val="en-US"/>
    </w:rPr>
  </w:style>
  <w:style w:type="character" w:customStyle="1" w:styleId="EndNoteBibliographyChar">
    <w:name w:val="EndNote Bibliography Char"/>
    <w:basedOn w:val="DefaultParagraphFont"/>
    <w:link w:val="EndNoteBibliography"/>
    <w:rsid w:val="007579C5"/>
    <w:rPr>
      <w:rFonts w:ascii="Arial" w:hAnsi="Arial" w:cs="Arial"/>
      <w:noProof/>
      <w:snapToGrid w:val="0"/>
      <w:sz w:val="22"/>
      <w:lang w:val="en-US" w:eastAsia="en-US"/>
    </w:rPr>
  </w:style>
  <w:style w:type="character" w:customStyle="1" w:styleId="Heading3Char">
    <w:name w:val="Heading 3 Char"/>
    <w:basedOn w:val="DefaultParagraphFont"/>
    <w:link w:val="Heading3"/>
    <w:rsid w:val="009502D3"/>
    <w:rPr>
      <w:rFonts w:ascii="Arial" w:hAnsi="Arial" w:cs="Arial"/>
      <w:snapToGrid w:val="0"/>
      <w:sz w:val="22"/>
      <w:u w:val="single"/>
      <w:lang w:eastAsia="en-US"/>
    </w:rPr>
  </w:style>
  <w:style w:type="character" w:styleId="PlaceholderText">
    <w:name w:val="Placeholder Text"/>
    <w:basedOn w:val="DefaultParagraphFont"/>
    <w:uiPriority w:val="99"/>
    <w:semiHidden/>
    <w:rsid w:val="003B1251"/>
    <w:rPr>
      <w:color w:val="808080"/>
    </w:rPr>
  </w:style>
  <w:style w:type="paragraph" w:customStyle="1" w:styleId="Default">
    <w:name w:val="Default"/>
    <w:rsid w:val="008129C6"/>
    <w:pPr>
      <w:autoSpaceDE w:val="0"/>
      <w:autoSpaceDN w:val="0"/>
      <w:adjustRightInd w:val="0"/>
    </w:pPr>
    <w:rPr>
      <w:color w:val="000000"/>
      <w:lang w:val="en-US" w:eastAsia="en-US"/>
    </w:rPr>
  </w:style>
  <w:style w:type="table" w:customStyle="1" w:styleId="TableGrid1">
    <w:name w:val="Table Grid1"/>
    <w:basedOn w:val="TableNormal"/>
    <w:next w:val="TableGrid"/>
    <w:uiPriority w:val="59"/>
    <w:rsid w:val="00BD0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BB4492"/>
    <w:pPr>
      <w:ind w:left="720" w:hanging="720"/>
    </w:pPr>
    <w:rPr>
      <w:rFonts w:ascii="Arial" w:hAnsi="Arial" w:cs="Arial"/>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86AB8"/>
    <w:pPr>
      <w:widowControl/>
      <w:spacing w:after="160" w:line="240" w:lineRule="exact"/>
      <w:jc w:val="left"/>
    </w:pPr>
    <w:rPr>
      <w:rFonts w:ascii="Verdana" w:eastAsia="MS Mincho" w:hAnsi="Verdana" w:cs="Verdana"/>
      <w:snapToGrid/>
      <w:sz w:val="20"/>
      <w:lang w:val="en-US"/>
    </w:rPr>
  </w:style>
  <w:style w:type="paragraph" w:customStyle="1" w:styleId="TableTitle">
    <w:name w:val="TableTitle"/>
    <w:basedOn w:val="BodyText"/>
    <w:next w:val="BodyText"/>
    <w:link w:val="TableTitleChar"/>
    <w:rsid w:val="00774ABD"/>
    <w:pPr>
      <w:keepNext/>
      <w:widowControl/>
      <w:tabs>
        <w:tab w:val="left" w:pos="1559"/>
      </w:tabs>
      <w:spacing w:after="60"/>
      <w:ind w:left="1559" w:hanging="1559"/>
    </w:pPr>
    <w:rPr>
      <w:rFonts w:ascii="Calibri" w:hAnsi="Calibri"/>
      <w:b/>
      <w:snapToGrid/>
      <w:sz w:val="24"/>
    </w:rPr>
  </w:style>
  <w:style w:type="character" w:customStyle="1" w:styleId="TableTitleChar">
    <w:name w:val="TableTitle Char"/>
    <w:basedOn w:val="BodyTextChar"/>
    <w:link w:val="TableTitle"/>
    <w:rsid w:val="00774ABD"/>
    <w:rPr>
      <w:rFonts w:ascii="Calibri" w:hAnsi="Calibri" w:cs="Arial"/>
      <w:b/>
      <w:snapToGrid/>
      <w:sz w:val="24"/>
      <w:szCs w:val="24"/>
      <w:lang w:eastAsia="en-US"/>
    </w:rPr>
  </w:style>
  <w:style w:type="character" w:customStyle="1" w:styleId="StyleCalibri">
    <w:name w:val="Style Calibri"/>
    <w:basedOn w:val="DefaultParagraphFont"/>
    <w:rsid w:val="00774ABD"/>
    <w:rPr>
      <w:rFonts w:ascii="Calibri" w:hAnsi="Calibri"/>
      <w:sz w:val="24"/>
    </w:rPr>
  </w:style>
  <w:style w:type="paragraph" w:customStyle="1" w:styleId="StyleTableNotesLeft0cmFirstline0cm">
    <w:name w:val="Style TableNotes + Left:  0 cm First line:  0 cm"/>
    <w:basedOn w:val="Normal"/>
    <w:rsid w:val="00774ABD"/>
    <w:pPr>
      <w:keepNext/>
      <w:widowControl/>
      <w:tabs>
        <w:tab w:val="left" w:pos="1559"/>
      </w:tabs>
      <w:jc w:val="left"/>
    </w:pPr>
    <w:rPr>
      <w:rFonts w:ascii="Calibri" w:eastAsia="SimSun" w:hAnsi="Calibri" w:cs="Times New Roman"/>
      <w:snapToGrid/>
      <w:sz w:val="16"/>
      <w:lang w:eastAsia="zh-CN"/>
    </w:rPr>
  </w:style>
  <w:style w:type="paragraph" w:customStyle="1" w:styleId="TableNotes">
    <w:name w:val="TableNotes"/>
    <w:basedOn w:val="Normal"/>
    <w:link w:val="TableNotesChar"/>
    <w:rsid w:val="00774ABD"/>
    <w:pPr>
      <w:keepNext/>
      <w:widowControl/>
      <w:tabs>
        <w:tab w:val="left" w:pos="1559"/>
      </w:tabs>
      <w:ind w:left="1559" w:hanging="1559"/>
      <w:jc w:val="left"/>
    </w:pPr>
    <w:rPr>
      <w:rFonts w:ascii="Calibri" w:eastAsia="SimSun" w:hAnsi="Calibri" w:cs="Times New Roman"/>
      <w:snapToGrid/>
      <w:sz w:val="16"/>
      <w:lang w:eastAsia="zh-CN"/>
    </w:rPr>
  </w:style>
  <w:style w:type="character" w:customStyle="1" w:styleId="TableNotesChar">
    <w:name w:val="TableNotes Char"/>
    <w:basedOn w:val="DefaultParagraphFont"/>
    <w:link w:val="TableNotes"/>
    <w:rsid w:val="00774ABD"/>
    <w:rPr>
      <w:rFonts w:ascii="Calibri" w:eastAsia="SimSun" w:hAnsi="Calibri"/>
      <w:sz w:val="16"/>
      <w:lang w:eastAsia="zh-CN"/>
    </w:rPr>
  </w:style>
  <w:style w:type="paragraph" w:customStyle="1" w:styleId="TableHeadingCentred">
    <w:name w:val="TableHeadingCentred"/>
    <w:basedOn w:val="Normal"/>
    <w:next w:val="TableText0"/>
    <w:rsid w:val="008C40EA"/>
    <w:pPr>
      <w:keepNext/>
      <w:widowControl/>
      <w:spacing w:before="20" w:after="20"/>
      <w:jc w:val="center"/>
    </w:pPr>
    <w:rPr>
      <w:rFonts w:ascii="Calibri" w:hAnsi="Calibri" w:cs="Times New Roman"/>
      <w:b/>
      <w:bCs/>
      <w:iCs/>
      <w:snapToGrid/>
      <w:sz w:val="20"/>
      <w:szCs w:val="18"/>
    </w:rPr>
  </w:style>
  <w:style w:type="paragraph" w:customStyle="1" w:styleId="NormalBold">
    <w:name w:val="Normal Bold"/>
    <w:basedOn w:val="Normal"/>
    <w:qFormat/>
    <w:rsid w:val="008C40EA"/>
    <w:pPr>
      <w:widowControl/>
      <w:spacing w:after="40" w:line="360" w:lineRule="auto"/>
      <w:jc w:val="left"/>
    </w:pPr>
    <w:rPr>
      <w:rFonts w:ascii="Calibri" w:eastAsia="SimSun" w:hAnsi="Calibri" w:cs="Times New Roman"/>
      <w:b/>
      <w:snapToGrid/>
      <w:sz w:val="24"/>
      <w:lang w:eastAsia="zh-CN"/>
    </w:rPr>
  </w:style>
  <w:style w:type="character" w:customStyle="1" w:styleId="ListParagraphChar">
    <w:name w:val="List Paragraph Char"/>
    <w:aliases w:val="BulletPoints Char"/>
    <w:basedOn w:val="DefaultParagraphFont"/>
    <w:link w:val="ListParagraph"/>
    <w:uiPriority w:val="99"/>
    <w:rsid w:val="004D4584"/>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annotation reference" w:uiPriority="99" w:qFormat="1"/>
    <w:lsdException w:name="Body Text"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4508B0"/>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C57E1A"/>
    <w:rPr>
      <w:sz w:val="20"/>
    </w:rPr>
  </w:style>
  <w:style w:type="character" w:customStyle="1" w:styleId="FootnoteTextChar">
    <w:name w:val="Footnote Text Char"/>
    <w:basedOn w:val="DefaultParagraphFont"/>
    <w:link w:val="FootnoteText"/>
    <w:semiHidden/>
    <w:rsid w:val="00C57E1A"/>
    <w:rPr>
      <w:rFonts w:ascii="Arial" w:hAnsi="Arial" w:cs="Arial"/>
      <w:snapToGrid w:val="0"/>
      <w:lang w:eastAsia="en-US"/>
    </w:rPr>
  </w:style>
  <w:style w:type="character" w:styleId="FootnoteReference">
    <w:name w:val="footnote reference"/>
    <w:basedOn w:val="DefaultParagraphFont"/>
    <w:semiHidden/>
    <w:unhideWhenUsed/>
    <w:rsid w:val="00C57E1A"/>
    <w:rPr>
      <w:vertAlign w:val="superscript"/>
    </w:rPr>
  </w:style>
  <w:style w:type="paragraph" w:customStyle="1" w:styleId="EndNoteBibliographyTitle">
    <w:name w:val="EndNote Bibliography Title"/>
    <w:basedOn w:val="Normal"/>
    <w:link w:val="EndNoteBibliographyTitleChar"/>
    <w:rsid w:val="007579C5"/>
    <w:pPr>
      <w:jc w:val="center"/>
    </w:pPr>
    <w:rPr>
      <w:noProof/>
      <w:lang w:val="en-US"/>
    </w:rPr>
  </w:style>
  <w:style w:type="character" w:customStyle="1" w:styleId="EndNoteBibliographyTitleChar">
    <w:name w:val="EndNote Bibliography Title Char"/>
    <w:basedOn w:val="DefaultParagraphFont"/>
    <w:link w:val="EndNoteBibliographyTitle"/>
    <w:rsid w:val="007579C5"/>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7579C5"/>
    <w:rPr>
      <w:noProof/>
      <w:lang w:val="en-US"/>
    </w:rPr>
  </w:style>
  <w:style w:type="character" w:customStyle="1" w:styleId="EndNoteBibliographyChar">
    <w:name w:val="EndNote Bibliography Char"/>
    <w:basedOn w:val="DefaultParagraphFont"/>
    <w:link w:val="EndNoteBibliography"/>
    <w:rsid w:val="007579C5"/>
    <w:rPr>
      <w:rFonts w:ascii="Arial" w:hAnsi="Arial" w:cs="Arial"/>
      <w:noProof/>
      <w:snapToGrid w:val="0"/>
      <w:sz w:val="22"/>
      <w:lang w:val="en-US" w:eastAsia="en-US"/>
    </w:rPr>
  </w:style>
  <w:style w:type="character" w:customStyle="1" w:styleId="Heading3Char">
    <w:name w:val="Heading 3 Char"/>
    <w:basedOn w:val="DefaultParagraphFont"/>
    <w:link w:val="Heading3"/>
    <w:rsid w:val="009502D3"/>
    <w:rPr>
      <w:rFonts w:ascii="Arial" w:hAnsi="Arial" w:cs="Arial"/>
      <w:snapToGrid w:val="0"/>
      <w:sz w:val="22"/>
      <w:u w:val="single"/>
      <w:lang w:eastAsia="en-US"/>
    </w:rPr>
  </w:style>
  <w:style w:type="character" w:styleId="PlaceholderText">
    <w:name w:val="Placeholder Text"/>
    <w:basedOn w:val="DefaultParagraphFont"/>
    <w:uiPriority w:val="99"/>
    <w:semiHidden/>
    <w:rsid w:val="003B1251"/>
    <w:rPr>
      <w:color w:val="808080"/>
    </w:rPr>
  </w:style>
  <w:style w:type="paragraph" w:customStyle="1" w:styleId="Default">
    <w:name w:val="Default"/>
    <w:rsid w:val="008129C6"/>
    <w:pPr>
      <w:autoSpaceDE w:val="0"/>
      <w:autoSpaceDN w:val="0"/>
      <w:adjustRightInd w:val="0"/>
    </w:pPr>
    <w:rPr>
      <w:color w:val="000000"/>
      <w:lang w:val="en-US" w:eastAsia="en-US"/>
    </w:rPr>
  </w:style>
  <w:style w:type="table" w:customStyle="1" w:styleId="TableGrid1">
    <w:name w:val="Table Grid1"/>
    <w:basedOn w:val="TableNormal"/>
    <w:next w:val="TableGrid"/>
    <w:uiPriority w:val="59"/>
    <w:rsid w:val="00BD0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BB4492"/>
    <w:pPr>
      <w:ind w:left="720" w:hanging="720"/>
    </w:pPr>
    <w:rPr>
      <w:rFonts w:ascii="Arial" w:hAnsi="Arial" w:cs="Arial"/>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86AB8"/>
    <w:pPr>
      <w:widowControl/>
      <w:spacing w:after="160" w:line="240" w:lineRule="exact"/>
      <w:jc w:val="left"/>
    </w:pPr>
    <w:rPr>
      <w:rFonts w:ascii="Verdana" w:eastAsia="MS Mincho" w:hAnsi="Verdana" w:cs="Verdana"/>
      <w:snapToGrid/>
      <w:sz w:val="20"/>
      <w:lang w:val="en-US"/>
    </w:rPr>
  </w:style>
  <w:style w:type="paragraph" w:customStyle="1" w:styleId="TableTitle">
    <w:name w:val="TableTitle"/>
    <w:basedOn w:val="BodyText"/>
    <w:next w:val="BodyText"/>
    <w:link w:val="TableTitleChar"/>
    <w:rsid w:val="00774ABD"/>
    <w:pPr>
      <w:keepNext/>
      <w:widowControl/>
      <w:tabs>
        <w:tab w:val="left" w:pos="1559"/>
      </w:tabs>
      <w:spacing w:after="60"/>
      <w:ind w:left="1559" w:hanging="1559"/>
    </w:pPr>
    <w:rPr>
      <w:rFonts w:ascii="Calibri" w:hAnsi="Calibri"/>
      <w:b/>
      <w:snapToGrid/>
      <w:sz w:val="24"/>
    </w:rPr>
  </w:style>
  <w:style w:type="character" w:customStyle="1" w:styleId="TableTitleChar">
    <w:name w:val="TableTitle Char"/>
    <w:basedOn w:val="BodyTextChar"/>
    <w:link w:val="TableTitle"/>
    <w:rsid w:val="00774ABD"/>
    <w:rPr>
      <w:rFonts w:ascii="Calibri" w:hAnsi="Calibri" w:cs="Arial"/>
      <w:b/>
      <w:snapToGrid/>
      <w:sz w:val="24"/>
      <w:szCs w:val="24"/>
      <w:lang w:eastAsia="en-US"/>
    </w:rPr>
  </w:style>
  <w:style w:type="character" w:customStyle="1" w:styleId="StyleCalibri">
    <w:name w:val="Style Calibri"/>
    <w:basedOn w:val="DefaultParagraphFont"/>
    <w:rsid w:val="00774ABD"/>
    <w:rPr>
      <w:rFonts w:ascii="Calibri" w:hAnsi="Calibri"/>
      <w:sz w:val="24"/>
    </w:rPr>
  </w:style>
  <w:style w:type="paragraph" w:customStyle="1" w:styleId="StyleTableNotesLeft0cmFirstline0cm">
    <w:name w:val="Style TableNotes + Left:  0 cm First line:  0 cm"/>
    <w:basedOn w:val="Normal"/>
    <w:rsid w:val="00774ABD"/>
    <w:pPr>
      <w:keepNext/>
      <w:widowControl/>
      <w:tabs>
        <w:tab w:val="left" w:pos="1559"/>
      </w:tabs>
      <w:jc w:val="left"/>
    </w:pPr>
    <w:rPr>
      <w:rFonts w:ascii="Calibri" w:eastAsia="SimSun" w:hAnsi="Calibri" w:cs="Times New Roman"/>
      <w:snapToGrid/>
      <w:sz w:val="16"/>
      <w:lang w:eastAsia="zh-CN"/>
    </w:rPr>
  </w:style>
  <w:style w:type="paragraph" w:customStyle="1" w:styleId="TableNotes">
    <w:name w:val="TableNotes"/>
    <w:basedOn w:val="Normal"/>
    <w:link w:val="TableNotesChar"/>
    <w:rsid w:val="00774ABD"/>
    <w:pPr>
      <w:keepNext/>
      <w:widowControl/>
      <w:tabs>
        <w:tab w:val="left" w:pos="1559"/>
      </w:tabs>
      <w:ind w:left="1559" w:hanging="1559"/>
      <w:jc w:val="left"/>
    </w:pPr>
    <w:rPr>
      <w:rFonts w:ascii="Calibri" w:eastAsia="SimSun" w:hAnsi="Calibri" w:cs="Times New Roman"/>
      <w:snapToGrid/>
      <w:sz w:val="16"/>
      <w:lang w:eastAsia="zh-CN"/>
    </w:rPr>
  </w:style>
  <w:style w:type="character" w:customStyle="1" w:styleId="TableNotesChar">
    <w:name w:val="TableNotes Char"/>
    <w:basedOn w:val="DefaultParagraphFont"/>
    <w:link w:val="TableNotes"/>
    <w:rsid w:val="00774ABD"/>
    <w:rPr>
      <w:rFonts w:ascii="Calibri" w:eastAsia="SimSun" w:hAnsi="Calibri"/>
      <w:sz w:val="16"/>
      <w:lang w:eastAsia="zh-CN"/>
    </w:rPr>
  </w:style>
  <w:style w:type="paragraph" w:customStyle="1" w:styleId="TableHeadingCentred">
    <w:name w:val="TableHeadingCentred"/>
    <w:basedOn w:val="Normal"/>
    <w:next w:val="TableText0"/>
    <w:rsid w:val="008C40EA"/>
    <w:pPr>
      <w:keepNext/>
      <w:widowControl/>
      <w:spacing w:before="20" w:after="20"/>
      <w:jc w:val="center"/>
    </w:pPr>
    <w:rPr>
      <w:rFonts w:ascii="Calibri" w:hAnsi="Calibri" w:cs="Times New Roman"/>
      <w:b/>
      <w:bCs/>
      <w:iCs/>
      <w:snapToGrid/>
      <w:sz w:val="20"/>
      <w:szCs w:val="18"/>
    </w:rPr>
  </w:style>
  <w:style w:type="paragraph" w:customStyle="1" w:styleId="NormalBold">
    <w:name w:val="Normal Bold"/>
    <w:basedOn w:val="Normal"/>
    <w:qFormat/>
    <w:rsid w:val="008C40EA"/>
    <w:pPr>
      <w:widowControl/>
      <w:spacing w:after="40" w:line="360" w:lineRule="auto"/>
      <w:jc w:val="left"/>
    </w:pPr>
    <w:rPr>
      <w:rFonts w:ascii="Calibri" w:eastAsia="SimSun" w:hAnsi="Calibri" w:cs="Times New Roman"/>
      <w:b/>
      <w:snapToGrid/>
      <w:sz w:val="24"/>
      <w:lang w:eastAsia="zh-CN"/>
    </w:rPr>
  </w:style>
  <w:style w:type="character" w:customStyle="1" w:styleId="ListParagraphChar">
    <w:name w:val="List Paragraph Char"/>
    <w:aliases w:val="BulletPoints Char"/>
    <w:basedOn w:val="DefaultParagraphFont"/>
    <w:link w:val="ListParagraph"/>
    <w:uiPriority w:val="99"/>
    <w:rsid w:val="004D4584"/>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6973">
      <w:bodyDiv w:val="1"/>
      <w:marLeft w:val="0"/>
      <w:marRight w:val="0"/>
      <w:marTop w:val="0"/>
      <w:marBottom w:val="0"/>
      <w:divBdr>
        <w:top w:val="none" w:sz="0" w:space="0" w:color="auto"/>
        <w:left w:val="none" w:sz="0" w:space="0" w:color="auto"/>
        <w:bottom w:val="none" w:sz="0" w:space="0" w:color="auto"/>
        <w:right w:val="none" w:sz="0" w:space="0" w:color="auto"/>
      </w:divBdr>
    </w:div>
    <w:div w:id="298070011">
      <w:bodyDiv w:val="1"/>
      <w:marLeft w:val="0"/>
      <w:marRight w:val="0"/>
      <w:marTop w:val="0"/>
      <w:marBottom w:val="0"/>
      <w:divBdr>
        <w:top w:val="none" w:sz="0" w:space="0" w:color="auto"/>
        <w:left w:val="none" w:sz="0" w:space="0" w:color="auto"/>
        <w:bottom w:val="none" w:sz="0" w:space="0" w:color="auto"/>
        <w:right w:val="none" w:sz="0" w:space="0" w:color="auto"/>
      </w:divBdr>
    </w:div>
    <w:div w:id="327363370">
      <w:bodyDiv w:val="1"/>
      <w:marLeft w:val="0"/>
      <w:marRight w:val="0"/>
      <w:marTop w:val="0"/>
      <w:marBottom w:val="0"/>
      <w:divBdr>
        <w:top w:val="none" w:sz="0" w:space="0" w:color="auto"/>
        <w:left w:val="none" w:sz="0" w:space="0" w:color="auto"/>
        <w:bottom w:val="none" w:sz="0" w:space="0" w:color="auto"/>
        <w:right w:val="none" w:sz="0" w:space="0" w:color="auto"/>
      </w:divBdr>
    </w:div>
    <w:div w:id="457912610">
      <w:bodyDiv w:val="1"/>
      <w:marLeft w:val="0"/>
      <w:marRight w:val="0"/>
      <w:marTop w:val="0"/>
      <w:marBottom w:val="0"/>
      <w:divBdr>
        <w:top w:val="none" w:sz="0" w:space="0" w:color="auto"/>
        <w:left w:val="none" w:sz="0" w:space="0" w:color="auto"/>
        <w:bottom w:val="none" w:sz="0" w:space="0" w:color="auto"/>
        <w:right w:val="none" w:sz="0" w:space="0" w:color="auto"/>
      </w:divBdr>
      <w:divsChild>
        <w:div w:id="2014988679">
          <w:marLeft w:val="0"/>
          <w:marRight w:val="0"/>
          <w:marTop w:val="0"/>
          <w:marBottom w:val="0"/>
          <w:divBdr>
            <w:top w:val="none" w:sz="0" w:space="0" w:color="auto"/>
            <w:left w:val="none" w:sz="0" w:space="0" w:color="auto"/>
            <w:bottom w:val="none" w:sz="0" w:space="0" w:color="auto"/>
            <w:right w:val="none" w:sz="0" w:space="0" w:color="auto"/>
          </w:divBdr>
        </w:div>
        <w:div w:id="1508254961">
          <w:marLeft w:val="0"/>
          <w:marRight w:val="0"/>
          <w:marTop w:val="0"/>
          <w:marBottom w:val="0"/>
          <w:divBdr>
            <w:top w:val="none" w:sz="0" w:space="0" w:color="auto"/>
            <w:left w:val="none" w:sz="0" w:space="0" w:color="auto"/>
            <w:bottom w:val="none" w:sz="0" w:space="0" w:color="auto"/>
            <w:right w:val="none" w:sz="0" w:space="0" w:color="auto"/>
          </w:divBdr>
        </w:div>
        <w:div w:id="968437748">
          <w:marLeft w:val="0"/>
          <w:marRight w:val="0"/>
          <w:marTop w:val="0"/>
          <w:marBottom w:val="0"/>
          <w:divBdr>
            <w:top w:val="none" w:sz="0" w:space="0" w:color="auto"/>
            <w:left w:val="none" w:sz="0" w:space="0" w:color="auto"/>
            <w:bottom w:val="none" w:sz="0" w:space="0" w:color="auto"/>
            <w:right w:val="none" w:sz="0" w:space="0" w:color="auto"/>
          </w:divBdr>
        </w:div>
        <w:div w:id="959919446">
          <w:marLeft w:val="0"/>
          <w:marRight w:val="0"/>
          <w:marTop w:val="0"/>
          <w:marBottom w:val="0"/>
          <w:divBdr>
            <w:top w:val="none" w:sz="0" w:space="0" w:color="auto"/>
            <w:left w:val="none" w:sz="0" w:space="0" w:color="auto"/>
            <w:bottom w:val="none" w:sz="0" w:space="0" w:color="auto"/>
            <w:right w:val="none" w:sz="0" w:space="0" w:color="auto"/>
          </w:divBdr>
        </w:div>
        <w:div w:id="862325275">
          <w:marLeft w:val="0"/>
          <w:marRight w:val="0"/>
          <w:marTop w:val="0"/>
          <w:marBottom w:val="0"/>
          <w:divBdr>
            <w:top w:val="none" w:sz="0" w:space="0" w:color="auto"/>
            <w:left w:val="none" w:sz="0" w:space="0" w:color="auto"/>
            <w:bottom w:val="none" w:sz="0" w:space="0" w:color="auto"/>
            <w:right w:val="none" w:sz="0" w:space="0" w:color="auto"/>
          </w:divBdr>
        </w:div>
        <w:div w:id="980309164">
          <w:marLeft w:val="0"/>
          <w:marRight w:val="0"/>
          <w:marTop w:val="0"/>
          <w:marBottom w:val="0"/>
          <w:divBdr>
            <w:top w:val="none" w:sz="0" w:space="0" w:color="auto"/>
            <w:left w:val="none" w:sz="0" w:space="0" w:color="auto"/>
            <w:bottom w:val="none" w:sz="0" w:space="0" w:color="auto"/>
            <w:right w:val="none" w:sz="0" w:space="0" w:color="auto"/>
          </w:divBdr>
        </w:div>
        <w:div w:id="1687516732">
          <w:marLeft w:val="0"/>
          <w:marRight w:val="0"/>
          <w:marTop w:val="0"/>
          <w:marBottom w:val="0"/>
          <w:divBdr>
            <w:top w:val="none" w:sz="0" w:space="0" w:color="auto"/>
            <w:left w:val="none" w:sz="0" w:space="0" w:color="auto"/>
            <w:bottom w:val="none" w:sz="0" w:space="0" w:color="auto"/>
            <w:right w:val="none" w:sz="0" w:space="0" w:color="auto"/>
          </w:divBdr>
        </w:div>
        <w:div w:id="302541662">
          <w:marLeft w:val="0"/>
          <w:marRight w:val="0"/>
          <w:marTop w:val="0"/>
          <w:marBottom w:val="0"/>
          <w:divBdr>
            <w:top w:val="none" w:sz="0" w:space="0" w:color="auto"/>
            <w:left w:val="none" w:sz="0" w:space="0" w:color="auto"/>
            <w:bottom w:val="none" w:sz="0" w:space="0" w:color="auto"/>
            <w:right w:val="none" w:sz="0" w:space="0" w:color="auto"/>
          </w:divBdr>
        </w:div>
        <w:div w:id="618296728">
          <w:marLeft w:val="0"/>
          <w:marRight w:val="0"/>
          <w:marTop w:val="0"/>
          <w:marBottom w:val="0"/>
          <w:divBdr>
            <w:top w:val="none" w:sz="0" w:space="0" w:color="auto"/>
            <w:left w:val="none" w:sz="0" w:space="0" w:color="auto"/>
            <w:bottom w:val="none" w:sz="0" w:space="0" w:color="auto"/>
            <w:right w:val="none" w:sz="0" w:space="0" w:color="auto"/>
          </w:divBdr>
        </w:div>
        <w:div w:id="1775325264">
          <w:marLeft w:val="0"/>
          <w:marRight w:val="0"/>
          <w:marTop w:val="0"/>
          <w:marBottom w:val="0"/>
          <w:divBdr>
            <w:top w:val="none" w:sz="0" w:space="0" w:color="auto"/>
            <w:left w:val="none" w:sz="0" w:space="0" w:color="auto"/>
            <w:bottom w:val="none" w:sz="0" w:space="0" w:color="auto"/>
            <w:right w:val="none" w:sz="0" w:space="0" w:color="auto"/>
          </w:divBdr>
        </w:div>
      </w:divsChild>
    </w:div>
    <w:div w:id="493183913">
      <w:bodyDiv w:val="1"/>
      <w:marLeft w:val="0"/>
      <w:marRight w:val="0"/>
      <w:marTop w:val="0"/>
      <w:marBottom w:val="0"/>
      <w:divBdr>
        <w:top w:val="none" w:sz="0" w:space="0" w:color="auto"/>
        <w:left w:val="none" w:sz="0" w:space="0" w:color="auto"/>
        <w:bottom w:val="none" w:sz="0" w:space="0" w:color="auto"/>
        <w:right w:val="none" w:sz="0" w:space="0" w:color="auto"/>
      </w:divBdr>
    </w:div>
    <w:div w:id="610474299">
      <w:bodyDiv w:val="1"/>
      <w:marLeft w:val="0"/>
      <w:marRight w:val="0"/>
      <w:marTop w:val="0"/>
      <w:marBottom w:val="0"/>
      <w:divBdr>
        <w:top w:val="none" w:sz="0" w:space="0" w:color="auto"/>
        <w:left w:val="none" w:sz="0" w:space="0" w:color="auto"/>
        <w:bottom w:val="none" w:sz="0" w:space="0" w:color="auto"/>
        <w:right w:val="none" w:sz="0" w:space="0" w:color="auto"/>
      </w:divBdr>
    </w:div>
    <w:div w:id="943927917">
      <w:bodyDiv w:val="1"/>
      <w:marLeft w:val="0"/>
      <w:marRight w:val="0"/>
      <w:marTop w:val="0"/>
      <w:marBottom w:val="0"/>
      <w:divBdr>
        <w:top w:val="none" w:sz="0" w:space="0" w:color="auto"/>
        <w:left w:val="none" w:sz="0" w:space="0" w:color="auto"/>
        <w:bottom w:val="none" w:sz="0" w:space="0" w:color="auto"/>
        <w:right w:val="none" w:sz="0" w:space="0" w:color="auto"/>
      </w:divBdr>
    </w:div>
    <w:div w:id="958414316">
      <w:bodyDiv w:val="1"/>
      <w:marLeft w:val="0"/>
      <w:marRight w:val="0"/>
      <w:marTop w:val="0"/>
      <w:marBottom w:val="0"/>
      <w:divBdr>
        <w:top w:val="none" w:sz="0" w:space="0" w:color="auto"/>
        <w:left w:val="none" w:sz="0" w:space="0" w:color="auto"/>
        <w:bottom w:val="none" w:sz="0" w:space="0" w:color="auto"/>
        <w:right w:val="none" w:sz="0" w:space="0" w:color="auto"/>
      </w:divBdr>
    </w:div>
    <w:div w:id="1256942858">
      <w:bodyDiv w:val="1"/>
      <w:marLeft w:val="0"/>
      <w:marRight w:val="0"/>
      <w:marTop w:val="0"/>
      <w:marBottom w:val="0"/>
      <w:divBdr>
        <w:top w:val="none" w:sz="0" w:space="0" w:color="auto"/>
        <w:left w:val="none" w:sz="0" w:space="0" w:color="auto"/>
        <w:bottom w:val="none" w:sz="0" w:space="0" w:color="auto"/>
        <w:right w:val="none" w:sz="0" w:space="0" w:color="auto"/>
      </w:divBdr>
    </w:div>
    <w:div w:id="155485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D2E34-5124-457F-BEF1-6C0C517D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11841</Words>
  <Characters>67496</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2015-03-04T04:38:00Z</dcterms:created>
  <dcterms:modified xsi:type="dcterms:W3CDTF">2015-03-04T04:46:00Z</dcterms:modified>
</cp:coreProperties>
</file>