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D6B" w:rsidRPr="00B3341B" w:rsidRDefault="00B06861" w:rsidP="00B3341B">
      <w:pPr>
        <w:pStyle w:val="BodyText"/>
        <w:rPr>
          <w:b/>
          <w:sz w:val="28"/>
        </w:rPr>
      </w:pPr>
      <w:bookmarkStart w:id="0" w:name="_Toc398652397"/>
      <w:bookmarkStart w:id="1" w:name="_GoBack"/>
      <w:bookmarkEnd w:id="1"/>
      <w:r w:rsidRPr="00B3341B">
        <w:rPr>
          <w:b/>
          <w:sz w:val="28"/>
        </w:rPr>
        <w:t>7.1</w:t>
      </w:r>
      <w:r w:rsidR="00607D0A" w:rsidRPr="00B3341B">
        <w:rPr>
          <w:b/>
          <w:sz w:val="28"/>
        </w:rPr>
        <w:tab/>
      </w:r>
      <w:r w:rsidR="00527BA5" w:rsidRPr="00B3341B">
        <w:rPr>
          <w:b/>
          <w:sz w:val="28"/>
        </w:rPr>
        <w:t>AFLIBERCEPT</w:t>
      </w:r>
    </w:p>
    <w:p w:rsidR="00090D6B" w:rsidRPr="00B3341B" w:rsidRDefault="00527BA5" w:rsidP="00B3341B">
      <w:pPr>
        <w:pStyle w:val="BodyText"/>
        <w:ind w:left="709"/>
        <w:rPr>
          <w:b/>
          <w:sz w:val="28"/>
        </w:rPr>
      </w:pPr>
      <w:r w:rsidRPr="00B3341B">
        <w:rPr>
          <w:b/>
          <w:sz w:val="28"/>
        </w:rPr>
        <w:t>4</w:t>
      </w:r>
      <w:r w:rsidR="0073533C" w:rsidRPr="00B3341B">
        <w:rPr>
          <w:b/>
          <w:sz w:val="28"/>
        </w:rPr>
        <w:t> </w:t>
      </w:r>
      <w:r w:rsidRPr="00B3341B">
        <w:rPr>
          <w:b/>
          <w:sz w:val="28"/>
        </w:rPr>
        <w:t>mg/0.1</w:t>
      </w:r>
      <w:r w:rsidR="0073533C" w:rsidRPr="00B3341B">
        <w:rPr>
          <w:b/>
          <w:sz w:val="28"/>
        </w:rPr>
        <w:t> </w:t>
      </w:r>
      <w:r w:rsidRPr="00B3341B">
        <w:rPr>
          <w:b/>
          <w:sz w:val="28"/>
        </w:rPr>
        <w:t>mL injection, 1 x 0.1</w:t>
      </w:r>
      <w:r w:rsidR="0073533C" w:rsidRPr="00B3341B">
        <w:rPr>
          <w:b/>
          <w:sz w:val="28"/>
        </w:rPr>
        <w:t> </w:t>
      </w:r>
      <w:r w:rsidRPr="00B3341B">
        <w:rPr>
          <w:b/>
          <w:sz w:val="28"/>
        </w:rPr>
        <w:t xml:space="preserve">mL vial, </w:t>
      </w:r>
    </w:p>
    <w:p w:rsidR="00090D6B" w:rsidRPr="00B3341B" w:rsidRDefault="00527BA5" w:rsidP="00B3341B">
      <w:pPr>
        <w:pStyle w:val="BodyText"/>
        <w:ind w:left="709"/>
        <w:rPr>
          <w:b/>
          <w:sz w:val="28"/>
        </w:rPr>
      </w:pPr>
      <w:r w:rsidRPr="00B3341B">
        <w:rPr>
          <w:b/>
          <w:sz w:val="28"/>
        </w:rPr>
        <w:t>4 mg/0.1 mL</w:t>
      </w:r>
      <w:r w:rsidR="00AF349C" w:rsidRPr="00B3341B">
        <w:rPr>
          <w:b/>
          <w:sz w:val="28"/>
        </w:rPr>
        <w:t xml:space="preserve"> injection, 1 x 0.09 mL syringe;</w:t>
      </w:r>
      <w:r w:rsidRPr="00B3341B">
        <w:rPr>
          <w:b/>
          <w:sz w:val="28"/>
        </w:rPr>
        <w:t xml:space="preserve"> </w:t>
      </w:r>
    </w:p>
    <w:p w:rsidR="00527BA5" w:rsidRPr="00B3341B" w:rsidRDefault="00527BA5" w:rsidP="00B3341B">
      <w:pPr>
        <w:pStyle w:val="BodyText"/>
        <w:ind w:left="709"/>
        <w:rPr>
          <w:b/>
          <w:sz w:val="28"/>
        </w:rPr>
      </w:pPr>
      <w:r w:rsidRPr="00B3341B">
        <w:rPr>
          <w:b/>
          <w:sz w:val="28"/>
        </w:rPr>
        <w:t>Eylea</w:t>
      </w:r>
      <w:r w:rsidRPr="00B3341B">
        <w:rPr>
          <w:b/>
          <w:sz w:val="28"/>
          <w:vertAlign w:val="superscript"/>
        </w:rPr>
        <w:t>®</w:t>
      </w:r>
      <w:r w:rsidR="00AF349C" w:rsidRPr="00B3341B">
        <w:rPr>
          <w:b/>
          <w:sz w:val="28"/>
        </w:rPr>
        <w:t>;</w:t>
      </w:r>
      <w:r w:rsidRPr="00B3341B">
        <w:rPr>
          <w:b/>
          <w:sz w:val="28"/>
        </w:rPr>
        <w:t xml:space="preserve"> Bayer Australia Ltd.</w:t>
      </w:r>
    </w:p>
    <w:p w:rsidR="00527BA5" w:rsidRPr="00B3341B" w:rsidRDefault="00527BA5" w:rsidP="00B3341B">
      <w:pPr>
        <w:pStyle w:val="BodyText"/>
        <w:ind w:left="709"/>
        <w:rPr>
          <w:b/>
          <w:sz w:val="28"/>
        </w:rPr>
      </w:pPr>
    </w:p>
    <w:bookmarkEnd w:id="0"/>
    <w:p w:rsidR="000C3027" w:rsidRPr="005F039C" w:rsidRDefault="000C3027" w:rsidP="00607D0A"/>
    <w:p w:rsidR="00607D0A" w:rsidRPr="005F039C" w:rsidRDefault="00607D0A" w:rsidP="00607D0A">
      <w:pPr>
        <w:pStyle w:val="PBACheading1"/>
        <w:rPr>
          <w:b/>
        </w:rPr>
      </w:pPr>
      <w:bookmarkStart w:id="2" w:name="_Toc398652399"/>
      <w:r w:rsidRPr="005F039C">
        <w:rPr>
          <w:b/>
        </w:rPr>
        <w:t>Purpose of Application</w:t>
      </w:r>
      <w:bookmarkEnd w:id="2"/>
    </w:p>
    <w:p w:rsidR="00607D0A" w:rsidRPr="005F039C" w:rsidRDefault="00607D0A" w:rsidP="00607D0A">
      <w:pPr>
        <w:rPr>
          <w:szCs w:val="22"/>
        </w:rPr>
      </w:pPr>
    </w:p>
    <w:p w:rsidR="00607D0A" w:rsidRPr="005F039C" w:rsidRDefault="00584E9E" w:rsidP="00745891">
      <w:pPr>
        <w:pStyle w:val="ListParagraph"/>
        <w:widowControl/>
        <w:numPr>
          <w:ilvl w:val="1"/>
          <w:numId w:val="2"/>
        </w:numPr>
        <w:rPr>
          <w:szCs w:val="22"/>
        </w:rPr>
      </w:pPr>
      <w:r w:rsidRPr="005F039C">
        <w:t xml:space="preserve">To extend the current </w:t>
      </w:r>
      <w:r w:rsidR="00607D0A" w:rsidRPr="005F039C">
        <w:t xml:space="preserve">Authority Required listing </w:t>
      </w:r>
      <w:r w:rsidRPr="005F039C">
        <w:t>o</w:t>
      </w:r>
      <w:r w:rsidR="00607D0A" w:rsidRPr="005F039C">
        <w:t xml:space="preserve">f aflibercept </w:t>
      </w:r>
      <w:r w:rsidRPr="005F039C">
        <w:t>to include</w:t>
      </w:r>
      <w:r w:rsidR="00607D0A" w:rsidRPr="005F039C">
        <w:t xml:space="preserve"> treatment of macular oedema due to central retinal vein occlusion (CRVO).  The first submission was July in 2013, followed by a second submission in March 2014.</w:t>
      </w:r>
    </w:p>
    <w:p w:rsidR="000C3027" w:rsidRPr="005F039C" w:rsidRDefault="000C3027">
      <w:pPr>
        <w:widowControl/>
        <w:jc w:val="left"/>
        <w:rPr>
          <w:szCs w:val="22"/>
        </w:rPr>
      </w:pPr>
    </w:p>
    <w:p w:rsidR="005A0024" w:rsidRPr="005F039C" w:rsidRDefault="005A0024">
      <w:pPr>
        <w:widowControl/>
        <w:jc w:val="left"/>
        <w:rPr>
          <w:szCs w:val="22"/>
        </w:rPr>
      </w:pPr>
    </w:p>
    <w:p w:rsidR="00607D0A" w:rsidRPr="005F039C" w:rsidRDefault="00607D0A" w:rsidP="00607D0A">
      <w:pPr>
        <w:pStyle w:val="PBACheading1"/>
        <w:rPr>
          <w:b/>
        </w:rPr>
      </w:pPr>
      <w:bookmarkStart w:id="3" w:name="_Toc398652400"/>
      <w:r w:rsidRPr="005F039C">
        <w:rPr>
          <w:b/>
        </w:rPr>
        <w:t>Requested listing</w:t>
      </w:r>
      <w:bookmarkEnd w:id="3"/>
    </w:p>
    <w:p w:rsidR="00E43BEE" w:rsidRPr="005F039C" w:rsidRDefault="00E43BEE" w:rsidP="005A0024">
      <w:pPr>
        <w:pStyle w:val="PBACheading1"/>
        <w:numPr>
          <w:ilvl w:val="0"/>
          <w:numId w:val="0"/>
        </w:numPr>
      </w:pPr>
    </w:p>
    <w:p w:rsidR="00E43BEE" w:rsidRPr="005F039C" w:rsidRDefault="00CD4BC1" w:rsidP="00745891">
      <w:pPr>
        <w:widowControl/>
        <w:numPr>
          <w:ilvl w:val="1"/>
          <w:numId w:val="2"/>
        </w:numPr>
        <w:contextualSpacing/>
      </w:pPr>
      <w:r w:rsidRPr="005F039C">
        <w:rPr>
          <w:iCs/>
          <w:snapToGrid/>
          <w:color w:val="000000"/>
          <w:szCs w:val="22"/>
          <w:lang w:eastAsia="en-AU"/>
        </w:rPr>
        <w:t>Suggestions and additions proposed by the Secretariat to the requested listing are added in italics and suggested deletions are crossed out with strikethrough</w:t>
      </w:r>
      <w:r w:rsidR="005A0024" w:rsidRPr="005F039C">
        <w:rPr>
          <w:iCs/>
          <w:snapToGrid/>
          <w:color w:val="000000"/>
          <w:szCs w:val="22"/>
          <w:lang w:eastAsia="en-AU"/>
        </w:rPr>
        <w:t>.</w:t>
      </w:r>
    </w:p>
    <w:p w:rsidR="00E43BEE" w:rsidRPr="005F039C" w:rsidRDefault="00E43BEE" w:rsidP="00E43BEE">
      <w:pPr>
        <w:pStyle w:val="PBACheading1"/>
        <w:numPr>
          <w:ilvl w:val="0"/>
          <w:numId w:val="0"/>
        </w:numPr>
      </w:pPr>
    </w:p>
    <w:tbl>
      <w:tblPr>
        <w:tblW w:w="4510" w:type="pct"/>
        <w:tblInd w:w="817" w:type="dxa"/>
        <w:tblLayout w:type="fixed"/>
        <w:tblLook w:val="0000" w:firstRow="0" w:lastRow="0" w:firstColumn="0" w:lastColumn="0" w:noHBand="0" w:noVBand="0"/>
      </w:tblPr>
      <w:tblGrid>
        <w:gridCol w:w="4569"/>
        <w:gridCol w:w="845"/>
        <w:gridCol w:w="675"/>
        <w:gridCol w:w="1352"/>
        <w:gridCol w:w="895"/>
      </w:tblGrid>
      <w:tr w:rsidR="007448E6" w:rsidRPr="005F039C" w:rsidTr="007448E6">
        <w:trPr>
          <w:cantSplit/>
          <w:trHeight w:val="496"/>
        </w:trPr>
        <w:tc>
          <w:tcPr>
            <w:tcW w:w="2740" w:type="pct"/>
            <w:tcBorders>
              <w:bottom w:val="single" w:sz="4" w:space="0" w:color="auto"/>
            </w:tcBorders>
          </w:tcPr>
          <w:p w:rsidR="007448E6" w:rsidRPr="005F039C" w:rsidRDefault="007448E6" w:rsidP="00604C16">
            <w:pPr>
              <w:keepNext/>
              <w:widowControl/>
              <w:ind w:left="-108"/>
              <w:rPr>
                <w:rFonts w:ascii="Arial Narrow" w:eastAsia="Calibri" w:hAnsi="Arial Narrow"/>
                <w:snapToGrid/>
                <w:sz w:val="20"/>
              </w:rPr>
            </w:pPr>
            <w:r w:rsidRPr="005F039C">
              <w:rPr>
                <w:rFonts w:ascii="Arial Narrow" w:eastAsia="Calibri" w:hAnsi="Arial Narrow"/>
                <w:snapToGrid/>
                <w:sz w:val="20"/>
              </w:rPr>
              <w:t>Name, Restriction,</w:t>
            </w:r>
          </w:p>
          <w:p w:rsidR="007448E6" w:rsidRPr="005F039C" w:rsidRDefault="007448E6" w:rsidP="00604C16">
            <w:pPr>
              <w:keepNext/>
              <w:widowControl/>
              <w:ind w:left="-108"/>
              <w:rPr>
                <w:rFonts w:ascii="Arial Narrow" w:eastAsia="Calibri" w:hAnsi="Arial Narrow"/>
                <w:snapToGrid/>
                <w:sz w:val="20"/>
              </w:rPr>
            </w:pPr>
            <w:r w:rsidRPr="005F039C">
              <w:rPr>
                <w:rFonts w:ascii="Arial Narrow" w:eastAsia="Calibri" w:hAnsi="Arial Narrow"/>
                <w:snapToGrid/>
                <w:sz w:val="20"/>
              </w:rPr>
              <w:t xml:space="preserve">Manner of administration </w:t>
            </w:r>
          </w:p>
          <w:p w:rsidR="007448E6" w:rsidRPr="005F039C" w:rsidRDefault="007448E6" w:rsidP="00604C16">
            <w:pPr>
              <w:keepNext/>
              <w:widowControl/>
              <w:ind w:left="-108"/>
              <w:rPr>
                <w:rFonts w:ascii="Arial Narrow" w:eastAsia="Calibri" w:hAnsi="Arial Narrow"/>
                <w:snapToGrid/>
                <w:sz w:val="20"/>
              </w:rPr>
            </w:pPr>
            <w:r w:rsidRPr="005F039C">
              <w:rPr>
                <w:rFonts w:ascii="Arial Narrow" w:eastAsia="Calibri" w:hAnsi="Arial Narrow"/>
                <w:snapToGrid/>
                <w:sz w:val="20"/>
              </w:rPr>
              <w:t>and form</w:t>
            </w:r>
          </w:p>
        </w:tc>
        <w:tc>
          <w:tcPr>
            <w:tcW w:w="507" w:type="pct"/>
            <w:tcBorders>
              <w:bottom w:val="single" w:sz="4" w:space="0" w:color="auto"/>
            </w:tcBorders>
          </w:tcPr>
          <w:p w:rsidR="007448E6" w:rsidRPr="00AF349C" w:rsidRDefault="007448E6" w:rsidP="00604C16">
            <w:pPr>
              <w:keepNext/>
              <w:widowControl/>
              <w:ind w:left="-108"/>
              <w:rPr>
                <w:rFonts w:ascii="Arial Narrow" w:eastAsia="Calibri" w:hAnsi="Arial Narrow"/>
                <w:snapToGrid/>
                <w:sz w:val="20"/>
              </w:rPr>
            </w:pPr>
            <w:r w:rsidRPr="00AF349C">
              <w:rPr>
                <w:rFonts w:ascii="Arial Narrow" w:eastAsia="Calibri" w:hAnsi="Arial Narrow"/>
                <w:snapToGrid/>
                <w:sz w:val="20"/>
              </w:rPr>
              <w:t>Max.</w:t>
            </w:r>
          </w:p>
          <w:p w:rsidR="007448E6" w:rsidRPr="00AF349C" w:rsidRDefault="007448E6" w:rsidP="00604C16">
            <w:pPr>
              <w:keepNext/>
              <w:widowControl/>
              <w:ind w:left="-108"/>
              <w:rPr>
                <w:rFonts w:ascii="Arial Narrow" w:eastAsia="Calibri" w:hAnsi="Arial Narrow"/>
                <w:snapToGrid/>
                <w:sz w:val="20"/>
              </w:rPr>
            </w:pPr>
            <w:r w:rsidRPr="00AF349C">
              <w:rPr>
                <w:rFonts w:ascii="Arial Narrow" w:eastAsia="Calibri" w:hAnsi="Arial Narrow"/>
                <w:snapToGrid/>
                <w:sz w:val="20"/>
              </w:rPr>
              <w:t>Qty</w:t>
            </w:r>
          </w:p>
        </w:tc>
        <w:tc>
          <w:tcPr>
            <w:tcW w:w="405" w:type="pct"/>
            <w:tcBorders>
              <w:bottom w:val="single" w:sz="4" w:space="0" w:color="auto"/>
            </w:tcBorders>
          </w:tcPr>
          <w:p w:rsidR="007448E6" w:rsidRPr="00AF349C" w:rsidRDefault="007448E6" w:rsidP="00604C16">
            <w:pPr>
              <w:keepNext/>
              <w:widowControl/>
              <w:ind w:left="-108"/>
              <w:rPr>
                <w:rFonts w:ascii="Arial Narrow" w:eastAsia="Calibri" w:hAnsi="Arial Narrow"/>
                <w:snapToGrid/>
                <w:sz w:val="20"/>
              </w:rPr>
            </w:pPr>
            <w:r w:rsidRPr="00AF349C">
              <w:rPr>
                <w:rFonts w:ascii="Arial Narrow" w:eastAsia="Calibri" w:hAnsi="Arial Narrow" w:cs="Times New Roman"/>
                <w:snapToGrid/>
                <w:sz w:val="20"/>
              </w:rPr>
              <w:t>№</w:t>
            </w:r>
            <w:r w:rsidRPr="00AF349C">
              <w:rPr>
                <w:rFonts w:ascii="Arial Narrow" w:eastAsia="Calibri" w:hAnsi="Arial Narrow"/>
                <w:snapToGrid/>
                <w:sz w:val="20"/>
              </w:rPr>
              <w:t>.of</w:t>
            </w:r>
          </w:p>
          <w:p w:rsidR="007448E6" w:rsidRPr="00AF349C" w:rsidRDefault="007448E6" w:rsidP="00604C16">
            <w:pPr>
              <w:keepNext/>
              <w:widowControl/>
              <w:ind w:left="-108"/>
              <w:rPr>
                <w:rFonts w:ascii="Arial Narrow" w:eastAsia="Calibri" w:hAnsi="Arial Narrow"/>
                <w:snapToGrid/>
                <w:sz w:val="20"/>
              </w:rPr>
            </w:pPr>
            <w:r w:rsidRPr="00AF349C">
              <w:rPr>
                <w:rFonts w:ascii="Arial Narrow" w:eastAsia="Calibri" w:hAnsi="Arial Narrow"/>
                <w:snapToGrid/>
                <w:sz w:val="20"/>
              </w:rPr>
              <w:t>Rpts</w:t>
            </w:r>
          </w:p>
        </w:tc>
        <w:tc>
          <w:tcPr>
            <w:tcW w:w="1348" w:type="pct"/>
            <w:gridSpan w:val="2"/>
            <w:tcBorders>
              <w:bottom w:val="single" w:sz="4" w:space="0" w:color="auto"/>
            </w:tcBorders>
          </w:tcPr>
          <w:p w:rsidR="007448E6" w:rsidRPr="005F039C" w:rsidRDefault="007448E6" w:rsidP="00604C16">
            <w:pPr>
              <w:keepNext/>
              <w:widowControl/>
              <w:rPr>
                <w:rFonts w:ascii="Arial Narrow" w:eastAsia="Calibri" w:hAnsi="Arial Narrow"/>
                <w:snapToGrid/>
                <w:sz w:val="20"/>
              </w:rPr>
            </w:pPr>
            <w:r w:rsidRPr="005F039C">
              <w:rPr>
                <w:rFonts w:ascii="Arial Narrow" w:eastAsia="Calibri" w:hAnsi="Arial Narrow"/>
                <w:snapToGrid/>
                <w:sz w:val="20"/>
              </w:rPr>
              <w:t xml:space="preserve">Proprietary Name </w:t>
            </w:r>
          </w:p>
          <w:p w:rsidR="007448E6" w:rsidRPr="005F039C" w:rsidRDefault="007448E6" w:rsidP="00604C16">
            <w:pPr>
              <w:keepNext/>
              <w:widowControl/>
              <w:rPr>
                <w:rFonts w:ascii="Arial Narrow" w:eastAsia="Calibri" w:hAnsi="Arial Narrow"/>
                <w:snapToGrid/>
                <w:sz w:val="20"/>
              </w:rPr>
            </w:pPr>
            <w:r w:rsidRPr="005F039C">
              <w:rPr>
                <w:rFonts w:ascii="Arial Narrow" w:eastAsia="Calibri" w:hAnsi="Arial Narrow"/>
                <w:snapToGrid/>
                <w:sz w:val="20"/>
              </w:rPr>
              <w:t>and Manufacturer</w:t>
            </w:r>
          </w:p>
        </w:tc>
      </w:tr>
      <w:tr w:rsidR="007448E6" w:rsidRPr="005F039C" w:rsidTr="007448E6">
        <w:trPr>
          <w:cantSplit/>
          <w:trHeight w:val="608"/>
        </w:trPr>
        <w:tc>
          <w:tcPr>
            <w:tcW w:w="2740" w:type="pct"/>
          </w:tcPr>
          <w:p w:rsidR="007448E6" w:rsidRPr="005F039C" w:rsidRDefault="007448E6" w:rsidP="00604C16">
            <w:pPr>
              <w:keepNext/>
              <w:widowControl/>
              <w:ind w:left="-108"/>
              <w:rPr>
                <w:rFonts w:ascii="Arial Narrow" w:eastAsia="Calibri" w:hAnsi="Arial Narrow"/>
                <w:snapToGrid/>
                <w:sz w:val="20"/>
              </w:rPr>
            </w:pPr>
            <w:r w:rsidRPr="005F039C">
              <w:rPr>
                <w:rFonts w:ascii="Arial Narrow" w:eastAsia="Calibri" w:hAnsi="Arial Narrow"/>
                <w:smallCaps/>
                <w:snapToGrid/>
                <w:sz w:val="20"/>
              </w:rPr>
              <w:t>AFLIBERCEPT</w:t>
            </w:r>
          </w:p>
          <w:p w:rsidR="007448E6" w:rsidRPr="005F039C" w:rsidRDefault="007448E6" w:rsidP="00604C16">
            <w:pPr>
              <w:keepNext/>
              <w:widowControl/>
              <w:ind w:left="-108"/>
              <w:rPr>
                <w:rFonts w:ascii="Arial Narrow" w:eastAsia="Calibri" w:hAnsi="Arial Narrow"/>
                <w:snapToGrid/>
                <w:sz w:val="20"/>
              </w:rPr>
            </w:pPr>
          </w:p>
          <w:p w:rsidR="007448E6" w:rsidRPr="005F039C" w:rsidRDefault="007448E6" w:rsidP="00604C16">
            <w:pPr>
              <w:keepNext/>
              <w:widowControl/>
              <w:ind w:left="-108"/>
              <w:rPr>
                <w:rFonts w:ascii="Arial Narrow" w:eastAsia="Calibri" w:hAnsi="Arial Narrow"/>
                <w:snapToGrid/>
                <w:sz w:val="20"/>
              </w:rPr>
            </w:pPr>
            <w:r w:rsidRPr="005F039C">
              <w:rPr>
                <w:rFonts w:ascii="Arial Narrow" w:eastAsia="Calibri" w:hAnsi="Arial Narrow"/>
                <w:snapToGrid/>
                <w:sz w:val="20"/>
              </w:rPr>
              <w:t>aflibercept 4mg/</w:t>
            </w:r>
            <w:r w:rsidRPr="005F039C">
              <w:rPr>
                <w:rFonts w:ascii="Arial Narrow" w:eastAsia="Calibri" w:hAnsi="Arial Narrow"/>
                <w:snapToGrid/>
                <w:sz w:val="20"/>
                <w:lang w:eastAsia="zh-CN"/>
              </w:rPr>
              <w:t>0.1</w:t>
            </w:r>
            <w:r w:rsidRPr="005F039C">
              <w:rPr>
                <w:rFonts w:ascii="Arial Narrow" w:eastAsia="Calibri" w:hAnsi="Arial Narrow"/>
                <w:snapToGrid/>
                <w:sz w:val="20"/>
              </w:rPr>
              <w:t>mL injection, 1 x</w:t>
            </w:r>
            <w:r w:rsidRPr="005F039C">
              <w:rPr>
                <w:rFonts w:ascii="Arial Narrow" w:eastAsia="Calibri" w:hAnsi="Arial Narrow"/>
                <w:snapToGrid/>
                <w:sz w:val="20"/>
                <w:lang w:eastAsia="zh-CN"/>
              </w:rPr>
              <w:t xml:space="preserve"> 0.1 ml </w:t>
            </w:r>
            <w:r w:rsidRPr="005F039C">
              <w:rPr>
                <w:rFonts w:ascii="Arial Narrow" w:eastAsia="Calibri" w:hAnsi="Arial Narrow"/>
                <w:snapToGrid/>
                <w:sz w:val="20"/>
              </w:rPr>
              <w:t>vial</w:t>
            </w:r>
          </w:p>
          <w:p w:rsidR="007448E6" w:rsidRPr="005F039C" w:rsidRDefault="007448E6" w:rsidP="00604C16">
            <w:pPr>
              <w:keepNext/>
              <w:widowControl/>
              <w:ind w:left="-108"/>
              <w:rPr>
                <w:rFonts w:ascii="Arial Narrow" w:eastAsia="Calibri" w:hAnsi="Arial Narrow"/>
                <w:snapToGrid/>
                <w:sz w:val="20"/>
                <w:lang w:eastAsia="zh-CN"/>
              </w:rPr>
            </w:pPr>
          </w:p>
          <w:p w:rsidR="007448E6" w:rsidRPr="005F039C" w:rsidRDefault="007448E6" w:rsidP="00604C16">
            <w:pPr>
              <w:keepNext/>
              <w:widowControl/>
              <w:ind w:left="-108"/>
              <w:rPr>
                <w:rFonts w:ascii="Arial Narrow" w:eastAsia="Calibri" w:hAnsi="Arial Narrow"/>
                <w:snapToGrid/>
                <w:sz w:val="20"/>
                <w:lang w:eastAsia="zh-CN"/>
              </w:rPr>
            </w:pPr>
            <w:r w:rsidRPr="005F039C">
              <w:rPr>
                <w:rFonts w:ascii="Arial Narrow" w:eastAsia="Calibri" w:hAnsi="Arial Narrow"/>
                <w:snapToGrid/>
                <w:sz w:val="20"/>
              </w:rPr>
              <w:t>aflibercept 4mg/</w:t>
            </w:r>
            <w:r w:rsidRPr="005F039C">
              <w:rPr>
                <w:rFonts w:ascii="Arial Narrow" w:eastAsia="Calibri" w:hAnsi="Arial Narrow"/>
                <w:snapToGrid/>
                <w:sz w:val="20"/>
                <w:lang w:eastAsia="zh-CN"/>
              </w:rPr>
              <w:t xml:space="preserve">0.1 </w:t>
            </w:r>
            <w:r w:rsidRPr="005F039C">
              <w:rPr>
                <w:rFonts w:ascii="Arial Narrow" w:eastAsia="Calibri" w:hAnsi="Arial Narrow"/>
                <w:snapToGrid/>
                <w:sz w:val="20"/>
              </w:rPr>
              <w:t>mL injection, 1</w:t>
            </w:r>
            <w:r w:rsidRPr="005F039C">
              <w:rPr>
                <w:rFonts w:ascii="Arial Narrow" w:eastAsia="Calibri" w:hAnsi="Arial Narrow"/>
                <w:snapToGrid/>
                <w:sz w:val="20"/>
                <w:lang w:eastAsia="zh-CN"/>
              </w:rPr>
              <w:t xml:space="preserve"> </w:t>
            </w:r>
            <w:r w:rsidRPr="005F039C">
              <w:rPr>
                <w:rFonts w:ascii="Arial Narrow" w:eastAsia="Calibri" w:hAnsi="Arial Narrow"/>
                <w:snapToGrid/>
                <w:sz w:val="20"/>
              </w:rPr>
              <w:t>x</w:t>
            </w:r>
            <w:r w:rsidRPr="005F039C">
              <w:rPr>
                <w:rFonts w:ascii="Arial Narrow" w:eastAsia="Calibri" w:hAnsi="Arial Narrow"/>
                <w:snapToGrid/>
                <w:sz w:val="20"/>
                <w:lang w:eastAsia="zh-CN"/>
              </w:rPr>
              <w:t xml:space="preserve"> 0.09 ml pre-filled syringe</w:t>
            </w:r>
          </w:p>
        </w:tc>
        <w:tc>
          <w:tcPr>
            <w:tcW w:w="507" w:type="pct"/>
          </w:tcPr>
          <w:p w:rsidR="007448E6" w:rsidRPr="005F039C" w:rsidRDefault="007448E6" w:rsidP="00604C16">
            <w:pPr>
              <w:keepNext/>
              <w:widowControl/>
              <w:ind w:left="-108"/>
              <w:rPr>
                <w:rFonts w:ascii="Arial Narrow" w:eastAsia="Calibri" w:hAnsi="Arial Narrow"/>
                <w:snapToGrid/>
                <w:sz w:val="20"/>
              </w:rPr>
            </w:pPr>
          </w:p>
          <w:p w:rsidR="007448E6" w:rsidRPr="005F039C" w:rsidRDefault="007448E6" w:rsidP="00604C16">
            <w:pPr>
              <w:keepNext/>
              <w:widowControl/>
              <w:ind w:left="-108"/>
              <w:rPr>
                <w:rFonts w:ascii="Arial Narrow" w:eastAsia="Calibri" w:hAnsi="Arial Narrow"/>
                <w:snapToGrid/>
                <w:sz w:val="20"/>
              </w:rPr>
            </w:pPr>
          </w:p>
          <w:p w:rsidR="007448E6" w:rsidRPr="005F039C" w:rsidRDefault="007448E6" w:rsidP="00604C16">
            <w:pPr>
              <w:keepNext/>
              <w:widowControl/>
              <w:ind w:left="-108"/>
              <w:rPr>
                <w:rFonts w:ascii="Arial Narrow" w:eastAsia="Calibri" w:hAnsi="Arial Narrow"/>
                <w:snapToGrid/>
                <w:sz w:val="20"/>
                <w:lang w:eastAsia="zh-CN"/>
              </w:rPr>
            </w:pPr>
            <w:r w:rsidRPr="005F039C">
              <w:rPr>
                <w:rFonts w:ascii="Arial Narrow" w:eastAsia="Calibri" w:hAnsi="Arial Narrow"/>
                <w:snapToGrid/>
                <w:sz w:val="20"/>
              </w:rPr>
              <w:t>1</w:t>
            </w:r>
          </w:p>
          <w:p w:rsidR="007448E6" w:rsidRPr="005F039C" w:rsidRDefault="007448E6" w:rsidP="00604C16">
            <w:pPr>
              <w:keepNext/>
              <w:widowControl/>
              <w:ind w:left="-108"/>
              <w:rPr>
                <w:rFonts w:ascii="Arial Narrow" w:eastAsia="Calibri" w:hAnsi="Arial Narrow"/>
                <w:snapToGrid/>
                <w:sz w:val="20"/>
                <w:lang w:eastAsia="zh-CN"/>
              </w:rPr>
            </w:pPr>
          </w:p>
          <w:p w:rsidR="007448E6" w:rsidRPr="005F039C" w:rsidRDefault="007448E6" w:rsidP="00604C16">
            <w:pPr>
              <w:keepNext/>
              <w:widowControl/>
              <w:ind w:left="-108"/>
              <w:rPr>
                <w:rFonts w:ascii="Arial Narrow" w:eastAsia="Calibri" w:hAnsi="Arial Narrow"/>
                <w:snapToGrid/>
                <w:sz w:val="20"/>
                <w:lang w:eastAsia="zh-CN"/>
              </w:rPr>
            </w:pPr>
          </w:p>
          <w:p w:rsidR="007448E6" w:rsidRPr="005F039C" w:rsidRDefault="007448E6" w:rsidP="00604C16">
            <w:pPr>
              <w:keepNext/>
              <w:widowControl/>
              <w:ind w:left="-108"/>
              <w:rPr>
                <w:rFonts w:ascii="Arial Narrow" w:eastAsia="Calibri" w:hAnsi="Arial Narrow"/>
                <w:snapToGrid/>
                <w:sz w:val="20"/>
                <w:lang w:eastAsia="zh-CN"/>
              </w:rPr>
            </w:pPr>
            <w:r w:rsidRPr="005F039C">
              <w:rPr>
                <w:rFonts w:ascii="Arial Narrow" w:eastAsia="Calibri" w:hAnsi="Arial Narrow"/>
                <w:snapToGrid/>
                <w:sz w:val="20"/>
                <w:lang w:eastAsia="zh-CN"/>
              </w:rPr>
              <w:t>1</w:t>
            </w:r>
          </w:p>
        </w:tc>
        <w:tc>
          <w:tcPr>
            <w:tcW w:w="405" w:type="pct"/>
          </w:tcPr>
          <w:p w:rsidR="007448E6" w:rsidRPr="005F039C" w:rsidRDefault="007448E6" w:rsidP="00604C16">
            <w:pPr>
              <w:keepNext/>
              <w:widowControl/>
              <w:ind w:left="-108"/>
              <w:rPr>
                <w:rFonts w:ascii="Arial Narrow" w:eastAsia="Calibri" w:hAnsi="Arial Narrow"/>
                <w:snapToGrid/>
                <w:sz w:val="20"/>
              </w:rPr>
            </w:pPr>
          </w:p>
          <w:p w:rsidR="007448E6" w:rsidRPr="005F039C" w:rsidRDefault="007448E6" w:rsidP="00604C16">
            <w:pPr>
              <w:keepNext/>
              <w:widowControl/>
              <w:ind w:left="-108"/>
              <w:rPr>
                <w:rFonts w:ascii="Arial Narrow" w:eastAsia="Calibri" w:hAnsi="Arial Narrow"/>
                <w:snapToGrid/>
                <w:sz w:val="20"/>
              </w:rPr>
            </w:pPr>
          </w:p>
          <w:p w:rsidR="007448E6" w:rsidRPr="005F039C" w:rsidRDefault="007448E6" w:rsidP="00604C16">
            <w:pPr>
              <w:keepNext/>
              <w:widowControl/>
              <w:ind w:left="-108"/>
              <w:rPr>
                <w:rFonts w:ascii="Arial Narrow" w:eastAsia="Calibri" w:hAnsi="Arial Narrow"/>
                <w:strike/>
                <w:snapToGrid/>
                <w:sz w:val="20"/>
              </w:rPr>
            </w:pPr>
            <w:r w:rsidRPr="005F039C">
              <w:rPr>
                <w:rFonts w:ascii="Arial Narrow" w:eastAsia="Calibri" w:hAnsi="Arial Narrow"/>
                <w:strike/>
                <w:snapToGrid/>
                <w:sz w:val="20"/>
              </w:rPr>
              <w:t>5</w:t>
            </w:r>
          </w:p>
          <w:p w:rsidR="007448E6" w:rsidRPr="005F039C" w:rsidRDefault="007448E6" w:rsidP="00604C16">
            <w:pPr>
              <w:keepNext/>
              <w:widowControl/>
              <w:ind w:left="-108"/>
              <w:rPr>
                <w:rFonts w:ascii="Arial Narrow" w:eastAsia="Calibri" w:hAnsi="Arial Narrow"/>
                <w:i/>
                <w:snapToGrid/>
                <w:sz w:val="20"/>
                <w:lang w:eastAsia="zh-CN"/>
              </w:rPr>
            </w:pPr>
            <w:r w:rsidRPr="005F039C">
              <w:rPr>
                <w:rFonts w:ascii="Arial Narrow" w:eastAsia="Calibri" w:hAnsi="Arial Narrow"/>
                <w:i/>
                <w:snapToGrid/>
                <w:sz w:val="20"/>
              </w:rPr>
              <w:t>2</w:t>
            </w:r>
          </w:p>
          <w:p w:rsidR="007448E6" w:rsidRPr="005F039C" w:rsidRDefault="007448E6" w:rsidP="00604C16">
            <w:pPr>
              <w:keepNext/>
              <w:widowControl/>
              <w:rPr>
                <w:rFonts w:ascii="Arial Narrow" w:eastAsia="Calibri" w:hAnsi="Arial Narrow"/>
                <w:snapToGrid/>
                <w:sz w:val="20"/>
                <w:lang w:eastAsia="zh-CN"/>
              </w:rPr>
            </w:pPr>
          </w:p>
          <w:p w:rsidR="007448E6" w:rsidRPr="005F039C" w:rsidRDefault="007448E6" w:rsidP="00604C16">
            <w:pPr>
              <w:keepNext/>
              <w:widowControl/>
              <w:ind w:left="-108"/>
              <w:rPr>
                <w:rFonts w:ascii="Arial Narrow" w:eastAsia="Calibri" w:hAnsi="Arial Narrow"/>
                <w:strike/>
                <w:snapToGrid/>
                <w:sz w:val="20"/>
                <w:lang w:eastAsia="zh-CN"/>
              </w:rPr>
            </w:pPr>
            <w:r w:rsidRPr="005F039C">
              <w:rPr>
                <w:rFonts w:ascii="Arial Narrow" w:eastAsia="Calibri" w:hAnsi="Arial Narrow"/>
                <w:strike/>
                <w:snapToGrid/>
                <w:sz w:val="20"/>
                <w:lang w:eastAsia="zh-CN"/>
              </w:rPr>
              <w:t>5</w:t>
            </w:r>
          </w:p>
          <w:p w:rsidR="007448E6" w:rsidRPr="005F039C" w:rsidRDefault="007448E6" w:rsidP="00604C16">
            <w:pPr>
              <w:keepNext/>
              <w:widowControl/>
              <w:ind w:left="-108"/>
              <w:rPr>
                <w:rFonts w:ascii="Arial Narrow" w:eastAsia="Calibri" w:hAnsi="Arial Narrow"/>
                <w:i/>
                <w:snapToGrid/>
                <w:sz w:val="20"/>
                <w:lang w:eastAsia="zh-CN"/>
              </w:rPr>
            </w:pPr>
            <w:r w:rsidRPr="005F039C">
              <w:rPr>
                <w:rFonts w:ascii="Arial Narrow" w:eastAsia="Calibri" w:hAnsi="Arial Narrow"/>
                <w:i/>
                <w:snapToGrid/>
                <w:sz w:val="20"/>
                <w:lang w:eastAsia="zh-CN"/>
              </w:rPr>
              <w:t>2</w:t>
            </w:r>
          </w:p>
        </w:tc>
        <w:tc>
          <w:tcPr>
            <w:tcW w:w="811" w:type="pct"/>
          </w:tcPr>
          <w:p w:rsidR="007448E6" w:rsidRPr="005F039C" w:rsidRDefault="007448E6" w:rsidP="00604C16">
            <w:pPr>
              <w:keepNext/>
              <w:widowControl/>
              <w:rPr>
                <w:rFonts w:ascii="Arial Narrow" w:eastAsia="Calibri" w:hAnsi="Arial Narrow"/>
                <w:snapToGrid/>
                <w:sz w:val="20"/>
              </w:rPr>
            </w:pPr>
          </w:p>
          <w:p w:rsidR="007448E6" w:rsidRPr="005F039C" w:rsidRDefault="007448E6" w:rsidP="00604C16">
            <w:pPr>
              <w:keepNext/>
              <w:widowControl/>
              <w:rPr>
                <w:rFonts w:ascii="Arial Narrow" w:eastAsia="Calibri" w:hAnsi="Arial Narrow"/>
                <w:snapToGrid/>
                <w:sz w:val="20"/>
              </w:rPr>
            </w:pPr>
          </w:p>
          <w:p w:rsidR="007448E6" w:rsidRPr="005F039C" w:rsidRDefault="007448E6" w:rsidP="00604C16">
            <w:pPr>
              <w:keepNext/>
              <w:widowControl/>
              <w:rPr>
                <w:rFonts w:ascii="Arial Narrow" w:eastAsia="Calibri" w:hAnsi="Arial Narrow"/>
                <w:snapToGrid/>
                <w:sz w:val="20"/>
                <w:lang w:eastAsia="zh-CN"/>
              </w:rPr>
            </w:pPr>
            <w:r w:rsidRPr="005F039C">
              <w:rPr>
                <w:rFonts w:ascii="Arial Narrow" w:eastAsia="Calibri" w:hAnsi="Arial Narrow"/>
                <w:snapToGrid/>
                <w:sz w:val="20"/>
              </w:rPr>
              <w:t>Eylea</w:t>
            </w:r>
          </w:p>
          <w:p w:rsidR="007448E6" w:rsidRPr="005F039C" w:rsidRDefault="007448E6" w:rsidP="00604C16">
            <w:pPr>
              <w:keepNext/>
              <w:widowControl/>
              <w:rPr>
                <w:rFonts w:ascii="Arial Narrow" w:eastAsia="Calibri" w:hAnsi="Arial Narrow"/>
                <w:snapToGrid/>
                <w:sz w:val="20"/>
                <w:lang w:eastAsia="zh-CN"/>
              </w:rPr>
            </w:pPr>
          </w:p>
          <w:p w:rsidR="007448E6" w:rsidRPr="005F039C" w:rsidRDefault="007448E6" w:rsidP="00604C16">
            <w:pPr>
              <w:keepNext/>
              <w:widowControl/>
              <w:rPr>
                <w:rFonts w:ascii="Arial Narrow" w:eastAsia="Calibri" w:hAnsi="Arial Narrow"/>
                <w:snapToGrid/>
                <w:sz w:val="20"/>
                <w:lang w:eastAsia="zh-CN"/>
              </w:rPr>
            </w:pPr>
          </w:p>
          <w:p w:rsidR="007448E6" w:rsidRPr="005F039C" w:rsidRDefault="007448E6" w:rsidP="00604C16">
            <w:pPr>
              <w:keepNext/>
              <w:widowControl/>
              <w:rPr>
                <w:rFonts w:ascii="Arial Narrow" w:eastAsia="Calibri" w:hAnsi="Arial Narrow"/>
                <w:snapToGrid/>
                <w:sz w:val="20"/>
                <w:lang w:eastAsia="zh-CN"/>
              </w:rPr>
            </w:pPr>
            <w:r w:rsidRPr="005F039C">
              <w:rPr>
                <w:rFonts w:ascii="Arial Narrow" w:eastAsia="Calibri" w:hAnsi="Arial Narrow"/>
                <w:snapToGrid/>
                <w:sz w:val="20"/>
              </w:rPr>
              <w:t>Eylea</w:t>
            </w:r>
          </w:p>
          <w:p w:rsidR="007448E6" w:rsidRPr="005F039C" w:rsidRDefault="007448E6" w:rsidP="00604C16">
            <w:pPr>
              <w:keepNext/>
              <w:widowControl/>
              <w:rPr>
                <w:rFonts w:ascii="Arial Narrow" w:eastAsia="Calibri" w:hAnsi="Arial Narrow"/>
                <w:snapToGrid/>
                <w:sz w:val="20"/>
                <w:lang w:eastAsia="zh-CN"/>
              </w:rPr>
            </w:pPr>
          </w:p>
        </w:tc>
        <w:tc>
          <w:tcPr>
            <w:tcW w:w="536" w:type="pct"/>
          </w:tcPr>
          <w:p w:rsidR="007448E6" w:rsidRPr="005F039C" w:rsidRDefault="007448E6" w:rsidP="00604C16">
            <w:pPr>
              <w:keepNext/>
              <w:widowControl/>
              <w:rPr>
                <w:rFonts w:ascii="Arial Narrow" w:eastAsia="Calibri" w:hAnsi="Arial Narrow"/>
                <w:snapToGrid/>
                <w:sz w:val="20"/>
              </w:rPr>
            </w:pPr>
          </w:p>
          <w:p w:rsidR="007448E6" w:rsidRPr="005F039C" w:rsidRDefault="007448E6" w:rsidP="00604C16">
            <w:pPr>
              <w:keepNext/>
              <w:widowControl/>
              <w:rPr>
                <w:rFonts w:ascii="Arial Narrow" w:eastAsia="Calibri" w:hAnsi="Arial Narrow"/>
                <w:snapToGrid/>
                <w:sz w:val="20"/>
              </w:rPr>
            </w:pPr>
          </w:p>
          <w:p w:rsidR="007448E6" w:rsidRPr="005F039C" w:rsidRDefault="007448E6" w:rsidP="00604C16">
            <w:pPr>
              <w:keepNext/>
              <w:widowControl/>
              <w:rPr>
                <w:rFonts w:ascii="Arial Narrow" w:eastAsia="Calibri" w:hAnsi="Arial Narrow"/>
                <w:snapToGrid/>
                <w:sz w:val="20"/>
              </w:rPr>
            </w:pPr>
            <w:r w:rsidRPr="005F039C">
              <w:rPr>
                <w:rFonts w:ascii="Arial Narrow" w:eastAsia="Calibri" w:hAnsi="Arial Narrow"/>
                <w:snapToGrid/>
                <w:sz w:val="20"/>
              </w:rPr>
              <w:t>BN</w:t>
            </w:r>
          </w:p>
          <w:p w:rsidR="007448E6" w:rsidRPr="005F039C" w:rsidRDefault="007448E6" w:rsidP="00604C16">
            <w:pPr>
              <w:keepNext/>
              <w:widowControl/>
              <w:rPr>
                <w:rFonts w:ascii="Arial Narrow" w:eastAsia="Calibri" w:hAnsi="Arial Narrow"/>
                <w:snapToGrid/>
                <w:sz w:val="20"/>
                <w:lang w:eastAsia="zh-CN"/>
              </w:rPr>
            </w:pPr>
          </w:p>
          <w:p w:rsidR="007448E6" w:rsidRPr="005F039C" w:rsidRDefault="007448E6" w:rsidP="00604C16">
            <w:pPr>
              <w:keepNext/>
              <w:widowControl/>
              <w:rPr>
                <w:rFonts w:ascii="Arial Narrow" w:eastAsia="Calibri" w:hAnsi="Arial Narrow"/>
                <w:snapToGrid/>
                <w:sz w:val="20"/>
                <w:lang w:eastAsia="zh-CN"/>
              </w:rPr>
            </w:pPr>
          </w:p>
          <w:p w:rsidR="007448E6" w:rsidRPr="005F039C" w:rsidRDefault="007448E6" w:rsidP="00604C16">
            <w:pPr>
              <w:keepNext/>
              <w:widowControl/>
              <w:rPr>
                <w:rFonts w:ascii="Arial Narrow" w:eastAsia="Calibri" w:hAnsi="Arial Narrow"/>
                <w:snapToGrid/>
                <w:sz w:val="20"/>
              </w:rPr>
            </w:pPr>
            <w:r w:rsidRPr="005F039C">
              <w:rPr>
                <w:rFonts w:ascii="Arial Narrow" w:eastAsia="Calibri" w:hAnsi="Arial Narrow"/>
                <w:snapToGrid/>
                <w:sz w:val="20"/>
              </w:rPr>
              <w:t>BN</w:t>
            </w:r>
          </w:p>
        </w:tc>
      </w:tr>
    </w:tbl>
    <w:p w:rsidR="00E43BEE" w:rsidRPr="005F039C" w:rsidRDefault="00E43BEE" w:rsidP="00E43BEE">
      <w:pPr>
        <w:widowControl/>
        <w:rPr>
          <w:rFonts w:ascii="Arial Narrow" w:eastAsia="Calibri" w:hAnsi="Arial Narrow"/>
          <w:i/>
          <w:snapToGrid/>
          <w:sz w:val="20"/>
        </w:rPr>
      </w:pPr>
    </w:p>
    <w:tbl>
      <w:tblPr>
        <w:tblW w:w="8505" w:type="dxa"/>
        <w:tblInd w:w="817" w:type="dxa"/>
        <w:tblLayout w:type="fixed"/>
        <w:tblLook w:val="0000" w:firstRow="0" w:lastRow="0" w:firstColumn="0" w:lastColumn="0" w:noHBand="0" w:noVBand="0"/>
      </w:tblPr>
      <w:tblGrid>
        <w:gridCol w:w="2693"/>
        <w:gridCol w:w="5812"/>
      </w:tblGrid>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 xml:space="preserve">Category / </w:t>
            </w:r>
          </w:p>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Program</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GENERAL – General Schedule (Code GE)</w:t>
            </w:r>
          </w:p>
          <w:p w:rsidR="00E43BEE" w:rsidRPr="005F039C" w:rsidRDefault="00E43BEE" w:rsidP="00604C16">
            <w:pPr>
              <w:widowControl/>
              <w:rPr>
                <w:rFonts w:ascii="Arial Narrow" w:eastAsia="Calibri" w:hAnsi="Arial Narrow"/>
                <w:i/>
                <w:snapToGrid/>
                <w:sz w:val="20"/>
              </w:rPr>
            </w:pP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Prescriber type:</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241F47" w:rsidP="00604C16">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1"/>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 xml:space="preserve">Dental  </w:t>
            </w:r>
            <w:r w:rsidRPr="005F039C">
              <w:rPr>
                <w:rFonts w:ascii="Arial Narrow" w:eastAsia="Calibri" w:hAnsi="Arial Narrow"/>
                <w:i/>
                <w:snapToGrid/>
                <w:sz w:val="20"/>
              </w:rPr>
              <w:fldChar w:fldCharType="begin">
                <w:ffData>
                  <w:name w:val=""/>
                  <w:enabled/>
                  <w:calcOnExit w:val="0"/>
                  <w:checkBox>
                    <w:sizeAuto/>
                    <w:default w:val="1"/>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 xml:space="preserve">Medical Practitioners  </w:t>
            </w:r>
            <w:r w:rsidRPr="005F039C">
              <w:rPr>
                <w:rFonts w:ascii="Arial Narrow" w:eastAsia="Calibri" w:hAnsi="Arial Narrow"/>
                <w:i/>
                <w:snapToGrid/>
                <w:sz w:val="20"/>
              </w:rPr>
              <w:fldChar w:fldCharType="begin">
                <w:ffData>
                  <w:name w:val="Check3"/>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 xml:space="preserve">Nurse practitioners  </w:t>
            </w:r>
            <w:r w:rsidRPr="005F039C">
              <w:rPr>
                <w:rFonts w:ascii="Arial Narrow" w:eastAsia="Calibri" w:hAnsi="Arial Narrow"/>
                <w:i/>
                <w:snapToGrid/>
                <w:sz w:val="20"/>
              </w:rPr>
              <w:fldChar w:fldCharType="begin">
                <w:ffData>
                  <w:name w:val=""/>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Optometrists</w:t>
            </w:r>
          </w:p>
          <w:p w:rsidR="00E43BEE" w:rsidRPr="005F039C" w:rsidRDefault="00241F47" w:rsidP="00604C16">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5"/>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Midwives</w:t>
            </w: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Episodicity:</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Severity:</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Condition:</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Macular oedema secondary to central retinal vein occlusion</w:t>
            </w: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PBS Indication:</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 xml:space="preserve">Macular oedema secondary to central retinal vein occlusion </w:t>
            </w: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Treatment phase:</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Initial treatment</w:t>
            </w: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584E9E">
            <w:pPr>
              <w:widowControl/>
              <w:rPr>
                <w:rFonts w:ascii="Arial Narrow" w:eastAsia="Calibri" w:hAnsi="Arial Narrow"/>
                <w:i/>
                <w:snapToGrid/>
                <w:sz w:val="20"/>
              </w:rPr>
            </w:pPr>
            <w:r w:rsidRPr="005F039C">
              <w:rPr>
                <w:rFonts w:ascii="Arial Narrow" w:eastAsia="Calibri" w:hAnsi="Arial Narrow"/>
                <w:b/>
                <w:i/>
                <w:snapToGrid/>
                <w:sz w:val="20"/>
              </w:rPr>
              <w:t>Restriction Level / Method:</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241F47" w:rsidP="00604C16">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1"/>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Restricted benefit</w:t>
            </w:r>
          </w:p>
          <w:p w:rsidR="00E43BEE" w:rsidRPr="005F039C" w:rsidRDefault="00241F47" w:rsidP="00604C16">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
                  <w:enabled/>
                  <w:calcOnExit w:val="0"/>
                  <w:checkBox>
                    <w:sizeAuto/>
                    <w:default w:val="1"/>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Authority Required - In Writing</w:t>
            </w:r>
          </w:p>
          <w:p w:rsidR="00E43BEE" w:rsidRPr="005F039C" w:rsidRDefault="00241F47" w:rsidP="00604C16">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3"/>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Authority Required - Telephone</w:t>
            </w:r>
          </w:p>
          <w:p w:rsidR="00E43BEE" w:rsidRPr="005F039C" w:rsidRDefault="00241F47" w:rsidP="00604C16">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Authority Required – Emergency</w:t>
            </w:r>
          </w:p>
          <w:p w:rsidR="00E43BEE" w:rsidRPr="005F039C" w:rsidRDefault="00241F47" w:rsidP="00604C16">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5"/>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Authority Required - Electronic</w:t>
            </w:r>
          </w:p>
          <w:p w:rsidR="00E43BEE" w:rsidRPr="005F039C" w:rsidRDefault="00241F47" w:rsidP="00604C16">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5"/>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Streamlined</w:t>
            </w:r>
          </w:p>
        </w:tc>
      </w:tr>
      <w:tr w:rsidR="00E43BEE" w:rsidRPr="005F039C">
        <w:tblPrEx>
          <w:tblLook w:val="04A0" w:firstRow="1" w:lastRow="0" w:firstColumn="1" w:lastColumn="0" w:noHBand="0" w:noVBand="1"/>
        </w:tblPrEx>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584E9E">
            <w:pPr>
              <w:widowControl/>
              <w:rPr>
                <w:rFonts w:ascii="Arial Narrow" w:eastAsia="Calibri" w:hAnsi="Arial Narrow"/>
                <w:i/>
                <w:snapToGrid/>
                <w:sz w:val="20"/>
              </w:rPr>
            </w:pPr>
            <w:r w:rsidRPr="005F039C">
              <w:rPr>
                <w:rFonts w:ascii="Arial Narrow" w:eastAsia="Calibri" w:hAnsi="Arial Narrow"/>
                <w:b/>
                <w:i/>
                <w:snapToGrid/>
                <w:sz w:val="20"/>
              </w:rPr>
              <w:t>Treatment criteria:</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584E9E">
            <w:pPr>
              <w:widowControl/>
              <w:rPr>
                <w:rFonts w:ascii="Arial Narrow" w:eastAsia="Calibri" w:hAnsi="Arial Narrow"/>
                <w:i/>
                <w:snapToGrid/>
                <w:sz w:val="20"/>
              </w:rPr>
            </w:pPr>
            <w:r w:rsidRPr="005F039C">
              <w:rPr>
                <w:rFonts w:ascii="Arial Narrow" w:eastAsia="Calibri" w:hAnsi="Arial Narrow"/>
                <w:i/>
                <w:snapToGrid/>
                <w:sz w:val="20"/>
              </w:rPr>
              <w:t>Must be treated by an ophthalmologist</w:t>
            </w:r>
          </w:p>
        </w:tc>
      </w:tr>
      <w:tr w:rsidR="00E43BEE" w:rsidRPr="005F039C">
        <w:tblPrEx>
          <w:tblLook w:val="04A0" w:firstRow="1" w:lastRow="0" w:firstColumn="1" w:lastColumn="0" w:noHBand="0" w:noVBand="1"/>
        </w:tblPrEx>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584E9E">
            <w:pPr>
              <w:widowControl/>
              <w:rPr>
                <w:rFonts w:ascii="Arial Narrow" w:eastAsia="Calibri" w:hAnsi="Arial Narrow"/>
                <w:i/>
                <w:snapToGrid/>
                <w:sz w:val="20"/>
              </w:rPr>
            </w:pPr>
            <w:r w:rsidRPr="005F039C">
              <w:rPr>
                <w:rFonts w:ascii="Arial Narrow" w:eastAsia="Calibri" w:hAnsi="Arial Narrow"/>
                <w:b/>
                <w:i/>
                <w:snapToGrid/>
                <w:sz w:val="20"/>
              </w:rPr>
              <w:lastRenderedPageBreak/>
              <w:t>Clinical criteria:</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Patient must have visual impairment due to macular oedema secondary to central retinal vein occlusion (CRVO)</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AND</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The condition must be diagnosed by [appropriate diagnostic method – to be finalised]</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AND</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Patient must have documented impairment of best corrected visual acuity (BCVA) on the early treatment diabetic retinopathy study (EDTRS) chart</w:t>
            </w:r>
          </w:p>
        </w:tc>
      </w:tr>
      <w:tr w:rsidR="00E43BEE" w:rsidRPr="005F039C">
        <w:tblPrEx>
          <w:tblLook w:val="04A0" w:firstRow="1" w:lastRow="0" w:firstColumn="1" w:lastColumn="0" w:noHBand="0" w:noVBand="1"/>
        </w:tblPrEx>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Definitions</w:t>
            </w:r>
          </w:p>
          <w:p w:rsidR="00E43BEE" w:rsidRPr="005F039C" w:rsidRDefault="00E43BEE" w:rsidP="00604C16">
            <w:pPr>
              <w:widowControl/>
              <w:rPr>
                <w:rFonts w:ascii="Arial Narrow" w:eastAsia="Calibri" w:hAnsi="Arial Narrow"/>
                <w:b/>
                <w:i/>
                <w:snapToGrid/>
                <w:sz w:val="20"/>
              </w:rPr>
            </w:pPr>
          </w:p>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i/>
                <w:snapToGrid/>
                <w:sz w:val="20"/>
              </w:rPr>
              <w:t>(to be finalised at a later stage)</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[Visual impairment is defined as best corrected visual acuity using EDTRS charts] - to be finalised.</w:t>
            </w:r>
          </w:p>
        </w:tc>
      </w:tr>
      <w:tr w:rsidR="00E43BEE" w:rsidRPr="005F039C">
        <w:tblPrEx>
          <w:tblLook w:val="04A0" w:firstRow="1" w:lastRow="0" w:firstColumn="1" w:lastColumn="0" w:noHBand="0" w:noVBand="1"/>
        </w:tblPrEx>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Prescriber Instructions</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(to be finalised at a later stage)</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Authority approval for initial treatment of each eye must be sought.</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 xml:space="preserve">The first authority application for each eye must be made in writing or by telephone. </w:t>
            </w: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A written application must include:</w:t>
            </w: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a) a completed authority prescription form;</w:t>
            </w: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b) a completed [insert name of form] - PBS Supporting Information Form; and</w:t>
            </w: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c) a copy of the fluorescein angiogram or alternative method of diagnosis where applicable.</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A telephone application must be made following submission by facsimile of a copy of a completed [insert name of form] - PBS Supporting Information Form and a copy of the [appropriate diagnostic report]. The original documentation must be submitted to the Chief Executive Medicare by post after the application has been authorised.</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Where a fluorescein angiogram cannot be performed due to a contraindication as listed in the TGA-approved product information, details of the contraindication must be provided.  A copy of the report of an alternative method of diagnosis must be included in the application, for example optical coherence tomography (OCT) or red free photography.</w:t>
            </w:r>
          </w:p>
        </w:tc>
      </w:tr>
      <w:tr w:rsidR="00E43BEE" w:rsidRPr="005F039C">
        <w:tblPrEx>
          <w:tblLook w:val="04A0" w:firstRow="1" w:lastRow="0" w:firstColumn="1" w:lastColumn="0" w:noHBand="0" w:noVBand="1"/>
        </w:tblPrEx>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lastRenderedPageBreak/>
              <w:t>Administrative Advice</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(to be finalised at a later stage)</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Authority approvals will be administered by the Complex Drugs Unit of the Department of Human Services</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 xml:space="preserve">Any queries concerning the arrangements to prescribe may be directed to the Department of Human Services on 1800 700 270 (hours of operation 8 a.m. to 5 p.m. EST Monday to Friday). </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Prescribing information (including Authority Application forms and other relevant documentation as applicable) is available on the Department of Human Services website at www.humanservices.gov.au</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Applications for authority to prescribe should be forwarded to:</w:t>
            </w: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Department of Human Services</w:t>
            </w: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Prior Written Approval of Complex Drugs</w:t>
            </w: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Reply Paid 9826</w:t>
            </w: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GPO Box 9826</w:t>
            </w: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HOBART  TAS  7001</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u w:val="single"/>
              </w:rPr>
            </w:pPr>
            <w:r w:rsidRPr="005F039C">
              <w:rPr>
                <w:rFonts w:ascii="Arial Narrow" w:eastAsia="Calibri" w:hAnsi="Arial Narrow"/>
                <w:i/>
                <w:snapToGrid/>
                <w:sz w:val="20"/>
                <w:u w:val="single"/>
              </w:rPr>
              <w:t>Note</w:t>
            </w: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No increase in the maximum quantity or number of units may be authorised</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u w:val="single"/>
              </w:rPr>
            </w:pPr>
            <w:r w:rsidRPr="005F039C">
              <w:rPr>
                <w:rFonts w:ascii="Arial Narrow" w:eastAsia="Calibri" w:hAnsi="Arial Narrow"/>
                <w:i/>
                <w:snapToGrid/>
                <w:sz w:val="20"/>
                <w:u w:val="single"/>
              </w:rPr>
              <w:t>Note</w:t>
            </w: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No increase in the maximum number of repeats may be authorised</w:t>
            </w:r>
          </w:p>
          <w:p w:rsidR="00E43BEE" w:rsidRPr="005F039C" w:rsidRDefault="00E43BEE" w:rsidP="00604C16">
            <w:pPr>
              <w:widowControl/>
              <w:rPr>
                <w:rFonts w:ascii="Arial Narrow" w:eastAsia="Calibri" w:hAnsi="Arial Narrow"/>
                <w:i/>
                <w:snapToGrid/>
                <w:sz w:val="20"/>
                <w:u w:val="single"/>
              </w:rPr>
            </w:pPr>
          </w:p>
          <w:p w:rsidR="00E43BEE" w:rsidRPr="005F039C" w:rsidRDefault="00E43BEE" w:rsidP="00604C16">
            <w:pPr>
              <w:widowControl/>
              <w:rPr>
                <w:rFonts w:ascii="Arial Narrow" w:eastAsia="Calibri" w:hAnsi="Arial Narrow"/>
                <w:i/>
                <w:snapToGrid/>
                <w:sz w:val="20"/>
                <w:u w:val="single"/>
              </w:rPr>
            </w:pPr>
            <w:r w:rsidRPr="005F039C">
              <w:rPr>
                <w:rFonts w:ascii="Arial Narrow" w:eastAsia="Calibri" w:hAnsi="Arial Narrow"/>
                <w:i/>
                <w:snapToGrid/>
                <w:sz w:val="20"/>
                <w:u w:val="single"/>
              </w:rPr>
              <w:t>Note</w:t>
            </w: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Special Pricing Arrangements apply.</w:t>
            </w:r>
          </w:p>
        </w:tc>
      </w:tr>
    </w:tbl>
    <w:p w:rsidR="00E43BEE" w:rsidRPr="005F039C" w:rsidRDefault="00E43BEE" w:rsidP="00E43BEE">
      <w:pPr>
        <w:widowControl/>
        <w:rPr>
          <w:rFonts w:ascii="Arial Narrow" w:eastAsia="Calibri" w:hAnsi="Arial Narrow"/>
          <w:i/>
          <w:snapToGrid/>
          <w:sz w:val="20"/>
        </w:rPr>
      </w:pPr>
    </w:p>
    <w:p w:rsidR="00571C64" w:rsidRPr="005F039C" w:rsidRDefault="00571C64" w:rsidP="00E43BEE">
      <w:pPr>
        <w:widowControl/>
        <w:rPr>
          <w:rFonts w:ascii="Arial Narrow" w:eastAsia="Calibri" w:hAnsi="Arial Narrow"/>
          <w:i/>
          <w:snapToGrid/>
          <w:sz w:val="20"/>
        </w:rPr>
      </w:pPr>
      <w:r w:rsidRPr="005F039C">
        <w:rPr>
          <w:rFonts w:ascii="Arial Narrow" w:eastAsia="Calibri" w:hAnsi="Arial Narrow"/>
          <w:i/>
          <w:snapToGrid/>
          <w:sz w:val="20"/>
        </w:rPr>
        <w:tab/>
      </w:r>
    </w:p>
    <w:tbl>
      <w:tblPr>
        <w:tblW w:w="4559" w:type="pct"/>
        <w:tblInd w:w="817" w:type="dxa"/>
        <w:tblLayout w:type="fixed"/>
        <w:tblLook w:val="0000" w:firstRow="0" w:lastRow="0" w:firstColumn="0" w:lastColumn="0" w:noHBand="0" w:noVBand="0"/>
      </w:tblPr>
      <w:tblGrid>
        <w:gridCol w:w="4618"/>
        <w:gridCol w:w="854"/>
        <w:gridCol w:w="683"/>
        <w:gridCol w:w="1369"/>
        <w:gridCol w:w="903"/>
      </w:tblGrid>
      <w:tr w:rsidR="007448E6" w:rsidRPr="005F039C" w:rsidTr="007448E6">
        <w:trPr>
          <w:cantSplit/>
          <w:trHeight w:val="477"/>
        </w:trPr>
        <w:tc>
          <w:tcPr>
            <w:tcW w:w="2740" w:type="pct"/>
            <w:tcBorders>
              <w:bottom w:val="single" w:sz="4" w:space="0" w:color="auto"/>
            </w:tcBorders>
          </w:tcPr>
          <w:p w:rsidR="007448E6" w:rsidRPr="005F039C" w:rsidRDefault="007448E6" w:rsidP="00462D48">
            <w:pPr>
              <w:keepNext/>
              <w:widowControl/>
              <w:ind w:left="-108"/>
              <w:rPr>
                <w:rFonts w:ascii="Arial Narrow" w:eastAsia="Calibri" w:hAnsi="Arial Narrow"/>
                <w:snapToGrid/>
                <w:sz w:val="20"/>
              </w:rPr>
            </w:pPr>
            <w:r w:rsidRPr="005F039C">
              <w:rPr>
                <w:rFonts w:ascii="Arial Narrow" w:eastAsia="Calibri" w:hAnsi="Arial Narrow"/>
                <w:snapToGrid/>
                <w:sz w:val="20"/>
              </w:rPr>
              <w:t>Name, Restriction,</w:t>
            </w:r>
          </w:p>
          <w:p w:rsidR="007448E6" w:rsidRPr="005F039C" w:rsidRDefault="007448E6" w:rsidP="00462D48">
            <w:pPr>
              <w:keepNext/>
              <w:widowControl/>
              <w:ind w:left="-108"/>
              <w:rPr>
                <w:rFonts w:ascii="Arial Narrow" w:eastAsia="Calibri" w:hAnsi="Arial Narrow"/>
                <w:snapToGrid/>
                <w:sz w:val="20"/>
              </w:rPr>
            </w:pPr>
            <w:r w:rsidRPr="005F039C">
              <w:rPr>
                <w:rFonts w:ascii="Arial Narrow" w:eastAsia="Calibri" w:hAnsi="Arial Narrow"/>
                <w:snapToGrid/>
                <w:sz w:val="20"/>
              </w:rPr>
              <w:t xml:space="preserve">Manner of administration </w:t>
            </w:r>
          </w:p>
          <w:p w:rsidR="007448E6" w:rsidRPr="005F039C" w:rsidRDefault="007448E6" w:rsidP="00462D48">
            <w:pPr>
              <w:keepNext/>
              <w:widowControl/>
              <w:ind w:left="-108"/>
              <w:rPr>
                <w:rFonts w:ascii="Arial Narrow" w:eastAsia="Calibri" w:hAnsi="Arial Narrow"/>
                <w:snapToGrid/>
                <w:sz w:val="20"/>
              </w:rPr>
            </w:pPr>
            <w:r w:rsidRPr="005F039C">
              <w:rPr>
                <w:rFonts w:ascii="Arial Narrow" w:eastAsia="Calibri" w:hAnsi="Arial Narrow"/>
                <w:snapToGrid/>
                <w:sz w:val="20"/>
              </w:rPr>
              <w:t>and form</w:t>
            </w:r>
          </w:p>
        </w:tc>
        <w:tc>
          <w:tcPr>
            <w:tcW w:w="507" w:type="pct"/>
            <w:tcBorders>
              <w:bottom w:val="single" w:sz="4" w:space="0" w:color="auto"/>
            </w:tcBorders>
          </w:tcPr>
          <w:p w:rsidR="007448E6" w:rsidRPr="005F039C" w:rsidRDefault="007448E6" w:rsidP="00462D48">
            <w:pPr>
              <w:keepNext/>
              <w:widowControl/>
              <w:ind w:left="-108"/>
              <w:rPr>
                <w:rFonts w:ascii="Arial Narrow" w:eastAsia="Calibri" w:hAnsi="Arial Narrow"/>
                <w:snapToGrid/>
                <w:sz w:val="20"/>
              </w:rPr>
            </w:pPr>
            <w:r w:rsidRPr="005F039C">
              <w:rPr>
                <w:rFonts w:ascii="Arial Narrow" w:eastAsia="Calibri" w:hAnsi="Arial Narrow"/>
                <w:snapToGrid/>
                <w:sz w:val="20"/>
              </w:rPr>
              <w:t>Max.</w:t>
            </w:r>
          </w:p>
          <w:p w:rsidR="007448E6" w:rsidRPr="005F039C" w:rsidRDefault="007448E6" w:rsidP="00462D48">
            <w:pPr>
              <w:keepNext/>
              <w:widowControl/>
              <w:ind w:left="-108"/>
              <w:rPr>
                <w:rFonts w:ascii="Arial Narrow" w:eastAsia="Calibri" w:hAnsi="Arial Narrow"/>
                <w:snapToGrid/>
                <w:sz w:val="20"/>
              </w:rPr>
            </w:pPr>
            <w:r w:rsidRPr="005F039C">
              <w:rPr>
                <w:rFonts w:ascii="Arial Narrow" w:eastAsia="Calibri" w:hAnsi="Arial Narrow"/>
                <w:snapToGrid/>
                <w:sz w:val="20"/>
              </w:rPr>
              <w:t>Qty</w:t>
            </w:r>
          </w:p>
        </w:tc>
        <w:tc>
          <w:tcPr>
            <w:tcW w:w="405" w:type="pct"/>
            <w:tcBorders>
              <w:bottom w:val="single" w:sz="4" w:space="0" w:color="auto"/>
            </w:tcBorders>
          </w:tcPr>
          <w:p w:rsidR="007448E6" w:rsidRPr="00AF349C" w:rsidRDefault="007448E6" w:rsidP="00462D48">
            <w:pPr>
              <w:keepNext/>
              <w:widowControl/>
              <w:ind w:left="-108"/>
              <w:rPr>
                <w:rFonts w:ascii="Arial Narrow" w:eastAsia="Calibri" w:hAnsi="Arial Narrow"/>
                <w:snapToGrid/>
                <w:sz w:val="20"/>
              </w:rPr>
            </w:pPr>
            <w:r w:rsidRPr="00AF349C">
              <w:rPr>
                <w:rFonts w:ascii="Arial Narrow" w:eastAsia="Calibri" w:hAnsi="Arial Narrow" w:cs="Times New Roman"/>
                <w:snapToGrid/>
                <w:sz w:val="20"/>
              </w:rPr>
              <w:t>№</w:t>
            </w:r>
            <w:r w:rsidRPr="00AF349C">
              <w:rPr>
                <w:rFonts w:ascii="Arial Narrow" w:eastAsia="Calibri" w:hAnsi="Arial Narrow"/>
                <w:snapToGrid/>
                <w:sz w:val="20"/>
              </w:rPr>
              <w:t>.of</w:t>
            </w:r>
          </w:p>
          <w:p w:rsidR="007448E6" w:rsidRPr="005F039C" w:rsidRDefault="007448E6" w:rsidP="00462D48">
            <w:pPr>
              <w:keepNext/>
              <w:widowControl/>
              <w:ind w:left="-108"/>
              <w:rPr>
                <w:rFonts w:ascii="Arial Narrow" w:eastAsia="Calibri" w:hAnsi="Arial Narrow"/>
                <w:snapToGrid/>
                <w:sz w:val="20"/>
              </w:rPr>
            </w:pPr>
            <w:r w:rsidRPr="00AF349C">
              <w:rPr>
                <w:rFonts w:ascii="Arial Narrow" w:eastAsia="Calibri" w:hAnsi="Arial Narrow"/>
                <w:snapToGrid/>
                <w:sz w:val="20"/>
              </w:rPr>
              <w:t>Rpts</w:t>
            </w:r>
          </w:p>
        </w:tc>
        <w:tc>
          <w:tcPr>
            <w:tcW w:w="1348" w:type="pct"/>
            <w:gridSpan w:val="2"/>
            <w:tcBorders>
              <w:bottom w:val="single" w:sz="4" w:space="0" w:color="auto"/>
            </w:tcBorders>
          </w:tcPr>
          <w:p w:rsidR="007448E6" w:rsidRPr="005F039C" w:rsidRDefault="007448E6" w:rsidP="00462D48">
            <w:pPr>
              <w:keepNext/>
              <w:widowControl/>
              <w:rPr>
                <w:rFonts w:ascii="Arial Narrow" w:eastAsia="Calibri" w:hAnsi="Arial Narrow"/>
                <w:snapToGrid/>
                <w:sz w:val="20"/>
              </w:rPr>
            </w:pPr>
            <w:r w:rsidRPr="005F039C">
              <w:rPr>
                <w:rFonts w:ascii="Arial Narrow" w:eastAsia="Calibri" w:hAnsi="Arial Narrow"/>
                <w:snapToGrid/>
                <w:sz w:val="20"/>
              </w:rPr>
              <w:t xml:space="preserve">Proprietary Name </w:t>
            </w:r>
          </w:p>
          <w:p w:rsidR="007448E6" w:rsidRPr="005F039C" w:rsidRDefault="007448E6" w:rsidP="00462D48">
            <w:pPr>
              <w:keepNext/>
              <w:widowControl/>
              <w:rPr>
                <w:rFonts w:ascii="Arial Narrow" w:eastAsia="Calibri" w:hAnsi="Arial Narrow"/>
                <w:snapToGrid/>
                <w:sz w:val="20"/>
              </w:rPr>
            </w:pPr>
            <w:r w:rsidRPr="005F039C">
              <w:rPr>
                <w:rFonts w:ascii="Arial Narrow" w:eastAsia="Calibri" w:hAnsi="Arial Narrow"/>
                <w:snapToGrid/>
                <w:sz w:val="20"/>
              </w:rPr>
              <w:t>and Manufacturer</w:t>
            </w:r>
          </w:p>
        </w:tc>
      </w:tr>
      <w:tr w:rsidR="007448E6" w:rsidRPr="005F039C" w:rsidTr="007448E6">
        <w:trPr>
          <w:cantSplit/>
          <w:trHeight w:val="585"/>
        </w:trPr>
        <w:tc>
          <w:tcPr>
            <w:tcW w:w="2740" w:type="pct"/>
          </w:tcPr>
          <w:p w:rsidR="007448E6" w:rsidRPr="005F039C" w:rsidRDefault="007448E6" w:rsidP="00462D48">
            <w:pPr>
              <w:keepNext/>
              <w:widowControl/>
              <w:ind w:left="-108"/>
              <w:rPr>
                <w:rFonts w:ascii="Arial Narrow" w:eastAsia="Calibri" w:hAnsi="Arial Narrow"/>
                <w:snapToGrid/>
                <w:sz w:val="20"/>
              </w:rPr>
            </w:pPr>
            <w:r w:rsidRPr="005F039C">
              <w:rPr>
                <w:rFonts w:ascii="Arial Narrow" w:eastAsia="Calibri" w:hAnsi="Arial Narrow"/>
                <w:smallCaps/>
                <w:snapToGrid/>
                <w:sz w:val="20"/>
              </w:rPr>
              <w:t>AFLIBERCEPT</w:t>
            </w:r>
          </w:p>
          <w:p w:rsidR="007448E6" w:rsidRPr="005F039C" w:rsidRDefault="007448E6" w:rsidP="00462D48">
            <w:pPr>
              <w:keepNext/>
              <w:widowControl/>
              <w:ind w:left="-108"/>
              <w:rPr>
                <w:rFonts w:ascii="Arial Narrow" w:eastAsia="Calibri" w:hAnsi="Arial Narrow"/>
                <w:snapToGrid/>
                <w:sz w:val="20"/>
              </w:rPr>
            </w:pPr>
          </w:p>
          <w:p w:rsidR="007448E6" w:rsidRPr="005F039C" w:rsidRDefault="007448E6" w:rsidP="00462D48">
            <w:pPr>
              <w:keepNext/>
              <w:widowControl/>
              <w:ind w:left="-108"/>
              <w:rPr>
                <w:rFonts w:ascii="Arial Narrow" w:eastAsia="Calibri" w:hAnsi="Arial Narrow"/>
                <w:snapToGrid/>
                <w:sz w:val="20"/>
              </w:rPr>
            </w:pPr>
            <w:r w:rsidRPr="005F039C">
              <w:rPr>
                <w:rFonts w:ascii="Arial Narrow" w:eastAsia="Calibri" w:hAnsi="Arial Narrow"/>
                <w:snapToGrid/>
                <w:sz w:val="20"/>
              </w:rPr>
              <w:t>aflibercept 4mg/</w:t>
            </w:r>
            <w:r w:rsidRPr="005F039C">
              <w:rPr>
                <w:rFonts w:ascii="Arial Narrow" w:eastAsia="Calibri" w:hAnsi="Arial Narrow"/>
                <w:snapToGrid/>
                <w:sz w:val="20"/>
                <w:lang w:eastAsia="zh-CN"/>
              </w:rPr>
              <w:t>0.1</w:t>
            </w:r>
            <w:r w:rsidRPr="005F039C">
              <w:rPr>
                <w:rFonts w:ascii="Arial Narrow" w:eastAsia="Calibri" w:hAnsi="Arial Narrow"/>
                <w:snapToGrid/>
                <w:sz w:val="20"/>
              </w:rPr>
              <w:t>mL injection, 1 x</w:t>
            </w:r>
            <w:r w:rsidRPr="005F039C">
              <w:rPr>
                <w:rFonts w:ascii="Arial Narrow" w:eastAsia="Calibri" w:hAnsi="Arial Narrow"/>
                <w:snapToGrid/>
                <w:sz w:val="20"/>
                <w:lang w:eastAsia="zh-CN"/>
              </w:rPr>
              <w:t xml:space="preserve"> 0.1 ml </w:t>
            </w:r>
            <w:r w:rsidRPr="005F039C">
              <w:rPr>
                <w:rFonts w:ascii="Arial Narrow" w:eastAsia="Calibri" w:hAnsi="Arial Narrow"/>
                <w:snapToGrid/>
                <w:sz w:val="20"/>
              </w:rPr>
              <w:t>vial</w:t>
            </w:r>
          </w:p>
          <w:p w:rsidR="007448E6" w:rsidRPr="005F039C" w:rsidRDefault="007448E6" w:rsidP="00462D48">
            <w:pPr>
              <w:keepNext/>
              <w:widowControl/>
              <w:ind w:left="-108"/>
              <w:rPr>
                <w:rFonts w:ascii="Arial Narrow" w:eastAsia="Calibri" w:hAnsi="Arial Narrow"/>
                <w:snapToGrid/>
                <w:sz w:val="20"/>
                <w:lang w:eastAsia="zh-CN"/>
              </w:rPr>
            </w:pPr>
          </w:p>
          <w:p w:rsidR="007448E6" w:rsidRPr="005F039C" w:rsidRDefault="007448E6" w:rsidP="00462D48">
            <w:pPr>
              <w:keepNext/>
              <w:widowControl/>
              <w:ind w:left="-108"/>
              <w:rPr>
                <w:rFonts w:ascii="Arial Narrow" w:eastAsia="Calibri" w:hAnsi="Arial Narrow"/>
                <w:snapToGrid/>
                <w:sz w:val="20"/>
                <w:lang w:eastAsia="zh-CN"/>
              </w:rPr>
            </w:pPr>
            <w:r w:rsidRPr="005F039C">
              <w:rPr>
                <w:rFonts w:ascii="Arial Narrow" w:eastAsia="Calibri" w:hAnsi="Arial Narrow"/>
                <w:snapToGrid/>
                <w:sz w:val="20"/>
              </w:rPr>
              <w:t>aflibercept 4mg/</w:t>
            </w:r>
            <w:r w:rsidRPr="005F039C">
              <w:rPr>
                <w:rFonts w:ascii="Arial Narrow" w:eastAsia="Calibri" w:hAnsi="Arial Narrow"/>
                <w:snapToGrid/>
                <w:sz w:val="20"/>
                <w:lang w:eastAsia="zh-CN"/>
              </w:rPr>
              <w:t xml:space="preserve">0.1 </w:t>
            </w:r>
            <w:r w:rsidRPr="005F039C">
              <w:rPr>
                <w:rFonts w:ascii="Arial Narrow" w:eastAsia="Calibri" w:hAnsi="Arial Narrow"/>
                <w:snapToGrid/>
                <w:sz w:val="20"/>
              </w:rPr>
              <w:t>mL injection, 1</w:t>
            </w:r>
            <w:r w:rsidRPr="005F039C">
              <w:rPr>
                <w:rFonts w:ascii="Arial Narrow" w:eastAsia="Calibri" w:hAnsi="Arial Narrow"/>
                <w:snapToGrid/>
                <w:sz w:val="20"/>
                <w:lang w:eastAsia="zh-CN"/>
              </w:rPr>
              <w:t xml:space="preserve"> </w:t>
            </w:r>
            <w:r w:rsidRPr="005F039C">
              <w:rPr>
                <w:rFonts w:ascii="Arial Narrow" w:eastAsia="Calibri" w:hAnsi="Arial Narrow"/>
                <w:snapToGrid/>
                <w:sz w:val="20"/>
              </w:rPr>
              <w:t>x</w:t>
            </w:r>
            <w:r w:rsidRPr="005F039C">
              <w:rPr>
                <w:rFonts w:ascii="Arial Narrow" w:eastAsia="Calibri" w:hAnsi="Arial Narrow"/>
                <w:snapToGrid/>
                <w:sz w:val="20"/>
                <w:lang w:eastAsia="zh-CN"/>
              </w:rPr>
              <w:t xml:space="preserve"> 0.09 ml pre-filled syringe</w:t>
            </w:r>
          </w:p>
        </w:tc>
        <w:tc>
          <w:tcPr>
            <w:tcW w:w="507" w:type="pct"/>
          </w:tcPr>
          <w:p w:rsidR="007448E6" w:rsidRPr="005F039C" w:rsidRDefault="007448E6" w:rsidP="00462D48">
            <w:pPr>
              <w:keepNext/>
              <w:widowControl/>
              <w:ind w:left="-108"/>
              <w:rPr>
                <w:rFonts w:ascii="Arial Narrow" w:eastAsia="Calibri" w:hAnsi="Arial Narrow"/>
                <w:snapToGrid/>
                <w:sz w:val="20"/>
              </w:rPr>
            </w:pPr>
          </w:p>
          <w:p w:rsidR="007448E6" w:rsidRPr="005F039C" w:rsidRDefault="007448E6" w:rsidP="00462D48">
            <w:pPr>
              <w:keepNext/>
              <w:widowControl/>
              <w:ind w:left="-108"/>
              <w:rPr>
                <w:rFonts w:ascii="Arial Narrow" w:eastAsia="Calibri" w:hAnsi="Arial Narrow"/>
                <w:snapToGrid/>
                <w:sz w:val="20"/>
              </w:rPr>
            </w:pPr>
          </w:p>
          <w:p w:rsidR="007448E6" w:rsidRPr="005F039C" w:rsidRDefault="007448E6" w:rsidP="00462D48">
            <w:pPr>
              <w:keepNext/>
              <w:widowControl/>
              <w:ind w:left="-108"/>
              <w:rPr>
                <w:rFonts w:ascii="Arial Narrow" w:eastAsia="Calibri" w:hAnsi="Arial Narrow"/>
                <w:snapToGrid/>
                <w:sz w:val="20"/>
                <w:lang w:eastAsia="zh-CN"/>
              </w:rPr>
            </w:pPr>
            <w:r w:rsidRPr="005F039C">
              <w:rPr>
                <w:rFonts w:ascii="Arial Narrow" w:eastAsia="Calibri" w:hAnsi="Arial Narrow"/>
                <w:snapToGrid/>
                <w:sz w:val="20"/>
              </w:rPr>
              <w:t>1</w:t>
            </w:r>
          </w:p>
          <w:p w:rsidR="007448E6" w:rsidRPr="005F039C" w:rsidRDefault="007448E6" w:rsidP="00462D48">
            <w:pPr>
              <w:keepNext/>
              <w:widowControl/>
              <w:ind w:left="-108"/>
              <w:rPr>
                <w:rFonts w:ascii="Arial Narrow" w:eastAsia="Calibri" w:hAnsi="Arial Narrow"/>
                <w:snapToGrid/>
                <w:sz w:val="20"/>
                <w:lang w:eastAsia="zh-CN"/>
              </w:rPr>
            </w:pPr>
          </w:p>
          <w:p w:rsidR="007448E6" w:rsidRPr="005F039C" w:rsidRDefault="007448E6" w:rsidP="00462D48">
            <w:pPr>
              <w:keepNext/>
              <w:widowControl/>
              <w:ind w:left="-108"/>
              <w:rPr>
                <w:rFonts w:ascii="Arial Narrow" w:eastAsia="Calibri" w:hAnsi="Arial Narrow"/>
                <w:snapToGrid/>
                <w:sz w:val="20"/>
                <w:lang w:eastAsia="zh-CN"/>
              </w:rPr>
            </w:pPr>
          </w:p>
          <w:p w:rsidR="007448E6" w:rsidRPr="005F039C" w:rsidRDefault="007448E6" w:rsidP="00462D48">
            <w:pPr>
              <w:keepNext/>
              <w:widowControl/>
              <w:ind w:left="-108"/>
              <w:rPr>
                <w:rFonts w:ascii="Arial Narrow" w:eastAsia="Calibri" w:hAnsi="Arial Narrow"/>
                <w:snapToGrid/>
                <w:sz w:val="20"/>
                <w:lang w:eastAsia="zh-CN"/>
              </w:rPr>
            </w:pPr>
            <w:r w:rsidRPr="005F039C">
              <w:rPr>
                <w:rFonts w:ascii="Arial Narrow" w:eastAsia="Calibri" w:hAnsi="Arial Narrow"/>
                <w:snapToGrid/>
                <w:sz w:val="20"/>
                <w:lang w:eastAsia="zh-CN"/>
              </w:rPr>
              <w:t>1</w:t>
            </w:r>
          </w:p>
        </w:tc>
        <w:tc>
          <w:tcPr>
            <w:tcW w:w="405" w:type="pct"/>
          </w:tcPr>
          <w:p w:rsidR="007448E6" w:rsidRPr="005F039C" w:rsidRDefault="007448E6" w:rsidP="00462D48">
            <w:pPr>
              <w:keepNext/>
              <w:widowControl/>
              <w:ind w:left="-108"/>
              <w:rPr>
                <w:rFonts w:ascii="Arial Narrow" w:eastAsia="Calibri" w:hAnsi="Arial Narrow"/>
                <w:snapToGrid/>
                <w:sz w:val="20"/>
              </w:rPr>
            </w:pPr>
          </w:p>
          <w:p w:rsidR="007448E6" w:rsidRPr="005F039C" w:rsidRDefault="007448E6" w:rsidP="00462D48">
            <w:pPr>
              <w:keepNext/>
              <w:widowControl/>
              <w:ind w:left="-108"/>
              <w:rPr>
                <w:rFonts w:ascii="Arial Narrow" w:eastAsia="Calibri" w:hAnsi="Arial Narrow"/>
                <w:snapToGrid/>
                <w:sz w:val="20"/>
              </w:rPr>
            </w:pPr>
          </w:p>
          <w:p w:rsidR="007448E6" w:rsidRPr="005F039C" w:rsidRDefault="007448E6" w:rsidP="00462D48">
            <w:pPr>
              <w:keepNext/>
              <w:widowControl/>
              <w:ind w:left="-108"/>
              <w:rPr>
                <w:rFonts w:ascii="Arial Narrow" w:eastAsia="Calibri" w:hAnsi="Arial Narrow"/>
                <w:strike/>
                <w:snapToGrid/>
                <w:sz w:val="20"/>
              </w:rPr>
            </w:pPr>
            <w:r w:rsidRPr="005F039C">
              <w:rPr>
                <w:rFonts w:ascii="Arial Narrow" w:eastAsia="Calibri" w:hAnsi="Arial Narrow"/>
                <w:strike/>
                <w:snapToGrid/>
                <w:sz w:val="20"/>
              </w:rPr>
              <w:t>5</w:t>
            </w:r>
          </w:p>
          <w:p w:rsidR="007448E6" w:rsidRPr="005F039C" w:rsidRDefault="007448E6" w:rsidP="00462D48">
            <w:pPr>
              <w:keepNext/>
              <w:widowControl/>
              <w:ind w:left="-108"/>
              <w:rPr>
                <w:rFonts w:ascii="Arial Narrow" w:eastAsia="Calibri" w:hAnsi="Arial Narrow"/>
                <w:i/>
                <w:snapToGrid/>
                <w:sz w:val="20"/>
                <w:lang w:eastAsia="zh-CN"/>
              </w:rPr>
            </w:pPr>
            <w:r w:rsidRPr="005F039C">
              <w:rPr>
                <w:rFonts w:ascii="Arial Narrow" w:eastAsia="Calibri" w:hAnsi="Arial Narrow"/>
                <w:i/>
                <w:snapToGrid/>
                <w:sz w:val="20"/>
              </w:rPr>
              <w:t>2</w:t>
            </w:r>
          </w:p>
          <w:p w:rsidR="007448E6" w:rsidRPr="005F039C" w:rsidRDefault="007448E6" w:rsidP="00462D48">
            <w:pPr>
              <w:keepNext/>
              <w:widowControl/>
              <w:rPr>
                <w:rFonts w:ascii="Arial Narrow" w:eastAsia="Calibri" w:hAnsi="Arial Narrow"/>
                <w:snapToGrid/>
                <w:sz w:val="20"/>
                <w:lang w:eastAsia="zh-CN"/>
              </w:rPr>
            </w:pPr>
          </w:p>
          <w:p w:rsidR="007448E6" w:rsidRPr="005F039C" w:rsidRDefault="007448E6" w:rsidP="00462D48">
            <w:pPr>
              <w:keepNext/>
              <w:widowControl/>
              <w:ind w:left="-108"/>
              <w:rPr>
                <w:rFonts w:ascii="Arial Narrow" w:eastAsia="Calibri" w:hAnsi="Arial Narrow"/>
                <w:strike/>
                <w:snapToGrid/>
                <w:sz w:val="20"/>
                <w:lang w:eastAsia="zh-CN"/>
              </w:rPr>
            </w:pPr>
            <w:r w:rsidRPr="005F039C">
              <w:rPr>
                <w:rFonts w:ascii="Arial Narrow" w:eastAsia="Calibri" w:hAnsi="Arial Narrow"/>
                <w:strike/>
                <w:snapToGrid/>
                <w:sz w:val="20"/>
                <w:lang w:eastAsia="zh-CN"/>
              </w:rPr>
              <w:t>5</w:t>
            </w:r>
          </w:p>
          <w:p w:rsidR="007448E6" w:rsidRPr="005F039C" w:rsidRDefault="007448E6" w:rsidP="00462D48">
            <w:pPr>
              <w:keepNext/>
              <w:widowControl/>
              <w:ind w:left="-108"/>
              <w:rPr>
                <w:rFonts w:ascii="Arial Narrow" w:eastAsia="Calibri" w:hAnsi="Arial Narrow"/>
                <w:i/>
                <w:snapToGrid/>
                <w:sz w:val="20"/>
                <w:lang w:eastAsia="zh-CN"/>
              </w:rPr>
            </w:pPr>
            <w:r w:rsidRPr="005F039C">
              <w:rPr>
                <w:rFonts w:ascii="Arial Narrow" w:eastAsia="Calibri" w:hAnsi="Arial Narrow"/>
                <w:i/>
                <w:snapToGrid/>
                <w:sz w:val="20"/>
                <w:lang w:eastAsia="zh-CN"/>
              </w:rPr>
              <w:t>2</w:t>
            </w:r>
          </w:p>
        </w:tc>
        <w:tc>
          <w:tcPr>
            <w:tcW w:w="812" w:type="pct"/>
          </w:tcPr>
          <w:p w:rsidR="007448E6" w:rsidRPr="005F039C" w:rsidRDefault="007448E6" w:rsidP="00462D48">
            <w:pPr>
              <w:keepNext/>
              <w:widowControl/>
              <w:rPr>
                <w:rFonts w:ascii="Arial Narrow" w:eastAsia="Calibri" w:hAnsi="Arial Narrow"/>
                <w:snapToGrid/>
                <w:sz w:val="20"/>
              </w:rPr>
            </w:pPr>
          </w:p>
          <w:p w:rsidR="007448E6" w:rsidRPr="005F039C" w:rsidRDefault="007448E6" w:rsidP="00462D48">
            <w:pPr>
              <w:keepNext/>
              <w:widowControl/>
              <w:rPr>
                <w:rFonts w:ascii="Arial Narrow" w:eastAsia="Calibri" w:hAnsi="Arial Narrow"/>
                <w:snapToGrid/>
                <w:sz w:val="20"/>
              </w:rPr>
            </w:pPr>
          </w:p>
          <w:p w:rsidR="007448E6" w:rsidRPr="005F039C" w:rsidRDefault="007448E6" w:rsidP="00462D48">
            <w:pPr>
              <w:keepNext/>
              <w:widowControl/>
              <w:rPr>
                <w:rFonts w:ascii="Arial Narrow" w:eastAsia="Calibri" w:hAnsi="Arial Narrow"/>
                <w:snapToGrid/>
                <w:sz w:val="20"/>
                <w:lang w:eastAsia="zh-CN"/>
              </w:rPr>
            </w:pPr>
            <w:r w:rsidRPr="005F039C">
              <w:rPr>
                <w:rFonts w:ascii="Arial Narrow" w:eastAsia="Calibri" w:hAnsi="Arial Narrow"/>
                <w:snapToGrid/>
                <w:sz w:val="20"/>
              </w:rPr>
              <w:t>Eylea</w:t>
            </w:r>
          </w:p>
          <w:p w:rsidR="007448E6" w:rsidRPr="005F039C" w:rsidRDefault="007448E6" w:rsidP="00462D48">
            <w:pPr>
              <w:keepNext/>
              <w:widowControl/>
              <w:rPr>
                <w:rFonts w:ascii="Arial Narrow" w:eastAsia="Calibri" w:hAnsi="Arial Narrow"/>
                <w:snapToGrid/>
                <w:sz w:val="20"/>
                <w:lang w:eastAsia="zh-CN"/>
              </w:rPr>
            </w:pPr>
          </w:p>
          <w:p w:rsidR="007448E6" w:rsidRPr="005F039C" w:rsidRDefault="007448E6" w:rsidP="00462D48">
            <w:pPr>
              <w:keepNext/>
              <w:widowControl/>
              <w:rPr>
                <w:rFonts w:ascii="Arial Narrow" w:eastAsia="Calibri" w:hAnsi="Arial Narrow"/>
                <w:snapToGrid/>
                <w:sz w:val="20"/>
                <w:lang w:eastAsia="zh-CN"/>
              </w:rPr>
            </w:pPr>
          </w:p>
          <w:p w:rsidR="007448E6" w:rsidRPr="005F039C" w:rsidRDefault="007448E6" w:rsidP="00462D48">
            <w:pPr>
              <w:keepNext/>
              <w:widowControl/>
              <w:rPr>
                <w:rFonts w:ascii="Arial Narrow" w:eastAsia="Calibri" w:hAnsi="Arial Narrow"/>
                <w:snapToGrid/>
                <w:sz w:val="20"/>
                <w:lang w:eastAsia="zh-CN"/>
              </w:rPr>
            </w:pPr>
            <w:r w:rsidRPr="005F039C">
              <w:rPr>
                <w:rFonts w:ascii="Arial Narrow" w:eastAsia="Calibri" w:hAnsi="Arial Narrow"/>
                <w:snapToGrid/>
                <w:sz w:val="20"/>
              </w:rPr>
              <w:t>Eylea</w:t>
            </w:r>
          </w:p>
          <w:p w:rsidR="007448E6" w:rsidRPr="005F039C" w:rsidRDefault="007448E6" w:rsidP="00462D48">
            <w:pPr>
              <w:keepNext/>
              <w:widowControl/>
              <w:rPr>
                <w:rFonts w:ascii="Arial Narrow" w:eastAsia="Calibri" w:hAnsi="Arial Narrow"/>
                <w:snapToGrid/>
                <w:sz w:val="20"/>
                <w:lang w:eastAsia="zh-CN"/>
              </w:rPr>
            </w:pPr>
          </w:p>
        </w:tc>
        <w:tc>
          <w:tcPr>
            <w:tcW w:w="536" w:type="pct"/>
          </w:tcPr>
          <w:p w:rsidR="007448E6" w:rsidRPr="005F039C" w:rsidRDefault="007448E6" w:rsidP="00462D48">
            <w:pPr>
              <w:keepNext/>
              <w:widowControl/>
              <w:rPr>
                <w:rFonts w:ascii="Arial Narrow" w:eastAsia="Calibri" w:hAnsi="Arial Narrow"/>
                <w:snapToGrid/>
                <w:sz w:val="20"/>
              </w:rPr>
            </w:pPr>
          </w:p>
          <w:p w:rsidR="007448E6" w:rsidRPr="005F039C" w:rsidRDefault="007448E6" w:rsidP="00462D48">
            <w:pPr>
              <w:keepNext/>
              <w:widowControl/>
              <w:rPr>
                <w:rFonts w:ascii="Arial Narrow" w:eastAsia="Calibri" w:hAnsi="Arial Narrow"/>
                <w:snapToGrid/>
                <w:sz w:val="20"/>
              </w:rPr>
            </w:pPr>
          </w:p>
          <w:p w:rsidR="007448E6" w:rsidRPr="005F039C" w:rsidRDefault="007448E6" w:rsidP="00462D48">
            <w:pPr>
              <w:keepNext/>
              <w:widowControl/>
              <w:rPr>
                <w:rFonts w:ascii="Arial Narrow" w:eastAsia="Calibri" w:hAnsi="Arial Narrow"/>
                <w:snapToGrid/>
                <w:sz w:val="20"/>
              </w:rPr>
            </w:pPr>
            <w:r w:rsidRPr="005F039C">
              <w:rPr>
                <w:rFonts w:ascii="Arial Narrow" w:eastAsia="Calibri" w:hAnsi="Arial Narrow"/>
                <w:snapToGrid/>
                <w:sz w:val="20"/>
              </w:rPr>
              <w:t>BN</w:t>
            </w:r>
          </w:p>
          <w:p w:rsidR="007448E6" w:rsidRPr="005F039C" w:rsidRDefault="007448E6" w:rsidP="00462D48">
            <w:pPr>
              <w:keepNext/>
              <w:widowControl/>
              <w:rPr>
                <w:rFonts w:ascii="Arial Narrow" w:eastAsia="Calibri" w:hAnsi="Arial Narrow"/>
                <w:snapToGrid/>
                <w:sz w:val="20"/>
                <w:lang w:eastAsia="zh-CN"/>
              </w:rPr>
            </w:pPr>
          </w:p>
          <w:p w:rsidR="007448E6" w:rsidRPr="005F039C" w:rsidRDefault="007448E6" w:rsidP="00462D48">
            <w:pPr>
              <w:keepNext/>
              <w:widowControl/>
              <w:rPr>
                <w:rFonts w:ascii="Arial Narrow" w:eastAsia="Calibri" w:hAnsi="Arial Narrow"/>
                <w:snapToGrid/>
                <w:sz w:val="20"/>
                <w:lang w:eastAsia="zh-CN"/>
              </w:rPr>
            </w:pPr>
          </w:p>
          <w:p w:rsidR="007448E6" w:rsidRPr="005F039C" w:rsidRDefault="007448E6" w:rsidP="00462D48">
            <w:pPr>
              <w:keepNext/>
              <w:widowControl/>
              <w:rPr>
                <w:rFonts w:ascii="Arial Narrow" w:eastAsia="Calibri" w:hAnsi="Arial Narrow"/>
                <w:snapToGrid/>
                <w:sz w:val="20"/>
              </w:rPr>
            </w:pPr>
            <w:r w:rsidRPr="005F039C">
              <w:rPr>
                <w:rFonts w:ascii="Arial Narrow" w:eastAsia="Calibri" w:hAnsi="Arial Narrow"/>
                <w:snapToGrid/>
                <w:sz w:val="20"/>
              </w:rPr>
              <w:t>BN</w:t>
            </w:r>
          </w:p>
        </w:tc>
      </w:tr>
    </w:tbl>
    <w:p w:rsidR="00571C64" w:rsidRPr="005F039C" w:rsidRDefault="00571C64" w:rsidP="00E43BEE">
      <w:pPr>
        <w:widowControl/>
        <w:rPr>
          <w:rFonts w:ascii="Arial Narrow" w:eastAsia="Calibri" w:hAnsi="Arial Narrow"/>
          <w:i/>
          <w:snapToGrid/>
          <w:sz w:val="20"/>
        </w:rPr>
      </w:pPr>
    </w:p>
    <w:tbl>
      <w:tblPr>
        <w:tblW w:w="8505" w:type="dxa"/>
        <w:tblInd w:w="817" w:type="dxa"/>
        <w:tblLayout w:type="fixed"/>
        <w:tblLook w:val="04A0" w:firstRow="1" w:lastRow="0" w:firstColumn="1" w:lastColumn="0" w:noHBand="0" w:noVBand="1"/>
      </w:tblPr>
      <w:tblGrid>
        <w:gridCol w:w="2693"/>
        <w:gridCol w:w="5812"/>
      </w:tblGrid>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 xml:space="preserve">Category / </w:t>
            </w:r>
          </w:p>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Program</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GENERAL – General Schedule (Code GE)</w:t>
            </w:r>
          </w:p>
          <w:p w:rsidR="00E43BEE" w:rsidRPr="005F039C" w:rsidRDefault="00E43BEE" w:rsidP="00604C16">
            <w:pPr>
              <w:widowControl/>
              <w:rPr>
                <w:rFonts w:ascii="Arial Narrow" w:eastAsia="Calibri" w:hAnsi="Arial Narrow"/>
                <w:i/>
                <w:snapToGrid/>
                <w:sz w:val="20"/>
              </w:rPr>
            </w:pP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Prescriber type:</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241F47" w:rsidP="00604C16">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1"/>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 xml:space="preserve">Dental  </w:t>
            </w:r>
            <w:r w:rsidRPr="005F039C">
              <w:rPr>
                <w:rFonts w:ascii="Arial Narrow" w:eastAsia="Calibri" w:hAnsi="Arial Narrow"/>
                <w:i/>
                <w:snapToGrid/>
                <w:sz w:val="20"/>
              </w:rPr>
              <w:fldChar w:fldCharType="begin">
                <w:ffData>
                  <w:name w:val=""/>
                  <w:enabled/>
                  <w:calcOnExit w:val="0"/>
                  <w:checkBox>
                    <w:sizeAuto/>
                    <w:default w:val="1"/>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 xml:space="preserve">Medical Practitioners  </w:t>
            </w:r>
            <w:r w:rsidRPr="005F039C">
              <w:rPr>
                <w:rFonts w:ascii="Arial Narrow" w:eastAsia="Calibri" w:hAnsi="Arial Narrow"/>
                <w:i/>
                <w:snapToGrid/>
                <w:sz w:val="20"/>
              </w:rPr>
              <w:fldChar w:fldCharType="begin">
                <w:ffData>
                  <w:name w:val="Check3"/>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 xml:space="preserve">Nurse practitioners  </w:t>
            </w:r>
            <w:r w:rsidRPr="005F039C">
              <w:rPr>
                <w:rFonts w:ascii="Arial Narrow" w:eastAsia="Calibri" w:hAnsi="Arial Narrow"/>
                <w:i/>
                <w:snapToGrid/>
                <w:sz w:val="20"/>
              </w:rPr>
              <w:fldChar w:fldCharType="begin">
                <w:ffData>
                  <w:name w:val=""/>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Optometrists</w:t>
            </w:r>
          </w:p>
          <w:p w:rsidR="00E43BEE" w:rsidRPr="005F039C" w:rsidRDefault="00241F47" w:rsidP="00604C16">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5"/>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Midwives</w:t>
            </w: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Episodicity:</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Severity:</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Condition:</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Macular oedema secondary to central retinal vein occlusion</w:t>
            </w: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PBS Indication:</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 xml:space="preserve">Macular oedema secondary to central retinal vein occlusion </w:t>
            </w: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Treatment phase:</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Continuing treatment</w:t>
            </w: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584E9E">
            <w:pPr>
              <w:widowControl/>
              <w:rPr>
                <w:rFonts w:ascii="Arial Narrow" w:eastAsia="Calibri" w:hAnsi="Arial Narrow"/>
                <w:b/>
                <w:i/>
                <w:snapToGrid/>
                <w:sz w:val="20"/>
              </w:rPr>
            </w:pPr>
            <w:r w:rsidRPr="005F039C">
              <w:rPr>
                <w:rFonts w:ascii="Arial Narrow" w:eastAsia="Calibri" w:hAnsi="Arial Narrow"/>
                <w:b/>
                <w:i/>
                <w:snapToGrid/>
                <w:sz w:val="20"/>
              </w:rPr>
              <w:lastRenderedPageBreak/>
              <w:t>Restriction Level / Method:</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241F47" w:rsidP="00604C16">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1"/>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Restricted benefit</w:t>
            </w:r>
          </w:p>
          <w:p w:rsidR="00E43BEE" w:rsidRPr="005F039C" w:rsidRDefault="00241F47" w:rsidP="00604C16">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Authority Required - In Writing</w:t>
            </w:r>
          </w:p>
          <w:p w:rsidR="00E43BEE" w:rsidRPr="005F039C" w:rsidRDefault="00241F47" w:rsidP="00604C16">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3"/>
                  <w:enabled/>
                  <w:calcOnExit w:val="0"/>
                  <w:checkBox>
                    <w:sizeAuto/>
                    <w:default w:val="1"/>
                  </w:checkBox>
                </w:ffData>
              </w:fldChar>
            </w:r>
            <w:bookmarkStart w:id="4" w:name="Check3"/>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bookmarkEnd w:id="4"/>
            <w:r w:rsidR="00E43BEE" w:rsidRPr="005F039C">
              <w:rPr>
                <w:rFonts w:ascii="Arial Narrow" w:eastAsia="Calibri" w:hAnsi="Arial Narrow"/>
                <w:i/>
                <w:snapToGrid/>
                <w:sz w:val="20"/>
              </w:rPr>
              <w:t>Authority Required - Telephone</w:t>
            </w:r>
          </w:p>
          <w:p w:rsidR="00E43BEE" w:rsidRPr="005F039C" w:rsidRDefault="00241F47" w:rsidP="00604C16">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Authority Required – Emergency</w:t>
            </w:r>
          </w:p>
          <w:p w:rsidR="00E43BEE" w:rsidRPr="005F039C" w:rsidRDefault="00241F47" w:rsidP="00604C16">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5"/>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Authority Required - Electronic</w:t>
            </w:r>
          </w:p>
          <w:p w:rsidR="00E43BEE" w:rsidRPr="005F039C" w:rsidRDefault="00241F47" w:rsidP="00604C16">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5"/>
                  <w:enabled/>
                  <w:calcOnExit w:val="0"/>
                  <w:checkBox>
                    <w:sizeAuto/>
                    <w:default w:val="0"/>
                  </w:checkBox>
                </w:ffData>
              </w:fldChar>
            </w:r>
            <w:r w:rsidR="00E43BEE"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00E43BEE" w:rsidRPr="005F039C">
              <w:rPr>
                <w:rFonts w:ascii="Arial Narrow" w:eastAsia="Calibri" w:hAnsi="Arial Narrow"/>
                <w:i/>
                <w:snapToGrid/>
                <w:sz w:val="20"/>
              </w:rPr>
              <w:t>Streamlined</w:t>
            </w: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584E9E">
            <w:pPr>
              <w:widowControl/>
              <w:rPr>
                <w:rFonts w:ascii="Arial Narrow" w:eastAsia="Calibri" w:hAnsi="Arial Narrow"/>
                <w:i/>
                <w:snapToGrid/>
                <w:sz w:val="20"/>
              </w:rPr>
            </w:pPr>
            <w:r w:rsidRPr="005F039C">
              <w:rPr>
                <w:rFonts w:ascii="Arial Narrow" w:eastAsia="Calibri" w:hAnsi="Arial Narrow"/>
                <w:b/>
                <w:i/>
                <w:snapToGrid/>
                <w:sz w:val="20"/>
              </w:rPr>
              <w:t>Treatment criteria:</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584E9E">
            <w:pPr>
              <w:widowControl/>
              <w:rPr>
                <w:rFonts w:ascii="Arial Narrow" w:eastAsia="Calibri" w:hAnsi="Arial Narrow"/>
                <w:i/>
                <w:snapToGrid/>
                <w:sz w:val="20"/>
              </w:rPr>
            </w:pPr>
            <w:r w:rsidRPr="005F039C">
              <w:rPr>
                <w:rFonts w:ascii="Arial Narrow" w:eastAsia="Calibri" w:hAnsi="Arial Narrow"/>
                <w:i/>
                <w:snapToGrid/>
                <w:sz w:val="20"/>
              </w:rPr>
              <w:t>Must be treated by an ophthalmologist</w:t>
            </w: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Clinical criteria:</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(To be finalised at a later stage)</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Patient must have visual impairment due to macular oedema secondary to central retinal vein occlusion (CRVO)</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AND</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Patient must have previously been granted an authority prescription for the same eye</w:t>
            </w: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Prescriber Instructions</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(To be finalised at a later stage)</w:t>
            </w:r>
          </w:p>
        </w:tc>
      </w:tr>
      <w:tr w:rsidR="00E43BEE" w:rsidRPr="005F039C">
        <w:trPr>
          <w:cantSplit/>
          <w:trHeight w:val="360"/>
        </w:trPr>
        <w:tc>
          <w:tcPr>
            <w:tcW w:w="2693"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b/>
                <w:i/>
                <w:snapToGrid/>
                <w:sz w:val="20"/>
              </w:rPr>
            </w:pPr>
            <w:r w:rsidRPr="005F039C">
              <w:rPr>
                <w:rFonts w:ascii="Arial Narrow" w:eastAsia="Calibri" w:hAnsi="Arial Narrow"/>
                <w:b/>
                <w:i/>
                <w:snapToGrid/>
                <w:sz w:val="20"/>
              </w:rPr>
              <w:t>Administrative Advice</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(To be finalised at a later stage)</w:t>
            </w:r>
          </w:p>
        </w:tc>
        <w:tc>
          <w:tcPr>
            <w:tcW w:w="5812" w:type="dxa"/>
            <w:tcBorders>
              <w:top w:val="single" w:sz="4" w:space="0" w:color="auto"/>
              <w:left w:val="single" w:sz="4" w:space="0" w:color="auto"/>
              <w:bottom w:val="single" w:sz="4" w:space="0" w:color="auto"/>
              <w:right w:val="single" w:sz="4" w:space="0" w:color="auto"/>
            </w:tcBorders>
          </w:tcPr>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Authority approvals will be administered by the Complex Drugs Unit of the Department of Human Services</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 xml:space="preserve">Authority applications for continuing treatment in the same eye may be made by telephone on 1800 700 270 (hours of operation 8 a.m. to 5 p.m. EST Monday to Friday). </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u w:val="single"/>
              </w:rPr>
            </w:pPr>
            <w:r w:rsidRPr="005F039C">
              <w:rPr>
                <w:rFonts w:ascii="Arial Narrow" w:eastAsia="Calibri" w:hAnsi="Arial Narrow"/>
                <w:i/>
                <w:snapToGrid/>
                <w:sz w:val="20"/>
                <w:u w:val="single"/>
              </w:rPr>
              <w:t>Note</w:t>
            </w: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No increase in the maximum quantity or number of units may be authorised</w:t>
            </w:r>
          </w:p>
          <w:p w:rsidR="00E43BEE" w:rsidRPr="005F039C" w:rsidRDefault="00E43BEE" w:rsidP="00604C16">
            <w:pPr>
              <w:widowControl/>
              <w:rPr>
                <w:rFonts w:ascii="Arial Narrow" w:eastAsia="Calibri" w:hAnsi="Arial Narrow"/>
                <w:i/>
                <w:snapToGrid/>
                <w:sz w:val="20"/>
              </w:rPr>
            </w:pPr>
          </w:p>
          <w:p w:rsidR="00E43BEE" w:rsidRPr="005F039C" w:rsidRDefault="00E43BEE" w:rsidP="00604C16">
            <w:pPr>
              <w:widowControl/>
              <w:rPr>
                <w:rFonts w:ascii="Arial Narrow" w:eastAsia="Calibri" w:hAnsi="Arial Narrow"/>
                <w:i/>
                <w:snapToGrid/>
                <w:sz w:val="20"/>
                <w:u w:val="single"/>
              </w:rPr>
            </w:pPr>
            <w:r w:rsidRPr="005F039C">
              <w:rPr>
                <w:rFonts w:ascii="Arial Narrow" w:eastAsia="Calibri" w:hAnsi="Arial Narrow"/>
                <w:i/>
                <w:snapToGrid/>
                <w:sz w:val="20"/>
                <w:u w:val="single"/>
              </w:rPr>
              <w:t>Note</w:t>
            </w: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No increase in the maximum number of repeats may be authorised</w:t>
            </w:r>
          </w:p>
          <w:p w:rsidR="00E43BEE" w:rsidRPr="005F039C" w:rsidRDefault="00E43BEE" w:rsidP="00604C16">
            <w:pPr>
              <w:widowControl/>
              <w:rPr>
                <w:rFonts w:ascii="Arial Narrow" w:eastAsia="Calibri" w:hAnsi="Arial Narrow"/>
                <w:i/>
                <w:snapToGrid/>
                <w:sz w:val="20"/>
                <w:u w:val="single"/>
              </w:rPr>
            </w:pPr>
          </w:p>
          <w:p w:rsidR="00E43BEE" w:rsidRPr="005F039C" w:rsidRDefault="00E43BEE" w:rsidP="00604C16">
            <w:pPr>
              <w:widowControl/>
              <w:rPr>
                <w:rFonts w:ascii="Arial Narrow" w:eastAsia="Calibri" w:hAnsi="Arial Narrow"/>
                <w:i/>
                <w:snapToGrid/>
                <w:sz w:val="20"/>
                <w:u w:val="single"/>
              </w:rPr>
            </w:pPr>
            <w:r w:rsidRPr="005F039C">
              <w:rPr>
                <w:rFonts w:ascii="Arial Narrow" w:eastAsia="Calibri" w:hAnsi="Arial Narrow"/>
                <w:i/>
                <w:snapToGrid/>
                <w:sz w:val="20"/>
                <w:u w:val="single"/>
              </w:rPr>
              <w:t>Note</w:t>
            </w:r>
          </w:p>
          <w:p w:rsidR="00E43BEE" w:rsidRPr="005F039C" w:rsidRDefault="00E43BEE" w:rsidP="00604C16">
            <w:pPr>
              <w:widowControl/>
              <w:rPr>
                <w:rFonts w:ascii="Arial Narrow" w:eastAsia="Calibri" w:hAnsi="Arial Narrow"/>
                <w:i/>
                <w:snapToGrid/>
                <w:sz w:val="20"/>
              </w:rPr>
            </w:pPr>
            <w:r w:rsidRPr="005F039C">
              <w:rPr>
                <w:rFonts w:ascii="Arial Narrow" w:eastAsia="Calibri" w:hAnsi="Arial Narrow"/>
                <w:i/>
                <w:snapToGrid/>
                <w:sz w:val="20"/>
              </w:rPr>
              <w:t>Special Pricing Arrangements apply.</w:t>
            </w:r>
          </w:p>
        </w:tc>
      </w:tr>
    </w:tbl>
    <w:p w:rsidR="00E43BEE" w:rsidRPr="005F039C" w:rsidRDefault="00E43BEE" w:rsidP="00E43BEE">
      <w:pPr>
        <w:pStyle w:val="PBACheading1"/>
        <w:numPr>
          <w:ilvl w:val="0"/>
          <w:numId w:val="0"/>
        </w:numPr>
      </w:pPr>
    </w:p>
    <w:p w:rsidR="00607D0A" w:rsidRPr="005F039C" w:rsidRDefault="009E06A4" w:rsidP="00745891">
      <w:pPr>
        <w:pStyle w:val="ListParagraph"/>
        <w:widowControl/>
        <w:numPr>
          <w:ilvl w:val="1"/>
          <w:numId w:val="2"/>
        </w:numPr>
        <w:rPr>
          <w:szCs w:val="22"/>
        </w:rPr>
      </w:pPr>
      <w:r w:rsidRPr="005F039C">
        <w:t>As</w:t>
      </w:r>
      <w:r w:rsidR="00607D0A" w:rsidRPr="005F039C">
        <w:rPr>
          <w:color w:val="0000FF"/>
        </w:rPr>
        <w:t xml:space="preserve"> </w:t>
      </w:r>
      <w:r w:rsidRPr="005F039C">
        <w:rPr>
          <w:szCs w:val="22"/>
        </w:rPr>
        <w:t xml:space="preserve">with the March 2014 </w:t>
      </w:r>
      <w:r w:rsidR="00525231" w:rsidRPr="005F039C">
        <w:rPr>
          <w:szCs w:val="22"/>
        </w:rPr>
        <w:t>resubmission</w:t>
      </w:r>
      <w:r w:rsidRPr="005F039C">
        <w:rPr>
          <w:szCs w:val="22"/>
        </w:rPr>
        <w:t xml:space="preserve">, the current </w:t>
      </w:r>
      <w:r w:rsidR="00525231" w:rsidRPr="005F039C">
        <w:rPr>
          <w:szCs w:val="22"/>
        </w:rPr>
        <w:t>resubmission</w:t>
      </w:r>
      <w:r w:rsidRPr="005F039C">
        <w:rPr>
          <w:szCs w:val="22"/>
        </w:rPr>
        <w:t xml:space="preserve"> ma</w:t>
      </w:r>
      <w:r w:rsidR="00584E9E" w:rsidRPr="005F039C">
        <w:rPr>
          <w:szCs w:val="22"/>
        </w:rPr>
        <w:t>de</w:t>
      </w:r>
      <w:r w:rsidRPr="005F039C">
        <w:rPr>
          <w:szCs w:val="22"/>
        </w:rPr>
        <w:t xml:space="preserve"> the claim that aflibercept has superior effectiveness and a similar safety profile compared to placebo</w:t>
      </w:r>
      <w:r w:rsidR="002B0B99">
        <w:rPr>
          <w:szCs w:val="22"/>
        </w:rPr>
        <w:t xml:space="preserve"> for best support care</w:t>
      </w:r>
      <w:r w:rsidRPr="005F039C">
        <w:rPr>
          <w:szCs w:val="22"/>
        </w:rPr>
        <w:t>, and that aflibercept has non</w:t>
      </w:r>
      <w:r w:rsidR="00C04C2D" w:rsidRPr="005F039C">
        <w:rPr>
          <w:szCs w:val="22"/>
        </w:rPr>
        <w:t>-</w:t>
      </w:r>
      <w:r w:rsidRPr="005F039C">
        <w:rPr>
          <w:szCs w:val="22"/>
        </w:rPr>
        <w:t xml:space="preserve">inferior safety and effectiveness compared with ranibizumab. The </w:t>
      </w:r>
      <w:r w:rsidR="00525231" w:rsidRPr="005F039C">
        <w:rPr>
          <w:szCs w:val="22"/>
        </w:rPr>
        <w:t>resubmission</w:t>
      </w:r>
      <w:r w:rsidRPr="005F039C">
        <w:rPr>
          <w:szCs w:val="22"/>
        </w:rPr>
        <w:t xml:space="preserve"> ma</w:t>
      </w:r>
      <w:r w:rsidR="00584E9E" w:rsidRPr="005F039C">
        <w:rPr>
          <w:szCs w:val="22"/>
        </w:rPr>
        <w:t>de</w:t>
      </w:r>
      <w:r w:rsidRPr="005F039C">
        <w:rPr>
          <w:szCs w:val="22"/>
        </w:rPr>
        <w:t xml:space="preserve"> no claims </w:t>
      </w:r>
      <w:r w:rsidR="004B31E7" w:rsidRPr="005F039C">
        <w:rPr>
          <w:szCs w:val="22"/>
        </w:rPr>
        <w:t xml:space="preserve">about comparative </w:t>
      </w:r>
      <w:r w:rsidRPr="005F039C">
        <w:rPr>
          <w:szCs w:val="22"/>
        </w:rPr>
        <w:t xml:space="preserve">effectiveness or safety </w:t>
      </w:r>
      <w:r w:rsidR="004B31E7" w:rsidRPr="005F039C">
        <w:rPr>
          <w:szCs w:val="22"/>
        </w:rPr>
        <w:t xml:space="preserve">compared to </w:t>
      </w:r>
      <w:r w:rsidRPr="005F039C">
        <w:rPr>
          <w:szCs w:val="22"/>
        </w:rPr>
        <w:t>bevacizumab, but assume</w:t>
      </w:r>
      <w:r w:rsidR="00584E9E" w:rsidRPr="005F039C">
        <w:rPr>
          <w:szCs w:val="22"/>
        </w:rPr>
        <w:t>d</w:t>
      </w:r>
      <w:r w:rsidRPr="005F039C">
        <w:rPr>
          <w:szCs w:val="22"/>
        </w:rPr>
        <w:t xml:space="preserve"> non-inferior efficacy and superior safety of aflibercept. The </w:t>
      </w:r>
      <w:r w:rsidR="00525231" w:rsidRPr="005F039C">
        <w:rPr>
          <w:szCs w:val="22"/>
        </w:rPr>
        <w:t>resubmission</w:t>
      </w:r>
      <w:r w:rsidRPr="005F039C">
        <w:rPr>
          <w:szCs w:val="22"/>
        </w:rPr>
        <w:t xml:space="preserve"> include</w:t>
      </w:r>
      <w:r w:rsidR="00584E9E" w:rsidRPr="005F039C">
        <w:rPr>
          <w:szCs w:val="22"/>
        </w:rPr>
        <w:t>d</w:t>
      </w:r>
      <w:r w:rsidRPr="005F039C">
        <w:rPr>
          <w:szCs w:val="22"/>
        </w:rPr>
        <w:t xml:space="preserve"> a cost utility analysis against best supportive care, and cost minimisations against ranibizumab and bevacizumab</w:t>
      </w:r>
      <w:r w:rsidRPr="005F039C">
        <w:rPr>
          <w:color w:val="0066FF"/>
          <w:szCs w:val="22"/>
        </w:rPr>
        <w:t>.</w:t>
      </w:r>
    </w:p>
    <w:p w:rsidR="00607D0A" w:rsidRPr="005F039C" w:rsidRDefault="00607D0A" w:rsidP="00607D0A"/>
    <w:p w:rsidR="00607D0A" w:rsidRPr="005F039C" w:rsidRDefault="00607D0A" w:rsidP="00745891">
      <w:pPr>
        <w:pStyle w:val="ListParagraph"/>
        <w:widowControl/>
        <w:numPr>
          <w:ilvl w:val="1"/>
          <w:numId w:val="2"/>
        </w:numPr>
        <w:rPr>
          <w:szCs w:val="22"/>
        </w:rPr>
      </w:pPr>
      <w:r w:rsidRPr="005F039C">
        <w:t xml:space="preserve">In comparison with the March 2014 </w:t>
      </w:r>
      <w:r w:rsidR="00525231" w:rsidRPr="005F039C">
        <w:t>resubmission</w:t>
      </w:r>
      <w:r w:rsidRPr="005F039C">
        <w:t xml:space="preserve">, the </w:t>
      </w:r>
      <w:r w:rsidR="00525231" w:rsidRPr="005F039C">
        <w:t>resubmission</w:t>
      </w:r>
      <w:r w:rsidRPr="005F039C">
        <w:t xml:space="preserve"> has removed </w:t>
      </w:r>
      <w:r w:rsidR="002B0B99" w:rsidRPr="002B0B99">
        <w:t xml:space="preserve">optical coherence tomography </w:t>
      </w:r>
      <w:r w:rsidR="002B0B99">
        <w:t>(</w:t>
      </w:r>
      <w:r w:rsidRPr="005F039C">
        <w:t>OCT</w:t>
      </w:r>
      <w:r w:rsidR="002B0B99">
        <w:t>)</w:t>
      </w:r>
      <w:r w:rsidRPr="005F039C">
        <w:t xml:space="preserve"> from the requested restriction. The </w:t>
      </w:r>
      <w:r w:rsidR="00525231" w:rsidRPr="005F039C">
        <w:t>resubmission</w:t>
      </w:r>
      <w:r w:rsidRPr="005F039C">
        <w:t xml:space="preserve"> has requested an effective price of </w:t>
      </w:r>
      <w:r w:rsidR="00827EDF">
        <w:rPr>
          <w:noProof/>
          <w:color w:val="000000"/>
          <w:highlight w:val="black"/>
        </w:rPr>
        <w:t>''''''''''''''''''''</w:t>
      </w:r>
      <w:r w:rsidRPr="005F039C">
        <w:t xml:space="preserve"> that is </w:t>
      </w:r>
      <w:r w:rsidR="00827EDF">
        <w:rPr>
          <w:noProof/>
          <w:color w:val="000000"/>
          <w:highlight w:val="black"/>
        </w:rPr>
        <w:t>''''''''''</w:t>
      </w:r>
      <w:r w:rsidRPr="005F039C">
        <w:t xml:space="preserve"> less than the effective price requested in the March 2014 </w:t>
      </w:r>
      <w:r w:rsidR="00525231" w:rsidRPr="005F039C">
        <w:t>resubmission</w:t>
      </w:r>
      <w:r w:rsidRPr="005F039C">
        <w:t xml:space="preserve"> </w:t>
      </w:r>
      <w:r w:rsidR="00827EDF">
        <w:rPr>
          <w:noProof/>
          <w:color w:val="000000"/>
          <w:highlight w:val="black"/>
        </w:rPr>
        <w:t>'''''''''''''''''''''''''''</w:t>
      </w:r>
      <w:r w:rsidR="008B0F7B" w:rsidRPr="005F039C">
        <w:t xml:space="preserve">.  The </w:t>
      </w:r>
      <w:r w:rsidR="0075248A" w:rsidRPr="005F039C">
        <w:t>effective</w:t>
      </w:r>
      <w:r w:rsidR="008B0F7B" w:rsidRPr="005F039C">
        <w:t xml:space="preserve"> price is based on weightings across the three comparisons of BSC </w:t>
      </w:r>
      <w:r w:rsidR="00827EDF">
        <w:rPr>
          <w:noProof/>
          <w:color w:val="000000"/>
          <w:highlight w:val="black"/>
        </w:rPr>
        <w:t>''''''''''''''''''''''''</w:t>
      </w:r>
      <w:r w:rsidR="008B0F7B" w:rsidRPr="005F039C">
        <w:t xml:space="preserve">, ranibizumab </w:t>
      </w:r>
      <w:r w:rsidR="00827EDF">
        <w:rPr>
          <w:noProof/>
          <w:color w:val="000000"/>
          <w:highlight w:val="black"/>
        </w:rPr>
        <w:t>'''''''''''''''''''''''''''</w:t>
      </w:r>
      <w:r w:rsidR="008B0F7B" w:rsidRPr="005F039C">
        <w:t xml:space="preserve"> and bevacizumab </w:t>
      </w:r>
      <w:r w:rsidR="00827EDF">
        <w:rPr>
          <w:noProof/>
          <w:color w:val="000000"/>
          <w:highlight w:val="black"/>
        </w:rPr>
        <w:t>'''''''''''''''''''''</w:t>
      </w:r>
      <w:r w:rsidR="008B0F7B" w:rsidRPr="005F039C">
        <w:t>.</w:t>
      </w:r>
    </w:p>
    <w:p w:rsidR="00F20888" w:rsidRPr="005F039C" w:rsidRDefault="00F20888" w:rsidP="00F20888">
      <w:pPr>
        <w:tabs>
          <w:tab w:val="left" w:pos="1005"/>
        </w:tabs>
      </w:pPr>
    </w:p>
    <w:p w:rsidR="00F20888" w:rsidRPr="005F039C" w:rsidRDefault="00F20888" w:rsidP="00F20888">
      <w:pPr>
        <w:widowControl/>
        <w:ind w:left="709"/>
        <w:contextualSpacing/>
        <w:rPr>
          <w:rFonts w:cs="Times New Roman"/>
          <w:i/>
          <w:snapToGrid/>
          <w:szCs w:val="22"/>
          <w:lang w:eastAsia="en-AU"/>
        </w:rPr>
      </w:pPr>
      <w:r w:rsidRPr="005F039C">
        <w:rPr>
          <w:rFonts w:cs="Times New Roman"/>
          <w:i/>
          <w:snapToGrid/>
          <w:szCs w:val="22"/>
          <w:lang w:eastAsia="en-AU"/>
        </w:rPr>
        <w:t>For more detail on PBAC’s view, see section 7 “PBAC outcome”</w:t>
      </w:r>
    </w:p>
    <w:p w:rsidR="00F20888" w:rsidRPr="005F039C" w:rsidRDefault="00F20888" w:rsidP="00F20888">
      <w:pPr>
        <w:tabs>
          <w:tab w:val="left" w:pos="1005"/>
        </w:tabs>
      </w:pPr>
    </w:p>
    <w:p w:rsidR="00C04C2D" w:rsidRPr="005F039C" w:rsidRDefault="00C04C2D" w:rsidP="00607D0A"/>
    <w:p w:rsidR="00607D0A" w:rsidRPr="005F039C" w:rsidRDefault="00607D0A" w:rsidP="00607D0A">
      <w:pPr>
        <w:pStyle w:val="PBACheading1"/>
      </w:pPr>
      <w:bookmarkStart w:id="5" w:name="_Toc398652401"/>
      <w:r w:rsidRPr="005F039C">
        <w:rPr>
          <w:b/>
        </w:rPr>
        <w:t>Background</w:t>
      </w:r>
      <w:bookmarkEnd w:id="5"/>
    </w:p>
    <w:p w:rsidR="00607D0A" w:rsidRPr="005F039C" w:rsidRDefault="00607D0A" w:rsidP="00607D0A">
      <w:pPr>
        <w:rPr>
          <w:szCs w:val="22"/>
        </w:rPr>
      </w:pPr>
    </w:p>
    <w:p w:rsidR="00607D0A" w:rsidRPr="005F039C" w:rsidRDefault="00607D0A" w:rsidP="00745891">
      <w:pPr>
        <w:pStyle w:val="ListParagraph"/>
        <w:widowControl/>
        <w:numPr>
          <w:ilvl w:val="1"/>
          <w:numId w:val="2"/>
        </w:numPr>
      </w:pPr>
      <w:r w:rsidRPr="005F039C">
        <w:rPr>
          <w:color w:val="000000" w:themeColor="text1"/>
          <w:szCs w:val="22"/>
        </w:rPr>
        <w:t xml:space="preserve">Aflibercept was </w:t>
      </w:r>
      <w:r w:rsidR="00162444">
        <w:rPr>
          <w:color w:val="000000" w:themeColor="text1"/>
          <w:szCs w:val="22"/>
        </w:rPr>
        <w:t>recommended</w:t>
      </w:r>
      <w:r w:rsidR="00162444" w:rsidRPr="005F039C">
        <w:rPr>
          <w:color w:val="000000" w:themeColor="text1"/>
          <w:szCs w:val="22"/>
        </w:rPr>
        <w:t xml:space="preserve"> </w:t>
      </w:r>
      <w:r w:rsidRPr="005F039C">
        <w:rPr>
          <w:color w:val="000000" w:themeColor="text1"/>
          <w:szCs w:val="22"/>
        </w:rPr>
        <w:t xml:space="preserve">for registration by the </w:t>
      </w:r>
      <w:r w:rsidR="00162444">
        <w:rPr>
          <w:color w:val="000000" w:themeColor="text1"/>
          <w:szCs w:val="22"/>
        </w:rPr>
        <w:t>ACPM</w:t>
      </w:r>
      <w:r w:rsidR="00162444" w:rsidRPr="005F039C">
        <w:rPr>
          <w:color w:val="000000" w:themeColor="text1"/>
          <w:szCs w:val="22"/>
        </w:rPr>
        <w:t xml:space="preserve"> </w:t>
      </w:r>
      <w:r w:rsidRPr="005F039C">
        <w:rPr>
          <w:color w:val="000000" w:themeColor="text1"/>
          <w:szCs w:val="22"/>
        </w:rPr>
        <w:t>for visual impairment due to macular oedema secondary to CRVO at the 294</w:t>
      </w:r>
      <w:r w:rsidRPr="005F039C">
        <w:rPr>
          <w:color w:val="000000" w:themeColor="text1"/>
          <w:szCs w:val="22"/>
          <w:vertAlign w:val="superscript"/>
        </w:rPr>
        <w:t>th</w:t>
      </w:r>
      <w:r w:rsidRPr="005F039C">
        <w:rPr>
          <w:color w:val="000000" w:themeColor="text1"/>
          <w:szCs w:val="22"/>
        </w:rPr>
        <w:t xml:space="preserve"> meeting of the ACPM on the 3</w:t>
      </w:r>
      <w:r w:rsidRPr="005F039C">
        <w:rPr>
          <w:color w:val="000000" w:themeColor="text1"/>
          <w:szCs w:val="22"/>
          <w:vertAlign w:val="superscript"/>
        </w:rPr>
        <w:t>rd</w:t>
      </w:r>
      <w:r w:rsidRPr="005F039C">
        <w:rPr>
          <w:color w:val="000000" w:themeColor="text1"/>
          <w:szCs w:val="22"/>
        </w:rPr>
        <w:t xml:space="preserve"> and 4</w:t>
      </w:r>
      <w:r w:rsidRPr="005F039C">
        <w:rPr>
          <w:color w:val="000000" w:themeColor="text1"/>
          <w:szCs w:val="22"/>
          <w:vertAlign w:val="superscript"/>
        </w:rPr>
        <w:t>th</w:t>
      </w:r>
      <w:r w:rsidRPr="005F039C">
        <w:rPr>
          <w:color w:val="000000" w:themeColor="text1"/>
          <w:szCs w:val="22"/>
        </w:rPr>
        <w:t xml:space="preserve"> of October 2014. Aflibercept was </w:t>
      </w:r>
      <w:r w:rsidR="00162444">
        <w:rPr>
          <w:color w:val="000000" w:themeColor="text1"/>
          <w:szCs w:val="22"/>
        </w:rPr>
        <w:t xml:space="preserve">TGA </w:t>
      </w:r>
      <w:r w:rsidRPr="005F039C">
        <w:rPr>
          <w:color w:val="000000" w:themeColor="text1"/>
          <w:szCs w:val="22"/>
        </w:rPr>
        <w:t>registered for the treatment of neovascular (wet) age related macular degeneration in March 2012 and was recommended by the PBAC for treatment of subfoveal choroidal neovascularisation (CNV) due to age related macular degeneration (AMD) in March 2012.</w:t>
      </w:r>
    </w:p>
    <w:p w:rsidR="00607D0A" w:rsidRPr="005F039C" w:rsidRDefault="00607D0A" w:rsidP="00607D0A"/>
    <w:p w:rsidR="00607D0A" w:rsidRPr="005F039C" w:rsidRDefault="00607D0A" w:rsidP="00745891">
      <w:pPr>
        <w:pStyle w:val="ListParagraph"/>
        <w:widowControl/>
        <w:numPr>
          <w:ilvl w:val="1"/>
          <w:numId w:val="2"/>
        </w:numPr>
        <w:rPr>
          <w:szCs w:val="22"/>
        </w:rPr>
      </w:pPr>
      <w:r w:rsidRPr="005F039C">
        <w:rPr>
          <w:szCs w:val="22"/>
        </w:rPr>
        <w:t xml:space="preserve">Aflibercept was previously considered for the treatment of CRVO </w:t>
      </w:r>
      <w:r w:rsidR="00584E9E" w:rsidRPr="005F039C">
        <w:rPr>
          <w:szCs w:val="22"/>
        </w:rPr>
        <w:t>at the</w:t>
      </w:r>
      <w:r w:rsidRPr="005F039C">
        <w:rPr>
          <w:szCs w:val="22"/>
        </w:rPr>
        <w:t xml:space="preserve"> July 2013 and March 2014 PBAC meetings. At the July 2013 meeting, </w:t>
      </w:r>
      <w:r w:rsidR="00C04C2D" w:rsidRPr="005F039C">
        <w:rPr>
          <w:szCs w:val="22"/>
        </w:rPr>
        <w:t>t</w:t>
      </w:r>
      <w:r w:rsidRPr="005F039C">
        <w:rPr>
          <w:szCs w:val="22"/>
        </w:rPr>
        <w:t xml:space="preserve">he PBAC rejected the submission on the basis of an unacceptably high and likely underestimated ICER compared with best supportive care and on the basis of inadequate comparative data against either bevacizumab or ranibizumab. The PBAC rejected the </w:t>
      </w:r>
      <w:r w:rsidR="00525231" w:rsidRPr="005F039C">
        <w:rPr>
          <w:szCs w:val="22"/>
        </w:rPr>
        <w:t>resubmission</w:t>
      </w:r>
      <w:r w:rsidRPr="005F039C">
        <w:rPr>
          <w:szCs w:val="22"/>
        </w:rPr>
        <w:t xml:space="preserve"> at the March 2014 meeting on</w:t>
      </w:r>
      <w:r w:rsidR="009E2114" w:rsidRPr="005F039C">
        <w:rPr>
          <w:szCs w:val="22"/>
        </w:rPr>
        <w:t xml:space="preserve"> the</w:t>
      </w:r>
      <w:r w:rsidRPr="005F039C">
        <w:rPr>
          <w:szCs w:val="22"/>
        </w:rPr>
        <w:t xml:space="preserve"> basis</w:t>
      </w:r>
      <w:r w:rsidR="009E2114" w:rsidRPr="005F039C">
        <w:rPr>
          <w:szCs w:val="22"/>
        </w:rPr>
        <w:t xml:space="preserve"> of an unacceptably high and likely underestimated ICER compared with best supportive care and on the basis of inadequate comparative data against compounded bevacizumab</w:t>
      </w:r>
      <w:r w:rsidRPr="005F039C">
        <w:rPr>
          <w:szCs w:val="22"/>
        </w:rPr>
        <w:t>.</w:t>
      </w:r>
    </w:p>
    <w:p w:rsidR="00607D0A" w:rsidRPr="005F039C" w:rsidRDefault="00607D0A" w:rsidP="00607D0A"/>
    <w:p w:rsidR="00607D0A" w:rsidRPr="005F039C" w:rsidRDefault="00C04C2D" w:rsidP="00745891">
      <w:pPr>
        <w:pStyle w:val="ListParagraph"/>
        <w:widowControl/>
        <w:numPr>
          <w:ilvl w:val="1"/>
          <w:numId w:val="2"/>
        </w:numPr>
        <w:rPr>
          <w:szCs w:val="22"/>
        </w:rPr>
      </w:pPr>
      <w:r w:rsidRPr="005F039C">
        <w:t xml:space="preserve">The </w:t>
      </w:r>
      <w:r w:rsidR="00607D0A" w:rsidRPr="005F039C">
        <w:t xml:space="preserve">key issues identified in March 2014 PBAC Minutes and the corresponding changes made for the </w:t>
      </w:r>
      <w:r w:rsidR="00584E9E" w:rsidRPr="005F039C">
        <w:t xml:space="preserve">current </w:t>
      </w:r>
      <w:r w:rsidR="00525231" w:rsidRPr="005F039C">
        <w:t>resubmission</w:t>
      </w:r>
      <w:r w:rsidRPr="005F039C">
        <w:t xml:space="preserve"> are discussed below</w:t>
      </w:r>
      <w:r w:rsidR="00607D0A" w:rsidRPr="005F039C">
        <w:rPr>
          <w:color w:val="0066FF"/>
        </w:rPr>
        <w:t>.</w:t>
      </w:r>
    </w:p>
    <w:p w:rsidR="00607D0A" w:rsidRPr="005F039C" w:rsidRDefault="00607D0A" w:rsidP="00607D0A">
      <w:pPr>
        <w:rPr>
          <w:szCs w:val="22"/>
        </w:rPr>
      </w:pPr>
    </w:p>
    <w:p w:rsidR="00607D0A" w:rsidRPr="005F039C" w:rsidRDefault="00607D0A" w:rsidP="00745891">
      <w:pPr>
        <w:pStyle w:val="ListParagraph"/>
        <w:widowControl/>
        <w:numPr>
          <w:ilvl w:val="1"/>
          <w:numId w:val="2"/>
        </w:numPr>
        <w:rPr>
          <w:szCs w:val="22"/>
        </w:rPr>
      </w:pPr>
      <w:r w:rsidRPr="005F039C">
        <w:rPr>
          <w:szCs w:val="22"/>
          <w:u w:val="single"/>
        </w:rPr>
        <w:t>Comparison with bevacizumab:</w:t>
      </w:r>
      <w:r w:rsidRPr="005F039C">
        <w:rPr>
          <w:szCs w:val="22"/>
        </w:rPr>
        <w:t xml:space="preserve"> Paragraph 7.2 – The PBAC considered that</w:t>
      </w:r>
      <w:r w:rsidRPr="005F039C">
        <w:rPr>
          <w:szCs w:val="22"/>
          <w:u w:val="single"/>
        </w:rPr>
        <w:t xml:space="preserve"> </w:t>
      </w:r>
      <w:r w:rsidRPr="005F039C">
        <w:rPr>
          <w:szCs w:val="22"/>
        </w:rPr>
        <w:t xml:space="preserve">compounded bevacizumab was also a relevant comparator because evidence of its current use in patients who would be eligible for PBS-subsidised aflibercept means that prescribers would replace compounded bevacizumab in practice with aflibercept if the PBS subsidises aflibercept. The </w:t>
      </w:r>
      <w:r w:rsidR="00584E9E" w:rsidRPr="005F039C">
        <w:rPr>
          <w:szCs w:val="22"/>
        </w:rPr>
        <w:t xml:space="preserve">current </w:t>
      </w:r>
      <w:r w:rsidR="00525231" w:rsidRPr="005F039C">
        <w:rPr>
          <w:szCs w:val="22"/>
        </w:rPr>
        <w:t>resubmission</w:t>
      </w:r>
      <w:r w:rsidRPr="005F039C">
        <w:rPr>
          <w:szCs w:val="22"/>
        </w:rPr>
        <w:t xml:space="preserve"> provide</w:t>
      </w:r>
      <w:r w:rsidR="00584E9E" w:rsidRPr="005F039C">
        <w:rPr>
          <w:szCs w:val="22"/>
        </w:rPr>
        <w:t>d</w:t>
      </w:r>
      <w:r w:rsidRPr="005F039C">
        <w:rPr>
          <w:szCs w:val="22"/>
        </w:rPr>
        <w:t xml:space="preserve"> a comparison with bevacizumab</w:t>
      </w:r>
      <w:r w:rsidR="005237D3" w:rsidRPr="005F039C">
        <w:rPr>
          <w:szCs w:val="22"/>
        </w:rPr>
        <w:t xml:space="preserve"> that is used to support the cost-minimisation analysis</w:t>
      </w:r>
      <w:r w:rsidR="005A0024" w:rsidRPr="005F039C">
        <w:rPr>
          <w:szCs w:val="22"/>
        </w:rPr>
        <w:t>.</w:t>
      </w:r>
    </w:p>
    <w:p w:rsidR="00607D0A" w:rsidRPr="005F039C" w:rsidRDefault="00607D0A" w:rsidP="00607D0A">
      <w:pPr>
        <w:rPr>
          <w:szCs w:val="22"/>
        </w:rPr>
      </w:pPr>
    </w:p>
    <w:p w:rsidR="00607D0A" w:rsidRPr="005F039C" w:rsidRDefault="00607D0A" w:rsidP="00745891">
      <w:pPr>
        <w:pStyle w:val="ListParagraph"/>
        <w:widowControl/>
        <w:numPr>
          <w:ilvl w:val="1"/>
          <w:numId w:val="2"/>
        </w:numPr>
        <w:rPr>
          <w:szCs w:val="22"/>
        </w:rPr>
      </w:pPr>
      <w:r w:rsidRPr="005F039C">
        <w:rPr>
          <w:szCs w:val="22"/>
          <w:u w:val="single"/>
        </w:rPr>
        <w:t>Modelled evaluation – need for model re-specification:</w:t>
      </w:r>
      <w:r w:rsidRPr="005F039C">
        <w:rPr>
          <w:szCs w:val="22"/>
        </w:rPr>
        <w:t xml:space="preserve"> Paragraphs 6.33 to 6.41 </w:t>
      </w:r>
      <w:r w:rsidR="005A0024" w:rsidRPr="005F039C">
        <w:rPr>
          <w:szCs w:val="22"/>
        </w:rPr>
        <w:t>–</w:t>
      </w:r>
      <w:r w:rsidRPr="005F039C">
        <w:rPr>
          <w:szCs w:val="22"/>
        </w:rPr>
        <w:t xml:space="preserve"> </w:t>
      </w:r>
      <w:r w:rsidR="005A0024" w:rsidRPr="005F039C">
        <w:rPr>
          <w:szCs w:val="22"/>
        </w:rPr>
        <w:t xml:space="preserve">the </w:t>
      </w:r>
      <w:r w:rsidRPr="005F039C">
        <w:rPr>
          <w:szCs w:val="22"/>
        </w:rPr>
        <w:t>ESC</w:t>
      </w:r>
      <w:r w:rsidR="005A0024" w:rsidRPr="005F039C">
        <w:rPr>
          <w:szCs w:val="22"/>
        </w:rPr>
        <w:t xml:space="preserve"> </w:t>
      </w:r>
      <w:r w:rsidRPr="005F039C">
        <w:rPr>
          <w:szCs w:val="22"/>
        </w:rPr>
        <w:t xml:space="preserve">had considered that the link between </w:t>
      </w:r>
      <w:r w:rsidR="00490BD2" w:rsidRPr="00490BD2">
        <w:rPr>
          <w:szCs w:val="22"/>
        </w:rPr>
        <w:t xml:space="preserve">best corrected visual acuity </w:t>
      </w:r>
      <w:r w:rsidR="00490BD2">
        <w:rPr>
          <w:szCs w:val="22"/>
        </w:rPr>
        <w:t>(</w:t>
      </w:r>
      <w:r w:rsidRPr="005F039C">
        <w:rPr>
          <w:szCs w:val="22"/>
        </w:rPr>
        <w:t>BCVA</w:t>
      </w:r>
      <w:r w:rsidR="00490BD2">
        <w:rPr>
          <w:szCs w:val="22"/>
        </w:rPr>
        <w:t>)</w:t>
      </w:r>
      <w:r w:rsidRPr="005F039C">
        <w:rPr>
          <w:szCs w:val="22"/>
        </w:rPr>
        <w:t xml:space="preserve"> of the CRVO-affected eye (study eye) and overall utility biases the ICER in favour of aflibercept and that more extensive re-specification of the base case would be needed to account for this structural issue. ESC consequently requested data on the proportions of patients for whom the CRVO-affected eye is the worse or better-seeing eye, and data regarding the patients in each arm for whom the CRVO affected eye improves from being the worse-seeing eye to the better-seeing eye (p11 March 2014 ESC Advice). The PBAC agreed with ESC regarding the bias in the model and noted ESC’s request for additional data (paragraphs 6.35 and 6.36, March 2014 PBAC Minutes).  The current </w:t>
      </w:r>
      <w:r w:rsidR="00525231" w:rsidRPr="005F039C">
        <w:rPr>
          <w:szCs w:val="22"/>
        </w:rPr>
        <w:t>resubmission</w:t>
      </w:r>
      <w:r w:rsidRPr="005F039C">
        <w:rPr>
          <w:szCs w:val="22"/>
        </w:rPr>
        <w:t xml:space="preserve"> </w:t>
      </w:r>
      <w:r w:rsidR="005237D3" w:rsidRPr="005F039C">
        <w:rPr>
          <w:szCs w:val="22"/>
        </w:rPr>
        <w:t xml:space="preserve">provides </w:t>
      </w:r>
      <w:r w:rsidRPr="005F039C">
        <w:rPr>
          <w:szCs w:val="22"/>
        </w:rPr>
        <w:t>data from the GALILEO trial on fellow eye transitions, fellow eye better-seeing status, utilities and health states defined by fellow eye BCVA.</w:t>
      </w:r>
    </w:p>
    <w:p w:rsidR="00604C16" w:rsidRPr="005F039C" w:rsidRDefault="00604C16" w:rsidP="00604C16">
      <w:pPr>
        <w:widowControl/>
        <w:rPr>
          <w:szCs w:val="22"/>
        </w:rPr>
      </w:pPr>
    </w:p>
    <w:p w:rsidR="00604C16" w:rsidRPr="005F039C" w:rsidRDefault="000D703C" w:rsidP="00745891">
      <w:pPr>
        <w:pStyle w:val="ListParagraph"/>
        <w:widowControl/>
        <w:numPr>
          <w:ilvl w:val="1"/>
          <w:numId w:val="2"/>
        </w:numPr>
      </w:pPr>
      <w:r w:rsidRPr="005F039C">
        <w:t>The figure</w:t>
      </w:r>
      <w:r w:rsidR="00604C16" w:rsidRPr="005F039C">
        <w:t xml:space="preserve"> below shows that the trial data are </w:t>
      </w:r>
      <w:r w:rsidR="00405B08" w:rsidRPr="005F039C">
        <w:t>most</w:t>
      </w:r>
      <w:r w:rsidR="00604C16" w:rsidRPr="005F039C">
        <w:t xml:space="preserve"> informative about how the visual acuity (VA) of the study eye affects utility </w:t>
      </w:r>
      <w:r w:rsidR="00405B08" w:rsidRPr="005F039C">
        <w:t>when the</w:t>
      </w:r>
      <w:r w:rsidR="00604C16" w:rsidRPr="005F039C">
        <w:t xml:space="preserve"> fellow eye </w:t>
      </w:r>
      <w:r w:rsidR="007F4899" w:rsidRPr="005F039C">
        <w:t>has</w:t>
      </w:r>
      <w:r w:rsidR="00604C16" w:rsidRPr="005F039C">
        <w:t xml:space="preserve"> BCVA &gt;80 and 65-79.  </w:t>
      </w:r>
      <w:r w:rsidR="000A2915" w:rsidRPr="005F039C">
        <w:t>The ESC noted that t</w:t>
      </w:r>
      <w:r w:rsidR="00604C16" w:rsidRPr="005F039C">
        <w:t>hese data show that the relationship between utility and VA in study eye is weak, but in the expected di</w:t>
      </w:r>
      <w:r w:rsidR="000A2915" w:rsidRPr="005F039C">
        <w:t>rection for people with VA in fellow eye</w:t>
      </w:r>
      <w:r w:rsidR="00604C16" w:rsidRPr="005F039C">
        <w:t xml:space="preserve"> &gt; 80 (though </w:t>
      </w:r>
      <w:r w:rsidR="007F4899" w:rsidRPr="005F039C">
        <w:t xml:space="preserve">it is noted that it is </w:t>
      </w:r>
      <w:r w:rsidR="00604C16" w:rsidRPr="005F039C">
        <w:t xml:space="preserve">not monotonic) and </w:t>
      </w:r>
      <w:r w:rsidR="000A2915" w:rsidRPr="005F039C">
        <w:t>stronger in people with VA in fellow eye</w:t>
      </w:r>
      <w:r w:rsidR="00604C16" w:rsidRPr="005F039C">
        <w:t xml:space="preserve"> of 65-79</w:t>
      </w:r>
      <w:r w:rsidR="000A2915" w:rsidRPr="005F039C">
        <w:t xml:space="preserve">.  </w:t>
      </w:r>
      <w:r w:rsidR="00604C16" w:rsidRPr="005F039C">
        <w:t>This confirm</w:t>
      </w:r>
      <w:r w:rsidR="00584E9E" w:rsidRPr="005F039C">
        <w:t>ed</w:t>
      </w:r>
      <w:r w:rsidR="00604C16" w:rsidRPr="005F039C">
        <w:t xml:space="preserve"> the view of ESC and PBAC in </w:t>
      </w:r>
      <w:r w:rsidR="0013385B" w:rsidRPr="005F039C">
        <w:t xml:space="preserve">the context of </w:t>
      </w:r>
      <w:r w:rsidR="00604C16" w:rsidRPr="005F039C">
        <w:t>the previous submission – that quality of life depends on overall visual acuity, which is most likely to be determined by the best seeing eye.</w:t>
      </w:r>
    </w:p>
    <w:p w:rsidR="00604C16" w:rsidRPr="005F039C" w:rsidRDefault="00604C16" w:rsidP="00604C16"/>
    <w:p w:rsidR="00604C16" w:rsidRPr="005F039C" w:rsidRDefault="00604C16" w:rsidP="00745891">
      <w:pPr>
        <w:pStyle w:val="ListParagraph"/>
        <w:widowControl/>
        <w:numPr>
          <w:ilvl w:val="1"/>
          <w:numId w:val="2"/>
        </w:numPr>
        <w:rPr>
          <w:szCs w:val="22"/>
        </w:rPr>
      </w:pPr>
      <w:r w:rsidRPr="005F039C">
        <w:lastRenderedPageBreak/>
        <w:t xml:space="preserve">However </w:t>
      </w:r>
      <w:r w:rsidR="00DC13A6" w:rsidRPr="005F039C">
        <w:t xml:space="preserve">the ESC further noted that </w:t>
      </w:r>
      <w:r w:rsidRPr="005F039C">
        <w:t>the data also demonstrate</w:t>
      </w:r>
      <w:r w:rsidR="0013385B" w:rsidRPr="005F039C">
        <w:t>d</w:t>
      </w:r>
      <w:r w:rsidRPr="005F039C">
        <w:t xml:space="preserve"> that there is limited information to inform the impact of improving VA in the study eye in people with poor VA in the fellow eye. </w:t>
      </w:r>
      <w:r w:rsidR="00DC13A6" w:rsidRPr="005F039C">
        <w:t xml:space="preserve"> The ESC agreed with the commentary that </w:t>
      </w:r>
      <w:r w:rsidR="000A2915" w:rsidRPr="005F039C">
        <w:rPr>
          <w:iCs/>
          <w:szCs w:val="22"/>
        </w:rPr>
        <w:t>I</w:t>
      </w:r>
      <w:r w:rsidRPr="005F039C">
        <w:rPr>
          <w:iCs/>
          <w:szCs w:val="22"/>
        </w:rPr>
        <w:t>t must be made clear that utility estimates do not appear robust, and both the utilities used in the model and those used in justifying the present</w:t>
      </w:r>
      <w:r w:rsidR="00DC13A6" w:rsidRPr="005F039C">
        <w:rPr>
          <w:iCs/>
          <w:szCs w:val="22"/>
        </w:rPr>
        <w:t xml:space="preserve"> model structure are highly sen</w:t>
      </w:r>
      <w:r w:rsidRPr="005F039C">
        <w:rPr>
          <w:iCs/>
          <w:szCs w:val="22"/>
        </w:rPr>
        <w:t>s</w:t>
      </w:r>
      <w:r w:rsidR="00DC13A6" w:rsidRPr="005F039C">
        <w:rPr>
          <w:iCs/>
          <w:szCs w:val="22"/>
        </w:rPr>
        <w:t>i</w:t>
      </w:r>
      <w:r w:rsidRPr="005F039C">
        <w:rPr>
          <w:iCs/>
          <w:szCs w:val="22"/>
        </w:rPr>
        <w:t>tive to the way they have been arithmetically derived and may not re</w:t>
      </w:r>
      <w:r w:rsidR="00DC13A6" w:rsidRPr="005F039C">
        <w:rPr>
          <w:iCs/>
          <w:szCs w:val="22"/>
        </w:rPr>
        <w:t>flect the actual quality of life improvements fro</w:t>
      </w:r>
      <w:r w:rsidR="007F4899" w:rsidRPr="005F039C">
        <w:rPr>
          <w:iCs/>
          <w:szCs w:val="22"/>
        </w:rPr>
        <w:t>m</w:t>
      </w:r>
      <w:r w:rsidR="00DC13A6" w:rsidRPr="005F039C">
        <w:rPr>
          <w:iCs/>
          <w:szCs w:val="22"/>
        </w:rPr>
        <w:t xml:space="preserve"> aflibercept treatment as the </w:t>
      </w:r>
      <w:r w:rsidR="00525231" w:rsidRPr="005F039C">
        <w:rPr>
          <w:iCs/>
          <w:szCs w:val="22"/>
        </w:rPr>
        <w:t>resubmission</w:t>
      </w:r>
      <w:r w:rsidR="00DC13A6" w:rsidRPr="005F039C">
        <w:rPr>
          <w:iCs/>
          <w:szCs w:val="22"/>
        </w:rPr>
        <w:t xml:space="preserve"> claims in its argument against model re-specification.</w:t>
      </w:r>
    </w:p>
    <w:p w:rsidR="00604C16" w:rsidRPr="005F039C" w:rsidRDefault="00604C16" w:rsidP="000A2915">
      <w:pPr>
        <w:widowControl/>
        <w:rPr>
          <w:szCs w:val="22"/>
        </w:rPr>
      </w:pPr>
    </w:p>
    <w:p w:rsidR="00604C16" w:rsidRPr="005F039C" w:rsidRDefault="0037001C" w:rsidP="00745891">
      <w:pPr>
        <w:pStyle w:val="ListParagraph"/>
        <w:widowControl/>
        <w:numPr>
          <w:ilvl w:val="1"/>
          <w:numId w:val="2"/>
        </w:numPr>
      </w:pPr>
      <w:r w:rsidRPr="005F039C">
        <w:t xml:space="preserve">The ESC </w:t>
      </w:r>
      <w:r w:rsidR="007F4899" w:rsidRPr="005F039C">
        <w:t xml:space="preserve">also noted </w:t>
      </w:r>
      <w:r w:rsidRPr="005F039C">
        <w:t>that t</w:t>
      </w:r>
      <w:r w:rsidR="00604C16" w:rsidRPr="005F039C">
        <w:t>here are relatively few patients populating some of these different health states and</w:t>
      </w:r>
      <w:r w:rsidRPr="005F039C">
        <w:t xml:space="preserve"> contributing to the difference.</w:t>
      </w:r>
      <w:r w:rsidR="00604C16" w:rsidRPr="005F039C">
        <w:t xml:space="preserve"> </w:t>
      </w:r>
      <w:r w:rsidR="0013385B" w:rsidRPr="005F039C">
        <w:t xml:space="preserve"> </w:t>
      </w:r>
      <w:r w:rsidR="00604C16" w:rsidRPr="005F039C">
        <w:t>The linear extrapolation appears to be a simple average across all observations (in fact a linear extrapolation of the black line, which is the utility associated with the study eye’s visual acuity not controlling for the fellow eye</w:t>
      </w:r>
      <w:r w:rsidR="0013385B" w:rsidRPr="005F039C">
        <w:t>)</w:t>
      </w:r>
      <w:r w:rsidR="00604C16" w:rsidRPr="005F039C">
        <w:t>, and therefore averaged across all fellow eye states – it would be more appropriate to undertake a weighted average.</w:t>
      </w:r>
    </w:p>
    <w:p w:rsidR="00604C16" w:rsidRPr="005F039C" w:rsidRDefault="00604C16" w:rsidP="0013385B"/>
    <w:p w:rsidR="00604C16" w:rsidRPr="005F039C" w:rsidRDefault="00604C16" w:rsidP="00C77930">
      <w:pPr>
        <w:pStyle w:val="ListParagraph"/>
        <w:widowControl/>
        <w:spacing w:after="200" w:line="276" w:lineRule="auto"/>
        <w:ind w:left="360" w:firstLine="360"/>
        <w:jc w:val="left"/>
        <w:rPr>
          <w:rFonts w:ascii="Arial Narrow" w:hAnsi="Arial Narrow"/>
          <w:b/>
          <w:sz w:val="20"/>
          <w:szCs w:val="20"/>
        </w:rPr>
      </w:pPr>
      <w:r w:rsidRPr="005F039C">
        <w:rPr>
          <w:rFonts w:ascii="Arial Narrow" w:hAnsi="Arial Narrow"/>
          <w:b/>
          <w:sz w:val="20"/>
          <w:szCs w:val="20"/>
        </w:rPr>
        <w:t>Utility value of seeing eye health states, by BCVA of fellow eye</w:t>
      </w:r>
    </w:p>
    <w:p w:rsidR="00604C16" w:rsidRPr="005F039C" w:rsidRDefault="00715D4C" w:rsidP="00604C16">
      <w:pPr>
        <w:pStyle w:val="ListParagraph"/>
        <w:widowControl/>
        <w:spacing w:after="200" w:line="276" w:lineRule="auto"/>
        <w:ind w:left="360"/>
        <w:jc w:val="left"/>
      </w:pPr>
      <w:r w:rsidRPr="005F039C">
        <w:rPr>
          <w:noProof/>
          <w:lang w:eastAsia="en-AU"/>
        </w:rPr>
        <w:drawing>
          <wp:inline distT="0" distB="0" distL="0" distR="0" wp14:anchorId="392B74E1" wp14:editId="532F9B20">
            <wp:extent cx="5342206" cy="33242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2206" cy="3324225"/>
                    </a:xfrm>
                    <a:prstGeom prst="rect">
                      <a:avLst/>
                    </a:prstGeom>
                    <a:noFill/>
                    <a:ln>
                      <a:noFill/>
                    </a:ln>
                  </pic:spPr>
                </pic:pic>
              </a:graphicData>
            </a:graphic>
          </wp:inline>
        </w:drawing>
      </w:r>
    </w:p>
    <w:p w:rsidR="00604C16" w:rsidRPr="005F039C" w:rsidRDefault="00604C16" w:rsidP="00604C16">
      <w:pPr>
        <w:pStyle w:val="ListParagraph"/>
        <w:ind w:left="360"/>
        <w:rPr>
          <w:sz w:val="20"/>
        </w:rPr>
      </w:pPr>
      <w:r w:rsidRPr="005F039C">
        <w:rPr>
          <w:sz w:val="20"/>
        </w:rPr>
        <w:t>Source: Submission Section C Figure 11 p 03</w:t>
      </w:r>
    </w:p>
    <w:p w:rsidR="00604C16" w:rsidRPr="005F039C" w:rsidRDefault="00604C16" w:rsidP="005A0024"/>
    <w:p w:rsidR="00F20888" w:rsidRPr="005F039C" w:rsidRDefault="00F20888" w:rsidP="00F20888">
      <w:pPr>
        <w:widowControl/>
        <w:ind w:left="709"/>
        <w:contextualSpacing/>
        <w:rPr>
          <w:rFonts w:cs="Times New Roman"/>
          <w:i/>
          <w:snapToGrid/>
          <w:szCs w:val="22"/>
          <w:lang w:eastAsia="en-AU"/>
        </w:rPr>
      </w:pPr>
      <w:r w:rsidRPr="005F039C">
        <w:rPr>
          <w:rFonts w:cs="Times New Roman"/>
          <w:i/>
          <w:snapToGrid/>
          <w:szCs w:val="22"/>
          <w:lang w:eastAsia="en-AU"/>
        </w:rPr>
        <w:t>For more detail on PBAC’s view, see section 7 “PBAC outcome”</w:t>
      </w:r>
    </w:p>
    <w:p w:rsidR="00604C16" w:rsidRPr="005F039C" w:rsidRDefault="00604C16" w:rsidP="00607D0A"/>
    <w:p w:rsidR="00F20888" w:rsidRPr="005F039C" w:rsidRDefault="00F20888" w:rsidP="00607D0A"/>
    <w:p w:rsidR="00607D0A" w:rsidRPr="005F039C" w:rsidRDefault="00607D0A" w:rsidP="00607D0A">
      <w:pPr>
        <w:pStyle w:val="PBACheading1"/>
        <w:rPr>
          <w:b/>
        </w:rPr>
      </w:pPr>
      <w:bookmarkStart w:id="6" w:name="_Toc398652402"/>
      <w:r w:rsidRPr="005F039C">
        <w:rPr>
          <w:b/>
        </w:rPr>
        <w:t>Clinical place for the proposed therapy</w:t>
      </w:r>
      <w:bookmarkEnd w:id="6"/>
    </w:p>
    <w:p w:rsidR="00607D0A" w:rsidRPr="005F039C" w:rsidRDefault="00607D0A" w:rsidP="00607D0A">
      <w:pPr>
        <w:rPr>
          <w:szCs w:val="22"/>
        </w:rPr>
      </w:pPr>
    </w:p>
    <w:p w:rsidR="00607D0A" w:rsidRPr="005F039C" w:rsidRDefault="00607D0A" w:rsidP="00745891">
      <w:pPr>
        <w:pStyle w:val="ListParagraph"/>
        <w:widowControl/>
        <w:numPr>
          <w:ilvl w:val="1"/>
          <w:numId w:val="2"/>
        </w:numPr>
        <w:rPr>
          <w:szCs w:val="22"/>
        </w:rPr>
      </w:pPr>
      <w:r w:rsidRPr="005F039C">
        <w:t>Central retinal vein occlusion is a blockage of the vessel which drains blood out of the retina, the light-sensitive tissue at the back of the eye.  The blockage results in increased pressure within the blood vessel causing blood and fluid to leak from the blood vessels into the retinal potentia</w:t>
      </w:r>
      <w:r w:rsidR="0013385B" w:rsidRPr="005F039C">
        <w:t>lly leading to macular oedema.</w:t>
      </w:r>
    </w:p>
    <w:p w:rsidR="00607D0A" w:rsidRPr="005F039C" w:rsidRDefault="00607D0A" w:rsidP="00607D0A">
      <w:pPr>
        <w:widowControl/>
        <w:rPr>
          <w:szCs w:val="22"/>
        </w:rPr>
      </w:pPr>
    </w:p>
    <w:p w:rsidR="00607D0A" w:rsidRPr="005F039C" w:rsidRDefault="00607D0A" w:rsidP="00745891">
      <w:pPr>
        <w:pStyle w:val="ListParagraph"/>
        <w:widowControl/>
        <w:numPr>
          <w:ilvl w:val="1"/>
          <w:numId w:val="2"/>
        </w:numPr>
        <w:rPr>
          <w:szCs w:val="22"/>
        </w:rPr>
      </w:pPr>
      <w:r w:rsidRPr="005F039C">
        <w:rPr>
          <w:szCs w:val="22"/>
        </w:rPr>
        <w:t>Aflibercept will likely replace ranibizumab and off-label intravitreal bevacizumab.</w:t>
      </w:r>
    </w:p>
    <w:p w:rsidR="00607D0A" w:rsidRPr="005F039C" w:rsidRDefault="00607D0A" w:rsidP="00607D0A">
      <w:pPr>
        <w:pStyle w:val="ListParagraph"/>
        <w:ind w:left="0"/>
        <w:rPr>
          <w:szCs w:val="22"/>
        </w:rPr>
      </w:pPr>
    </w:p>
    <w:p w:rsidR="00F20888" w:rsidRPr="005F039C" w:rsidRDefault="00F20888" w:rsidP="00F20888">
      <w:pPr>
        <w:pStyle w:val="ListParagraph"/>
        <w:ind w:left="709"/>
        <w:rPr>
          <w:i/>
          <w:szCs w:val="22"/>
        </w:rPr>
      </w:pPr>
      <w:r w:rsidRPr="005F039C">
        <w:rPr>
          <w:i/>
          <w:szCs w:val="22"/>
        </w:rPr>
        <w:t>For more detail on PBAC’s view, see section 7 “PBAC outcome”</w:t>
      </w:r>
    </w:p>
    <w:p w:rsidR="005A0024" w:rsidRPr="005F039C" w:rsidRDefault="005A0024" w:rsidP="00607D0A">
      <w:pPr>
        <w:pStyle w:val="ListParagraph"/>
        <w:ind w:left="0"/>
        <w:rPr>
          <w:szCs w:val="22"/>
        </w:rPr>
      </w:pPr>
    </w:p>
    <w:p w:rsidR="00F20888" w:rsidRPr="005F039C" w:rsidRDefault="00F20888" w:rsidP="00607D0A">
      <w:pPr>
        <w:pStyle w:val="ListParagraph"/>
        <w:ind w:left="0"/>
        <w:rPr>
          <w:szCs w:val="22"/>
        </w:rPr>
      </w:pPr>
    </w:p>
    <w:p w:rsidR="00607D0A" w:rsidRPr="005F039C" w:rsidRDefault="00607D0A" w:rsidP="00607D0A">
      <w:pPr>
        <w:pStyle w:val="PBACheading1"/>
        <w:rPr>
          <w:b/>
        </w:rPr>
      </w:pPr>
      <w:bookmarkStart w:id="7" w:name="_Toc398652403"/>
      <w:r w:rsidRPr="005F039C">
        <w:rPr>
          <w:b/>
        </w:rPr>
        <w:t>Comparator</w:t>
      </w:r>
      <w:bookmarkEnd w:id="7"/>
    </w:p>
    <w:p w:rsidR="00607D0A" w:rsidRPr="005F039C" w:rsidRDefault="00607D0A" w:rsidP="00607D0A"/>
    <w:p w:rsidR="00607D0A" w:rsidRPr="005F039C" w:rsidRDefault="00607D0A" w:rsidP="00745891">
      <w:pPr>
        <w:pStyle w:val="ListParagraph"/>
        <w:widowControl/>
        <w:numPr>
          <w:ilvl w:val="1"/>
          <w:numId w:val="2"/>
        </w:numPr>
        <w:rPr>
          <w:szCs w:val="22"/>
        </w:rPr>
      </w:pPr>
      <w:r w:rsidRPr="005F039C">
        <w:t xml:space="preserve">As in the March 2014 </w:t>
      </w:r>
      <w:r w:rsidR="00525231" w:rsidRPr="005F039C">
        <w:t>resubmission</w:t>
      </w:r>
      <w:r w:rsidRPr="005F039C">
        <w:t xml:space="preserve">, the current </w:t>
      </w:r>
      <w:r w:rsidR="00525231" w:rsidRPr="005F039C">
        <w:t>resubmission</w:t>
      </w:r>
      <w:r w:rsidRPr="005F039C">
        <w:t xml:space="preserve"> nominate</w:t>
      </w:r>
      <w:r w:rsidR="0013385B" w:rsidRPr="005F039C">
        <w:t>d</w:t>
      </w:r>
      <w:r w:rsidRPr="005F039C">
        <w:t xml:space="preserve"> best supportive care as the comparator, and ranibizumab as a secondary comparator.</w:t>
      </w:r>
      <w:r w:rsidR="005237D3" w:rsidRPr="005F039C">
        <w:t xml:space="preserve">  Given that ranibizumab has received a positive recommendation from the PBAC (July 2014) for the treatment of CRVO, </w:t>
      </w:r>
      <w:r w:rsidR="0013385B" w:rsidRPr="005F039C">
        <w:t xml:space="preserve">the ESC considered </w:t>
      </w:r>
      <w:r w:rsidR="005237D3" w:rsidRPr="005F039C">
        <w:t xml:space="preserve">that the most relevant comparison is </w:t>
      </w:r>
      <w:r w:rsidR="00E305B2" w:rsidRPr="005F039C">
        <w:t xml:space="preserve">between </w:t>
      </w:r>
      <w:r w:rsidR="005237D3" w:rsidRPr="005F039C">
        <w:t>aflibercept and ranibizumab.</w:t>
      </w:r>
    </w:p>
    <w:p w:rsidR="00607D0A" w:rsidRPr="005F039C" w:rsidRDefault="00607D0A" w:rsidP="00607D0A">
      <w:pPr>
        <w:widowControl/>
        <w:rPr>
          <w:szCs w:val="22"/>
        </w:rPr>
      </w:pPr>
    </w:p>
    <w:p w:rsidR="00607D0A" w:rsidRPr="005F039C" w:rsidRDefault="00BB64C7" w:rsidP="00745891">
      <w:pPr>
        <w:pStyle w:val="ListParagraph"/>
        <w:widowControl/>
        <w:numPr>
          <w:ilvl w:val="1"/>
          <w:numId w:val="2"/>
        </w:numPr>
        <w:rPr>
          <w:szCs w:val="22"/>
        </w:rPr>
      </w:pPr>
      <w:r w:rsidRPr="005F039C">
        <w:t>The sponsor d</w:t>
      </w:r>
      <w:r w:rsidR="000D703C" w:rsidRPr="005F039C">
        <w:t>id</w:t>
      </w:r>
      <w:r w:rsidRPr="005F039C">
        <w:t xml:space="preserve"> not accept bevacizumab as a clinical comparator for aflibercept in CRVO, but a</w:t>
      </w:r>
      <w:r w:rsidR="00A03A53" w:rsidRPr="005F039C">
        <w:t>n</w:t>
      </w:r>
      <w:r w:rsidRPr="005F039C">
        <w:t xml:space="preserve"> economic comparison </w:t>
      </w:r>
      <w:r w:rsidR="0013385B" w:rsidRPr="005F039C">
        <w:t>wa</w:t>
      </w:r>
      <w:r w:rsidRPr="005F039C">
        <w:t xml:space="preserve">s presented in the submission.  No formal clinical claim </w:t>
      </w:r>
      <w:r w:rsidR="0013385B" w:rsidRPr="005F039C">
        <w:t>wa</w:t>
      </w:r>
      <w:r w:rsidRPr="005F039C">
        <w:t xml:space="preserve">s made to support the </w:t>
      </w:r>
      <w:r w:rsidR="002B311C" w:rsidRPr="005F039C">
        <w:t>cost minimisation analysis</w:t>
      </w:r>
      <w:r w:rsidR="005A0024" w:rsidRPr="005F039C">
        <w:t>.</w:t>
      </w:r>
    </w:p>
    <w:p w:rsidR="00607D0A" w:rsidRPr="005F039C" w:rsidRDefault="00607D0A" w:rsidP="00607D0A"/>
    <w:p w:rsidR="00F20888" w:rsidRPr="005F039C" w:rsidRDefault="00F20888" w:rsidP="00F20888">
      <w:pPr>
        <w:pStyle w:val="ListParagraph"/>
        <w:ind w:left="709"/>
        <w:rPr>
          <w:i/>
          <w:szCs w:val="22"/>
        </w:rPr>
      </w:pPr>
      <w:r w:rsidRPr="005F039C">
        <w:rPr>
          <w:i/>
          <w:szCs w:val="22"/>
        </w:rPr>
        <w:t>For more detail on PBAC’s view, see section 7 “PBAC outcome”</w:t>
      </w:r>
    </w:p>
    <w:p w:rsidR="005A0024" w:rsidRPr="005F039C" w:rsidRDefault="005A0024" w:rsidP="00607D0A"/>
    <w:p w:rsidR="00F20888" w:rsidRPr="005F039C" w:rsidRDefault="00F20888" w:rsidP="00607D0A"/>
    <w:p w:rsidR="00607D0A" w:rsidRPr="005F039C" w:rsidRDefault="00607D0A" w:rsidP="00607D0A">
      <w:pPr>
        <w:pStyle w:val="PBACheading1"/>
        <w:rPr>
          <w:b/>
        </w:rPr>
      </w:pPr>
      <w:bookmarkStart w:id="8" w:name="_Toc398652404"/>
      <w:r w:rsidRPr="005F039C">
        <w:rPr>
          <w:b/>
        </w:rPr>
        <w:t>Consideration of the evidence</w:t>
      </w:r>
      <w:bookmarkEnd w:id="8"/>
    </w:p>
    <w:p w:rsidR="00607D0A" w:rsidRPr="005F039C" w:rsidRDefault="00607D0A" w:rsidP="00607D0A">
      <w:pPr>
        <w:widowControl/>
        <w:rPr>
          <w:szCs w:val="22"/>
        </w:rPr>
      </w:pPr>
    </w:p>
    <w:p w:rsidR="00F20888" w:rsidRPr="00B3341B" w:rsidRDefault="00F20888" w:rsidP="00B3341B">
      <w:pPr>
        <w:rPr>
          <w:b/>
        </w:rPr>
      </w:pPr>
      <w:bookmarkStart w:id="9" w:name="_Toc398652405"/>
      <w:r w:rsidRPr="00B3341B">
        <w:rPr>
          <w:b/>
        </w:rPr>
        <w:t>Sponsor hearing</w:t>
      </w:r>
    </w:p>
    <w:p w:rsidR="00F20888" w:rsidRPr="005F039C" w:rsidRDefault="00F20888" w:rsidP="00F20888"/>
    <w:p w:rsidR="00F20888" w:rsidRPr="005F039C" w:rsidRDefault="00F20888" w:rsidP="00745891">
      <w:pPr>
        <w:pStyle w:val="ListParagraph"/>
        <w:widowControl/>
        <w:numPr>
          <w:ilvl w:val="1"/>
          <w:numId w:val="2"/>
        </w:numPr>
      </w:pPr>
      <w:r w:rsidRPr="005F039C">
        <w:t>There was no hearing for this item.</w:t>
      </w:r>
    </w:p>
    <w:p w:rsidR="00F20888" w:rsidRPr="005F039C" w:rsidRDefault="00F20888" w:rsidP="00F20888"/>
    <w:p w:rsidR="00F20888" w:rsidRPr="00B3341B" w:rsidRDefault="00F20888" w:rsidP="00F20888">
      <w:pPr>
        <w:rPr>
          <w:b/>
        </w:rPr>
      </w:pPr>
      <w:r w:rsidRPr="00B3341B">
        <w:rPr>
          <w:b/>
        </w:rPr>
        <w:t>Consumer comments</w:t>
      </w:r>
    </w:p>
    <w:p w:rsidR="00F20888" w:rsidRPr="005F039C" w:rsidRDefault="00F20888" w:rsidP="00B3341B">
      <w:pPr>
        <w:pStyle w:val="BodyText"/>
      </w:pPr>
    </w:p>
    <w:p w:rsidR="000D703C" w:rsidRPr="005F039C" w:rsidRDefault="00F20888" w:rsidP="00745891">
      <w:pPr>
        <w:pStyle w:val="ListParagraph"/>
        <w:widowControl/>
        <w:numPr>
          <w:ilvl w:val="1"/>
          <w:numId w:val="2"/>
        </w:numPr>
      </w:pPr>
      <w:r w:rsidRPr="005F039C">
        <w:t>The PBAC noted</w:t>
      </w:r>
      <w:r w:rsidR="000D703C" w:rsidRPr="005F039C">
        <w:t xml:space="preserve"> and welcomed</w:t>
      </w:r>
      <w:r w:rsidR="00781C87" w:rsidRPr="005F039C">
        <w:t xml:space="preserve"> the input from organisations (2</w:t>
      </w:r>
      <w:r w:rsidR="000D703C" w:rsidRPr="005F039C">
        <w:t>) via the Consumer Comments facility on the PBS website.  The comments described a range of benefits of treatment with aflibercept, including the following:</w:t>
      </w:r>
    </w:p>
    <w:p w:rsidR="00790CD7" w:rsidRPr="005F039C" w:rsidRDefault="00717A77" w:rsidP="00745891">
      <w:pPr>
        <w:pStyle w:val="PBACheading1"/>
        <w:numPr>
          <w:ilvl w:val="0"/>
          <w:numId w:val="8"/>
        </w:numPr>
        <w:ind w:left="993" w:hanging="284"/>
        <w:rPr>
          <w:snapToGrid/>
          <w:lang w:eastAsia="en-AU"/>
        </w:rPr>
      </w:pPr>
      <w:r w:rsidRPr="005F039C">
        <w:rPr>
          <w:snapToGrid/>
          <w:lang w:eastAsia="en-AU"/>
        </w:rPr>
        <w:t>reducing out-of-pocket costs which can be  barrier to people commencing or maintaining ongoing treatment;</w:t>
      </w:r>
    </w:p>
    <w:p w:rsidR="00790CD7" w:rsidRPr="005F039C" w:rsidRDefault="00790CD7" w:rsidP="00745891">
      <w:pPr>
        <w:pStyle w:val="PBACheading1"/>
        <w:numPr>
          <w:ilvl w:val="0"/>
          <w:numId w:val="8"/>
        </w:numPr>
        <w:ind w:left="993" w:hanging="284"/>
        <w:rPr>
          <w:snapToGrid/>
          <w:lang w:eastAsia="en-AU"/>
        </w:rPr>
      </w:pPr>
      <w:r w:rsidRPr="005F039C">
        <w:rPr>
          <w:snapToGrid/>
          <w:lang w:eastAsia="en-AU"/>
        </w:rPr>
        <w:t>expands the range of treatment options for patients and clinicians; and</w:t>
      </w:r>
    </w:p>
    <w:p w:rsidR="00790CD7" w:rsidRPr="005F039C" w:rsidRDefault="00790CD7" w:rsidP="00745891">
      <w:pPr>
        <w:pStyle w:val="PBACheading1"/>
        <w:numPr>
          <w:ilvl w:val="0"/>
          <w:numId w:val="8"/>
        </w:numPr>
        <w:ind w:left="993" w:hanging="284"/>
        <w:rPr>
          <w:snapToGrid/>
          <w:lang w:eastAsia="en-AU"/>
        </w:rPr>
      </w:pPr>
      <w:r w:rsidRPr="005F039C">
        <w:rPr>
          <w:snapToGrid/>
          <w:lang w:eastAsia="en-AU"/>
        </w:rPr>
        <w:t xml:space="preserve">timely treatment with VEGF </w:t>
      </w:r>
      <w:r w:rsidR="00CD2706" w:rsidRPr="005F039C">
        <w:rPr>
          <w:snapToGrid/>
          <w:lang w:eastAsia="en-AU"/>
        </w:rPr>
        <w:t xml:space="preserve">inhibitors </w:t>
      </w:r>
      <w:r w:rsidRPr="005F039C">
        <w:rPr>
          <w:snapToGrid/>
          <w:lang w:eastAsia="en-AU"/>
        </w:rPr>
        <w:t>will be important in maximising patient’s participation in the economy, and minimising their demand for other services.</w:t>
      </w:r>
    </w:p>
    <w:p w:rsidR="00F20888" w:rsidRPr="005F039C" w:rsidRDefault="00F20888" w:rsidP="0013385B"/>
    <w:p w:rsidR="00607D0A" w:rsidRPr="00B3341B" w:rsidRDefault="00607D0A" w:rsidP="00B3341B">
      <w:pPr>
        <w:rPr>
          <w:b/>
        </w:rPr>
      </w:pPr>
      <w:r w:rsidRPr="00B3341B">
        <w:rPr>
          <w:b/>
        </w:rPr>
        <w:t>Clinical trials</w:t>
      </w:r>
      <w:bookmarkEnd w:id="9"/>
    </w:p>
    <w:p w:rsidR="00607D0A" w:rsidRPr="005F039C" w:rsidRDefault="00607D0A" w:rsidP="00607D0A">
      <w:pPr>
        <w:rPr>
          <w:szCs w:val="22"/>
        </w:rPr>
      </w:pPr>
    </w:p>
    <w:p w:rsidR="00607D0A" w:rsidRPr="005F039C" w:rsidRDefault="00607D0A" w:rsidP="00745891">
      <w:pPr>
        <w:pStyle w:val="ListParagraph"/>
        <w:widowControl/>
        <w:numPr>
          <w:ilvl w:val="1"/>
          <w:numId w:val="2"/>
        </w:numPr>
        <w:rPr>
          <w:szCs w:val="22"/>
        </w:rPr>
      </w:pPr>
      <w:r w:rsidRPr="005F039C">
        <w:t xml:space="preserve">The </w:t>
      </w:r>
      <w:r w:rsidR="00525231" w:rsidRPr="005F039C">
        <w:t>resubmission</w:t>
      </w:r>
      <w:r w:rsidRPr="005F039C">
        <w:t xml:space="preserve"> </w:t>
      </w:r>
      <w:r w:rsidR="0013385B" w:rsidRPr="005F039C">
        <w:t>wa</w:t>
      </w:r>
      <w:r w:rsidRPr="005F039C">
        <w:t xml:space="preserve">s based on the same two trials (GALILEO and COPERNICUS) presented in the July 2013 and March 2014 </w:t>
      </w:r>
      <w:r w:rsidR="00525231" w:rsidRPr="005F039C">
        <w:t>resubmission</w:t>
      </w:r>
      <w:r w:rsidRPr="005F039C">
        <w:t>s, comparing aflibercept to sham injection.</w:t>
      </w:r>
    </w:p>
    <w:p w:rsidR="00607D0A" w:rsidRPr="005F039C" w:rsidRDefault="00607D0A" w:rsidP="00607D0A">
      <w:pPr>
        <w:widowControl/>
        <w:rPr>
          <w:szCs w:val="22"/>
        </w:rPr>
      </w:pPr>
    </w:p>
    <w:p w:rsidR="00607D0A" w:rsidRPr="005F039C" w:rsidRDefault="00607D0A" w:rsidP="00745891">
      <w:pPr>
        <w:pStyle w:val="ListParagraph"/>
        <w:widowControl/>
        <w:numPr>
          <w:ilvl w:val="1"/>
          <w:numId w:val="2"/>
        </w:numPr>
        <w:rPr>
          <w:szCs w:val="22"/>
        </w:rPr>
      </w:pPr>
      <w:r w:rsidRPr="005F039C">
        <w:rPr>
          <w:szCs w:val="22"/>
        </w:rPr>
        <w:t xml:space="preserve">Details of the trials presented in the </w:t>
      </w:r>
      <w:r w:rsidR="00525231" w:rsidRPr="005F039C">
        <w:rPr>
          <w:szCs w:val="22"/>
        </w:rPr>
        <w:t>resubmission</w:t>
      </w:r>
      <w:r w:rsidRPr="005F039C">
        <w:rPr>
          <w:szCs w:val="22"/>
        </w:rPr>
        <w:t xml:space="preserve"> are provided in the </w:t>
      </w:r>
      <w:r w:rsidR="005A0024" w:rsidRPr="005F039C">
        <w:rPr>
          <w:szCs w:val="22"/>
        </w:rPr>
        <w:t>table below.</w:t>
      </w:r>
    </w:p>
    <w:p w:rsidR="00607D0A" w:rsidRPr="005F039C" w:rsidRDefault="00607D0A" w:rsidP="00607D0A">
      <w:pPr>
        <w:rPr>
          <w:szCs w:val="22"/>
        </w:rPr>
      </w:pPr>
    </w:p>
    <w:p w:rsidR="00A61167" w:rsidRDefault="00A61167">
      <w:pPr>
        <w:widowControl/>
        <w:jc w:val="left"/>
        <w:rPr>
          <w:rStyle w:val="CommentReference"/>
        </w:rPr>
      </w:pPr>
    </w:p>
    <w:p w:rsidR="00607D0A" w:rsidRPr="005F039C" w:rsidRDefault="00607D0A" w:rsidP="0037798F">
      <w:pPr>
        <w:ind w:firstLine="720"/>
      </w:pPr>
      <w:r w:rsidRPr="005F039C">
        <w:rPr>
          <w:rStyle w:val="CommentReference"/>
        </w:rPr>
        <w:t xml:space="preserve">Trials and associated reports presented in the </w:t>
      </w:r>
      <w:r w:rsidR="00525231" w:rsidRPr="005F039C">
        <w:rPr>
          <w:rStyle w:val="CommentReference"/>
        </w:rPr>
        <w:t>resubmission</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4194"/>
        <w:gridCol w:w="2498"/>
      </w:tblGrid>
      <w:tr w:rsidR="00607D0A" w:rsidRPr="005F039C">
        <w:trPr>
          <w:tblHeader/>
        </w:trPr>
        <w:tc>
          <w:tcPr>
            <w:tcW w:w="1671" w:type="dxa"/>
            <w:tcBorders>
              <w:top w:val="single" w:sz="4" w:space="0" w:color="auto"/>
              <w:left w:val="single" w:sz="4" w:space="0" w:color="auto"/>
              <w:bottom w:val="single" w:sz="4" w:space="0" w:color="auto"/>
              <w:right w:val="single" w:sz="4" w:space="0" w:color="auto"/>
            </w:tcBorders>
          </w:tcPr>
          <w:p w:rsidR="0037798F" w:rsidRPr="005F039C" w:rsidRDefault="00607D0A" w:rsidP="00607D0A">
            <w:pPr>
              <w:rPr>
                <w:rFonts w:ascii="Arial Narrow" w:eastAsia="SimSun" w:hAnsi="Arial Narrow"/>
                <w:b/>
                <w:sz w:val="20"/>
              </w:rPr>
            </w:pPr>
            <w:r w:rsidRPr="005F039C">
              <w:rPr>
                <w:rFonts w:ascii="Arial Narrow" w:eastAsia="SimSun" w:hAnsi="Arial Narrow"/>
                <w:b/>
                <w:sz w:val="20"/>
              </w:rPr>
              <w:t xml:space="preserve">Trial ID/ </w:t>
            </w:r>
          </w:p>
          <w:p w:rsidR="00607D0A" w:rsidRPr="005F039C" w:rsidRDefault="00607D0A" w:rsidP="00607D0A">
            <w:pPr>
              <w:rPr>
                <w:rFonts w:ascii="Arial Narrow" w:eastAsia="SimSun" w:hAnsi="Arial Narrow" w:cs="Times New Roman"/>
                <w:b/>
                <w:sz w:val="20"/>
              </w:rPr>
            </w:pPr>
            <w:r w:rsidRPr="005F039C">
              <w:rPr>
                <w:rFonts w:ascii="Arial Narrow" w:eastAsia="SimSun" w:hAnsi="Arial Narrow"/>
                <w:b/>
                <w:sz w:val="20"/>
              </w:rPr>
              <w:t>first author</w:t>
            </w:r>
          </w:p>
        </w:tc>
        <w:tc>
          <w:tcPr>
            <w:tcW w:w="4194" w:type="dxa"/>
            <w:tcBorders>
              <w:top w:val="single" w:sz="4" w:space="0" w:color="auto"/>
              <w:left w:val="single" w:sz="4" w:space="0" w:color="auto"/>
              <w:bottom w:val="single" w:sz="4" w:space="0" w:color="auto"/>
              <w:right w:val="single" w:sz="4" w:space="0" w:color="auto"/>
            </w:tcBorders>
          </w:tcPr>
          <w:p w:rsidR="00607D0A" w:rsidRPr="005F039C" w:rsidRDefault="00607D0A" w:rsidP="00607D0A">
            <w:pPr>
              <w:jc w:val="center"/>
              <w:rPr>
                <w:rFonts w:ascii="Arial Narrow" w:eastAsia="SimSun" w:hAnsi="Arial Narrow"/>
                <w:b/>
                <w:sz w:val="20"/>
              </w:rPr>
            </w:pPr>
            <w:r w:rsidRPr="005F039C">
              <w:rPr>
                <w:rFonts w:ascii="Arial Narrow" w:eastAsia="SimSun" w:hAnsi="Arial Narrow"/>
                <w:b/>
                <w:sz w:val="20"/>
              </w:rPr>
              <w:t>Protocol title/</w:t>
            </w:r>
            <w:r w:rsidRPr="005F039C">
              <w:rPr>
                <w:rFonts w:ascii="Arial Narrow" w:hAnsi="Arial Narrow"/>
              </w:rPr>
              <w:t xml:space="preserve"> </w:t>
            </w:r>
            <w:r w:rsidRPr="005F039C">
              <w:rPr>
                <w:rFonts w:ascii="Arial Narrow" w:eastAsia="SimSun" w:hAnsi="Arial Narrow"/>
                <w:b/>
                <w:sz w:val="20"/>
              </w:rPr>
              <w:t>publication title</w:t>
            </w:r>
          </w:p>
        </w:tc>
        <w:tc>
          <w:tcPr>
            <w:tcW w:w="2498" w:type="dxa"/>
            <w:tcBorders>
              <w:top w:val="single" w:sz="4" w:space="0" w:color="auto"/>
              <w:left w:val="single" w:sz="4" w:space="0" w:color="auto"/>
              <w:bottom w:val="single" w:sz="4" w:space="0" w:color="auto"/>
              <w:right w:val="single" w:sz="4" w:space="0" w:color="auto"/>
            </w:tcBorders>
          </w:tcPr>
          <w:p w:rsidR="00607D0A" w:rsidRPr="005F039C" w:rsidRDefault="00607D0A" w:rsidP="005237D3">
            <w:pPr>
              <w:jc w:val="center"/>
              <w:rPr>
                <w:rFonts w:ascii="Arial Narrow" w:eastAsia="SimSun" w:hAnsi="Arial Narrow"/>
                <w:b/>
                <w:sz w:val="20"/>
              </w:rPr>
            </w:pPr>
            <w:r w:rsidRPr="005F039C">
              <w:rPr>
                <w:rFonts w:ascii="Arial Narrow" w:eastAsia="SimSun" w:hAnsi="Arial Narrow"/>
                <w:b/>
                <w:sz w:val="20"/>
              </w:rPr>
              <w:t>Publication citation</w:t>
            </w:r>
          </w:p>
        </w:tc>
      </w:tr>
      <w:tr w:rsidR="00790CD7" w:rsidRPr="005F039C">
        <w:trPr>
          <w:trHeight w:val="1420"/>
        </w:trPr>
        <w:tc>
          <w:tcPr>
            <w:tcW w:w="1671" w:type="dxa"/>
            <w:tcBorders>
              <w:top w:val="single" w:sz="4" w:space="0" w:color="auto"/>
              <w:left w:val="single" w:sz="4" w:space="0" w:color="auto"/>
              <w:bottom w:val="nil"/>
              <w:right w:val="single" w:sz="4" w:space="0" w:color="auto"/>
            </w:tcBorders>
          </w:tcPr>
          <w:p w:rsidR="00790CD7" w:rsidRPr="005F039C" w:rsidRDefault="00790CD7" w:rsidP="00607D0A">
            <w:pPr>
              <w:rPr>
                <w:rFonts w:ascii="Arial Narrow" w:eastAsia="SimSun" w:hAnsi="Arial Narrow"/>
                <w:sz w:val="20"/>
              </w:rPr>
            </w:pPr>
            <w:r w:rsidRPr="005F039C">
              <w:rPr>
                <w:rFonts w:ascii="Arial Narrow" w:eastAsia="SimSun" w:hAnsi="Arial Narrow"/>
                <w:sz w:val="20"/>
              </w:rPr>
              <w:lastRenderedPageBreak/>
              <w:t>COPERNICUS</w:t>
            </w:r>
          </w:p>
        </w:tc>
        <w:tc>
          <w:tcPr>
            <w:tcW w:w="4194" w:type="dxa"/>
            <w:tcBorders>
              <w:top w:val="single" w:sz="4" w:space="0" w:color="auto"/>
              <w:left w:val="single" w:sz="4" w:space="0" w:color="auto"/>
              <w:bottom w:val="nil"/>
              <w:right w:val="single" w:sz="4" w:space="0" w:color="auto"/>
            </w:tcBorders>
            <w:shd w:val="clear" w:color="auto" w:fill="auto"/>
          </w:tcPr>
          <w:p w:rsidR="00790CD7" w:rsidRPr="005F039C" w:rsidRDefault="00790CD7" w:rsidP="00584917">
            <w:pPr>
              <w:rPr>
                <w:rFonts w:ascii="Arial Narrow" w:eastAsia="SimSun" w:hAnsi="Arial Narrow"/>
                <w:sz w:val="20"/>
              </w:rPr>
            </w:pPr>
            <w:r w:rsidRPr="005F039C">
              <w:rPr>
                <w:rFonts w:ascii="Arial Narrow" w:eastAsia="SimSun" w:hAnsi="Arial Narrow"/>
                <w:sz w:val="20"/>
              </w:rPr>
              <w:t>•A Randomized, Double Masked, Controlled Phase 3 Study of the Efficacy, Safety, and Tolerability of Repeated Intravitreal Administration of VEGF Trap-Eye in Subjects with Macular Edema Secondary to Central Retinal Vein Occlusion (CRVO) (COPERNICUS) 24 Week data. 06 June 2011, Regeneron Pharmaceuticals, Inc.</w:t>
            </w:r>
          </w:p>
          <w:p w:rsidR="00790CD7" w:rsidRPr="005F039C" w:rsidRDefault="00790CD7" w:rsidP="00607D0A">
            <w:pPr>
              <w:rPr>
                <w:rFonts w:ascii="Arial Narrow" w:eastAsia="SimSun" w:hAnsi="Arial Narrow"/>
                <w:sz w:val="20"/>
              </w:rPr>
            </w:pPr>
          </w:p>
        </w:tc>
        <w:tc>
          <w:tcPr>
            <w:tcW w:w="2498" w:type="dxa"/>
            <w:tcBorders>
              <w:top w:val="single" w:sz="4" w:space="0" w:color="auto"/>
              <w:left w:val="single" w:sz="4" w:space="0" w:color="auto"/>
              <w:bottom w:val="nil"/>
              <w:right w:val="single" w:sz="4" w:space="0" w:color="auto"/>
            </w:tcBorders>
            <w:shd w:val="clear" w:color="auto" w:fill="auto"/>
          </w:tcPr>
          <w:p w:rsidR="00790CD7" w:rsidRPr="005F039C" w:rsidRDefault="00790CD7" w:rsidP="005237D3">
            <w:pPr>
              <w:jc w:val="left"/>
              <w:rPr>
                <w:rFonts w:ascii="Arial Narrow" w:eastAsia="SimSun" w:hAnsi="Arial Narrow"/>
                <w:sz w:val="20"/>
              </w:rPr>
            </w:pPr>
          </w:p>
          <w:p w:rsidR="00790CD7" w:rsidRPr="005F039C" w:rsidRDefault="00790CD7" w:rsidP="005237D3">
            <w:pPr>
              <w:jc w:val="left"/>
              <w:rPr>
                <w:rFonts w:ascii="Arial Narrow" w:eastAsia="SimSun" w:hAnsi="Arial Narrow"/>
                <w:sz w:val="20"/>
              </w:rPr>
            </w:pPr>
          </w:p>
          <w:p w:rsidR="00790CD7" w:rsidRPr="005F039C" w:rsidRDefault="00790CD7" w:rsidP="005237D3">
            <w:pPr>
              <w:jc w:val="left"/>
              <w:rPr>
                <w:rFonts w:ascii="Arial Narrow" w:eastAsia="SimSun" w:hAnsi="Arial Narrow"/>
                <w:sz w:val="20"/>
              </w:rPr>
            </w:pPr>
            <w:r w:rsidRPr="005F039C">
              <w:rPr>
                <w:rFonts w:ascii="Arial Narrow" w:eastAsia="SimSun" w:hAnsi="Arial Narrow"/>
                <w:sz w:val="20"/>
              </w:rPr>
              <w:t>Ophthalmology 2012; 119(5):1024-32. Epub March 21, 2012.</w:t>
            </w:r>
          </w:p>
          <w:p w:rsidR="00790CD7" w:rsidRPr="005F039C" w:rsidRDefault="00790CD7" w:rsidP="005237D3">
            <w:pPr>
              <w:jc w:val="left"/>
              <w:rPr>
                <w:rFonts w:ascii="Arial Narrow" w:eastAsia="SimSun" w:hAnsi="Arial Narrow"/>
                <w:sz w:val="20"/>
              </w:rPr>
            </w:pPr>
          </w:p>
          <w:p w:rsidR="00790CD7" w:rsidRPr="005F039C" w:rsidRDefault="00790CD7" w:rsidP="00E17006">
            <w:pPr>
              <w:jc w:val="left"/>
              <w:rPr>
                <w:rFonts w:ascii="Arial Narrow" w:eastAsia="SimSun" w:hAnsi="Arial Narrow"/>
                <w:sz w:val="20"/>
              </w:rPr>
            </w:pPr>
          </w:p>
        </w:tc>
      </w:tr>
      <w:tr w:rsidR="002911A5" w:rsidRPr="005F039C" w:rsidTr="002D749C">
        <w:trPr>
          <w:trHeight w:val="486"/>
        </w:trPr>
        <w:tc>
          <w:tcPr>
            <w:tcW w:w="1671" w:type="dxa"/>
            <w:tcBorders>
              <w:top w:val="nil"/>
              <w:left w:val="single" w:sz="4" w:space="0" w:color="auto"/>
              <w:bottom w:val="nil"/>
              <w:right w:val="single" w:sz="4" w:space="0" w:color="auto"/>
            </w:tcBorders>
          </w:tcPr>
          <w:p w:rsidR="002911A5" w:rsidRPr="005F039C" w:rsidRDefault="002911A5" w:rsidP="00607D0A">
            <w:pPr>
              <w:rPr>
                <w:rFonts w:ascii="Arial Narrow" w:eastAsia="SimSun" w:hAnsi="Arial Narrow"/>
                <w:sz w:val="20"/>
              </w:rPr>
            </w:pPr>
          </w:p>
        </w:tc>
        <w:tc>
          <w:tcPr>
            <w:tcW w:w="4194" w:type="dxa"/>
            <w:tcBorders>
              <w:top w:val="nil"/>
              <w:left w:val="single" w:sz="4" w:space="0" w:color="auto"/>
              <w:bottom w:val="nil"/>
              <w:right w:val="single" w:sz="4" w:space="0" w:color="auto"/>
            </w:tcBorders>
            <w:shd w:val="clear" w:color="auto" w:fill="auto"/>
          </w:tcPr>
          <w:p w:rsidR="002911A5" w:rsidRPr="005F039C" w:rsidRDefault="002911A5" w:rsidP="00584917">
            <w:pPr>
              <w:rPr>
                <w:rFonts w:ascii="Arial Narrow" w:eastAsia="SimSun" w:hAnsi="Arial Narrow"/>
                <w:sz w:val="20"/>
              </w:rPr>
            </w:pPr>
            <w:r w:rsidRPr="005F039C">
              <w:rPr>
                <w:rFonts w:ascii="Arial Narrow" w:eastAsia="SimSun" w:hAnsi="Arial Narrow"/>
                <w:sz w:val="20"/>
              </w:rPr>
              <w:t>•A Randomized, Double Masked, Controlled Phase 3 Study of the Efficacy, Safety, and Tolerability of Repeated Intravitreal Administration of VEGF Trap-Eye in Subjects with Macular Edema Secondary to Central Retinal Vein Occlusion (CRVO) (COPERNICUS) 52 Week data. 21st August 2012, Regeneron Pharmaceuticals, Inc.</w:t>
            </w:r>
          </w:p>
          <w:p w:rsidR="002911A5" w:rsidRPr="005F039C" w:rsidRDefault="002911A5" w:rsidP="00584917">
            <w:pPr>
              <w:rPr>
                <w:rFonts w:ascii="Arial Narrow" w:eastAsia="SimSun" w:hAnsi="Arial Narrow"/>
                <w:sz w:val="20"/>
              </w:rPr>
            </w:pPr>
          </w:p>
          <w:p w:rsidR="002911A5" w:rsidRPr="005F039C" w:rsidRDefault="002911A5" w:rsidP="00584917">
            <w:pPr>
              <w:rPr>
                <w:rFonts w:ascii="Arial Narrow" w:eastAsia="SimSun" w:hAnsi="Arial Narrow"/>
                <w:sz w:val="20"/>
              </w:rPr>
            </w:pPr>
          </w:p>
        </w:tc>
        <w:tc>
          <w:tcPr>
            <w:tcW w:w="2498" w:type="dxa"/>
            <w:vMerge w:val="restart"/>
            <w:tcBorders>
              <w:top w:val="nil"/>
              <w:left w:val="single" w:sz="4" w:space="0" w:color="auto"/>
              <w:bottom w:val="nil"/>
              <w:right w:val="single" w:sz="4" w:space="0" w:color="auto"/>
            </w:tcBorders>
            <w:shd w:val="clear" w:color="auto" w:fill="auto"/>
          </w:tcPr>
          <w:p w:rsidR="002911A5" w:rsidRPr="005F039C" w:rsidRDefault="002911A5" w:rsidP="00790CD7">
            <w:pPr>
              <w:jc w:val="left"/>
              <w:rPr>
                <w:rFonts w:ascii="Arial Narrow" w:eastAsia="SimSun" w:hAnsi="Arial Narrow"/>
                <w:sz w:val="20"/>
              </w:rPr>
            </w:pPr>
            <w:r w:rsidRPr="005F039C">
              <w:rPr>
                <w:rFonts w:ascii="Arial Narrow" w:eastAsia="SimSun" w:hAnsi="Arial Narrow"/>
                <w:sz w:val="20"/>
              </w:rPr>
              <w:t>American Journal of Ophthalmology 2012; article in press.</w:t>
            </w:r>
          </w:p>
          <w:p w:rsidR="002911A5" w:rsidRPr="005F039C" w:rsidRDefault="002911A5" w:rsidP="00790CD7">
            <w:pPr>
              <w:jc w:val="left"/>
              <w:rPr>
                <w:rFonts w:ascii="Arial Narrow" w:eastAsia="SimSun" w:hAnsi="Arial Narrow"/>
                <w:sz w:val="20"/>
              </w:rPr>
            </w:pPr>
          </w:p>
          <w:p w:rsidR="002911A5" w:rsidRPr="005F039C" w:rsidRDefault="002911A5" w:rsidP="00790CD7">
            <w:pPr>
              <w:jc w:val="left"/>
              <w:rPr>
                <w:rFonts w:ascii="Arial Narrow" w:eastAsia="SimSun" w:hAnsi="Arial Narrow"/>
                <w:sz w:val="20"/>
              </w:rPr>
            </w:pPr>
            <w:r w:rsidRPr="005F039C">
              <w:rPr>
                <w:rFonts w:ascii="Arial Narrow" w:eastAsia="SimSun" w:hAnsi="Arial Narrow"/>
                <w:sz w:val="20"/>
              </w:rPr>
              <w:t>Clinical and Experimental Ophthalmology 2012; 40(S1):44</w:t>
            </w:r>
          </w:p>
          <w:p w:rsidR="002911A5" w:rsidRPr="005F039C" w:rsidRDefault="002911A5" w:rsidP="005237D3">
            <w:pPr>
              <w:jc w:val="left"/>
              <w:rPr>
                <w:rFonts w:ascii="Arial Narrow" w:eastAsia="SimSun" w:hAnsi="Arial Narrow"/>
                <w:sz w:val="20"/>
              </w:rPr>
            </w:pPr>
          </w:p>
          <w:p w:rsidR="002911A5" w:rsidRPr="005F039C" w:rsidRDefault="002911A5" w:rsidP="005237D3">
            <w:pPr>
              <w:jc w:val="left"/>
              <w:rPr>
                <w:rFonts w:ascii="Arial Narrow" w:eastAsia="SimSun" w:hAnsi="Arial Narrow"/>
                <w:sz w:val="20"/>
              </w:rPr>
            </w:pPr>
            <w:r w:rsidRPr="005F039C">
              <w:rPr>
                <w:rFonts w:ascii="Arial Narrow" w:eastAsia="SimSun" w:hAnsi="Arial Narrow"/>
                <w:sz w:val="20"/>
              </w:rPr>
              <w:t>RANZCO 44th Annual Scientific Congress.</w:t>
            </w:r>
          </w:p>
        </w:tc>
      </w:tr>
      <w:tr w:rsidR="002911A5" w:rsidRPr="005F039C">
        <w:trPr>
          <w:trHeight w:val="1416"/>
        </w:trPr>
        <w:tc>
          <w:tcPr>
            <w:tcW w:w="1671" w:type="dxa"/>
            <w:tcBorders>
              <w:top w:val="nil"/>
              <w:left w:val="single" w:sz="4" w:space="0" w:color="auto"/>
              <w:bottom w:val="nil"/>
              <w:right w:val="single" w:sz="4" w:space="0" w:color="auto"/>
            </w:tcBorders>
          </w:tcPr>
          <w:p w:rsidR="002911A5" w:rsidRPr="005F039C" w:rsidRDefault="002911A5" w:rsidP="00607D0A">
            <w:pPr>
              <w:rPr>
                <w:rFonts w:ascii="Arial Narrow" w:eastAsia="SimSun" w:hAnsi="Arial Narrow"/>
                <w:sz w:val="20"/>
              </w:rPr>
            </w:pPr>
          </w:p>
        </w:tc>
        <w:tc>
          <w:tcPr>
            <w:tcW w:w="4194" w:type="dxa"/>
            <w:tcBorders>
              <w:top w:val="nil"/>
              <w:left w:val="single" w:sz="4" w:space="0" w:color="auto"/>
              <w:bottom w:val="nil"/>
              <w:right w:val="single" w:sz="4" w:space="0" w:color="auto"/>
            </w:tcBorders>
            <w:shd w:val="clear" w:color="auto" w:fill="auto"/>
          </w:tcPr>
          <w:p w:rsidR="002911A5" w:rsidRPr="005F039C" w:rsidRDefault="002911A5" w:rsidP="00790CD7">
            <w:pPr>
              <w:rPr>
                <w:rFonts w:ascii="Arial Narrow" w:eastAsia="SimSun" w:hAnsi="Arial Narrow"/>
                <w:sz w:val="20"/>
              </w:rPr>
            </w:pPr>
            <w:r w:rsidRPr="005F039C">
              <w:rPr>
                <w:rFonts w:ascii="Arial Narrow" w:eastAsia="SimSun" w:hAnsi="Arial Narrow"/>
                <w:sz w:val="20"/>
              </w:rPr>
              <w:t>•A Randomized, Double Masked, Controlled Phase 3 Study of the Efficacy, Safety, and Tolerability of Repeated Intravitreal Administration of VEGF Trap-Eye in Subjects with Macular Edema Secondary to Central Retinal Vein Occlusion (CRVO) (COPERNICUS) 100 Week data. 19 October 2012, Regeneron Pharmaceuticals, Inc.</w:t>
            </w:r>
          </w:p>
          <w:p w:rsidR="002911A5" w:rsidRPr="005F039C" w:rsidRDefault="002911A5" w:rsidP="00584917">
            <w:pPr>
              <w:rPr>
                <w:rFonts w:ascii="Arial Narrow" w:eastAsia="SimSun" w:hAnsi="Arial Narrow"/>
                <w:sz w:val="20"/>
              </w:rPr>
            </w:pPr>
          </w:p>
        </w:tc>
        <w:tc>
          <w:tcPr>
            <w:tcW w:w="2498" w:type="dxa"/>
            <w:vMerge/>
            <w:tcBorders>
              <w:left w:val="single" w:sz="4" w:space="0" w:color="auto"/>
              <w:bottom w:val="nil"/>
              <w:right w:val="single" w:sz="4" w:space="0" w:color="auto"/>
            </w:tcBorders>
            <w:shd w:val="clear" w:color="auto" w:fill="auto"/>
          </w:tcPr>
          <w:p w:rsidR="002911A5" w:rsidRPr="005F039C" w:rsidRDefault="002911A5" w:rsidP="005237D3">
            <w:pPr>
              <w:jc w:val="left"/>
              <w:rPr>
                <w:rFonts w:ascii="Arial Narrow" w:eastAsia="SimSun" w:hAnsi="Arial Narrow"/>
                <w:sz w:val="20"/>
              </w:rPr>
            </w:pPr>
          </w:p>
        </w:tc>
      </w:tr>
      <w:tr w:rsidR="00790CD7" w:rsidRPr="005F039C" w:rsidTr="002D749C">
        <w:trPr>
          <w:trHeight w:val="1169"/>
        </w:trPr>
        <w:tc>
          <w:tcPr>
            <w:tcW w:w="1671" w:type="dxa"/>
            <w:tcBorders>
              <w:top w:val="nil"/>
              <w:left w:val="single" w:sz="4" w:space="0" w:color="auto"/>
              <w:bottom w:val="nil"/>
              <w:right w:val="single" w:sz="4" w:space="0" w:color="auto"/>
            </w:tcBorders>
          </w:tcPr>
          <w:p w:rsidR="00790CD7" w:rsidRPr="005F039C" w:rsidRDefault="00790CD7" w:rsidP="00607D0A">
            <w:pPr>
              <w:rPr>
                <w:rFonts w:ascii="Arial Narrow" w:eastAsia="SimSun" w:hAnsi="Arial Narrow"/>
                <w:sz w:val="20"/>
              </w:rPr>
            </w:pPr>
          </w:p>
        </w:tc>
        <w:tc>
          <w:tcPr>
            <w:tcW w:w="4194" w:type="dxa"/>
            <w:tcBorders>
              <w:top w:val="nil"/>
              <w:left w:val="single" w:sz="4" w:space="0" w:color="auto"/>
              <w:bottom w:val="nil"/>
              <w:right w:val="single" w:sz="4" w:space="0" w:color="auto"/>
            </w:tcBorders>
            <w:shd w:val="clear" w:color="auto" w:fill="auto"/>
          </w:tcPr>
          <w:p w:rsidR="00790CD7" w:rsidRPr="005F039C" w:rsidRDefault="00790CD7" w:rsidP="00790CD7">
            <w:pPr>
              <w:rPr>
                <w:rFonts w:ascii="Arial Narrow" w:eastAsia="SimSun" w:hAnsi="Arial Narrow"/>
                <w:sz w:val="20"/>
              </w:rPr>
            </w:pPr>
            <w:r w:rsidRPr="005F039C">
              <w:rPr>
                <w:rFonts w:ascii="Arial Narrow" w:eastAsia="SimSun" w:hAnsi="Arial Narrow"/>
                <w:sz w:val="20"/>
              </w:rPr>
              <w:t>Boyer, D et al. Vascular endothelial growth factor Trap-Eye for macular edema secondary to central retinal vein occlusion: six-month results of the phase 3 COPERNICUS study.</w:t>
            </w:r>
          </w:p>
          <w:p w:rsidR="00790CD7" w:rsidRPr="005F039C" w:rsidRDefault="00790CD7" w:rsidP="00584917">
            <w:pPr>
              <w:rPr>
                <w:rFonts w:ascii="Arial Narrow" w:eastAsia="SimSun" w:hAnsi="Arial Narrow"/>
                <w:sz w:val="20"/>
              </w:rPr>
            </w:pPr>
          </w:p>
        </w:tc>
        <w:tc>
          <w:tcPr>
            <w:tcW w:w="2498" w:type="dxa"/>
            <w:tcBorders>
              <w:top w:val="nil"/>
              <w:left w:val="single" w:sz="4" w:space="0" w:color="auto"/>
              <w:bottom w:val="nil"/>
              <w:right w:val="single" w:sz="4" w:space="0" w:color="auto"/>
            </w:tcBorders>
            <w:shd w:val="clear" w:color="auto" w:fill="auto"/>
          </w:tcPr>
          <w:p w:rsidR="00790CD7" w:rsidRPr="005F039C" w:rsidRDefault="00790CD7" w:rsidP="005237D3">
            <w:pPr>
              <w:jc w:val="left"/>
              <w:rPr>
                <w:rFonts w:ascii="Arial Narrow" w:eastAsia="SimSun" w:hAnsi="Arial Narrow"/>
                <w:sz w:val="20"/>
              </w:rPr>
            </w:pPr>
          </w:p>
        </w:tc>
      </w:tr>
      <w:tr w:rsidR="00790CD7" w:rsidRPr="005F039C" w:rsidTr="002D749C">
        <w:trPr>
          <w:trHeight w:val="1175"/>
        </w:trPr>
        <w:tc>
          <w:tcPr>
            <w:tcW w:w="1671" w:type="dxa"/>
            <w:tcBorders>
              <w:top w:val="nil"/>
              <w:left w:val="single" w:sz="4" w:space="0" w:color="auto"/>
              <w:bottom w:val="nil"/>
              <w:right w:val="single" w:sz="4" w:space="0" w:color="auto"/>
            </w:tcBorders>
          </w:tcPr>
          <w:p w:rsidR="00790CD7" w:rsidRPr="005F039C" w:rsidRDefault="00790CD7" w:rsidP="00607D0A">
            <w:pPr>
              <w:rPr>
                <w:rFonts w:ascii="Arial Narrow" w:eastAsia="SimSun" w:hAnsi="Arial Narrow"/>
                <w:sz w:val="20"/>
              </w:rPr>
            </w:pPr>
          </w:p>
        </w:tc>
        <w:tc>
          <w:tcPr>
            <w:tcW w:w="4194" w:type="dxa"/>
            <w:tcBorders>
              <w:top w:val="nil"/>
              <w:left w:val="single" w:sz="4" w:space="0" w:color="auto"/>
              <w:bottom w:val="nil"/>
              <w:right w:val="single" w:sz="4" w:space="0" w:color="auto"/>
            </w:tcBorders>
            <w:shd w:val="clear" w:color="auto" w:fill="auto"/>
          </w:tcPr>
          <w:p w:rsidR="00790CD7" w:rsidRPr="005F039C" w:rsidRDefault="00790CD7" w:rsidP="00790CD7">
            <w:pPr>
              <w:rPr>
                <w:rFonts w:ascii="Arial Narrow" w:eastAsia="SimSun" w:hAnsi="Arial Narrow"/>
                <w:sz w:val="20"/>
              </w:rPr>
            </w:pPr>
            <w:r w:rsidRPr="005F039C">
              <w:rPr>
                <w:rFonts w:ascii="Arial Narrow" w:eastAsia="SimSun" w:hAnsi="Arial Narrow"/>
                <w:sz w:val="20"/>
              </w:rPr>
              <w:t>Brown, DM et al. Intravitreal Aflibercept Injection for Macular Edema Secondary to Central Retinal Vein Occlusion: 1-Year Results From the Phase 3 COPERNICUS Study.</w:t>
            </w:r>
          </w:p>
          <w:p w:rsidR="00790CD7" w:rsidRPr="005F039C" w:rsidRDefault="00790CD7" w:rsidP="00584917">
            <w:pPr>
              <w:rPr>
                <w:rFonts w:ascii="Arial Narrow" w:eastAsia="SimSun" w:hAnsi="Arial Narrow"/>
                <w:sz w:val="20"/>
              </w:rPr>
            </w:pPr>
          </w:p>
        </w:tc>
        <w:tc>
          <w:tcPr>
            <w:tcW w:w="2498" w:type="dxa"/>
            <w:tcBorders>
              <w:top w:val="nil"/>
              <w:left w:val="single" w:sz="4" w:space="0" w:color="auto"/>
              <w:bottom w:val="nil"/>
              <w:right w:val="single" w:sz="4" w:space="0" w:color="auto"/>
            </w:tcBorders>
            <w:shd w:val="clear" w:color="auto" w:fill="auto"/>
          </w:tcPr>
          <w:p w:rsidR="00790CD7" w:rsidRPr="005F039C" w:rsidRDefault="00790CD7" w:rsidP="005237D3">
            <w:pPr>
              <w:jc w:val="left"/>
              <w:rPr>
                <w:rFonts w:ascii="Arial Narrow" w:eastAsia="SimSun" w:hAnsi="Arial Narrow"/>
                <w:sz w:val="20"/>
              </w:rPr>
            </w:pPr>
          </w:p>
        </w:tc>
      </w:tr>
      <w:tr w:rsidR="00790CD7" w:rsidRPr="005F039C" w:rsidTr="002D749C">
        <w:trPr>
          <w:trHeight w:val="742"/>
        </w:trPr>
        <w:tc>
          <w:tcPr>
            <w:tcW w:w="1671" w:type="dxa"/>
            <w:tcBorders>
              <w:top w:val="nil"/>
              <w:left w:val="single" w:sz="4" w:space="0" w:color="auto"/>
              <w:bottom w:val="single" w:sz="4" w:space="0" w:color="auto"/>
              <w:right w:val="single" w:sz="4" w:space="0" w:color="auto"/>
            </w:tcBorders>
          </w:tcPr>
          <w:p w:rsidR="00790CD7" w:rsidRPr="005F039C" w:rsidRDefault="00790CD7" w:rsidP="00607D0A">
            <w:pPr>
              <w:rPr>
                <w:rFonts w:ascii="Arial Narrow" w:eastAsia="SimSun" w:hAnsi="Arial Narrow"/>
                <w:sz w:val="20"/>
              </w:rPr>
            </w:pPr>
          </w:p>
        </w:tc>
        <w:tc>
          <w:tcPr>
            <w:tcW w:w="4194" w:type="dxa"/>
            <w:tcBorders>
              <w:top w:val="nil"/>
              <w:left w:val="single" w:sz="4" w:space="0" w:color="auto"/>
              <w:bottom w:val="single" w:sz="4" w:space="0" w:color="auto"/>
              <w:right w:val="single" w:sz="4" w:space="0" w:color="auto"/>
            </w:tcBorders>
            <w:shd w:val="clear" w:color="auto" w:fill="auto"/>
          </w:tcPr>
          <w:p w:rsidR="00790CD7" w:rsidRPr="005F039C" w:rsidRDefault="00790CD7" w:rsidP="002D749C">
            <w:pPr>
              <w:rPr>
                <w:rFonts w:ascii="Arial Narrow" w:eastAsia="SimSun" w:hAnsi="Arial Narrow"/>
                <w:sz w:val="20"/>
              </w:rPr>
            </w:pPr>
            <w:r w:rsidRPr="005F039C">
              <w:rPr>
                <w:rFonts w:ascii="Arial Narrow" w:eastAsia="SimSun" w:hAnsi="Arial Narrow"/>
                <w:sz w:val="20"/>
              </w:rPr>
              <w:t>Gillies, M</w:t>
            </w:r>
            <w:r w:rsidR="002D749C" w:rsidRPr="005F039C">
              <w:rPr>
                <w:rFonts w:ascii="Arial Narrow" w:eastAsia="SimSun" w:hAnsi="Arial Narrow"/>
                <w:sz w:val="20"/>
              </w:rPr>
              <w:t>.</w:t>
            </w:r>
            <w:r w:rsidRPr="005F039C">
              <w:rPr>
                <w:rFonts w:ascii="Arial Narrow" w:eastAsia="SimSun" w:hAnsi="Arial Narrow"/>
                <w:sz w:val="20"/>
              </w:rPr>
              <w:t xml:space="preserve"> Intravitreal VEGF trap-eye in central retinal vein occlusion: Results of the phase 3 Copernicus and Galileo studies.</w:t>
            </w:r>
          </w:p>
        </w:tc>
        <w:tc>
          <w:tcPr>
            <w:tcW w:w="2498" w:type="dxa"/>
            <w:tcBorders>
              <w:top w:val="nil"/>
              <w:left w:val="single" w:sz="4" w:space="0" w:color="auto"/>
              <w:bottom w:val="single" w:sz="4" w:space="0" w:color="auto"/>
              <w:right w:val="single" w:sz="4" w:space="0" w:color="auto"/>
            </w:tcBorders>
            <w:shd w:val="clear" w:color="auto" w:fill="auto"/>
          </w:tcPr>
          <w:p w:rsidR="00790CD7" w:rsidRPr="005F039C" w:rsidRDefault="00790CD7" w:rsidP="005237D3">
            <w:pPr>
              <w:jc w:val="left"/>
              <w:rPr>
                <w:rFonts w:ascii="Arial Narrow" w:eastAsia="SimSun" w:hAnsi="Arial Narrow"/>
                <w:sz w:val="20"/>
              </w:rPr>
            </w:pPr>
          </w:p>
        </w:tc>
      </w:tr>
      <w:tr w:rsidR="002911A5" w:rsidRPr="005F039C">
        <w:trPr>
          <w:trHeight w:val="1240"/>
        </w:trPr>
        <w:tc>
          <w:tcPr>
            <w:tcW w:w="1671" w:type="dxa"/>
            <w:tcBorders>
              <w:top w:val="single" w:sz="4" w:space="0" w:color="auto"/>
              <w:left w:val="single" w:sz="4" w:space="0" w:color="auto"/>
              <w:bottom w:val="nil"/>
              <w:right w:val="single" w:sz="4" w:space="0" w:color="auto"/>
            </w:tcBorders>
          </w:tcPr>
          <w:p w:rsidR="002911A5" w:rsidRPr="005F039C" w:rsidRDefault="002911A5" w:rsidP="00607D0A">
            <w:pPr>
              <w:rPr>
                <w:rFonts w:ascii="Arial Narrow" w:eastAsia="SimSun" w:hAnsi="Arial Narrow"/>
                <w:sz w:val="20"/>
              </w:rPr>
            </w:pPr>
            <w:r w:rsidRPr="005F039C">
              <w:rPr>
                <w:rFonts w:ascii="Arial Narrow" w:eastAsia="SimSun" w:hAnsi="Arial Narrow"/>
                <w:sz w:val="20"/>
              </w:rPr>
              <w:t>GALILEO</w:t>
            </w:r>
          </w:p>
        </w:tc>
        <w:tc>
          <w:tcPr>
            <w:tcW w:w="4194" w:type="dxa"/>
            <w:tcBorders>
              <w:top w:val="single" w:sz="4" w:space="0" w:color="auto"/>
              <w:left w:val="single" w:sz="4" w:space="0" w:color="auto"/>
              <w:right w:val="single" w:sz="4" w:space="0" w:color="auto"/>
            </w:tcBorders>
            <w:shd w:val="clear" w:color="auto" w:fill="auto"/>
          </w:tcPr>
          <w:p w:rsidR="002911A5" w:rsidRPr="005F039C" w:rsidRDefault="002911A5" w:rsidP="00584917">
            <w:pPr>
              <w:rPr>
                <w:rFonts w:ascii="Arial Narrow" w:eastAsia="SimSun" w:hAnsi="Arial Narrow"/>
                <w:sz w:val="20"/>
              </w:rPr>
            </w:pPr>
            <w:r w:rsidRPr="005F039C">
              <w:rPr>
                <w:rFonts w:ascii="Arial Narrow" w:eastAsia="SimSun" w:hAnsi="Arial Narrow"/>
                <w:sz w:val="20"/>
              </w:rPr>
              <w:t>•A Randomized, Double-masked, Sham-controlled Phase-3 Study of the Efficacy, Safety, and Tolerability of Repeated Intravitreal Administration of VEGF Trap-Eye in Subjects with Macular Edema Secondary to Central Retinal Vein Occlusion (CRVO) (GALILEO) 24 Week data. 15 August 2011, Bayer HealthCare.</w:t>
            </w:r>
          </w:p>
          <w:p w:rsidR="002911A5" w:rsidRPr="005F039C" w:rsidRDefault="002911A5" w:rsidP="00607D0A">
            <w:pPr>
              <w:rPr>
                <w:rFonts w:ascii="Arial Narrow" w:eastAsia="SimSun" w:hAnsi="Arial Narrow"/>
                <w:sz w:val="20"/>
              </w:rPr>
            </w:pPr>
          </w:p>
          <w:p w:rsidR="002911A5" w:rsidRPr="005F039C" w:rsidRDefault="002911A5" w:rsidP="00607D0A">
            <w:pPr>
              <w:rPr>
                <w:rFonts w:ascii="Arial Narrow" w:eastAsia="SimSun" w:hAnsi="Arial Narrow"/>
                <w:sz w:val="20"/>
              </w:rPr>
            </w:pPr>
          </w:p>
        </w:tc>
        <w:tc>
          <w:tcPr>
            <w:tcW w:w="2498" w:type="dxa"/>
            <w:tcBorders>
              <w:top w:val="single" w:sz="4" w:space="0" w:color="auto"/>
              <w:left w:val="single" w:sz="4" w:space="0" w:color="auto"/>
              <w:bottom w:val="nil"/>
              <w:right w:val="single" w:sz="4" w:space="0" w:color="auto"/>
            </w:tcBorders>
            <w:shd w:val="clear" w:color="auto" w:fill="auto"/>
          </w:tcPr>
          <w:p w:rsidR="002911A5" w:rsidRPr="005F039C" w:rsidRDefault="002911A5" w:rsidP="005237D3">
            <w:pPr>
              <w:jc w:val="left"/>
              <w:rPr>
                <w:rFonts w:ascii="Arial Narrow" w:eastAsia="SimSun" w:hAnsi="Arial Narrow"/>
                <w:sz w:val="20"/>
              </w:rPr>
            </w:pPr>
            <w:r w:rsidRPr="005F039C">
              <w:rPr>
                <w:rFonts w:ascii="Arial Narrow" w:eastAsia="SimSun" w:hAnsi="Arial Narrow"/>
                <w:sz w:val="20"/>
              </w:rPr>
              <w:t>British Journal of Ophthalmology (2012) Epub ahead of print; January 7, 2012.</w:t>
            </w:r>
          </w:p>
          <w:p w:rsidR="002911A5" w:rsidRPr="005F039C" w:rsidRDefault="002911A5" w:rsidP="00E17006">
            <w:pPr>
              <w:jc w:val="left"/>
              <w:rPr>
                <w:rFonts w:ascii="Arial Narrow" w:eastAsia="SimSun" w:hAnsi="Arial Narrow"/>
                <w:sz w:val="20"/>
              </w:rPr>
            </w:pPr>
            <w:r w:rsidRPr="005F039C">
              <w:rPr>
                <w:rFonts w:ascii="Arial Narrow" w:eastAsia="SimSun" w:hAnsi="Arial Narrow"/>
                <w:sz w:val="20"/>
              </w:rPr>
              <w:t>Clinical and Experimental Ophthalmology 2012; 40(S1):44</w:t>
            </w:r>
          </w:p>
          <w:p w:rsidR="002911A5" w:rsidRPr="005F039C" w:rsidRDefault="002911A5" w:rsidP="002911A5">
            <w:pPr>
              <w:rPr>
                <w:rFonts w:ascii="Arial Narrow" w:eastAsia="SimSun" w:hAnsi="Arial Narrow"/>
                <w:sz w:val="20"/>
              </w:rPr>
            </w:pPr>
          </w:p>
        </w:tc>
      </w:tr>
      <w:tr w:rsidR="002911A5" w:rsidRPr="005F039C">
        <w:trPr>
          <w:trHeight w:val="1240"/>
        </w:trPr>
        <w:tc>
          <w:tcPr>
            <w:tcW w:w="1671" w:type="dxa"/>
            <w:tcBorders>
              <w:top w:val="nil"/>
              <w:left w:val="single" w:sz="4" w:space="0" w:color="auto"/>
              <w:bottom w:val="nil"/>
              <w:right w:val="single" w:sz="4" w:space="0" w:color="auto"/>
            </w:tcBorders>
          </w:tcPr>
          <w:p w:rsidR="002911A5" w:rsidRPr="005F039C" w:rsidRDefault="002911A5" w:rsidP="00607D0A">
            <w:pPr>
              <w:rPr>
                <w:rFonts w:ascii="Arial Narrow" w:eastAsia="SimSun" w:hAnsi="Arial Narrow"/>
                <w:sz w:val="20"/>
              </w:rPr>
            </w:pPr>
          </w:p>
        </w:tc>
        <w:tc>
          <w:tcPr>
            <w:tcW w:w="4194" w:type="dxa"/>
            <w:tcBorders>
              <w:left w:val="single" w:sz="4" w:space="0" w:color="auto"/>
              <w:right w:val="single" w:sz="4" w:space="0" w:color="auto"/>
            </w:tcBorders>
            <w:shd w:val="clear" w:color="auto" w:fill="auto"/>
          </w:tcPr>
          <w:p w:rsidR="002911A5" w:rsidRPr="005F039C" w:rsidRDefault="002911A5" w:rsidP="002911A5">
            <w:pPr>
              <w:rPr>
                <w:rFonts w:ascii="Arial Narrow" w:eastAsia="SimSun" w:hAnsi="Arial Narrow"/>
                <w:sz w:val="20"/>
              </w:rPr>
            </w:pPr>
            <w:r w:rsidRPr="005F039C">
              <w:rPr>
                <w:rFonts w:ascii="Arial Narrow" w:eastAsia="SimSun" w:hAnsi="Arial Narrow"/>
                <w:sz w:val="20"/>
              </w:rPr>
              <w:t>A Randomized, Double-masked, Sham-controlled Phase-3 Study of the Efficacy, Safety, and Tolerability of Repeated Intravitreal Administration of VEGF Trap-Eye in Subjects with Macular Edema Secondary to Central Retinal Vein Occlusion (CRVO) (GALILEO) 52 Week data. 15 August 2012, Bayer HealthCare.</w:t>
            </w:r>
          </w:p>
          <w:p w:rsidR="002911A5" w:rsidRPr="005F039C" w:rsidRDefault="002911A5" w:rsidP="00584917">
            <w:pPr>
              <w:rPr>
                <w:rFonts w:ascii="Arial Narrow" w:eastAsia="SimSun" w:hAnsi="Arial Narrow"/>
                <w:sz w:val="20"/>
              </w:rPr>
            </w:pPr>
          </w:p>
        </w:tc>
        <w:tc>
          <w:tcPr>
            <w:tcW w:w="2498" w:type="dxa"/>
            <w:tcBorders>
              <w:top w:val="nil"/>
              <w:left w:val="single" w:sz="4" w:space="0" w:color="auto"/>
              <w:right w:val="single" w:sz="4" w:space="0" w:color="auto"/>
            </w:tcBorders>
            <w:shd w:val="clear" w:color="auto" w:fill="auto"/>
          </w:tcPr>
          <w:p w:rsidR="002911A5" w:rsidRPr="005F039C" w:rsidRDefault="002911A5" w:rsidP="002911A5">
            <w:pPr>
              <w:jc w:val="left"/>
              <w:rPr>
                <w:rFonts w:ascii="Arial Narrow" w:eastAsia="SimSun" w:hAnsi="Arial Narrow"/>
                <w:sz w:val="20"/>
              </w:rPr>
            </w:pPr>
            <w:r w:rsidRPr="005F039C">
              <w:rPr>
                <w:rFonts w:ascii="Arial Narrow" w:eastAsia="SimSun" w:hAnsi="Arial Narrow"/>
                <w:sz w:val="20"/>
              </w:rPr>
              <w:t>RANZCO 44th Annual Scientific Congress.</w:t>
            </w:r>
          </w:p>
          <w:p w:rsidR="002911A5" w:rsidRPr="005F039C" w:rsidRDefault="002911A5" w:rsidP="005237D3">
            <w:pPr>
              <w:jc w:val="left"/>
              <w:rPr>
                <w:rFonts w:ascii="Arial Narrow" w:eastAsia="SimSun" w:hAnsi="Arial Narrow"/>
                <w:sz w:val="20"/>
              </w:rPr>
            </w:pPr>
          </w:p>
        </w:tc>
      </w:tr>
      <w:tr w:rsidR="002911A5" w:rsidRPr="005F039C">
        <w:trPr>
          <w:trHeight w:val="1240"/>
        </w:trPr>
        <w:tc>
          <w:tcPr>
            <w:tcW w:w="1671" w:type="dxa"/>
            <w:tcBorders>
              <w:top w:val="nil"/>
              <w:left w:val="single" w:sz="4" w:space="0" w:color="auto"/>
              <w:bottom w:val="nil"/>
              <w:right w:val="single" w:sz="4" w:space="0" w:color="auto"/>
            </w:tcBorders>
          </w:tcPr>
          <w:p w:rsidR="002911A5" w:rsidRPr="005F039C" w:rsidRDefault="002911A5" w:rsidP="00607D0A">
            <w:pPr>
              <w:rPr>
                <w:rFonts w:ascii="Arial Narrow" w:eastAsia="SimSun" w:hAnsi="Arial Narrow"/>
                <w:sz w:val="20"/>
              </w:rPr>
            </w:pPr>
          </w:p>
        </w:tc>
        <w:tc>
          <w:tcPr>
            <w:tcW w:w="4194" w:type="dxa"/>
            <w:tcBorders>
              <w:left w:val="single" w:sz="4" w:space="0" w:color="auto"/>
              <w:bottom w:val="nil"/>
              <w:right w:val="single" w:sz="4" w:space="0" w:color="auto"/>
            </w:tcBorders>
            <w:shd w:val="clear" w:color="auto" w:fill="auto"/>
          </w:tcPr>
          <w:p w:rsidR="002911A5" w:rsidRPr="005F039C" w:rsidRDefault="002911A5" w:rsidP="002911A5">
            <w:pPr>
              <w:rPr>
                <w:rFonts w:ascii="Arial Narrow" w:eastAsia="SimSun" w:hAnsi="Arial Narrow"/>
                <w:sz w:val="20"/>
              </w:rPr>
            </w:pPr>
            <w:r w:rsidRPr="005F039C">
              <w:rPr>
                <w:rFonts w:ascii="Arial Narrow" w:eastAsia="SimSun" w:hAnsi="Arial Narrow"/>
                <w:sz w:val="20"/>
              </w:rPr>
              <w:t>•A Randomized, Double-masked, Sham-controlled Phase-3 Study of the Efficacy, Safety, and Tolerability of Repeated Intravitreal Administration of VEGF Trap-Eye in Subjects with Macular Edema Secondary to Central Retinal Vein Occlusion (CRVO) (GALILEO) 76 Week data. 08 October 2012, Bayer HealthCare.</w:t>
            </w:r>
          </w:p>
          <w:p w:rsidR="002911A5" w:rsidRPr="005F039C" w:rsidRDefault="002911A5" w:rsidP="00584917">
            <w:pPr>
              <w:rPr>
                <w:rFonts w:ascii="Arial Narrow" w:eastAsia="SimSun" w:hAnsi="Arial Narrow"/>
                <w:sz w:val="20"/>
              </w:rPr>
            </w:pPr>
          </w:p>
        </w:tc>
        <w:tc>
          <w:tcPr>
            <w:tcW w:w="2498" w:type="dxa"/>
            <w:tcBorders>
              <w:left w:val="single" w:sz="4" w:space="0" w:color="auto"/>
              <w:bottom w:val="nil"/>
              <w:right w:val="single" w:sz="4" w:space="0" w:color="auto"/>
            </w:tcBorders>
            <w:shd w:val="clear" w:color="auto" w:fill="auto"/>
          </w:tcPr>
          <w:p w:rsidR="002911A5" w:rsidRPr="005F039C" w:rsidRDefault="002911A5" w:rsidP="005237D3">
            <w:pPr>
              <w:jc w:val="left"/>
              <w:rPr>
                <w:rFonts w:ascii="Arial Narrow" w:eastAsia="SimSun" w:hAnsi="Arial Narrow"/>
                <w:sz w:val="20"/>
              </w:rPr>
            </w:pPr>
          </w:p>
        </w:tc>
      </w:tr>
      <w:tr w:rsidR="002911A5" w:rsidRPr="005F039C">
        <w:trPr>
          <w:trHeight w:val="1240"/>
        </w:trPr>
        <w:tc>
          <w:tcPr>
            <w:tcW w:w="1671" w:type="dxa"/>
            <w:tcBorders>
              <w:top w:val="nil"/>
              <w:left w:val="single" w:sz="4" w:space="0" w:color="auto"/>
              <w:bottom w:val="nil"/>
              <w:right w:val="single" w:sz="4" w:space="0" w:color="auto"/>
            </w:tcBorders>
          </w:tcPr>
          <w:p w:rsidR="002911A5" w:rsidRPr="005F039C" w:rsidRDefault="002911A5" w:rsidP="00607D0A">
            <w:pPr>
              <w:rPr>
                <w:rFonts w:ascii="Arial Narrow" w:eastAsia="SimSun" w:hAnsi="Arial Narrow"/>
                <w:sz w:val="20"/>
              </w:rPr>
            </w:pPr>
          </w:p>
        </w:tc>
        <w:tc>
          <w:tcPr>
            <w:tcW w:w="4194" w:type="dxa"/>
            <w:tcBorders>
              <w:top w:val="nil"/>
              <w:left w:val="single" w:sz="4" w:space="0" w:color="auto"/>
              <w:bottom w:val="nil"/>
              <w:right w:val="single" w:sz="4" w:space="0" w:color="auto"/>
            </w:tcBorders>
            <w:shd w:val="clear" w:color="auto" w:fill="auto"/>
          </w:tcPr>
          <w:p w:rsidR="002911A5" w:rsidRPr="005F039C" w:rsidRDefault="002911A5" w:rsidP="002911A5">
            <w:pPr>
              <w:rPr>
                <w:rFonts w:ascii="Arial Narrow" w:eastAsia="SimSun" w:hAnsi="Arial Narrow"/>
                <w:sz w:val="20"/>
              </w:rPr>
            </w:pPr>
            <w:r w:rsidRPr="005F039C">
              <w:rPr>
                <w:rFonts w:ascii="Arial Narrow" w:eastAsia="SimSun" w:hAnsi="Arial Narrow"/>
                <w:sz w:val="20"/>
              </w:rPr>
              <w:t>Holz, F G et al. VEGF Trap-Eye for macular oedema secondary to central retinal vein occlusion: 6-month results of the phase III GALILEO study.</w:t>
            </w:r>
          </w:p>
          <w:p w:rsidR="002911A5" w:rsidRPr="005F039C" w:rsidRDefault="002911A5" w:rsidP="00584917">
            <w:pPr>
              <w:rPr>
                <w:rFonts w:ascii="Arial Narrow" w:eastAsia="SimSun" w:hAnsi="Arial Narrow"/>
                <w:sz w:val="20"/>
              </w:rPr>
            </w:pPr>
          </w:p>
        </w:tc>
        <w:tc>
          <w:tcPr>
            <w:tcW w:w="2498" w:type="dxa"/>
            <w:tcBorders>
              <w:top w:val="nil"/>
              <w:left w:val="single" w:sz="4" w:space="0" w:color="auto"/>
              <w:bottom w:val="nil"/>
              <w:right w:val="single" w:sz="4" w:space="0" w:color="auto"/>
            </w:tcBorders>
            <w:shd w:val="clear" w:color="auto" w:fill="auto"/>
          </w:tcPr>
          <w:p w:rsidR="002911A5" w:rsidRPr="005F039C" w:rsidRDefault="002911A5" w:rsidP="005237D3">
            <w:pPr>
              <w:jc w:val="left"/>
              <w:rPr>
                <w:rFonts w:ascii="Arial Narrow" w:eastAsia="SimSun" w:hAnsi="Arial Narrow"/>
                <w:sz w:val="20"/>
              </w:rPr>
            </w:pPr>
          </w:p>
        </w:tc>
      </w:tr>
      <w:tr w:rsidR="002911A5" w:rsidRPr="005F039C" w:rsidTr="002D749C">
        <w:trPr>
          <w:trHeight w:val="769"/>
        </w:trPr>
        <w:tc>
          <w:tcPr>
            <w:tcW w:w="1671" w:type="dxa"/>
            <w:tcBorders>
              <w:top w:val="nil"/>
              <w:left w:val="single" w:sz="4" w:space="0" w:color="auto"/>
              <w:bottom w:val="single" w:sz="4" w:space="0" w:color="auto"/>
              <w:right w:val="single" w:sz="4" w:space="0" w:color="auto"/>
            </w:tcBorders>
          </w:tcPr>
          <w:p w:rsidR="002911A5" w:rsidRPr="005F039C" w:rsidRDefault="002911A5" w:rsidP="00607D0A">
            <w:pPr>
              <w:rPr>
                <w:rFonts w:ascii="Arial Narrow" w:eastAsia="SimSun" w:hAnsi="Arial Narrow"/>
                <w:sz w:val="20"/>
              </w:rPr>
            </w:pPr>
          </w:p>
        </w:tc>
        <w:tc>
          <w:tcPr>
            <w:tcW w:w="4194" w:type="dxa"/>
            <w:tcBorders>
              <w:top w:val="nil"/>
              <w:left w:val="single" w:sz="4" w:space="0" w:color="auto"/>
              <w:bottom w:val="single" w:sz="4" w:space="0" w:color="auto"/>
              <w:right w:val="single" w:sz="4" w:space="0" w:color="auto"/>
            </w:tcBorders>
            <w:shd w:val="clear" w:color="auto" w:fill="auto"/>
          </w:tcPr>
          <w:p w:rsidR="002911A5" w:rsidRPr="005F039C" w:rsidRDefault="002911A5" w:rsidP="00584917">
            <w:pPr>
              <w:rPr>
                <w:rFonts w:ascii="Arial Narrow" w:eastAsia="SimSun" w:hAnsi="Arial Narrow"/>
                <w:sz w:val="20"/>
              </w:rPr>
            </w:pPr>
            <w:r w:rsidRPr="005F039C">
              <w:rPr>
                <w:rFonts w:ascii="Arial Narrow" w:eastAsia="SimSun" w:hAnsi="Arial Narrow"/>
                <w:sz w:val="20"/>
              </w:rPr>
              <w:t>Gillies, M. Intravitreal VEGF trap-eye in central retinal vein occlusion: Results of the phase 3 Copernicus and Galileo studies.</w:t>
            </w:r>
          </w:p>
        </w:tc>
        <w:tc>
          <w:tcPr>
            <w:tcW w:w="2498" w:type="dxa"/>
            <w:tcBorders>
              <w:top w:val="nil"/>
              <w:left w:val="single" w:sz="4" w:space="0" w:color="auto"/>
              <w:bottom w:val="single" w:sz="4" w:space="0" w:color="auto"/>
              <w:right w:val="single" w:sz="4" w:space="0" w:color="auto"/>
            </w:tcBorders>
            <w:shd w:val="clear" w:color="auto" w:fill="auto"/>
          </w:tcPr>
          <w:p w:rsidR="002911A5" w:rsidRPr="005F039C" w:rsidRDefault="002911A5" w:rsidP="005237D3">
            <w:pPr>
              <w:jc w:val="left"/>
              <w:rPr>
                <w:rFonts w:ascii="Arial Narrow" w:eastAsia="SimSun" w:hAnsi="Arial Narrow"/>
                <w:sz w:val="20"/>
              </w:rPr>
            </w:pPr>
          </w:p>
        </w:tc>
      </w:tr>
      <w:tr w:rsidR="002911A5" w:rsidRPr="005F039C">
        <w:trPr>
          <w:trHeight w:val="1030"/>
        </w:trPr>
        <w:tc>
          <w:tcPr>
            <w:tcW w:w="1671" w:type="dxa"/>
            <w:tcBorders>
              <w:top w:val="single" w:sz="4" w:space="0" w:color="auto"/>
              <w:left w:val="single" w:sz="4" w:space="0" w:color="auto"/>
              <w:bottom w:val="nil"/>
              <w:right w:val="single" w:sz="4" w:space="0" w:color="auto"/>
            </w:tcBorders>
          </w:tcPr>
          <w:p w:rsidR="002911A5" w:rsidRPr="005F039C" w:rsidRDefault="002911A5" w:rsidP="00607D0A">
            <w:pPr>
              <w:rPr>
                <w:rFonts w:ascii="Arial Narrow" w:eastAsia="SimSun" w:hAnsi="Arial Narrow" w:cs="Times New Roman"/>
                <w:sz w:val="20"/>
              </w:rPr>
            </w:pPr>
            <w:r w:rsidRPr="005F039C">
              <w:rPr>
                <w:rFonts w:ascii="Arial Narrow" w:eastAsia="SimSun" w:hAnsi="Arial Narrow" w:cs="Times New Roman"/>
                <w:sz w:val="20"/>
              </w:rPr>
              <w:t>CRUISE</w:t>
            </w:r>
          </w:p>
        </w:tc>
        <w:tc>
          <w:tcPr>
            <w:tcW w:w="4194" w:type="dxa"/>
            <w:tcBorders>
              <w:top w:val="single" w:sz="4" w:space="0" w:color="auto"/>
              <w:left w:val="single" w:sz="4" w:space="0" w:color="auto"/>
              <w:bottom w:val="nil"/>
              <w:right w:val="single" w:sz="4" w:space="0" w:color="auto"/>
            </w:tcBorders>
            <w:shd w:val="clear" w:color="auto" w:fill="auto"/>
          </w:tcPr>
          <w:p w:rsidR="002911A5" w:rsidRPr="005F039C" w:rsidRDefault="002911A5" w:rsidP="00607D0A">
            <w:pPr>
              <w:rPr>
                <w:rFonts w:ascii="Arial Narrow" w:hAnsi="Arial Narrow"/>
                <w:sz w:val="20"/>
                <w:lang w:eastAsia="en-AU"/>
              </w:rPr>
            </w:pPr>
            <w:r w:rsidRPr="005F039C">
              <w:rPr>
                <w:rFonts w:ascii="Arial Narrow" w:hAnsi="Arial Narrow"/>
                <w:sz w:val="20"/>
              </w:rPr>
              <w:t>Brown, DM, Campochiaro, PA, Singh, RP, et al. Ranibizumab for Macular Oedema following Central Retinal Vein Occlusion: Six-Month Primary End Point Results of a Phase III Study.</w:t>
            </w:r>
          </w:p>
          <w:p w:rsidR="002911A5" w:rsidRPr="005F039C" w:rsidRDefault="002911A5" w:rsidP="00607D0A">
            <w:pPr>
              <w:rPr>
                <w:rFonts w:ascii="Arial Narrow" w:hAnsi="Arial Narrow"/>
                <w:b/>
                <w:sz w:val="20"/>
              </w:rPr>
            </w:pPr>
          </w:p>
        </w:tc>
        <w:tc>
          <w:tcPr>
            <w:tcW w:w="2498" w:type="dxa"/>
            <w:tcBorders>
              <w:top w:val="single" w:sz="4" w:space="0" w:color="auto"/>
              <w:left w:val="single" w:sz="4" w:space="0" w:color="auto"/>
              <w:bottom w:val="nil"/>
              <w:right w:val="single" w:sz="4" w:space="0" w:color="auto"/>
            </w:tcBorders>
            <w:shd w:val="clear" w:color="auto" w:fill="auto"/>
          </w:tcPr>
          <w:p w:rsidR="002911A5" w:rsidRPr="005F039C" w:rsidRDefault="002911A5" w:rsidP="005237D3">
            <w:pPr>
              <w:jc w:val="left"/>
              <w:rPr>
                <w:rFonts w:ascii="Arial Narrow" w:hAnsi="Arial Narrow"/>
                <w:sz w:val="20"/>
              </w:rPr>
            </w:pPr>
            <w:r w:rsidRPr="005F039C">
              <w:rPr>
                <w:rFonts w:ascii="Arial Narrow" w:hAnsi="Arial Narrow"/>
                <w:sz w:val="20"/>
              </w:rPr>
              <w:t>Ophthalmology 2010; 117(6):1124-33</w:t>
            </w:r>
          </w:p>
          <w:p w:rsidR="002911A5" w:rsidRPr="005F039C" w:rsidRDefault="002911A5" w:rsidP="005237D3">
            <w:pPr>
              <w:jc w:val="left"/>
              <w:rPr>
                <w:rFonts w:ascii="Arial Narrow" w:hAnsi="Arial Narrow"/>
                <w:b/>
                <w:sz w:val="20"/>
              </w:rPr>
            </w:pPr>
          </w:p>
        </w:tc>
      </w:tr>
      <w:tr w:rsidR="002911A5" w:rsidRPr="005F039C">
        <w:trPr>
          <w:trHeight w:val="1030"/>
        </w:trPr>
        <w:tc>
          <w:tcPr>
            <w:tcW w:w="1671" w:type="dxa"/>
            <w:tcBorders>
              <w:top w:val="nil"/>
              <w:left w:val="single" w:sz="4" w:space="0" w:color="auto"/>
              <w:bottom w:val="single" w:sz="4" w:space="0" w:color="auto"/>
              <w:right w:val="single" w:sz="4" w:space="0" w:color="auto"/>
            </w:tcBorders>
          </w:tcPr>
          <w:p w:rsidR="002911A5" w:rsidRPr="005F039C" w:rsidRDefault="002911A5" w:rsidP="00607D0A">
            <w:pPr>
              <w:rPr>
                <w:rFonts w:ascii="Arial Narrow" w:eastAsia="SimSun" w:hAnsi="Arial Narrow" w:cs="Times New Roman"/>
                <w:sz w:val="20"/>
              </w:rPr>
            </w:pPr>
          </w:p>
        </w:tc>
        <w:tc>
          <w:tcPr>
            <w:tcW w:w="4194" w:type="dxa"/>
            <w:tcBorders>
              <w:top w:val="nil"/>
              <w:left w:val="single" w:sz="4" w:space="0" w:color="auto"/>
              <w:bottom w:val="single" w:sz="4" w:space="0" w:color="auto"/>
              <w:right w:val="single" w:sz="4" w:space="0" w:color="auto"/>
            </w:tcBorders>
            <w:shd w:val="clear" w:color="auto" w:fill="auto"/>
          </w:tcPr>
          <w:p w:rsidR="002911A5" w:rsidRPr="005F039C" w:rsidRDefault="002911A5" w:rsidP="00607D0A">
            <w:pPr>
              <w:rPr>
                <w:rFonts w:ascii="Arial Narrow" w:hAnsi="Arial Narrow"/>
                <w:sz w:val="20"/>
              </w:rPr>
            </w:pPr>
            <w:r w:rsidRPr="005F039C">
              <w:rPr>
                <w:rFonts w:ascii="Arial Narrow" w:hAnsi="Arial Narrow"/>
                <w:sz w:val="20"/>
              </w:rPr>
              <w:t>Campochiaro PA, Brown DM, Awh CC et al. Sustained Benefits from Ranibizumab for Macular Oedema following Central Retinal Vein Occlusion: Twelve-Month Outcomes of a Phase III Study.</w:t>
            </w:r>
          </w:p>
        </w:tc>
        <w:tc>
          <w:tcPr>
            <w:tcW w:w="2498" w:type="dxa"/>
            <w:tcBorders>
              <w:top w:val="nil"/>
              <w:left w:val="single" w:sz="4" w:space="0" w:color="auto"/>
              <w:bottom w:val="single" w:sz="4" w:space="0" w:color="auto"/>
              <w:right w:val="single" w:sz="4" w:space="0" w:color="auto"/>
            </w:tcBorders>
            <w:shd w:val="clear" w:color="auto" w:fill="auto"/>
          </w:tcPr>
          <w:p w:rsidR="002911A5" w:rsidRPr="005F039C" w:rsidRDefault="002911A5" w:rsidP="005237D3">
            <w:pPr>
              <w:jc w:val="left"/>
              <w:rPr>
                <w:rFonts w:ascii="Arial Narrow" w:hAnsi="Arial Narrow"/>
                <w:sz w:val="20"/>
              </w:rPr>
            </w:pPr>
            <w:r w:rsidRPr="005F039C">
              <w:rPr>
                <w:rFonts w:ascii="Arial Narrow" w:hAnsi="Arial Narrow"/>
                <w:sz w:val="20"/>
              </w:rPr>
              <w:t>Ophthalmology 2011; 118(10):2041-9</w:t>
            </w:r>
          </w:p>
        </w:tc>
      </w:tr>
    </w:tbl>
    <w:p w:rsidR="00607D0A" w:rsidRPr="005F039C" w:rsidRDefault="00607D0A" w:rsidP="00607D0A">
      <w:pPr>
        <w:pStyle w:val="TableFooter"/>
        <w:ind w:left="709"/>
      </w:pPr>
      <w:r w:rsidRPr="005F039C">
        <w:t xml:space="preserve">Source: Table 11, p178 of the March 2014 </w:t>
      </w:r>
      <w:r w:rsidR="00525231" w:rsidRPr="005F039C">
        <w:t>resubmission</w:t>
      </w:r>
    </w:p>
    <w:p w:rsidR="00607D0A" w:rsidRPr="005F039C" w:rsidRDefault="00607D0A" w:rsidP="00607D0A">
      <w:pPr>
        <w:widowControl/>
        <w:rPr>
          <w:szCs w:val="22"/>
        </w:rPr>
      </w:pPr>
    </w:p>
    <w:p w:rsidR="00607D0A" w:rsidRPr="005F039C" w:rsidRDefault="00607D0A" w:rsidP="00745891">
      <w:pPr>
        <w:pStyle w:val="ListParagraph"/>
        <w:widowControl/>
        <w:numPr>
          <w:ilvl w:val="1"/>
          <w:numId w:val="2"/>
        </w:numPr>
        <w:rPr>
          <w:szCs w:val="22"/>
        </w:rPr>
      </w:pPr>
      <w:r w:rsidRPr="005F039C">
        <w:rPr>
          <w:szCs w:val="22"/>
        </w:rPr>
        <w:t xml:space="preserve">The key features of the direct randomised trials are </w:t>
      </w:r>
      <w:r w:rsidR="005A0024" w:rsidRPr="005F039C">
        <w:rPr>
          <w:szCs w:val="22"/>
        </w:rPr>
        <w:t>summarised in the table below.</w:t>
      </w:r>
    </w:p>
    <w:p w:rsidR="00607D0A" w:rsidRPr="005F039C" w:rsidRDefault="00607D0A" w:rsidP="00607D0A">
      <w:pPr>
        <w:widowControl/>
        <w:rPr>
          <w:szCs w:val="22"/>
        </w:rPr>
      </w:pPr>
    </w:p>
    <w:p w:rsidR="00607D0A" w:rsidRPr="005F039C" w:rsidRDefault="00607D0A" w:rsidP="00607D0A">
      <w:pPr>
        <w:keepNext/>
        <w:keepLines/>
        <w:ind w:firstLine="720"/>
        <w:rPr>
          <w:rStyle w:val="CommentReference"/>
        </w:rPr>
      </w:pPr>
      <w:r w:rsidRPr="005F039C">
        <w:rPr>
          <w:rStyle w:val="CommentReference"/>
        </w:rPr>
        <w:t>Key features of the included evidence</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2"/>
        <w:gridCol w:w="567"/>
        <w:gridCol w:w="993"/>
        <w:gridCol w:w="850"/>
        <w:gridCol w:w="2552"/>
        <w:gridCol w:w="1417"/>
        <w:gridCol w:w="992"/>
      </w:tblGrid>
      <w:tr w:rsidR="00607D0A" w:rsidRPr="005F039C">
        <w:trPr>
          <w:trHeight w:val="622"/>
        </w:trPr>
        <w:tc>
          <w:tcPr>
            <w:tcW w:w="992" w:type="dxa"/>
            <w:shd w:val="clear" w:color="auto" w:fill="auto"/>
            <w:vAlign w:val="center"/>
          </w:tcPr>
          <w:p w:rsidR="00607D0A" w:rsidRPr="005F039C" w:rsidRDefault="00607D0A" w:rsidP="00607D0A">
            <w:pPr>
              <w:keepNext/>
              <w:keepLines/>
              <w:rPr>
                <w:rFonts w:ascii="Arial Narrow" w:hAnsi="Arial Narrow"/>
                <w:b/>
                <w:sz w:val="20"/>
              </w:rPr>
            </w:pPr>
            <w:r w:rsidRPr="005F039C">
              <w:rPr>
                <w:rFonts w:ascii="Arial Narrow" w:hAnsi="Arial Narrow"/>
                <w:b/>
                <w:sz w:val="20"/>
              </w:rPr>
              <w:t>Trial</w:t>
            </w:r>
          </w:p>
        </w:tc>
        <w:tc>
          <w:tcPr>
            <w:tcW w:w="567" w:type="dxa"/>
            <w:shd w:val="clear" w:color="auto" w:fill="auto"/>
            <w:vAlign w:val="center"/>
          </w:tcPr>
          <w:p w:rsidR="00607D0A" w:rsidRPr="005F039C" w:rsidRDefault="00607D0A" w:rsidP="00607D0A">
            <w:pPr>
              <w:keepNext/>
              <w:keepLines/>
              <w:jc w:val="center"/>
              <w:rPr>
                <w:rFonts w:ascii="Arial Narrow" w:hAnsi="Arial Narrow"/>
                <w:b/>
                <w:sz w:val="20"/>
              </w:rPr>
            </w:pPr>
            <w:r w:rsidRPr="005F039C">
              <w:rPr>
                <w:rFonts w:ascii="Arial Narrow" w:hAnsi="Arial Narrow"/>
                <w:b/>
                <w:sz w:val="20"/>
              </w:rPr>
              <w:t>N</w:t>
            </w:r>
          </w:p>
        </w:tc>
        <w:tc>
          <w:tcPr>
            <w:tcW w:w="993" w:type="dxa"/>
            <w:shd w:val="clear" w:color="auto" w:fill="auto"/>
            <w:vAlign w:val="center"/>
          </w:tcPr>
          <w:p w:rsidR="00607D0A" w:rsidRPr="005F039C" w:rsidRDefault="00607D0A" w:rsidP="00607D0A">
            <w:pPr>
              <w:keepNext/>
              <w:keepLines/>
              <w:jc w:val="center"/>
              <w:rPr>
                <w:rFonts w:ascii="Arial Narrow" w:hAnsi="Arial Narrow"/>
                <w:b/>
                <w:sz w:val="20"/>
              </w:rPr>
            </w:pPr>
            <w:r w:rsidRPr="005F039C">
              <w:rPr>
                <w:rFonts w:ascii="Arial Narrow" w:hAnsi="Arial Narrow"/>
                <w:b/>
                <w:sz w:val="20"/>
              </w:rPr>
              <w:t>Design/ duration</w:t>
            </w:r>
          </w:p>
        </w:tc>
        <w:tc>
          <w:tcPr>
            <w:tcW w:w="850" w:type="dxa"/>
            <w:shd w:val="clear" w:color="auto" w:fill="auto"/>
            <w:vAlign w:val="center"/>
          </w:tcPr>
          <w:p w:rsidR="00607D0A" w:rsidRPr="005F039C" w:rsidRDefault="00607D0A" w:rsidP="00607D0A">
            <w:pPr>
              <w:keepNext/>
              <w:keepLines/>
              <w:jc w:val="center"/>
              <w:rPr>
                <w:rFonts w:ascii="Arial Narrow" w:hAnsi="Arial Narrow"/>
                <w:b/>
                <w:sz w:val="20"/>
              </w:rPr>
            </w:pPr>
            <w:r w:rsidRPr="005F039C">
              <w:rPr>
                <w:rFonts w:ascii="Arial Narrow" w:hAnsi="Arial Narrow"/>
                <w:b/>
                <w:sz w:val="20"/>
              </w:rPr>
              <w:t>Risk of bias</w:t>
            </w:r>
          </w:p>
        </w:tc>
        <w:tc>
          <w:tcPr>
            <w:tcW w:w="2552" w:type="dxa"/>
            <w:shd w:val="clear" w:color="auto" w:fill="auto"/>
            <w:vAlign w:val="center"/>
          </w:tcPr>
          <w:p w:rsidR="00607D0A" w:rsidRPr="005F039C" w:rsidRDefault="00607D0A" w:rsidP="00607D0A">
            <w:pPr>
              <w:keepNext/>
              <w:keepLines/>
              <w:jc w:val="center"/>
              <w:rPr>
                <w:rFonts w:ascii="Arial Narrow" w:hAnsi="Arial Narrow"/>
                <w:b/>
                <w:sz w:val="20"/>
              </w:rPr>
            </w:pPr>
            <w:r w:rsidRPr="005F039C">
              <w:rPr>
                <w:rFonts w:ascii="Arial Narrow" w:hAnsi="Arial Narrow"/>
                <w:b/>
                <w:sz w:val="20"/>
              </w:rPr>
              <w:t>Patient population</w:t>
            </w:r>
          </w:p>
        </w:tc>
        <w:tc>
          <w:tcPr>
            <w:tcW w:w="1417" w:type="dxa"/>
            <w:shd w:val="clear" w:color="auto" w:fill="auto"/>
            <w:vAlign w:val="center"/>
          </w:tcPr>
          <w:p w:rsidR="00607D0A" w:rsidRPr="005F039C" w:rsidRDefault="00607D0A" w:rsidP="00607D0A">
            <w:pPr>
              <w:keepNext/>
              <w:keepLines/>
              <w:jc w:val="center"/>
              <w:rPr>
                <w:rFonts w:ascii="Arial Narrow" w:hAnsi="Arial Narrow"/>
                <w:b/>
                <w:sz w:val="20"/>
              </w:rPr>
            </w:pPr>
            <w:r w:rsidRPr="005F039C">
              <w:rPr>
                <w:rFonts w:ascii="Arial Narrow" w:hAnsi="Arial Narrow"/>
                <w:b/>
                <w:sz w:val="20"/>
              </w:rPr>
              <w:t>Outcomes</w:t>
            </w:r>
          </w:p>
        </w:tc>
        <w:tc>
          <w:tcPr>
            <w:tcW w:w="992" w:type="dxa"/>
            <w:shd w:val="clear" w:color="auto" w:fill="auto"/>
            <w:vAlign w:val="center"/>
          </w:tcPr>
          <w:p w:rsidR="00607D0A" w:rsidRPr="005F039C" w:rsidRDefault="00607D0A" w:rsidP="00607D0A">
            <w:pPr>
              <w:keepNext/>
              <w:keepLines/>
              <w:jc w:val="center"/>
              <w:rPr>
                <w:rFonts w:ascii="Arial Narrow" w:hAnsi="Arial Narrow"/>
                <w:b/>
                <w:sz w:val="20"/>
              </w:rPr>
            </w:pPr>
            <w:r w:rsidRPr="005F039C">
              <w:rPr>
                <w:rFonts w:ascii="Arial Narrow" w:hAnsi="Arial Narrow"/>
                <w:b/>
                <w:sz w:val="20"/>
              </w:rPr>
              <w:t>Use in economic model</w:t>
            </w:r>
          </w:p>
        </w:tc>
      </w:tr>
      <w:tr w:rsidR="00607D0A" w:rsidRPr="005F039C">
        <w:trPr>
          <w:trHeight w:val="212"/>
        </w:trPr>
        <w:tc>
          <w:tcPr>
            <w:tcW w:w="8363" w:type="dxa"/>
            <w:gridSpan w:val="7"/>
            <w:shd w:val="clear" w:color="auto" w:fill="auto"/>
            <w:vAlign w:val="center"/>
          </w:tcPr>
          <w:p w:rsidR="00607D0A" w:rsidRPr="005F039C" w:rsidRDefault="00607D0A" w:rsidP="00607D0A">
            <w:pPr>
              <w:keepNext/>
              <w:keepLines/>
              <w:rPr>
                <w:rFonts w:ascii="Arial Narrow" w:hAnsi="Arial Narrow"/>
                <w:sz w:val="20"/>
              </w:rPr>
            </w:pPr>
            <w:r w:rsidRPr="005F039C">
              <w:rPr>
                <w:rFonts w:ascii="Arial Narrow" w:hAnsi="Arial Narrow"/>
                <w:sz w:val="20"/>
              </w:rPr>
              <w:t>Aflibercept versus sham injection</w:t>
            </w:r>
          </w:p>
        </w:tc>
      </w:tr>
      <w:tr w:rsidR="00607D0A" w:rsidRPr="005F039C">
        <w:trPr>
          <w:trHeight w:val="440"/>
        </w:trPr>
        <w:tc>
          <w:tcPr>
            <w:tcW w:w="992" w:type="dxa"/>
            <w:shd w:val="clear" w:color="auto" w:fill="auto"/>
            <w:vAlign w:val="center"/>
          </w:tcPr>
          <w:p w:rsidR="00607D0A" w:rsidRPr="005F039C" w:rsidRDefault="00607D0A" w:rsidP="00607D0A">
            <w:pPr>
              <w:keepNext/>
              <w:keepLines/>
              <w:rPr>
                <w:rFonts w:ascii="Arial Narrow" w:hAnsi="Arial Narrow"/>
                <w:sz w:val="20"/>
              </w:rPr>
            </w:pPr>
            <w:r w:rsidRPr="005F039C">
              <w:rPr>
                <w:rFonts w:ascii="Arial Narrow" w:hAnsi="Arial Narrow"/>
                <w:sz w:val="20"/>
              </w:rPr>
              <w:t>COPERN-ICUS</w:t>
            </w:r>
          </w:p>
        </w:tc>
        <w:tc>
          <w:tcPr>
            <w:tcW w:w="567" w:type="dxa"/>
            <w:shd w:val="clear" w:color="auto" w:fill="auto"/>
            <w:vAlign w:val="center"/>
          </w:tcPr>
          <w:p w:rsidR="00607D0A" w:rsidRPr="005F039C" w:rsidRDefault="00607D0A" w:rsidP="00607D0A">
            <w:pPr>
              <w:keepNext/>
              <w:keepLines/>
              <w:jc w:val="center"/>
              <w:rPr>
                <w:rFonts w:ascii="Arial Narrow" w:hAnsi="Arial Narrow"/>
                <w:sz w:val="20"/>
              </w:rPr>
            </w:pPr>
            <w:r w:rsidRPr="005F039C">
              <w:rPr>
                <w:rFonts w:ascii="Arial Narrow" w:hAnsi="Arial Narrow"/>
                <w:sz w:val="20"/>
              </w:rPr>
              <w:t>187</w:t>
            </w:r>
          </w:p>
        </w:tc>
        <w:tc>
          <w:tcPr>
            <w:tcW w:w="993" w:type="dxa"/>
            <w:shd w:val="clear" w:color="auto" w:fill="auto"/>
            <w:vAlign w:val="center"/>
          </w:tcPr>
          <w:p w:rsidR="00607D0A" w:rsidRPr="005F039C" w:rsidRDefault="00607D0A" w:rsidP="00607D0A">
            <w:pPr>
              <w:keepNext/>
              <w:keepLines/>
              <w:jc w:val="center"/>
              <w:rPr>
                <w:rFonts w:ascii="Arial Narrow" w:hAnsi="Arial Narrow"/>
                <w:sz w:val="20"/>
              </w:rPr>
            </w:pPr>
            <w:r w:rsidRPr="005F039C">
              <w:rPr>
                <w:rFonts w:ascii="Arial Narrow" w:hAnsi="Arial Narrow"/>
                <w:sz w:val="20"/>
              </w:rPr>
              <w:t>R, DB</w:t>
            </w:r>
          </w:p>
          <w:p w:rsidR="00607D0A" w:rsidRPr="005F039C" w:rsidRDefault="00607D0A" w:rsidP="00607D0A">
            <w:pPr>
              <w:keepNext/>
              <w:keepLines/>
              <w:jc w:val="center"/>
              <w:rPr>
                <w:rFonts w:ascii="Arial Narrow" w:hAnsi="Arial Narrow"/>
                <w:sz w:val="20"/>
              </w:rPr>
            </w:pPr>
            <w:r w:rsidRPr="005F039C">
              <w:rPr>
                <w:rFonts w:ascii="Arial Narrow" w:hAnsi="Arial Narrow"/>
                <w:sz w:val="20"/>
              </w:rPr>
              <w:t>100 wks</w:t>
            </w:r>
          </w:p>
        </w:tc>
        <w:tc>
          <w:tcPr>
            <w:tcW w:w="850" w:type="dxa"/>
            <w:shd w:val="clear" w:color="auto" w:fill="auto"/>
            <w:vAlign w:val="center"/>
          </w:tcPr>
          <w:p w:rsidR="00607D0A" w:rsidRPr="005F039C" w:rsidRDefault="00607D0A" w:rsidP="00607D0A">
            <w:pPr>
              <w:keepNext/>
              <w:keepLines/>
              <w:jc w:val="center"/>
              <w:rPr>
                <w:rFonts w:ascii="Arial Narrow" w:hAnsi="Arial Narrow"/>
                <w:sz w:val="20"/>
              </w:rPr>
            </w:pPr>
            <w:r w:rsidRPr="005F039C">
              <w:rPr>
                <w:rFonts w:ascii="Arial Narrow" w:hAnsi="Arial Narrow"/>
                <w:sz w:val="20"/>
              </w:rPr>
              <w:t>Low</w:t>
            </w:r>
          </w:p>
        </w:tc>
        <w:tc>
          <w:tcPr>
            <w:tcW w:w="2552" w:type="dxa"/>
            <w:vMerge w:val="restart"/>
            <w:shd w:val="clear" w:color="auto" w:fill="auto"/>
            <w:vAlign w:val="center"/>
          </w:tcPr>
          <w:p w:rsidR="00607D0A" w:rsidRPr="005F039C" w:rsidRDefault="00607D0A" w:rsidP="00607D0A">
            <w:pPr>
              <w:keepNext/>
              <w:keepLines/>
              <w:jc w:val="center"/>
              <w:rPr>
                <w:rFonts w:ascii="Arial Narrow" w:hAnsi="Arial Narrow"/>
                <w:sz w:val="20"/>
              </w:rPr>
            </w:pPr>
            <w:r w:rsidRPr="005F039C">
              <w:rPr>
                <w:rFonts w:ascii="Arial Narrow" w:hAnsi="Arial Narrow"/>
                <w:sz w:val="20"/>
              </w:rPr>
              <w:t>Patients with ≥250µm CST as measured by OCT and an ETDRS BCVA of 20/40 to 20/320</w:t>
            </w:r>
          </w:p>
        </w:tc>
        <w:tc>
          <w:tcPr>
            <w:tcW w:w="1417" w:type="dxa"/>
            <w:vMerge w:val="restart"/>
            <w:shd w:val="clear" w:color="auto" w:fill="auto"/>
            <w:vAlign w:val="center"/>
          </w:tcPr>
          <w:p w:rsidR="00607D0A" w:rsidRPr="005F039C" w:rsidRDefault="00607D0A" w:rsidP="00607D0A">
            <w:pPr>
              <w:keepNext/>
              <w:keepLines/>
              <w:jc w:val="center"/>
              <w:rPr>
                <w:rFonts w:ascii="Arial Narrow" w:hAnsi="Arial Narrow"/>
                <w:sz w:val="20"/>
              </w:rPr>
            </w:pPr>
            <w:r w:rsidRPr="005F039C">
              <w:rPr>
                <w:rFonts w:ascii="Arial Narrow" w:hAnsi="Arial Narrow"/>
                <w:sz w:val="20"/>
              </w:rPr>
              <w:t>Proportion of patients with ≥15 letter gain in BCVA at 24/52</w:t>
            </w:r>
          </w:p>
        </w:tc>
        <w:tc>
          <w:tcPr>
            <w:tcW w:w="992" w:type="dxa"/>
            <w:shd w:val="clear" w:color="auto" w:fill="auto"/>
            <w:vAlign w:val="center"/>
          </w:tcPr>
          <w:p w:rsidR="00607D0A" w:rsidRPr="005F039C" w:rsidRDefault="00607D0A" w:rsidP="00607D0A">
            <w:pPr>
              <w:keepNext/>
              <w:keepLines/>
              <w:jc w:val="center"/>
              <w:rPr>
                <w:rFonts w:ascii="Arial Narrow" w:hAnsi="Arial Narrow"/>
                <w:sz w:val="20"/>
              </w:rPr>
            </w:pPr>
            <w:r w:rsidRPr="005F039C">
              <w:rPr>
                <w:rFonts w:ascii="Arial Narrow" w:hAnsi="Arial Narrow"/>
                <w:sz w:val="20"/>
              </w:rPr>
              <w:t>Used</w:t>
            </w:r>
          </w:p>
        </w:tc>
      </w:tr>
      <w:tr w:rsidR="00607D0A" w:rsidRPr="005F039C">
        <w:trPr>
          <w:trHeight w:val="440"/>
        </w:trPr>
        <w:tc>
          <w:tcPr>
            <w:tcW w:w="992" w:type="dxa"/>
            <w:shd w:val="clear" w:color="auto" w:fill="auto"/>
            <w:vAlign w:val="center"/>
          </w:tcPr>
          <w:p w:rsidR="00607D0A" w:rsidRPr="005F039C" w:rsidRDefault="00607D0A" w:rsidP="00607D0A">
            <w:pPr>
              <w:keepNext/>
              <w:keepLines/>
              <w:rPr>
                <w:rFonts w:ascii="Arial Narrow" w:hAnsi="Arial Narrow"/>
                <w:sz w:val="20"/>
              </w:rPr>
            </w:pPr>
            <w:r w:rsidRPr="005F039C">
              <w:rPr>
                <w:rFonts w:ascii="Arial Narrow" w:hAnsi="Arial Narrow"/>
                <w:sz w:val="20"/>
              </w:rPr>
              <w:t>GALILEO</w:t>
            </w:r>
          </w:p>
        </w:tc>
        <w:tc>
          <w:tcPr>
            <w:tcW w:w="567" w:type="dxa"/>
            <w:shd w:val="clear" w:color="auto" w:fill="auto"/>
            <w:vAlign w:val="center"/>
          </w:tcPr>
          <w:p w:rsidR="00607D0A" w:rsidRPr="005F039C" w:rsidRDefault="00607D0A" w:rsidP="00607D0A">
            <w:pPr>
              <w:keepNext/>
              <w:keepLines/>
              <w:jc w:val="center"/>
              <w:rPr>
                <w:rFonts w:ascii="Arial Narrow" w:hAnsi="Arial Narrow"/>
                <w:sz w:val="20"/>
              </w:rPr>
            </w:pPr>
            <w:r w:rsidRPr="005F039C">
              <w:rPr>
                <w:rFonts w:ascii="Arial Narrow" w:hAnsi="Arial Narrow"/>
                <w:sz w:val="20"/>
              </w:rPr>
              <w:t>171</w:t>
            </w:r>
          </w:p>
        </w:tc>
        <w:tc>
          <w:tcPr>
            <w:tcW w:w="993" w:type="dxa"/>
            <w:shd w:val="clear" w:color="auto" w:fill="auto"/>
            <w:vAlign w:val="center"/>
          </w:tcPr>
          <w:p w:rsidR="00607D0A" w:rsidRPr="005F039C" w:rsidRDefault="00607D0A" w:rsidP="00607D0A">
            <w:pPr>
              <w:keepNext/>
              <w:keepLines/>
              <w:jc w:val="center"/>
              <w:rPr>
                <w:rFonts w:ascii="Arial Narrow" w:hAnsi="Arial Narrow"/>
                <w:sz w:val="20"/>
              </w:rPr>
            </w:pPr>
            <w:r w:rsidRPr="005F039C">
              <w:rPr>
                <w:rFonts w:ascii="Arial Narrow" w:hAnsi="Arial Narrow"/>
                <w:sz w:val="20"/>
              </w:rPr>
              <w:t>R, DB</w:t>
            </w:r>
          </w:p>
          <w:p w:rsidR="00607D0A" w:rsidRPr="005F039C" w:rsidRDefault="00607D0A" w:rsidP="00607D0A">
            <w:pPr>
              <w:keepNext/>
              <w:keepLines/>
              <w:jc w:val="center"/>
              <w:rPr>
                <w:rFonts w:ascii="Arial Narrow" w:hAnsi="Arial Narrow"/>
                <w:sz w:val="20"/>
              </w:rPr>
            </w:pPr>
            <w:r w:rsidRPr="005F039C">
              <w:rPr>
                <w:rFonts w:ascii="Arial Narrow" w:hAnsi="Arial Narrow"/>
                <w:sz w:val="20"/>
              </w:rPr>
              <w:t>76 wks</w:t>
            </w:r>
          </w:p>
        </w:tc>
        <w:tc>
          <w:tcPr>
            <w:tcW w:w="850" w:type="dxa"/>
            <w:shd w:val="clear" w:color="auto" w:fill="auto"/>
            <w:vAlign w:val="center"/>
          </w:tcPr>
          <w:p w:rsidR="00607D0A" w:rsidRPr="005F039C" w:rsidRDefault="00607D0A" w:rsidP="00607D0A">
            <w:pPr>
              <w:keepNext/>
              <w:keepLines/>
              <w:jc w:val="center"/>
              <w:rPr>
                <w:rFonts w:ascii="Arial Narrow" w:hAnsi="Arial Narrow"/>
                <w:sz w:val="20"/>
              </w:rPr>
            </w:pPr>
            <w:r w:rsidRPr="005F039C">
              <w:rPr>
                <w:rFonts w:ascii="Arial Narrow" w:hAnsi="Arial Narrow"/>
                <w:sz w:val="20"/>
              </w:rPr>
              <w:t>Low</w:t>
            </w:r>
          </w:p>
        </w:tc>
        <w:tc>
          <w:tcPr>
            <w:tcW w:w="2552" w:type="dxa"/>
            <w:vMerge/>
            <w:shd w:val="clear" w:color="auto" w:fill="auto"/>
            <w:vAlign w:val="center"/>
          </w:tcPr>
          <w:p w:rsidR="00607D0A" w:rsidRPr="005F039C" w:rsidRDefault="00607D0A" w:rsidP="00607D0A">
            <w:pPr>
              <w:keepNext/>
              <w:keepLines/>
              <w:jc w:val="center"/>
              <w:rPr>
                <w:rFonts w:ascii="Arial Narrow" w:hAnsi="Arial Narrow"/>
                <w:sz w:val="20"/>
              </w:rPr>
            </w:pPr>
          </w:p>
        </w:tc>
        <w:tc>
          <w:tcPr>
            <w:tcW w:w="1417" w:type="dxa"/>
            <w:vMerge/>
            <w:shd w:val="clear" w:color="auto" w:fill="auto"/>
            <w:vAlign w:val="center"/>
          </w:tcPr>
          <w:p w:rsidR="00607D0A" w:rsidRPr="005F039C" w:rsidRDefault="00607D0A" w:rsidP="00607D0A">
            <w:pPr>
              <w:keepNext/>
              <w:keepLines/>
              <w:jc w:val="center"/>
              <w:rPr>
                <w:rFonts w:ascii="Arial Narrow" w:hAnsi="Arial Narrow"/>
                <w:sz w:val="20"/>
              </w:rPr>
            </w:pPr>
          </w:p>
        </w:tc>
        <w:tc>
          <w:tcPr>
            <w:tcW w:w="992" w:type="dxa"/>
            <w:shd w:val="clear" w:color="auto" w:fill="auto"/>
            <w:vAlign w:val="center"/>
          </w:tcPr>
          <w:p w:rsidR="00607D0A" w:rsidRPr="005F039C" w:rsidRDefault="00607D0A" w:rsidP="00607D0A">
            <w:pPr>
              <w:keepNext/>
              <w:keepLines/>
              <w:jc w:val="center"/>
              <w:rPr>
                <w:rFonts w:ascii="Arial Narrow" w:hAnsi="Arial Narrow"/>
                <w:sz w:val="20"/>
              </w:rPr>
            </w:pPr>
            <w:r w:rsidRPr="005F039C">
              <w:rPr>
                <w:rFonts w:ascii="Arial Narrow" w:hAnsi="Arial Narrow"/>
                <w:sz w:val="20"/>
              </w:rPr>
              <w:t>Used</w:t>
            </w:r>
          </w:p>
        </w:tc>
      </w:tr>
      <w:tr w:rsidR="00607D0A" w:rsidRPr="005F039C">
        <w:trPr>
          <w:trHeight w:val="212"/>
        </w:trPr>
        <w:tc>
          <w:tcPr>
            <w:tcW w:w="8363" w:type="dxa"/>
            <w:gridSpan w:val="7"/>
            <w:shd w:val="clear" w:color="auto" w:fill="auto"/>
            <w:vAlign w:val="center"/>
          </w:tcPr>
          <w:p w:rsidR="00607D0A" w:rsidRPr="005F039C" w:rsidDel="00E51FB6" w:rsidRDefault="00607D0A" w:rsidP="00607D0A">
            <w:pPr>
              <w:keepNext/>
              <w:keepLines/>
              <w:rPr>
                <w:rFonts w:ascii="Arial Narrow" w:hAnsi="Arial Narrow"/>
                <w:sz w:val="20"/>
              </w:rPr>
            </w:pPr>
            <w:r w:rsidRPr="005F039C">
              <w:rPr>
                <w:rFonts w:ascii="Arial Narrow" w:hAnsi="Arial Narrow"/>
                <w:sz w:val="20"/>
              </w:rPr>
              <w:t>Ranibizumab versus sham injection used for the indirect comparison</w:t>
            </w:r>
          </w:p>
        </w:tc>
      </w:tr>
      <w:tr w:rsidR="00607D0A" w:rsidRPr="005F039C">
        <w:trPr>
          <w:trHeight w:val="895"/>
        </w:trPr>
        <w:tc>
          <w:tcPr>
            <w:tcW w:w="992" w:type="dxa"/>
            <w:shd w:val="clear" w:color="auto" w:fill="auto"/>
            <w:vAlign w:val="center"/>
          </w:tcPr>
          <w:p w:rsidR="00607D0A" w:rsidRPr="005F039C" w:rsidRDefault="00607D0A" w:rsidP="00607D0A">
            <w:pPr>
              <w:keepNext/>
              <w:keepLines/>
              <w:rPr>
                <w:rFonts w:ascii="Arial Narrow" w:hAnsi="Arial Narrow"/>
                <w:sz w:val="20"/>
              </w:rPr>
            </w:pPr>
            <w:r w:rsidRPr="005F039C">
              <w:rPr>
                <w:rFonts w:ascii="Arial Narrow" w:hAnsi="Arial Narrow"/>
                <w:sz w:val="20"/>
              </w:rPr>
              <w:t>CRUISE</w:t>
            </w:r>
          </w:p>
        </w:tc>
        <w:tc>
          <w:tcPr>
            <w:tcW w:w="567" w:type="dxa"/>
            <w:shd w:val="clear" w:color="auto" w:fill="auto"/>
            <w:vAlign w:val="center"/>
          </w:tcPr>
          <w:p w:rsidR="00607D0A" w:rsidRPr="005F039C" w:rsidRDefault="00607D0A" w:rsidP="00607D0A">
            <w:pPr>
              <w:keepNext/>
              <w:keepLines/>
              <w:jc w:val="center"/>
              <w:rPr>
                <w:rFonts w:ascii="Arial Narrow" w:hAnsi="Arial Narrow"/>
                <w:sz w:val="20"/>
              </w:rPr>
            </w:pPr>
            <w:r w:rsidRPr="005F039C">
              <w:rPr>
                <w:rFonts w:ascii="Arial Narrow" w:hAnsi="Arial Narrow"/>
                <w:sz w:val="20"/>
              </w:rPr>
              <w:t>392</w:t>
            </w:r>
          </w:p>
        </w:tc>
        <w:tc>
          <w:tcPr>
            <w:tcW w:w="993" w:type="dxa"/>
            <w:shd w:val="clear" w:color="auto" w:fill="auto"/>
            <w:vAlign w:val="center"/>
          </w:tcPr>
          <w:p w:rsidR="00607D0A" w:rsidRPr="005F039C" w:rsidRDefault="00607D0A" w:rsidP="00607D0A">
            <w:pPr>
              <w:keepNext/>
              <w:keepLines/>
              <w:jc w:val="center"/>
              <w:rPr>
                <w:rFonts w:ascii="Arial Narrow" w:hAnsi="Arial Narrow"/>
                <w:sz w:val="20"/>
              </w:rPr>
            </w:pPr>
            <w:r w:rsidRPr="005F039C">
              <w:rPr>
                <w:rFonts w:ascii="Arial Narrow" w:hAnsi="Arial Narrow"/>
                <w:sz w:val="20"/>
              </w:rPr>
              <w:t>R, DB</w:t>
            </w:r>
          </w:p>
        </w:tc>
        <w:tc>
          <w:tcPr>
            <w:tcW w:w="850" w:type="dxa"/>
            <w:shd w:val="clear" w:color="auto" w:fill="auto"/>
            <w:vAlign w:val="center"/>
          </w:tcPr>
          <w:p w:rsidR="00607D0A" w:rsidRPr="005F039C" w:rsidRDefault="00607D0A" w:rsidP="00607D0A">
            <w:pPr>
              <w:keepNext/>
              <w:keepLines/>
              <w:jc w:val="center"/>
              <w:rPr>
                <w:rFonts w:ascii="Arial Narrow" w:hAnsi="Arial Narrow"/>
                <w:sz w:val="20"/>
              </w:rPr>
            </w:pPr>
            <w:r w:rsidRPr="005F039C">
              <w:rPr>
                <w:rFonts w:ascii="Arial Narrow" w:hAnsi="Arial Narrow"/>
                <w:sz w:val="20"/>
              </w:rPr>
              <w:t>Low</w:t>
            </w:r>
          </w:p>
        </w:tc>
        <w:tc>
          <w:tcPr>
            <w:tcW w:w="2552" w:type="dxa"/>
            <w:shd w:val="clear" w:color="auto" w:fill="auto"/>
            <w:vAlign w:val="center"/>
          </w:tcPr>
          <w:p w:rsidR="00607D0A" w:rsidRPr="005F039C" w:rsidRDefault="00607D0A" w:rsidP="00607D0A">
            <w:pPr>
              <w:keepNext/>
              <w:keepLines/>
              <w:jc w:val="center"/>
              <w:rPr>
                <w:rFonts w:ascii="Arial Narrow" w:hAnsi="Arial Narrow"/>
                <w:sz w:val="20"/>
              </w:rPr>
            </w:pPr>
            <w:r w:rsidRPr="005F039C">
              <w:rPr>
                <w:rFonts w:ascii="Arial Narrow" w:hAnsi="Arial Narrow"/>
                <w:sz w:val="20"/>
              </w:rPr>
              <w:t>Patients with ≥250µm CST as measured by OCT and a Snellen equivalent BCVA of 20/40 to 20/320</w:t>
            </w:r>
          </w:p>
        </w:tc>
        <w:tc>
          <w:tcPr>
            <w:tcW w:w="1417" w:type="dxa"/>
            <w:shd w:val="clear" w:color="auto" w:fill="auto"/>
            <w:vAlign w:val="center"/>
          </w:tcPr>
          <w:p w:rsidR="00607D0A" w:rsidRPr="005F039C" w:rsidRDefault="00607D0A" w:rsidP="00607D0A">
            <w:pPr>
              <w:keepNext/>
              <w:keepLines/>
              <w:jc w:val="center"/>
              <w:rPr>
                <w:rFonts w:ascii="Arial Narrow" w:hAnsi="Arial Narrow"/>
                <w:sz w:val="20"/>
              </w:rPr>
            </w:pPr>
            <w:r w:rsidRPr="005F039C">
              <w:rPr>
                <w:rFonts w:ascii="Arial Narrow" w:hAnsi="Arial Narrow"/>
                <w:sz w:val="20"/>
              </w:rPr>
              <w:t>Mean change from baseline in BCVA at Month 6</w:t>
            </w:r>
          </w:p>
        </w:tc>
        <w:tc>
          <w:tcPr>
            <w:tcW w:w="992" w:type="dxa"/>
            <w:shd w:val="clear" w:color="auto" w:fill="auto"/>
            <w:vAlign w:val="center"/>
          </w:tcPr>
          <w:p w:rsidR="00607D0A" w:rsidRPr="005F039C" w:rsidRDefault="00607D0A" w:rsidP="00607D0A">
            <w:pPr>
              <w:keepNext/>
              <w:keepLines/>
              <w:jc w:val="center"/>
              <w:rPr>
                <w:rFonts w:ascii="Arial Narrow" w:hAnsi="Arial Narrow"/>
                <w:sz w:val="20"/>
              </w:rPr>
            </w:pPr>
            <w:r w:rsidRPr="005F039C">
              <w:rPr>
                <w:rFonts w:ascii="Arial Narrow" w:hAnsi="Arial Narrow"/>
                <w:sz w:val="20"/>
              </w:rPr>
              <w:t>Not used</w:t>
            </w:r>
          </w:p>
        </w:tc>
      </w:tr>
    </w:tbl>
    <w:p w:rsidR="00607D0A" w:rsidRPr="005F039C" w:rsidRDefault="00607D0A" w:rsidP="00607D0A">
      <w:pPr>
        <w:pStyle w:val="ListParagraph"/>
        <w:keepNext/>
        <w:keepLines/>
        <w:ind w:left="709"/>
        <w:rPr>
          <w:rFonts w:ascii="Arial Narrow" w:hAnsi="Arial Narrow"/>
          <w:sz w:val="18"/>
          <w:szCs w:val="18"/>
        </w:rPr>
      </w:pPr>
      <w:r w:rsidRPr="005F039C">
        <w:rPr>
          <w:rFonts w:ascii="Arial Narrow" w:hAnsi="Arial Narrow"/>
          <w:sz w:val="18"/>
          <w:szCs w:val="18"/>
        </w:rPr>
        <w:t>Abbreviations: BCVA=best corrected visual acuity; CST=central subfield thickness; DB=double blind; ETDRS=Early Treatment Diabetic Retinopathy Study; OCT=optical coherence tomography; R=</w:t>
      </w:r>
      <w:r w:rsidR="000801B9" w:rsidRPr="005F039C">
        <w:rPr>
          <w:rFonts w:ascii="Arial Narrow" w:hAnsi="Arial Narrow"/>
          <w:sz w:val="18"/>
          <w:szCs w:val="18"/>
        </w:rPr>
        <w:t>randomised</w:t>
      </w:r>
      <w:r w:rsidRPr="005F039C">
        <w:rPr>
          <w:rFonts w:ascii="Arial Narrow" w:hAnsi="Arial Narrow"/>
          <w:sz w:val="18"/>
          <w:szCs w:val="18"/>
        </w:rPr>
        <w:t xml:space="preserve">. </w:t>
      </w:r>
    </w:p>
    <w:p w:rsidR="00607D0A" w:rsidRPr="005F039C" w:rsidRDefault="00607D0A" w:rsidP="00607D0A">
      <w:pPr>
        <w:pStyle w:val="ListParagraph"/>
        <w:keepNext/>
        <w:keepLines/>
        <w:ind w:left="709"/>
        <w:rPr>
          <w:rFonts w:ascii="Arial Narrow" w:hAnsi="Arial Narrow"/>
          <w:sz w:val="18"/>
          <w:szCs w:val="18"/>
        </w:rPr>
      </w:pPr>
      <w:r w:rsidRPr="005F039C">
        <w:rPr>
          <w:rFonts w:ascii="Arial Narrow" w:hAnsi="Arial Narrow"/>
          <w:sz w:val="18"/>
          <w:szCs w:val="18"/>
        </w:rPr>
        <w:t>Source: compiled during the evaluation</w:t>
      </w:r>
    </w:p>
    <w:p w:rsidR="00607D0A" w:rsidRPr="005F039C" w:rsidRDefault="00607D0A" w:rsidP="00607D0A">
      <w:pPr>
        <w:rPr>
          <w:szCs w:val="22"/>
        </w:rPr>
      </w:pPr>
    </w:p>
    <w:p w:rsidR="00607D0A" w:rsidRPr="00B3341B" w:rsidRDefault="00607D0A" w:rsidP="00B3341B">
      <w:pPr>
        <w:rPr>
          <w:b/>
        </w:rPr>
      </w:pPr>
      <w:bookmarkStart w:id="10" w:name="_Toc398652406"/>
      <w:r w:rsidRPr="00B3341B">
        <w:rPr>
          <w:b/>
        </w:rPr>
        <w:t>Comparative effectiveness</w:t>
      </w:r>
      <w:bookmarkEnd w:id="10"/>
    </w:p>
    <w:p w:rsidR="00607D0A" w:rsidRPr="005F039C" w:rsidRDefault="00607D0A" w:rsidP="00607D0A">
      <w:pPr>
        <w:rPr>
          <w:szCs w:val="22"/>
        </w:rPr>
      </w:pPr>
    </w:p>
    <w:p w:rsidR="00607D0A" w:rsidRPr="005F039C" w:rsidRDefault="00607D0A" w:rsidP="00745891">
      <w:pPr>
        <w:pStyle w:val="ListParagraph"/>
        <w:widowControl/>
        <w:numPr>
          <w:ilvl w:val="1"/>
          <w:numId w:val="3"/>
        </w:numPr>
        <w:ind w:left="709" w:hanging="709"/>
        <w:rPr>
          <w:szCs w:val="22"/>
        </w:rPr>
      </w:pPr>
      <w:r w:rsidRPr="005F039C">
        <w:t xml:space="preserve">The PBAC </w:t>
      </w:r>
      <w:r w:rsidR="0013385B" w:rsidRPr="005F039C">
        <w:t xml:space="preserve">has previously </w:t>
      </w:r>
      <w:r w:rsidRPr="005F039C">
        <w:t>accepted the claim that aflibercept has superior effectiveness and a similar safety profile to placebo</w:t>
      </w:r>
      <w:r w:rsidR="00E305B2" w:rsidRPr="005F039C">
        <w:t>. However, the PBAC</w:t>
      </w:r>
      <w:r w:rsidRPr="005F039C">
        <w:t xml:space="preserve"> remained concerned</w:t>
      </w:r>
      <w:r w:rsidR="00E305B2" w:rsidRPr="005F039C">
        <w:t xml:space="preserve"> about</w:t>
      </w:r>
      <w:r w:rsidRPr="005F039C">
        <w:t xml:space="preserve"> the long</w:t>
      </w:r>
      <w:r w:rsidR="0013385B" w:rsidRPr="005F039C">
        <w:t>-</w:t>
      </w:r>
      <w:r w:rsidRPr="005F039C">
        <w:t xml:space="preserve">term efficacy of aflibercept, considering the previous </w:t>
      </w:r>
      <w:r w:rsidR="00525231" w:rsidRPr="005F039C">
        <w:t>resubmission</w:t>
      </w:r>
      <w:r w:rsidRPr="005F039C">
        <w:t xml:space="preserve"> did not provide any evidence relating the revised loading dose (three </w:t>
      </w:r>
      <w:r w:rsidRPr="005F039C">
        <w:lastRenderedPageBreak/>
        <w:t>doses given monthly) to longer term clinical efficacy (paragraph 7.5, March 2014 PBAC minutes).</w:t>
      </w:r>
    </w:p>
    <w:p w:rsidR="00BB562D" w:rsidRPr="005F039C" w:rsidRDefault="00BB562D" w:rsidP="00BB562D">
      <w:pPr>
        <w:widowControl/>
        <w:rPr>
          <w:szCs w:val="22"/>
        </w:rPr>
      </w:pPr>
    </w:p>
    <w:p w:rsidR="00BB562D" w:rsidRPr="005F039C" w:rsidRDefault="00BB562D" w:rsidP="00BB562D">
      <w:pPr>
        <w:ind w:left="709" w:firstLine="11"/>
        <w:rPr>
          <w:rFonts w:ascii="Arial Narrow" w:hAnsi="Arial Narrow"/>
          <w:b/>
          <w:sz w:val="20"/>
          <w:szCs w:val="16"/>
        </w:rPr>
      </w:pPr>
      <w:r w:rsidRPr="005F039C">
        <w:rPr>
          <w:rStyle w:val="CommentReference"/>
        </w:rPr>
        <w:t>Results of the primary endpoint of proportion of subjects who gained at least 15 letters in best BCVA at week 24</w:t>
      </w:r>
      <w:r w:rsidR="00C864D8" w:rsidRPr="005F039C">
        <w:rPr>
          <w:rStyle w:val="CommentReference"/>
        </w:rPr>
        <w:t xml:space="preserve"> – aflibercept vs sham injection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1696"/>
        <w:gridCol w:w="1573"/>
        <w:gridCol w:w="1687"/>
        <w:gridCol w:w="1687"/>
      </w:tblGrid>
      <w:tr w:rsidR="00BB562D" w:rsidRPr="005F039C">
        <w:trPr>
          <w:tblHeader/>
        </w:trPr>
        <w:tc>
          <w:tcPr>
            <w:tcW w:w="1556" w:type="dxa"/>
          </w:tcPr>
          <w:p w:rsidR="00BB562D" w:rsidRPr="005F039C" w:rsidRDefault="00BB562D" w:rsidP="00C574B3">
            <w:pPr>
              <w:rPr>
                <w:rFonts w:ascii="Arial Narrow" w:hAnsi="Arial Narrow"/>
                <w:b/>
                <w:sz w:val="20"/>
              </w:rPr>
            </w:pPr>
            <w:r w:rsidRPr="005F039C">
              <w:rPr>
                <w:rFonts w:ascii="Arial Narrow" w:hAnsi="Arial Narrow"/>
                <w:b/>
                <w:sz w:val="20"/>
              </w:rPr>
              <w:t>Trial ID</w:t>
            </w:r>
          </w:p>
        </w:tc>
        <w:tc>
          <w:tcPr>
            <w:tcW w:w="1696" w:type="dxa"/>
          </w:tcPr>
          <w:p w:rsidR="00BB562D" w:rsidRPr="005F039C" w:rsidRDefault="00BB562D" w:rsidP="00C574B3">
            <w:pPr>
              <w:ind w:right="-108"/>
              <w:jc w:val="center"/>
              <w:rPr>
                <w:rFonts w:ascii="Arial Narrow" w:hAnsi="Arial Narrow"/>
                <w:b/>
                <w:sz w:val="20"/>
              </w:rPr>
            </w:pPr>
            <w:r w:rsidRPr="005F039C">
              <w:rPr>
                <w:rFonts w:ascii="Arial Narrow" w:hAnsi="Arial Narrow"/>
                <w:b/>
                <w:sz w:val="20"/>
              </w:rPr>
              <w:t>Aflibercept</w:t>
            </w:r>
          </w:p>
          <w:p w:rsidR="00BB562D" w:rsidRPr="005F039C" w:rsidRDefault="00BB562D" w:rsidP="00C574B3">
            <w:pPr>
              <w:ind w:right="-108"/>
              <w:jc w:val="center"/>
              <w:rPr>
                <w:rFonts w:ascii="Arial Narrow" w:hAnsi="Arial Narrow"/>
                <w:b/>
                <w:sz w:val="20"/>
              </w:rPr>
            </w:pPr>
            <w:r w:rsidRPr="005F039C">
              <w:rPr>
                <w:rFonts w:ascii="Arial Narrow" w:hAnsi="Arial Narrow"/>
                <w:b/>
                <w:sz w:val="20"/>
              </w:rPr>
              <w:t>n/N (%)</w:t>
            </w:r>
          </w:p>
        </w:tc>
        <w:tc>
          <w:tcPr>
            <w:tcW w:w="1573" w:type="dxa"/>
          </w:tcPr>
          <w:p w:rsidR="00BB562D" w:rsidRPr="005F039C" w:rsidRDefault="00BB562D" w:rsidP="00C574B3">
            <w:pPr>
              <w:jc w:val="center"/>
              <w:rPr>
                <w:rFonts w:ascii="Arial Narrow" w:hAnsi="Arial Narrow"/>
                <w:b/>
                <w:sz w:val="20"/>
              </w:rPr>
            </w:pPr>
            <w:r w:rsidRPr="005F039C">
              <w:rPr>
                <w:rFonts w:ascii="Arial Narrow" w:hAnsi="Arial Narrow"/>
                <w:b/>
                <w:sz w:val="20"/>
              </w:rPr>
              <w:t>Sham injection</w:t>
            </w:r>
          </w:p>
          <w:p w:rsidR="00BB562D" w:rsidRPr="005F039C" w:rsidRDefault="00BB562D" w:rsidP="00C574B3">
            <w:pPr>
              <w:jc w:val="center"/>
              <w:rPr>
                <w:rFonts w:ascii="Arial Narrow" w:hAnsi="Arial Narrow"/>
                <w:b/>
                <w:sz w:val="20"/>
              </w:rPr>
            </w:pPr>
            <w:r w:rsidRPr="005F039C">
              <w:rPr>
                <w:rFonts w:ascii="Arial Narrow" w:hAnsi="Arial Narrow"/>
                <w:b/>
                <w:sz w:val="20"/>
              </w:rPr>
              <w:t xml:space="preserve">n/N (%) </w:t>
            </w:r>
          </w:p>
        </w:tc>
        <w:tc>
          <w:tcPr>
            <w:tcW w:w="1687" w:type="dxa"/>
          </w:tcPr>
          <w:p w:rsidR="00BB562D" w:rsidRPr="005F039C" w:rsidRDefault="00BB562D" w:rsidP="00C574B3">
            <w:pPr>
              <w:jc w:val="center"/>
              <w:rPr>
                <w:rFonts w:ascii="Arial Narrow" w:hAnsi="Arial Narrow"/>
                <w:b/>
                <w:sz w:val="20"/>
              </w:rPr>
            </w:pPr>
            <w:r w:rsidRPr="005F039C">
              <w:rPr>
                <w:rFonts w:ascii="Arial Narrow" w:hAnsi="Arial Narrow"/>
                <w:b/>
                <w:sz w:val="20"/>
              </w:rPr>
              <w:t>RD (95% CI)</w:t>
            </w:r>
          </w:p>
        </w:tc>
        <w:tc>
          <w:tcPr>
            <w:tcW w:w="1687" w:type="dxa"/>
          </w:tcPr>
          <w:p w:rsidR="00BB562D" w:rsidRPr="005F039C" w:rsidRDefault="00BB562D" w:rsidP="00C574B3">
            <w:pPr>
              <w:jc w:val="center"/>
              <w:rPr>
                <w:rFonts w:ascii="Arial Narrow" w:hAnsi="Arial Narrow"/>
                <w:b/>
                <w:sz w:val="20"/>
              </w:rPr>
            </w:pPr>
            <w:r w:rsidRPr="005F039C">
              <w:rPr>
                <w:rFonts w:ascii="Arial Narrow" w:hAnsi="Arial Narrow"/>
                <w:b/>
                <w:sz w:val="20"/>
              </w:rPr>
              <w:t>RR (95% CI)</w:t>
            </w:r>
          </w:p>
        </w:tc>
      </w:tr>
      <w:tr w:rsidR="00BB562D" w:rsidRPr="005F039C">
        <w:tc>
          <w:tcPr>
            <w:tcW w:w="1556" w:type="dxa"/>
          </w:tcPr>
          <w:p w:rsidR="00BB562D" w:rsidRPr="005F039C" w:rsidRDefault="00BB562D" w:rsidP="00C574B3">
            <w:pPr>
              <w:rPr>
                <w:rFonts w:ascii="Arial Narrow" w:hAnsi="Arial Narrow"/>
                <w:sz w:val="20"/>
              </w:rPr>
            </w:pPr>
            <w:r w:rsidRPr="005F039C">
              <w:rPr>
                <w:rFonts w:ascii="Arial Narrow" w:hAnsi="Arial Narrow"/>
                <w:sz w:val="20"/>
              </w:rPr>
              <w:t>COPERNICUS</w:t>
            </w:r>
          </w:p>
        </w:tc>
        <w:tc>
          <w:tcPr>
            <w:tcW w:w="1696" w:type="dxa"/>
          </w:tcPr>
          <w:p w:rsidR="00BB562D" w:rsidRPr="005F039C" w:rsidRDefault="00BB562D" w:rsidP="00C574B3">
            <w:pPr>
              <w:ind w:left="-108" w:right="-108"/>
              <w:jc w:val="center"/>
              <w:rPr>
                <w:rFonts w:ascii="Arial Narrow" w:hAnsi="Arial Narrow"/>
                <w:sz w:val="20"/>
              </w:rPr>
            </w:pPr>
            <w:r w:rsidRPr="005F039C">
              <w:rPr>
                <w:rFonts w:ascii="Arial Narrow" w:hAnsi="Arial Narrow"/>
                <w:sz w:val="20"/>
              </w:rPr>
              <w:t>64/114 (56.1%)</w:t>
            </w:r>
          </w:p>
        </w:tc>
        <w:tc>
          <w:tcPr>
            <w:tcW w:w="1573" w:type="dxa"/>
          </w:tcPr>
          <w:p w:rsidR="00BB562D" w:rsidRPr="005F039C" w:rsidRDefault="00BB562D" w:rsidP="00C574B3">
            <w:pPr>
              <w:jc w:val="center"/>
              <w:rPr>
                <w:rFonts w:ascii="Arial Narrow" w:hAnsi="Arial Narrow"/>
                <w:sz w:val="20"/>
              </w:rPr>
            </w:pPr>
            <w:r w:rsidRPr="005F039C">
              <w:rPr>
                <w:rFonts w:ascii="Arial Narrow" w:hAnsi="Arial Narrow"/>
                <w:sz w:val="20"/>
              </w:rPr>
              <w:t>9/73 (12.3%)</w:t>
            </w:r>
          </w:p>
        </w:tc>
        <w:tc>
          <w:tcPr>
            <w:tcW w:w="1687" w:type="dxa"/>
          </w:tcPr>
          <w:p w:rsidR="00BB562D" w:rsidRPr="005F039C" w:rsidRDefault="00BB562D" w:rsidP="00C574B3">
            <w:pPr>
              <w:jc w:val="center"/>
              <w:rPr>
                <w:rFonts w:ascii="Arial Narrow" w:hAnsi="Arial Narrow"/>
                <w:sz w:val="20"/>
              </w:rPr>
            </w:pPr>
            <w:r w:rsidRPr="005F039C">
              <w:rPr>
                <w:rFonts w:ascii="Arial Narrow" w:hAnsi="Arial Narrow"/>
                <w:sz w:val="20"/>
              </w:rPr>
              <w:t>0.45 (0.33, 0.57)</w:t>
            </w:r>
          </w:p>
        </w:tc>
        <w:tc>
          <w:tcPr>
            <w:tcW w:w="1687" w:type="dxa"/>
          </w:tcPr>
          <w:p w:rsidR="00BB562D" w:rsidRPr="005F039C" w:rsidRDefault="00BB562D" w:rsidP="00C574B3">
            <w:pPr>
              <w:jc w:val="center"/>
              <w:rPr>
                <w:rFonts w:ascii="Arial Narrow" w:hAnsi="Arial Narrow"/>
                <w:sz w:val="20"/>
              </w:rPr>
            </w:pPr>
            <w:r w:rsidRPr="005F039C">
              <w:rPr>
                <w:rFonts w:ascii="Arial Narrow" w:hAnsi="Arial Narrow"/>
                <w:sz w:val="20"/>
              </w:rPr>
              <w:t>4.55 (2.42, 8.57)</w:t>
            </w:r>
          </w:p>
        </w:tc>
      </w:tr>
      <w:tr w:rsidR="00BB562D" w:rsidRPr="005F039C">
        <w:tc>
          <w:tcPr>
            <w:tcW w:w="1556" w:type="dxa"/>
          </w:tcPr>
          <w:p w:rsidR="00BB562D" w:rsidRPr="005F039C" w:rsidRDefault="00BB562D" w:rsidP="00C574B3">
            <w:pPr>
              <w:rPr>
                <w:rFonts w:ascii="Arial Narrow" w:hAnsi="Arial Narrow"/>
                <w:sz w:val="20"/>
              </w:rPr>
            </w:pPr>
            <w:r w:rsidRPr="005F039C">
              <w:rPr>
                <w:rFonts w:ascii="Arial Narrow" w:hAnsi="Arial Narrow"/>
                <w:sz w:val="20"/>
              </w:rPr>
              <w:t>GALILEO</w:t>
            </w:r>
          </w:p>
        </w:tc>
        <w:tc>
          <w:tcPr>
            <w:tcW w:w="1696" w:type="dxa"/>
          </w:tcPr>
          <w:p w:rsidR="00BB562D" w:rsidRPr="005F039C" w:rsidRDefault="00BB562D" w:rsidP="00C574B3">
            <w:pPr>
              <w:ind w:left="-108" w:right="-108"/>
              <w:jc w:val="center"/>
              <w:rPr>
                <w:rFonts w:ascii="Arial Narrow" w:hAnsi="Arial Narrow"/>
                <w:sz w:val="20"/>
              </w:rPr>
            </w:pPr>
            <w:r w:rsidRPr="005F039C">
              <w:rPr>
                <w:rFonts w:ascii="Arial Narrow" w:hAnsi="Arial Narrow"/>
                <w:sz w:val="20"/>
              </w:rPr>
              <w:t>62/103 (60.2%)</w:t>
            </w:r>
          </w:p>
        </w:tc>
        <w:tc>
          <w:tcPr>
            <w:tcW w:w="1573" w:type="dxa"/>
          </w:tcPr>
          <w:p w:rsidR="00BB562D" w:rsidRPr="005F039C" w:rsidRDefault="00BB562D" w:rsidP="00C574B3">
            <w:pPr>
              <w:jc w:val="center"/>
              <w:rPr>
                <w:rFonts w:ascii="Arial Narrow" w:hAnsi="Arial Narrow"/>
                <w:sz w:val="20"/>
              </w:rPr>
            </w:pPr>
            <w:r w:rsidRPr="005F039C">
              <w:rPr>
                <w:rFonts w:ascii="Arial Narrow" w:hAnsi="Arial Narrow"/>
                <w:sz w:val="20"/>
              </w:rPr>
              <w:t>15/68 (22.1%)</w:t>
            </w:r>
          </w:p>
        </w:tc>
        <w:tc>
          <w:tcPr>
            <w:tcW w:w="1687" w:type="dxa"/>
          </w:tcPr>
          <w:p w:rsidR="00BB562D" w:rsidRPr="005F039C" w:rsidRDefault="00BB562D" w:rsidP="00C574B3">
            <w:pPr>
              <w:jc w:val="center"/>
              <w:rPr>
                <w:rFonts w:ascii="Arial Narrow" w:hAnsi="Arial Narrow"/>
                <w:sz w:val="20"/>
              </w:rPr>
            </w:pPr>
            <w:r w:rsidRPr="005F039C">
              <w:rPr>
                <w:rFonts w:ascii="Arial Narrow" w:hAnsi="Arial Narrow"/>
                <w:sz w:val="20"/>
              </w:rPr>
              <w:t>0.38 (0.24, 0.52)</w:t>
            </w:r>
          </w:p>
        </w:tc>
        <w:tc>
          <w:tcPr>
            <w:tcW w:w="1687" w:type="dxa"/>
          </w:tcPr>
          <w:p w:rsidR="00BB562D" w:rsidRPr="005F039C" w:rsidRDefault="00BB562D" w:rsidP="00C574B3">
            <w:pPr>
              <w:jc w:val="center"/>
              <w:rPr>
                <w:rFonts w:ascii="Arial Narrow" w:hAnsi="Arial Narrow"/>
                <w:sz w:val="20"/>
              </w:rPr>
            </w:pPr>
            <w:r w:rsidRPr="005F039C">
              <w:rPr>
                <w:rFonts w:ascii="Arial Narrow" w:hAnsi="Arial Narrow"/>
                <w:sz w:val="20"/>
              </w:rPr>
              <w:t>2.73 (1.70, 4.38)</w:t>
            </w:r>
          </w:p>
        </w:tc>
      </w:tr>
      <w:tr w:rsidR="00BB562D" w:rsidRPr="005F039C">
        <w:tc>
          <w:tcPr>
            <w:tcW w:w="1556" w:type="dxa"/>
          </w:tcPr>
          <w:p w:rsidR="00BB562D" w:rsidRPr="005F039C" w:rsidRDefault="00BB562D" w:rsidP="00C574B3">
            <w:pPr>
              <w:rPr>
                <w:rFonts w:ascii="Arial Narrow" w:hAnsi="Arial Narrow"/>
                <w:sz w:val="20"/>
              </w:rPr>
            </w:pPr>
            <w:r w:rsidRPr="005F039C">
              <w:rPr>
                <w:rFonts w:ascii="Arial Narrow" w:hAnsi="Arial Narrow"/>
                <w:sz w:val="20"/>
              </w:rPr>
              <w:t>Pooled result</w:t>
            </w:r>
          </w:p>
        </w:tc>
        <w:tc>
          <w:tcPr>
            <w:tcW w:w="1696" w:type="dxa"/>
          </w:tcPr>
          <w:p w:rsidR="00BB562D" w:rsidRPr="005F039C" w:rsidRDefault="00BB562D" w:rsidP="00C574B3">
            <w:pPr>
              <w:ind w:left="-108" w:right="-108"/>
              <w:jc w:val="center"/>
              <w:rPr>
                <w:rFonts w:ascii="Arial Narrow" w:hAnsi="Arial Narrow"/>
                <w:sz w:val="20"/>
              </w:rPr>
            </w:pPr>
            <w:r w:rsidRPr="005F039C">
              <w:rPr>
                <w:rFonts w:ascii="Arial Narrow" w:hAnsi="Arial Narrow"/>
                <w:sz w:val="20"/>
              </w:rPr>
              <w:t>126/217 (58.1%)</w:t>
            </w:r>
          </w:p>
        </w:tc>
        <w:tc>
          <w:tcPr>
            <w:tcW w:w="1573" w:type="dxa"/>
          </w:tcPr>
          <w:p w:rsidR="00BB562D" w:rsidRPr="005F039C" w:rsidRDefault="00BB562D" w:rsidP="00C574B3">
            <w:pPr>
              <w:ind w:left="-108" w:right="-90"/>
              <w:jc w:val="center"/>
              <w:rPr>
                <w:rFonts w:ascii="Arial Narrow" w:hAnsi="Arial Narrow"/>
                <w:sz w:val="20"/>
              </w:rPr>
            </w:pPr>
            <w:r w:rsidRPr="005F039C">
              <w:rPr>
                <w:rFonts w:ascii="Arial Narrow" w:hAnsi="Arial Narrow"/>
                <w:sz w:val="20"/>
              </w:rPr>
              <w:t>24/141 (17.0%)</w:t>
            </w:r>
          </w:p>
        </w:tc>
        <w:tc>
          <w:tcPr>
            <w:tcW w:w="1687" w:type="dxa"/>
          </w:tcPr>
          <w:p w:rsidR="00BB562D" w:rsidRPr="005F039C" w:rsidRDefault="00BB562D" w:rsidP="00C574B3">
            <w:pPr>
              <w:jc w:val="center"/>
              <w:rPr>
                <w:rFonts w:ascii="Arial Narrow" w:hAnsi="Arial Narrow"/>
                <w:sz w:val="20"/>
              </w:rPr>
            </w:pPr>
            <w:r w:rsidRPr="005F039C">
              <w:rPr>
                <w:rFonts w:ascii="Arial Narrow" w:hAnsi="Arial Narrow"/>
                <w:sz w:val="20"/>
              </w:rPr>
              <w:t>0.41 (0.32, 0.50)</w:t>
            </w:r>
          </w:p>
        </w:tc>
        <w:tc>
          <w:tcPr>
            <w:tcW w:w="1687" w:type="dxa"/>
          </w:tcPr>
          <w:p w:rsidR="00BB562D" w:rsidRPr="005F039C" w:rsidRDefault="00BB562D" w:rsidP="00C574B3">
            <w:pPr>
              <w:jc w:val="center"/>
              <w:rPr>
                <w:rFonts w:ascii="Arial Narrow" w:hAnsi="Arial Narrow"/>
                <w:sz w:val="20"/>
              </w:rPr>
            </w:pPr>
            <w:r w:rsidRPr="005F039C">
              <w:rPr>
                <w:rFonts w:ascii="Arial Narrow" w:hAnsi="Arial Narrow"/>
                <w:sz w:val="20"/>
              </w:rPr>
              <w:t>3.37 (2.04, 5.57)</w:t>
            </w:r>
          </w:p>
        </w:tc>
      </w:tr>
      <w:tr w:rsidR="00BB562D" w:rsidRPr="005F039C">
        <w:tc>
          <w:tcPr>
            <w:tcW w:w="8199" w:type="dxa"/>
            <w:gridSpan w:val="5"/>
            <w:vAlign w:val="center"/>
          </w:tcPr>
          <w:p w:rsidR="00BB562D" w:rsidRPr="005F039C" w:rsidRDefault="00BB562D" w:rsidP="00C574B3">
            <w:pPr>
              <w:rPr>
                <w:rFonts w:ascii="Arial Narrow" w:hAnsi="Arial Narrow"/>
                <w:sz w:val="20"/>
              </w:rPr>
            </w:pPr>
            <w:r w:rsidRPr="005F039C">
              <w:rPr>
                <w:rFonts w:ascii="Arial Narrow" w:hAnsi="Arial Narrow"/>
                <w:sz w:val="20"/>
              </w:rPr>
              <w:t>Chi-square for heterogeneity: 1.66, p=0.20, I</w:t>
            </w:r>
            <w:r w:rsidRPr="005F039C">
              <w:rPr>
                <w:rFonts w:ascii="Arial Narrow" w:hAnsi="Arial Narrow"/>
                <w:sz w:val="20"/>
                <w:vertAlign w:val="superscript"/>
              </w:rPr>
              <w:t>2</w:t>
            </w:r>
            <w:r w:rsidRPr="005F039C">
              <w:rPr>
                <w:rFonts w:ascii="Arial Narrow" w:hAnsi="Arial Narrow"/>
                <w:sz w:val="20"/>
              </w:rPr>
              <w:t>=40%</w:t>
            </w:r>
          </w:p>
        </w:tc>
      </w:tr>
    </w:tbl>
    <w:p w:rsidR="00BB562D" w:rsidRPr="005F039C" w:rsidRDefault="00BB562D" w:rsidP="00BB562D">
      <w:pPr>
        <w:pStyle w:val="ListParagraph"/>
        <w:ind w:left="709"/>
        <w:rPr>
          <w:rFonts w:ascii="Arial Narrow" w:hAnsi="Arial Narrow"/>
          <w:sz w:val="18"/>
          <w:szCs w:val="18"/>
        </w:rPr>
      </w:pPr>
      <w:r w:rsidRPr="005F039C">
        <w:rPr>
          <w:rFonts w:ascii="Arial Narrow" w:hAnsi="Arial Narrow"/>
          <w:sz w:val="18"/>
          <w:szCs w:val="18"/>
        </w:rPr>
        <w:t>Source: Table 27, p106 of the July 2013 submission</w:t>
      </w:r>
    </w:p>
    <w:p w:rsidR="00BB562D" w:rsidRPr="005F039C" w:rsidRDefault="00BB562D" w:rsidP="004C2F19">
      <w:pPr>
        <w:widowControl/>
        <w:ind w:left="709"/>
        <w:rPr>
          <w:rFonts w:ascii="Arial Narrow" w:hAnsi="Arial Narrow"/>
          <w:sz w:val="18"/>
          <w:szCs w:val="18"/>
        </w:rPr>
      </w:pPr>
      <w:r w:rsidRPr="005F039C">
        <w:rPr>
          <w:rFonts w:ascii="Arial Narrow" w:hAnsi="Arial Narrow"/>
          <w:sz w:val="18"/>
          <w:szCs w:val="18"/>
        </w:rPr>
        <w:t>BCVA=best corrected visual acuity; RD=risk difference; RR=relative risk</w:t>
      </w:r>
    </w:p>
    <w:p w:rsidR="004C2F19" w:rsidRPr="005F039C" w:rsidRDefault="004C2F19" w:rsidP="004C2F19"/>
    <w:p w:rsidR="00BB562D" w:rsidRPr="005F039C" w:rsidRDefault="00CF4FB9" w:rsidP="00745891">
      <w:pPr>
        <w:pStyle w:val="ListParagraph"/>
        <w:widowControl/>
        <w:numPr>
          <w:ilvl w:val="1"/>
          <w:numId w:val="3"/>
        </w:numPr>
        <w:ind w:left="709" w:hanging="709"/>
        <w:rPr>
          <w:szCs w:val="22"/>
        </w:rPr>
      </w:pPr>
      <w:r w:rsidRPr="005F039C">
        <w:rPr>
          <w:szCs w:val="22"/>
        </w:rPr>
        <w:t xml:space="preserve">The PBAC </w:t>
      </w:r>
      <w:r w:rsidR="0013385B" w:rsidRPr="005F039C">
        <w:rPr>
          <w:szCs w:val="22"/>
        </w:rPr>
        <w:t xml:space="preserve">has also previously </w:t>
      </w:r>
      <w:r w:rsidRPr="005F039C">
        <w:rPr>
          <w:szCs w:val="22"/>
        </w:rPr>
        <w:t>accepted the claim that aflibercept is non inferior in terms of efficacy and safety compared to ranibizumab (paragraph 6.29, Mar</w:t>
      </w:r>
      <w:r w:rsidR="000C3027" w:rsidRPr="005F039C">
        <w:rPr>
          <w:szCs w:val="22"/>
        </w:rPr>
        <w:t xml:space="preserve">ch 2014 PBAC minutes). </w:t>
      </w:r>
      <w:r w:rsidR="00E45C65" w:rsidRPr="005F039C">
        <w:rPr>
          <w:szCs w:val="22"/>
        </w:rPr>
        <w:t>The t</w:t>
      </w:r>
      <w:r w:rsidR="000C3027" w:rsidRPr="005F039C">
        <w:rPr>
          <w:szCs w:val="22"/>
        </w:rPr>
        <w:t xml:space="preserve">able </w:t>
      </w:r>
      <w:r w:rsidR="00E45C65" w:rsidRPr="005F039C">
        <w:rPr>
          <w:szCs w:val="22"/>
        </w:rPr>
        <w:t>below</w:t>
      </w:r>
      <w:r w:rsidRPr="005F039C">
        <w:rPr>
          <w:szCs w:val="22"/>
        </w:rPr>
        <w:t xml:space="preserve"> presents the results of the indirect comparison of efficacy of aflibercept versus ranibizumab.</w:t>
      </w:r>
    </w:p>
    <w:p w:rsidR="00BB562D" w:rsidRPr="005F039C" w:rsidRDefault="00BB562D" w:rsidP="005A0024">
      <w:pPr>
        <w:widowControl/>
        <w:rPr>
          <w:szCs w:val="22"/>
        </w:rPr>
      </w:pPr>
    </w:p>
    <w:p w:rsidR="00BB562D" w:rsidRPr="005F039C" w:rsidRDefault="00BB562D" w:rsidP="00CF4FB9">
      <w:pPr>
        <w:keepNext/>
        <w:ind w:left="709"/>
        <w:rPr>
          <w:rFonts w:ascii="Arial Narrow" w:hAnsi="Arial Narrow"/>
          <w:b/>
          <w:sz w:val="20"/>
        </w:rPr>
      </w:pPr>
      <w:r w:rsidRPr="005F039C">
        <w:rPr>
          <w:rFonts w:ascii="Arial Narrow" w:hAnsi="Arial Narrow"/>
          <w:b/>
          <w:sz w:val="20"/>
        </w:rPr>
        <w:t>Results of the indirect comparison - proportion of patients who gained ≥15 letters in BCVA</w:t>
      </w:r>
      <w:r w:rsidR="00C864D8" w:rsidRPr="005F039C">
        <w:rPr>
          <w:rFonts w:ascii="Arial Narrow" w:hAnsi="Arial Narrow"/>
          <w:b/>
          <w:sz w:val="20"/>
        </w:rPr>
        <w:t xml:space="preserve"> – aflibercept vs ranibizumab</w:t>
      </w:r>
    </w:p>
    <w:tbl>
      <w:tblPr>
        <w:tblW w:w="462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4"/>
        <w:gridCol w:w="1133"/>
        <w:gridCol w:w="918"/>
        <w:gridCol w:w="1023"/>
        <w:gridCol w:w="1066"/>
        <w:gridCol w:w="834"/>
        <w:gridCol w:w="1023"/>
        <w:gridCol w:w="1514"/>
      </w:tblGrid>
      <w:tr w:rsidR="00BB562D" w:rsidRPr="005F039C">
        <w:tc>
          <w:tcPr>
            <w:tcW w:w="526" w:type="pct"/>
            <w:vMerge w:val="restart"/>
            <w:tcBorders>
              <w:top w:val="single" w:sz="4" w:space="0" w:color="auto"/>
              <w:left w:val="single" w:sz="4" w:space="0" w:color="auto"/>
              <w:bottom w:val="single" w:sz="4" w:space="0" w:color="auto"/>
              <w:right w:val="single" w:sz="4" w:space="0" w:color="auto"/>
            </w:tcBorders>
            <w:tcMar>
              <w:right w:w="28" w:type="dxa"/>
            </w:tcMar>
            <w:vAlign w:val="bottom"/>
          </w:tcPr>
          <w:p w:rsidR="00BB562D" w:rsidRPr="005F039C" w:rsidRDefault="00BB562D" w:rsidP="00BB562D">
            <w:pPr>
              <w:keepNext/>
              <w:ind w:left="142"/>
              <w:rPr>
                <w:rFonts w:ascii="Arial Narrow" w:hAnsi="Arial Narrow"/>
                <w:b/>
                <w:bCs/>
                <w:sz w:val="19"/>
                <w:szCs w:val="19"/>
              </w:rPr>
            </w:pPr>
            <w:r w:rsidRPr="005F039C">
              <w:rPr>
                <w:rFonts w:ascii="Arial Narrow" w:hAnsi="Arial Narrow"/>
                <w:b/>
                <w:bCs/>
                <w:sz w:val="19"/>
                <w:szCs w:val="19"/>
              </w:rPr>
              <w:t>Trial ID</w:t>
            </w:r>
          </w:p>
        </w:tc>
        <w:tc>
          <w:tcPr>
            <w:tcW w:w="1831" w:type="pct"/>
            <w:gridSpan w:val="3"/>
            <w:tcBorders>
              <w:top w:val="single" w:sz="4" w:space="0" w:color="auto"/>
              <w:left w:val="nil"/>
              <w:bottom w:val="single" w:sz="4" w:space="0" w:color="auto"/>
              <w:right w:val="double" w:sz="4" w:space="0" w:color="auto"/>
            </w:tcBorders>
            <w:vAlign w:val="bottom"/>
          </w:tcPr>
          <w:p w:rsidR="00BB562D" w:rsidRPr="005F039C" w:rsidRDefault="00BB562D" w:rsidP="00BB562D">
            <w:pPr>
              <w:keepNext/>
              <w:ind w:left="142"/>
              <w:jc w:val="center"/>
              <w:rPr>
                <w:rFonts w:ascii="Arial Narrow" w:hAnsi="Arial Narrow"/>
                <w:b/>
                <w:bCs/>
                <w:sz w:val="19"/>
                <w:szCs w:val="19"/>
              </w:rPr>
            </w:pPr>
            <w:r w:rsidRPr="005F039C">
              <w:rPr>
                <w:rFonts w:ascii="Arial Narrow" w:hAnsi="Arial Narrow"/>
                <w:b/>
                <w:bCs/>
                <w:sz w:val="19"/>
                <w:szCs w:val="19"/>
              </w:rPr>
              <w:t>Aflibercept trials</w:t>
            </w:r>
          </w:p>
        </w:tc>
        <w:tc>
          <w:tcPr>
            <w:tcW w:w="1741" w:type="pct"/>
            <w:gridSpan w:val="3"/>
            <w:tcBorders>
              <w:top w:val="single" w:sz="4" w:space="0" w:color="auto"/>
              <w:left w:val="nil"/>
              <w:bottom w:val="single" w:sz="4" w:space="0" w:color="auto"/>
              <w:right w:val="single" w:sz="4" w:space="0" w:color="auto"/>
            </w:tcBorders>
            <w:vAlign w:val="bottom"/>
          </w:tcPr>
          <w:p w:rsidR="00BB562D" w:rsidRPr="005F039C" w:rsidRDefault="00BB562D" w:rsidP="00BB562D">
            <w:pPr>
              <w:keepNext/>
              <w:ind w:left="142"/>
              <w:jc w:val="center"/>
              <w:rPr>
                <w:rFonts w:ascii="Arial Narrow" w:hAnsi="Arial Narrow"/>
                <w:b/>
                <w:bCs/>
                <w:sz w:val="19"/>
                <w:szCs w:val="19"/>
              </w:rPr>
            </w:pPr>
            <w:r w:rsidRPr="005F039C">
              <w:rPr>
                <w:rFonts w:ascii="Arial Narrow" w:hAnsi="Arial Narrow"/>
                <w:b/>
                <w:bCs/>
                <w:sz w:val="19"/>
                <w:szCs w:val="19"/>
              </w:rPr>
              <w:t>Ranibizumab trials</w:t>
            </w:r>
          </w:p>
        </w:tc>
        <w:tc>
          <w:tcPr>
            <w:tcW w:w="902" w:type="pct"/>
            <w:vMerge w:val="restart"/>
            <w:tcBorders>
              <w:top w:val="single" w:sz="4" w:space="0" w:color="auto"/>
              <w:left w:val="single" w:sz="4" w:space="0" w:color="auto"/>
              <w:bottom w:val="single" w:sz="4" w:space="0" w:color="auto"/>
              <w:right w:val="single" w:sz="4" w:space="0" w:color="auto"/>
            </w:tcBorders>
            <w:vAlign w:val="bottom"/>
          </w:tcPr>
          <w:p w:rsidR="00BB562D" w:rsidRPr="005F039C" w:rsidRDefault="00BB562D" w:rsidP="00BB562D">
            <w:pPr>
              <w:keepNext/>
              <w:ind w:left="142"/>
              <w:jc w:val="center"/>
              <w:rPr>
                <w:rFonts w:ascii="Arial Narrow" w:hAnsi="Arial Narrow"/>
                <w:b/>
                <w:bCs/>
                <w:sz w:val="19"/>
                <w:szCs w:val="19"/>
              </w:rPr>
            </w:pPr>
            <w:r w:rsidRPr="005F039C">
              <w:rPr>
                <w:rFonts w:ascii="Arial Narrow" w:hAnsi="Arial Narrow"/>
                <w:b/>
                <w:bCs/>
                <w:sz w:val="19"/>
                <w:szCs w:val="19"/>
              </w:rPr>
              <w:t>Indirect OR</w:t>
            </w:r>
            <w:r w:rsidRPr="005F039C">
              <w:rPr>
                <w:rFonts w:ascii="Arial Narrow" w:hAnsi="Arial Narrow"/>
                <w:b/>
                <w:bCs/>
                <w:sz w:val="19"/>
                <w:szCs w:val="19"/>
              </w:rPr>
              <w:br/>
              <w:t>(95% CI)</w:t>
            </w:r>
          </w:p>
        </w:tc>
      </w:tr>
      <w:tr w:rsidR="00BB562D" w:rsidRPr="005F039C">
        <w:tc>
          <w:tcPr>
            <w:tcW w:w="526" w:type="pct"/>
            <w:vMerge/>
            <w:tcBorders>
              <w:top w:val="single" w:sz="4" w:space="0" w:color="auto"/>
              <w:left w:val="single" w:sz="4" w:space="0" w:color="auto"/>
              <w:bottom w:val="single" w:sz="4" w:space="0" w:color="auto"/>
              <w:right w:val="single" w:sz="4" w:space="0" w:color="auto"/>
            </w:tcBorders>
            <w:tcMar>
              <w:right w:w="28" w:type="dxa"/>
            </w:tcMar>
            <w:vAlign w:val="bottom"/>
          </w:tcPr>
          <w:p w:rsidR="00BB562D" w:rsidRPr="005F039C" w:rsidRDefault="00BB562D" w:rsidP="00BB562D">
            <w:pPr>
              <w:keepNext/>
              <w:ind w:left="142"/>
              <w:jc w:val="center"/>
              <w:rPr>
                <w:rFonts w:ascii="Arial Narrow" w:hAnsi="Arial Narrow"/>
                <w:sz w:val="19"/>
                <w:szCs w:val="19"/>
              </w:rPr>
            </w:pPr>
          </w:p>
        </w:tc>
        <w:tc>
          <w:tcPr>
            <w:tcW w:w="675" w:type="pct"/>
            <w:tcBorders>
              <w:top w:val="single" w:sz="4" w:space="0" w:color="auto"/>
              <w:left w:val="single" w:sz="4" w:space="0" w:color="auto"/>
              <w:bottom w:val="single" w:sz="4" w:space="0" w:color="auto"/>
              <w:right w:val="single" w:sz="4" w:space="0" w:color="auto"/>
            </w:tcBorders>
            <w:vAlign w:val="bottom"/>
          </w:tcPr>
          <w:p w:rsidR="00BB562D" w:rsidRPr="005F039C" w:rsidRDefault="00BB562D" w:rsidP="00BB562D">
            <w:pPr>
              <w:keepNext/>
              <w:ind w:left="142"/>
              <w:jc w:val="center"/>
              <w:rPr>
                <w:rFonts w:ascii="Arial Narrow" w:hAnsi="Arial Narrow"/>
                <w:b/>
                <w:bCs/>
                <w:sz w:val="19"/>
                <w:szCs w:val="19"/>
              </w:rPr>
            </w:pPr>
            <w:r w:rsidRPr="005F039C">
              <w:rPr>
                <w:rFonts w:ascii="Arial Narrow" w:hAnsi="Arial Narrow"/>
                <w:b/>
                <w:bCs/>
                <w:sz w:val="19"/>
                <w:szCs w:val="19"/>
              </w:rPr>
              <w:t>OR</w:t>
            </w:r>
          </w:p>
          <w:p w:rsidR="00BB562D" w:rsidRPr="005F039C" w:rsidRDefault="00BB562D" w:rsidP="00BB562D">
            <w:pPr>
              <w:keepNext/>
              <w:ind w:left="142"/>
              <w:jc w:val="center"/>
              <w:rPr>
                <w:rFonts w:ascii="Arial Narrow" w:hAnsi="Arial Narrow"/>
                <w:b/>
                <w:bCs/>
                <w:sz w:val="19"/>
                <w:szCs w:val="19"/>
              </w:rPr>
            </w:pPr>
            <w:r w:rsidRPr="005F039C">
              <w:rPr>
                <w:rFonts w:ascii="Arial Narrow" w:hAnsi="Arial Narrow"/>
                <w:b/>
                <w:bCs/>
                <w:sz w:val="19"/>
                <w:szCs w:val="19"/>
              </w:rPr>
              <w:t>(95% CI)</w:t>
            </w:r>
          </w:p>
        </w:tc>
        <w:tc>
          <w:tcPr>
            <w:tcW w:w="547" w:type="pct"/>
            <w:tcBorders>
              <w:top w:val="single" w:sz="4" w:space="0" w:color="auto"/>
              <w:left w:val="single" w:sz="4" w:space="0" w:color="auto"/>
              <w:bottom w:val="single" w:sz="4" w:space="0" w:color="auto"/>
              <w:right w:val="single" w:sz="4" w:space="0" w:color="auto"/>
            </w:tcBorders>
            <w:vAlign w:val="bottom"/>
          </w:tcPr>
          <w:p w:rsidR="00BB562D" w:rsidRPr="005F039C" w:rsidRDefault="00BB562D" w:rsidP="00BB562D">
            <w:pPr>
              <w:keepNext/>
              <w:ind w:left="142"/>
              <w:jc w:val="center"/>
              <w:rPr>
                <w:rFonts w:ascii="Arial Narrow" w:hAnsi="Arial Narrow"/>
                <w:b/>
                <w:bCs/>
                <w:sz w:val="19"/>
                <w:szCs w:val="19"/>
              </w:rPr>
            </w:pPr>
            <w:r w:rsidRPr="005F039C">
              <w:rPr>
                <w:rFonts w:ascii="Arial Narrow" w:hAnsi="Arial Narrow"/>
                <w:b/>
                <w:bCs/>
                <w:sz w:val="19"/>
                <w:szCs w:val="19"/>
              </w:rPr>
              <w:t>Aflib</w:t>
            </w:r>
          </w:p>
          <w:p w:rsidR="00BB562D" w:rsidRPr="005F039C" w:rsidRDefault="00BB562D" w:rsidP="00BB562D">
            <w:pPr>
              <w:keepNext/>
              <w:ind w:left="142"/>
              <w:jc w:val="center"/>
              <w:rPr>
                <w:rFonts w:ascii="Arial Narrow" w:hAnsi="Arial Narrow"/>
                <w:b/>
                <w:bCs/>
                <w:sz w:val="19"/>
                <w:szCs w:val="19"/>
              </w:rPr>
            </w:pPr>
            <w:r w:rsidRPr="005F039C">
              <w:rPr>
                <w:rFonts w:ascii="Arial Narrow" w:hAnsi="Arial Narrow"/>
                <w:b/>
                <w:bCs/>
                <w:sz w:val="19"/>
                <w:szCs w:val="19"/>
              </w:rPr>
              <w:t>n/</w:t>
            </w:r>
            <w:r w:rsidRPr="005F039C">
              <w:rPr>
                <w:rFonts w:ascii="Arial Narrow" w:hAnsi="Arial Narrow"/>
                <w:b/>
                <w:bCs/>
                <w:iCs/>
                <w:sz w:val="19"/>
                <w:szCs w:val="19"/>
              </w:rPr>
              <w:t>N</w:t>
            </w:r>
            <w:r w:rsidRPr="005F039C">
              <w:rPr>
                <w:rFonts w:ascii="Arial Narrow" w:hAnsi="Arial Narrow"/>
                <w:b/>
                <w:bCs/>
                <w:sz w:val="19"/>
                <w:szCs w:val="19"/>
              </w:rPr>
              <w:t xml:space="preserve"> (%)</w:t>
            </w:r>
          </w:p>
        </w:tc>
        <w:tc>
          <w:tcPr>
            <w:tcW w:w="609" w:type="pct"/>
            <w:tcBorders>
              <w:top w:val="single" w:sz="4" w:space="0" w:color="auto"/>
              <w:left w:val="single" w:sz="4" w:space="0" w:color="auto"/>
              <w:bottom w:val="single" w:sz="4" w:space="0" w:color="auto"/>
              <w:right w:val="double" w:sz="4" w:space="0" w:color="auto"/>
            </w:tcBorders>
            <w:vAlign w:val="bottom"/>
          </w:tcPr>
          <w:p w:rsidR="00BB562D" w:rsidRPr="005F039C" w:rsidRDefault="00BB562D" w:rsidP="00BB562D">
            <w:pPr>
              <w:keepNext/>
              <w:ind w:left="142"/>
              <w:jc w:val="center"/>
              <w:rPr>
                <w:rFonts w:ascii="Arial Narrow" w:hAnsi="Arial Narrow"/>
                <w:b/>
                <w:bCs/>
                <w:sz w:val="19"/>
                <w:szCs w:val="19"/>
              </w:rPr>
            </w:pPr>
            <w:r w:rsidRPr="005F039C">
              <w:rPr>
                <w:rFonts w:ascii="Arial Narrow" w:hAnsi="Arial Narrow"/>
                <w:b/>
                <w:bCs/>
                <w:sz w:val="19"/>
                <w:szCs w:val="19"/>
              </w:rPr>
              <w:t xml:space="preserve">Sham </w:t>
            </w:r>
          </w:p>
          <w:p w:rsidR="00BB562D" w:rsidRPr="005F039C" w:rsidRDefault="00BB562D" w:rsidP="00BB562D">
            <w:pPr>
              <w:keepNext/>
              <w:ind w:left="142"/>
              <w:jc w:val="center"/>
              <w:rPr>
                <w:rFonts w:ascii="Arial Narrow" w:hAnsi="Arial Narrow"/>
                <w:b/>
                <w:bCs/>
                <w:sz w:val="19"/>
                <w:szCs w:val="19"/>
              </w:rPr>
            </w:pPr>
            <w:r w:rsidRPr="005F039C">
              <w:rPr>
                <w:rFonts w:ascii="Arial Narrow" w:hAnsi="Arial Narrow"/>
                <w:b/>
                <w:bCs/>
                <w:sz w:val="19"/>
                <w:szCs w:val="19"/>
              </w:rPr>
              <w:t>n/</w:t>
            </w:r>
            <w:r w:rsidRPr="005F039C">
              <w:rPr>
                <w:rFonts w:ascii="Arial Narrow" w:hAnsi="Arial Narrow"/>
                <w:b/>
                <w:bCs/>
                <w:i/>
                <w:iCs/>
                <w:sz w:val="19"/>
                <w:szCs w:val="19"/>
              </w:rPr>
              <w:t>N</w:t>
            </w:r>
            <w:r w:rsidRPr="005F039C">
              <w:rPr>
                <w:rFonts w:ascii="Arial Narrow" w:hAnsi="Arial Narrow"/>
                <w:b/>
                <w:bCs/>
                <w:sz w:val="19"/>
                <w:szCs w:val="19"/>
              </w:rPr>
              <w:t xml:space="preserve"> (%)</w:t>
            </w:r>
          </w:p>
        </w:tc>
        <w:tc>
          <w:tcPr>
            <w:tcW w:w="635" w:type="pct"/>
            <w:tcBorders>
              <w:top w:val="single" w:sz="4" w:space="0" w:color="auto"/>
              <w:left w:val="double" w:sz="4" w:space="0" w:color="auto"/>
              <w:bottom w:val="single" w:sz="4" w:space="0" w:color="auto"/>
              <w:right w:val="single" w:sz="4" w:space="0" w:color="auto"/>
            </w:tcBorders>
            <w:vAlign w:val="bottom"/>
          </w:tcPr>
          <w:p w:rsidR="00BB562D" w:rsidRPr="005F039C" w:rsidRDefault="00BB562D" w:rsidP="00BB562D">
            <w:pPr>
              <w:keepNext/>
              <w:ind w:left="142"/>
              <w:jc w:val="center"/>
              <w:rPr>
                <w:rFonts w:ascii="Arial Narrow" w:hAnsi="Arial Narrow"/>
                <w:b/>
                <w:bCs/>
                <w:sz w:val="19"/>
                <w:szCs w:val="19"/>
              </w:rPr>
            </w:pPr>
            <w:r w:rsidRPr="005F039C">
              <w:rPr>
                <w:rFonts w:ascii="Arial Narrow" w:hAnsi="Arial Narrow"/>
                <w:b/>
                <w:bCs/>
                <w:sz w:val="19"/>
                <w:szCs w:val="19"/>
              </w:rPr>
              <w:t>Sham</w:t>
            </w:r>
          </w:p>
          <w:p w:rsidR="00BB562D" w:rsidRPr="005F039C" w:rsidRDefault="00BB562D" w:rsidP="00BB562D">
            <w:pPr>
              <w:keepNext/>
              <w:ind w:left="142"/>
              <w:jc w:val="center"/>
              <w:rPr>
                <w:rFonts w:ascii="Arial Narrow" w:hAnsi="Arial Narrow"/>
                <w:b/>
                <w:bCs/>
                <w:sz w:val="19"/>
                <w:szCs w:val="19"/>
              </w:rPr>
            </w:pPr>
            <w:r w:rsidRPr="005F039C">
              <w:rPr>
                <w:rFonts w:ascii="Arial Narrow" w:hAnsi="Arial Narrow"/>
                <w:b/>
                <w:bCs/>
                <w:sz w:val="19"/>
                <w:szCs w:val="19"/>
              </w:rPr>
              <w:t>n/</w:t>
            </w:r>
            <w:r w:rsidRPr="005F039C">
              <w:rPr>
                <w:rFonts w:ascii="Arial Narrow" w:hAnsi="Arial Narrow"/>
                <w:b/>
                <w:bCs/>
                <w:i/>
                <w:iCs/>
                <w:sz w:val="19"/>
                <w:szCs w:val="19"/>
              </w:rPr>
              <w:t>N</w:t>
            </w:r>
            <w:r w:rsidRPr="005F039C">
              <w:rPr>
                <w:rFonts w:ascii="Arial Narrow" w:hAnsi="Arial Narrow"/>
                <w:b/>
                <w:bCs/>
                <w:sz w:val="19"/>
                <w:szCs w:val="19"/>
              </w:rPr>
              <w:t xml:space="preserve"> (%)</w:t>
            </w:r>
          </w:p>
        </w:tc>
        <w:tc>
          <w:tcPr>
            <w:tcW w:w="497" w:type="pct"/>
            <w:tcBorders>
              <w:top w:val="single" w:sz="4" w:space="0" w:color="auto"/>
              <w:left w:val="single" w:sz="4" w:space="0" w:color="auto"/>
              <w:bottom w:val="single" w:sz="4" w:space="0" w:color="auto"/>
              <w:right w:val="single" w:sz="4" w:space="0" w:color="auto"/>
            </w:tcBorders>
            <w:vAlign w:val="bottom"/>
          </w:tcPr>
          <w:p w:rsidR="00BB562D" w:rsidRPr="005F039C" w:rsidRDefault="00BB562D" w:rsidP="00BB562D">
            <w:pPr>
              <w:keepNext/>
              <w:ind w:left="142"/>
              <w:jc w:val="center"/>
              <w:rPr>
                <w:rFonts w:ascii="Arial Narrow" w:hAnsi="Arial Narrow"/>
                <w:b/>
                <w:bCs/>
                <w:sz w:val="19"/>
                <w:szCs w:val="19"/>
              </w:rPr>
            </w:pPr>
            <w:r w:rsidRPr="005F039C">
              <w:rPr>
                <w:rFonts w:ascii="Arial Narrow" w:hAnsi="Arial Narrow"/>
                <w:b/>
                <w:bCs/>
                <w:sz w:val="19"/>
                <w:szCs w:val="19"/>
              </w:rPr>
              <w:t xml:space="preserve">Ranib </w:t>
            </w:r>
          </w:p>
          <w:p w:rsidR="00BB562D" w:rsidRPr="005F039C" w:rsidRDefault="00BB562D" w:rsidP="00BB562D">
            <w:pPr>
              <w:keepNext/>
              <w:ind w:left="142"/>
              <w:jc w:val="center"/>
              <w:rPr>
                <w:rFonts w:ascii="Arial Narrow" w:hAnsi="Arial Narrow"/>
                <w:b/>
                <w:bCs/>
                <w:sz w:val="19"/>
                <w:szCs w:val="19"/>
              </w:rPr>
            </w:pPr>
            <w:r w:rsidRPr="005F039C">
              <w:rPr>
                <w:rFonts w:ascii="Arial Narrow" w:hAnsi="Arial Narrow"/>
                <w:b/>
                <w:bCs/>
                <w:sz w:val="19"/>
                <w:szCs w:val="19"/>
              </w:rPr>
              <w:t>n/</w:t>
            </w:r>
            <w:r w:rsidRPr="005F039C">
              <w:rPr>
                <w:rFonts w:ascii="Arial Narrow" w:hAnsi="Arial Narrow"/>
                <w:b/>
                <w:bCs/>
                <w:i/>
                <w:iCs/>
                <w:sz w:val="19"/>
                <w:szCs w:val="19"/>
              </w:rPr>
              <w:t>N</w:t>
            </w:r>
            <w:r w:rsidRPr="005F039C">
              <w:rPr>
                <w:rFonts w:ascii="Arial Narrow" w:hAnsi="Arial Narrow"/>
                <w:b/>
                <w:bCs/>
                <w:sz w:val="19"/>
                <w:szCs w:val="19"/>
              </w:rPr>
              <w:t xml:space="preserve"> (%)</w:t>
            </w:r>
          </w:p>
        </w:tc>
        <w:tc>
          <w:tcPr>
            <w:tcW w:w="609" w:type="pct"/>
            <w:tcBorders>
              <w:top w:val="single" w:sz="4" w:space="0" w:color="auto"/>
              <w:left w:val="single" w:sz="4" w:space="0" w:color="auto"/>
              <w:bottom w:val="single" w:sz="4" w:space="0" w:color="auto"/>
              <w:right w:val="single" w:sz="4" w:space="0" w:color="auto"/>
            </w:tcBorders>
            <w:vAlign w:val="bottom"/>
          </w:tcPr>
          <w:p w:rsidR="00BB562D" w:rsidRPr="005F039C" w:rsidRDefault="00BB562D" w:rsidP="00BB562D">
            <w:pPr>
              <w:keepNext/>
              <w:ind w:left="142"/>
              <w:jc w:val="center"/>
              <w:rPr>
                <w:rFonts w:ascii="Arial Narrow" w:hAnsi="Arial Narrow"/>
                <w:b/>
                <w:bCs/>
                <w:sz w:val="19"/>
                <w:szCs w:val="19"/>
              </w:rPr>
            </w:pPr>
            <w:r w:rsidRPr="005F039C">
              <w:rPr>
                <w:rFonts w:ascii="Arial Narrow" w:hAnsi="Arial Narrow"/>
                <w:b/>
                <w:bCs/>
                <w:sz w:val="19"/>
                <w:szCs w:val="19"/>
              </w:rPr>
              <w:t>OR</w:t>
            </w:r>
            <w:r w:rsidRPr="005F039C">
              <w:rPr>
                <w:rFonts w:ascii="Arial Narrow" w:hAnsi="Arial Narrow"/>
                <w:b/>
                <w:bCs/>
                <w:sz w:val="19"/>
                <w:szCs w:val="19"/>
              </w:rPr>
              <w:br/>
              <w:t>(95% CI)</w:t>
            </w:r>
          </w:p>
        </w:tc>
        <w:tc>
          <w:tcPr>
            <w:tcW w:w="902" w:type="pct"/>
            <w:vMerge/>
            <w:tcBorders>
              <w:top w:val="single" w:sz="4" w:space="0" w:color="auto"/>
              <w:left w:val="single" w:sz="4" w:space="0" w:color="auto"/>
              <w:bottom w:val="single" w:sz="4" w:space="0" w:color="auto"/>
              <w:right w:val="single" w:sz="4" w:space="0" w:color="auto"/>
            </w:tcBorders>
          </w:tcPr>
          <w:p w:rsidR="00BB562D" w:rsidRPr="005F039C" w:rsidRDefault="00BB562D" w:rsidP="00BB562D">
            <w:pPr>
              <w:keepNext/>
              <w:ind w:left="142"/>
              <w:rPr>
                <w:rFonts w:ascii="Arial Narrow" w:hAnsi="Arial Narrow"/>
                <w:b/>
                <w:bCs/>
                <w:sz w:val="19"/>
                <w:szCs w:val="19"/>
              </w:rPr>
            </w:pPr>
          </w:p>
        </w:tc>
      </w:tr>
      <w:tr w:rsidR="00BB562D" w:rsidRPr="005F039C">
        <w:tc>
          <w:tcPr>
            <w:tcW w:w="5000" w:type="pct"/>
            <w:gridSpan w:val="8"/>
            <w:tcBorders>
              <w:top w:val="single" w:sz="4" w:space="0" w:color="auto"/>
              <w:left w:val="single" w:sz="4" w:space="0" w:color="auto"/>
              <w:bottom w:val="single" w:sz="4" w:space="0" w:color="auto"/>
              <w:right w:val="single" w:sz="4" w:space="0" w:color="auto"/>
            </w:tcBorders>
            <w:tcMar>
              <w:right w:w="28" w:type="dxa"/>
            </w:tcMar>
            <w:vAlign w:val="center"/>
          </w:tcPr>
          <w:p w:rsidR="00BB562D" w:rsidRPr="005F039C" w:rsidRDefault="00BB562D" w:rsidP="00BB562D">
            <w:pPr>
              <w:keepNext/>
              <w:ind w:left="142"/>
              <w:rPr>
                <w:rFonts w:ascii="Arial Narrow" w:hAnsi="Arial Narrow"/>
                <w:b/>
                <w:sz w:val="19"/>
                <w:szCs w:val="19"/>
              </w:rPr>
            </w:pPr>
            <w:r w:rsidRPr="005F039C">
              <w:rPr>
                <w:rFonts w:ascii="Arial Narrow" w:hAnsi="Arial Narrow"/>
                <w:b/>
                <w:sz w:val="19"/>
                <w:szCs w:val="19"/>
              </w:rPr>
              <w:t>24 weeks – proportion of patients who gained ≥15 letters in BCVA</w:t>
            </w:r>
          </w:p>
        </w:tc>
      </w:tr>
      <w:tr w:rsidR="00BB562D" w:rsidRPr="005F039C">
        <w:tc>
          <w:tcPr>
            <w:tcW w:w="526" w:type="pct"/>
            <w:tcBorders>
              <w:top w:val="single" w:sz="4" w:space="0" w:color="auto"/>
              <w:left w:val="single" w:sz="4" w:space="0" w:color="auto"/>
              <w:bottom w:val="single" w:sz="4" w:space="0" w:color="auto"/>
              <w:right w:val="single" w:sz="4" w:space="0" w:color="auto"/>
            </w:tcBorders>
            <w:tcMar>
              <w:right w:w="28" w:type="dxa"/>
            </w:tcMar>
            <w:vAlign w:val="center"/>
          </w:tcPr>
          <w:p w:rsidR="00BB562D" w:rsidRPr="005F039C" w:rsidRDefault="00BB562D" w:rsidP="00BB562D">
            <w:pPr>
              <w:keepNext/>
              <w:ind w:left="142"/>
              <w:rPr>
                <w:rFonts w:ascii="Arial Narrow" w:hAnsi="Arial Narrow"/>
                <w:sz w:val="19"/>
                <w:szCs w:val="19"/>
              </w:rPr>
            </w:pPr>
            <w:r w:rsidRPr="005F039C">
              <w:rPr>
                <w:rFonts w:ascii="Arial Narrow" w:hAnsi="Arial Narrow"/>
                <w:sz w:val="19"/>
                <w:szCs w:val="19"/>
              </w:rPr>
              <w:t>COPERNICUS</w:t>
            </w:r>
          </w:p>
        </w:tc>
        <w:tc>
          <w:tcPr>
            <w:tcW w:w="675"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9.10</w:t>
            </w:r>
          </w:p>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(4.13, 20.05)</w:t>
            </w:r>
          </w:p>
        </w:tc>
        <w:tc>
          <w:tcPr>
            <w:tcW w:w="547"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64/114 (56.1%)</w:t>
            </w:r>
          </w:p>
        </w:tc>
        <w:tc>
          <w:tcPr>
            <w:tcW w:w="609" w:type="pct"/>
            <w:tcBorders>
              <w:top w:val="single" w:sz="4" w:space="0" w:color="auto"/>
              <w:left w:val="single" w:sz="4" w:space="0" w:color="auto"/>
              <w:bottom w:val="single" w:sz="4" w:space="0" w:color="auto"/>
              <w:right w:val="double" w:sz="4" w:space="0" w:color="auto"/>
            </w:tcBorders>
            <w:vAlign w:val="center"/>
          </w:tcPr>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 xml:space="preserve">9/73 </w:t>
            </w:r>
          </w:p>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(12.3%)</w:t>
            </w:r>
          </w:p>
        </w:tc>
        <w:tc>
          <w:tcPr>
            <w:tcW w:w="635" w:type="pct"/>
            <w:tcBorders>
              <w:top w:val="single" w:sz="4" w:space="0" w:color="auto"/>
              <w:left w:val="doub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497"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609"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902" w:type="pct"/>
            <w:vMerge w:val="restart"/>
            <w:tcBorders>
              <w:top w:val="single" w:sz="4" w:space="0" w:color="auto"/>
              <w:left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r>
      <w:tr w:rsidR="00BB562D" w:rsidRPr="005F039C">
        <w:tc>
          <w:tcPr>
            <w:tcW w:w="526" w:type="pct"/>
            <w:tcBorders>
              <w:top w:val="single" w:sz="4" w:space="0" w:color="auto"/>
              <w:left w:val="single" w:sz="4" w:space="0" w:color="auto"/>
              <w:bottom w:val="single" w:sz="4" w:space="0" w:color="auto"/>
              <w:right w:val="single" w:sz="4" w:space="0" w:color="auto"/>
            </w:tcBorders>
            <w:tcMar>
              <w:right w:w="28" w:type="dxa"/>
            </w:tcMar>
            <w:vAlign w:val="center"/>
          </w:tcPr>
          <w:p w:rsidR="00BB562D" w:rsidRPr="005F039C" w:rsidRDefault="00BB562D" w:rsidP="00BB562D">
            <w:pPr>
              <w:keepNext/>
              <w:ind w:left="142"/>
              <w:rPr>
                <w:rFonts w:ascii="Arial Narrow" w:hAnsi="Arial Narrow"/>
                <w:sz w:val="19"/>
                <w:szCs w:val="19"/>
              </w:rPr>
            </w:pPr>
            <w:r w:rsidRPr="005F039C">
              <w:rPr>
                <w:rFonts w:ascii="Arial Narrow" w:hAnsi="Arial Narrow"/>
                <w:sz w:val="19"/>
                <w:szCs w:val="19"/>
              </w:rPr>
              <w:t>GALILEO</w:t>
            </w:r>
          </w:p>
        </w:tc>
        <w:tc>
          <w:tcPr>
            <w:tcW w:w="675"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 xml:space="preserve">5.34 </w:t>
            </w:r>
          </w:p>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(2.66, 10.72)</w:t>
            </w:r>
          </w:p>
        </w:tc>
        <w:tc>
          <w:tcPr>
            <w:tcW w:w="547"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62/103 (60.2%)</w:t>
            </w:r>
          </w:p>
        </w:tc>
        <w:tc>
          <w:tcPr>
            <w:tcW w:w="609" w:type="pct"/>
            <w:tcBorders>
              <w:top w:val="single" w:sz="4" w:space="0" w:color="auto"/>
              <w:left w:val="single" w:sz="4" w:space="0" w:color="auto"/>
              <w:bottom w:val="single" w:sz="4" w:space="0" w:color="auto"/>
              <w:right w:val="double" w:sz="4" w:space="0" w:color="auto"/>
            </w:tcBorders>
            <w:vAlign w:val="center"/>
          </w:tcPr>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 xml:space="preserve">15/68 </w:t>
            </w:r>
          </w:p>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(22.1%)</w:t>
            </w:r>
          </w:p>
        </w:tc>
        <w:tc>
          <w:tcPr>
            <w:tcW w:w="635" w:type="pct"/>
            <w:tcBorders>
              <w:top w:val="single" w:sz="4" w:space="0" w:color="auto"/>
              <w:left w:val="doub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497"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609"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902" w:type="pct"/>
            <w:vMerge/>
            <w:tcBorders>
              <w:left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r>
      <w:tr w:rsidR="00BB562D" w:rsidRPr="005F039C">
        <w:tc>
          <w:tcPr>
            <w:tcW w:w="526" w:type="pct"/>
            <w:tcBorders>
              <w:top w:val="single" w:sz="4" w:space="0" w:color="auto"/>
              <w:left w:val="single" w:sz="4" w:space="0" w:color="auto"/>
              <w:bottom w:val="single" w:sz="4" w:space="0" w:color="auto"/>
              <w:right w:val="single" w:sz="4" w:space="0" w:color="auto"/>
            </w:tcBorders>
            <w:tcMar>
              <w:right w:w="28" w:type="dxa"/>
            </w:tcMar>
            <w:vAlign w:val="center"/>
          </w:tcPr>
          <w:p w:rsidR="00BB562D" w:rsidRPr="005F039C" w:rsidRDefault="00BB562D" w:rsidP="00BB562D">
            <w:pPr>
              <w:keepNext/>
              <w:ind w:left="142"/>
              <w:rPr>
                <w:rFonts w:ascii="Arial Narrow" w:hAnsi="Arial Narrow"/>
                <w:sz w:val="19"/>
                <w:szCs w:val="19"/>
              </w:rPr>
            </w:pPr>
            <w:r w:rsidRPr="005F039C">
              <w:rPr>
                <w:rFonts w:ascii="Arial Narrow" w:hAnsi="Arial Narrow"/>
                <w:sz w:val="19"/>
                <w:szCs w:val="19"/>
              </w:rPr>
              <w:t>Pooled</w:t>
            </w:r>
          </w:p>
        </w:tc>
        <w:tc>
          <w:tcPr>
            <w:tcW w:w="675"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 xml:space="preserve">6.74 </w:t>
            </w:r>
          </w:p>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(4.00, 11.37)</w:t>
            </w:r>
          </w:p>
        </w:tc>
        <w:tc>
          <w:tcPr>
            <w:tcW w:w="547"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609" w:type="pct"/>
            <w:tcBorders>
              <w:top w:val="single" w:sz="4" w:space="0" w:color="auto"/>
              <w:left w:val="single" w:sz="4" w:space="0" w:color="auto"/>
              <w:bottom w:val="single" w:sz="4" w:space="0" w:color="auto"/>
              <w:right w:val="doub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635" w:type="pct"/>
            <w:tcBorders>
              <w:top w:val="single" w:sz="4" w:space="0" w:color="auto"/>
              <w:left w:val="doub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497"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609"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902" w:type="pct"/>
            <w:vMerge/>
            <w:tcBorders>
              <w:left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r>
      <w:tr w:rsidR="00BB562D" w:rsidRPr="005F039C">
        <w:tc>
          <w:tcPr>
            <w:tcW w:w="526" w:type="pct"/>
            <w:tcBorders>
              <w:top w:val="single" w:sz="4" w:space="0" w:color="auto"/>
              <w:left w:val="single" w:sz="4" w:space="0" w:color="auto"/>
              <w:bottom w:val="single" w:sz="4" w:space="0" w:color="auto"/>
              <w:right w:val="single" w:sz="4" w:space="0" w:color="auto"/>
            </w:tcBorders>
            <w:tcMar>
              <w:right w:w="28" w:type="dxa"/>
            </w:tcMar>
            <w:vAlign w:val="center"/>
          </w:tcPr>
          <w:p w:rsidR="00BB562D" w:rsidRPr="005F039C" w:rsidRDefault="00BB562D" w:rsidP="00BB562D">
            <w:pPr>
              <w:keepNext/>
              <w:ind w:left="142"/>
              <w:rPr>
                <w:rFonts w:ascii="Arial Narrow" w:hAnsi="Arial Narrow"/>
                <w:sz w:val="19"/>
                <w:szCs w:val="19"/>
              </w:rPr>
            </w:pPr>
            <w:r w:rsidRPr="005F039C">
              <w:rPr>
                <w:rFonts w:ascii="Arial Narrow" w:hAnsi="Arial Narrow"/>
                <w:sz w:val="19"/>
                <w:szCs w:val="19"/>
              </w:rPr>
              <w:t>CRUISE</w:t>
            </w:r>
          </w:p>
        </w:tc>
        <w:tc>
          <w:tcPr>
            <w:tcW w:w="675"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547"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609" w:type="pct"/>
            <w:tcBorders>
              <w:top w:val="single" w:sz="4" w:space="0" w:color="auto"/>
              <w:left w:val="single" w:sz="4" w:space="0" w:color="auto"/>
              <w:bottom w:val="single" w:sz="4" w:space="0" w:color="auto"/>
              <w:right w:val="doub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635" w:type="pct"/>
            <w:tcBorders>
              <w:top w:val="single" w:sz="4" w:space="0" w:color="auto"/>
              <w:left w:val="doub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 xml:space="preserve">22/130 </w:t>
            </w:r>
          </w:p>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(16.9%)</w:t>
            </w:r>
          </w:p>
        </w:tc>
        <w:tc>
          <w:tcPr>
            <w:tcW w:w="497"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62/130 (47.7%)</w:t>
            </w:r>
          </w:p>
        </w:tc>
        <w:tc>
          <w:tcPr>
            <w:tcW w:w="609"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 xml:space="preserve">4.35 </w:t>
            </w:r>
          </w:p>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(2.45, 7.70)</w:t>
            </w:r>
          </w:p>
        </w:tc>
        <w:tc>
          <w:tcPr>
            <w:tcW w:w="902" w:type="pct"/>
            <w:vMerge/>
            <w:tcBorders>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r>
      <w:tr w:rsidR="00BB562D" w:rsidRPr="005F039C">
        <w:tc>
          <w:tcPr>
            <w:tcW w:w="526" w:type="pct"/>
            <w:tcBorders>
              <w:top w:val="single" w:sz="4" w:space="0" w:color="auto"/>
              <w:left w:val="single" w:sz="4" w:space="0" w:color="auto"/>
              <w:bottom w:val="single" w:sz="4" w:space="0" w:color="auto"/>
              <w:right w:val="single" w:sz="4" w:space="0" w:color="auto"/>
            </w:tcBorders>
            <w:tcMar>
              <w:right w:w="28" w:type="dxa"/>
            </w:tcMar>
            <w:vAlign w:val="center"/>
          </w:tcPr>
          <w:p w:rsidR="00BB562D" w:rsidRPr="005F039C" w:rsidRDefault="00BB562D" w:rsidP="00BB562D">
            <w:pPr>
              <w:keepNext/>
              <w:ind w:left="142"/>
              <w:rPr>
                <w:rFonts w:ascii="Arial Narrow" w:hAnsi="Arial Narrow"/>
                <w:b/>
                <w:sz w:val="19"/>
                <w:szCs w:val="19"/>
              </w:rPr>
            </w:pPr>
            <w:r w:rsidRPr="005F039C">
              <w:rPr>
                <w:rFonts w:ascii="Arial Narrow" w:hAnsi="Arial Narrow"/>
                <w:b/>
                <w:sz w:val="19"/>
                <w:szCs w:val="19"/>
              </w:rPr>
              <w:t>Indirect</w:t>
            </w:r>
          </w:p>
        </w:tc>
        <w:tc>
          <w:tcPr>
            <w:tcW w:w="3572" w:type="pct"/>
            <w:gridSpan w:val="6"/>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rPr>
                <w:rFonts w:ascii="Arial Narrow" w:hAnsi="Arial Narrow"/>
                <w:b/>
                <w:sz w:val="19"/>
                <w:szCs w:val="19"/>
              </w:rPr>
            </w:pPr>
          </w:p>
          <w:p w:rsidR="00BB562D" w:rsidRPr="005F039C" w:rsidRDefault="00BB562D" w:rsidP="00BB562D">
            <w:pPr>
              <w:keepNext/>
              <w:ind w:left="142"/>
              <w:rPr>
                <w:rFonts w:ascii="Arial Narrow" w:hAnsi="Arial Narrow"/>
                <w:sz w:val="19"/>
                <w:szCs w:val="19"/>
              </w:rPr>
            </w:pPr>
            <w:r w:rsidRPr="005F039C">
              <w:rPr>
                <w:rFonts w:ascii="Arial Narrow" w:hAnsi="Arial Narrow"/>
                <w:sz w:val="19"/>
                <w:szCs w:val="19"/>
              </w:rPr>
              <w:t>I</w:t>
            </w:r>
            <w:r w:rsidRPr="005F039C">
              <w:rPr>
                <w:rFonts w:ascii="Arial Narrow" w:hAnsi="Arial Narrow"/>
                <w:sz w:val="19"/>
                <w:szCs w:val="19"/>
                <w:vertAlign w:val="superscript"/>
              </w:rPr>
              <w:t>2</w:t>
            </w:r>
            <w:r w:rsidRPr="005F039C">
              <w:rPr>
                <w:rFonts w:ascii="Arial Narrow" w:hAnsi="Arial Narrow"/>
                <w:sz w:val="19"/>
                <w:szCs w:val="19"/>
              </w:rPr>
              <w:t>=10%</w:t>
            </w:r>
          </w:p>
        </w:tc>
        <w:tc>
          <w:tcPr>
            <w:tcW w:w="902"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b/>
                <w:sz w:val="19"/>
                <w:szCs w:val="19"/>
              </w:rPr>
            </w:pPr>
            <w:r w:rsidRPr="005F039C">
              <w:rPr>
                <w:rFonts w:ascii="Arial Narrow" w:hAnsi="Arial Narrow"/>
                <w:b/>
                <w:sz w:val="19"/>
                <w:szCs w:val="19"/>
              </w:rPr>
              <w:t xml:space="preserve">1.55 </w:t>
            </w:r>
          </w:p>
          <w:p w:rsidR="00BB562D" w:rsidRPr="005F039C" w:rsidRDefault="00BB562D" w:rsidP="00BB562D">
            <w:pPr>
              <w:keepNext/>
              <w:ind w:left="142"/>
              <w:jc w:val="center"/>
              <w:rPr>
                <w:rFonts w:ascii="Arial Narrow" w:hAnsi="Arial Narrow"/>
                <w:b/>
                <w:sz w:val="19"/>
                <w:szCs w:val="19"/>
              </w:rPr>
            </w:pPr>
            <w:r w:rsidRPr="005F039C">
              <w:rPr>
                <w:rFonts w:ascii="Arial Narrow" w:hAnsi="Arial Narrow"/>
                <w:b/>
                <w:sz w:val="19"/>
                <w:szCs w:val="19"/>
              </w:rPr>
              <w:t>(0.71, 3.63)</w:t>
            </w:r>
          </w:p>
        </w:tc>
      </w:tr>
      <w:tr w:rsidR="00BB562D" w:rsidRPr="005F039C">
        <w:tc>
          <w:tcPr>
            <w:tcW w:w="5000" w:type="pct"/>
            <w:gridSpan w:val="8"/>
            <w:tcBorders>
              <w:top w:val="single" w:sz="4" w:space="0" w:color="auto"/>
              <w:left w:val="single" w:sz="4" w:space="0" w:color="auto"/>
              <w:bottom w:val="single" w:sz="4" w:space="0" w:color="auto"/>
              <w:right w:val="single" w:sz="4" w:space="0" w:color="auto"/>
            </w:tcBorders>
            <w:tcMar>
              <w:right w:w="28" w:type="dxa"/>
            </w:tcMar>
            <w:vAlign w:val="center"/>
          </w:tcPr>
          <w:p w:rsidR="00BB562D" w:rsidRPr="005F039C" w:rsidRDefault="00BB562D" w:rsidP="00BB562D">
            <w:pPr>
              <w:keepNext/>
              <w:ind w:left="142"/>
              <w:rPr>
                <w:rFonts w:ascii="Arial Narrow" w:hAnsi="Arial Narrow"/>
                <w:b/>
                <w:sz w:val="19"/>
                <w:szCs w:val="19"/>
              </w:rPr>
            </w:pPr>
            <w:r w:rsidRPr="005F039C">
              <w:rPr>
                <w:rFonts w:ascii="Arial Narrow" w:hAnsi="Arial Narrow"/>
                <w:b/>
                <w:sz w:val="19"/>
                <w:szCs w:val="19"/>
              </w:rPr>
              <w:t>52 weeks – proportion of patients who gained ≥15 letters in BCVA</w:t>
            </w:r>
          </w:p>
        </w:tc>
      </w:tr>
      <w:tr w:rsidR="00BB562D" w:rsidRPr="005F039C">
        <w:tc>
          <w:tcPr>
            <w:tcW w:w="526" w:type="pct"/>
            <w:tcBorders>
              <w:top w:val="single" w:sz="4" w:space="0" w:color="auto"/>
              <w:left w:val="single" w:sz="4" w:space="0" w:color="auto"/>
              <w:bottom w:val="single" w:sz="4" w:space="0" w:color="auto"/>
              <w:right w:val="single" w:sz="4" w:space="0" w:color="auto"/>
            </w:tcBorders>
            <w:tcMar>
              <w:right w:w="28" w:type="dxa"/>
            </w:tcMar>
            <w:vAlign w:val="center"/>
          </w:tcPr>
          <w:p w:rsidR="00BB562D" w:rsidRPr="005F039C" w:rsidRDefault="00BB562D" w:rsidP="00BB562D">
            <w:pPr>
              <w:keepNext/>
              <w:ind w:left="142"/>
              <w:rPr>
                <w:rFonts w:ascii="Arial Narrow" w:hAnsi="Arial Narrow"/>
                <w:sz w:val="19"/>
                <w:szCs w:val="19"/>
              </w:rPr>
            </w:pPr>
            <w:r w:rsidRPr="005F039C">
              <w:rPr>
                <w:rFonts w:ascii="Arial Narrow" w:hAnsi="Arial Narrow"/>
                <w:sz w:val="19"/>
                <w:szCs w:val="19"/>
              </w:rPr>
              <w:t>COPERNICUS</w:t>
            </w:r>
          </w:p>
        </w:tc>
        <w:tc>
          <w:tcPr>
            <w:tcW w:w="675"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 xml:space="preserve">3.16 </w:t>
            </w:r>
          </w:p>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(1.66, 6.02)</w:t>
            </w:r>
          </w:p>
        </w:tc>
        <w:tc>
          <w:tcPr>
            <w:tcW w:w="547"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63/114 (55.3%)</w:t>
            </w:r>
          </w:p>
        </w:tc>
        <w:tc>
          <w:tcPr>
            <w:tcW w:w="609" w:type="pct"/>
            <w:tcBorders>
              <w:top w:val="single" w:sz="4" w:space="0" w:color="auto"/>
              <w:left w:val="single" w:sz="4" w:space="0" w:color="auto"/>
              <w:bottom w:val="single" w:sz="4" w:space="0" w:color="auto"/>
              <w:right w:val="double" w:sz="4" w:space="0" w:color="auto"/>
            </w:tcBorders>
            <w:vAlign w:val="center"/>
          </w:tcPr>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 xml:space="preserve">22/73 </w:t>
            </w:r>
          </w:p>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(30.1%)</w:t>
            </w:r>
          </w:p>
        </w:tc>
        <w:tc>
          <w:tcPr>
            <w:tcW w:w="635" w:type="pct"/>
            <w:tcBorders>
              <w:top w:val="single" w:sz="4" w:space="0" w:color="auto"/>
              <w:left w:val="doub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497"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609"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902" w:type="pct"/>
            <w:vMerge w:val="restart"/>
            <w:tcBorders>
              <w:top w:val="single" w:sz="4" w:space="0" w:color="auto"/>
              <w:left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r>
      <w:tr w:rsidR="00BB562D" w:rsidRPr="005F039C">
        <w:tc>
          <w:tcPr>
            <w:tcW w:w="526" w:type="pct"/>
            <w:tcBorders>
              <w:top w:val="single" w:sz="4" w:space="0" w:color="auto"/>
              <w:left w:val="single" w:sz="4" w:space="0" w:color="auto"/>
              <w:bottom w:val="single" w:sz="4" w:space="0" w:color="auto"/>
              <w:right w:val="single" w:sz="4" w:space="0" w:color="auto"/>
            </w:tcBorders>
            <w:tcMar>
              <w:right w:w="28" w:type="dxa"/>
            </w:tcMar>
            <w:vAlign w:val="center"/>
          </w:tcPr>
          <w:p w:rsidR="00BB562D" w:rsidRPr="005F039C" w:rsidRDefault="00BB562D" w:rsidP="00BB562D">
            <w:pPr>
              <w:keepNext/>
              <w:ind w:left="142"/>
              <w:rPr>
                <w:rFonts w:ascii="Arial Narrow" w:hAnsi="Arial Narrow"/>
                <w:sz w:val="19"/>
                <w:szCs w:val="19"/>
              </w:rPr>
            </w:pPr>
            <w:r w:rsidRPr="005F039C">
              <w:rPr>
                <w:rFonts w:ascii="Arial Narrow" w:hAnsi="Arial Narrow"/>
                <w:sz w:val="19"/>
                <w:szCs w:val="19"/>
              </w:rPr>
              <w:t>CRUISE</w:t>
            </w:r>
          </w:p>
        </w:tc>
        <w:tc>
          <w:tcPr>
            <w:tcW w:w="675"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547"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609" w:type="pct"/>
            <w:tcBorders>
              <w:top w:val="single" w:sz="4" w:space="0" w:color="auto"/>
              <w:left w:val="single" w:sz="4" w:space="0" w:color="auto"/>
              <w:bottom w:val="single" w:sz="4" w:space="0" w:color="auto"/>
              <w:right w:val="double" w:sz="4" w:space="0" w:color="auto"/>
            </w:tcBorders>
            <w:vAlign w:val="center"/>
          </w:tcPr>
          <w:p w:rsidR="00BB562D" w:rsidRPr="005F039C" w:rsidRDefault="00BB562D" w:rsidP="00BB562D">
            <w:pPr>
              <w:keepNext/>
              <w:ind w:left="142"/>
              <w:jc w:val="center"/>
              <w:rPr>
                <w:rFonts w:ascii="Arial Narrow" w:hAnsi="Arial Narrow"/>
                <w:sz w:val="19"/>
                <w:szCs w:val="19"/>
              </w:rPr>
            </w:pPr>
          </w:p>
        </w:tc>
        <w:tc>
          <w:tcPr>
            <w:tcW w:w="635" w:type="pct"/>
            <w:tcBorders>
              <w:top w:val="single" w:sz="4" w:space="0" w:color="auto"/>
              <w:left w:val="doub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 xml:space="preserve">43/130 </w:t>
            </w:r>
          </w:p>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(33.1%)</w:t>
            </w:r>
          </w:p>
        </w:tc>
        <w:tc>
          <w:tcPr>
            <w:tcW w:w="497"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66/130 (50.8%)</w:t>
            </w:r>
          </w:p>
        </w:tc>
        <w:tc>
          <w:tcPr>
            <w:tcW w:w="609"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 xml:space="preserve">2.09 </w:t>
            </w:r>
          </w:p>
          <w:p w:rsidR="00BB562D" w:rsidRPr="005F039C" w:rsidRDefault="00BB562D" w:rsidP="00BB562D">
            <w:pPr>
              <w:keepNext/>
              <w:ind w:left="142"/>
              <w:jc w:val="center"/>
              <w:rPr>
                <w:rFonts w:ascii="Arial Narrow" w:hAnsi="Arial Narrow"/>
                <w:sz w:val="19"/>
                <w:szCs w:val="19"/>
              </w:rPr>
            </w:pPr>
            <w:r w:rsidRPr="005F039C">
              <w:rPr>
                <w:rFonts w:ascii="Arial Narrow" w:hAnsi="Arial Narrow"/>
                <w:sz w:val="19"/>
                <w:szCs w:val="19"/>
              </w:rPr>
              <w:t>(1.26, 3.45)</w:t>
            </w:r>
          </w:p>
        </w:tc>
        <w:tc>
          <w:tcPr>
            <w:tcW w:w="902" w:type="pct"/>
            <w:vMerge/>
            <w:tcBorders>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sz w:val="19"/>
                <w:szCs w:val="19"/>
              </w:rPr>
            </w:pPr>
          </w:p>
        </w:tc>
      </w:tr>
      <w:tr w:rsidR="00BB562D" w:rsidRPr="005F039C">
        <w:tc>
          <w:tcPr>
            <w:tcW w:w="526" w:type="pct"/>
            <w:tcBorders>
              <w:top w:val="single" w:sz="4" w:space="0" w:color="auto"/>
              <w:left w:val="single" w:sz="4" w:space="0" w:color="auto"/>
              <w:bottom w:val="single" w:sz="4" w:space="0" w:color="auto"/>
              <w:right w:val="single" w:sz="4" w:space="0" w:color="auto"/>
            </w:tcBorders>
            <w:tcMar>
              <w:right w:w="28" w:type="dxa"/>
            </w:tcMar>
            <w:vAlign w:val="center"/>
          </w:tcPr>
          <w:p w:rsidR="00BB562D" w:rsidRPr="005F039C" w:rsidRDefault="00BB562D" w:rsidP="00BB562D">
            <w:pPr>
              <w:keepNext/>
              <w:ind w:left="142"/>
              <w:rPr>
                <w:rFonts w:ascii="Arial Narrow" w:hAnsi="Arial Narrow"/>
                <w:b/>
                <w:sz w:val="19"/>
                <w:szCs w:val="19"/>
              </w:rPr>
            </w:pPr>
            <w:r w:rsidRPr="005F039C">
              <w:rPr>
                <w:rFonts w:ascii="Arial Narrow" w:hAnsi="Arial Narrow"/>
                <w:b/>
                <w:sz w:val="19"/>
                <w:szCs w:val="19"/>
              </w:rPr>
              <w:t>Indirect</w:t>
            </w:r>
          </w:p>
        </w:tc>
        <w:tc>
          <w:tcPr>
            <w:tcW w:w="3572" w:type="pct"/>
            <w:gridSpan w:val="6"/>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rPr>
                <w:rFonts w:ascii="Arial Narrow" w:hAnsi="Arial Narrow"/>
                <w:b/>
                <w:sz w:val="19"/>
                <w:szCs w:val="19"/>
              </w:rPr>
            </w:pPr>
          </w:p>
          <w:p w:rsidR="00BB562D" w:rsidRPr="005F039C" w:rsidRDefault="00BB562D" w:rsidP="00BB562D">
            <w:pPr>
              <w:keepNext/>
              <w:ind w:left="142"/>
              <w:rPr>
                <w:rFonts w:ascii="Arial Narrow" w:hAnsi="Arial Narrow"/>
                <w:sz w:val="19"/>
                <w:szCs w:val="19"/>
              </w:rPr>
            </w:pPr>
            <w:r w:rsidRPr="005F039C">
              <w:rPr>
                <w:rFonts w:ascii="Arial Narrow" w:hAnsi="Arial Narrow"/>
                <w:sz w:val="19"/>
                <w:szCs w:val="19"/>
              </w:rPr>
              <w:t>1</w:t>
            </w:r>
            <w:r w:rsidRPr="005F039C">
              <w:rPr>
                <w:rFonts w:ascii="Arial Narrow" w:hAnsi="Arial Narrow"/>
                <w:sz w:val="19"/>
                <w:szCs w:val="19"/>
                <w:vertAlign w:val="superscript"/>
              </w:rPr>
              <w:t>2</w:t>
            </w:r>
            <w:r w:rsidRPr="005F039C">
              <w:rPr>
                <w:rFonts w:ascii="Arial Narrow" w:hAnsi="Arial Narrow"/>
                <w:sz w:val="19"/>
                <w:szCs w:val="19"/>
              </w:rPr>
              <w:t>=0%</w:t>
            </w:r>
          </w:p>
        </w:tc>
        <w:tc>
          <w:tcPr>
            <w:tcW w:w="902" w:type="pct"/>
            <w:tcBorders>
              <w:top w:val="single" w:sz="4" w:space="0" w:color="auto"/>
              <w:left w:val="single" w:sz="4" w:space="0" w:color="auto"/>
              <w:bottom w:val="single" w:sz="4" w:space="0" w:color="auto"/>
              <w:right w:val="single" w:sz="4" w:space="0" w:color="auto"/>
            </w:tcBorders>
            <w:vAlign w:val="center"/>
          </w:tcPr>
          <w:p w:rsidR="00BB562D" w:rsidRPr="005F039C" w:rsidRDefault="00BB562D" w:rsidP="00BB562D">
            <w:pPr>
              <w:keepNext/>
              <w:ind w:left="142"/>
              <w:jc w:val="center"/>
              <w:rPr>
                <w:rFonts w:ascii="Arial Narrow" w:hAnsi="Arial Narrow"/>
                <w:b/>
                <w:sz w:val="19"/>
                <w:szCs w:val="19"/>
              </w:rPr>
            </w:pPr>
            <w:r w:rsidRPr="005F039C">
              <w:rPr>
                <w:rFonts w:ascii="Arial Narrow" w:hAnsi="Arial Narrow"/>
                <w:b/>
                <w:sz w:val="19"/>
                <w:szCs w:val="19"/>
              </w:rPr>
              <w:t xml:space="preserve">1.51 </w:t>
            </w:r>
          </w:p>
          <w:p w:rsidR="00BB562D" w:rsidRPr="005F039C" w:rsidRDefault="00BB562D" w:rsidP="00BB562D">
            <w:pPr>
              <w:keepNext/>
              <w:ind w:left="142"/>
              <w:jc w:val="center"/>
              <w:rPr>
                <w:rFonts w:ascii="Arial Narrow" w:hAnsi="Arial Narrow"/>
                <w:b/>
                <w:sz w:val="19"/>
                <w:szCs w:val="19"/>
              </w:rPr>
            </w:pPr>
            <w:r w:rsidRPr="005F039C">
              <w:rPr>
                <w:rFonts w:ascii="Arial Narrow" w:hAnsi="Arial Narrow"/>
                <w:b/>
                <w:sz w:val="19"/>
                <w:szCs w:val="19"/>
              </w:rPr>
              <w:t>(0.67, 3.43)</w:t>
            </w:r>
          </w:p>
        </w:tc>
      </w:tr>
    </w:tbl>
    <w:p w:rsidR="00BB562D" w:rsidRPr="005F039C" w:rsidRDefault="00BB562D" w:rsidP="00CF4FB9">
      <w:pPr>
        <w:ind w:left="709"/>
        <w:rPr>
          <w:rFonts w:ascii="Arial Narrow" w:hAnsi="Arial Narrow"/>
          <w:sz w:val="18"/>
          <w:szCs w:val="18"/>
        </w:rPr>
      </w:pPr>
      <w:r w:rsidRPr="005F039C">
        <w:rPr>
          <w:rFonts w:ascii="Arial Narrow" w:hAnsi="Arial Narrow"/>
          <w:sz w:val="18"/>
          <w:szCs w:val="18"/>
        </w:rPr>
        <w:t xml:space="preserve">Source:  Table 12 and Table 13, p50 of Appendix D.2 of the July 2013 submission; Table 35 and 36, p165 of the </w:t>
      </w:r>
      <w:r w:rsidR="00525231" w:rsidRPr="005F039C">
        <w:rPr>
          <w:rFonts w:ascii="Arial Narrow" w:hAnsi="Arial Narrow"/>
          <w:sz w:val="18"/>
          <w:szCs w:val="18"/>
        </w:rPr>
        <w:t>resubmission</w:t>
      </w:r>
    </w:p>
    <w:p w:rsidR="00BB562D" w:rsidRPr="005F039C" w:rsidRDefault="00BB562D" w:rsidP="00CF4FB9">
      <w:pPr>
        <w:ind w:left="709"/>
        <w:rPr>
          <w:szCs w:val="22"/>
        </w:rPr>
      </w:pPr>
      <w:r w:rsidRPr="005F039C">
        <w:rPr>
          <w:rFonts w:ascii="Arial Narrow" w:hAnsi="Arial Narrow"/>
          <w:sz w:val="18"/>
          <w:szCs w:val="18"/>
        </w:rPr>
        <w:t>BCVA=best corrected visual acuity; OR=odds ratio</w:t>
      </w:r>
    </w:p>
    <w:p w:rsidR="00BB562D" w:rsidRPr="005F039C" w:rsidRDefault="00BB562D" w:rsidP="004C2F19">
      <w:pPr>
        <w:widowControl/>
        <w:rPr>
          <w:szCs w:val="22"/>
        </w:rPr>
      </w:pPr>
    </w:p>
    <w:p w:rsidR="00BB562D" w:rsidRPr="005F039C" w:rsidRDefault="00CF4FB9" w:rsidP="00745891">
      <w:pPr>
        <w:pStyle w:val="ListParagraph"/>
        <w:widowControl/>
        <w:numPr>
          <w:ilvl w:val="1"/>
          <w:numId w:val="3"/>
        </w:numPr>
        <w:ind w:left="709" w:hanging="709"/>
        <w:rPr>
          <w:szCs w:val="22"/>
        </w:rPr>
      </w:pPr>
      <w:r w:rsidRPr="005F039C">
        <w:rPr>
          <w:szCs w:val="22"/>
        </w:rPr>
        <w:t>The PBAC ha</w:t>
      </w:r>
      <w:r w:rsidR="0013385B" w:rsidRPr="005F039C">
        <w:rPr>
          <w:szCs w:val="22"/>
        </w:rPr>
        <w:t>s</w:t>
      </w:r>
      <w:r w:rsidRPr="005F039C">
        <w:rPr>
          <w:szCs w:val="22"/>
        </w:rPr>
        <w:t xml:space="preserve"> previously accepted, on the basis of an analysis conducted during the March 2014 evaluation, that aflibercept is non-inferior in terms of efficacy co</w:t>
      </w:r>
      <w:r w:rsidR="000C3027" w:rsidRPr="005F039C">
        <w:rPr>
          <w:szCs w:val="22"/>
        </w:rPr>
        <w:t xml:space="preserve">mpared to bevacizumab. </w:t>
      </w:r>
      <w:r w:rsidR="00E45C65" w:rsidRPr="005F039C">
        <w:rPr>
          <w:szCs w:val="22"/>
        </w:rPr>
        <w:t>The table below</w:t>
      </w:r>
      <w:r w:rsidRPr="005F039C">
        <w:rPr>
          <w:szCs w:val="22"/>
        </w:rPr>
        <w:t xml:space="preserve"> presents the results of the indirect comparison conducted du</w:t>
      </w:r>
      <w:r w:rsidR="005A0024" w:rsidRPr="005F039C">
        <w:rPr>
          <w:szCs w:val="22"/>
        </w:rPr>
        <w:t>ring the March 2014 evaluation.</w:t>
      </w:r>
    </w:p>
    <w:p w:rsidR="00607D0A" w:rsidRPr="005F039C" w:rsidRDefault="00607D0A" w:rsidP="00607D0A">
      <w:pPr>
        <w:rPr>
          <w:szCs w:val="22"/>
        </w:rPr>
      </w:pPr>
    </w:p>
    <w:p w:rsidR="00CF4FB9" w:rsidRPr="005F039C" w:rsidRDefault="00CF4FB9" w:rsidP="00CF4FB9">
      <w:pPr>
        <w:keepNext/>
        <w:ind w:left="709"/>
        <w:rPr>
          <w:rFonts w:ascii="Arial Narrow" w:hAnsi="Arial Narrow"/>
          <w:b/>
          <w:bCs/>
          <w:color w:val="000000" w:themeColor="text1"/>
          <w:sz w:val="20"/>
        </w:rPr>
      </w:pPr>
      <w:r w:rsidRPr="005F039C">
        <w:rPr>
          <w:rFonts w:ascii="Arial Narrow" w:hAnsi="Arial Narrow"/>
          <w:b/>
          <w:bCs/>
          <w:color w:val="000000" w:themeColor="text1"/>
          <w:sz w:val="20"/>
        </w:rPr>
        <w:lastRenderedPageBreak/>
        <w:t xml:space="preserve">Indirect meta-analysis of the proportion of subjects who gained at least 15 letters in BCVA at Week 24 </w:t>
      </w:r>
      <w:r w:rsidR="00C864D8" w:rsidRPr="005F039C">
        <w:rPr>
          <w:rFonts w:ascii="Arial Narrow" w:hAnsi="Arial Narrow"/>
          <w:b/>
          <w:bCs/>
          <w:color w:val="000000" w:themeColor="text1"/>
          <w:sz w:val="20"/>
        </w:rPr>
        <w:t>– aflibercept vs bevacizumab</w:t>
      </w:r>
    </w:p>
    <w:tbl>
      <w:tblPr>
        <w:tblW w:w="451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1846"/>
        <w:gridCol w:w="2100"/>
        <w:gridCol w:w="1356"/>
        <w:gridCol w:w="931"/>
      </w:tblGrid>
      <w:tr w:rsidR="00CF4FB9" w:rsidRPr="00DF19EB">
        <w:tc>
          <w:tcPr>
            <w:tcW w:w="1263" w:type="pct"/>
            <w:vAlign w:val="bottom"/>
          </w:tcPr>
          <w:p w:rsidR="00CF4FB9" w:rsidRPr="00DF19EB" w:rsidRDefault="00CF4FB9" w:rsidP="00C574B3">
            <w:pPr>
              <w:keepNext/>
              <w:keepLines/>
              <w:widowControl/>
              <w:rPr>
                <w:rFonts w:ascii="Arial Narrow" w:hAnsi="Arial Narrow" w:cs="Times New Roman"/>
                <w:b/>
                <w:bCs/>
                <w:snapToGrid/>
                <w:sz w:val="20"/>
              </w:rPr>
            </w:pPr>
          </w:p>
          <w:p w:rsidR="00CF4FB9" w:rsidRPr="00DF19EB" w:rsidRDefault="00CF4FB9" w:rsidP="00C574B3">
            <w:pPr>
              <w:keepNext/>
              <w:keepLines/>
              <w:widowControl/>
              <w:rPr>
                <w:rFonts w:ascii="Arial Narrow" w:hAnsi="Arial Narrow" w:cs="Times New Roman"/>
                <w:b/>
                <w:bCs/>
                <w:snapToGrid/>
                <w:sz w:val="20"/>
              </w:rPr>
            </w:pPr>
            <w:r w:rsidRPr="00DF19EB">
              <w:rPr>
                <w:rFonts w:ascii="Arial Narrow" w:hAnsi="Arial Narrow" w:cs="Times New Roman"/>
                <w:b/>
                <w:bCs/>
                <w:snapToGrid/>
                <w:sz w:val="20"/>
              </w:rPr>
              <w:t>Outcome</w:t>
            </w:r>
          </w:p>
        </w:tc>
        <w:tc>
          <w:tcPr>
            <w:tcW w:w="1107" w:type="pct"/>
            <w:shd w:val="clear" w:color="auto" w:fill="auto"/>
            <w:noWrap/>
            <w:vAlign w:val="bottom"/>
          </w:tcPr>
          <w:p w:rsidR="00CF4FB9" w:rsidRPr="00DF19EB" w:rsidRDefault="00CF4FB9" w:rsidP="00C574B3">
            <w:pPr>
              <w:keepNext/>
              <w:keepLines/>
              <w:widowControl/>
              <w:jc w:val="center"/>
              <w:rPr>
                <w:rFonts w:ascii="Arial Narrow" w:hAnsi="Arial Narrow" w:cs="Times New Roman"/>
                <w:b/>
                <w:bCs/>
                <w:snapToGrid/>
                <w:sz w:val="20"/>
              </w:rPr>
            </w:pPr>
            <w:r w:rsidRPr="00DF19EB">
              <w:rPr>
                <w:rFonts w:ascii="Arial Narrow" w:hAnsi="Arial Narrow" w:cs="Times New Roman"/>
                <w:b/>
                <w:bCs/>
                <w:snapToGrid/>
                <w:sz w:val="20"/>
              </w:rPr>
              <w:t>Aflibercept vs. sham</w:t>
            </w:r>
          </w:p>
          <w:p w:rsidR="00CF4FB9" w:rsidRPr="00DF19EB" w:rsidRDefault="00CF4FB9" w:rsidP="00C574B3">
            <w:pPr>
              <w:keepNext/>
              <w:keepLines/>
              <w:widowControl/>
              <w:jc w:val="center"/>
              <w:rPr>
                <w:rFonts w:ascii="Arial Narrow" w:hAnsi="Arial Narrow" w:cs="Times New Roman"/>
                <w:b/>
                <w:bCs/>
                <w:snapToGrid/>
                <w:sz w:val="20"/>
              </w:rPr>
            </w:pPr>
            <w:r w:rsidRPr="00DF19EB">
              <w:rPr>
                <w:rFonts w:ascii="Arial Narrow" w:hAnsi="Arial Narrow" w:cs="Times New Roman"/>
                <w:b/>
                <w:bCs/>
                <w:snapToGrid/>
                <w:sz w:val="20"/>
              </w:rPr>
              <w:t>OR (95% CI)</w:t>
            </w:r>
          </w:p>
        </w:tc>
        <w:tc>
          <w:tcPr>
            <w:tcW w:w="1259" w:type="pct"/>
            <w:shd w:val="clear" w:color="auto" w:fill="auto"/>
            <w:noWrap/>
            <w:vAlign w:val="bottom"/>
          </w:tcPr>
          <w:p w:rsidR="00CF4FB9" w:rsidRPr="00DF19EB" w:rsidRDefault="00CF4FB9" w:rsidP="00C574B3">
            <w:pPr>
              <w:keepNext/>
              <w:keepLines/>
              <w:widowControl/>
              <w:jc w:val="center"/>
              <w:rPr>
                <w:rFonts w:ascii="Arial Narrow" w:hAnsi="Arial Narrow" w:cs="Times New Roman"/>
                <w:b/>
                <w:bCs/>
                <w:snapToGrid/>
                <w:sz w:val="20"/>
              </w:rPr>
            </w:pPr>
            <w:r w:rsidRPr="00DF19EB">
              <w:rPr>
                <w:rFonts w:ascii="Arial Narrow" w:hAnsi="Arial Narrow" w:cs="Times New Roman"/>
                <w:b/>
                <w:bCs/>
                <w:snapToGrid/>
                <w:sz w:val="20"/>
              </w:rPr>
              <w:t>Bevacizumab vs. sham</w:t>
            </w:r>
          </w:p>
          <w:p w:rsidR="00CF4FB9" w:rsidRPr="00DF19EB" w:rsidRDefault="00CF4FB9" w:rsidP="00C574B3">
            <w:pPr>
              <w:keepNext/>
              <w:keepLines/>
              <w:widowControl/>
              <w:jc w:val="center"/>
              <w:rPr>
                <w:rFonts w:ascii="Arial Narrow" w:hAnsi="Arial Narrow" w:cs="Times New Roman"/>
                <w:b/>
                <w:bCs/>
                <w:snapToGrid/>
                <w:sz w:val="20"/>
              </w:rPr>
            </w:pPr>
            <w:r w:rsidRPr="00DF19EB">
              <w:rPr>
                <w:rFonts w:ascii="Arial Narrow" w:hAnsi="Arial Narrow" w:cs="Times New Roman"/>
                <w:b/>
                <w:bCs/>
                <w:snapToGrid/>
                <w:sz w:val="20"/>
              </w:rPr>
              <w:t>OR (95% CI)</w:t>
            </w:r>
          </w:p>
        </w:tc>
        <w:tc>
          <w:tcPr>
            <w:tcW w:w="813" w:type="pct"/>
            <w:shd w:val="clear" w:color="auto" w:fill="auto"/>
            <w:noWrap/>
            <w:vAlign w:val="bottom"/>
          </w:tcPr>
          <w:p w:rsidR="00CF4FB9" w:rsidRPr="00DF19EB" w:rsidRDefault="00CF4FB9" w:rsidP="00C574B3">
            <w:pPr>
              <w:keepNext/>
              <w:keepLines/>
              <w:widowControl/>
              <w:jc w:val="center"/>
              <w:rPr>
                <w:rFonts w:ascii="Arial Narrow" w:hAnsi="Arial Narrow" w:cs="Times New Roman"/>
                <w:b/>
                <w:bCs/>
                <w:snapToGrid/>
                <w:sz w:val="20"/>
              </w:rPr>
            </w:pPr>
            <w:r w:rsidRPr="00DF19EB">
              <w:rPr>
                <w:rFonts w:ascii="Arial Narrow" w:hAnsi="Arial Narrow" w:cs="Times New Roman"/>
                <w:b/>
                <w:bCs/>
                <w:snapToGrid/>
                <w:sz w:val="20"/>
              </w:rPr>
              <w:t>Aflibercept vs. bevacizumab</w:t>
            </w:r>
          </w:p>
          <w:p w:rsidR="00CF4FB9" w:rsidRPr="00DF19EB" w:rsidRDefault="00CF4FB9" w:rsidP="00C574B3">
            <w:pPr>
              <w:keepNext/>
              <w:keepLines/>
              <w:widowControl/>
              <w:jc w:val="center"/>
              <w:rPr>
                <w:rFonts w:ascii="Arial Narrow" w:hAnsi="Arial Narrow" w:cs="Times New Roman"/>
                <w:b/>
                <w:bCs/>
                <w:snapToGrid/>
                <w:sz w:val="20"/>
              </w:rPr>
            </w:pPr>
            <w:r w:rsidRPr="00DF19EB">
              <w:rPr>
                <w:rFonts w:ascii="Arial Narrow" w:hAnsi="Arial Narrow" w:cs="Times New Roman"/>
                <w:b/>
                <w:bCs/>
                <w:snapToGrid/>
                <w:sz w:val="20"/>
              </w:rPr>
              <w:t>OR (95% CI)</w:t>
            </w:r>
          </w:p>
        </w:tc>
        <w:tc>
          <w:tcPr>
            <w:tcW w:w="558" w:type="pct"/>
            <w:shd w:val="clear" w:color="auto" w:fill="auto"/>
            <w:noWrap/>
            <w:vAlign w:val="bottom"/>
          </w:tcPr>
          <w:p w:rsidR="00CF4FB9" w:rsidRPr="00DF19EB" w:rsidRDefault="00CF4FB9" w:rsidP="00C574B3">
            <w:pPr>
              <w:keepNext/>
              <w:keepLines/>
              <w:widowControl/>
              <w:jc w:val="center"/>
              <w:rPr>
                <w:rFonts w:ascii="Arial Narrow" w:hAnsi="Arial Narrow" w:cs="Times New Roman"/>
                <w:b/>
                <w:bCs/>
                <w:snapToGrid/>
                <w:sz w:val="20"/>
              </w:rPr>
            </w:pPr>
          </w:p>
          <w:p w:rsidR="00CF4FB9" w:rsidRPr="00DF19EB" w:rsidRDefault="00CF4FB9" w:rsidP="00C574B3">
            <w:pPr>
              <w:keepNext/>
              <w:keepLines/>
              <w:widowControl/>
              <w:rPr>
                <w:rFonts w:ascii="Arial Narrow" w:hAnsi="Arial Narrow" w:cs="Times New Roman"/>
                <w:b/>
                <w:bCs/>
                <w:snapToGrid/>
                <w:sz w:val="20"/>
              </w:rPr>
            </w:pPr>
          </w:p>
          <w:p w:rsidR="00CF4FB9" w:rsidRPr="00DF19EB" w:rsidRDefault="00CF4FB9" w:rsidP="00C574B3">
            <w:pPr>
              <w:keepNext/>
              <w:keepLines/>
              <w:widowControl/>
              <w:jc w:val="center"/>
              <w:rPr>
                <w:rFonts w:ascii="Arial Narrow" w:hAnsi="Arial Narrow" w:cs="Times New Roman"/>
                <w:b/>
                <w:bCs/>
                <w:snapToGrid/>
                <w:sz w:val="20"/>
              </w:rPr>
            </w:pPr>
            <w:r w:rsidRPr="00DF19EB">
              <w:rPr>
                <w:rFonts w:ascii="Arial Narrow" w:hAnsi="Arial Narrow" w:cs="Times New Roman"/>
                <w:b/>
                <w:bCs/>
                <w:snapToGrid/>
                <w:sz w:val="20"/>
              </w:rPr>
              <w:t>P-value</w:t>
            </w:r>
          </w:p>
        </w:tc>
      </w:tr>
      <w:tr w:rsidR="00CF4FB9" w:rsidRPr="00DF19EB">
        <w:trPr>
          <w:trHeight w:val="263"/>
        </w:trPr>
        <w:tc>
          <w:tcPr>
            <w:tcW w:w="1263" w:type="pct"/>
          </w:tcPr>
          <w:p w:rsidR="00CF4FB9" w:rsidRPr="00DF19EB" w:rsidRDefault="00CF4FB9" w:rsidP="00C574B3">
            <w:pPr>
              <w:widowControl/>
              <w:rPr>
                <w:rFonts w:ascii="Arial Narrow" w:hAnsi="Arial Narrow" w:cs="Times New Roman"/>
                <w:snapToGrid/>
                <w:sz w:val="20"/>
                <w:lang w:eastAsia="en-AU"/>
              </w:rPr>
            </w:pPr>
            <w:r w:rsidRPr="00DF19EB">
              <w:rPr>
                <w:rFonts w:ascii="Arial Narrow" w:hAnsi="Arial Narrow" w:cs="Times New Roman"/>
                <w:snapToGrid/>
                <w:sz w:val="20"/>
                <w:lang w:eastAsia="en-AU"/>
              </w:rPr>
              <w:t>Proportion of patients gaining ≥15 letters in BCVA at Week 24</w:t>
            </w:r>
          </w:p>
        </w:tc>
        <w:tc>
          <w:tcPr>
            <w:tcW w:w="1107" w:type="pct"/>
            <w:shd w:val="clear" w:color="auto" w:fill="auto"/>
            <w:noWrap/>
          </w:tcPr>
          <w:p w:rsidR="00CF4FB9" w:rsidRPr="00DF19EB" w:rsidRDefault="00CF4FB9" w:rsidP="00C574B3">
            <w:pPr>
              <w:widowControl/>
              <w:jc w:val="center"/>
              <w:rPr>
                <w:rFonts w:ascii="Arial Narrow" w:hAnsi="Arial Narrow" w:cs="Times New Roman"/>
                <w:snapToGrid/>
                <w:sz w:val="20"/>
                <w:lang w:eastAsia="en-AU"/>
              </w:rPr>
            </w:pPr>
            <w:r w:rsidRPr="00DF19EB">
              <w:rPr>
                <w:rFonts w:ascii="Arial Narrow" w:hAnsi="Arial Narrow" w:cs="Times New Roman"/>
                <w:snapToGrid/>
                <w:sz w:val="20"/>
                <w:lang w:eastAsia="en-AU"/>
              </w:rPr>
              <w:t>6.74</w:t>
            </w:r>
          </w:p>
          <w:p w:rsidR="00CF4FB9" w:rsidRPr="00DF19EB" w:rsidRDefault="00CF4FB9" w:rsidP="00C574B3">
            <w:pPr>
              <w:widowControl/>
              <w:jc w:val="center"/>
              <w:rPr>
                <w:rFonts w:ascii="Arial Narrow" w:hAnsi="Arial Narrow" w:cs="Times New Roman"/>
                <w:snapToGrid/>
                <w:sz w:val="20"/>
                <w:lang w:eastAsia="en-AU"/>
              </w:rPr>
            </w:pPr>
            <w:r w:rsidRPr="00DF19EB">
              <w:rPr>
                <w:rFonts w:ascii="Arial Narrow" w:hAnsi="Arial Narrow" w:cs="Times New Roman"/>
                <w:snapToGrid/>
                <w:sz w:val="20"/>
                <w:lang w:eastAsia="en-AU"/>
              </w:rPr>
              <w:t xml:space="preserve"> (4.00 11.37)</w:t>
            </w:r>
          </w:p>
        </w:tc>
        <w:tc>
          <w:tcPr>
            <w:tcW w:w="1259" w:type="pct"/>
            <w:shd w:val="clear" w:color="auto" w:fill="auto"/>
            <w:noWrap/>
          </w:tcPr>
          <w:p w:rsidR="00CF4FB9" w:rsidRPr="00DF19EB" w:rsidRDefault="00CF4FB9" w:rsidP="00C574B3">
            <w:pPr>
              <w:widowControl/>
              <w:jc w:val="center"/>
              <w:rPr>
                <w:rFonts w:ascii="Arial Narrow" w:hAnsi="Arial Narrow" w:cs="Times New Roman"/>
                <w:snapToGrid/>
                <w:sz w:val="20"/>
                <w:lang w:eastAsia="en-AU"/>
              </w:rPr>
            </w:pPr>
            <w:r w:rsidRPr="00DF19EB">
              <w:rPr>
                <w:rFonts w:ascii="Arial Narrow" w:hAnsi="Arial Narrow" w:cs="Times New Roman"/>
                <w:snapToGrid/>
                <w:sz w:val="20"/>
                <w:lang w:eastAsia="en-AU"/>
              </w:rPr>
              <w:t xml:space="preserve">6.00 </w:t>
            </w:r>
          </w:p>
          <w:p w:rsidR="00CF4FB9" w:rsidRPr="00DF19EB" w:rsidRDefault="00CF4FB9" w:rsidP="00C574B3">
            <w:pPr>
              <w:widowControl/>
              <w:jc w:val="center"/>
              <w:rPr>
                <w:rFonts w:ascii="Arial Narrow" w:hAnsi="Arial Narrow" w:cs="Times New Roman"/>
                <w:snapToGrid/>
                <w:sz w:val="20"/>
                <w:lang w:eastAsia="en-AU"/>
              </w:rPr>
            </w:pPr>
            <w:r w:rsidRPr="00DF19EB">
              <w:rPr>
                <w:rFonts w:ascii="Arial Narrow" w:hAnsi="Arial Narrow" w:cs="Times New Roman"/>
                <w:snapToGrid/>
                <w:sz w:val="20"/>
                <w:lang w:eastAsia="en-AU"/>
              </w:rPr>
              <w:t>(1.89, 19.04)</w:t>
            </w:r>
          </w:p>
        </w:tc>
        <w:tc>
          <w:tcPr>
            <w:tcW w:w="813" w:type="pct"/>
            <w:shd w:val="clear" w:color="auto" w:fill="auto"/>
            <w:noWrap/>
          </w:tcPr>
          <w:p w:rsidR="00CF4FB9" w:rsidRPr="00DF19EB" w:rsidRDefault="00CF4FB9" w:rsidP="00C574B3">
            <w:pPr>
              <w:widowControl/>
              <w:jc w:val="center"/>
              <w:rPr>
                <w:rFonts w:ascii="Arial Narrow" w:hAnsi="Arial Narrow" w:cs="Times New Roman"/>
                <w:snapToGrid/>
                <w:sz w:val="20"/>
                <w:lang w:eastAsia="en-AU"/>
              </w:rPr>
            </w:pPr>
            <w:r w:rsidRPr="00DF19EB">
              <w:rPr>
                <w:rFonts w:ascii="Arial Narrow" w:hAnsi="Arial Narrow" w:cs="Times New Roman"/>
                <w:snapToGrid/>
                <w:sz w:val="20"/>
                <w:lang w:eastAsia="en-AU"/>
              </w:rPr>
              <w:t>1.123</w:t>
            </w:r>
          </w:p>
          <w:p w:rsidR="00CF4FB9" w:rsidRPr="00DF19EB" w:rsidRDefault="00CF4FB9" w:rsidP="00C574B3">
            <w:pPr>
              <w:widowControl/>
              <w:jc w:val="center"/>
              <w:rPr>
                <w:rFonts w:ascii="Arial Narrow" w:hAnsi="Arial Narrow" w:cs="Times New Roman"/>
                <w:snapToGrid/>
                <w:sz w:val="20"/>
                <w:lang w:eastAsia="en-AU"/>
              </w:rPr>
            </w:pPr>
            <w:r w:rsidRPr="00DF19EB">
              <w:rPr>
                <w:rFonts w:ascii="Arial Narrow" w:hAnsi="Arial Narrow" w:cs="Times New Roman"/>
                <w:snapToGrid/>
                <w:sz w:val="20"/>
                <w:lang w:eastAsia="en-AU"/>
              </w:rPr>
              <w:t xml:space="preserve"> (0.32, 3.99)</w:t>
            </w:r>
          </w:p>
        </w:tc>
        <w:tc>
          <w:tcPr>
            <w:tcW w:w="558" w:type="pct"/>
            <w:shd w:val="clear" w:color="auto" w:fill="auto"/>
            <w:noWrap/>
          </w:tcPr>
          <w:p w:rsidR="00CF4FB9" w:rsidRPr="00DF19EB" w:rsidRDefault="00CF4FB9" w:rsidP="00C574B3">
            <w:pPr>
              <w:widowControl/>
              <w:jc w:val="center"/>
              <w:rPr>
                <w:rFonts w:ascii="Arial Narrow" w:hAnsi="Arial Narrow" w:cs="Times New Roman"/>
                <w:snapToGrid/>
                <w:sz w:val="20"/>
                <w:lang w:eastAsia="en-AU"/>
              </w:rPr>
            </w:pPr>
            <w:r w:rsidRPr="00DF19EB">
              <w:rPr>
                <w:rFonts w:ascii="Arial Narrow" w:hAnsi="Arial Narrow" w:cs="Times New Roman"/>
                <w:snapToGrid/>
                <w:sz w:val="20"/>
                <w:lang w:eastAsia="en-AU"/>
              </w:rPr>
              <w:t>0.8573</w:t>
            </w:r>
          </w:p>
        </w:tc>
      </w:tr>
    </w:tbl>
    <w:p w:rsidR="00CF4FB9" w:rsidRPr="005F039C" w:rsidRDefault="00CF4FB9" w:rsidP="00CF4FB9">
      <w:pPr>
        <w:keepNext/>
        <w:widowControl/>
        <w:ind w:left="709"/>
        <w:rPr>
          <w:rFonts w:ascii="Arial Narrow" w:hAnsi="Arial Narrow"/>
          <w:snapToGrid/>
          <w:sz w:val="18"/>
          <w:szCs w:val="18"/>
          <w:lang w:eastAsia="en-AU"/>
        </w:rPr>
      </w:pPr>
      <w:r w:rsidRPr="005F039C">
        <w:rPr>
          <w:rFonts w:ascii="Arial Narrow" w:hAnsi="Arial Narrow"/>
          <w:snapToGrid/>
          <w:sz w:val="18"/>
          <w:szCs w:val="18"/>
          <w:lang w:eastAsia="en-AU"/>
        </w:rPr>
        <w:t>Source: Calculated during the March 2014 evaluation.</w:t>
      </w:r>
    </w:p>
    <w:p w:rsidR="00BB562D" w:rsidRPr="005F039C" w:rsidRDefault="00BB562D" w:rsidP="00607D0A">
      <w:pPr>
        <w:rPr>
          <w:szCs w:val="22"/>
        </w:rPr>
      </w:pPr>
    </w:p>
    <w:p w:rsidR="00607D0A" w:rsidRPr="00B3341B" w:rsidRDefault="00607D0A" w:rsidP="00B3341B">
      <w:pPr>
        <w:rPr>
          <w:b/>
        </w:rPr>
      </w:pPr>
      <w:bookmarkStart w:id="11" w:name="_Toc398652407"/>
      <w:r w:rsidRPr="00B3341B">
        <w:rPr>
          <w:b/>
        </w:rPr>
        <w:t>Comparative harms</w:t>
      </w:r>
      <w:bookmarkEnd w:id="11"/>
    </w:p>
    <w:p w:rsidR="00607D0A" w:rsidRPr="005F039C" w:rsidRDefault="00607D0A" w:rsidP="00607D0A">
      <w:pPr>
        <w:ind w:left="720" w:hanging="720"/>
        <w:rPr>
          <w:szCs w:val="22"/>
        </w:rPr>
      </w:pPr>
    </w:p>
    <w:p w:rsidR="00607D0A" w:rsidRPr="005F039C" w:rsidRDefault="00607D0A" w:rsidP="00745891">
      <w:pPr>
        <w:pStyle w:val="ListParagraph"/>
        <w:widowControl/>
        <w:numPr>
          <w:ilvl w:val="1"/>
          <w:numId w:val="7"/>
        </w:numPr>
        <w:rPr>
          <w:szCs w:val="22"/>
        </w:rPr>
      </w:pPr>
      <w:r w:rsidRPr="005F039C">
        <w:t xml:space="preserve">The PBAC noted that the trial data showed minimal differences in adverse events between aflibercept and sham injection in the COPERNICUS and GALILEO trials (paragraph 6.19, March 2014 </w:t>
      </w:r>
      <w:r w:rsidR="00525231" w:rsidRPr="005F039C">
        <w:t>resubmission</w:t>
      </w:r>
      <w:r w:rsidRPr="005F039C">
        <w:t>).</w:t>
      </w:r>
    </w:p>
    <w:p w:rsidR="00607D0A" w:rsidRPr="005F039C" w:rsidRDefault="00607D0A" w:rsidP="00607D0A">
      <w:pPr>
        <w:pStyle w:val="ListParagraph"/>
        <w:ind w:left="0"/>
        <w:rPr>
          <w:szCs w:val="22"/>
        </w:rPr>
      </w:pPr>
    </w:p>
    <w:p w:rsidR="00607D0A" w:rsidRPr="00B3341B" w:rsidRDefault="00607D0A" w:rsidP="00B3341B">
      <w:pPr>
        <w:rPr>
          <w:b/>
        </w:rPr>
      </w:pPr>
      <w:bookmarkStart w:id="12" w:name="_Toc398652408"/>
      <w:r w:rsidRPr="00B3341B">
        <w:rPr>
          <w:b/>
        </w:rPr>
        <w:t>Benefits/harms</w:t>
      </w:r>
      <w:bookmarkEnd w:id="12"/>
    </w:p>
    <w:p w:rsidR="00607D0A" w:rsidRPr="005F039C" w:rsidRDefault="00607D0A" w:rsidP="00607D0A">
      <w:pPr>
        <w:widowControl/>
      </w:pPr>
    </w:p>
    <w:p w:rsidR="00607D0A" w:rsidRPr="005F039C" w:rsidRDefault="00607D0A" w:rsidP="00745891">
      <w:pPr>
        <w:pStyle w:val="ListParagraph"/>
        <w:widowControl/>
        <w:numPr>
          <w:ilvl w:val="1"/>
          <w:numId w:val="2"/>
        </w:numPr>
        <w:rPr>
          <w:szCs w:val="22"/>
        </w:rPr>
      </w:pPr>
      <w:r w:rsidRPr="005F039C">
        <w:rPr>
          <w:szCs w:val="22"/>
        </w:rPr>
        <w:t>A summary of the comparative benefits and harms for aflibercept versus sham injection</w:t>
      </w:r>
      <w:r w:rsidR="00A857D4" w:rsidRPr="005F039C">
        <w:rPr>
          <w:szCs w:val="22"/>
        </w:rPr>
        <w:t xml:space="preserve"> (as a proxy for BSC)</w:t>
      </w:r>
      <w:r w:rsidRPr="005F039C">
        <w:rPr>
          <w:szCs w:val="22"/>
        </w:rPr>
        <w:t xml:space="preserve"> is presented in the table below.</w:t>
      </w:r>
    </w:p>
    <w:p w:rsidR="00607D0A" w:rsidRPr="005F039C" w:rsidRDefault="00607D0A" w:rsidP="00607D0A">
      <w:pPr>
        <w:widowControl/>
        <w:rPr>
          <w:szCs w:val="22"/>
        </w:rPr>
      </w:pPr>
    </w:p>
    <w:p w:rsidR="00607D0A" w:rsidRPr="005F039C" w:rsidRDefault="00607D0A" w:rsidP="00607D0A">
      <w:pPr>
        <w:pStyle w:val="ListParagraph"/>
        <w:keepNext/>
        <w:keepLines/>
        <w:rPr>
          <w:rStyle w:val="CommentReference"/>
        </w:rPr>
      </w:pPr>
      <w:r w:rsidRPr="005F039C">
        <w:rPr>
          <w:rStyle w:val="CommentReference"/>
        </w:rPr>
        <w:t xml:space="preserve">Summary of comparative benefits and harms </w:t>
      </w:r>
      <w:r w:rsidR="009E2114" w:rsidRPr="005F039C">
        <w:rPr>
          <w:rStyle w:val="CommentReference"/>
        </w:rPr>
        <w:t>for aflibercept and sham injection</w:t>
      </w:r>
    </w:p>
    <w:tbl>
      <w:tblPr>
        <w:tblStyle w:val="TableGrid1"/>
        <w:tblW w:w="0" w:type="auto"/>
        <w:tblInd w:w="737" w:type="dxa"/>
        <w:tblCellMar>
          <w:left w:w="28" w:type="dxa"/>
          <w:right w:w="28" w:type="dxa"/>
        </w:tblCellMar>
        <w:tblLook w:val="04A0" w:firstRow="1" w:lastRow="0" w:firstColumn="1" w:lastColumn="0" w:noHBand="0" w:noVBand="1"/>
      </w:tblPr>
      <w:tblGrid>
        <w:gridCol w:w="653"/>
        <w:gridCol w:w="1212"/>
        <w:gridCol w:w="879"/>
        <w:gridCol w:w="1269"/>
        <w:gridCol w:w="1417"/>
        <w:gridCol w:w="1658"/>
        <w:gridCol w:w="1257"/>
      </w:tblGrid>
      <w:tr w:rsidR="00607D0A" w:rsidRPr="005F039C">
        <w:trPr>
          <w:trHeight w:val="150"/>
        </w:trPr>
        <w:tc>
          <w:tcPr>
            <w:tcW w:w="653" w:type="dxa"/>
            <w:vMerge w:val="restart"/>
            <w:vAlign w:val="center"/>
          </w:tcPr>
          <w:p w:rsidR="00607D0A" w:rsidRPr="005F039C" w:rsidRDefault="00607D0A" w:rsidP="00552AE9">
            <w:pPr>
              <w:keepNext/>
              <w:keepLines/>
              <w:jc w:val="left"/>
              <w:rPr>
                <w:rFonts w:ascii="Arial Narrow" w:hAnsi="Arial Narrow"/>
                <w:b/>
                <w:color w:val="000000"/>
                <w:sz w:val="20"/>
                <w:lang w:eastAsia="en-AU"/>
              </w:rPr>
            </w:pPr>
            <w:r w:rsidRPr="005F039C">
              <w:rPr>
                <w:rFonts w:ascii="Arial Narrow" w:hAnsi="Arial Narrow"/>
                <w:b/>
                <w:color w:val="000000"/>
                <w:sz w:val="20"/>
                <w:lang w:eastAsia="en-AU"/>
              </w:rPr>
              <w:t>Trial</w:t>
            </w:r>
          </w:p>
        </w:tc>
        <w:tc>
          <w:tcPr>
            <w:tcW w:w="1212" w:type="dxa"/>
            <w:vMerge w:val="restart"/>
            <w:vAlign w:val="center"/>
          </w:tcPr>
          <w:p w:rsidR="00607D0A" w:rsidRPr="005F039C" w:rsidRDefault="00607D0A" w:rsidP="00607D0A">
            <w:pPr>
              <w:keepNext/>
              <w:keepLines/>
              <w:jc w:val="center"/>
              <w:rPr>
                <w:rFonts w:ascii="Arial Narrow" w:hAnsi="Arial Narrow"/>
                <w:b/>
                <w:color w:val="000000"/>
                <w:sz w:val="20"/>
                <w:lang w:eastAsia="en-AU"/>
              </w:rPr>
            </w:pPr>
            <w:r w:rsidRPr="005F039C">
              <w:rPr>
                <w:rFonts w:ascii="Arial Narrow" w:hAnsi="Arial Narrow"/>
                <w:b/>
                <w:color w:val="000000"/>
                <w:sz w:val="20"/>
                <w:lang w:eastAsia="en-AU"/>
              </w:rPr>
              <w:t>Aflibercept</w:t>
            </w:r>
          </w:p>
        </w:tc>
        <w:tc>
          <w:tcPr>
            <w:tcW w:w="879" w:type="dxa"/>
            <w:vMerge w:val="restart"/>
            <w:vAlign w:val="center"/>
          </w:tcPr>
          <w:p w:rsidR="00607D0A" w:rsidRPr="005F039C" w:rsidRDefault="00607D0A" w:rsidP="00607D0A">
            <w:pPr>
              <w:keepNext/>
              <w:keepLines/>
              <w:jc w:val="center"/>
              <w:rPr>
                <w:rFonts w:ascii="Arial Narrow" w:hAnsi="Arial Narrow"/>
                <w:b/>
                <w:color w:val="000000"/>
                <w:sz w:val="20"/>
                <w:lang w:eastAsia="en-AU"/>
              </w:rPr>
            </w:pPr>
            <w:r w:rsidRPr="005F039C">
              <w:rPr>
                <w:rFonts w:ascii="Arial Narrow" w:hAnsi="Arial Narrow"/>
                <w:b/>
                <w:color w:val="000000"/>
                <w:sz w:val="20"/>
                <w:lang w:eastAsia="en-AU"/>
              </w:rPr>
              <w:t>Sham injection</w:t>
            </w:r>
          </w:p>
        </w:tc>
        <w:tc>
          <w:tcPr>
            <w:tcW w:w="1269" w:type="dxa"/>
            <w:vMerge w:val="restart"/>
            <w:vAlign w:val="center"/>
          </w:tcPr>
          <w:p w:rsidR="00607D0A" w:rsidRPr="005F039C" w:rsidRDefault="00607D0A" w:rsidP="00607D0A">
            <w:pPr>
              <w:keepNext/>
              <w:keepLines/>
              <w:jc w:val="center"/>
              <w:rPr>
                <w:rFonts w:ascii="Arial Narrow" w:hAnsi="Arial Narrow"/>
                <w:b/>
                <w:color w:val="000000"/>
                <w:sz w:val="20"/>
                <w:lang w:eastAsia="en-AU"/>
              </w:rPr>
            </w:pPr>
            <w:r w:rsidRPr="005F039C">
              <w:rPr>
                <w:rFonts w:ascii="Arial Narrow" w:hAnsi="Arial Narrow"/>
                <w:b/>
                <w:color w:val="000000"/>
                <w:sz w:val="20"/>
                <w:lang w:eastAsia="en-AU"/>
              </w:rPr>
              <w:t>RR*</w:t>
            </w:r>
          </w:p>
          <w:p w:rsidR="00607D0A" w:rsidRPr="005F039C" w:rsidRDefault="00607D0A" w:rsidP="00607D0A">
            <w:pPr>
              <w:keepNext/>
              <w:keepLines/>
              <w:jc w:val="center"/>
              <w:rPr>
                <w:rFonts w:ascii="Arial Narrow" w:hAnsi="Arial Narrow"/>
                <w:b/>
                <w:color w:val="000000"/>
                <w:sz w:val="20"/>
                <w:lang w:eastAsia="en-AU"/>
              </w:rPr>
            </w:pPr>
            <w:r w:rsidRPr="005F039C">
              <w:rPr>
                <w:rFonts w:ascii="Arial Narrow" w:hAnsi="Arial Narrow"/>
                <w:b/>
                <w:color w:val="000000"/>
                <w:sz w:val="20"/>
                <w:lang w:eastAsia="en-AU"/>
              </w:rPr>
              <w:t>(95% CI)</w:t>
            </w:r>
          </w:p>
        </w:tc>
        <w:tc>
          <w:tcPr>
            <w:tcW w:w="3075" w:type="dxa"/>
            <w:gridSpan w:val="2"/>
            <w:vAlign w:val="center"/>
          </w:tcPr>
          <w:p w:rsidR="00607D0A" w:rsidRPr="005F039C" w:rsidRDefault="00607D0A" w:rsidP="00607D0A">
            <w:pPr>
              <w:keepNext/>
              <w:keepLines/>
              <w:jc w:val="center"/>
              <w:rPr>
                <w:rFonts w:ascii="Arial Narrow" w:hAnsi="Arial Narrow"/>
                <w:b/>
                <w:color w:val="000000"/>
                <w:sz w:val="20"/>
                <w:lang w:eastAsia="en-AU"/>
              </w:rPr>
            </w:pPr>
            <w:r w:rsidRPr="005F039C">
              <w:rPr>
                <w:rFonts w:ascii="Arial Narrow" w:hAnsi="Arial Narrow"/>
                <w:b/>
                <w:color w:val="000000"/>
                <w:sz w:val="20"/>
                <w:lang w:eastAsia="en-AU"/>
              </w:rPr>
              <w:t>Event rate/100 patients</w:t>
            </w:r>
          </w:p>
        </w:tc>
        <w:tc>
          <w:tcPr>
            <w:tcW w:w="1257" w:type="dxa"/>
            <w:vMerge w:val="restart"/>
            <w:vAlign w:val="center"/>
          </w:tcPr>
          <w:p w:rsidR="00607D0A" w:rsidRPr="005F039C" w:rsidRDefault="00607D0A" w:rsidP="00607D0A">
            <w:pPr>
              <w:keepNext/>
              <w:keepLines/>
              <w:jc w:val="center"/>
              <w:rPr>
                <w:rFonts w:ascii="Arial Narrow" w:hAnsi="Arial Narrow"/>
                <w:b/>
                <w:color w:val="000000"/>
                <w:sz w:val="20"/>
                <w:lang w:eastAsia="en-AU"/>
              </w:rPr>
            </w:pPr>
            <w:r w:rsidRPr="005F039C">
              <w:rPr>
                <w:rFonts w:ascii="Arial Narrow" w:hAnsi="Arial Narrow"/>
                <w:b/>
                <w:color w:val="000000"/>
                <w:sz w:val="20"/>
                <w:lang w:eastAsia="en-AU"/>
              </w:rPr>
              <w:t>RD*</w:t>
            </w:r>
          </w:p>
          <w:p w:rsidR="00607D0A" w:rsidRPr="005F039C" w:rsidRDefault="00607D0A" w:rsidP="00607D0A">
            <w:pPr>
              <w:keepNext/>
              <w:keepLines/>
              <w:jc w:val="center"/>
              <w:rPr>
                <w:rFonts w:ascii="Arial Narrow" w:hAnsi="Arial Narrow"/>
                <w:b/>
                <w:color w:val="000000"/>
                <w:sz w:val="20"/>
                <w:lang w:eastAsia="en-AU"/>
              </w:rPr>
            </w:pPr>
            <w:r w:rsidRPr="005F039C">
              <w:rPr>
                <w:rFonts w:ascii="Arial Narrow" w:hAnsi="Arial Narrow"/>
                <w:b/>
                <w:color w:val="000000"/>
                <w:sz w:val="20"/>
                <w:lang w:eastAsia="en-AU"/>
              </w:rPr>
              <w:t>(95% CI)</w:t>
            </w:r>
          </w:p>
        </w:tc>
      </w:tr>
      <w:tr w:rsidR="00607D0A" w:rsidRPr="005F039C">
        <w:trPr>
          <w:trHeight w:val="70"/>
        </w:trPr>
        <w:tc>
          <w:tcPr>
            <w:tcW w:w="653" w:type="dxa"/>
            <w:vMerge/>
            <w:vAlign w:val="center"/>
          </w:tcPr>
          <w:p w:rsidR="00607D0A" w:rsidRPr="005F039C" w:rsidRDefault="00607D0A" w:rsidP="00552AE9">
            <w:pPr>
              <w:keepNext/>
              <w:keepLines/>
              <w:jc w:val="left"/>
              <w:rPr>
                <w:rFonts w:ascii="Arial Narrow" w:hAnsi="Arial Narrow"/>
                <w:b/>
                <w:color w:val="000000"/>
                <w:sz w:val="20"/>
                <w:lang w:eastAsia="en-AU"/>
              </w:rPr>
            </w:pPr>
          </w:p>
        </w:tc>
        <w:tc>
          <w:tcPr>
            <w:tcW w:w="1212" w:type="dxa"/>
            <w:vMerge/>
            <w:vAlign w:val="center"/>
          </w:tcPr>
          <w:p w:rsidR="00607D0A" w:rsidRPr="005F039C" w:rsidRDefault="00607D0A" w:rsidP="00607D0A">
            <w:pPr>
              <w:keepNext/>
              <w:keepLines/>
              <w:jc w:val="center"/>
              <w:rPr>
                <w:rFonts w:ascii="Arial Narrow" w:hAnsi="Arial Narrow"/>
                <w:b/>
                <w:color w:val="000000"/>
                <w:sz w:val="20"/>
                <w:lang w:eastAsia="en-AU"/>
              </w:rPr>
            </w:pPr>
          </w:p>
        </w:tc>
        <w:tc>
          <w:tcPr>
            <w:tcW w:w="879" w:type="dxa"/>
            <w:vMerge/>
            <w:vAlign w:val="center"/>
          </w:tcPr>
          <w:p w:rsidR="00607D0A" w:rsidRPr="005F039C" w:rsidRDefault="00607D0A" w:rsidP="00607D0A">
            <w:pPr>
              <w:keepNext/>
              <w:keepLines/>
              <w:jc w:val="center"/>
              <w:rPr>
                <w:rFonts w:ascii="Arial Narrow" w:hAnsi="Arial Narrow"/>
                <w:b/>
                <w:color w:val="000000"/>
                <w:sz w:val="20"/>
                <w:lang w:eastAsia="en-AU"/>
              </w:rPr>
            </w:pPr>
          </w:p>
        </w:tc>
        <w:tc>
          <w:tcPr>
            <w:tcW w:w="1269" w:type="dxa"/>
            <w:vMerge/>
            <w:vAlign w:val="center"/>
          </w:tcPr>
          <w:p w:rsidR="00607D0A" w:rsidRPr="005F039C" w:rsidRDefault="00607D0A" w:rsidP="00607D0A">
            <w:pPr>
              <w:keepNext/>
              <w:keepLines/>
              <w:jc w:val="center"/>
              <w:rPr>
                <w:rFonts w:ascii="Arial Narrow" w:hAnsi="Arial Narrow"/>
                <w:b/>
                <w:color w:val="000000"/>
                <w:sz w:val="20"/>
                <w:lang w:eastAsia="en-AU"/>
              </w:rPr>
            </w:pPr>
          </w:p>
        </w:tc>
        <w:tc>
          <w:tcPr>
            <w:tcW w:w="1417" w:type="dxa"/>
            <w:vAlign w:val="center"/>
          </w:tcPr>
          <w:p w:rsidR="00607D0A" w:rsidRPr="005F039C" w:rsidRDefault="00607D0A" w:rsidP="00607D0A">
            <w:pPr>
              <w:keepNext/>
              <w:keepLines/>
              <w:jc w:val="center"/>
              <w:rPr>
                <w:rFonts w:ascii="Arial Narrow" w:hAnsi="Arial Narrow"/>
                <w:b/>
                <w:color w:val="000000"/>
                <w:sz w:val="20"/>
                <w:lang w:eastAsia="en-AU"/>
              </w:rPr>
            </w:pPr>
            <w:r w:rsidRPr="005F039C">
              <w:rPr>
                <w:rFonts w:ascii="Arial Narrow" w:hAnsi="Arial Narrow"/>
                <w:b/>
                <w:color w:val="000000"/>
                <w:sz w:val="20"/>
                <w:lang w:eastAsia="en-AU"/>
              </w:rPr>
              <w:t>Aflibercept</w:t>
            </w:r>
          </w:p>
        </w:tc>
        <w:tc>
          <w:tcPr>
            <w:tcW w:w="1658" w:type="dxa"/>
            <w:vAlign w:val="center"/>
          </w:tcPr>
          <w:p w:rsidR="00607D0A" w:rsidRPr="005F039C" w:rsidRDefault="00607D0A" w:rsidP="00607D0A">
            <w:pPr>
              <w:keepNext/>
              <w:keepLines/>
              <w:jc w:val="center"/>
              <w:rPr>
                <w:rFonts w:ascii="Arial Narrow" w:hAnsi="Arial Narrow"/>
                <w:b/>
                <w:color w:val="000000"/>
                <w:sz w:val="20"/>
                <w:lang w:eastAsia="en-AU"/>
              </w:rPr>
            </w:pPr>
            <w:r w:rsidRPr="005F039C">
              <w:rPr>
                <w:rFonts w:ascii="Arial Narrow" w:hAnsi="Arial Narrow"/>
                <w:b/>
                <w:color w:val="000000"/>
                <w:sz w:val="20"/>
                <w:lang w:eastAsia="en-AU"/>
              </w:rPr>
              <w:t>Sham injection</w:t>
            </w:r>
          </w:p>
        </w:tc>
        <w:tc>
          <w:tcPr>
            <w:tcW w:w="1257" w:type="dxa"/>
            <w:vMerge/>
            <w:vAlign w:val="center"/>
          </w:tcPr>
          <w:p w:rsidR="00607D0A" w:rsidRPr="005F039C" w:rsidRDefault="00607D0A" w:rsidP="00607D0A">
            <w:pPr>
              <w:keepNext/>
              <w:keepLines/>
              <w:jc w:val="center"/>
              <w:rPr>
                <w:rFonts w:ascii="Arial Narrow" w:hAnsi="Arial Narrow"/>
                <w:b/>
                <w:color w:val="000000"/>
                <w:sz w:val="20"/>
                <w:lang w:eastAsia="en-AU"/>
              </w:rPr>
            </w:pPr>
          </w:p>
        </w:tc>
      </w:tr>
      <w:tr w:rsidR="00607D0A" w:rsidRPr="005F039C">
        <w:tc>
          <w:tcPr>
            <w:tcW w:w="8345" w:type="dxa"/>
            <w:gridSpan w:val="7"/>
            <w:vAlign w:val="center"/>
          </w:tcPr>
          <w:p w:rsidR="00607D0A" w:rsidRPr="005F039C" w:rsidRDefault="00607D0A" w:rsidP="00552AE9">
            <w:pPr>
              <w:keepNext/>
              <w:keepLines/>
              <w:jc w:val="left"/>
              <w:rPr>
                <w:rFonts w:ascii="Arial Narrow" w:hAnsi="Arial Narrow"/>
                <w:b/>
                <w:color w:val="000000"/>
                <w:sz w:val="20"/>
                <w:lang w:eastAsia="en-AU"/>
              </w:rPr>
            </w:pPr>
            <w:r w:rsidRPr="005F039C">
              <w:rPr>
                <w:rFonts w:ascii="Arial Narrow" w:hAnsi="Arial Narrow"/>
                <w:b/>
                <w:color w:val="000000"/>
                <w:sz w:val="20"/>
                <w:lang w:eastAsia="en-AU"/>
              </w:rPr>
              <w:t>Benefits</w:t>
            </w:r>
          </w:p>
        </w:tc>
      </w:tr>
      <w:tr w:rsidR="00607D0A" w:rsidRPr="005F039C">
        <w:tc>
          <w:tcPr>
            <w:tcW w:w="8345" w:type="dxa"/>
            <w:gridSpan w:val="7"/>
            <w:vAlign w:val="center"/>
          </w:tcPr>
          <w:p w:rsidR="00607D0A" w:rsidRPr="005F039C" w:rsidRDefault="00607D0A" w:rsidP="00552AE9">
            <w:pPr>
              <w:keepNext/>
              <w:keepLines/>
              <w:jc w:val="left"/>
              <w:rPr>
                <w:rFonts w:ascii="Arial Narrow" w:hAnsi="Arial Narrow"/>
                <w:b/>
                <w:color w:val="000000"/>
                <w:sz w:val="20"/>
                <w:lang w:eastAsia="en-AU"/>
              </w:rPr>
            </w:pPr>
            <w:r w:rsidRPr="005F039C">
              <w:rPr>
                <w:rFonts w:ascii="Arial Narrow" w:hAnsi="Arial Narrow"/>
                <w:color w:val="000000"/>
                <w:sz w:val="20"/>
                <w:lang w:eastAsia="en-AU"/>
              </w:rPr>
              <w:t>Gain ≥15 letters in BCVA</w:t>
            </w:r>
          </w:p>
        </w:tc>
      </w:tr>
      <w:tr w:rsidR="00607D0A" w:rsidRPr="005F039C">
        <w:tc>
          <w:tcPr>
            <w:tcW w:w="653" w:type="dxa"/>
            <w:vAlign w:val="center"/>
          </w:tcPr>
          <w:p w:rsidR="00607D0A" w:rsidRPr="005F039C" w:rsidRDefault="00607D0A" w:rsidP="00552AE9">
            <w:pPr>
              <w:keepNext/>
              <w:keepLines/>
              <w:jc w:val="left"/>
              <w:rPr>
                <w:rFonts w:ascii="Arial Narrow" w:hAnsi="Arial Narrow"/>
                <w:color w:val="000000"/>
                <w:sz w:val="20"/>
                <w:vertAlign w:val="superscript"/>
                <w:lang w:eastAsia="en-AU"/>
              </w:rPr>
            </w:pPr>
            <w:r w:rsidRPr="005F039C">
              <w:rPr>
                <w:rFonts w:ascii="Arial Narrow" w:hAnsi="Arial Narrow"/>
                <w:color w:val="000000"/>
                <w:sz w:val="20"/>
                <w:lang w:eastAsia="en-AU"/>
              </w:rPr>
              <w:t>GAL &amp; COP</w:t>
            </w:r>
            <w:r w:rsidRPr="005F039C">
              <w:rPr>
                <w:rFonts w:ascii="Arial Narrow" w:hAnsi="Arial Narrow"/>
                <w:color w:val="000000"/>
                <w:sz w:val="20"/>
                <w:vertAlign w:val="superscript"/>
                <w:lang w:eastAsia="en-AU"/>
              </w:rPr>
              <w:t>a</w:t>
            </w:r>
          </w:p>
        </w:tc>
        <w:tc>
          <w:tcPr>
            <w:tcW w:w="1212"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sz w:val="20"/>
                <w:lang w:eastAsia="en-AU"/>
              </w:rPr>
              <w:t>126/217</w:t>
            </w:r>
          </w:p>
        </w:tc>
        <w:tc>
          <w:tcPr>
            <w:tcW w:w="879"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sz w:val="20"/>
                <w:lang w:eastAsia="en-AU"/>
              </w:rPr>
              <w:t>24/141</w:t>
            </w:r>
          </w:p>
        </w:tc>
        <w:tc>
          <w:tcPr>
            <w:tcW w:w="1269"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 xml:space="preserve">3.37 </w:t>
            </w:r>
          </w:p>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(2.04, 5.57)</w:t>
            </w:r>
          </w:p>
        </w:tc>
        <w:tc>
          <w:tcPr>
            <w:tcW w:w="1417"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58.1</w:t>
            </w:r>
          </w:p>
        </w:tc>
        <w:tc>
          <w:tcPr>
            <w:tcW w:w="1658"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17.0</w:t>
            </w:r>
          </w:p>
        </w:tc>
        <w:tc>
          <w:tcPr>
            <w:tcW w:w="1257"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 xml:space="preserve">0.41 </w:t>
            </w:r>
          </w:p>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(0.32, 0.50)</w:t>
            </w:r>
          </w:p>
        </w:tc>
      </w:tr>
      <w:tr w:rsidR="00607D0A" w:rsidRPr="005F039C">
        <w:tc>
          <w:tcPr>
            <w:tcW w:w="8345" w:type="dxa"/>
            <w:gridSpan w:val="7"/>
            <w:vAlign w:val="center"/>
          </w:tcPr>
          <w:p w:rsidR="00607D0A" w:rsidRPr="005F039C" w:rsidRDefault="00607D0A" w:rsidP="00552AE9">
            <w:pPr>
              <w:keepNext/>
              <w:keepLines/>
              <w:jc w:val="left"/>
              <w:rPr>
                <w:rFonts w:ascii="Arial Narrow" w:hAnsi="Arial Narrow"/>
                <w:b/>
                <w:color w:val="000000"/>
                <w:sz w:val="20"/>
                <w:lang w:eastAsia="en-AU"/>
              </w:rPr>
            </w:pPr>
            <w:r w:rsidRPr="005F039C">
              <w:rPr>
                <w:rFonts w:ascii="Arial Narrow" w:hAnsi="Arial Narrow"/>
                <w:b/>
                <w:color w:val="000000"/>
                <w:sz w:val="20"/>
                <w:lang w:eastAsia="en-AU"/>
              </w:rPr>
              <w:t xml:space="preserve">Harms </w:t>
            </w:r>
          </w:p>
        </w:tc>
      </w:tr>
      <w:tr w:rsidR="00607D0A" w:rsidRPr="005F039C">
        <w:tc>
          <w:tcPr>
            <w:tcW w:w="8345" w:type="dxa"/>
            <w:gridSpan w:val="7"/>
            <w:vAlign w:val="center"/>
          </w:tcPr>
          <w:p w:rsidR="00607D0A" w:rsidRPr="005F039C" w:rsidRDefault="00607D0A" w:rsidP="00552AE9">
            <w:pPr>
              <w:keepNext/>
              <w:keepLines/>
              <w:jc w:val="left"/>
              <w:rPr>
                <w:rFonts w:ascii="Arial Narrow" w:hAnsi="Arial Narrow"/>
                <w:color w:val="000000"/>
                <w:sz w:val="20"/>
                <w:lang w:eastAsia="en-AU"/>
              </w:rPr>
            </w:pPr>
            <w:r w:rsidRPr="005F039C">
              <w:rPr>
                <w:rFonts w:ascii="Arial Narrow" w:hAnsi="Arial Narrow"/>
                <w:color w:val="000000"/>
                <w:sz w:val="20"/>
                <w:lang w:eastAsia="en-AU"/>
              </w:rPr>
              <w:t>Intraocular pressure increased</w:t>
            </w:r>
          </w:p>
        </w:tc>
      </w:tr>
      <w:tr w:rsidR="00607D0A" w:rsidRPr="005F039C">
        <w:tc>
          <w:tcPr>
            <w:tcW w:w="653" w:type="dxa"/>
            <w:vAlign w:val="center"/>
          </w:tcPr>
          <w:p w:rsidR="00607D0A" w:rsidRPr="005F039C" w:rsidRDefault="00607D0A" w:rsidP="00552AE9">
            <w:pPr>
              <w:keepNext/>
              <w:keepLines/>
              <w:jc w:val="left"/>
              <w:rPr>
                <w:rFonts w:ascii="Arial Narrow" w:hAnsi="Arial Narrow"/>
                <w:color w:val="000000"/>
                <w:sz w:val="20"/>
                <w:lang w:eastAsia="en-AU"/>
              </w:rPr>
            </w:pPr>
            <w:r w:rsidRPr="005F039C">
              <w:rPr>
                <w:rFonts w:ascii="Arial Narrow" w:hAnsi="Arial Narrow"/>
                <w:color w:val="000000"/>
                <w:sz w:val="20"/>
                <w:lang w:eastAsia="en-AU"/>
              </w:rPr>
              <w:t>GAL &amp; COP</w:t>
            </w:r>
            <w:r w:rsidRPr="005F039C">
              <w:rPr>
                <w:rFonts w:ascii="Arial Narrow" w:hAnsi="Arial Narrow"/>
                <w:color w:val="000000"/>
                <w:sz w:val="20"/>
                <w:vertAlign w:val="superscript"/>
                <w:lang w:eastAsia="en-AU"/>
              </w:rPr>
              <w:t>a</w:t>
            </w:r>
          </w:p>
        </w:tc>
        <w:tc>
          <w:tcPr>
            <w:tcW w:w="1212"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17/218</w:t>
            </w:r>
          </w:p>
        </w:tc>
        <w:tc>
          <w:tcPr>
            <w:tcW w:w="879"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9/142</w:t>
            </w:r>
          </w:p>
        </w:tc>
        <w:tc>
          <w:tcPr>
            <w:tcW w:w="1269"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 xml:space="preserve">1.22 </w:t>
            </w:r>
          </w:p>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(0.55, 2.67)</w:t>
            </w:r>
          </w:p>
        </w:tc>
        <w:tc>
          <w:tcPr>
            <w:tcW w:w="1417"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7.8</w:t>
            </w:r>
          </w:p>
        </w:tc>
        <w:tc>
          <w:tcPr>
            <w:tcW w:w="1658"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6.3</w:t>
            </w:r>
          </w:p>
        </w:tc>
        <w:tc>
          <w:tcPr>
            <w:tcW w:w="1257"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 xml:space="preserve">0.01 </w:t>
            </w:r>
          </w:p>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(-0.04, 0.07)</w:t>
            </w:r>
          </w:p>
        </w:tc>
      </w:tr>
      <w:tr w:rsidR="00607D0A" w:rsidRPr="005F039C">
        <w:tc>
          <w:tcPr>
            <w:tcW w:w="8345" w:type="dxa"/>
            <w:gridSpan w:val="7"/>
            <w:vAlign w:val="center"/>
          </w:tcPr>
          <w:p w:rsidR="00607D0A" w:rsidRPr="005F039C" w:rsidRDefault="00607D0A" w:rsidP="00552AE9">
            <w:pPr>
              <w:keepNext/>
              <w:keepLines/>
              <w:jc w:val="left"/>
              <w:rPr>
                <w:rFonts w:ascii="Arial Narrow" w:hAnsi="Arial Narrow"/>
                <w:color w:val="000000"/>
                <w:sz w:val="20"/>
                <w:lang w:eastAsia="en-AU"/>
              </w:rPr>
            </w:pPr>
            <w:r w:rsidRPr="005F039C">
              <w:rPr>
                <w:rFonts w:ascii="Arial Narrow" w:hAnsi="Arial Narrow"/>
                <w:color w:val="000000"/>
                <w:sz w:val="20"/>
                <w:lang w:eastAsia="en-AU"/>
              </w:rPr>
              <w:t>Conjunctival haemorrhage</w:t>
            </w:r>
          </w:p>
        </w:tc>
      </w:tr>
      <w:tr w:rsidR="00607D0A" w:rsidRPr="005F039C">
        <w:tc>
          <w:tcPr>
            <w:tcW w:w="653" w:type="dxa"/>
            <w:vAlign w:val="center"/>
          </w:tcPr>
          <w:p w:rsidR="00607D0A" w:rsidRPr="005F039C" w:rsidRDefault="00607D0A" w:rsidP="00552AE9">
            <w:pPr>
              <w:keepNext/>
              <w:keepLines/>
              <w:jc w:val="left"/>
              <w:rPr>
                <w:rFonts w:ascii="Arial Narrow" w:hAnsi="Arial Narrow"/>
                <w:color w:val="000000"/>
                <w:sz w:val="20"/>
                <w:lang w:eastAsia="en-AU"/>
              </w:rPr>
            </w:pPr>
            <w:r w:rsidRPr="005F039C">
              <w:rPr>
                <w:rFonts w:ascii="Arial Narrow" w:hAnsi="Arial Narrow"/>
                <w:color w:val="000000"/>
                <w:sz w:val="20"/>
                <w:lang w:eastAsia="en-AU"/>
              </w:rPr>
              <w:t>GAL &amp; COP</w:t>
            </w:r>
            <w:r w:rsidRPr="005F039C">
              <w:rPr>
                <w:rFonts w:ascii="Arial Narrow" w:hAnsi="Arial Narrow"/>
                <w:color w:val="000000"/>
                <w:sz w:val="20"/>
                <w:vertAlign w:val="superscript"/>
                <w:lang w:eastAsia="en-AU"/>
              </w:rPr>
              <w:t>a</w:t>
            </w:r>
          </w:p>
        </w:tc>
        <w:tc>
          <w:tcPr>
            <w:tcW w:w="1212"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26/218</w:t>
            </w:r>
          </w:p>
        </w:tc>
        <w:tc>
          <w:tcPr>
            <w:tcW w:w="879"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6/142</w:t>
            </w:r>
          </w:p>
        </w:tc>
        <w:tc>
          <w:tcPr>
            <w:tcW w:w="1269"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1.08</w:t>
            </w:r>
          </w:p>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(0.51, 2.27)</w:t>
            </w:r>
          </w:p>
        </w:tc>
        <w:tc>
          <w:tcPr>
            <w:tcW w:w="1417"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11.9</w:t>
            </w:r>
          </w:p>
        </w:tc>
        <w:tc>
          <w:tcPr>
            <w:tcW w:w="1658"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4.2</w:t>
            </w:r>
          </w:p>
        </w:tc>
        <w:tc>
          <w:tcPr>
            <w:tcW w:w="1257"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 xml:space="preserve">0.02 </w:t>
            </w:r>
          </w:p>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(-0.05, 0.09)</w:t>
            </w:r>
          </w:p>
        </w:tc>
      </w:tr>
      <w:tr w:rsidR="00607D0A" w:rsidRPr="005F039C">
        <w:tc>
          <w:tcPr>
            <w:tcW w:w="8345" w:type="dxa"/>
            <w:gridSpan w:val="7"/>
            <w:vAlign w:val="center"/>
          </w:tcPr>
          <w:p w:rsidR="00607D0A" w:rsidRPr="005F039C" w:rsidRDefault="00607D0A" w:rsidP="00552AE9">
            <w:pPr>
              <w:keepNext/>
              <w:keepLines/>
              <w:jc w:val="left"/>
              <w:rPr>
                <w:rFonts w:ascii="Arial Narrow" w:hAnsi="Arial Narrow"/>
                <w:color w:val="000000"/>
                <w:sz w:val="20"/>
                <w:lang w:eastAsia="en-AU"/>
              </w:rPr>
            </w:pPr>
            <w:r w:rsidRPr="005F039C">
              <w:rPr>
                <w:rFonts w:ascii="Arial Narrow" w:hAnsi="Arial Narrow"/>
                <w:color w:val="000000"/>
                <w:sz w:val="20"/>
                <w:lang w:eastAsia="en-AU"/>
              </w:rPr>
              <w:t>Hypertension</w:t>
            </w:r>
          </w:p>
        </w:tc>
      </w:tr>
      <w:tr w:rsidR="00607D0A" w:rsidRPr="005F039C">
        <w:tc>
          <w:tcPr>
            <w:tcW w:w="653" w:type="dxa"/>
            <w:vAlign w:val="center"/>
          </w:tcPr>
          <w:p w:rsidR="00607D0A" w:rsidRPr="005F039C" w:rsidRDefault="00607D0A" w:rsidP="00552AE9">
            <w:pPr>
              <w:keepNext/>
              <w:keepLines/>
              <w:jc w:val="left"/>
              <w:rPr>
                <w:rFonts w:ascii="Arial Narrow" w:hAnsi="Arial Narrow"/>
                <w:color w:val="000000"/>
                <w:sz w:val="20"/>
                <w:lang w:eastAsia="en-AU"/>
              </w:rPr>
            </w:pPr>
            <w:r w:rsidRPr="005F039C">
              <w:rPr>
                <w:rFonts w:ascii="Arial Narrow" w:hAnsi="Arial Narrow"/>
                <w:color w:val="000000"/>
                <w:sz w:val="20"/>
                <w:lang w:eastAsia="en-AU"/>
              </w:rPr>
              <w:t>GAL &amp; COP</w:t>
            </w:r>
            <w:r w:rsidRPr="005F039C">
              <w:rPr>
                <w:rFonts w:ascii="Arial Narrow" w:hAnsi="Arial Narrow"/>
                <w:color w:val="000000"/>
                <w:sz w:val="20"/>
                <w:vertAlign w:val="superscript"/>
                <w:lang w:eastAsia="en-AU"/>
              </w:rPr>
              <w:t>a</w:t>
            </w:r>
          </w:p>
        </w:tc>
        <w:tc>
          <w:tcPr>
            <w:tcW w:w="1212"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14/218</w:t>
            </w:r>
          </w:p>
        </w:tc>
        <w:tc>
          <w:tcPr>
            <w:tcW w:w="879"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7/142</w:t>
            </w:r>
          </w:p>
        </w:tc>
        <w:tc>
          <w:tcPr>
            <w:tcW w:w="1269"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 xml:space="preserve">1.29 </w:t>
            </w:r>
          </w:p>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(0.53, 3.14)</w:t>
            </w:r>
          </w:p>
        </w:tc>
        <w:tc>
          <w:tcPr>
            <w:tcW w:w="1417"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6.4</w:t>
            </w:r>
          </w:p>
        </w:tc>
        <w:tc>
          <w:tcPr>
            <w:tcW w:w="1658"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4.9</w:t>
            </w:r>
          </w:p>
        </w:tc>
        <w:tc>
          <w:tcPr>
            <w:tcW w:w="1257" w:type="dxa"/>
            <w:vAlign w:val="center"/>
          </w:tcPr>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 xml:space="preserve">0.01 </w:t>
            </w:r>
          </w:p>
          <w:p w:rsidR="00607D0A" w:rsidRPr="005F039C" w:rsidRDefault="00607D0A" w:rsidP="00607D0A">
            <w:pPr>
              <w:keepNext/>
              <w:keepLines/>
              <w:jc w:val="center"/>
              <w:rPr>
                <w:rFonts w:ascii="Arial Narrow" w:hAnsi="Arial Narrow"/>
                <w:color w:val="000000"/>
                <w:sz w:val="20"/>
                <w:lang w:eastAsia="en-AU"/>
              </w:rPr>
            </w:pPr>
            <w:r w:rsidRPr="005F039C">
              <w:rPr>
                <w:rFonts w:ascii="Arial Narrow" w:hAnsi="Arial Narrow"/>
                <w:color w:val="000000"/>
                <w:sz w:val="20"/>
                <w:lang w:eastAsia="en-AU"/>
              </w:rPr>
              <w:t>(-0.04, 0.06)</w:t>
            </w:r>
          </w:p>
        </w:tc>
      </w:tr>
    </w:tbl>
    <w:p w:rsidR="00607D0A" w:rsidRPr="005F039C" w:rsidRDefault="00607D0A" w:rsidP="00607D0A">
      <w:pPr>
        <w:keepNext/>
        <w:keepLines/>
        <w:ind w:left="709"/>
        <w:rPr>
          <w:rFonts w:ascii="Arial Narrow" w:hAnsi="Arial Narrow"/>
          <w:color w:val="000000"/>
          <w:sz w:val="18"/>
          <w:szCs w:val="18"/>
        </w:rPr>
      </w:pPr>
      <w:r w:rsidRPr="005F039C">
        <w:rPr>
          <w:rFonts w:ascii="Arial Narrow" w:hAnsi="Arial Narrow"/>
          <w:color w:val="000000"/>
          <w:sz w:val="18"/>
          <w:szCs w:val="18"/>
        </w:rPr>
        <w:t xml:space="preserve">* RR and RD calculated using Stats Direct Version 2.7.9; </w:t>
      </w:r>
      <w:r w:rsidRPr="005F039C">
        <w:rPr>
          <w:rFonts w:ascii="Arial Narrow" w:hAnsi="Arial Narrow"/>
          <w:color w:val="000000"/>
          <w:sz w:val="18"/>
          <w:szCs w:val="18"/>
          <w:vertAlign w:val="superscript"/>
        </w:rPr>
        <w:t>a</w:t>
      </w:r>
      <w:r w:rsidRPr="005F039C">
        <w:rPr>
          <w:rFonts w:ascii="Arial Narrow" w:hAnsi="Arial Narrow"/>
          <w:color w:val="000000"/>
          <w:sz w:val="18"/>
          <w:szCs w:val="18"/>
        </w:rPr>
        <w:t xml:space="preserve"> pooled results of COPERNICUS and GALILEO trials; </w:t>
      </w:r>
    </w:p>
    <w:p w:rsidR="00607D0A" w:rsidRPr="005F039C" w:rsidRDefault="005237D3" w:rsidP="00607D0A">
      <w:pPr>
        <w:keepNext/>
        <w:keepLines/>
        <w:ind w:left="709"/>
        <w:rPr>
          <w:rFonts w:ascii="Arial Narrow" w:hAnsi="Arial Narrow"/>
          <w:sz w:val="18"/>
          <w:szCs w:val="18"/>
        </w:rPr>
      </w:pPr>
      <w:r w:rsidRPr="005F039C">
        <w:rPr>
          <w:rFonts w:ascii="Arial Narrow" w:hAnsi="Arial Narrow"/>
          <w:color w:val="000000"/>
          <w:sz w:val="18"/>
          <w:szCs w:val="18"/>
        </w:rPr>
        <w:t>Source</w:t>
      </w:r>
      <w:r w:rsidR="00607D0A" w:rsidRPr="005F039C">
        <w:rPr>
          <w:rFonts w:ascii="Arial Narrow" w:hAnsi="Arial Narrow"/>
          <w:color w:val="000000"/>
          <w:sz w:val="18"/>
          <w:szCs w:val="18"/>
        </w:rPr>
        <w:t xml:space="preserve">: harms compiled from Table 19 p104 of the </w:t>
      </w:r>
      <w:r w:rsidR="00525231" w:rsidRPr="005F039C">
        <w:rPr>
          <w:rFonts w:ascii="Arial Narrow" w:hAnsi="Arial Narrow"/>
          <w:color w:val="000000"/>
          <w:sz w:val="18"/>
          <w:szCs w:val="18"/>
        </w:rPr>
        <w:t>resubmission</w:t>
      </w:r>
    </w:p>
    <w:p w:rsidR="00607D0A" w:rsidRPr="005F039C" w:rsidRDefault="00607D0A" w:rsidP="00607D0A">
      <w:pPr>
        <w:rPr>
          <w:szCs w:val="22"/>
        </w:rPr>
      </w:pPr>
    </w:p>
    <w:p w:rsidR="00CC1BB5" w:rsidRPr="005F039C" w:rsidRDefault="00CC1BB5" w:rsidP="00745891">
      <w:pPr>
        <w:pStyle w:val="ListParagraph"/>
        <w:widowControl/>
        <w:numPr>
          <w:ilvl w:val="1"/>
          <w:numId w:val="2"/>
        </w:numPr>
        <w:rPr>
          <w:szCs w:val="22"/>
        </w:rPr>
      </w:pPr>
      <w:r w:rsidRPr="005F039C">
        <w:t>On the basis of the GALILEO and COPERNICUS trials, for every 100 patients treated with aflibercept in comparison to sham injection</w:t>
      </w:r>
      <w:r w:rsidR="00552AE9" w:rsidRPr="005F039C">
        <w:t>:</w:t>
      </w:r>
    </w:p>
    <w:p w:rsidR="00CC1BB5" w:rsidRPr="005F039C" w:rsidRDefault="0013385B" w:rsidP="00745891">
      <w:pPr>
        <w:pStyle w:val="ListParagraph"/>
        <w:widowControl/>
        <w:numPr>
          <w:ilvl w:val="0"/>
          <w:numId w:val="1"/>
        </w:numPr>
        <w:ind w:left="993" w:hanging="284"/>
      </w:pPr>
      <w:r w:rsidRPr="005F039C">
        <w:t>a</w:t>
      </w:r>
      <w:r w:rsidR="00CC1BB5" w:rsidRPr="005F039C">
        <w:t xml:space="preserve">pproximately 41 additional patients would experience a gain of at least 15 letters in visual acuity </w:t>
      </w:r>
      <w:r w:rsidRPr="005F039C">
        <w:t>over 24 weeks</w:t>
      </w:r>
    </w:p>
    <w:p w:rsidR="00CC1BB5" w:rsidRPr="005F039C" w:rsidRDefault="0013385B" w:rsidP="00745891">
      <w:pPr>
        <w:pStyle w:val="ListParagraph"/>
        <w:widowControl/>
        <w:numPr>
          <w:ilvl w:val="0"/>
          <w:numId w:val="1"/>
        </w:numPr>
        <w:ind w:left="993" w:hanging="284"/>
      </w:pPr>
      <w:r w:rsidRPr="005F039C">
        <w:t>a</w:t>
      </w:r>
      <w:r w:rsidR="00CC1BB5" w:rsidRPr="005F039C">
        <w:t>pproximately one or two additional patients would experience an increase in intraocular pressure</w:t>
      </w:r>
    </w:p>
    <w:p w:rsidR="00CC1BB5" w:rsidRPr="005F039C" w:rsidRDefault="0013385B" w:rsidP="00745891">
      <w:pPr>
        <w:pStyle w:val="ListParagraph"/>
        <w:widowControl/>
        <w:numPr>
          <w:ilvl w:val="0"/>
          <w:numId w:val="1"/>
        </w:numPr>
        <w:ind w:left="993" w:hanging="284"/>
      </w:pPr>
      <w:r w:rsidRPr="005F039C">
        <w:t>a</w:t>
      </w:r>
      <w:r w:rsidR="00CC1BB5" w:rsidRPr="005F039C">
        <w:t>pproximately eight additional patients would experience conjunctival haemorrhage</w:t>
      </w:r>
    </w:p>
    <w:p w:rsidR="00CC1BB5" w:rsidRPr="005F039C" w:rsidRDefault="0013385B" w:rsidP="00745891">
      <w:pPr>
        <w:pStyle w:val="ListParagraph"/>
        <w:widowControl/>
        <w:numPr>
          <w:ilvl w:val="0"/>
          <w:numId w:val="1"/>
        </w:numPr>
        <w:ind w:left="993" w:hanging="284"/>
      </w:pPr>
      <w:r w:rsidRPr="005F039C">
        <w:t>a</w:t>
      </w:r>
      <w:r w:rsidR="00CC1BB5" w:rsidRPr="005F039C">
        <w:t>pproximately one or two additional patients would experience hypertension</w:t>
      </w:r>
      <w:r w:rsidR="00A857D4" w:rsidRPr="005F039C">
        <w:t>.</w:t>
      </w:r>
    </w:p>
    <w:p w:rsidR="00CC1BB5" w:rsidRPr="005F039C" w:rsidRDefault="00CC1BB5" w:rsidP="00CC1BB5">
      <w:pPr>
        <w:widowControl/>
      </w:pPr>
    </w:p>
    <w:p w:rsidR="00CC1BB5" w:rsidRPr="005F039C" w:rsidRDefault="0021799C" w:rsidP="00745891">
      <w:pPr>
        <w:pStyle w:val="ListParagraph"/>
        <w:widowControl/>
        <w:numPr>
          <w:ilvl w:val="1"/>
          <w:numId w:val="2"/>
        </w:numPr>
        <w:rPr>
          <w:szCs w:val="22"/>
        </w:rPr>
      </w:pPr>
      <w:r w:rsidRPr="005F039C">
        <w:rPr>
          <w:szCs w:val="22"/>
        </w:rPr>
        <w:t>A summary of the comparative benefits and harms for aflibercept versus ranibizumab is presented in the table below.</w:t>
      </w:r>
    </w:p>
    <w:p w:rsidR="00735C86" w:rsidRPr="005F039C" w:rsidRDefault="00735C86" w:rsidP="00735C86">
      <w:pPr>
        <w:widowControl/>
        <w:rPr>
          <w:szCs w:val="22"/>
        </w:rPr>
      </w:pPr>
    </w:p>
    <w:p w:rsidR="00735C86" w:rsidRPr="005F039C" w:rsidRDefault="00735C86" w:rsidP="00735C86">
      <w:pPr>
        <w:ind w:left="720"/>
        <w:rPr>
          <w:rFonts w:ascii="Arial Narrow" w:hAnsi="Arial Narrow"/>
          <w:b/>
          <w:sz w:val="20"/>
          <w:szCs w:val="16"/>
        </w:rPr>
      </w:pPr>
      <w:r w:rsidRPr="005F039C">
        <w:rPr>
          <w:rFonts w:ascii="Arial Narrow" w:hAnsi="Arial Narrow"/>
          <w:b/>
          <w:sz w:val="20"/>
          <w:szCs w:val="16"/>
        </w:rPr>
        <w:t>Summary of comparative benefit</w:t>
      </w:r>
      <w:r w:rsidR="00A857D4" w:rsidRPr="005F039C">
        <w:rPr>
          <w:rFonts w:ascii="Arial Narrow" w:hAnsi="Arial Narrow"/>
          <w:b/>
          <w:sz w:val="20"/>
          <w:szCs w:val="16"/>
        </w:rPr>
        <w:t>s and harms for aflibercept and</w:t>
      </w:r>
      <w:r w:rsidR="005A0024" w:rsidRPr="005F039C">
        <w:rPr>
          <w:rFonts w:ascii="Arial Narrow" w:hAnsi="Arial Narrow"/>
          <w:b/>
          <w:sz w:val="20"/>
          <w:szCs w:val="16"/>
        </w:rPr>
        <w:t xml:space="preserve"> ranibizumab</w:t>
      </w:r>
    </w:p>
    <w:tbl>
      <w:tblPr>
        <w:tblStyle w:val="TableGrid"/>
        <w:tblW w:w="4666" w:type="pct"/>
        <w:tblInd w:w="705" w:type="dxa"/>
        <w:tblLayout w:type="fixed"/>
        <w:tblCellMar>
          <w:left w:w="28" w:type="dxa"/>
          <w:right w:w="28" w:type="dxa"/>
        </w:tblCellMar>
        <w:tblLook w:val="04A0" w:firstRow="1" w:lastRow="0" w:firstColumn="1" w:lastColumn="0" w:noHBand="0" w:noVBand="1"/>
      </w:tblPr>
      <w:tblGrid>
        <w:gridCol w:w="1824"/>
        <w:gridCol w:w="1173"/>
        <w:gridCol w:w="715"/>
        <w:gridCol w:w="431"/>
        <w:gridCol w:w="1278"/>
        <w:gridCol w:w="1002"/>
        <w:gridCol w:w="971"/>
        <w:gridCol w:w="1081"/>
      </w:tblGrid>
      <w:tr w:rsidR="00735C86" w:rsidRPr="005F039C">
        <w:tc>
          <w:tcPr>
            <w:tcW w:w="5000" w:type="pct"/>
            <w:gridSpan w:val="8"/>
            <w:tcBorders>
              <w:bottom w:val="single" w:sz="4" w:space="0" w:color="auto"/>
            </w:tcBorders>
            <w:shd w:val="clear" w:color="auto" w:fill="auto"/>
            <w:vAlign w:val="center"/>
          </w:tcPr>
          <w:p w:rsidR="00735C86" w:rsidRPr="005F039C" w:rsidRDefault="00735C86" w:rsidP="00A857D4">
            <w:pPr>
              <w:jc w:val="left"/>
              <w:rPr>
                <w:rFonts w:ascii="Arial Narrow" w:hAnsi="Arial Narrow"/>
                <w:b/>
                <w:color w:val="000000"/>
                <w:sz w:val="20"/>
              </w:rPr>
            </w:pPr>
            <w:r w:rsidRPr="005F039C">
              <w:rPr>
                <w:rFonts w:ascii="Arial Narrow" w:hAnsi="Arial Narrow"/>
                <w:b/>
                <w:color w:val="000000"/>
                <w:sz w:val="20"/>
              </w:rPr>
              <w:t>Benefits</w:t>
            </w:r>
          </w:p>
        </w:tc>
      </w:tr>
      <w:tr w:rsidR="00735C86" w:rsidRPr="005F039C">
        <w:tc>
          <w:tcPr>
            <w:tcW w:w="5000" w:type="pct"/>
            <w:gridSpan w:val="8"/>
            <w:tcBorders>
              <w:top w:val="single" w:sz="4" w:space="0" w:color="auto"/>
              <w:bottom w:val="single" w:sz="4" w:space="0" w:color="auto"/>
            </w:tcBorders>
            <w:shd w:val="clear" w:color="auto" w:fill="auto"/>
            <w:vAlign w:val="center"/>
          </w:tcPr>
          <w:p w:rsidR="00735C86" w:rsidRPr="005F039C" w:rsidRDefault="00735C86" w:rsidP="00A857D4">
            <w:pPr>
              <w:jc w:val="left"/>
              <w:rPr>
                <w:rFonts w:ascii="Arial Narrow" w:hAnsi="Arial Narrow"/>
                <w:b/>
                <w:color w:val="000000"/>
                <w:sz w:val="20"/>
              </w:rPr>
            </w:pPr>
            <w:r w:rsidRPr="005F039C">
              <w:rPr>
                <w:rFonts w:ascii="Arial Narrow" w:hAnsi="Arial Narrow"/>
                <w:b/>
                <w:sz w:val="20"/>
              </w:rPr>
              <w:t>24 weeks – proportion of patients who gained ≥15 letters in BCVA</w:t>
            </w:r>
          </w:p>
        </w:tc>
      </w:tr>
      <w:tr w:rsidR="00735C86" w:rsidRPr="005F039C">
        <w:tc>
          <w:tcPr>
            <w:tcW w:w="1768" w:type="pct"/>
            <w:gridSpan w:val="2"/>
            <w:vMerge w:val="restart"/>
            <w:shd w:val="clear" w:color="auto" w:fill="auto"/>
            <w:vAlign w:val="center"/>
          </w:tcPr>
          <w:p w:rsidR="00735C86" w:rsidRPr="005F039C" w:rsidRDefault="00735C86" w:rsidP="00A857D4">
            <w:pPr>
              <w:jc w:val="left"/>
              <w:rPr>
                <w:rFonts w:ascii="Arial Narrow" w:hAnsi="Arial Narrow"/>
                <w:color w:val="000000"/>
                <w:sz w:val="20"/>
              </w:rPr>
            </w:pPr>
          </w:p>
        </w:tc>
        <w:tc>
          <w:tcPr>
            <w:tcW w:w="1430" w:type="pct"/>
            <w:gridSpan w:val="3"/>
            <w:vAlign w:val="center"/>
          </w:tcPr>
          <w:p w:rsidR="00735C86" w:rsidRPr="005F039C" w:rsidRDefault="00735C86" w:rsidP="00A8303E">
            <w:pPr>
              <w:jc w:val="center"/>
              <w:rPr>
                <w:rFonts w:ascii="Arial Narrow" w:hAnsi="Arial Narrow"/>
                <w:color w:val="000000"/>
                <w:sz w:val="20"/>
              </w:rPr>
            </w:pPr>
            <w:r w:rsidRPr="005F039C">
              <w:rPr>
                <w:rFonts w:ascii="Arial Narrow" w:hAnsi="Arial Narrow"/>
                <w:b/>
                <w:color w:val="000000"/>
                <w:sz w:val="20"/>
              </w:rPr>
              <w:t xml:space="preserve">AFB or RZB vs </w:t>
            </w:r>
            <w:r w:rsidR="0013385B" w:rsidRPr="005F039C">
              <w:rPr>
                <w:rFonts w:ascii="Arial Narrow" w:hAnsi="Arial Narrow"/>
                <w:b/>
                <w:color w:val="000000"/>
                <w:sz w:val="20"/>
              </w:rPr>
              <w:t>s</w:t>
            </w:r>
            <w:r w:rsidRPr="005F039C">
              <w:rPr>
                <w:rFonts w:ascii="Arial Narrow" w:hAnsi="Arial Narrow"/>
                <w:b/>
                <w:color w:val="000000"/>
                <w:sz w:val="20"/>
              </w:rPr>
              <w:t>ham</w:t>
            </w:r>
          </w:p>
        </w:tc>
        <w:tc>
          <w:tcPr>
            <w:tcW w:w="1802" w:type="pct"/>
            <w:gridSpan w:val="3"/>
            <w:vAlign w:val="center"/>
          </w:tcPr>
          <w:p w:rsidR="00735C86" w:rsidRPr="005F039C" w:rsidRDefault="00735C86" w:rsidP="00E1593D">
            <w:pPr>
              <w:jc w:val="center"/>
              <w:rPr>
                <w:rFonts w:ascii="Arial Narrow" w:hAnsi="Arial Narrow"/>
                <w:b/>
                <w:sz w:val="20"/>
              </w:rPr>
            </w:pPr>
            <w:r w:rsidRPr="005F039C">
              <w:rPr>
                <w:rFonts w:ascii="Arial Narrow" w:hAnsi="Arial Narrow"/>
                <w:b/>
                <w:sz w:val="20"/>
              </w:rPr>
              <w:t xml:space="preserve">Indirect comparison: </w:t>
            </w:r>
            <w:r w:rsidRPr="005F039C">
              <w:rPr>
                <w:rFonts w:ascii="Arial Narrow" w:hAnsi="Arial Narrow"/>
                <w:b/>
                <w:color w:val="000000"/>
                <w:sz w:val="20"/>
              </w:rPr>
              <w:t>AFB vs RBZ</w:t>
            </w:r>
          </w:p>
        </w:tc>
      </w:tr>
      <w:tr w:rsidR="00735C86" w:rsidRPr="005F039C">
        <w:tc>
          <w:tcPr>
            <w:tcW w:w="1768" w:type="pct"/>
            <w:gridSpan w:val="2"/>
            <w:vMerge/>
            <w:shd w:val="clear" w:color="auto" w:fill="auto"/>
            <w:vAlign w:val="center"/>
          </w:tcPr>
          <w:p w:rsidR="00735C86" w:rsidRPr="005F039C" w:rsidRDefault="00735C86" w:rsidP="00A857D4">
            <w:pPr>
              <w:jc w:val="left"/>
              <w:rPr>
                <w:rFonts w:ascii="Arial Narrow" w:hAnsi="Arial Narrow"/>
                <w:b/>
                <w:color w:val="000000"/>
                <w:sz w:val="20"/>
              </w:rPr>
            </w:pPr>
          </w:p>
        </w:tc>
        <w:tc>
          <w:tcPr>
            <w:tcW w:w="422" w:type="pct"/>
            <w:vAlign w:val="center"/>
          </w:tcPr>
          <w:p w:rsidR="00735C86" w:rsidRPr="005F039C" w:rsidRDefault="00735C86" w:rsidP="00A857D4">
            <w:pPr>
              <w:jc w:val="center"/>
              <w:rPr>
                <w:rFonts w:ascii="Arial Narrow" w:hAnsi="Arial Narrow"/>
                <w:b/>
                <w:sz w:val="20"/>
              </w:rPr>
            </w:pPr>
            <w:r w:rsidRPr="005F039C">
              <w:rPr>
                <w:rFonts w:ascii="Arial Narrow" w:hAnsi="Arial Narrow"/>
                <w:b/>
                <w:color w:val="000000"/>
                <w:sz w:val="20"/>
              </w:rPr>
              <w:t>N</w:t>
            </w:r>
          </w:p>
        </w:tc>
        <w:tc>
          <w:tcPr>
            <w:tcW w:w="1008" w:type="pct"/>
            <w:gridSpan w:val="2"/>
            <w:vAlign w:val="center"/>
          </w:tcPr>
          <w:p w:rsidR="00735C86" w:rsidRPr="005F039C" w:rsidRDefault="00735C86" w:rsidP="00A857D4">
            <w:pPr>
              <w:jc w:val="center"/>
              <w:rPr>
                <w:rFonts w:ascii="Arial Narrow" w:hAnsi="Arial Narrow"/>
                <w:b/>
                <w:sz w:val="20"/>
              </w:rPr>
            </w:pPr>
            <w:r w:rsidRPr="005F039C">
              <w:rPr>
                <w:rFonts w:ascii="Arial Narrow" w:hAnsi="Arial Narrow"/>
                <w:b/>
                <w:sz w:val="20"/>
              </w:rPr>
              <w:t>OR (95% CI)</w:t>
            </w:r>
          </w:p>
        </w:tc>
        <w:tc>
          <w:tcPr>
            <w:tcW w:w="1802" w:type="pct"/>
            <w:gridSpan w:val="3"/>
            <w:vAlign w:val="bottom"/>
          </w:tcPr>
          <w:p w:rsidR="00735C86" w:rsidRPr="005F039C" w:rsidRDefault="00735C86" w:rsidP="0013385B">
            <w:pPr>
              <w:jc w:val="center"/>
              <w:rPr>
                <w:rFonts w:ascii="Arial Narrow" w:hAnsi="Arial Narrow"/>
                <w:sz w:val="20"/>
              </w:rPr>
            </w:pPr>
            <w:r w:rsidRPr="005F039C">
              <w:rPr>
                <w:rFonts w:ascii="Arial Narrow" w:hAnsi="Arial Narrow"/>
                <w:b/>
                <w:sz w:val="20"/>
              </w:rPr>
              <w:t>OR (95%</w:t>
            </w:r>
            <w:r w:rsidR="0013385B" w:rsidRPr="005F039C">
              <w:rPr>
                <w:rFonts w:ascii="Arial Narrow" w:hAnsi="Arial Narrow"/>
                <w:b/>
                <w:sz w:val="20"/>
              </w:rPr>
              <w:t xml:space="preserve"> </w:t>
            </w:r>
            <w:r w:rsidRPr="005F039C">
              <w:rPr>
                <w:rFonts w:ascii="Arial Narrow" w:hAnsi="Arial Narrow"/>
                <w:b/>
                <w:sz w:val="20"/>
              </w:rPr>
              <w:t>CI)</w:t>
            </w:r>
          </w:p>
        </w:tc>
      </w:tr>
      <w:tr w:rsidR="00735C86" w:rsidRPr="005F039C">
        <w:tc>
          <w:tcPr>
            <w:tcW w:w="1768" w:type="pct"/>
            <w:gridSpan w:val="2"/>
            <w:shd w:val="clear" w:color="auto" w:fill="auto"/>
            <w:vAlign w:val="center"/>
          </w:tcPr>
          <w:p w:rsidR="00735C86" w:rsidRPr="005F039C" w:rsidRDefault="008A6B62" w:rsidP="00A857D4">
            <w:pPr>
              <w:jc w:val="left"/>
              <w:rPr>
                <w:rFonts w:ascii="Arial Narrow" w:hAnsi="Arial Narrow"/>
                <w:sz w:val="20"/>
              </w:rPr>
            </w:pPr>
            <w:r w:rsidRPr="005F039C">
              <w:rPr>
                <w:rFonts w:ascii="Arial Narrow" w:hAnsi="Arial Narrow"/>
                <w:color w:val="000000"/>
                <w:sz w:val="20"/>
              </w:rPr>
              <w:t>GALILEO and COPERN</w:t>
            </w:r>
            <w:r w:rsidR="00735C86" w:rsidRPr="005F039C">
              <w:rPr>
                <w:rFonts w:ascii="Arial Narrow" w:hAnsi="Arial Narrow"/>
                <w:color w:val="000000"/>
                <w:sz w:val="20"/>
              </w:rPr>
              <w:t>ICUS pooled results</w:t>
            </w:r>
          </w:p>
        </w:tc>
        <w:tc>
          <w:tcPr>
            <w:tcW w:w="422" w:type="pct"/>
            <w:vAlign w:val="center"/>
          </w:tcPr>
          <w:p w:rsidR="00735C86" w:rsidRPr="005F039C" w:rsidRDefault="00735C86" w:rsidP="00A857D4">
            <w:pPr>
              <w:jc w:val="center"/>
              <w:rPr>
                <w:rFonts w:ascii="Arial Narrow" w:hAnsi="Arial Narrow"/>
                <w:color w:val="000000"/>
                <w:sz w:val="20"/>
              </w:rPr>
            </w:pPr>
            <w:r w:rsidRPr="005F039C">
              <w:rPr>
                <w:rFonts w:ascii="Arial Narrow" w:hAnsi="Arial Narrow"/>
                <w:sz w:val="20"/>
              </w:rPr>
              <w:t>358</w:t>
            </w:r>
          </w:p>
        </w:tc>
        <w:tc>
          <w:tcPr>
            <w:tcW w:w="1008" w:type="pct"/>
            <w:gridSpan w:val="2"/>
            <w:vAlign w:val="center"/>
          </w:tcPr>
          <w:p w:rsidR="00735C86" w:rsidRPr="005F039C" w:rsidRDefault="00735C86" w:rsidP="00A857D4">
            <w:pPr>
              <w:jc w:val="center"/>
              <w:rPr>
                <w:rFonts w:ascii="Arial Narrow" w:hAnsi="Arial Narrow"/>
                <w:color w:val="000000"/>
                <w:sz w:val="20"/>
              </w:rPr>
            </w:pPr>
            <w:r w:rsidRPr="005F039C">
              <w:rPr>
                <w:rFonts w:ascii="Arial Narrow" w:hAnsi="Arial Narrow"/>
                <w:color w:val="000000"/>
                <w:sz w:val="20"/>
              </w:rPr>
              <w:t xml:space="preserve">6.74 </w:t>
            </w:r>
          </w:p>
          <w:p w:rsidR="00735C86" w:rsidRPr="005F039C" w:rsidRDefault="00735C86" w:rsidP="00A857D4">
            <w:pPr>
              <w:jc w:val="center"/>
              <w:rPr>
                <w:rFonts w:ascii="Arial Narrow" w:hAnsi="Arial Narrow"/>
                <w:color w:val="000000"/>
                <w:sz w:val="20"/>
              </w:rPr>
            </w:pPr>
            <w:r w:rsidRPr="005F039C">
              <w:rPr>
                <w:rFonts w:ascii="Arial Narrow" w:hAnsi="Arial Narrow"/>
                <w:color w:val="000000"/>
                <w:sz w:val="20"/>
              </w:rPr>
              <w:t>(4.00, 11.37)</w:t>
            </w:r>
          </w:p>
        </w:tc>
        <w:tc>
          <w:tcPr>
            <w:tcW w:w="1802" w:type="pct"/>
            <w:gridSpan w:val="3"/>
            <w:vMerge w:val="restart"/>
            <w:vAlign w:val="center"/>
          </w:tcPr>
          <w:p w:rsidR="00735C86" w:rsidRPr="005F039C" w:rsidRDefault="00735C86" w:rsidP="00A857D4">
            <w:pPr>
              <w:keepNext/>
              <w:ind w:left="142"/>
              <w:jc w:val="center"/>
              <w:rPr>
                <w:rFonts w:ascii="Arial Narrow" w:hAnsi="Arial Narrow"/>
                <w:b/>
                <w:sz w:val="20"/>
              </w:rPr>
            </w:pPr>
            <w:r w:rsidRPr="005F039C">
              <w:rPr>
                <w:rFonts w:ascii="Arial Narrow" w:hAnsi="Arial Narrow"/>
                <w:b/>
                <w:sz w:val="20"/>
              </w:rPr>
              <w:t xml:space="preserve">1.55 </w:t>
            </w:r>
          </w:p>
          <w:p w:rsidR="00735C86" w:rsidRPr="005F039C" w:rsidRDefault="00735C86" w:rsidP="00A857D4">
            <w:pPr>
              <w:jc w:val="center"/>
              <w:rPr>
                <w:rFonts w:ascii="Arial Narrow" w:hAnsi="Arial Narrow"/>
                <w:sz w:val="20"/>
              </w:rPr>
            </w:pPr>
            <w:r w:rsidRPr="005F039C">
              <w:rPr>
                <w:rFonts w:ascii="Arial Narrow" w:hAnsi="Arial Narrow"/>
                <w:b/>
                <w:sz w:val="20"/>
              </w:rPr>
              <w:t>(0.71, 3.63)</w:t>
            </w:r>
          </w:p>
        </w:tc>
      </w:tr>
      <w:tr w:rsidR="00735C86" w:rsidRPr="005F039C">
        <w:tc>
          <w:tcPr>
            <w:tcW w:w="1768" w:type="pct"/>
            <w:gridSpan w:val="2"/>
            <w:shd w:val="clear" w:color="auto" w:fill="auto"/>
            <w:vAlign w:val="center"/>
          </w:tcPr>
          <w:p w:rsidR="00735C86" w:rsidRPr="005F039C" w:rsidRDefault="00735C86" w:rsidP="00A857D4">
            <w:pPr>
              <w:jc w:val="left"/>
              <w:rPr>
                <w:rFonts w:ascii="Arial Narrow" w:hAnsi="Arial Narrow"/>
                <w:color w:val="000000"/>
                <w:sz w:val="20"/>
              </w:rPr>
            </w:pPr>
            <w:r w:rsidRPr="005F039C">
              <w:rPr>
                <w:rFonts w:ascii="Arial Narrow" w:hAnsi="Arial Narrow"/>
                <w:color w:val="000000"/>
                <w:sz w:val="20"/>
              </w:rPr>
              <w:t>CRUISE</w:t>
            </w:r>
          </w:p>
        </w:tc>
        <w:tc>
          <w:tcPr>
            <w:tcW w:w="422" w:type="pct"/>
            <w:vAlign w:val="center"/>
          </w:tcPr>
          <w:p w:rsidR="00735C86" w:rsidRPr="005F039C" w:rsidRDefault="00735C86" w:rsidP="00A857D4">
            <w:pPr>
              <w:jc w:val="center"/>
              <w:rPr>
                <w:rFonts w:ascii="Arial Narrow" w:hAnsi="Arial Narrow"/>
                <w:sz w:val="20"/>
              </w:rPr>
            </w:pPr>
            <w:r w:rsidRPr="005F039C">
              <w:rPr>
                <w:rFonts w:ascii="Arial Narrow" w:hAnsi="Arial Narrow"/>
                <w:sz w:val="20"/>
              </w:rPr>
              <w:t>260</w:t>
            </w:r>
          </w:p>
        </w:tc>
        <w:tc>
          <w:tcPr>
            <w:tcW w:w="1008" w:type="pct"/>
            <w:gridSpan w:val="2"/>
            <w:vAlign w:val="center"/>
          </w:tcPr>
          <w:p w:rsidR="00735C86" w:rsidRPr="005F039C" w:rsidRDefault="00735C86" w:rsidP="00A857D4">
            <w:pPr>
              <w:jc w:val="center"/>
              <w:rPr>
                <w:rFonts w:ascii="Arial Narrow" w:hAnsi="Arial Narrow"/>
                <w:color w:val="000000"/>
                <w:sz w:val="20"/>
              </w:rPr>
            </w:pPr>
            <w:r w:rsidRPr="005F039C">
              <w:rPr>
                <w:rFonts w:ascii="Arial Narrow" w:hAnsi="Arial Narrow"/>
                <w:color w:val="000000"/>
                <w:sz w:val="20"/>
              </w:rPr>
              <w:t xml:space="preserve">4.35 </w:t>
            </w:r>
          </w:p>
          <w:p w:rsidR="00735C86" w:rsidRPr="005F039C" w:rsidRDefault="00735C86" w:rsidP="00A857D4">
            <w:pPr>
              <w:jc w:val="center"/>
              <w:rPr>
                <w:rFonts w:ascii="Arial Narrow" w:hAnsi="Arial Narrow"/>
                <w:color w:val="000000"/>
                <w:sz w:val="20"/>
              </w:rPr>
            </w:pPr>
            <w:r w:rsidRPr="005F039C">
              <w:rPr>
                <w:rFonts w:ascii="Arial Narrow" w:hAnsi="Arial Narrow"/>
                <w:color w:val="000000"/>
                <w:sz w:val="20"/>
              </w:rPr>
              <w:t>(2.45, 7.70)</w:t>
            </w:r>
          </w:p>
        </w:tc>
        <w:tc>
          <w:tcPr>
            <w:tcW w:w="1802" w:type="pct"/>
            <w:gridSpan w:val="3"/>
            <w:vMerge/>
            <w:vAlign w:val="center"/>
          </w:tcPr>
          <w:p w:rsidR="00735C86" w:rsidRPr="005F039C" w:rsidRDefault="00735C86" w:rsidP="00A857D4">
            <w:pPr>
              <w:jc w:val="center"/>
              <w:rPr>
                <w:rFonts w:ascii="Arial Narrow" w:hAnsi="Arial Narrow"/>
                <w:sz w:val="20"/>
              </w:rPr>
            </w:pPr>
          </w:p>
        </w:tc>
      </w:tr>
      <w:tr w:rsidR="00735C86" w:rsidRPr="005F039C">
        <w:tc>
          <w:tcPr>
            <w:tcW w:w="5000" w:type="pct"/>
            <w:gridSpan w:val="8"/>
            <w:tcBorders>
              <w:bottom w:val="single" w:sz="4" w:space="0" w:color="auto"/>
            </w:tcBorders>
            <w:shd w:val="clear" w:color="auto" w:fill="auto"/>
            <w:vAlign w:val="center"/>
          </w:tcPr>
          <w:p w:rsidR="00735C86" w:rsidRPr="005F039C" w:rsidRDefault="00735C86" w:rsidP="00A857D4">
            <w:pPr>
              <w:jc w:val="left"/>
              <w:rPr>
                <w:rFonts w:ascii="Arial Narrow" w:hAnsi="Arial Narrow"/>
                <w:b/>
                <w:color w:val="000000"/>
                <w:sz w:val="20"/>
              </w:rPr>
            </w:pPr>
            <w:r w:rsidRPr="005F039C">
              <w:rPr>
                <w:rFonts w:ascii="Arial Narrow" w:hAnsi="Arial Narrow"/>
                <w:b/>
                <w:color w:val="000000"/>
                <w:sz w:val="20"/>
              </w:rPr>
              <w:t>Harms</w:t>
            </w:r>
          </w:p>
        </w:tc>
      </w:tr>
      <w:tr w:rsidR="00735C86" w:rsidRPr="005F039C" w:rsidTr="00E1593D">
        <w:tc>
          <w:tcPr>
            <w:tcW w:w="1076" w:type="pct"/>
            <w:vMerge w:val="restart"/>
            <w:shd w:val="clear" w:color="auto" w:fill="auto"/>
            <w:vAlign w:val="center"/>
          </w:tcPr>
          <w:p w:rsidR="00735C86" w:rsidRPr="005F039C" w:rsidRDefault="00735C86" w:rsidP="00A857D4">
            <w:pPr>
              <w:jc w:val="left"/>
              <w:rPr>
                <w:rFonts w:ascii="Arial Narrow" w:hAnsi="Arial Narrow"/>
                <w:b/>
                <w:color w:val="000000"/>
                <w:sz w:val="20"/>
              </w:rPr>
            </w:pPr>
            <w:r w:rsidRPr="005F039C">
              <w:rPr>
                <w:rFonts w:ascii="Arial Narrow" w:hAnsi="Arial Narrow"/>
                <w:b/>
                <w:color w:val="000000"/>
                <w:sz w:val="20"/>
              </w:rPr>
              <w:t>Trial</w:t>
            </w:r>
          </w:p>
        </w:tc>
        <w:tc>
          <w:tcPr>
            <w:tcW w:w="692" w:type="pct"/>
            <w:vMerge w:val="restart"/>
            <w:vAlign w:val="center"/>
          </w:tcPr>
          <w:p w:rsidR="00735C86" w:rsidRPr="005F039C" w:rsidRDefault="00735C86" w:rsidP="00A857D4">
            <w:pPr>
              <w:jc w:val="center"/>
              <w:rPr>
                <w:rFonts w:ascii="Arial Narrow" w:hAnsi="Arial Narrow"/>
                <w:b/>
                <w:color w:val="000000"/>
                <w:sz w:val="20"/>
              </w:rPr>
            </w:pPr>
            <w:r w:rsidRPr="005F039C">
              <w:rPr>
                <w:rFonts w:ascii="Arial Narrow" w:hAnsi="Arial Narrow"/>
                <w:b/>
                <w:color w:val="000000"/>
                <w:sz w:val="20"/>
              </w:rPr>
              <w:t xml:space="preserve">AFB </w:t>
            </w:r>
          </w:p>
        </w:tc>
        <w:tc>
          <w:tcPr>
            <w:tcW w:w="676" w:type="pct"/>
            <w:gridSpan w:val="2"/>
            <w:vMerge w:val="restart"/>
            <w:vAlign w:val="center"/>
          </w:tcPr>
          <w:p w:rsidR="00735C86" w:rsidRPr="005F039C" w:rsidRDefault="00735C86" w:rsidP="00A857D4">
            <w:pPr>
              <w:jc w:val="center"/>
              <w:rPr>
                <w:rFonts w:ascii="Arial Narrow" w:hAnsi="Arial Narrow"/>
                <w:b/>
                <w:color w:val="000000"/>
                <w:sz w:val="20"/>
              </w:rPr>
            </w:pPr>
            <w:r w:rsidRPr="005F039C">
              <w:rPr>
                <w:rFonts w:ascii="Arial Narrow" w:hAnsi="Arial Narrow"/>
                <w:b/>
                <w:color w:val="000000"/>
                <w:sz w:val="20"/>
              </w:rPr>
              <w:t xml:space="preserve">RBZ </w:t>
            </w:r>
          </w:p>
        </w:tc>
        <w:tc>
          <w:tcPr>
            <w:tcW w:w="754" w:type="pct"/>
            <w:vMerge w:val="restart"/>
            <w:vAlign w:val="center"/>
          </w:tcPr>
          <w:p w:rsidR="00735C86" w:rsidRPr="005F039C" w:rsidRDefault="00735C86" w:rsidP="00A857D4">
            <w:pPr>
              <w:jc w:val="center"/>
              <w:rPr>
                <w:rFonts w:ascii="Arial Narrow" w:hAnsi="Arial Narrow"/>
                <w:b/>
                <w:color w:val="000000"/>
                <w:sz w:val="20"/>
              </w:rPr>
            </w:pPr>
            <w:r w:rsidRPr="005F039C">
              <w:rPr>
                <w:rFonts w:ascii="Arial Narrow" w:hAnsi="Arial Narrow"/>
                <w:b/>
                <w:color w:val="000000"/>
                <w:sz w:val="20"/>
              </w:rPr>
              <w:t>RR</w:t>
            </w:r>
          </w:p>
          <w:p w:rsidR="00735C86" w:rsidRPr="005F039C" w:rsidRDefault="00735C86" w:rsidP="00A857D4">
            <w:pPr>
              <w:jc w:val="center"/>
              <w:rPr>
                <w:rFonts w:ascii="Arial Narrow" w:hAnsi="Arial Narrow"/>
                <w:b/>
                <w:color w:val="000000"/>
                <w:sz w:val="20"/>
              </w:rPr>
            </w:pPr>
            <w:r w:rsidRPr="005F039C">
              <w:rPr>
                <w:rFonts w:ascii="Arial Narrow" w:hAnsi="Arial Narrow"/>
                <w:b/>
                <w:color w:val="000000"/>
                <w:sz w:val="20"/>
              </w:rPr>
              <w:t>(95% CI)</w:t>
            </w:r>
          </w:p>
        </w:tc>
        <w:tc>
          <w:tcPr>
            <w:tcW w:w="1164" w:type="pct"/>
            <w:gridSpan w:val="2"/>
            <w:vAlign w:val="center"/>
          </w:tcPr>
          <w:p w:rsidR="00735C86" w:rsidRPr="005F039C" w:rsidRDefault="00735C86" w:rsidP="00A857D4">
            <w:pPr>
              <w:jc w:val="center"/>
              <w:rPr>
                <w:rFonts w:ascii="Arial Narrow" w:hAnsi="Arial Narrow"/>
                <w:b/>
                <w:color w:val="000000"/>
                <w:sz w:val="20"/>
              </w:rPr>
            </w:pPr>
            <w:r w:rsidRPr="005F039C">
              <w:rPr>
                <w:rFonts w:ascii="Arial Narrow" w:hAnsi="Arial Narrow"/>
                <w:b/>
                <w:color w:val="000000"/>
                <w:sz w:val="20"/>
              </w:rPr>
              <w:t xml:space="preserve">Event rate/100 patients* </w:t>
            </w:r>
          </w:p>
        </w:tc>
        <w:tc>
          <w:tcPr>
            <w:tcW w:w="638" w:type="pct"/>
            <w:vMerge w:val="restart"/>
            <w:vAlign w:val="center"/>
          </w:tcPr>
          <w:p w:rsidR="00735C86" w:rsidRPr="005F039C" w:rsidRDefault="00552AE9" w:rsidP="00A857D4">
            <w:pPr>
              <w:jc w:val="center"/>
              <w:rPr>
                <w:rFonts w:ascii="Arial Narrow" w:hAnsi="Arial Narrow"/>
                <w:b/>
                <w:color w:val="000000"/>
                <w:sz w:val="20"/>
              </w:rPr>
            </w:pPr>
            <w:r w:rsidRPr="005F039C">
              <w:rPr>
                <w:rFonts w:ascii="Arial Narrow" w:hAnsi="Arial Narrow"/>
                <w:b/>
                <w:color w:val="000000"/>
                <w:sz w:val="20"/>
              </w:rPr>
              <w:t>RD</w:t>
            </w:r>
            <w:r w:rsidR="00735C86" w:rsidRPr="005F039C">
              <w:rPr>
                <w:rFonts w:ascii="Arial Narrow" w:hAnsi="Arial Narrow"/>
                <w:b/>
                <w:color w:val="000000"/>
                <w:sz w:val="20"/>
              </w:rPr>
              <w:t xml:space="preserve"> </w:t>
            </w:r>
          </w:p>
          <w:p w:rsidR="00735C86" w:rsidRPr="005F039C" w:rsidRDefault="00735C86" w:rsidP="00A857D4">
            <w:pPr>
              <w:jc w:val="center"/>
              <w:rPr>
                <w:rFonts w:ascii="Arial Narrow" w:hAnsi="Arial Narrow"/>
                <w:b/>
                <w:color w:val="000000"/>
                <w:sz w:val="20"/>
              </w:rPr>
            </w:pPr>
            <w:r w:rsidRPr="005F039C">
              <w:rPr>
                <w:rFonts w:ascii="Arial Narrow" w:hAnsi="Arial Narrow"/>
                <w:b/>
                <w:color w:val="000000"/>
                <w:sz w:val="20"/>
              </w:rPr>
              <w:t>(95% CI)</w:t>
            </w:r>
          </w:p>
        </w:tc>
      </w:tr>
      <w:tr w:rsidR="00735C86" w:rsidRPr="005F039C" w:rsidTr="00E1593D">
        <w:tc>
          <w:tcPr>
            <w:tcW w:w="1076" w:type="pct"/>
            <w:vMerge/>
            <w:shd w:val="clear" w:color="auto" w:fill="auto"/>
            <w:vAlign w:val="center"/>
          </w:tcPr>
          <w:p w:rsidR="00735C86" w:rsidRPr="005F039C" w:rsidRDefault="00735C86" w:rsidP="00A857D4">
            <w:pPr>
              <w:jc w:val="left"/>
              <w:rPr>
                <w:rFonts w:ascii="Arial Narrow" w:hAnsi="Arial Narrow"/>
                <w:b/>
                <w:color w:val="000000"/>
                <w:sz w:val="20"/>
              </w:rPr>
            </w:pPr>
          </w:p>
        </w:tc>
        <w:tc>
          <w:tcPr>
            <w:tcW w:w="692" w:type="pct"/>
            <w:vMerge/>
            <w:vAlign w:val="center"/>
          </w:tcPr>
          <w:p w:rsidR="00735C86" w:rsidRPr="005F039C" w:rsidRDefault="00735C86" w:rsidP="00A857D4">
            <w:pPr>
              <w:jc w:val="center"/>
              <w:rPr>
                <w:rFonts w:ascii="Arial Narrow" w:hAnsi="Arial Narrow"/>
                <w:b/>
                <w:color w:val="000000"/>
                <w:sz w:val="20"/>
              </w:rPr>
            </w:pPr>
          </w:p>
        </w:tc>
        <w:tc>
          <w:tcPr>
            <w:tcW w:w="676" w:type="pct"/>
            <w:gridSpan w:val="2"/>
            <w:vMerge/>
            <w:vAlign w:val="center"/>
          </w:tcPr>
          <w:p w:rsidR="00735C86" w:rsidRPr="005F039C" w:rsidRDefault="00735C86" w:rsidP="00A857D4">
            <w:pPr>
              <w:jc w:val="center"/>
              <w:rPr>
                <w:rFonts w:ascii="Arial Narrow" w:hAnsi="Arial Narrow"/>
                <w:b/>
                <w:color w:val="000000"/>
                <w:sz w:val="20"/>
              </w:rPr>
            </w:pPr>
          </w:p>
        </w:tc>
        <w:tc>
          <w:tcPr>
            <w:tcW w:w="754" w:type="pct"/>
            <w:vMerge/>
            <w:vAlign w:val="center"/>
          </w:tcPr>
          <w:p w:rsidR="00735C86" w:rsidRPr="005F039C" w:rsidRDefault="00735C86" w:rsidP="00A857D4">
            <w:pPr>
              <w:jc w:val="center"/>
              <w:rPr>
                <w:rFonts w:ascii="Arial Narrow" w:hAnsi="Arial Narrow"/>
                <w:b/>
                <w:color w:val="000000"/>
                <w:sz w:val="20"/>
              </w:rPr>
            </w:pPr>
          </w:p>
        </w:tc>
        <w:tc>
          <w:tcPr>
            <w:tcW w:w="591" w:type="pct"/>
            <w:vAlign w:val="center"/>
          </w:tcPr>
          <w:p w:rsidR="00735C86" w:rsidRPr="005F039C" w:rsidRDefault="00735C86" w:rsidP="00A857D4">
            <w:pPr>
              <w:jc w:val="center"/>
              <w:rPr>
                <w:rFonts w:ascii="Arial Narrow" w:hAnsi="Arial Narrow"/>
                <w:b/>
                <w:color w:val="000000"/>
                <w:sz w:val="20"/>
              </w:rPr>
            </w:pPr>
            <w:r w:rsidRPr="005F039C">
              <w:rPr>
                <w:rFonts w:ascii="Arial Narrow" w:hAnsi="Arial Narrow"/>
                <w:b/>
                <w:color w:val="000000"/>
                <w:sz w:val="20"/>
              </w:rPr>
              <w:t>AFB</w:t>
            </w:r>
          </w:p>
        </w:tc>
        <w:tc>
          <w:tcPr>
            <w:tcW w:w="573" w:type="pct"/>
            <w:vAlign w:val="center"/>
          </w:tcPr>
          <w:p w:rsidR="00735C86" w:rsidRPr="005F039C" w:rsidRDefault="00735C86" w:rsidP="00A857D4">
            <w:pPr>
              <w:jc w:val="center"/>
              <w:rPr>
                <w:rFonts w:ascii="Arial Narrow" w:hAnsi="Arial Narrow"/>
                <w:b/>
                <w:color w:val="000000"/>
                <w:sz w:val="20"/>
              </w:rPr>
            </w:pPr>
            <w:r w:rsidRPr="005F039C">
              <w:rPr>
                <w:rFonts w:ascii="Arial Narrow" w:hAnsi="Arial Narrow"/>
                <w:b/>
                <w:color w:val="000000"/>
                <w:sz w:val="20"/>
              </w:rPr>
              <w:t>RBZ</w:t>
            </w:r>
          </w:p>
        </w:tc>
        <w:tc>
          <w:tcPr>
            <w:tcW w:w="638" w:type="pct"/>
            <w:vMerge/>
            <w:vAlign w:val="center"/>
          </w:tcPr>
          <w:p w:rsidR="00735C86" w:rsidRPr="005F039C" w:rsidRDefault="00735C86" w:rsidP="00A857D4">
            <w:pPr>
              <w:jc w:val="center"/>
              <w:rPr>
                <w:rFonts w:ascii="Arial Narrow" w:hAnsi="Arial Narrow"/>
                <w:b/>
                <w:color w:val="000000"/>
                <w:sz w:val="20"/>
              </w:rPr>
            </w:pPr>
          </w:p>
        </w:tc>
      </w:tr>
      <w:tr w:rsidR="00735C86" w:rsidRPr="005F039C">
        <w:tc>
          <w:tcPr>
            <w:tcW w:w="5000" w:type="pct"/>
            <w:gridSpan w:val="8"/>
            <w:tcBorders>
              <w:top w:val="single" w:sz="4" w:space="0" w:color="auto"/>
            </w:tcBorders>
            <w:shd w:val="clear" w:color="auto" w:fill="auto"/>
            <w:vAlign w:val="center"/>
          </w:tcPr>
          <w:p w:rsidR="00735C86" w:rsidRPr="005F039C" w:rsidRDefault="00735C86" w:rsidP="00A857D4">
            <w:pPr>
              <w:jc w:val="left"/>
              <w:rPr>
                <w:rFonts w:ascii="Arial Narrow" w:hAnsi="Arial Narrow"/>
                <w:b/>
                <w:color w:val="000000"/>
                <w:sz w:val="20"/>
              </w:rPr>
            </w:pPr>
            <w:r w:rsidRPr="005F039C">
              <w:rPr>
                <w:rFonts w:ascii="Arial Narrow" w:hAnsi="Arial Narrow"/>
                <w:b/>
                <w:color w:val="000000"/>
                <w:sz w:val="20"/>
              </w:rPr>
              <w:t>Myocardial infarction</w:t>
            </w:r>
          </w:p>
        </w:tc>
      </w:tr>
      <w:tr w:rsidR="00735C86" w:rsidRPr="005F039C" w:rsidTr="00E1593D">
        <w:tc>
          <w:tcPr>
            <w:tcW w:w="1076" w:type="pct"/>
            <w:shd w:val="clear" w:color="auto" w:fill="auto"/>
            <w:vAlign w:val="center"/>
          </w:tcPr>
          <w:p w:rsidR="00735C86" w:rsidRPr="005F039C" w:rsidRDefault="00735C86" w:rsidP="00A857D4">
            <w:pPr>
              <w:jc w:val="left"/>
              <w:rPr>
                <w:rFonts w:ascii="Arial Narrow" w:hAnsi="Arial Narrow"/>
                <w:color w:val="000000"/>
                <w:sz w:val="20"/>
              </w:rPr>
            </w:pPr>
            <w:r w:rsidRPr="005F039C">
              <w:rPr>
                <w:rFonts w:ascii="Arial Narrow" w:hAnsi="Arial Narrow"/>
                <w:color w:val="000000"/>
                <w:sz w:val="20"/>
              </w:rPr>
              <w:t>GALILEO and COPERNICUS pooled results</w:t>
            </w:r>
          </w:p>
        </w:tc>
        <w:tc>
          <w:tcPr>
            <w:tcW w:w="692" w:type="pct"/>
            <w:vAlign w:val="center"/>
          </w:tcPr>
          <w:p w:rsidR="00735C86" w:rsidRPr="005F039C" w:rsidRDefault="00735C86" w:rsidP="00A857D4">
            <w:pPr>
              <w:jc w:val="center"/>
              <w:rPr>
                <w:rFonts w:ascii="Arial Narrow" w:hAnsi="Arial Narrow"/>
                <w:sz w:val="20"/>
              </w:rPr>
            </w:pPr>
            <w:r w:rsidRPr="005F039C">
              <w:rPr>
                <w:rFonts w:ascii="Arial Narrow" w:hAnsi="Arial Narrow"/>
                <w:sz w:val="20"/>
              </w:rPr>
              <w:t>0/114</w:t>
            </w:r>
          </w:p>
        </w:tc>
        <w:tc>
          <w:tcPr>
            <w:tcW w:w="676" w:type="pct"/>
            <w:gridSpan w:val="2"/>
            <w:vAlign w:val="center"/>
          </w:tcPr>
          <w:p w:rsidR="00735C86" w:rsidRPr="005F039C" w:rsidRDefault="00735C86" w:rsidP="00A857D4">
            <w:pPr>
              <w:jc w:val="center"/>
              <w:rPr>
                <w:rFonts w:ascii="Arial Narrow" w:hAnsi="Arial Narrow"/>
                <w:color w:val="000000"/>
                <w:sz w:val="20"/>
              </w:rPr>
            </w:pPr>
            <w:r w:rsidRPr="005F039C">
              <w:rPr>
                <w:rFonts w:ascii="Arial Narrow" w:hAnsi="Arial Narrow"/>
                <w:color w:val="000000"/>
                <w:sz w:val="20"/>
              </w:rPr>
              <w:t>-</w:t>
            </w:r>
          </w:p>
        </w:tc>
        <w:tc>
          <w:tcPr>
            <w:tcW w:w="754" w:type="pct"/>
          </w:tcPr>
          <w:p w:rsidR="00735C86" w:rsidRPr="005F039C" w:rsidRDefault="00735C86" w:rsidP="00A857D4">
            <w:pPr>
              <w:jc w:val="center"/>
              <w:rPr>
                <w:rFonts w:ascii="Arial Narrow" w:hAnsi="Arial Narrow"/>
                <w:sz w:val="20"/>
              </w:rPr>
            </w:pPr>
            <w:r w:rsidRPr="005F039C">
              <w:rPr>
                <w:rFonts w:ascii="Arial Narrow" w:hAnsi="Arial Narrow"/>
                <w:sz w:val="20"/>
              </w:rPr>
              <w:t>-</w:t>
            </w:r>
          </w:p>
        </w:tc>
        <w:tc>
          <w:tcPr>
            <w:tcW w:w="591" w:type="pct"/>
            <w:vAlign w:val="center"/>
          </w:tcPr>
          <w:p w:rsidR="00735C86" w:rsidRPr="005F039C" w:rsidRDefault="00735C86" w:rsidP="00A857D4">
            <w:pPr>
              <w:jc w:val="center"/>
              <w:rPr>
                <w:rFonts w:ascii="Arial Narrow" w:hAnsi="Arial Narrow"/>
                <w:color w:val="000000"/>
                <w:sz w:val="20"/>
              </w:rPr>
            </w:pPr>
            <w:r w:rsidRPr="005F039C">
              <w:rPr>
                <w:rFonts w:ascii="Arial Narrow" w:hAnsi="Arial Narrow"/>
                <w:color w:val="000000"/>
                <w:sz w:val="20"/>
              </w:rPr>
              <w:t>0.0</w:t>
            </w:r>
          </w:p>
        </w:tc>
        <w:tc>
          <w:tcPr>
            <w:tcW w:w="573" w:type="pct"/>
            <w:vAlign w:val="center"/>
          </w:tcPr>
          <w:p w:rsidR="00735C86" w:rsidRPr="005F039C" w:rsidRDefault="00735C86" w:rsidP="00A857D4">
            <w:pPr>
              <w:jc w:val="center"/>
              <w:rPr>
                <w:rFonts w:ascii="Arial Narrow" w:hAnsi="Arial Narrow"/>
                <w:color w:val="000000"/>
                <w:sz w:val="20"/>
              </w:rPr>
            </w:pPr>
            <w:r w:rsidRPr="005F039C">
              <w:rPr>
                <w:rFonts w:ascii="Arial Narrow" w:hAnsi="Arial Narrow"/>
                <w:color w:val="000000"/>
                <w:sz w:val="20"/>
              </w:rPr>
              <w:t>-</w:t>
            </w:r>
          </w:p>
        </w:tc>
        <w:tc>
          <w:tcPr>
            <w:tcW w:w="638" w:type="pct"/>
          </w:tcPr>
          <w:p w:rsidR="00735C86" w:rsidRPr="005F039C" w:rsidRDefault="00735C86" w:rsidP="00A857D4">
            <w:pPr>
              <w:pStyle w:val="TableText0"/>
              <w:spacing w:before="0" w:after="0"/>
              <w:jc w:val="center"/>
              <w:rPr>
                <w:rFonts w:cs="Arial"/>
              </w:rPr>
            </w:pPr>
            <w:r w:rsidRPr="005F039C">
              <w:rPr>
                <w:rFonts w:cs="Arial"/>
              </w:rPr>
              <w:t xml:space="preserve">-0.05 </w:t>
            </w:r>
          </w:p>
          <w:p w:rsidR="00735C86" w:rsidRPr="005F039C" w:rsidRDefault="00735C86" w:rsidP="00A857D4">
            <w:pPr>
              <w:jc w:val="center"/>
              <w:rPr>
                <w:rFonts w:ascii="Arial Narrow" w:hAnsi="Arial Narrow"/>
                <w:color w:val="000000"/>
                <w:sz w:val="20"/>
              </w:rPr>
            </w:pPr>
            <w:r w:rsidRPr="005F039C">
              <w:rPr>
                <w:rFonts w:ascii="Arial Narrow" w:hAnsi="Arial Narrow"/>
                <w:sz w:val="20"/>
              </w:rPr>
              <w:t>(-0.13, -0.02)</w:t>
            </w:r>
          </w:p>
        </w:tc>
      </w:tr>
      <w:tr w:rsidR="00735C86" w:rsidRPr="005F039C" w:rsidTr="00E1593D">
        <w:tc>
          <w:tcPr>
            <w:tcW w:w="1076" w:type="pct"/>
            <w:shd w:val="clear" w:color="auto" w:fill="auto"/>
            <w:vAlign w:val="center"/>
          </w:tcPr>
          <w:p w:rsidR="00735C86" w:rsidRPr="005F039C" w:rsidRDefault="00735C86" w:rsidP="00A857D4">
            <w:pPr>
              <w:jc w:val="left"/>
              <w:rPr>
                <w:rFonts w:ascii="Arial Narrow" w:hAnsi="Arial Narrow"/>
                <w:color w:val="000000"/>
                <w:sz w:val="20"/>
              </w:rPr>
            </w:pPr>
            <w:r w:rsidRPr="005F039C">
              <w:rPr>
                <w:rFonts w:ascii="Arial Narrow" w:hAnsi="Arial Narrow"/>
                <w:color w:val="000000"/>
                <w:sz w:val="20"/>
              </w:rPr>
              <w:t>CRUISE</w:t>
            </w:r>
          </w:p>
        </w:tc>
        <w:tc>
          <w:tcPr>
            <w:tcW w:w="692" w:type="pct"/>
            <w:vAlign w:val="center"/>
          </w:tcPr>
          <w:p w:rsidR="00735C86" w:rsidRPr="005F039C" w:rsidRDefault="00735C86" w:rsidP="00A857D4">
            <w:pPr>
              <w:jc w:val="center"/>
              <w:rPr>
                <w:rFonts w:ascii="Arial Narrow" w:hAnsi="Arial Narrow"/>
                <w:sz w:val="20"/>
              </w:rPr>
            </w:pPr>
            <w:r w:rsidRPr="005F039C">
              <w:rPr>
                <w:rFonts w:ascii="Arial Narrow" w:hAnsi="Arial Narrow"/>
                <w:sz w:val="20"/>
              </w:rPr>
              <w:t>-</w:t>
            </w:r>
          </w:p>
        </w:tc>
        <w:tc>
          <w:tcPr>
            <w:tcW w:w="676" w:type="pct"/>
            <w:gridSpan w:val="2"/>
            <w:vAlign w:val="center"/>
          </w:tcPr>
          <w:p w:rsidR="00735C86" w:rsidRPr="005F039C" w:rsidRDefault="00735C86" w:rsidP="00A857D4">
            <w:pPr>
              <w:pStyle w:val="TableText0"/>
              <w:spacing w:before="0" w:after="0"/>
              <w:jc w:val="center"/>
              <w:rPr>
                <w:rFonts w:cs="Arial"/>
              </w:rPr>
            </w:pPr>
            <w:r w:rsidRPr="005F039C">
              <w:rPr>
                <w:rFonts w:cs="Arial"/>
              </w:rPr>
              <w:t>1/129</w:t>
            </w:r>
          </w:p>
          <w:p w:rsidR="00735C86" w:rsidRPr="005F039C" w:rsidRDefault="00735C86" w:rsidP="00A857D4">
            <w:pPr>
              <w:jc w:val="center"/>
              <w:rPr>
                <w:rFonts w:ascii="Arial Narrow" w:hAnsi="Arial Narrow"/>
                <w:color w:val="000000"/>
                <w:sz w:val="20"/>
              </w:rPr>
            </w:pPr>
          </w:p>
        </w:tc>
        <w:tc>
          <w:tcPr>
            <w:tcW w:w="754" w:type="pct"/>
            <w:vAlign w:val="center"/>
          </w:tcPr>
          <w:p w:rsidR="00735C86" w:rsidRPr="005F039C" w:rsidRDefault="00735C86" w:rsidP="00A857D4">
            <w:pPr>
              <w:jc w:val="center"/>
              <w:rPr>
                <w:rFonts w:ascii="Arial Narrow" w:hAnsi="Arial Narrow"/>
                <w:sz w:val="20"/>
              </w:rPr>
            </w:pPr>
            <w:r w:rsidRPr="005F039C">
              <w:rPr>
                <w:rFonts w:ascii="Arial Narrow" w:hAnsi="Arial Narrow"/>
                <w:sz w:val="20"/>
              </w:rPr>
              <w:t>-</w:t>
            </w:r>
          </w:p>
        </w:tc>
        <w:tc>
          <w:tcPr>
            <w:tcW w:w="591" w:type="pct"/>
            <w:vAlign w:val="center"/>
          </w:tcPr>
          <w:p w:rsidR="00735C86" w:rsidRPr="005F039C" w:rsidRDefault="00735C86" w:rsidP="00A857D4">
            <w:pPr>
              <w:jc w:val="center"/>
              <w:rPr>
                <w:rFonts w:ascii="Arial Narrow" w:hAnsi="Arial Narrow"/>
                <w:color w:val="000000"/>
                <w:sz w:val="20"/>
              </w:rPr>
            </w:pPr>
            <w:r w:rsidRPr="005F039C">
              <w:rPr>
                <w:rFonts w:ascii="Arial Narrow" w:hAnsi="Arial Narrow"/>
                <w:color w:val="000000"/>
                <w:sz w:val="20"/>
              </w:rPr>
              <w:t>-</w:t>
            </w:r>
          </w:p>
        </w:tc>
        <w:tc>
          <w:tcPr>
            <w:tcW w:w="573" w:type="pct"/>
            <w:vAlign w:val="center"/>
          </w:tcPr>
          <w:p w:rsidR="00735C86" w:rsidRPr="005F039C" w:rsidRDefault="00735C86" w:rsidP="00A857D4">
            <w:pPr>
              <w:jc w:val="center"/>
              <w:rPr>
                <w:rFonts w:ascii="Arial Narrow" w:hAnsi="Arial Narrow"/>
                <w:color w:val="000000"/>
                <w:sz w:val="20"/>
              </w:rPr>
            </w:pPr>
            <w:r w:rsidRPr="005F039C">
              <w:rPr>
                <w:rFonts w:ascii="Arial Narrow" w:hAnsi="Arial Narrow"/>
                <w:color w:val="000000"/>
                <w:sz w:val="20"/>
              </w:rPr>
              <w:t>0.8</w:t>
            </w:r>
          </w:p>
        </w:tc>
        <w:tc>
          <w:tcPr>
            <w:tcW w:w="638" w:type="pct"/>
            <w:vAlign w:val="center"/>
          </w:tcPr>
          <w:p w:rsidR="00EF50A8" w:rsidRPr="005F039C" w:rsidRDefault="00EF50A8" w:rsidP="00A857D4">
            <w:pPr>
              <w:jc w:val="center"/>
              <w:rPr>
                <w:rFonts w:ascii="Arial Narrow" w:hAnsi="Arial Narrow"/>
                <w:color w:val="000000"/>
                <w:sz w:val="20"/>
              </w:rPr>
            </w:pPr>
            <w:r w:rsidRPr="005F039C">
              <w:rPr>
                <w:rFonts w:ascii="Arial Narrow" w:hAnsi="Arial Narrow"/>
                <w:color w:val="000000"/>
                <w:sz w:val="20"/>
              </w:rPr>
              <w:t xml:space="preserve">0.0 </w:t>
            </w:r>
          </w:p>
          <w:p w:rsidR="00735C86" w:rsidRPr="005F039C" w:rsidRDefault="00EF50A8" w:rsidP="00A857D4">
            <w:pPr>
              <w:jc w:val="center"/>
              <w:rPr>
                <w:rFonts w:ascii="Arial Narrow" w:hAnsi="Arial Narrow"/>
                <w:color w:val="000000"/>
                <w:sz w:val="20"/>
              </w:rPr>
            </w:pPr>
            <w:r w:rsidRPr="005F039C">
              <w:rPr>
                <w:rFonts w:ascii="Arial Narrow" w:hAnsi="Arial Narrow"/>
                <w:color w:val="000000"/>
                <w:sz w:val="20"/>
              </w:rPr>
              <w:t>(-0.02, 0.02)</w:t>
            </w:r>
          </w:p>
        </w:tc>
      </w:tr>
      <w:tr w:rsidR="00735C86" w:rsidRPr="005F039C" w:rsidTr="00E1593D">
        <w:tc>
          <w:tcPr>
            <w:tcW w:w="2444" w:type="pct"/>
            <w:gridSpan w:val="4"/>
            <w:tcBorders>
              <w:bottom w:val="single" w:sz="4" w:space="0" w:color="auto"/>
            </w:tcBorders>
            <w:shd w:val="clear" w:color="auto" w:fill="auto"/>
            <w:vAlign w:val="center"/>
          </w:tcPr>
          <w:p w:rsidR="00735C86" w:rsidRPr="005F039C" w:rsidRDefault="00735C86" w:rsidP="00A857D4">
            <w:pPr>
              <w:jc w:val="left"/>
              <w:rPr>
                <w:rFonts w:ascii="Arial Narrow" w:hAnsi="Arial Narrow"/>
                <w:color w:val="000000"/>
                <w:sz w:val="20"/>
              </w:rPr>
            </w:pPr>
            <w:r w:rsidRPr="005F039C">
              <w:rPr>
                <w:rFonts w:ascii="Arial Narrow" w:hAnsi="Arial Narrow"/>
                <w:color w:val="000000"/>
                <w:sz w:val="20"/>
              </w:rPr>
              <w:t>Indirect comparison: aflibercept vs ranibizumab</w:t>
            </w:r>
          </w:p>
        </w:tc>
        <w:tc>
          <w:tcPr>
            <w:tcW w:w="754" w:type="pct"/>
            <w:tcBorders>
              <w:bottom w:val="single" w:sz="4" w:space="0" w:color="auto"/>
            </w:tcBorders>
            <w:vAlign w:val="center"/>
          </w:tcPr>
          <w:p w:rsidR="00735C86" w:rsidRPr="005F039C" w:rsidRDefault="00735C86" w:rsidP="00A857D4">
            <w:pPr>
              <w:jc w:val="center"/>
              <w:rPr>
                <w:rFonts w:ascii="Arial Narrow" w:hAnsi="Arial Narrow" w:cs="Times New Roman"/>
                <w:snapToGrid/>
                <w:sz w:val="20"/>
                <w:lang w:eastAsia="en-AU"/>
              </w:rPr>
            </w:pPr>
            <w:r w:rsidRPr="005F039C">
              <w:rPr>
                <w:rFonts w:ascii="Arial Narrow" w:hAnsi="Arial Narrow" w:cs="Times New Roman"/>
                <w:snapToGrid/>
                <w:sz w:val="20"/>
                <w:lang w:eastAsia="en-AU"/>
              </w:rPr>
              <w:t xml:space="preserve">0.22 </w:t>
            </w:r>
          </w:p>
          <w:p w:rsidR="00735C86" w:rsidRPr="005F039C" w:rsidRDefault="00735C86" w:rsidP="00A857D4">
            <w:pPr>
              <w:jc w:val="center"/>
              <w:rPr>
                <w:rFonts w:ascii="Arial Narrow" w:hAnsi="Arial Narrow"/>
                <w:color w:val="000000"/>
                <w:sz w:val="20"/>
              </w:rPr>
            </w:pPr>
            <w:r w:rsidRPr="005F039C">
              <w:rPr>
                <w:rFonts w:ascii="Arial Narrow" w:hAnsi="Arial Narrow" w:cs="Times New Roman"/>
                <w:snapToGrid/>
                <w:sz w:val="20"/>
                <w:lang w:eastAsia="en-AU"/>
              </w:rPr>
              <w:t>(0.00, 14.58)</w:t>
            </w:r>
          </w:p>
        </w:tc>
        <w:tc>
          <w:tcPr>
            <w:tcW w:w="1164" w:type="pct"/>
            <w:gridSpan w:val="2"/>
            <w:tcBorders>
              <w:bottom w:val="single" w:sz="4" w:space="0" w:color="auto"/>
            </w:tcBorders>
            <w:shd w:val="clear" w:color="auto" w:fill="auto"/>
            <w:vAlign w:val="center"/>
          </w:tcPr>
          <w:p w:rsidR="00735C86" w:rsidRPr="005F039C" w:rsidRDefault="00735C86" w:rsidP="00A857D4">
            <w:pPr>
              <w:jc w:val="center"/>
              <w:rPr>
                <w:rFonts w:ascii="Arial Narrow" w:hAnsi="Arial Narrow"/>
                <w:color w:val="000000"/>
                <w:sz w:val="20"/>
              </w:rPr>
            </w:pPr>
            <w:r w:rsidRPr="005F039C">
              <w:rPr>
                <w:rFonts w:ascii="Arial Narrow" w:hAnsi="Arial Narrow"/>
                <w:color w:val="000000"/>
                <w:sz w:val="20"/>
              </w:rPr>
              <w:t>-</w:t>
            </w:r>
          </w:p>
        </w:tc>
        <w:tc>
          <w:tcPr>
            <w:tcW w:w="638" w:type="pct"/>
            <w:tcBorders>
              <w:bottom w:val="single" w:sz="4" w:space="0" w:color="auto"/>
            </w:tcBorders>
            <w:vAlign w:val="center"/>
          </w:tcPr>
          <w:p w:rsidR="00735C86" w:rsidRPr="005F039C" w:rsidRDefault="00735C86" w:rsidP="00A857D4">
            <w:pPr>
              <w:jc w:val="center"/>
              <w:rPr>
                <w:rFonts w:ascii="Arial Narrow" w:hAnsi="Arial Narrow" w:cs="Times New Roman"/>
                <w:snapToGrid/>
                <w:sz w:val="20"/>
                <w:lang w:eastAsia="en-AU"/>
              </w:rPr>
            </w:pPr>
            <w:r w:rsidRPr="005F039C">
              <w:rPr>
                <w:rFonts w:ascii="Arial Narrow" w:hAnsi="Arial Narrow" w:cs="Times New Roman"/>
                <w:snapToGrid/>
                <w:sz w:val="20"/>
                <w:lang w:eastAsia="en-AU"/>
              </w:rPr>
              <w:t>-0.01</w:t>
            </w:r>
          </w:p>
          <w:p w:rsidR="00735C86" w:rsidRPr="005F039C" w:rsidRDefault="00735C86" w:rsidP="00A857D4">
            <w:pPr>
              <w:jc w:val="center"/>
              <w:rPr>
                <w:rFonts w:ascii="Arial Narrow" w:hAnsi="Arial Narrow"/>
                <w:color w:val="000000"/>
                <w:sz w:val="20"/>
              </w:rPr>
            </w:pPr>
            <w:r w:rsidRPr="005F039C">
              <w:rPr>
                <w:rFonts w:ascii="Arial Narrow" w:hAnsi="Arial Narrow" w:cs="Times New Roman"/>
                <w:snapToGrid/>
                <w:sz w:val="20"/>
                <w:lang w:eastAsia="en-AU"/>
              </w:rPr>
              <w:t xml:space="preserve"> (-0.05, 0.03</w:t>
            </w:r>
            <w:r w:rsidR="00F1219A" w:rsidRPr="005F039C">
              <w:rPr>
                <w:rFonts w:ascii="Arial Narrow" w:hAnsi="Arial Narrow" w:cs="Times New Roman"/>
                <w:snapToGrid/>
                <w:sz w:val="20"/>
                <w:lang w:eastAsia="en-AU"/>
              </w:rPr>
              <w:t>)</w:t>
            </w:r>
          </w:p>
        </w:tc>
      </w:tr>
      <w:tr w:rsidR="00735C86" w:rsidRPr="005F039C">
        <w:tc>
          <w:tcPr>
            <w:tcW w:w="5000" w:type="pct"/>
            <w:gridSpan w:val="8"/>
            <w:tcBorders>
              <w:top w:val="single" w:sz="4" w:space="0" w:color="auto"/>
            </w:tcBorders>
            <w:shd w:val="clear" w:color="auto" w:fill="auto"/>
            <w:vAlign w:val="center"/>
          </w:tcPr>
          <w:p w:rsidR="00735C86" w:rsidRPr="005F039C" w:rsidRDefault="00735C86" w:rsidP="00A857D4">
            <w:pPr>
              <w:jc w:val="left"/>
              <w:rPr>
                <w:rFonts w:ascii="Arial Narrow" w:hAnsi="Arial Narrow"/>
                <w:b/>
                <w:color w:val="000000"/>
                <w:sz w:val="20"/>
              </w:rPr>
            </w:pPr>
            <w:r w:rsidRPr="005F039C">
              <w:rPr>
                <w:rFonts w:ascii="Arial Narrow" w:hAnsi="Arial Narrow"/>
                <w:b/>
                <w:color w:val="000000"/>
                <w:sz w:val="20"/>
              </w:rPr>
              <w:t>Cataract</w:t>
            </w:r>
          </w:p>
        </w:tc>
      </w:tr>
      <w:tr w:rsidR="00735C86" w:rsidRPr="005F039C" w:rsidTr="00E1593D">
        <w:tc>
          <w:tcPr>
            <w:tcW w:w="1076" w:type="pct"/>
            <w:shd w:val="clear" w:color="auto" w:fill="auto"/>
            <w:vAlign w:val="center"/>
          </w:tcPr>
          <w:p w:rsidR="00735C86" w:rsidRPr="005F039C" w:rsidRDefault="00735C86" w:rsidP="00A857D4">
            <w:pPr>
              <w:jc w:val="left"/>
              <w:rPr>
                <w:rFonts w:ascii="Arial Narrow" w:hAnsi="Arial Narrow"/>
                <w:color w:val="000000"/>
                <w:sz w:val="20"/>
              </w:rPr>
            </w:pPr>
            <w:r w:rsidRPr="005F039C">
              <w:rPr>
                <w:rFonts w:ascii="Arial Narrow" w:hAnsi="Arial Narrow"/>
                <w:color w:val="000000"/>
                <w:sz w:val="20"/>
              </w:rPr>
              <w:t>GALILEO and COPERNICUS pooled results</w:t>
            </w:r>
          </w:p>
        </w:tc>
        <w:tc>
          <w:tcPr>
            <w:tcW w:w="692" w:type="pct"/>
            <w:vAlign w:val="center"/>
          </w:tcPr>
          <w:p w:rsidR="00735C86" w:rsidRPr="005F039C" w:rsidRDefault="00735C86" w:rsidP="00A857D4">
            <w:pPr>
              <w:pStyle w:val="TableText0"/>
              <w:spacing w:before="0" w:after="0"/>
              <w:jc w:val="center"/>
              <w:rPr>
                <w:rFonts w:cs="Arial"/>
              </w:rPr>
            </w:pPr>
            <w:r w:rsidRPr="005F039C">
              <w:rPr>
                <w:rFonts w:cs="Arial"/>
              </w:rPr>
              <w:t>1/114</w:t>
            </w:r>
          </w:p>
          <w:p w:rsidR="00735C86" w:rsidRPr="005F039C" w:rsidRDefault="00735C86" w:rsidP="00A857D4">
            <w:pPr>
              <w:jc w:val="center"/>
              <w:rPr>
                <w:rFonts w:ascii="Arial Narrow" w:hAnsi="Arial Narrow"/>
                <w:sz w:val="20"/>
              </w:rPr>
            </w:pPr>
          </w:p>
        </w:tc>
        <w:tc>
          <w:tcPr>
            <w:tcW w:w="676" w:type="pct"/>
            <w:gridSpan w:val="2"/>
            <w:vAlign w:val="center"/>
          </w:tcPr>
          <w:p w:rsidR="00735C86" w:rsidRPr="005F039C" w:rsidRDefault="00735C86" w:rsidP="00A857D4">
            <w:pPr>
              <w:jc w:val="center"/>
              <w:rPr>
                <w:rFonts w:ascii="Arial Narrow" w:hAnsi="Arial Narrow"/>
                <w:color w:val="000000"/>
                <w:sz w:val="20"/>
              </w:rPr>
            </w:pPr>
            <w:r w:rsidRPr="005F039C">
              <w:rPr>
                <w:rFonts w:ascii="Arial Narrow" w:hAnsi="Arial Narrow"/>
                <w:color w:val="000000"/>
                <w:sz w:val="20"/>
              </w:rPr>
              <w:t>-</w:t>
            </w:r>
          </w:p>
        </w:tc>
        <w:tc>
          <w:tcPr>
            <w:tcW w:w="754" w:type="pct"/>
            <w:vAlign w:val="center"/>
          </w:tcPr>
          <w:p w:rsidR="00735C86" w:rsidRPr="005F039C" w:rsidRDefault="00735C86" w:rsidP="00A857D4">
            <w:pPr>
              <w:jc w:val="center"/>
              <w:rPr>
                <w:rFonts w:ascii="Arial Narrow" w:hAnsi="Arial Narrow" w:cs="Times New Roman"/>
                <w:snapToGrid/>
                <w:sz w:val="20"/>
                <w:lang w:eastAsia="en-AU"/>
              </w:rPr>
            </w:pPr>
            <w:r w:rsidRPr="005F039C">
              <w:rPr>
                <w:rFonts w:ascii="Arial Narrow" w:hAnsi="Arial Narrow" w:cs="Times New Roman"/>
                <w:snapToGrid/>
                <w:sz w:val="20"/>
                <w:lang w:eastAsia="en-AU"/>
              </w:rPr>
              <w:t>-</w:t>
            </w:r>
          </w:p>
          <w:p w:rsidR="00735C86" w:rsidRPr="005F039C" w:rsidRDefault="00735C86" w:rsidP="00A857D4">
            <w:pPr>
              <w:jc w:val="center"/>
              <w:rPr>
                <w:rFonts w:ascii="Arial Narrow" w:hAnsi="Arial Narrow"/>
                <w:sz w:val="20"/>
              </w:rPr>
            </w:pPr>
          </w:p>
        </w:tc>
        <w:tc>
          <w:tcPr>
            <w:tcW w:w="591" w:type="pct"/>
            <w:vAlign w:val="center"/>
          </w:tcPr>
          <w:p w:rsidR="00735C86" w:rsidRPr="005F039C" w:rsidRDefault="00735C86" w:rsidP="00A857D4">
            <w:pPr>
              <w:jc w:val="center"/>
              <w:rPr>
                <w:rFonts w:ascii="Arial Narrow" w:hAnsi="Arial Narrow"/>
                <w:color w:val="000000"/>
                <w:sz w:val="20"/>
              </w:rPr>
            </w:pPr>
            <w:r w:rsidRPr="005F039C">
              <w:rPr>
                <w:rFonts w:ascii="Arial Narrow" w:hAnsi="Arial Narrow"/>
                <w:color w:val="000000"/>
                <w:sz w:val="20"/>
              </w:rPr>
              <w:t>0.9</w:t>
            </w:r>
          </w:p>
        </w:tc>
        <w:tc>
          <w:tcPr>
            <w:tcW w:w="573" w:type="pct"/>
            <w:vAlign w:val="center"/>
          </w:tcPr>
          <w:p w:rsidR="00735C86" w:rsidRPr="005F039C" w:rsidRDefault="00735C86" w:rsidP="00A857D4">
            <w:pPr>
              <w:jc w:val="center"/>
              <w:rPr>
                <w:rFonts w:ascii="Arial Narrow" w:hAnsi="Arial Narrow"/>
                <w:color w:val="000000"/>
                <w:sz w:val="20"/>
              </w:rPr>
            </w:pPr>
            <w:r w:rsidRPr="005F039C">
              <w:rPr>
                <w:rFonts w:ascii="Arial Narrow" w:hAnsi="Arial Narrow"/>
                <w:color w:val="000000"/>
                <w:sz w:val="20"/>
              </w:rPr>
              <w:t>-</w:t>
            </w:r>
          </w:p>
        </w:tc>
        <w:tc>
          <w:tcPr>
            <w:tcW w:w="638" w:type="pct"/>
            <w:vAlign w:val="center"/>
          </w:tcPr>
          <w:p w:rsidR="00735C86" w:rsidRPr="005F039C" w:rsidRDefault="00735C86" w:rsidP="00A857D4">
            <w:pPr>
              <w:jc w:val="center"/>
              <w:rPr>
                <w:rFonts w:ascii="Arial Narrow" w:hAnsi="Arial Narrow"/>
                <w:sz w:val="20"/>
              </w:rPr>
            </w:pPr>
            <w:r w:rsidRPr="005F039C">
              <w:rPr>
                <w:rFonts w:ascii="Arial Narrow" w:hAnsi="Arial Narrow"/>
                <w:sz w:val="20"/>
              </w:rPr>
              <w:t>0.01</w:t>
            </w:r>
          </w:p>
          <w:p w:rsidR="00735C86" w:rsidRPr="005F039C" w:rsidRDefault="00735C86" w:rsidP="00A857D4">
            <w:pPr>
              <w:jc w:val="center"/>
              <w:rPr>
                <w:rFonts w:ascii="Arial Narrow" w:hAnsi="Arial Narrow"/>
                <w:color w:val="000000"/>
                <w:sz w:val="20"/>
              </w:rPr>
            </w:pPr>
            <w:r w:rsidRPr="005F039C">
              <w:rPr>
                <w:rFonts w:ascii="Arial Narrow" w:hAnsi="Arial Narrow"/>
                <w:sz w:val="20"/>
              </w:rPr>
              <w:t>(-0.02, 0.04)</w:t>
            </w:r>
          </w:p>
        </w:tc>
      </w:tr>
      <w:tr w:rsidR="00735C86" w:rsidRPr="005F039C" w:rsidTr="00E1593D">
        <w:tc>
          <w:tcPr>
            <w:tcW w:w="1076" w:type="pct"/>
            <w:shd w:val="clear" w:color="auto" w:fill="auto"/>
            <w:vAlign w:val="center"/>
          </w:tcPr>
          <w:p w:rsidR="00735C86" w:rsidRPr="005F039C" w:rsidRDefault="00735C86" w:rsidP="00A857D4">
            <w:pPr>
              <w:jc w:val="left"/>
              <w:rPr>
                <w:rFonts w:ascii="Arial Narrow" w:hAnsi="Arial Narrow"/>
                <w:color w:val="000000"/>
                <w:sz w:val="20"/>
              </w:rPr>
            </w:pPr>
            <w:r w:rsidRPr="005F039C">
              <w:rPr>
                <w:rFonts w:ascii="Arial Narrow" w:hAnsi="Arial Narrow"/>
                <w:color w:val="000000"/>
                <w:sz w:val="20"/>
              </w:rPr>
              <w:t>CRUISE</w:t>
            </w:r>
          </w:p>
        </w:tc>
        <w:tc>
          <w:tcPr>
            <w:tcW w:w="692" w:type="pct"/>
            <w:vAlign w:val="center"/>
          </w:tcPr>
          <w:p w:rsidR="00735C86" w:rsidRPr="005F039C" w:rsidRDefault="00735C86" w:rsidP="00A857D4">
            <w:pPr>
              <w:jc w:val="center"/>
              <w:rPr>
                <w:rFonts w:ascii="Arial Narrow" w:hAnsi="Arial Narrow"/>
                <w:sz w:val="20"/>
              </w:rPr>
            </w:pPr>
            <w:r w:rsidRPr="005F039C">
              <w:rPr>
                <w:rFonts w:ascii="Arial Narrow" w:hAnsi="Arial Narrow"/>
                <w:sz w:val="20"/>
              </w:rPr>
              <w:t>-</w:t>
            </w:r>
          </w:p>
        </w:tc>
        <w:tc>
          <w:tcPr>
            <w:tcW w:w="676" w:type="pct"/>
            <w:gridSpan w:val="2"/>
            <w:vAlign w:val="center"/>
          </w:tcPr>
          <w:p w:rsidR="00735C86" w:rsidRPr="005F039C" w:rsidRDefault="00735C86" w:rsidP="00A857D4">
            <w:pPr>
              <w:pStyle w:val="TableText0"/>
              <w:spacing w:before="0" w:after="0"/>
              <w:jc w:val="center"/>
              <w:rPr>
                <w:rFonts w:cs="Arial"/>
              </w:rPr>
            </w:pPr>
            <w:r w:rsidRPr="005F039C">
              <w:rPr>
                <w:rFonts w:cs="Arial"/>
              </w:rPr>
              <w:t>2/129</w:t>
            </w:r>
          </w:p>
          <w:p w:rsidR="00735C86" w:rsidRPr="005F039C" w:rsidRDefault="00735C86" w:rsidP="00A857D4">
            <w:pPr>
              <w:jc w:val="center"/>
              <w:rPr>
                <w:rFonts w:ascii="Arial Narrow" w:hAnsi="Arial Narrow"/>
                <w:color w:val="000000"/>
                <w:sz w:val="20"/>
              </w:rPr>
            </w:pPr>
          </w:p>
        </w:tc>
        <w:tc>
          <w:tcPr>
            <w:tcW w:w="754" w:type="pct"/>
            <w:vAlign w:val="center"/>
          </w:tcPr>
          <w:p w:rsidR="00735C86" w:rsidRPr="005F039C" w:rsidRDefault="00735C86" w:rsidP="00A857D4">
            <w:pPr>
              <w:jc w:val="center"/>
              <w:rPr>
                <w:rFonts w:ascii="Arial Narrow" w:hAnsi="Arial Narrow"/>
                <w:sz w:val="20"/>
              </w:rPr>
            </w:pPr>
            <w:r w:rsidRPr="005F039C">
              <w:rPr>
                <w:rFonts w:ascii="Arial Narrow" w:hAnsi="Arial Narrow"/>
                <w:sz w:val="20"/>
              </w:rPr>
              <w:t>-</w:t>
            </w:r>
          </w:p>
        </w:tc>
        <w:tc>
          <w:tcPr>
            <w:tcW w:w="591" w:type="pct"/>
            <w:vAlign w:val="center"/>
          </w:tcPr>
          <w:p w:rsidR="00735C86" w:rsidRPr="005F039C" w:rsidRDefault="00735C86" w:rsidP="00A857D4">
            <w:pPr>
              <w:rPr>
                <w:rFonts w:ascii="Arial Narrow" w:hAnsi="Arial Narrow"/>
                <w:color w:val="000000"/>
                <w:sz w:val="20"/>
              </w:rPr>
            </w:pPr>
            <w:r w:rsidRPr="005F039C">
              <w:rPr>
                <w:rFonts w:ascii="Arial Narrow" w:hAnsi="Arial Narrow"/>
                <w:color w:val="000000"/>
                <w:sz w:val="20"/>
              </w:rPr>
              <w:t>-</w:t>
            </w:r>
          </w:p>
        </w:tc>
        <w:tc>
          <w:tcPr>
            <w:tcW w:w="573" w:type="pct"/>
            <w:vAlign w:val="center"/>
          </w:tcPr>
          <w:p w:rsidR="00735C86" w:rsidRPr="005F039C" w:rsidRDefault="00735C86" w:rsidP="00A857D4">
            <w:pPr>
              <w:jc w:val="center"/>
              <w:rPr>
                <w:rFonts w:ascii="Arial Narrow" w:hAnsi="Arial Narrow"/>
                <w:color w:val="000000"/>
                <w:sz w:val="20"/>
              </w:rPr>
            </w:pPr>
            <w:r w:rsidRPr="005F039C">
              <w:rPr>
                <w:rFonts w:ascii="Arial Narrow" w:hAnsi="Arial Narrow"/>
                <w:color w:val="000000"/>
                <w:sz w:val="20"/>
              </w:rPr>
              <w:t>1.6</w:t>
            </w:r>
          </w:p>
        </w:tc>
        <w:tc>
          <w:tcPr>
            <w:tcW w:w="638" w:type="pct"/>
            <w:vAlign w:val="center"/>
          </w:tcPr>
          <w:p w:rsidR="00735C86" w:rsidRPr="005F039C" w:rsidRDefault="00735C86" w:rsidP="00A857D4">
            <w:pPr>
              <w:jc w:val="center"/>
              <w:rPr>
                <w:rFonts w:ascii="Arial Narrow" w:hAnsi="Arial Narrow"/>
                <w:sz w:val="20"/>
              </w:rPr>
            </w:pPr>
            <w:r w:rsidRPr="005F039C">
              <w:rPr>
                <w:rFonts w:ascii="Arial Narrow" w:hAnsi="Arial Narrow"/>
                <w:sz w:val="20"/>
              </w:rPr>
              <w:t xml:space="preserve">-0.02 </w:t>
            </w:r>
          </w:p>
          <w:p w:rsidR="00735C86" w:rsidRPr="005F039C" w:rsidRDefault="00735C86" w:rsidP="00A857D4">
            <w:pPr>
              <w:jc w:val="center"/>
              <w:rPr>
                <w:rFonts w:ascii="Arial Narrow" w:hAnsi="Arial Narrow"/>
                <w:color w:val="000000"/>
                <w:sz w:val="20"/>
              </w:rPr>
            </w:pPr>
            <w:r w:rsidRPr="005F039C">
              <w:rPr>
                <w:rFonts w:ascii="Arial Narrow" w:hAnsi="Arial Narrow"/>
                <w:sz w:val="20"/>
              </w:rPr>
              <w:t>(-0.04, 0.01)</w:t>
            </w:r>
          </w:p>
        </w:tc>
      </w:tr>
      <w:tr w:rsidR="00735C86" w:rsidRPr="005F039C" w:rsidTr="00E1593D">
        <w:tc>
          <w:tcPr>
            <w:tcW w:w="2444" w:type="pct"/>
            <w:gridSpan w:val="4"/>
            <w:tcBorders>
              <w:bottom w:val="single" w:sz="4" w:space="0" w:color="auto"/>
            </w:tcBorders>
            <w:shd w:val="clear" w:color="auto" w:fill="auto"/>
            <w:vAlign w:val="center"/>
          </w:tcPr>
          <w:p w:rsidR="00735C86" w:rsidRPr="005F039C" w:rsidRDefault="00735C86" w:rsidP="00A857D4">
            <w:pPr>
              <w:jc w:val="left"/>
              <w:rPr>
                <w:rFonts w:ascii="Arial Narrow" w:hAnsi="Arial Narrow"/>
                <w:color w:val="000000"/>
                <w:sz w:val="20"/>
              </w:rPr>
            </w:pPr>
            <w:r w:rsidRPr="005F039C">
              <w:rPr>
                <w:rFonts w:ascii="Arial Narrow" w:hAnsi="Arial Narrow"/>
                <w:color w:val="000000"/>
                <w:sz w:val="20"/>
              </w:rPr>
              <w:t>Indirect comparison: aflibercept vs ranibizumab</w:t>
            </w:r>
          </w:p>
        </w:tc>
        <w:tc>
          <w:tcPr>
            <w:tcW w:w="754" w:type="pct"/>
            <w:tcBorders>
              <w:bottom w:val="single" w:sz="4" w:space="0" w:color="auto"/>
            </w:tcBorders>
            <w:vAlign w:val="center"/>
          </w:tcPr>
          <w:p w:rsidR="00735C86" w:rsidRPr="005F039C" w:rsidRDefault="00735C86" w:rsidP="00A857D4">
            <w:pPr>
              <w:jc w:val="center"/>
              <w:rPr>
                <w:rFonts w:ascii="Arial Narrow" w:hAnsi="Arial Narrow" w:cs="Times New Roman"/>
                <w:snapToGrid/>
                <w:sz w:val="20"/>
                <w:lang w:eastAsia="en-AU"/>
              </w:rPr>
            </w:pPr>
            <w:r w:rsidRPr="005F039C">
              <w:rPr>
                <w:rFonts w:ascii="Arial Narrow" w:hAnsi="Arial Narrow" w:cs="Times New Roman"/>
                <w:snapToGrid/>
                <w:sz w:val="20"/>
                <w:lang w:eastAsia="en-AU"/>
              </w:rPr>
              <w:t xml:space="preserve">9.8 </w:t>
            </w:r>
          </w:p>
          <w:p w:rsidR="00735C86" w:rsidRPr="005F039C" w:rsidRDefault="00735C86" w:rsidP="00A857D4">
            <w:pPr>
              <w:jc w:val="center"/>
              <w:rPr>
                <w:rFonts w:ascii="Arial Narrow" w:hAnsi="Arial Narrow"/>
                <w:color w:val="000000"/>
                <w:sz w:val="19"/>
                <w:szCs w:val="19"/>
              </w:rPr>
            </w:pPr>
            <w:r w:rsidRPr="005F039C">
              <w:rPr>
                <w:rFonts w:ascii="Arial Narrow" w:hAnsi="Arial Narrow" w:cs="Times New Roman"/>
                <w:snapToGrid/>
                <w:sz w:val="19"/>
                <w:szCs w:val="19"/>
                <w:lang w:eastAsia="en-AU"/>
              </w:rPr>
              <w:t>(0.12,</w:t>
            </w:r>
            <w:r w:rsidR="008A6B62" w:rsidRPr="005F039C">
              <w:rPr>
                <w:rFonts w:ascii="Arial Narrow" w:hAnsi="Arial Narrow" w:cs="Times New Roman"/>
                <w:snapToGrid/>
                <w:sz w:val="19"/>
                <w:szCs w:val="19"/>
                <w:lang w:eastAsia="en-AU"/>
              </w:rPr>
              <w:t xml:space="preserve"> </w:t>
            </w:r>
            <w:r w:rsidRPr="005F039C">
              <w:rPr>
                <w:rFonts w:ascii="Arial Narrow" w:hAnsi="Arial Narrow" w:cs="Times New Roman"/>
                <w:snapToGrid/>
                <w:sz w:val="19"/>
                <w:szCs w:val="19"/>
                <w:lang w:eastAsia="en-AU"/>
              </w:rPr>
              <w:t>789.22)</w:t>
            </w:r>
          </w:p>
        </w:tc>
        <w:tc>
          <w:tcPr>
            <w:tcW w:w="1164" w:type="pct"/>
            <w:gridSpan w:val="2"/>
            <w:tcBorders>
              <w:bottom w:val="single" w:sz="4" w:space="0" w:color="auto"/>
            </w:tcBorders>
            <w:shd w:val="clear" w:color="auto" w:fill="auto"/>
            <w:vAlign w:val="center"/>
          </w:tcPr>
          <w:p w:rsidR="00735C86" w:rsidRPr="005F039C" w:rsidRDefault="00735C86" w:rsidP="00A857D4">
            <w:pPr>
              <w:jc w:val="center"/>
              <w:rPr>
                <w:rFonts w:ascii="Arial Narrow" w:hAnsi="Arial Narrow"/>
                <w:color w:val="000000"/>
                <w:sz w:val="20"/>
              </w:rPr>
            </w:pPr>
            <w:r w:rsidRPr="005F039C">
              <w:rPr>
                <w:rFonts w:ascii="Arial Narrow" w:hAnsi="Arial Narrow"/>
                <w:color w:val="000000"/>
                <w:sz w:val="20"/>
              </w:rPr>
              <w:t>-</w:t>
            </w:r>
          </w:p>
        </w:tc>
        <w:tc>
          <w:tcPr>
            <w:tcW w:w="638" w:type="pct"/>
            <w:tcBorders>
              <w:bottom w:val="single" w:sz="4" w:space="0" w:color="auto"/>
            </w:tcBorders>
            <w:vAlign w:val="center"/>
          </w:tcPr>
          <w:p w:rsidR="00735C86" w:rsidRPr="005F039C" w:rsidRDefault="00735C86" w:rsidP="00A857D4">
            <w:pPr>
              <w:jc w:val="center"/>
              <w:rPr>
                <w:rFonts w:ascii="Arial Narrow" w:hAnsi="Arial Narrow" w:cs="Times New Roman"/>
                <w:snapToGrid/>
                <w:sz w:val="20"/>
                <w:lang w:eastAsia="en-AU"/>
              </w:rPr>
            </w:pPr>
            <w:r w:rsidRPr="005F039C">
              <w:rPr>
                <w:rFonts w:ascii="Arial Narrow" w:hAnsi="Arial Narrow" w:cs="Times New Roman"/>
                <w:snapToGrid/>
                <w:sz w:val="20"/>
                <w:lang w:eastAsia="en-AU"/>
              </w:rPr>
              <w:t>0.03</w:t>
            </w:r>
          </w:p>
          <w:p w:rsidR="00735C86" w:rsidRPr="005F039C" w:rsidRDefault="00735C86" w:rsidP="00A857D4">
            <w:pPr>
              <w:jc w:val="center"/>
              <w:rPr>
                <w:rFonts w:ascii="Arial Narrow" w:hAnsi="Arial Narrow"/>
                <w:color w:val="000000"/>
                <w:sz w:val="20"/>
              </w:rPr>
            </w:pPr>
            <w:r w:rsidRPr="005F039C">
              <w:rPr>
                <w:rFonts w:ascii="Arial Narrow" w:hAnsi="Arial Narrow" w:cs="Times New Roman"/>
                <w:snapToGrid/>
                <w:sz w:val="20"/>
                <w:lang w:eastAsia="en-AU"/>
              </w:rPr>
              <w:t xml:space="preserve"> (-0.01, 0.07)</w:t>
            </w:r>
          </w:p>
        </w:tc>
      </w:tr>
    </w:tbl>
    <w:p w:rsidR="00735C86" w:rsidRPr="005F039C" w:rsidRDefault="00552AE9" w:rsidP="00735C86">
      <w:pPr>
        <w:pStyle w:val="ListParagraph"/>
        <w:widowControl/>
        <w:rPr>
          <w:szCs w:val="22"/>
        </w:rPr>
      </w:pPr>
      <w:r w:rsidRPr="005F039C">
        <w:rPr>
          <w:rFonts w:ascii="Arial Narrow" w:hAnsi="Arial Narrow"/>
          <w:sz w:val="18"/>
        </w:rPr>
        <w:t>AFB=aflibercept; BCVA=</w:t>
      </w:r>
      <w:r w:rsidR="00735C86" w:rsidRPr="005F039C">
        <w:rPr>
          <w:rFonts w:ascii="Arial Narrow" w:hAnsi="Arial Narrow"/>
          <w:sz w:val="18"/>
        </w:rPr>
        <w:t xml:space="preserve">best corrected visual acuity; </w:t>
      </w:r>
      <w:r w:rsidRPr="005F039C">
        <w:rPr>
          <w:rFonts w:ascii="Arial Narrow" w:hAnsi="Arial Narrow"/>
          <w:sz w:val="18"/>
        </w:rPr>
        <w:t>OR=odds ratio; RBZ=ranibizumab; RD=risk difference; RR=</w:t>
      </w:r>
      <w:r w:rsidR="00735C86" w:rsidRPr="005F039C">
        <w:rPr>
          <w:rFonts w:ascii="Arial Narrow" w:hAnsi="Arial Narrow"/>
          <w:sz w:val="18"/>
        </w:rPr>
        <w:t>risk ratio; Source: Compiled during the evaluation</w:t>
      </w:r>
    </w:p>
    <w:p w:rsidR="00735C86" w:rsidRPr="005F039C" w:rsidRDefault="00735C86" w:rsidP="00735C86">
      <w:pPr>
        <w:widowControl/>
        <w:rPr>
          <w:szCs w:val="22"/>
        </w:rPr>
      </w:pPr>
    </w:p>
    <w:p w:rsidR="00BC3EA9" w:rsidRPr="005F039C" w:rsidRDefault="00BC3EA9" w:rsidP="00745891">
      <w:pPr>
        <w:pStyle w:val="ListParagraph"/>
        <w:widowControl/>
        <w:numPr>
          <w:ilvl w:val="1"/>
          <w:numId w:val="2"/>
        </w:numPr>
        <w:rPr>
          <w:szCs w:val="22"/>
        </w:rPr>
      </w:pPr>
      <w:r w:rsidRPr="005F039C">
        <w:rPr>
          <w:szCs w:val="22"/>
        </w:rPr>
        <w:t xml:space="preserve">On </w:t>
      </w:r>
      <w:r w:rsidRPr="005F039C">
        <w:t xml:space="preserve">the basis of the </w:t>
      </w:r>
      <w:r w:rsidR="00552AE9" w:rsidRPr="005F039C">
        <w:t xml:space="preserve">indirect evidence using sham injection as the common comparator, </w:t>
      </w:r>
      <w:r w:rsidR="00E305B2" w:rsidRPr="005F039C">
        <w:t xml:space="preserve">there appears to be no difference in benefits and harms between </w:t>
      </w:r>
      <w:r w:rsidR="00F1219A" w:rsidRPr="005F039C">
        <w:t>aflibercept in comparison to ranibizumab</w:t>
      </w:r>
      <w:r w:rsidR="005A0024" w:rsidRPr="005F039C">
        <w:t>.</w:t>
      </w:r>
    </w:p>
    <w:p w:rsidR="008E7EED" w:rsidRPr="005F039C" w:rsidRDefault="008E7EED" w:rsidP="005A0024"/>
    <w:p w:rsidR="00607D0A" w:rsidRPr="00B3341B" w:rsidRDefault="00607D0A" w:rsidP="00B3341B">
      <w:pPr>
        <w:rPr>
          <w:b/>
        </w:rPr>
      </w:pPr>
      <w:bookmarkStart w:id="13" w:name="_Toc398652409"/>
      <w:r w:rsidRPr="00B3341B">
        <w:rPr>
          <w:b/>
        </w:rPr>
        <w:t>Clinical claim</w:t>
      </w:r>
      <w:bookmarkEnd w:id="13"/>
    </w:p>
    <w:p w:rsidR="00607D0A" w:rsidRPr="00B3341B" w:rsidRDefault="00607D0A" w:rsidP="00B3341B">
      <w:pPr>
        <w:rPr>
          <w:b/>
        </w:rPr>
      </w:pPr>
    </w:p>
    <w:p w:rsidR="00607D0A" w:rsidRPr="005F039C" w:rsidRDefault="00607D0A" w:rsidP="00745891">
      <w:pPr>
        <w:pStyle w:val="ListParagraph"/>
        <w:widowControl/>
        <w:numPr>
          <w:ilvl w:val="1"/>
          <w:numId w:val="2"/>
        </w:numPr>
        <w:rPr>
          <w:szCs w:val="22"/>
        </w:rPr>
      </w:pPr>
      <w:r w:rsidRPr="005F039C">
        <w:rPr>
          <w:szCs w:val="22"/>
        </w:rPr>
        <w:t xml:space="preserve">As in the March 2014 </w:t>
      </w:r>
      <w:r w:rsidR="00525231" w:rsidRPr="005F039C">
        <w:rPr>
          <w:szCs w:val="22"/>
        </w:rPr>
        <w:t>resubmission</w:t>
      </w:r>
      <w:r w:rsidRPr="005F039C">
        <w:rPr>
          <w:szCs w:val="22"/>
        </w:rPr>
        <w:t xml:space="preserve">, the current </w:t>
      </w:r>
      <w:r w:rsidR="00525231" w:rsidRPr="005F039C">
        <w:rPr>
          <w:szCs w:val="22"/>
        </w:rPr>
        <w:t>resubmission</w:t>
      </w:r>
      <w:r w:rsidRPr="005F039C">
        <w:rPr>
          <w:szCs w:val="22"/>
        </w:rPr>
        <w:t xml:space="preserve"> claim</w:t>
      </w:r>
      <w:r w:rsidR="00E1593D" w:rsidRPr="005F039C">
        <w:rPr>
          <w:szCs w:val="22"/>
        </w:rPr>
        <w:t>ed</w:t>
      </w:r>
      <w:r w:rsidRPr="005F039C">
        <w:rPr>
          <w:szCs w:val="22"/>
        </w:rPr>
        <w:t xml:space="preserve"> that aflibercept has superior effectiveness with a similar safety profile compared to placebo, and that aflibercept is non-inferior in terms of efficacy and safety compared to ranibizumab.  No clinical claims </w:t>
      </w:r>
      <w:r w:rsidR="00E1593D" w:rsidRPr="005F039C">
        <w:rPr>
          <w:szCs w:val="22"/>
        </w:rPr>
        <w:t>we</w:t>
      </w:r>
      <w:r w:rsidRPr="005F039C">
        <w:rPr>
          <w:szCs w:val="22"/>
        </w:rPr>
        <w:t xml:space="preserve">re made regarding safety or efficacy of aflibercept in comparison to bevacizumab, but </w:t>
      </w:r>
      <w:r w:rsidR="00E1593D" w:rsidRPr="005F039C">
        <w:rPr>
          <w:szCs w:val="22"/>
        </w:rPr>
        <w:t xml:space="preserve">the resubmission </w:t>
      </w:r>
      <w:r w:rsidR="009E2114" w:rsidRPr="005F039C">
        <w:rPr>
          <w:szCs w:val="22"/>
        </w:rPr>
        <w:t>note</w:t>
      </w:r>
      <w:r w:rsidR="00E1593D" w:rsidRPr="005F039C">
        <w:rPr>
          <w:szCs w:val="22"/>
        </w:rPr>
        <w:t>d</w:t>
      </w:r>
      <w:r w:rsidR="009E2114" w:rsidRPr="005F039C">
        <w:rPr>
          <w:szCs w:val="22"/>
        </w:rPr>
        <w:t xml:space="preserve"> that the PBAC has considered aflibercept and bevacizumab to be non-inferior in</w:t>
      </w:r>
      <w:r w:rsidR="00E37797" w:rsidRPr="005F039C">
        <w:rPr>
          <w:szCs w:val="22"/>
        </w:rPr>
        <w:t xml:space="preserve"> terms of</w:t>
      </w:r>
      <w:r w:rsidR="009E2114" w:rsidRPr="005F039C">
        <w:rPr>
          <w:szCs w:val="22"/>
        </w:rPr>
        <w:t xml:space="preserve"> efficacy</w:t>
      </w:r>
      <w:r w:rsidR="00E37797" w:rsidRPr="005F039C">
        <w:rPr>
          <w:szCs w:val="22"/>
        </w:rPr>
        <w:t xml:space="preserve"> (paragraph 6.29, March 2014 PBAC minutes)</w:t>
      </w:r>
      <w:r w:rsidR="009E2114" w:rsidRPr="005F039C">
        <w:rPr>
          <w:szCs w:val="22"/>
        </w:rPr>
        <w:t xml:space="preserve">. The </w:t>
      </w:r>
      <w:r w:rsidR="00525231" w:rsidRPr="005F039C">
        <w:rPr>
          <w:szCs w:val="22"/>
        </w:rPr>
        <w:t>resubmission</w:t>
      </w:r>
      <w:r w:rsidR="009E2114" w:rsidRPr="005F039C">
        <w:rPr>
          <w:szCs w:val="22"/>
        </w:rPr>
        <w:t xml:space="preserve"> also include</w:t>
      </w:r>
      <w:r w:rsidR="00E1593D" w:rsidRPr="005F039C">
        <w:rPr>
          <w:szCs w:val="22"/>
        </w:rPr>
        <w:t>d</w:t>
      </w:r>
      <w:r w:rsidR="009E2114" w:rsidRPr="005F039C">
        <w:rPr>
          <w:szCs w:val="22"/>
        </w:rPr>
        <w:t xml:space="preserve"> </w:t>
      </w:r>
      <w:r w:rsidRPr="005F039C">
        <w:rPr>
          <w:szCs w:val="22"/>
        </w:rPr>
        <w:t>a cost-minimisation analysis that assumes fewer adverse events in aflibercept</w:t>
      </w:r>
      <w:r w:rsidRPr="005F039C">
        <w:rPr>
          <w:color w:val="FF0000"/>
        </w:rPr>
        <w:t>.</w:t>
      </w:r>
    </w:p>
    <w:p w:rsidR="00607D0A" w:rsidRPr="005F039C" w:rsidRDefault="00607D0A" w:rsidP="00607D0A">
      <w:pPr>
        <w:ind w:left="720" w:hanging="720"/>
        <w:rPr>
          <w:szCs w:val="22"/>
        </w:rPr>
      </w:pPr>
    </w:p>
    <w:p w:rsidR="00B31CC4" w:rsidRDefault="00B31CC4" w:rsidP="00B31CC4">
      <w:pPr>
        <w:widowControl/>
        <w:ind w:left="709"/>
        <w:contextualSpacing/>
        <w:rPr>
          <w:rFonts w:cs="Times New Roman"/>
          <w:i/>
          <w:snapToGrid/>
          <w:szCs w:val="22"/>
          <w:lang w:eastAsia="en-AU"/>
        </w:rPr>
      </w:pPr>
      <w:bookmarkStart w:id="14" w:name="_Toc398652410"/>
      <w:r w:rsidRPr="005F039C">
        <w:rPr>
          <w:rFonts w:cs="Times New Roman"/>
          <w:i/>
          <w:snapToGrid/>
          <w:szCs w:val="22"/>
          <w:lang w:eastAsia="en-AU"/>
        </w:rPr>
        <w:t>For more detail on PBAC’s view, see section 7 “PBAC outcome”</w:t>
      </w:r>
    </w:p>
    <w:p w:rsidR="00462D48" w:rsidRPr="005F039C" w:rsidRDefault="00462D48" w:rsidP="00B31CC4">
      <w:pPr>
        <w:widowControl/>
        <w:ind w:left="709"/>
        <w:contextualSpacing/>
        <w:rPr>
          <w:rFonts w:cs="Times New Roman"/>
          <w:i/>
          <w:snapToGrid/>
          <w:szCs w:val="22"/>
          <w:lang w:eastAsia="en-AU"/>
        </w:rPr>
      </w:pPr>
    </w:p>
    <w:p w:rsidR="00607D0A" w:rsidRPr="00B3341B" w:rsidRDefault="00607D0A" w:rsidP="00B3341B">
      <w:pPr>
        <w:rPr>
          <w:b/>
        </w:rPr>
      </w:pPr>
      <w:r w:rsidRPr="00B3341B">
        <w:rPr>
          <w:b/>
        </w:rPr>
        <w:t>Economic analysis</w:t>
      </w:r>
      <w:bookmarkEnd w:id="14"/>
    </w:p>
    <w:p w:rsidR="00607D0A" w:rsidRPr="005F039C" w:rsidRDefault="00607D0A" w:rsidP="00607D0A">
      <w:pPr>
        <w:ind w:left="720" w:hanging="720"/>
        <w:rPr>
          <w:szCs w:val="22"/>
        </w:rPr>
      </w:pPr>
    </w:p>
    <w:p w:rsidR="006664DF" w:rsidRPr="005F039C" w:rsidRDefault="006664DF" w:rsidP="00745891">
      <w:pPr>
        <w:pStyle w:val="ListParagraph"/>
        <w:widowControl/>
        <w:numPr>
          <w:ilvl w:val="1"/>
          <w:numId w:val="2"/>
        </w:numPr>
        <w:rPr>
          <w:szCs w:val="22"/>
        </w:rPr>
      </w:pPr>
      <w:r w:rsidRPr="005F039C">
        <w:t xml:space="preserve">Three economic evaluations </w:t>
      </w:r>
      <w:r w:rsidR="00E1593D" w:rsidRPr="005F039C">
        <w:t>we</w:t>
      </w:r>
      <w:r w:rsidRPr="005F039C">
        <w:t xml:space="preserve">re </w:t>
      </w:r>
      <w:r w:rsidR="005A0024" w:rsidRPr="005F039C">
        <w:t xml:space="preserve">presented by the </w:t>
      </w:r>
      <w:r w:rsidR="00525231" w:rsidRPr="005F039C">
        <w:t>resubmission</w:t>
      </w:r>
      <w:r w:rsidR="005A0024" w:rsidRPr="005F039C">
        <w:t>:</w:t>
      </w:r>
    </w:p>
    <w:p w:rsidR="006664DF" w:rsidRPr="005F039C" w:rsidRDefault="00E1593D" w:rsidP="00745891">
      <w:pPr>
        <w:pStyle w:val="ListParagraph"/>
        <w:widowControl/>
        <w:numPr>
          <w:ilvl w:val="0"/>
          <w:numId w:val="6"/>
        </w:numPr>
      </w:pPr>
      <w:r w:rsidRPr="005F039C">
        <w:lastRenderedPageBreak/>
        <w:t>c</w:t>
      </w:r>
      <w:r w:rsidR="006664DF" w:rsidRPr="005F039C">
        <w:t>ost utility analysis</w:t>
      </w:r>
      <w:r w:rsidR="002D5EB5" w:rsidRPr="005F039C">
        <w:t xml:space="preserve"> (CUA)</w:t>
      </w:r>
      <w:r w:rsidR="006664DF" w:rsidRPr="005F039C">
        <w:t xml:space="preserve"> </w:t>
      </w:r>
      <w:r w:rsidR="00364596" w:rsidRPr="005F039C">
        <w:t>comparing afl</w:t>
      </w:r>
      <w:r w:rsidR="006664DF" w:rsidRPr="005F039C">
        <w:t xml:space="preserve">ibercept and </w:t>
      </w:r>
      <w:r w:rsidR="002D5EB5" w:rsidRPr="005F039C">
        <w:t>BSC</w:t>
      </w:r>
      <w:r w:rsidR="006664DF" w:rsidRPr="005F039C">
        <w:t xml:space="preserve"> (afl</w:t>
      </w:r>
      <w:r w:rsidR="005A0024" w:rsidRPr="005F039C">
        <w:t xml:space="preserve">ibercept vial price = </w:t>
      </w:r>
      <w:r w:rsidR="00827EDF">
        <w:rPr>
          <w:noProof/>
          <w:color w:val="000000"/>
          <w:highlight w:val="black"/>
        </w:rPr>
        <w:t>''''''''''''''''''''''</w:t>
      </w:r>
    </w:p>
    <w:p w:rsidR="006664DF" w:rsidRPr="005F039C" w:rsidRDefault="00E1593D" w:rsidP="00745891">
      <w:pPr>
        <w:pStyle w:val="ListParagraph"/>
        <w:widowControl/>
        <w:numPr>
          <w:ilvl w:val="0"/>
          <w:numId w:val="6"/>
        </w:numPr>
      </w:pPr>
      <w:r w:rsidRPr="005F039C">
        <w:t>c</w:t>
      </w:r>
      <w:r w:rsidR="006664DF" w:rsidRPr="005F039C">
        <w:t>ost minimisation analysis</w:t>
      </w:r>
      <w:r w:rsidR="002D5EB5" w:rsidRPr="005F039C">
        <w:t xml:space="preserve"> (CMA)</w:t>
      </w:r>
      <w:r w:rsidR="006664DF" w:rsidRPr="005F039C">
        <w:t xml:space="preserve"> </w:t>
      </w:r>
      <w:r w:rsidR="002D5EB5" w:rsidRPr="005F039C">
        <w:t>comparing afl</w:t>
      </w:r>
      <w:r w:rsidR="006664DF" w:rsidRPr="005F039C">
        <w:t xml:space="preserve">ibercept and ranibizumab (aflibercept vial price = </w:t>
      </w:r>
      <w:r w:rsidR="00827EDF">
        <w:rPr>
          <w:noProof/>
          <w:color w:val="000000"/>
          <w:highlight w:val="black"/>
        </w:rPr>
        <w:t>''''''''''''''''''''''''''</w:t>
      </w:r>
    </w:p>
    <w:p w:rsidR="006664DF" w:rsidRPr="005F039C" w:rsidRDefault="00E1593D" w:rsidP="00745891">
      <w:pPr>
        <w:pStyle w:val="ListParagraph"/>
        <w:widowControl/>
        <w:numPr>
          <w:ilvl w:val="0"/>
          <w:numId w:val="6"/>
        </w:numPr>
      </w:pPr>
      <w:r w:rsidRPr="005F039C">
        <w:t>c</w:t>
      </w:r>
      <w:r w:rsidR="006664DF" w:rsidRPr="005F039C">
        <w:t xml:space="preserve">ost minimisation analysis comparing aflibercept </w:t>
      </w:r>
      <w:r w:rsidR="002D5EB5" w:rsidRPr="005F039C">
        <w:t>and</w:t>
      </w:r>
      <w:r w:rsidR="006664DF" w:rsidRPr="005F039C">
        <w:t xml:space="preserve"> bevacizumab (aflibercept vial price = </w:t>
      </w:r>
      <w:r w:rsidR="00827EDF">
        <w:rPr>
          <w:noProof/>
          <w:color w:val="000000"/>
          <w:highlight w:val="black"/>
        </w:rPr>
        <w:t>''''''''''''''''''''''</w:t>
      </w:r>
    </w:p>
    <w:p w:rsidR="006664DF" w:rsidRPr="005F039C" w:rsidRDefault="006664DF" w:rsidP="006664DF">
      <w:pPr>
        <w:widowControl/>
        <w:rPr>
          <w:szCs w:val="22"/>
        </w:rPr>
      </w:pPr>
    </w:p>
    <w:p w:rsidR="00607D0A" w:rsidRPr="005F039C" w:rsidRDefault="002D5EB5" w:rsidP="00745891">
      <w:pPr>
        <w:pStyle w:val="ListParagraph"/>
        <w:widowControl/>
        <w:numPr>
          <w:ilvl w:val="1"/>
          <w:numId w:val="2"/>
        </w:numPr>
        <w:rPr>
          <w:szCs w:val="22"/>
        </w:rPr>
      </w:pPr>
      <w:r w:rsidRPr="005F039C">
        <w:rPr>
          <w:u w:val="single"/>
        </w:rPr>
        <w:t>CUA aflibercept vs. BSC</w:t>
      </w:r>
      <w:r w:rsidRPr="005F039C">
        <w:t>:</w:t>
      </w:r>
      <w:r w:rsidR="00607D0A" w:rsidRPr="005F039C">
        <w:t xml:space="preserve"> In comparison to the March 2014 model, the current model reduced </w:t>
      </w:r>
      <w:r w:rsidR="00E1593D" w:rsidRPr="005F039C">
        <w:t xml:space="preserve">the </w:t>
      </w:r>
      <w:r w:rsidR="00607D0A" w:rsidRPr="005F039C">
        <w:t xml:space="preserve">model duration from 28 to 15 years, </w:t>
      </w:r>
      <w:r w:rsidR="00E1593D" w:rsidRPr="005F039C">
        <w:t xml:space="preserve">the </w:t>
      </w:r>
      <w:r w:rsidR="00607D0A" w:rsidRPr="005F039C">
        <w:t>modelled recurrence of macular oedema and the number of loading doses from 3 to 6.</w:t>
      </w:r>
      <w:r w:rsidRPr="005F039C">
        <w:t xml:space="preserve">  </w:t>
      </w:r>
      <w:r w:rsidR="00E45C65" w:rsidRPr="005F039C">
        <w:t>The t</w:t>
      </w:r>
      <w:r w:rsidRPr="005F039C">
        <w:t>able</w:t>
      </w:r>
      <w:r w:rsidR="00BE5E55" w:rsidRPr="005F039C">
        <w:t xml:space="preserve">s </w:t>
      </w:r>
      <w:r w:rsidRPr="005F039C">
        <w:t>below summarise</w:t>
      </w:r>
      <w:r w:rsidR="00BE5E55" w:rsidRPr="005F039C">
        <w:t xml:space="preserve"> the changes made to economic model and</w:t>
      </w:r>
      <w:r w:rsidRPr="005F039C">
        <w:t xml:space="preserve"> the model structure</w:t>
      </w:r>
      <w:r w:rsidR="00E1593D" w:rsidRPr="005F039C">
        <w:t xml:space="preserve"> across the three submissions</w:t>
      </w:r>
      <w:r w:rsidRPr="005F039C">
        <w:t>.</w:t>
      </w:r>
    </w:p>
    <w:p w:rsidR="00607D0A" w:rsidRPr="005F039C" w:rsidRDefault="00607D0A" w:rsidP="00607D0A">
      <w:pPr>
        <w:widowControl/>
        <w:rPr>
          <w:szCs w:val="22"/>
        </w:rPr>
      </w:pPr>
    </w:p>
    <w:p w:rsidR="006B5A69" w:rsidRPr="005F039C" w:rsidRDefault="00BE5E55" w:rsidP="00E45C65">
      <w:pPr>
        <w:widowControl/>
        <w:ind w:firstLine="720"/>
        <w:jc w:val="left"/>
        <w:rPr>
          <w:rStyle w:val="CommentReference"/>
        </w:rPr>
      </w:pPr>
      <w:r w:rsidRPr="005F039C">
        <w:rPr>
          <w:rFonts w:ascii="Arial Narrow" w:hAnsi="Arial Narrow"/>
          <w:b/>
          <w:sz w:val="20"/>
        </w:rPr>
        <w:t>Summary of changes made to economic model across thre</w:t>
      </w:r>
      <w:r w:rsidR="007E25E7" w:rsidRPr="005F039C">
        <w:rPr>
          <w:rFonts w:ascii="Arial Narrow" w:hAnsi="Arial Narrow"/>
          <w:b/>
          <w:sz w:val="20"/>
        </w:rPr>
        <w:t>e submissions</w:t>
      </w:r>
    </w:p>
    <w:tbl>
      <w:tblPr>
        <w:tblStyle w:val="TableGrid5"/>
        <w:tblW w:w="0" w:type="auto"/>
        <w:tblInd w:w="817" w:type="dxa"/>
        <w:tblLook w:val="04A0" w:firstRow="1" w:lastRow="0" w:firstColumn="1" w:lastColumn="0" w:noHBand="0" w:noVBand="1"/>
      </w:tblPr>
      <w:tblGrid>
        <w:gridCol w:w="2410"/>
        <w:gridCol w:w="1701"/>
        <w:gridCol w:w="2551"/>
        <w:gridCol w:w="1701"/>
      </w:tblGrid>
      <w:tr w:rsidR="00BE5E55" w:rsidRPr="005F039C" w:rsidTr="00E1593D">
        <w:tc>
          <w:tcPr>
            <w:tcW w:w="2410" w:type="dxa"/>
            <w:vMerge w:val="restart"/>
            <w:vAlign w:val="bottom"/>
          </w:tcPr>
          <w:p w:rsidR="00BE5E55" w:rsidRPr="005F039C" w:rsidRDefault="00BE5E55" w:rsidP="007C7152">
            <w:pPr>
              <w:jc w:val="left"/>
              <w:rPr>
                <w:rFonts w:ascii="Arial Narrow" w:hAnsi="Arial Narrow"/>
                <w:b/>
                <w:sz w:val="20"/>
                <w:lang w:eastAsia="en-AU"/>
              </w:rPr>
            </w:pPr>
            <w:r w:rsidRPr="005F039C">
              <w:rPr>
                <w:rFonts w:ascii="Arial Narrow" w:hAnsi="Arial Narrow"/>
                <w:b/>
                <w:sz w:val="20"/>
                <w:lang w:eastAsia="en-AU"/>
              </w:rPr>
              <w:t>Changed parameter</w:t>
            </w:r>
          </w:p>
        </w:tc>
        <w:tc>
          <w:tcPr>
            <w:tcW w:w="5953" w:type="dxa"/>
            <w:gridSpan w:val="3"/>
            <w:vAlign w:val="bottom"/>
          </w:tcPr>
          <w:p w:rsidR="00BE5E55" w:rsidRPr="005F039C" w:rsidRDefault="00BE5E55" w:rsidP="004C7A2E">
            <w:pPr>
              <w:jc w:val="center"/>
              <w:rPr>
                <w:rFonts w:ascii="Arial Narrow" w:hAnsi="Arial Narrow"/>
                <w:b/>
                <w:sz w:val="20"/>
                <w:lang w:eastAsia="en-AU"/>
              </w:rPr>
            </w:pPr>
            <w:r w:rsidRPr="005F039C">
              <w:rPr>
                <w:rFonts w:ascii="Arial Narrow" w:hAnsi="Arial Narrow"/>
                <w:b/>
                <w:sz w:val="20"/>
                <w:lang w:eastAsia="en-AU"/>
              </w:rPr>
              <w:t>Submission</w:t>
            </w:r>
          </w:p>
        </w:tc>
      </w:tr>
      <w:tr w:rsidR="00BE5E55" w:rsidRPr="005F039C" w:rsidTr="00E1593D">
        <w:tc>
          <w:tcPr>
            <w:tcW w:w="2410" w:type="dxa"/>
            <w:vMerge/>
            <w:vAlign w:val="bottom"/>
          </w:tcPr>
          <w:p w:rsidR="00BE5E55" w:rsidRPr="005F039C" w:rsidRDefault="00BE5E55" w:rsidP="007C7152">
            <w:pPr>
              <w:jc w:val="left"/>
              <w:rPr>
                <w:rFonts w:ascii="Arial Narrow" w:hAnsi="Arial Narrow"/>
                <w:b/>
                <w:sz w:val="20"/>
                <w:lang w:eastAsia="en-AU"/>
              </w:rPr>
            </w:pPr>
          </w:p>
        </w:tc>
        <w:tc>
          <w:tcPr>
            <w:tcW w:w="1701" w:type="dxa"/>
            <w:vAlign w:val="bottom"/>
          </w:tcPr>
          <w:p w:rsidR="00BE5E55" w:rsidRPr="005F039C" w:rsidRDefault="00BE5E55" w:rsidP="007C7152">
            <w:pPr>
              <w:jc w:val="center"/>
              <w:rPr>
                <w:rFonts w:ascii="Arial Narrow" w:hAnsi="Arial Narrow"/>
                <w:b/>
                <w:sz w:val="20"/>
                <w:lang w:eastAsia="en-AU"/>
              </w:rPr>
            </w:pPr>
            <w:r w:rsidRPr="005F039C">
              <w:rPr>
                <w:rFonts w:ascii="Arial Narrow" w:hAnsi="Arial Narrow"/>
                <w:b/>
                <w:sz w:val="20"/>
                <w:lang w:eastAsia="en-AU"/>
              </w:rPr>
              <w:t>July 2013</w:t>
            </w:r>
          </w:p>
        </w:tc>
        <w:tc>
          <w:tcPr>
            <w:tcW w:w="2551" w:type="dxa"/>
            <w:vAlign w:val="bottom"/>
          </w:tcPr>
          <w:p w:rsidR="00BE5E55" w:rsidRPr="005F039C" w:rsidRDefault="00BE5E55" w:rsidP="007C7152">
            <w:pPr>
              <w:jc w:val="center"/>
              <w:rPr>
                <w:rFonts w:ascii="Arial Narrow" w:hAnsi="Arial Narrow"/>
                <w:b/>
                <w:sz w:val="20"/>
                <w:lang w:eastAsia="en-AU"/>
              </w:rPr>
            </w:pPr>
            <w:r w:rsidRPr="005F039C">
              <w:rPr>
                <w:rFonts w:ascii="Arial Narrow" w:hAnsi="Arial Narrow"/>
                <w:b/>
                <w:sz w:val="20"/>
                <w:lang w:eastAsia="en-AU"/>
              </w:rPr>
              <w:t>March 2014</w:t>
            </w:r>
          </w:p>
        </w:tc>
        <w:tc>
          <w:tcPr>
            <w:tcW w:w="1701" w:type="dxa"/>
            <w:vAlign w:val="bottom"/>
          </w:tcPr>
          <w:p w:rsidR="00BE5E55" w:rsidRPr="005F039C" w:rsidRDefault="00BE5E55" w:rsidP="007C7152">
            <w:pPr>
              <w:jc w:val="center"/>
              <w:rPr>
                <w:rFonts w:ascii="Arial Narrow" w:hAnsi="Arial Narrow"/>
                <w:b/>
                <w:sz w:val="20"/>
                <w:lang w:eastAsia="en-AU"/>
              </w:rPr>
            </w:pPr>
            <w:r w:rsidRPr="005F039C">
              <w:rPr>
                <w:rFonts w:ascii="Arial Narrow" w:hAnsi="Arial Narrow"/>
                <w:b/>
                <w:sz w:val="20"/>
                <w:lang w:eastAsia="en-AU"/>
              </w:rPr>
              <w:t>November 2014</w:t>
            </w:r>
          </w:p>
        </w:tc>
      </w:tr>
      <w:tr w:rsidR="00BE5E55" w:rsidRPr="005F039C" w:rsidTr="00E1593D">
        <w:tc>
          <w:tcPr>
            <w:tcW w:w="2410" w:type="dxa"/>
          </w:tcPr>
          <w:p w:rsidR="00BE5E55" w:rsidRPr="005F039C" w:rsidRDefault="00BE5E55" w:rsidP="007C7152">
            <w:pPr>
              <w:jc w:val="left"/>
              <w:rPr>
                <w:rFonts w:ascii="Arial Narrow" w:hAnsi="Arial Narrow"/>
                <w:sz w:val="20"/>
                <w:lang w:eastAsia="en-AU"/>
              </w:rPr>
            </w:pPr>
            <w:r w:rsidRPr="005F039C">
              <w:rPr>
                <w:rFonts w:ascii="Arial Narrow" w:hAnsi="Arial Narrow"/>
                <w:sz w:val="20"/>
                <w:lang w:eastAsia="en-AU"/>
              </w:rPr>
              <w:t>Effective price</w:t>
            </w:r>
          </w:p>
        </w:tc>
        <w:tc>
          <w:tcPr>
            <w:tcW w:w="1701" w:type="dxa"/>
          </w:tcPr>
          <w:p w:rsidR="00BE5E55" w:rsidRPr="00827EDF" w:rsidRDefault="00827EDF" w:rsidP="00006E09">
            <w:pPr>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2551" w:type="dxa"/>
          </w:tcPr>
          <w:p w:rsidR="00BE5E55" w:rsidRPr="00827EDF" w:rsidRDefault="00827EDF" w:rsidP="00006E09">
            <w:pPr>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701" w:type="dxa"/>
          </w:tcPr>
          <w:p w:rsidR="00BE5E55" w:rsidRPr="00827EDF" w:rsidRDefault="00827EDF" w:rsidP="00006E09">
            <w:pPr>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r>
      <w:tr w:rsidR="00BE5E55" w:rsidRPr="005F039C" w:rsidTr="00E1593D">
        <w:tc>
          <w:tcPr>
            <w:tcW w:w="2410" w:type="dxa"/>
          </w:tcPr>
          <w:p w:rsidR="00BE5E55" w:rsidRPr="005F039C" w:rsidRDefault="00BE5E55" w:rsidP="007C7152">
            <w:pPr>
              <w:jc w:val="left"/>
              <w:rPr>
                <w:rFonts w:ascii="Arial Narrow" w:hAnsi="Arial Narrow"/>
                <w:sz w:val="20"/>
                <w:lang w:eastAsia="en-AU"/>
              </w:rPr>
            </w:pPr>
            <w:r w:rsidRPr="005F039C">
              <w:rPr>
                <w:rFonts w:ascii="Arial Narrow" w:hAnsi="Arial Narrow"/>
                <w:sz w:val="20"/>
                <w:lang w:eastAsia="en-AU"/>
              </w:rPr>
              <w:t>Cost of OCT</w:t>
            </w:r>
          </w:p>
        </w:tc>
        <w:tc>
          <w:tcPr>
            <w:tcW w:w="1701" w:type="dxa"/>
          </w:tcPr>
          <w:p w:rsidR="00BE5E55" w:rsidRPr="005F039C" w:rsidRDefault="00BE5E55" w:rsidP="00006E09">
            <w:pPr>
              <w:jc w:val="center"/>
              <w:rPr>
                <w:rFonts w:ascii="Arial Narrow" w:hAnsi="Arial Narrow"/>
                <w:sz w:val="20"/>
                <w:lang w:eastAsia="en-AU"/>
              </w:rPr>
            </w:pPr>
            <w:r w:rsidRPr="00FB007B">
              <w:rPr>
                <w:rFonts w:ascii="Arial Narrow" w:hAnsi="Arial Narrow"/>
                <w:sz w:val="20"/>
                <w:lang w:eastAsia="en-AU"/>
              </w:rPr>
              <w:t>$250</w:t>
            </w:r>
          </w:p>
        </w:tc>
        <w:tc>
          <w:tcPr>
            <w:tcW w:w="2551" w:type="dxa"/>
          </w:tcPr>
          <w:p w:rsidR="00BE5E55" w:rsidRPr="005F039C" w:rsidRDefault="00BE5E55" w:rsidP="004C7A2E">
            <w:pPr>
              <w:rPr>
                <w:rFonts w:ascii="Arial Narrow" w:hAnsi="Arial Narrow"/>
                <w:sz w:val="20"/>
                <w:lang w:eastAsia="en-AU"/>
              </w:rPr>
            </w:pPr>
            <w:r w:rsidRPr="00FB007B">
              <w:rPr>
                <w:rFonts w:ascii="Arial Narrow" w:hAnsi="Arial Narrow"/>
                <w:sz w:val="20"/>
                <w:lang w:eastAsia="en-AU"/>
              </w:rPr>
              <w:t>$91.75. Separate base cases including and excluding OCT costs from the BSC model arm</w:t>
            </w:r>
            <w:r w:rsidRPr="005F039C">
              <w:rPr>
                <w:rFonts w:ascii="Arial Narrow" w:hAnsi="Arial Narrow"/>
                <w:sz w:val="20"/>
                <w:lang w:eastAsia="en-AU"/>
              </w:rPr>
              <w:t>.</w:t>
            </w:r>
          </w:p>
        </w:tc>
        <w:tc>
          <w:tcPr>
            <w:tcW w:w="1701" w:type="dxa"/>
          </w:tcPr>
          <w:p w:rsidR="00BE5E55" w:rsidRPr="005F039C" w:rsidRDefault="00BE5E55" w:rsidP="00E1593D">
            <w:pPr>
              <w:jc w:val="center"/>
              <w:rPr>
                <w:rFonts w:ascii="Arial Narrow" w:hAnsi="Arial Narrow"/>
                <w:sz w:val="20"/>
                <w:vertAlign w:val="superscript"/>
                <w:lang w:eastAsia="en-AU"/>
              </w:rPr>
            </w:pPr>
            <w:r w:rsidRPr="00FB007B">
              <w:rPr>
                <w:rFonts w:ascii="Arial Narrow" w:hAnsi="Arial Narrow"/>
                <w:sz w:val="20"/>
                <w:lang w:eastAsia="en-AU"/>
              </w:rPr>
              <w:t>$91.75</w:t>
            </w:r>
          </w:p>
        </w:tc>
      </w:tr>
      <w:tr w:rsidR="00BE5E55" w:rsidRPr="005F039C" w:rsidTr="00E1593D">
        <w:tc>
          <w:tcPr>
            <w:tcW w:w="2410" w:type="dxa"/>
          </w:tcPr>
          <w:p w:rsidR="00BE5E55" w:rsidRPr="005F039C" w:rsidRDefault="00BE5E55" w:rsidP="007C7152">
            <w:pPr>
              <w:jc w:val="left"/>
              <w:rPr>
                <w:rFonts w:ascii="Arial Narrow" w:hAnsi="Arial Narrow"/>
                <w:sz w:val="20"/>
                <w:lang w:eastAsia="en-AU"/>
              </w:rPr>
            </w:pPr>
            <w:r w:rsidRPr="005F039C">
              <w:rPr>
                <w:rFonts w:ascii="Arial Narrow" w:hAnsi="Arial Narrow"/>
                <w:sz w:val="20"/>
                <w:lang w:eastAsia="en-AU"/>
              </w:rPr>
              <w:t>Number of loading doses</w:t>
            </w:r>
          </w:p>
        </w:tc>
        <w:tc>
          <w:tcPr>
            <w:tcW w:w="1701" w:type="dxa"/>
          </w:tcPr>
          <w:p w:rsidR="00BE5E55" w:rsidRPr="005F039C" w:rsidRDefault="00BE5E55" w:rsidP="00006E09">
            <w:pPr>
              <w:jc w:val="center"/>
              <w:rPr>
                <w:rFonts w:ascii="Arial Narrow" w:hAnsi="Arial Narrow"/>
                <w:sz w:val="20"/>
                <w:lang w:eastAsia="en-AU"/>
              </w:rPr>
            </w:pPr>
            <w:r w:rsidRPr="00FB007B">
              <w:rPr>
                <w:rFonts w:ascii="Arial Narrow" w:hAnsi="Arial Narrow"/>
                <w:sz w:val="20"/>
                <w:lang w:eastAsia="en-AU"/>
              </w:rPr>
              <w:t>6</w:t>
            </w:r>
          </w:p>
        </w:tc>
        <w:tc>
          <w:tcPr>
            <w:tcW w:w="2551" w:type="dxa"/>
          </w:tcPr>
          <w:p w:rsidR="00BE5E55" w:rsidRPr="005F039C" w:rsidRDefault="00BE5E55" w:rsidP="00006E09">
            <w:pPr>
              <w:jc w:val="center"/>
              <w:rPr>
                <w:rFonts w:ascii="Arial Narrow" w:hAnsi="Arial Narrow"/>
                <w:sz w:val="20"/>
                <w:lang w:eastAsia="en-AU"/>
              </w:rPr>
            </w:pPr>
            <w:r w:rsidRPr="00FB007B">
              <w:rPr>
                <w:rFonts w:ascii="Arial Narrow" w:hAnsi="Arial Narrow"/>
                <w:sz w:val="20"/>
                <w:lang w:eastAsia="en-AU"/>
              </w:rPr>
              <w:t>6</w:t>
            </w:r>
          </w:p>
        </w:tc>
        <w:tc>
          <w:tcPr>
            <w:tcW w:w="1701" w:type="dxa"/>
          </w:tcPr>
          <w:p w:rsidR="00BE5E55" w:rsidRPr="005F039C" w:rsidRDefault="00BE5E55" w:rsidP="00006E09">
            <w:pPr>
              <w:jc w:val="center"/>
              <w:rPr>
                <w:rFonts w:ascii="Arial Narrow" w:hAnsi="Arial Narrow"/>
                <w:sz w:val="20"/>
                <w:lang w:eastAsia="en-AU"/>
              </w:rPr>
            </w:pPr>
            <w:r w:rsidRPr="00FB007B">
              <w:rPr>
                <w:rFonts w:ascii="Arial Narrow" w:hAnsi="Arial Narrow"/>
                <w:sz w:val="20"/>
                <w:lang w:eastAsia="en-AU"/>
              </w:rPr>
              <w:t>3</w:t>
            </w:r>
          </w:p>
        </w:tc>
      </w:tr>
      <w:tr w:rsidR="00BE5E55" w:rsidRPr="005F039C" w:rsidTr="00E1593D">
        <w:tc>
          <w:tcPr>
            <w:tcW w:w="2410" w:type="dxa"/>
          </w:tcPr>
          <w:p w:rsidR="00BE5E55" w:rsidRPr="005F039C" w:rsidRDefault="00BE5E55" w:rsidP="007C7152">
            <w:pPr>
              <w:jc w:val="left"/>
              <w:rPr>
                <w:rFonts w:ascii="Arial Narrow" w:hAnsi="Arial Narrow"/>
                <w:sz w:val="20"/>
                <w:lang w:eastAsia="en-AU"/>
              </w:rPr>
            </w:pPr>
            <w:r w:rsidRPr="005F039C">
              <w:rPr>
                <w:rFonts w:ascii="Arial Narrow" w:hAnsi="Arial Narrow"/>
                <w:sz w:val="20"/>
                <w:lang w:eastAsia="en-AU"/>
              </w:rPr>
              <w:t>Mortality risk of unilateral blindness</w:t>
            </w:r>
          </w:p>
        </w:tc>
        <w:tc>
          <w:tcPr>
            <w:tcW w:w="1701" w:type="dxa"/>
          </w:tcPr>
          <w:p w:rsidR="00BE5E55" w:rsidRPr="005F039C" w:rsidRDefault="00BE5E55" w:rsidP="00006E09">
            <w:pPr>
              <w:jc w:val="center"/>
              <w:rPr>
                <w:rFonts w:ascii="Arial Narrow" w:hAnsi="Arial Narrow"/>
                <w:sz w:val="20"/>
                <w:lang w:eastAsia="en-AU"/>
              </w:rPr>
            </w:pPr>
            <w:r w:rsidRPr="00FB007B">
              <w:rPr>
                <w:rFonts w:ascii="Arial Narrow" w:hAnsi="Arial Narrow"/>
                <w:sz w:val="20"/>
                <w:lang w:eastAsia="en-AU"/>
              </w:rPr>
              <w:t>HR = 1.23</w:t>
            </w:r>
          </w:p>
        </w:tc>
        <w:tc>
          <w:tcPr>
            <w:tcW w:w="2551" w:type="dxa"/>
          </w:tcPr>
          <w:p w:rsidR="00BE5E55" w:rsidRPr="005F039C" w:rsidRDefault="00BE5E55" w:rsidP="00006E09">
            <w:pPr>
              <w:jc w:val="center"/>
              <w:rPr>
                <w:rFonts w:ascii="Arial Narrow" w:hAnsi="Arial Narrow"/>
                <w:sz w:val="20"/>
                <w:lang w:eastAsia="en-AU"/>
              </w:rPr>
            </w:pPr>
            <w:r w:rsidRPr="00FB007B">
              <w:rPr>
                <w:rFonts w:ascii="Arial Narrow" w:hAnsi="Arial Narrow"/>
                <w:sz w:val="20"/>
                <w:lang w:eastAsia="en-AU"/>
              </w:rPr>
              <w:t>HR = 1.13</w:t>
            </w:r>
          </w:p>
        </w:tc>
        <w:tc>
          <w:tcPr>
            <w:tcW w:w="1701" w:type="dxa"/>
          </w:tcPr>
          <w:p w:rsidR="00BE5E55" w:rsidRPr="005F039C" w:rsidRDefault="00BE5E55" w:rsidP="00006E09">
            <w:pPr>
              <w:jc w:val="center"/>
              <w:rPr>
                <w:rFonts w:ascii="Arial Narrow" w:hAnsi="Arial Narrow"/>
                <w:sz w:val="20"/>
                <w:lang w:eastAsia="en-AU"/>
              </w:rPr>
            </w:pPr>
            <w:r w:rsidRPr="00FB007B">
              <w:rPr>
                <w:rFonts w:ascii="Arial Narrow" w:hAnsi="Arial Narrow"/>
                <w:sz w:val="20"/>
                <w:lang w:eastAsia="en-AU"/>
              </w:rPr>
              <w:t>HR = 1.13</w:t>
            </w:r>
          </w:p>
        </w:tc>
      </w:tr>
      <w:tr w:rsidR="00BE5E55" w:rsidRPr="005F039C" w:rsidTr="00E1593D">
        <w:tc>
          <w:tcPr>
            <w:tcW w:w="2410" w:type="dxa"/>
          </w:tcPr>
          <w:p w:rsidR="00BE5E55" w:rsidRPr="005F039C" w:rsidRDefault="00E1593D" w:rsidP="00E1593D">
            <w:pPr>
              <w:jc w:val="left"/>
              <w:rPr>
                <w:rFonts w:ascii="Arial Narrow" w:hAnsi="Arial Narrow"/>
                <w:sz w:val="20"/>
                <w:lang w:eastAsia="en-AU"/>
              </w:rPr>
            </w:pPr>
            <w:r w:rsidRPr="005F039C">
              <w:rPr>
                <w:rFonts w:ascii="Arial Narrow" w:hAnsi="Arial Narrow"/>
                <w:sz w:val="20"/>
                <w:lang w:eastAsia="en-AU"/>
              </w:rPr>
              <w:t>Risk of d</w:t>
            </w:r>
            <w:r w:rsidR="00BE5E55" w:rsidRPr="005F039C">
              <w:rPr>
                <w:rFonts w:ascii="Arial Narrow" w:hAnsi="Arial Narrow"/>
                <w:sz w:val="20"/>
                <w:lang w:eastAsia="en-AU"/>
              </w:rPr>
              <w:t>isease recurrence</w:t>
            </w:r>
          </w:p>
        </w:tc>
        <w:tc>
          <w:tcPr>
            <w:tcW w:w="1701" w:type="dxa"/>
          </w:tcPr>
          <w:p w:rsidR="00BE5E55" w:rsidRPr="005F039C" w:rsidRDefault="00BE5E55" w:rsidP="00E1593D">
            <w:pPr>
              <w:jc w:val="center"/>
              <w:rPr>
                <w:rFonts w:ascii="Arial Narrow" w:hAnsi="Arial Narrow"/>
                <w:sz w:val="20"/>
                <w:lang w:eastAsia="en-AU"/>
              </w:rPr>
            </w:pPr>
            <w:r w:rsidRPr="00FB007B">
              <w:rPr>
                <w:rFonts w:ascii="Arial Narrow" w:hAnsi="Arial Narrow"/>
                <w:sz w:val="20"/>
                <w:lang w:eastAsia="en-AU"/>
              </w:rPr>
              <w:t>0</w:t>
            </w:r>
          </w:p>
        </w:tc>
        <w:tc>
          <w:tcPr>
            <w:tcW w:w="2551" w:type="dxa"/>
          </w:tcPr>
          <w:p w:rsidR="00BE5E55" w:rsidRPr="005F039C" w:rsidRDefault="00BE5E55" w:rsidP="00E1593D">
            <w:pPr>
              <w:jc w:val="center"/>
              <w:rPr>
                <w:rFonts w:ascii="Arial Narrow" w:hAnsi="Arial Narrow"/>
                <w:sz w:val="20"/>
                <w:lang w:eastAsia="en-AU"/>
              </w:rPr>
            </w:pPr>
            <w:r w:rsidRPr="00FB007B">
              <w:rPr>
                <w:rFonts w:ascii="Arial Narrow" w:hAnsi="Arial Narrow"/>
                <w:sz w:val="20"/>
                <w:lang w:eastAsia="en-AU"/>
              </w:rPr>
              <w:t>0</w:t>
            </w:r>
          </w:p>
        </w:tc>
        <w:tc>
          <w:tcPr>
            <w:tcW w:w="1701" w:type="dxa"/>
          </w:tcPr>
          <w:p w:rsidR="00BE5E55" w:rsidRPr="005F039C" w:rsidRDefault="00BE5E55" w:rsidP="004C7A2E">
            <w:pPr>
              <w:rPr>
                <w:rFonts w:ascii="Arial Narrow" w:hAnsi="Arial Narrow"/>
                <w:sz w:val="20"/>
                <w:lang w:eastAsia="en-AU"/>
              </w:rPr>
            </w:pPr>
            <w:r w:rsidRPr="00FB007B">
              <w:rPr>
                <w:rFonts w:ascii="Arial Narrow" w:hAnsi="Arial Narrow"/>
                <w:sz w:val="20"/>
                <w:lang w:eastAsia="en-AU"/>
              </w:rPr>
              <w:t>0.025 every 4 years</w:t>
            </w:r>
          </w:p>
        </w:tc>
      </w:tr>
      <w:tr w:rsidR="00BE5E55" w:rsidRPr="005F039C" w:rsidTr="00E1593D">
        <w:tc>
          <w:tcPr>
            <w:tcW w:w="2410" w:type="dxa"/>
          </w:tcPr>
          <w:p w:rsidR="00BE5E55" w:rsidRPr="005F039C" w:rsidRDefault="00BE5E55" w:rsidP="007C7152">
            <w:pPr>
              <w:jc w:val="left"/>
              <w:rPr>
                <w:rFonts w:ascii="Arial Narrow" w:hAnsi="Arial Narrow"/>
                <w:sz w:val="20"/>
                <w:lang w:eastAsia="en-AU"/>
              </w:rPr>
            </w:pPr>
            <w:r w:rsidRPr="005F039C">
              <w:rPr>
                <w:rFonts w:ascii="Arial Narrow" w:hAnsi="Arial Narrow"/>
                <w:sz w:val="20"/>
                <w:lang w:eastAsia="en-AU"/>
              </w:rPr>
              <w:t>Age of onset (model duration)</w:t>
            </w:r>
          </w:p>
        </w:tc>
        <w:tc>
          <w:tcPr>
            <w:tcW w:w="1701" w:type="dxa"/>
          </w:tcPr>
          <w:p w:rsidR="00BE5E55" w:rsidRPr="005F039C" w:rsidRDefault="00BE5E55" w:rsidP="00E1593D">
            <w:pPr>
              <w:jc w:val="center"/>
              <w:rPr>
                <w:rFonts w:ascii="Arial Narrow" w:hAnsi="Arial Narrow"/>
                <w:sz w:val="20"/>
                <w:lang w:eastAsia="en-AU"/>
              </w:rPr>
            </w:pPr>
            <w:r w:rsidRPr="00FB007B">
              <w:rPr>
                <w:rFonts w:ascii="Arial Narrow" w:hAnsi="Arial Narrow"/>
                <w:sz w:val="20"/>
                <w:lang w:eastAsia="en-AU"/>
              </w:rPr>
              <w:t>64 years (36 years)</w:t>
            </w:r>
          </w:p>
        </w:tc>
        <w:tc>
          <w:tcPr>
            <w:tcW w:w="2551" w:type="dxa"/>
          </w:tcPr>
          <w:p w:rsidR="00BE5E55" w:rsidRPr="005F039C" w:rsidRDefault="00BE5E55" w:rsidP="00E1593D">
            <w:pPr>
              <w:jc w:val="center"/>
              <w:rPr>
                <w:rFonts w:ascii="Arial Narrow" w:hAnsi="Arial Narrow"/>
                <w:sz w:val="20"/>
                <w:lang w:eastAsia="en-AU"/>
              </w:rPr>
            </w:pPr>
            <w:r w:rsidRPr="00FB007B">
              <w:rPr>
                <w:rFonts w:ascii="Arial Narrow" w:hAnsi="Arial Narrow"/>
                <w:sz w:val="20"/>
                <w:lang w:eastAsia="en-AU"/>
              </w:rPr>
              <w:t>72 years (28 years)</w:t>
            </w:r>
          </w:p>
        </w:tc>
        <w:tc>
          <w:tcPr>
            <w:tcW w:w="1701" w:type="dxa"/>
          </w:tcPr>
          <w:p w:rsidR="00BE5E55" w:rsidRPr="005F039C" w:rsidRDefault="00BE5E55" w:rsidP="004C7A2E">
            <w:pPr>
              <w:rPr>
                <w:rFonts w:ascii="Arial Narrow" w:hAnsi="Arial Narrow"/>
                <w:sz w:val="20"/>
                <w:lang w:eastAsia="en-AU"/>
              </w:rPr>
            </w:pPr>
            <w:r w:rsidRPr="00FB007B">
              <w:rPr>
                <w:rFonts w:ascii="Arial Narrow" w:hAnsi="Arial Narrow"/>
                <w:sz w:val="20"/>
                <w:lang w:eastAsia="en-AU"/>
              </w:rPr>
              <w:t>72 years (15 years)</w:t>
            </w:r>
          </w:p>
        </w:tc>
      </w:tr>
    </w:tbl>
    <w:p w:rsidR="00196FF7" w:rsidRPr="005F039C" w:rsidRDefault="00196FF7" w:rsidP="00E1593D">
      <w:pPr>
        <w:ind w:left="709"/>
        <w:rPr>
          <w:rFonts w:ascii="Arial Narrow" w:hAnsi="Arial Narrow"/>
          <w:sz w:val="18"/>
          <w:szCs w:val="18"/>
        </w:rPr>
      </w:pPr>
      <w:r w:rsidRPr="005F039C">
        <w:rPr>
          <w:rFonts w:ascii="Arial Narrow" w:hAnsi="Arial Narrow"/>
          <w:sz w:val="18"/>
          <w:szCs w:val="18"/>
        </w:rPr>
        <w:t>BSC= best supportive care; HR= hazard ratio; OCT= optical coherence tomography</w:t>
      </w:r>
    </w:p>
    <w:p w:rsidR="00196FF7" w:rsidRPr="005F039C" w:rsidRDefault="00196FF7" w:rsidP="00196FF7">
      <w:pPr>
        <w:ind w:firstLine="720"/>
        <w:rPr>
          <w:rFonts w:ascii="Arial Narrow" w:hAnsi="Arial Narrow"/>
          <w:sz w:val="18"/>
          <w:szCs w:val="18"/>
        </w:rPr>
      </w:pPr>
      <w:r w:rsidRPr="005F039C">
        <w:rPr>
          <w:rFonts w:ascii="Arial Narrow" w:hAnsi="Arial Narrow"/>
          <w:sz w:val="18"/>
          <w:szCs w:val="18"/>
        </w:rPr>
        <w:t>Source: Compiled during the evaluation</w:t>
      </w:r>
    </w:p>
    <w:p w:rsidR="00196FF7" w:rsidRPr="005F039C" w:rsidRDefault="00196FF7" w:rsidP="00196FF7">
      <w:pPr>
        <w:rPr>
          <w:rStyle w:val="CommentReference"/>
          <w:rFonts w:ascii="Arial" w:hAnsi="Arial"/>
          <w:b w:val="0"/>
          <w:sz w:val="22"/>
          <w:szCs w:val="22"/>
        </w:rPr>
      </w:pPr>
    </w:p>
    <w:p w:rsidR="00607D0A" w:rsidRPr="005F039C" w:rsidRDefault="00607D0A" w:rsidP="00607D0A">
      <w:pPr>
        <w:ind w:firstLine="720"/>
        <w:rPr>
          <w:rStyle w:val="CommentReference"/>
        </w:rPr>
      </w:pPr>
      <w:r w:rsidRPr="005F039C">
        <w:rPr>
          <w:rStyle w:val="CommentReference"/>
        </w:rPr>
        <w:t>Summary of model structure and rationale</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00"/>
        <w:gridCol w:w="6374"/>
      </w:tblGrid>
      <w:tr w:rsidR="00607D0A" w:rsidRPr="005F039C">
        <w:trPr>
          <w:tblHeader/>
        </w:trPr>
        <w:tc>
          <w:tcPr>
            <w:tcW w:w="1194" w:type="pct"/>
            <w:shd w:val="clear" w:color="auto" w:fill="auto"/>
          </w:tcPr>
          <w:p w:rsidR="00607D0A" w:rsidRPr="005F039C" w:rsidRDefault="00607D0A" w:rsidP="00607D0A">
            <w:pPr>
              <w:keepNext/>
              <w:rPr>
                <w:rFonts w:ascii="Arial Narrow" w:hAnsi="Arial Narrow"/>
                <w:b/>
                <w:sz w:val="20"/>
              </w:rPr>
            </w:pPr>
            <w:r w:rsidRPr="005F039C">
              <w:rPr>
                <w:rFonts w:ascii="Arial Narrow" w:hAnsi="Arial Narrow"/>
                <w:b/>
                <w:sz w:val="20"/>
              </w:rPr>
              <w:t>Component</w:t>
            </w:r>
          </w:p>
        </w:tc>
        <w:tc>
          <w:tcPr>
            <w:tcW w:w="3806" w:type="pct"/>
            <w:shd w:val="clear" w:color="auto" w:fill="auto"/>
          </w:tcPr>
          <w:p w:rsidR="00607D0A" w:rsidRPr="005F039C" w:rsidRDefault="00607D0A" w:rsidP="00607D0A">
            <w:pPr>
              <w:keepNext/>
              <w:jc w:val="center"/>
              <w:rPr>
                <w:rFonts w:ascii="Arial Narrow" w:hAnsi="Arial Narrow"/>
                <w:b/>
                <w:sz w:val="20"/>
              </w:rPr>
            </w:pPr>
            <w:r w:rsidRPr="005F039C">
              <w:rPr>
                <w:rFonts w:ascii="Arial Narrow" w:hAnsi="Arial Narrow"/>
                <w:b/>
                <w:sz w:val="20"/>
              </w:rPr>
              <w:t>Summary</w:t>
            </w:r>
          </w:p>
        </w:tc>
      </w:tr>
      <w:tr w:rsidR="00607D0A" w:rsidRPr="005F039C">
        <w:tc>
          <w:tcPr>
            <w:tcW w:w="1194" w:type="pct"/>
            <w:shd w:val="clear" w:color="auto" w:fill="auto"/>
          </w:tcPr>
          <w:p w:rsidR="00607D0A" w:rsidRPr="005F039C" w:rsidRDefault="00607D0A" w:rsidP="00607D0A">
            <w:pPr>
              <w:jc w:val="left"/>
              <w:rPr>
                <w:rFonts w:ascii="Arial Narrow" w:hAnsi="Arial Narrow"/>
                <w:sz w:val="20"/>
              </w:rPr>
            </w:pPr>
            <w:r w:rsidRPr="005F039C">
              <w:rPr>
                <w:rFonts w:ascii="Arial Narrow" w:hAnsi="Arial Narrow"/>
                <w:sz w:val="20"/>
              </w:rPr>
              <w:t>Time horizon</w:t>
            </w:r>
          </w:p>
        </w:tc>
        <w:tc>
          <w:tcPr>
            <w:tcW w:w="3806" w:type="pct"/>
            <w:shd w:val="clear" w:color="auto" w:fill="auto"/>
          </w:tcPr>
          <w:p w:rsidR="00607D0A" w:rsidRPr="005F039C" w:rsidRDefault="00607D0A" w:rsidP="00607D0A">
            <w:pPr>
              <w:rPr>
                <w:rFonts w:ascii="Arial Narrow" w:hAnsi="Arial Narrow"/>
                <w:sz w:val="20"/>
              </w:rPr>
            </w:pPr>
            <w:r w:rsidRPr="005F039C">
              <w:rPr>
                <w:rFonts w:ascii="Arial Narrow" w:hAnsi="Arial Narrow"/>
                <w:sz w:val="20"/>
              </w:rPr>
              <w:t>15 years in the model base case versus 52 weeks in the trial</w:t>
            </w:r>
          </w:p>
        </w:tc>
      </w:tr>
      <w:tr w:rsidR="00607D0A" w:rsidRPr="005F039C">
        <w:tc>
          <w:tcPr>
            <w:tcW w:w="1194" w:type="pct"/>
            <w:shd w:val="clear" w:color="auto" w:fill="auto"/>
          </w:tcPr>
          <w:p w:rsidR="00607D0A" w:rsidRPr="005F039C" w:rsidRDefault="00607D0A" w:rsidP="00607D0A">
            <w:pPr>
              <w:jc w:val="left"/>
              <w:rPr>
                <w:rFonts w:ascii="Arial Narrow" w:hAnsi="Arial Narrow"/>
                <w:sz w:val="20"/>
              </w:rPr>
            </w:pPr>
            <w:r w:rsidRPr="005F039C">
              <w:rPr>
                <w:rFonts w:ascii="Arial Narrow" w:hAnsi="Arial Narrow"/>
                <w:sz w:val="20"/>
              </w:rPr>
              <w:t>Outcomes</w:t>
            </w:r>
          </w:p>
        </w:tc>
        <w:tc>
          <w:tcPr>
            <w:tcW w:w="3806" w:type="pct"/>
            <w:shd w:val="clear" w:color="auto" w:fill="auto"/>
          </w:tcPr>
          <w:p w:rsidR="00607D0A" w:rsidRPr="005F039C" w:rsidRDefault="00607D0A" w:rsidP="00607D0A">
            <w:pPr>
              <w:rPr>
                <w:rFonts w:ascii="Arial Narrow" w:hAnsi="Arial Narrow"/>
                <w:sz w:val="20"/>
              </w:rPr>
            </w:pPr>
            <w:r w:rsidRPr="005F039C">
              <w:rPr>
                <w:rFonts w:ascii="Arial Narrow" w:hAnsi="Arial Narrow"/>
                <w:sz w:val="20"/>
              </w:rPr>
              <w:t>Patient with +15 letters gain from baseline; QALYs</w:t>
            </w:r>
          </w:p>
        </w:tc>
      </w:tr>
      <w:tr w:rsidR="00607D0A" w:rsidRPr="005F039C">
        <w:tc>
          <w:tcPr>
            <w:tcW w:w="1194" w:type="pct"/>
            <w:shd w:val="clear" w:color="auto" w:fill="auto"/>
          </w:tcPr>
          <w:p w:rsidR="00607D0A" w:rsidRPr="005F039C" w:rsidRDefault="00607D0A" w:rsidP="00607D0A">
            <w:pPr>
              <w:jc w:val="left"/>
              <w:rPr>
                <w:rFonts w:ascii="Arial Narrow" w:hAnsi="Arial Narrow"/>
                <w:sz w:val="20"/>
              </w:rPr>
            </w:pPr>
            <w:r w:rsidRPr="005F039C">
              <w:rPr>
                <w:rFonts w:ascii="Arial Narrow" w:hAnsi="Arial Narrow"/>
                <w:sz w:val="20"/>
              </w:rPr>
              <w:t>Methods used to generate results</w:t>
            </w:r>
          </w:p>
        </w:tc>
        <w:tc>
          <w:tcPr>
            <w:tcW w:w="3806" w:type="pct"/>
            <w:shd w:val="clear" w:color="auto" w:fill="auto"/>
          </w:tcPr>
          <w:p w:rsidR="00607D0A" w:rsidRPr="005F039C" w:rsidRDefault="00607D0A" w:rsidP="00607D0A">
            <w:pPr>
              <w:rPr>
                <w:rFonts w:ascii="Arial Narrow" w:hAnsi="Arial Narrow"/>
                <w:sz w:val="20"/>
              </w:rPr>
            </w:pPr>
            <w:r w:rsidRPr="005F039C">
              <w:rPr>
                <w:rFonts w:ascii="Arial Narrow" w:hAnsi="Arial Narrow"/>
                <w:sz w:val="20"/>
              </w:rPr>
              <w:t>Directly trial-based to week 52, then Markov modelled outcomes to life expectancy.</w:t>
            </w:r>
          </w:p>
        </w:tc>
      </w:tr>
      <w:tr w:rsidR="00607D0A" w:rsidRPr="005F039C">
        <w:tc>
          <w:tcPr>
            <w:tcW w:w="1194" w:type="pct"/>
            <w:shd w:val="clear" w:color="auto" w:fill="auto"/>
          </w:tcPr>
          <w:p w:rsidR="00607D0A" w:rsidRPr="005F039C" w:rsidRDefault="00607D0A" w:rsidP="00607D0A">
            <w:pPr>
              <w:jc w:val="left"/>
              <w:rPr>
                <w:rFonts w:ascii="Arial Narrow" w:hAnsi="Arial Narrow"/>
                <w:sz w:val="20"/>
              </w:rPr>
            </w:pPr>
            <w:r w:rsidRPr="005F039C">
              <w:rPr>
                <w:rFonts w:ascii="Arial Narrow" w:hAnsi="Arial Narrow"/>
                <w:sz w:val="20"/>
              </w:rPr>
              <w:t>Health states</w:t>
            </w:r>
          </w:p>
        </w:tc>
        <w:tc>
          <w:tcPr>
            <w:tcW w:w="3806" w:type="pct"/>
            <w:shd w:val="clear" w:color="auto" w:fill="auto"/>
          </w:tcPr>
          <w:p w:rsidR="00607D0A" w:rsidRPr="005F039C" w:rsidRDefault="00607D0A" w:rsidP="00607D0A">
            <w:pPr>
              <w:rPr>
                <w:rFonts w:ascii="Arial Narrow" w:hAnsi="Arial Narrow"/>
                <w:sz w:val="20"/>
              </w:rPr>
            </w:pPr>
            <w:r w:rsidRPr="005F039C">
              <w:rPr>
                <w:rFonts w:ascii="Arial Narrow" w:hAnsi="Arial Narrow"/>
                <w:sz w:val="20"/>
              </w:rPr>
              <w:t>5 health states defined by the visual acuity of the CRVO affected eye of patients treated with aflibercept, patients on BSC, and patients whose macular oedema has resolved, plus the absorbing health state death for a total of 16 health states.</w:t>
            </w:r>
          </w:p>
        </w:tc>
      </w:tr>
      <w:tr w:rsidR="00607D0A" w:rsidRPr="005F039C">
        <w:tc>
          <w:tcPr>
            <w:tcW w:w="1194" w:type="pct"/>
            <w:shd w:val="clear" w:color="auto" w:fill="auto"/>
          </w:tcPr>
          <w:p w:rsidR="00607D0A" w:rsidRPr="005F039C" w:rsidRDefault="00607D0A" w:rsidP="00607D0A">
            <w:pPr>
              <w:jc w:val="left"/>
              <w:rPr>
                <w:rFonts w:ascii="Arial Narrow" w:hAnsi="Arial Narrow"/>
                <w:sz w:val="20"/>
              </w:rPr>
            </w:pPr>
            <w:r w:rsidRPr="005F039C">
              <w:rPr>
                <w:rFonts w:ascii="Arial Narrow" w:hAnsi="Arial Narrow"/>
                <w:sz w:val="20"/>
              </w:rPr>
              <w:t>Utilities</w:t>
            </w:r>
          </w:p>
        </w:tc>
        <w:tc>
          <w:tcPr>
            <w:tcW w:w="3806" w:type="pct"/>
            <w:shd w:val="clear" w:color="auto" w:fill="auto"/>
          </w:tcPr>
          <w:p w:rsidR="00607D0A" w:rsidRPr="005F039C" w:rsidRDefault="00607D0A" w:rsidP="00607D0A">
            <w:pPr>
              <w:rPr>
                <w:rFonts w:ascii="Arial Narrow" w:hAnsi="Arial Narrow"/>
                <w:sz w:val="20"/>
              </w:rPr>
            </w:pPr>
            <w:r w:rsidRPr="005F039C">
              <w:rPr>
                <w:rFonts w:ascii="Arial Narrow" w:hAnsi="Arial Narrow"/>
                <w:sz w:val="20"/>
              </w:rPr>
              <w:t>Trial-based (GALILEO) EQ-5D values pooled at baseline, 24 and 52 weeks, with linear interpolation used to account for differences in health state 4.</w:t>
            </w:r>
          </w:p>
        </w:tc>
      </w:tr>
      <w:tr w:rsidR="00607D0A" w:rsidRPr="005F039C">
        <w:tc>
          <w:tcPr>
            <w:tcW w:w="1194" w:type="pct"/>
            <w:shd w:val="clear" w:color="auto" w:fill="auto"/>
          </w:tcPr>
          <w:p w:rsidR="00607D0A" w:rsidRPr="005F039C" w:rsidRDefault="00607D0A" w:rsidP="00607D0A">
            <w:pPr>
              <w:jc w:val="left"/>
              <w:rPr>
                <w:rFonts w:ascii="Arial Narrow" w:hAnsi="Arial Narrow"/>
                <w:sz w:val="20"/>
              </w:rPr>
            </w:pPr>
            <w:r w:rsidRPr="005F039C">
              <w:rPr>
                <w:rFonts w:ascii="Arial Narrow" w:hAnsi="Arial Narrow"/>
                <w:sz w:val="20"/>
              </w:rPr>
              <w:t>Cycle length</w:t>
            </w:r>
          </w:p>
        </w:tc>
        <w:tc>
          <w:tcPr>
            <w:tcW w:w="3806" w:type="pct"/>
            <w:shd w:val="clear" w:color="auto" w:fill="auto"/>
          </w:tcPr>
          <w:p w:rsidR="00607D0A" w:rsidRPr="005F039C" w:rsidRDefault="00607D0A" w:rsidP="00607D0A">
            <w:pPr>
              <w:rPr>
                <w:rFonts w:ascii="Arial Narrow" w:hAnsi="Arial Narrow"/>
                <w:sz w:val="20"/>
              </w:rPr>
            </w:pPr>
            <w:r w:rsidRPr="005F039C">
              <w:rPr>
                <w:rFonts w:ascii="Arial Narrow" w:hAnsi="Arial Narrow"/>
                <w:sz w:val="20"/>
              </w:rPr>
              <w:t>4 weeks</w:t>
            </w:r>
          </w:p>
        </w:tc>
      </w:tr>
      <w:tr w:rsidR="00607D0A" w:rsidRPr="005F039C">
        <w:tc>
          <w:tcPr>
            <w:tcW w:w="1194" w:type="pct"/>
            <w:shd w:val="clear" w:color="auto" w:fill="auto"/>
          </w:tcPr>
          <w:p w:rsidR="00607D0A" w:rsidRPr="005F039C" w:rsidRDefault="00607D0A" w:rsidP="00607D0A">
            <w:pPr>
              <w:jc w:val="left"/>
              <w:rPr>
                <w:rFonts w:ascii="Arial Narrow" w:hAnsi="Arial Narrow"/>
                <w:sz w:val="20"/>
              </w:rPr>
            </w:pPr>
            <w:r w:rsidRPr="005F039C">
              <w:rPr>
                <w:rFonts w:ascii="Arial Narrow" w:hAnsi="Arial Narrow"/>
                <w:sz w:val="20"/>
              </w:rPr>
              <w:t>Transition probabilities</w:t>
            </w:r>
          </w:p>
        </w:tc>
        <w:tc>
          <w:tcPr>
            <w:tcW w:w="3806" w:type="pct"/>
            <w:shd w:val="clear" w:color="auto" w:fill="auto"/>
          </w:tcPr>
          <w:p w:rsidR="00607D0A" w:rsidRPr="005F039C" w:rsidRDefault="00607D0A" w:rsidP="00607D0A">
            <w:pPr>
              <w:rPr>
                <w:rFonts w:ascii="Arial Narrow" w:hAnsi="Arial Narrow"/>
                <w:sz w:val="20"/>
              </w:rPr>
            </w:pPr>
            <w:r w:rsidRPr="005F039C">
              <w:rPr>
                <w:rFonts w:ascii="Arial Narrow" w:hAnsi="Arial Narrow"/>
                <w:sz w:val="20"/>
              </w:rPr>
              <w:t>Trial data to weeks 0-52, then transition matrices derived from Hayreh et al., (2011) for macular oedema resolution &gt;52 weeks, Klein et al (1991) for loss of VA due to age, and Christ et al (2008) for RR of mortality.</w:t>
            </w:r>
          </w:p>
        </w:tc>
      </w:tr>
    </w:tbl>
    <w:p w:rsidR="00607D0A" w:rsidRPr="005F039C" w:rsidRDefault="00607D0A" w:rsidP="00607D0A">
      <w:pPr>
        <w:pStyle w:val="TableFooter"/>
        <w:ind w:firstLine="720"/>
      </w:pPr>
      <w:r w:rsidRPr="005F039C">
        <w:t>Source: compiled during the evaluation</w:t>
      </w:r>
    </w:p>
    <w:p w:rsidR="00A071B2" w:rsidRPr="005F039C" w:rsidRDefault="00A071B2" w:rsidP="00A071B2">
      <w:pPr>
        <w:widowControl/>
        <w:rPr>
          <w:szCs w:val="22"/>
        </w:rPr>
      </w:pPr>
    </w:p>
    <w:p w:rsidR="009C6F6D" w:rsidRPr="005F039C" w:rsidRDefault="00A071B2" w:rsidP="00745891">
      <w:pPr>
        <w:pStyle w:val="ListParagraph"/>
        <w:widowControl/>
        <w:numPr>
          <w:ilvl w:val="1"/>
          <w:numId w:val="2"/>
        </w:numPr>
        <w:rPr>
          <w:szCs w:val="22"/>
        </w:rPr>
      </w:pPr>
      <w:r w:rsidRPr="005F039C">
        <w:rPr>
          <w:szCs w:val="22"/>
        </w:rPr>
        <w:t>The ESC noted that the model maintained the assumption that the treatment effect in recurrent CRVO is the same as the original episode, and that ‘sham treated patients achieve the same level of effectiveness in the recurrent episode.</w:t>
      </w:r>
      <w:r w:rsidR="009C6F6D" w:rsidRPr="005F039C">
        <w:rPr>
          <w:szCs w:val="22"/>
        </w:rPr>
        <w:t xml:space="preserve">’  The </w:t>
      </w:r>
      <w:r w:rsidR="00525231" w:rsidRPr="005F039C">
        <w:rPr>
          <w:szCs w:val="22"/>
        </w:rPr>
        <w:t>resubmission</w:t>
      </w:r>
      <w:r w:rsidR="009C6F6D" w:rsidRPr="005F039C">
        <w:rPr>
          <w:szCs w:val="22"/>
        </w:rPr>
        <w:t xml:space="preserve"> claimed </w:t>
      </w:r>
      <w:r w:rsidRPr="005F039C">
        <w:rPr>
          <w:szCs w:val="22"/>
        </w:rPr>
        <w:t>that this assumption is necessary due to lack of evidence on the effect of aflibercept on recurrent CRVO and a technical issue (lack of memory) in the Markov model).  The ESC noted that this assumption likely favours aflibercept, and the extent of this bias is not known.  But if the underlying approach and probability estimate are accepted, this assumption will have a minimal impact on the ICER</w:t>
      </w:r>
      <w:r w:rsidR="00E1593D" w:rsidRPr="005F039C">
        <w:rPr>
          <w:szCs w:val="22"/>
        </w:rPr>
        <w:t>.</w:t>
      </w:r>
    </w:p>
    <w:p w:rsidR="009C6F6D" w:rsidRPr="005F039C" w:rsidRDefault="009C6F6D" w:rsidP="009C6F6D">
      <w:pPr>
        <w:widowControl/>
        <w:rPr>
          <w:szCs w:val="22"/>
        </w:rPr>
      </w:pPr>
    </w:p>
    <w:p w:rsidR="00A071B2" w:rsidRPr="005F039C" w:rsidRDefault="009C6F6D" w:rsidP="00745891">
      <w:pPr>
        <w:pStyle w:val="ListParagraph"/>
        <w:widowControl/>
        <w:numPr>
          <w:ilvl w:val="1"/>
          <w:numId w:val="2"/>
        </w:numPr>
        <w:rPr>
          <w:szCs w:val="22"/>
        </w:rPr>
      </w:pPr>
      <w:r w:rsidRPr="005F039C">
        <w:rPr>
          <w:szCs w:val="22"/>
        </w:rPr>
        <w:t xml:space="preserve">The ESC also noted that in terms of model duration, </w:t>
      </w:r>
      <w:r w:rsidRPr="005F039C">
        <w:t xml:space="preserve">the model now incorporates recurrence of macular oedema due to RVO in the same eye, and that approximately </w:t>
      </w:r>
      <w:r w:rsidR="00827EDF">
        <w:rPr>
          <w:noProof/>
          <w:color w:val="000000"/>
          <w:highlight w:val="black"/>
        </w:rPr>
        <w:t xml:space="preserve">'''''''' </w:t>
      </w:r>
      <w:r w:rsidRPr="005F039C">
        <w:t xml:space="preserve">of patients will experience recurrence within the 15 year model duration. </w:t>
      </w:r>
      <w:r w:rsidR="00E1593D" w:rsidRPr="005F039C">
        <w:t xml:space="preserve"> </w:t>
      </w:r>
      <w:r w:rsidRPr="005F039C">
        <w:t xml:space="preserve">Modelling for RVO recurrence addresses part of the issue. </w:t>
      </w:r>
      <w:r w:rsidR="00E1593D" w:rsidRPr="005F039C">
        <w:t xml:space="preserve"> </w:t>
      </w:r>
      <w:r w:rsidRPr="005F039C">
        <w:t>After treatment is ceased, the revised model assumes that some patients (</w:t>
      </w:r>
      <w:r w:rsidR="00827EDF">
        <w:rPr>
          <w:noProof/>
          <w:color w:val="000000"/>
          <w:highlight w:val="black"/>
        </w:rPr>
        <w:t xml:space="preserve">'''''''' </w:t>
      </w:r>
      <w:r w:rsidRPr="005F039C">
        <w:t xml:space="preserve">over model duration) will have recurrence of RVO, and will be re-allocated to their original treatment (aflibercept or sham) and follow the original transition probabilities. </w:t>
      </w:r>
      <w:r w:rsidR="00E1593D" w:rsidRPr="005F039C">
        <w:t xml:space="preserve"> </w:t>
      </w:r>
      <w:r w:rsidRPr="005F039C">
        <w:t xml:space="preserve">Considering the small probability of recurrence, this has minimal impact on the ICER. </w:t>
      </w:r>
      <w:r w:rsidR="00E1593D" w:rsidRPr="005F039C">
        <w:t xml:space="preserve"> </w:t>
      </w:r>
      <w:r w:rsidRPr="005F039C">
        <w:t xml:space="preserve">For those who do not have RVO recurrence, they are assumed to have natural VA decline reflecting the general population. </w:t>
      </w:r>
      <w:r w:rsidR="00E1593D" w:rsidRPr="005F039C">
        <w:t xml:space="preserve"> </w:t>
      </w:r>
      <w:r w:rsidRPr="005F039C">
        <w:t xml:space="preserve">The </w:t>
      </w:r>
      <w:r w:rsidR="00525231" w:rsidRPr="005F039C">
        <w:t>resubmission</w:t>
      </w:r>
      <w:r w:rsidRPr="005F039C">
        <w:t xml:space="preserve"> presented no evidence to support this assumption, and considering that patients with CRVO consist of a group of patients with pre-existing ocular problems, it appears they are likely to suffer related, (not necessarily RVO) ocular problems that would cause VA to decline significantly more rapidly than naturally.  A model that accounted for this would either change the extrapolated VA decline curve, or use a much larger probability in the recurrence variable.  Given that there is no clinical evidence to support the assumption that aflibercept treatment is equally effective in recurrent cases as in new cases of CRVO, it would also be informative to assess different efficacy rates, as assuming treatment is equally effective biases the model in favour of aflibercept</w:t>
      </w:r>
      <w:r w:rsidR="00E1593D" w:rsidRPr="005F039C">
        <w:t>.</w:t>
      </w:r>
    </w:p>
    <w:p w:rsidR="00117C4F" w:rsidRPr="005F039C" w:rsidRDefault="00117C4F" w:rsidP="00117C4F">
      <w:pPr>
        <w:widowControl/>
        <w:rPr>
          <w:szCs w:val="22"/>
        </w:rPr>
      </w:pPr>
    </w:p>
    <w:p w:rsidR="00CC1BB5" w:rsidRPr="005F039C" w:rsidRDefault="00CC1BB5" w:rsidP="00745891">
      <w:pPr>
        <w:pStyle w:val="ListParagraph"/>
        <w:widowControl/>
        <w:numPr>
          <w:ilvl w:val="1"/>
          <w:numId w:val="2"/>
        </w:numPr>
        <w:rPr>
          <w:szCs w:val="22"/>
        </w:rPr>
      </w:pPr>
      <w:r w:rsidRPr="005F039C">
        <w:rPr>
          <w:szCs w:val="22"/>
        </w:rPr>
        <w:t xml:space="preserve">The </w:t>
      </w:r>
      <w:r w:rsidR="00525231" w:rsidRPr="005F039C">
        <w:rPr>
          <w:szCs w:val="22"/>
        </w:rPr>
        <w:t>resubmission</w:t>
      </w:r>
      <w:r w:rsidRPr="005F039C">
        <w:rPr>
          <w:szCs w:val="22"/>
        </w:rPr>
        <w:t xml:space="preserve"> </w:t>
      </w:r>
      <w:r w:rsidR="00E1593D" w:rsidRPr="005F039C">
        <w:rPr>
          <w:szCs w:val="22"/>
        </w:rPr>
        <w:t>did</w:t>
      </w:r>
      <w:r w:rsidRPr="005F039C">
        <w:rPr>
          <w:szCs w:val="22"/>
        </w:rPr>
        <w:t xml:space="preserve"> not re-specif</w:t>
      </w:r>
      <w:r w:rsidR="00E1593D" w:rsidRPr="005F039C">
        <w:rPr>
          <w:szCs w:val="22"/>
        </w:rPr>
        <w:t>y</w:t>
      </w:r>
      <w:r w:rsidRPr="005F039C">
        <w:rPr>
          <w:szCs w:val="22"/>
        </w:rPr>
        <w:t xml:space="preserve"> the economic model to account for the VA of the fellow eye. The </w:t>
      </w:r>
      <w:r w:rsidR="00525231" w:rsidRPr="005F039C">
        <w:rPr>
          <w:szCs w:val="22"/>
        </w:rPr>
        <w:t>resubmission</w:t>
      </w:r>
      <w:r w:rsidRPr="005F039C">
        <w:rPr>
          <w:szCs w:val="22"/>
        </w:rPr>
        <w:t xml:space="preserve"> presented additional data </w:t>
      </w:r>
      <w:r w:rsidR="00647A2A" w:rsidRPr="005F039C">
        <w:rPr>
          <w:szCs w:val="22"/>
        </w:rPr>
        <w:t xml:space="preserve">on the </w:t>
      </w:r>
      <w:r w:rsidRPr="005F039C">
        <w:rPr>
          <w:szCs w:val="22"/>
        </w:rPr>
        <w:t xml:space="preserve">baseline BCVA of </w:t>
      </w:r>
      <w:r w:rsidR="00647A2A" w:rsidRPr="005F039C">
        <w:rPr>
          <w:szCs w:val="22"/>
        </w:rPr>
        <w:t xml:space="preserve">the </w:t>
      </w:r>
      <w:r w:rsidRPr="005F039C">
        <w:rPr>
          <w:szCs w:val="22"/>
        </w:rPr>
        <w:t xml:space="preserve">fellow eye, transitions in fellow eye BCVA, and fellow eye better seeing and worse seeing status, as well as data on EQ-5D estimates by fellow eye BCVA. The argument </w:t>
      </w:r>
      <w:r w:rsidR="00E1593D" w:rsidRPr="005F039C">
        <w:rPr>
          <w:szCs w:val="22"/>
        </w:rPr>
        <w:t>wa</w:t>
      </w:r>
      <w:r w:rsidRPr="005F039C">
        <w:rPr>
          <w:szCs w:val="22"/>
        </w:rPr>
        <w:t>s made that the majority of fellow eyes are healthy, better-seeing and remain so throughout the GALILEO trial, and hence would have no effect on the model.</w:t>
      </w:r>
      <w:r w:rsidR="00066F1C" w:rsidRPr="005F039C">
        <w:rPr>
          <w:szCs w:val="22"/>
        </w:rPr>
        <w:t xml:space="preserve"> </w:t>
      </w:r>
      <w:r w:rsidR="00E1593D" w:rsidRPr="005F039C">
        <w:rPr>
          <w:szCs w:val="22"/>
        </w:rPr>
        <w:t xml:space="preserve"> </w:t>
      </w:r>
      <w:r w:rsidR="00066F1C" w:rsidRPr="005F039C">
        <w:rPr>
          <w:szCs w:val="22"/>
        </w:rPr>
        <w:t xml:space="preserve">The ESC agreed with the commentary that the data presented </w:t>
      </w:r>
      <w:r w:rsidR="00F22797" w:rsidRPr="005F039C">
        <w:rPr>
          <w:szCs w:val="22"/>
        </w:rPr>
        <w:t xml:space="preserve">by the submission </w:t>
      </w:r>
      <w:r w:rsidR="00066F1C" w:rsidRPr="005F039C">
        <w:rPr>
          <w:szCs w:val="22"/>
        </w:rPr>
        <w:t>d</w:t>
      </w:r>
      <w:r w:rsidR="00117C4F" w:rsidRPr="005F039C">
        <w:rPr>
          <w:szCs w:val="22"/>
        </w:rPr>
        <w:t>id</w:t>
      </w:r>
      <w:r w:rsidR="00066F1C" w:rsidRPr="005F039C">
        <w:rPr>
          <w:szCs w:val="22"/>
        </w:rPr>
        <w:t xml:space="preserve"> not address the issue due to limited variability and change in the fellow eye </w:t>
      </w:r>
      <w:r w:rsidR="00F22797" w:rsidRPr="005F039C">
        <w:rPr>
          <w:szCs w:val="22"/>
        </w:rPr>
        <w:t xml:space="preserve">i.e. a </w:t>
      </w:r>
      <w:r w:rsidR="00066F1C" w:rsidRPr="005F039C">
        <w:rPr>
          <w:szCs w:val="22"/>
        </w:rPr>
        <w:t>case needs to be made regarding generalisability of these data.  The ESC was of the view that the interpretation of these data are that the utility changes observed in the GALILEO trial are informative in terms of the impact of an  improvement in the seeing eye conditional upon good and stable VA in the fellow eye.</w:t>
      </w:r>
      <w:r w:rsidRPr="005F039C">
        <w:rPr>
          <w:szCs w:val="22"/>
        </w:rPr>
        <w:t xml:space="preserve"> </w:t>
      </w:r>
      <w:r w:rsidR="00E1593D" w:rsidRPr="005F039C">
        <w:rPr>
          <w:szCs w:val="22"/>
        </w:rPr>
        <w:t xml:space="preserve"> T</w:t>
      </w:r>
      <w:r w:rsidRPr="005F039C">
        <w:rPr>
          <w:szCs w:val="22"/>
        </w:rPr>
        <w:t xml:space="preserve">he analyses arguing against model re-specification </w:t>
      </w:r>
      <w:r w:rsidR="00E1593D" w:rsidRPr="005F039C">
        <w:rPr>
          <w:szCs w:val="22"/>
        </w:rPr>
        <w:t>we</w:t>
      </w:r>
      <w:r w:rsidRPr="005F039C">
        <w:rPr>
          <w:szCs w:val="22"/>
        </w:rPr>
        <w:t xml:space="preserve">re </w:t>
      </w:r>
      <w:r w:rsidR="00E1593D" w:rsidRPr="005F039C">
        <w:rPr>
          <w:szCs w:val="22"/>
        </w:rPr>
        <w:t xml:space="preserve">noted to be </w:t>
      </w:r>
      <w:r w:rsidRPr="005F039C">
        <w:rPr>
          <w:szCs w:val="22"/>
        </w:rPr>
        <w:t xml:space="preserve">based on solely GALILEO transition probabilities and baseline BCVA, while the model </w:t>
      </w:r>
      <w:r w:rsidR="00E1593D" w:rsidRPr="005F039C">
        <w:rPr>
          <w:szCs w:val="22"/>
        </w:rPr>
        <w:t>wa</w:t>
      </w:r>
      <w:r w:rsidRPr="005F039C">
        <w:rPr>
          <w:szCs w:val="22"/>
        </w:rPr>
        <w:t>s based on both GALILEO and COPERNICUS baseline and transition probabilities.</w:t>
      </w:r>
    </w:p>
    <w:p w:rsidR="007E25E7" w:rsidRPr="005F039C" w:rsidRDefault="007E25E7" w:rsidP="00DE50DB">
      <w:pPr>
        <w:widowControl/>
        <w:rPr>
          <w:szCs w:val="22"/>
        </w:rPr>
      </w:pPr>
    </w:p>
    <w:p w:rsidR="00607D0A" w:rsidRPr="005F039C" w:rsidRDefault="00E45C65" w:rsidP="00745891">
      <w:pPr>
        <w:pStyle w:val="ListParagraph"/>
        <w:widowControl/>
        <w:numPr>
          <w:ilvl w:val="1"/>
          <w:numId w:val="2"/>
        </w:numPr>
        <w:rPr>
          <w:szCs w:val="22"/>
        </w:rPr>
      </w:pPr>
      <w:r w:rsidRPr="005F039C">
        <w:t xml:space="preserve">The table below </w:t>
      </w:r>
      <w:r w:rsidR="00607D0A" w:rsidRPr="005F039C">
        <w:t>presents a summary of the key drivers of the model</w:t>
      </w:r>
      <w:r w:rsidR="002D5EB5" w:rsidRPr="005F039C">
        <w:t>.</w:t>
      </w:r>
    </w:p>
    <w:p w:rsidR="00607D0A" w:rsidRPr="005F039C" w:rsidRDefault="00607D0A" w:rsidP="00607D0A">
      <w:pPr>
        <w:widowControl/>
        <w:rPr>
          <w:szCs w:val="22"/>
        </w:rPr>
      </w:pPr>
    </w:p>
    <w:p w:rsidR="00607D0A" w:rsidRPr="005F039C" w:rsidRDefault="00607D0A" w:rsidP="0037798F">
      <w:pPr>
        <w:widowControl/>
        <w:ind w:firstLine="720"/>
        <w:jc w:val="left"/>
        <w:rPr>
          <w:rStyle w:val="CommentReference"/>
        </w:rPr>
      </w:pPr>
      <w:r w:rsidRPr="005F039C">
        <w:rPr>
          <w:rStyle w:val="CommentReference"/>
        </w:rPr>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3543"/>
        <w:gridCol w:w="2250"/>
      </w:tblGrid>
      <w:tr w:rsidR="00607D0A" w:rsidRPr="005F039C">
        <w:trPr>
          <w:tblHeader/>
        </w:trPr>
        <w:tc>
          <w:tcPr>
            <w:tcW w:w="1529" w:type="pct"/>
            <w:shd w:val="clear" w:color="auto" w:fill="auto"/>
            <w:vAlign w:val="center"/>
          </w:tcPr>
          <w:p w:rsidR="00607D0A" w:rsidRPr="005F039C" w:rsidRDefault="00607D0A" w:rsidP="00607D0A">
            <w:pPr>
              <w:jc w:val="left"/>
              <w:rPr>
                <w:rFonts w:ascii="Arial Narrow" w:hAnsi="Arial Narrow"/>
                <w:b/>
                <w:sz w:val="20"/>
              </w:rPr>
            </w:pPr>
            <w:r w:rsidRPr="005F039C">
              <w:rPr>
                <w:rFonts w:ascii="Arial Narrow" w:hAnsi="Arial Narrow"/>
                <w:b/>
                <w:sz w:val="20"/>
              </w:rPr>
              <w:t>Description</w:t>
            </w:r>
          </w:p>
        </w:tc>
        <w:tc>
          <w:tcPr>
            <w:tcW w:w="2123" w:type="pct"/>
            <w:shd w:val="clear" w:color="auto" w:fill="auto"/>
            <w:vAlign w:val="center"/>
          </w:tcPr>
          <w:p w:rsidR="00607D0A" w:rsidRPr="005F039C" w:rsidRDefault="00607D0A" w:rsidP="00607D0A">
            <w:pPr>
              <w:jc w:val="center"/>
              <w:rPr>
                <w:rFonts w:ascii="Arial Narrow" w:hAnsi="Arial Narrow"/>
                <w:b/>
                <w:sz w:val="20"/>
              </w:rPr>
            </w:pPr>
            <w:r w:rsidRPr="005F039C">
              <w:rPr>
                <w:rFonts w:ascii="Arial Narrow" w:hAnsi="Arial Narrow"/>
                <w:b/>
                <w:sz w:val="20"/>
              </w:rPr>
              <w:t>Method/Value</w:t>
            </w:r>
          </w:p>
        </w:tc>
        <w:tc>
          <w:tcPr>
            <w:tcW w:w="1348" w:type="pct"/>
            <w:shd w:val="clear" w:color="auto" w:fill="auto"/>
            <w:vAlign w:val="center"/>
          </w:tcPr>
          <w:p w:rsidR="00607D0A" w:rsidRPr="005F039C" w:rsidRDefault="00607D0A" w:rsidP="00607D0A">
            <w:pPr>
              <w:jc w:val="center"/>
              <w:rPr>
                <w:rFonts w:ascii="Arial Narrow" w:hAnsi="Arial Narrow"/>
                <w:b/>
                <w:sz w:val="20"/>
              </w:rPr>
            </w:pPr>
            <w:r w:rsidRPr="005F039C">
              <w:rPr>
                <w:rFonts w:ascii="Arial Narrow" w:hAnsi="Arial Narrow"/>
                <w:b/>
                <w:sz w:val="20"/>
              </w:rPr>
              <w:t>Impact</w:t>
            </w:r>
          </w:p>
        </w:tc>
      </w:tr>
      <w:tr w:rsidR="00607D0A" w:rsidRPr="005F039C">
        <w:tc>
          <w:tcPr>
            <w:tcW w:w="1529" w:type="pct"/>
            <w:shd w:val="clear" w:color="auto" w:fill="auto"/>
            <w:vAlign w:val="center"/>
          </w:tcPr>
          <w:p w:rsidR="00607D0A" w:rsidRPr="005F039C" w:rsidRDefault="00607D0A" w:rsidP="00607D0A">
            <w:pPr>
              <w:jc w:val="left"/>
              <w:rPr>
                <w:rFonts w:ascii="Arial Narrow" w:hAnsi="Arial Narrow"/>
                <w:sz w:val="20"/>
              </w:rPr>
            </w:pPr>
            <w:r w:rsidRPr="005F039C">
              <w:rPr>
                <w:rFonts w:ascii="Arial Narrow" w:hAnsi="Arial Narrow"/>
                <w:sz w:val="20"/>
              </w:rPr>
              <w:t>Time horizon</w:t>
            </w:r>
          </w:p>
        </w:tc>
        <w:tc>
          <w:tcPr>
            <w:tcW w:w="2123" w:type="pct"/>
            <w:shd w:val="clear" w:color="auto" w:fill="auto"/>
            <w:vAlign w:val="center"/>
          </w:tcPr>
          <w:p w:rsidR="00607D0A" w:rsidRPr="005F039C" w:rsidRDefault="00607D0A" w:rsidP="00607D0A">
            <w:pPr>
              <w:jc w:val="center"/>
              <w:rPr>
                <w:rFonts w:ascii="Arial Narrow" w:hAnsi="Arial Narrow"/>
                <w:sz w:val="20"/>
              </w:rPr>
            </w:pPr>
            <w:r w:rsidRPr="005F039C">
              <w:rPr>
                <w:rFonts w:ascii="Arial Narrow" w:hAnsi="Arial Narrow"/>
                <w:sz w:val="20"/>
              </w:rPr>
              <w:t>15 years; assumed from 6 month trial duration</w:t>
            </w:r>
          </w:p>
        </w:tc>
        <w:tc>
          <w:tcPr>
            <w:tcW w:w="1348" w:type="pct"/>
            <w:shd w:val="clear" w:color="auto" w:fill="auto"/>
            <w:vAlign w:val="center"/>
          </w:tcPr>
          <w:p w:rsidR="00607D0A" w:rsidRPr="005F039C" w:rsidRDefault="00607D0A" w:rsidP="00607D0A">
            <w:pPr>
              <w:jc w:val="center"/>
              <w:rPr>
                <w:rFonts w:ascii="Arial Narrow" w:hAnsi="Arial Narrow"/>
                <w:sz w:val="20"/>
              </w:rPr>
            </w:pPr>
            <w:r w:rsidRPr="005F039C">
              <w:rPr>
                <w:rFonts w:ascii="Arial Narrow" w:hAnsi="Arial Narrow"/>
                <w:sz w:val="20"/>
              </w:rPr>
              <w:t>High, favours aflibercept</w:t>
            </w:r>
          </w:p>
        </w:tc>
      </w:tr>
      <w:tr w:rsidR="00607D0A" w:rsidRPr="005F039C">
        <w:tc>
          <w:tcPr>
            <w:tcW w:w="1529" w:type="pct"/>
            <w:shd w:val="clear" w:color="auto" w:fill="auto"/>
            <w:vAlign w:val="center"/>
          </w:tcPr>
          <w:p w:rsidR="00607D0A" w:rsidRPr="005F039C" w:rsidRDefault="00607D0A" w:rsidP="00607D0A">
            <w:pPr>
              <w:jc w:val="left"/>
              <w:rPr>
                <w:rFonts w:ascii="Arial Narrow" w:hAnsi="Arial Narrow"/>
                <w:sz w:val="20"/>
              </w:rPr>
            </w:pPr>
            <w:r w:rsidRPr="005F039C">
              <w:rPr>
                <w:rFonts w:ascii="Arial Narrow" w:hAnsi="Arial Narrow"/>
                <w:sz w:val="20"/>
              </w:rPr>
              <w:t>Dose intensity</w:t>
            </w:r>
          </w:p>
        </w:tc>
        <w:tc>
          <w:tcPr>
            <w:tcW w:w="2123" w:type="pct"/>
            <w:shd w:val="clear" w:color="auto" w:fill="auto"/>
            <w:vAlign w:val="center"/>
          </w:tcPr>
          <w:p w:rsidR="00607D0A" w:rsidRPr="005F039C" w:rsidRDefault="00607D0A" w:rsidP="00607D0A">
            <w:pPr>
              <w:jc w:val="center"/>
              <w:rPr>
                <w:rFonts w:ascii="Arial Narrow" w:hAnsi="Arial Narrow"/>
                <w:sz w:val="20"/>
              </w:rPr>
            </w:pPr>
            <w:r w:rsidRPr="005F039C">
              <w:rPr>
                <w:rFonts w:ascii="Arial Narrow" w:hAnsi="Arial Narrow"/>
                <w:sz w:val="20"/>
              </w:rPr>
              <w:t>3 loading doses, then GALILEO post 6 month injection frequency assumed</w:t>
            </w:r>
          </w:p>
        </w:tc>
        <w:tc>
          <w:tcPr>
            <w:tcW w:w="1348" w:type="pct"/>
            <w:shd w:val="clear" w:color="auto" w:fill="auto"/>
            <w:vAlign w:val="center"/>
          </w:tcPr>
          <w:p w:rsidR="00607D0A" w:rsidRPr="005F039C" w:rsidRDefault="00607D0A" w:rsidP="00607D0A">
            <w:pPr>
              <w:jc w:val="center"/>
              <w:rPr>
                <w:rFonts w:ascii="Arial Narrow" w:hAnsi="Arial Narrow"/>
                <w:sz w:val="20"/>
              </w:rPr>
            </w:pPr>
            <w:r w:rsidRPr="005F039C">
              <w:rPr>
                <w:rFonts w:ascii="Arial Narrow" w:hAnsi="Arial Narrow"/>
                <w:sz w:val="20"/>
              </w:rPr>
              <w:t>High, favours aflibercept</w:t>
            </w:r>
          </w:p>
        </w:tc>
      </w:tr>
      <w:tr w:rsidR="00607D0A" w:rsidRPr="005F039C">
        <w:tc>
          <w:tcPr>
            <w:tcW w:w="1529" w:type="pct"/>
            <w:shd w:val="clear" w:color="auto" w:fill="auto"/>
            <w:vAlign w:val="center"/>
          </w:tcPr>
          <w:p w:rsidR="00607D0A" w:rsidRPr="005F039C" w:rsidRDefault="00607D0A" w:rsidP="00607D0A">
            <w:pPr>
              <w:jc w:val="left"/>
              <w:rPr>
                <w:rFonts w:ascii="Arial Narrow" w:hAnsi="Arial Narrow"/>
                <w:sz w:val="20"/>
              </w:rPr>
            </w:pPr>
            <w:r w:rsidRPr="005F039C">
              <w:rPr>
                <w:rFonts w:ascii="Arial Narrow" w:hAnsi="Arial Narrow"/>
                <w:sz w:val="20"/>
              </w:rPr>
              <w:t>Excess mortality risk of unilateral blindness</w:t>
            </w:r>
          </w:p>
        </w:tc>
        <w:tc>
          <w:tcPr>
            <w:tcW w:w="2123" w:type="pct"/>
            <w:shd w:val="clear" w:color="auto" w:fill="auto"/>
            <w:vAlign w:val="center"/>
          </w:tcPr>
          <w:p w:rsidR="00607D0A" w:rsidRPr="005F039C" w:rsidRDefault="00607D0A" w:rsidP="00607D0A">
            <w:pPr>
              <w:jc w:val="center"/>
              <w:rPr>
                <w:rFonts w:ascii="Arial Narrow" w:hAnsi="Arial Narrow"/>
                <w:sz w:val="20"/>
              </w:rPr>
            </w:pPr>
            <w:r w:rsidRPr="005F039C">
              <w:rPr>
                <w:rFonts w:ascii="Arial Narrow" w:hAnsi="Arial Narrow"/>
                <w:sz w:val="20"/>
              </w:rPr>
              <w:t>RR=1.13 from Christ et al 2008</w:t>
            </w:r>
          </w:p>
        </w:tc>
        <w:tc>
          <w:tcPr>
            <w:tcW w:w="1348" w:type="pct"/>
            <w:shd w:val="clear" w:color="auto" w:fill="auto"/>
            <w:vAlign w:val="center"/>
          </w:tcPr>
          <w:p w:rsidR="00607D0A" w:rsidRPr="005F039C" w:rsidRDefault="00607D0A" w:rsidP="00607D0A">
            <w:pPr>
              <w:jc w:val="center"/>
              <w:rPr>
                <w:rFonts w:ascii="Arial Narrow" w:hAnsi="Arial Narrow"/>
                <w:sz w:val="20"/>
              </w:rPr>
            </w:pPr>
            <w:r w:rsidRPr="005F039C">
              <w:rPr>
                <w:rFonts w:ascii="Arial Narrow" w:hAnsi="Arial Narrow"/>
                <w:sz w:val="20"/>
              </w:rPr>
              <w:t>High, favours aflibercept</w:t>
            </w:r>
          </w:p>
        </w:tc>
      </w:tr>
    </w:tbl>
    <w:p w:rsidR="00607D0A" w:rsidRPr="005F039C" w:rsidRDefault="00607D0A" w:rsidP="00607D0A">
      <w:pPr>
        <w:pStyle w:val="TableFooter"/>
        <w:ind w:firstLine="720"/>
      </w:pPr>
      <w:r w:rsidRPr="005F039C">
        <w:t>Source: compiled during the evaluation</w:t>
      </w:r>
    </w:p>
    <w:p w:rsidR="00E37797" w:rsidRPr="005F039C" w:rsidRDefault="00E37797" w:rsidP="00E37797">
      <w:pPr>
        <w:widowControl/>
        <w:rPr>
          <w:szCs w:val="22"/>
        </w:rPr>
      </w:pPr>
    </w:p>
    <w:p w:rsidR="00607D0A" w:rsidRPr="005F039C" w:rsidRDefault="00E45C65" w:rsidP="00745891">
      <w:pPr>
        <w:pStyle w:val="ListParagraph"/>
        <w:widowControl/>
        <w:numPr>
          <w:ilvl w:val="1"/>
          <w:numId w:val="2"/>
        </w:numPr>
        <w:rPr>
          <w:szCs w:val="22"/>
        </w:rPr>
      </w:pPr>
      <w:r w:rsidRPr="005F039C">
        <w:t>The t</w:t>
      </w:r>
      <w:r w:rsidR="00607D0A" w:rsidRPr="005F039C">
        <w:t xml:space="preserve">able </w:t>
      </w:r>
      <w:r w:rsidRPr="005F039C">
        <w:t>below</w:t>
      </w:r>
      <w:r w:rsidR="001C3CEE" w:rsidRPr="005F039C">
        <w:t xml:space="preserve"> </w:t>
      </w:r>
      <w:r w:rsidR="00607D0A" w:rsidRPr="005F039C">
        <w:t xml:space="preserve">presents the results of the </w:t>
      </w:r>
      <w:r w:rsidR="00525231" w:rsidRPr="005F039C">
        <w:t>resubmission</w:t>
      </w:r>
      <w:r w:rsidR="00607D0A" w:rsidRPr="005F039C">
        <w:t>’s economic evaluation</w:t>
      </w:r>
      <w:r w:rsidR="00E1593D" w:rsidRPr="005F039C">
        <w:t>.</w:t>
      </w:r>
    </w:p>
    <w:p w:rsidR="00607D0A" w:rsidRPr="005F039C" w:rsidRDefault="00607D0A" w:rsidP="00607D0A">
      <w:pPr>
        <w:widowControl/>
        <w:rPr>
          <w:szCs w:val="22"/>
        </w:rPr>
      </w:pPr>
    </w:p>
    <w:p w:rsidR="0037798F" w:rsidRPr="005F039C" w:rsidRDefault="00607D0A" w:rsidP="0037798F">
      <w:pPr>
        <w:keepNext/>
        <w:ind w:firstLine="720"/>
        <w:rPr>
          <w:rStyle w:val="CommentReference"/>
        </w:rPr>
      </w:pPr>
      <w:r w:rsidRPr="005F039C">
        <w:rPr>
          <w:rStyle w:val="CommentReference"/>
        </w:rPr>
        <w:lastRenderedPageBreak/>
        <w:t>Results of the economic evaluation</w:t>
      </w:r>
    </w:p>
    <w:tbl>
      <w:tblPr>
        <w:tblW w:w="4592" w:type="pct"/>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49"/>
        <w:gridCol w:w="2267"/>
        <w:gridCol w:w="2127"/>
        <w:gridCol w:w="1398"/>
      </w:tblGrid>
      <w:tr w:rsidR="0037798F" w:rsidRPr="005F039C">
        <w:trPr>
          <w:tblHeader/>
        </w:trPr>
        <w:tc>
          <w:tcPr>
            <w:tcW w:w="1528" w:type="pct"/>
            <w:vAlign w:val="center"/>
          </w:tcPr>
          <w:p w:rsidR="0037798F" w:rsidRPr="005F039C" w:rsidRDefault="0037798F" w:rsidP="000D703C">
            <w:pPr>
              <w:keepNext/>
              <w:jc w:val="left"/>
              <w:rPr>
                <w:rFonts w:ascii="Arial Narrow" w:hAnsi="Arial Narrow"/>
                <w:b/>
                <w:sz w:val="20"/>
              </w:rPr>
            </w:pPr>
            <w:r w:rsidRPr="005F039C">
              <w:rPr>
                <w:rFonts w:ascii="Arial Narrow" w:hAnsi="Arial Narrow"/>
                <w:b/>
                <w:sz w:val="20"/>
              </w:rPr>
              <w:t>Component</w:t>
            </w:r>
          </w:p>
        </w:tc>
        <w:tc>
          <w:tcPr>
            <w:tcW w:w="1359" w:type="pct"/>
            <w:vAlign w:val="center"/>
          </w:tcPr>
          <w:p w:rsidR="0037798F" w:rsidRPr="005F039C" w:rsidRDefault="0037798F" w:rsidP="000D703C">
            <w:pPr>
              <w:keepNext/>
              <w:jc w:val="center"/>
              <w:rPr>
                <w:rFonts w:ascii="Arial Narrow" w:hAnsi="Arial Narrow"/>
                <w:b/>
                <w:sz w:val="20"/>
              </w:rPr>
            </w:pPr>
            <w:r w:rsidRPr="005F039C">
              <w:rPr>
                <w:rFonts w:ascii="Arial Narrow" w:hAnsi="Arial Narrow"/>
                <w:b/>
                <w:sz w:val="20"/>
              </w:rPr>
              <w:t>Aflibercept</w:t>
            </w:r>
          </w:p>
        </w:tc>
        <w:tc>
          <w:tcPr>
            <w:tcW w:w="1275" w:type="pct"/>
            <w:vAlign w:val="center"/>
          </w:tcPr>
          <w:p w:rsidR="0037798F" w:rsidRPr="005F039C" w:rsidRDefault="0037798F" w:rsidP="000D703C">
            <w:pPr>
              <w:keepNext/>
              <w:jc w:val="center"/>
              <w:rPr>
                <w:rFonts w:ascii="Arial Narrow" w:hAnsi="Arial Narrow"/>
                <w:b/>
                <w:sz w:val="20"/>
              </w:rPr>
            </w:pPr>
            <w:r w:rsidRPr="005F039C">
              <w:rPr>
                <w:rFonts w:ascii="Arial Narrow" w:hAnsi="Arial Narrow"/>
                <w:b/>
                <w:sz w:val="20"/>
              </w:rPr>
              <w:t>BSC</w:t>
            </w:r>
          </w:p>
        </w:tc>
        <w:tc>
          <w:tcPr>
            <w:tcW w:w="838" w:type="pct"/>
            <w:vAlign w:val="center"/>
          </w:tcPr>
          <w:p w:rsidR="0037798F" w:rsidRPr="005F039C" w:rsidRDefault="0037798F" w:rsidP="000D703C">
            <w:pPr>
              <w:keepNext/>
              <w:jc w:val="center"/>
              <w:rPr>
                <w:rFonts w:ascii="Arial Narrow" w:hAnsi="Arial Narrow"/>
                <w:b/>
                <w:sz w:val="20"/>
              </w:rPr>
            </w:pPr>
            <w:r w:rsidRPr="005F039C">
              <w:rPr>
                <w:rFonts w:ascii="Arial Narrow" w:hAnsi="Arial Narrow"/>
                <w:b/>
                <w:sz w:val="20"/>
              </w:rPr>
              <w:t>Increment</w:t>
            </w:r>
          </w:p>
        </w:tc>
      </w:tr>
      <w:tr w:rsidR="0037798F" w:rsidRPr="005F039C">
        <w:tblPrEx>
          <w:tblCellMar>
            <w:left w:w="108" w:type="dxa"/>
            <w:right w:w="108" w:type="dxa"/>
          </w:tblCellMar>
          <w:tblLook w:val="04A0" w:firstRow="1" w:lastRow="0" w:firstColumn="1" w:lastColumn="0" w:noHBand="0" w:noVBand="1"/>
        </w:tblPrEx>
        <w:tc>
          <w:tcPr>
            <w:tcW w:w="1528" w:type="pct"/>
            <w:shd w:val="clear" w:color="auto" w:fill="auto"/>
          </w:tcPr>
          <w:p w:rsidR="0037798F" w:rsidRPr="005F039C" w:rsidRDefault="0037798F" w:rsidP="000D703C">
            <w:pPr>
              <w:keepNext/>
              <w:keepLines/>
              <w:widowControl/>
              <w:jc w:val="left"/>
              <w:rPr>
                <w:rFonts w:ascii="Arial Narrow" w:hAnsi="Arial Narrow" w:cs="Times New Roman"/>
                <w:snapToGrid/>
                <w:sz w:val="20"/>
              </w:rPr>
            </w:pPr>
            <w:r w:rsidRPr="005F039C">
              <w:rPr>
                <w:rFonts w:ascii="Arial Narrow" w:hAnsi="Arial Narrow" w:cs="Times New Roman"/>
                <w:snapToGrid/>
                <w:sz w:val="20"/>
              </w:rPr>
              <w:t>Costs</w:t>
            </w:r>
          </w:p>
        </w:tc>
        <w:tc>
          <w:tcPr>
            <w:tcW w:w="1359" w:type="pct"/>
            <w:vAlign w:val="center"/>
          </w:tcPr>
          <w:p w:rsidR="0037798F" w:rsidRPr="00827EDF" w:rsidRDefault="00827EDF" w:rsidP="000D703C">
            <w:pPr>
              <w:keepNext/>
              <w:keepLines/>
              <w:widowControl/>
              <w:jc w:val="center"/>
              <w:rPr>
                <w:rFonts w:ascii="Arial Narrow" w:hAnsi="Arial Narrow" w:cs="Times New Roman"/>
                <w:snapToGrid/>
                <w:sz w:val="20"/>
                <w:highlight w:val="black"/>
              </w:rPr>
            </w:pPr>
            <w:r>
              <w:rPr>
                <w:rFonts w:ascii="Arial Narrow" w:eastAsia="SimSun" w:hAnsi="Arial Narrow"/>
                <w:noProof/>
                <w:color w:val="000000"/>
                <w:sz w:val="20"/>
                <w:highlight w:val="black"/>
                <w:lang w:eastAsia="en-AU"/>
              </w:rPr>
              <w:t>''''''''''''''''</w:t>
            </w:r>
          </w:p>
        </w:tc>
        <w:tc>
          <w:tcPr>
            <w:tcW w:w="1275" w:type="pct"/>
            <w:vAlign w:val="center"/>
          </w:tcPr>
          <w:p w:rsidR="0037798F" w:rsidRPr="00827EDF" w:rsidRDefault="00827EDF" w:rsidP="000D703C">
            <w:pPr>
              <w:keepNext/>
              <w:keepLines/>
              <w:widowControl/>
              <w:jc w:val="center"/>
              <w:rPr>
                <w:rFonts w:ascii="Arial Narrow" w:hAnsi="Arial Narrow" w:cs="Times New Roman"/>
                <w:snapToGrid/>
                <w:sz w:val="20"/>
                <w:highlight w:val="black"/>
              </w:rPr>
            </w:pPr>
            <w:r>
              <w:rPr>
                <w:rFonts w:ascii="Arial Narrow" w:eastAsia="SimSun" w:hAnsi="Arial Narrow"/>
                <w:noProof/>
                <w:color w:val="000000"/>
                <w:sz w:val="20"/>
                <w:highlight w:val="black"/>
                <w:lang w:eastAsia="en-AU"/>
              </w:rPr>
              <w:t>'''''''''''</w:t>
            </w:r>
          </w:p>
        </w:tc>
        <w:tc>
          <w:tcPr>
            <w:tcW w:w="838" w:type="pct"/>
          </w:tcPr>
          <w:p w:rsidR="0037798F" w:rsidRPr="00827EDF" w:rsidRDefault="00827EDF" w:rsidP="000D703C">
            <w:pPr>
              <w:keepNext/>
              <w:keepLines/>
              <w:widowControl/>
              <w:jc w:val="center"/>
              <w:rPr>
                <w:rFonts w:ascii="Arial Narrow" w:hAnsi="Arial Narrow" w:cs="Times New Roman"/>
                <w:b/>
                <w:snapToGrid/>
                <w:sz w:val="20"/>
                <w:highlight w:val="black"/>
              </w:rPr>
            </w:pPr>
            <w:r>
              <w:rPr>
                <w:rFonts w:ascii="Arial Narrow" w:hAnsi="Arial Narrow" w:cs="Times New Roman"/>
                <w:noProof/>
                <w:snapToGrid/>
                <w:color w:val="000000"/>
                <w:sz w:val="20"/>
                <w:highlight w:val="black"/>
              </w:rPr>
              <w:t>'''''''''''''''''</w:t>
            </w:r>
          </w:p>
        </w:tc>
      </w:tr>
      <w:tr w:rsidR="0037798F" w:rsidRPr="005F039C">
        <w:tblPrEx>
          <w:tblCellMar>
            <w:left w:w="108" w:type="dxa"/>
            <w:right w:w="108" w:type="dxa"/>
          </w:tblCellMar>
          <w:tblLook w:val="04A0" w:firstRow="1" w:lastRow="0" w:firstColumn="1" w:lastColumn="0" w:noHBand="0" w:noVBand="1"/>
        </w:tblPrEx>
        <w:tc>
          <w:tcPr>
            <w:tcW w:w="1528" w:type="pct"/>
            <w:shd w:val="clear" w:color="auto" w:fill="auto"/>
          </w:tcPr>
          <w:p w:rsidR="0037798F" w:rsidRPr="005F039C" w:rsidRDefault="0037798F" w:rsidP="000D703C">
            <w:pPr>
              <w:keepNext/>
              <w:keepLines/>
              <w:widowControl/>
              <w:jc w:val="left"/>
              <w:rPr>
                <w:rFonts w:ascii="Arial Narrow" w:hAnsi="Arial Narrow" w:cs="Times New Roman"/>
                <w:snapToGrid/>
                <w:sz w:val="20"/>
              </w:rPr>
            </w:pPr>
            <w:r w:rsidRPr="005F039C">
              <w:rPr>
                <w:rFonts w:ascii="Arial Narrow" w:hAnsi="Arial Narrow" w:cs="Times New Roman"/>
                <w:snapToGrid/>
                <w:sz w:val="20"/>
              </w:rPr>
              <w:t>QALYs</w:t>
            </w:r>
          </w:p>
        </w:tc>
        <w:tc>
          <w:tcPr>
            <w:tcW w:w="1359" w:type="pct"/>
            <w:vAlign w:val="center"/>
          </w:tcPr>
          <w:p w:rsidR="0037798F" w:rsidRPr="00827EDF" w:rsidRDefault="00827EDF" w:rsidP="000D703C">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szCs w:val="22"/>
                <w:highlight w:val="black"/>
              </w:rPr>
              <w:t>'''''''''''</w:t>
            </w:r>
          </w:p>
        </w:tc>
        <w:tc>
          <w:tcPr>
            <w:tcW w:w="1275" w:type="pct"/>
            <w:vAlign w:val="center"/>
          </w:tcPr>
          <w:p w:rsidR="0037798F" w:rsidRPr="00827EDF" w:rsidRDefault="00827EDF" w:rsidP="000D703C">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szCs w:val="22"/>
                <w:highlight w:val="black"/>
              </w:rPr>
              <w:t>''''''''''</w:t>
            </w:r>
          </w:p>
        </w:tc>
        <w:tc>
          <w:tcPr>
            <w:tcW w:w="838" w:type="pct"/>
          </w:tcPr>
          <w:p w:rsidR="0037798F" w:rsidRPr="00827EDF" w:rsidRDefault="00827EDF" w:rsidP="000D703C">
            <w:pPr>
              <w:keepNext/>
              <w:keepLines/>
              <w:widowControl/>
              <w:jc w:val="center"/>
              <w:rPr>
                <w:rFonts w:ascii="Arial Narrow" w:hAnsi="Arial Narrow" w:cs="Times New Roman"/>
                <w:b/>
                <w:snapToGrid/>
                <w:sz w:val="20"/>
                <w:highlight w:val="black"/>
              </w:rPr>
            </w:pPr>
            <w:r>
              <w:rPr>
                <w:rFonts w:ascii="Arial Narrow" w:hAnsi="Arial Narrow" w:cs="Times New Roman"/>
                <w:noProof/>
                <w:snapToGrid/>
                <w:color w:val="000000"/>
                <w:sz w:val="20"/>
                <w:highlight w:val="black"/>
              </w:rPr>
              <w:t>'''''''''''</w:t>
            </w:r>
          </w:p>
        </w:tc>
      </w:tr>
      <w:tr w:rsidR="0037798F" w:rsidRPr="005F039C">
        <w:tblPrEx>
          <w:tblCellMar>
            <w:left w:w="108" w:type="dxa"/>
            <w:right w:w="108" w:type="dxa"/>
          </w:tblCellMar>
          <w:tblLook w:val="04A0" w:firstRow="1" w:lastRow="0" w:firstColumn="1" w:lastColumn="0" w:noHBand="0" w:noVBand="1"/>
        </w:tblPrEx>
        <w:tc>
          <w:tcPr>
            <w:tcW w:w="4162" w:type="pct"/>
            <w:gridSpan w:val="3"/>
            <w:shd w:val="clear" w:color="auto" w:fill="auto"/>
          </w:tcPr>
          <w:p w:rsidR="0037798F" w:rsidRPr="005F039C" w:rsidRDefault="0037798F" w:rsidP="000D703C">
            <w:pPr>
              <w:keepNext/>
              <w:keepLines/>
              <w:widowControl/>
              <w:jc w:val="left"/>
              <w:rPr>
                <w:rFonts w:ascii="Arial Narrow" w:hAnsi="Arial Narrow" w:cs="Times New Roman"/>
                <w:b/>
                <w:snapToGrid/>
                <w:sz w:val="20"/>
              </w:rPr>
            </w:pPr>
            <w:r w:rsidRPr="005F039C">
              <w:rPr>
                <w:rFonts w:ascii="Arial Narrow" w:hAnsi="Arial Narrow" w:cs="Times New Roman"/>
                <w:b/>
                <w:snapToGrid/>
                <w:sz w:val="20"/>
              </w:rPr>
              <w:t>Incremental cost/QALY gained (November 2014)</w:t>
            </w:r>
          </w:p>
        </w:tc>
        <w:tc>
          <w:tcPr>
            <w:tcW w:w="838" w:type="pct"/>
          </w:tcPr>
          <w:p w:rsidR="0037798F" w:rsidRPr="00827EDF" w:rsidRDefault="00827EDF" w:rsidP="000D703C">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r>
    </w:tbl>
    <w:p w:rsidR="00607D0A" w:rsidRPr="005F039C" w:rsidRDefault="00607D0A" w:rsidP="00607D0A">
      <w:pPr>
        <w:pStyle w:val="TableFooter"/>
        <w:ind w:firstLine="709"/>
      </w:pPr>
      <w:r w:rsidRPr="005F039C">
        <w:t>BSC=best supportive care; QALY= quality adjusted life-year</w:t>
      </w:r>
    </w:p>
    <w:p w:rsidR="00607D0A" w:rsidRPr="005F039C" w:rsidRDefault="00607D0A" w:rsidP="00607D0A">
      <w:pPr>
        <w:pStyle w:val="TableFooter"/>
        <w:ind w:firstLine="709"/>
      </w:pPr>
      <w:r w:rsidRPr="005F039C">
        <w:t xml:space="preserve">Source: Table 34, pp 134 of the November 2014 </w:t>
      </w:r>
      <w:r w:rsidR="00525231" w:rsidRPr="005F039C">
        <w:t>resubmission</w:t>
      </w:r>
    </w:p>
    <w:p w:rsidR="00607D0A" w:rsidRPr="005F039C" w:rsidRDefault="00607D0A" w:rsidP="00607D0A">
      <w:pPr>
        <w:widowControl/>
        <w:rPr>
          <w:szCs w:val="22"/>
        </w:rPr>
      </w:pPr>
    </w:p>
    <w:p w:rsidR="00607D0A" w:rsidRPr="005F039C" w:rsidRDefault="00607D0A" w:rsidP="00745891">
      <w:pPr>
        <w:pStyle w:val="ListParagraph"/>
        <w:widowControl/>
        <w:numPr>
          <w:ilvl w:val="1"/>
          <w:numId w:val="2"/>
        </w:numPr>
        <w:rPr>
          <w:szCs w:val="22"/>
        </w:rPr>
      </w:pPr>
      <w:r w:rsidRPr="005F039C">
        <w:t xml:space="preserve">The base case ICER of the current </w:t>
      </w:r>
      <w:r w:rsidR="00525231" w:rsidRPr="005F039C">
        <w:t>resubmission</w:t>
      </w:r>
      <w:r w:rsidRPr="005F039C">
        <w:t xml:space="preserve"> (</w:t>
      </w:r>
      <w:r w:rsidR="00827EDF">
        <w:rPr>
          <w:noProof/>
          <w:color w:val="000000"/>
          <w:highlight w:val="black"/>
        </w:rPr>
        <w:t xml:space="preserve">''''''''''''''''''' </w:t>
      </w:r>
      <w:r w:rsidR="00EB0A30">
        <w:t>$15,000 - $45,000</w:t>
      </w:r>
      <w:r w:rsidR="002C0388">
        <w:t>/QALY gained</w:t>
      </w:r>
      <w:r w:rsidRPr="005F039C">
        <w:t xml:space="preserve">) is lower than the ICER of the March 2014 </w:t>
      </w:r>
      <w:r w:rsidR="00525231" w:rsidRPr="005F039C">
        <w:t>resubmission</w:t>
      </w:r>
      <w:r w:rsidRPr="005F039C">
        <w:t xml:space="preserve"> (</w:t>
      </w:r>
      <w:r w:rsidR="00827EDF">
        <w:rPr>
          <w:noProof/>
          <w:color w:val="000000"/>
          <w:highlight w:val="black"/>
        </w:rPr>
        <w:t>''''''''''''''''''</w:t>
      </w:r>
      <w:r w:rsidRPr="005F039C">
        <w:t xml:space="preserve"> with OCT costs in BSC arm; </w:t>
      </w:r>
      <w:r w:rsidR="00827EDF">
        <w:rPr>
          <w:noProof/>
          <w:color w:val="000000"/>
          <w:highlight w:val="black"/>
        </w:rPr>
        <w:t>''''''''''''''''''</w:t>
      </w:r>
      <w:r w:rsidRPr="005F039C">
        <w:t xml:space="preserve"> with no OCT costs for BSC).</w:t>
      </w:r>
    </w:p>
    <w:p w:rsidR="00607D0A" w:rsidRPr="005F039C" w:rsidRDefault="00607D0A" w:rsidP="00607D0A">
      <w:pPr>
        <w:widowControl/>
        <w:rPr>
          <w:szCs w:val="22"/>
        </w:rPr>
      </w:pPr>
    </w:p>
    <w:p w:rsidR="00254021" w:rsidRPr="005F039C" w:rsidRDefault="002D5EB5" w:rsidP="00745891">
      <w:pPr>
        <w:pStyle w:val="ListParagraph"/>
        <w:widowControl/>
        <w:numPr>
          <w:ilvl w:val="1"/>
          <w:numId w:val="2"/>
        </w:numPr>
        <w:rPr>
          <w:i/>
        </w:rPr>
      </w:pPr>
      <w:r w:rsidRPr="005F039C">
        <w:rPr>
          <w:u w:val="single"/>
        </w:rPr>
        <w:t>CMA aflibercept vs. ranibizumab</w:t>
      </w:r>
      <w:r w:rsidRPr="005F039C">
        <w:t>:</w:t>
      </w:r>
      <w:r w:rsidR="00607D0A" w:rsidRPr="005F039C">
        <w:t xml:space="preserve"> </w:t>
      </w:r>
      <w:r w:rsidR="00117C4F" w:rsidRPr="005F039C">
        <w:t>t</w:t>
      </w:r>
      <w:r w:rsidR="00607D0A" w:rsidRPr="005F039C">
        <w:t xml:space="preserve">he equi-effective doses </w:t>
      </w:r>
      <w:r w:rsidR="00E1593D" w:rsidRPr="005F039C">
        <w:t>we</w:t>
      </w:r>
      <w:r w:rsidR="00607D0A" w:rsidRPr="005F039C">
        <w:t xml:space="preserve">re estimated as </w:t>
      </w:r>
      <w:r w:rsidR="00827EDF">
        <w:rPr>
          <w:noProof/>
          <w:color w:val="000000"/>
          <w:highlight w:val="black"/>
        </w:rPr>
        <w:t xml:space="preserve">''''''''''' </w:t>
      </w:r>
      <w:r w:rsidR="00607D0A" w:rsidRPr="005F039C">
        <w:t xml:space="preserve">aflibercept injections over the first year of treatment and </w:t>
      </w:r>
      <w:r w:rsidR="00827EDF">
        <w:rPr>
          <w:noProof/>
          <w:color w:val="000000"/>
          <w:highlight w:val="black"/>
        </w:rPr>
        <w:t>''''''''''''</w:t>
      </w:r>
      <w:r w:rsidR="00607D0A" w:rsidRPr="005F039C">
        <w:t xml:space="preserve"> ranib</w:t>
      </w:r>
      <w:r w:rsidR="00364596" w:rsidRPr="005F039C">
        <w:t>i</w:t>
      </w:r>
      <w:r w:rsidR="00607D0A" w:rsidRPr="005F039C">
        <w:t xml:space="preserve">zumab injections over the first year of treatment.  These estimates </w:t>
      </w:r>
      <w:r w:rsidR="00E1593D" w:rsidRPr="005F039C">
        <w:t>we</w:t>
      </w:r>
      <w:r w:rsidR="00607D0A" w:rsidRPr="005F039C">
        <w:t xml:space="preserve">re based on ranibizumab injection frequency from the CRUISE trial and </w:t>
      </w:r>
      <w:r w:rsidR="003C1D4F" w:rsidRPr="005F039C">
        <w:t>injection frequencies from the GALILEO and COPERNICUS trials (using 6 loading doses).</w:t>
      </w:r>
      <w:r w:rsidR="00A27EBD" w:rsidRPr="005F039C">
        <w:t xml:space="preserve"> </w:t>
      </w:r>
      <w:r w:rsidR="00254021" w:rsidRPr="005F039C">
        <w:t xml:space="preserve"> The ESC noted this approach </w:t>
      </w:r>
      <w:r w:rsidR="00E1593D" w:rsidRPr="005F039C">
        <w:t>wa</w:t>
      </w:r>
      <w:r w:rsidR="00254021" w:rsidRPr="005F039C">
        <w:t>s inconsistent with the loading doses used in the economic model and the bevacizumab cost-minimisation, which both assume</w:t>
      </w:r>
      <w:r w:rsidR="00E1593D" w:rsidRPr="005F039C">
        <w:t>d</w:t>
      </w:r>
      <w:r w:rsidR="00254021" w:rsidRPr="005F039C">
        <w:t xml:space="preserve"> 3 loading doses.</w:t>
      </w:r>
    </w:p>
    <w:p w:rsidR="00607D0A" w:rsidRPr="005F039C" w:rsidRDefault="00607D0A" w:rsidP="00607D0A">
      <w:pPr>
        <w:widowControl/>
        <w:rPr>
          <w:szCs w:val="22"/>
        </w:rPr>
      </w:pPr>
    </w:p>
    <w:p w:rsidR="00254021" w:rsidRPr="005F039C" w:rsidRDefault="00254021" w:rsidP="00254021">
      <w:pPr>
        <w:keepNext/>
        <w:keepLines/>
        <w:ind w:left="720"/>
        <w:rPr>
          <w:rFonts w:ascii="Arial Narrow" w:hAnsi="Arial Narrow"/>
          <w:b/>
          <w:bCs/>
          <w:sz w:val="20"/>
        </w:rPr>
      </w:pPr>
      <w:r w:rsidRPr="005F039C">
        <w:rPr>
          <w:rFonts w:ascii="Arial Narrow" w:hAnsi="Arial Narrow"/>
          <w:b/>
          <w:bCs/>
          <w:sz w:val="20"/>
        </w:rPr>
        <w:t xml:space="preserve">Comparison of treatment costs of aflibercept and ranibizumab: under the three dosing dose regimen for aflibercept </w:t>
      </w:r>
    </w:p>
    <w:tbl>
      <w:tblPr>
        <w:tblStyle w:val="TableGrid5"/>
        <w:tblW w:w="4558" w:type="pct"/>
        <w:tblInd w:w="817" w:type="dxa"/>
        <w:tblLayout w:type="fixed"/>
        <w:tblLook w:val="04A0" w:firstRow="1" w:lastRow="0" w:firstColumn="1" w:lastColumn="0" w:noHBand="0" w:noVBand="1"/>
      </w:tblPr>
      <w:tblGrid>
        <w:gridCol w:w="2553"/>
        <w:gridCol w:w="2266"/>
        <w:gridCol w:w="1843"/>
        <w:gridCol w:w="1763"/>
      </w:tblGrid>
      <w:tr w:rsidR="00254021" w:rsidRPr="005F039C">
        <w:tc>
          <w:tcPr>
            <w:tcW w:w="1515" w:type="pct"/>
          </w:tcPr>
          <w:p w:rsidR="00254021" w:rsidRPr="005F039C" w:rsidRDefault="00254021" w:rsidP="008C1E02">
            <w:pPr>
              <w:keepNext/>
              <w:keepLines/>
              <w:widowControl/>
              <w:jc w:val="left"/>
              <w:rPr>
                <w:rFonts w:ascii="Arial Narrow" w:hAnsi="Arial Narrow" w:cs="Times New Roman"/>
                <w:b/>
                <w:sz w:val="20"/>
                <w:szCs w:val="22"/>
                <w:lang w:eastAsia="en-AU"/>
              </w:rPr>
            </w:pPr>
            <w:r w:rsidRPr="005F039C">
              <w:rPr>
                <w:rFonts w:ascii="Arial Narrow" w:hAnsi="Arial Narrow" w:cs="Times New Roman"/>
                <w:b/>
                <w:sz w:val="20"/>
                <w:szCs w:val="22"/>
                <w:lang w:eastAsia="en-AU"/>
              </w:rPr>
              <w:t>Treatment period</w:t>
            </w:r>
            <w:r w:rsidRPr="005F039C">
              <w:rPr>
                <w:rFonts w:ascii="Arial Narrow" w:hAnsi="Arial Narrow" w:cs="Times New Roman"/>
                <w:b/>
                <w:sz w:val="20"/>
                <w:szCs w:val="22"/>
                <w:lang w:eastAsia="en-AU"/>
              </w:rPr>
              <w:br/>
              <w:t>(months)</w:t>
            </w:r>
          </w:p>
        </w:tc>
        <w:tc>
          <w:tcPr>
            <w:tcW w:w="1345" w:type="pct"/>
          </w:tcPr>
          <w:p w:rsidR="00254021" w:rsidRPr="005F039C" w:rsidRDefault="00254021" w:rsidP="00987EA2">
            <w:pPr>
              <w:keepNext/>
              <w:keepLines/>
              <w:widowControl/>
              <w:jc w:val="center"/>
              <w:rPr>
                <w:rFonts w:ascii="Arial Narrow" w:hAnsi="Arial Narrow" w:cs="Times New Roman"/>
                <w:b/>
                <w:sz w:val="20"/>
                <w:szCs w:val="22"/>
                <w:lang w:eastAsia="en-AU"/>
              </w:rPr>
            </w:pPr>
            <w:r w:rsidRPr="005F039C">
              <w:rPr>
                <w:rFonts w:ascii="Arial Narrow" w:hAnsi="Arial Narrow" w:cs="Times New Roman"/>
                <w:b/>
                <w:sz w:val="20"/>
                <w:szCs w:val="22"/>
                <w:lang w:eastAsia="en-AU"/>
              </w:rPr>
              <w:t>Aflibercept</w:t>
            </w:r>
            <w:r w:rsidRPr="005F039C">
              <w:rPr>
                <w:rFonts w:ascii="Arial Narrow" w:hAnsi="Arial Narrow" w:cs="Times New Roman"/>
                <w:b/>
                <w:sz w:val="20"/>
                <w:szCs w:val="22"/>
                <w:lang w:eastAsia="en-AU"/>
              </w:rPr>
              <w:br/>
              <w:t>(3 loading doses)</w:t>
            </w:r>
          </w:p>
        </w:tc>
        <w:tc>
          <w:tcPr>
            <w:tcW w:w="1094" w:type="pct"/>
          </w:tcPr>
          <w:p w:rsidR="00254021" w:rsidRPr="005F039C" w:rsidRDefault="00254021" w:rsidP="00987EA2">
            <w:pPr>
              <w:keepNext/>
              <w:keepLines/>
              <w:widowControl/>
              <w:jc w:val="center"/>
              <w:rPr>
                <w:rFonts w:ascii="Arial Narrow" w:hAnsi="Arial Narrow" w:cs="Times New Roman"/>
                <w:b/>
                <w:sz w:val="20"/>
                <w:szCs w:val="22"/>
                <w:lang w:eastAsia="en-AU"/>
              </w:rPr>
            </w:pPr>
            <w:r w:rsidRPr="005F039C">
              <w:rPr>
                <w:rFonts w:ascii="Arial Narrow" w:hAnsi="Arial Narrow" w:cs="Times New Roman"/>
                <w:b/>
                <w:sz w:val="20"/>
                <w:szCs w:val="22"/>
                <w:lang w:eastAsia="en-AU"/>
              </w:rPr>
              <w:t>Aflibercept</w:t>
            </w:r>
            <w:r w:rsidRPr="005F039C">
              <w:rPr>
                <w:rFonts w:ascii="Arial Narrow" w:hAnsi="Arial Narrow" w:cs="Times New Roman"/>
                <w:b/>
                <w:sz w:val="20"/>
                <w:szCs w:val="22"/>
                <w:lang w:eastAsia="en-AU"/>
              </w:rPr>
              <w:br/>
              <w:t>(6 loading doses)</w:t>
            </w:r>
          </w:p>
        </w:tc>
        <w:tc>
          <w:tcPr>
            <w:tcW w:w="1046" w:type="pct"/>
          </w:tcPr>
          <w:p w:rsidR="00254021" w:rsidRPr="005F039C" w:rsidRDefault="00254021" w:rsidP="00987EA2">
            <w:pPr>
              <w:keepNext/>
              <w:keepLines/>
              <w:widowControl/>
              <w:jc w:val="center"/>
              <w:rPr>
                <w:rFonts w:ascii="Arial Narrow" w:hAnsi="Arial Narrow" w:cs="Times New Roman"/>
                <w:b/>
                <w:sz w:val="20"/>
                <w:szCs w:val="22"/>
                <w:lang w:eastAsia="en-AU"/>
              </w:rPr>
            </w:pPr>
            <w:r w:rsidRPr="005F039C">
              <w:rPr>
                <w:rFonts w:ascii="Arial Narrow" w:hAnsi="Arial Narrow" w:cs="Times New Roman"/>
                <w:b/>
                <w:sz w:val="20"/>
                <w:szCs w:val="22"/>
                <w:lang w:eastAsia="en-AU"/>
              </w:rPr>
              <w:t>Ranibizumab</w:t>
            </w:r>
            <w:r w:rsidRPr="005F039C">
              <w:rPr>
                <w:rFonts w:ascii="Arial Narrow" w:hAnsi="Arial Narrow" w:cs="Times New Roman"/>
                <w:b/>
                <w:sz w:val="20"/>
                <w:szCs w:val="22"/>
                <w:lang w:eastAsia="en-AU"/>
              </w:rPr>
              <w:br/>
              <w:t>(6 loading doses)</w:t>
            </w:r>
          </w:p>
        </w:tc>
      </w:tr>
      <w:tr w:rsidR="00254021" w:rsidRPr="005F039C">
        <w:tc>
          <w:tcPr>
            <w:tcW w:w="1515" w:type="pct"/>
          </w:tcPr>
          <w:p w:rsidR="00254021" w:rsidRPr="005F039C" w:rsidRDefault="00254021" w:rsidP="008C1E02">
            <w:pPr>
              <w:keepNext/>
              <w:keepLines/>
              <w:widowControl/>
              <w:jc w:val="left"/>
              <w:rPr>
                <w:rFonts w:ascii="Arial Narrow" w:hAnsi="Arial Narrow" w:cs="Times New Roman"/>
                <w:sz w:val="20"/>
                <w:szCs w:val="22"/>
                <w:lang w:eastAsia="en-AU"/>
              </w:rPr>
            </w:pPr>
            <w:r w:rsidRPr="005F039C">
              <w:rPr>
                <w:rFonts w:ascii="Arial Narrow" w:hAnsi="Arial Narrow" w:cs="Times New Roman"/>
                <w:sz w:val="20"/>
                <w:szCs w:val="22"/>
                <w:lang w:eastAsia="en-AU"/>
              </w:rPr>
              <w:t xml:space="preserve">  1 – 3</w:t>
            </w:r>
          </w:p>
        </w:tc>
        <w:tc>
          <w:tcPr>
            <w:tcW w:w="1345" w:type="pct"/>
          </w:tcPr>
          <w:p w:rsidR="00254021" w:rsidRPr="00827EDF" w:rsidRDefault="00827EDF" w:rsidP="00987EA2">
            <w:pPr>
              <w:keepNext/>
              <w:keepLines/>
              <w:widowControl/>
              <w:jc w:val="center"/>
              <w:rPr>
                <w:rFonts w:ascii="Arial Narrow" w:hAnsi="Arial Narrow" w:cs="Times New Roman"/>
                <w:sz w:val="20"/>
                <w:szCs w:val="22"/>
                <w:highlight w:val="black"/>
                <w:lang w:eastAsia="en-AU"/>
              </w:rPr>
            </w:pPr>
            <w:r>
              <w:rPr>
                <w:rFonts w:ascii="Arial Narrow" w:hAnsi="Arial Narrow" w:cs="Times New Roman"/>
                <w:noProof/>
                <w:color w:val="000000"/>
                <w:sz w:val="20"/>
                <w:szCs w:val="22"/>
                <w:highlight w:val="black"/>
                <w:lang w:eastAsia="en-AU"/>
              </w:rPr>
              <w:t>''''''''''</w:t>
            </w:r>
          </w:p>
        </w:tc>
        <w:tc>
          <w:tcPr>
            <w:tcW w:w="1094" w:type="pct"/>
          </w:tcPr>
          <w:p w:rsidR="00254021" w:rsidRPr="00827EDF" w:rsidRDefault="00827EDF" w:rsidP="00987EA2">
            <w:pPr>
              <w:keepNext/>
              <w:keepLines/>
              <w:widowControl/>
              <w:jc w:val="center"/>
              <w:rPr>
                <w:rFonts w:ascii="Arial Narrow" w:hAnsi="Arial Narrow" w:cs="Times New Roman"/>
                <w:sz w:val="20"/>
                <w:szCs w:val="22"/>
                <w:highlight w:val="black"/>
                <w:lang w:eastAsia="en-AU"/>
              </w:rPr>
            </w:pPr>
            <w:r>
              <w:rPr>
                <w:rFonts w:ascii="Arial Narrow" w:hAnsi="Arial Narrow" w:cs="Times New Roman"/>
                <w:noProof/>
                <w:color w:val="000000"/>
                <w:sz w:val="20"/>
                <w:szCs w:val="22"/>
                <w:highlight w:val="black"/>
                <w:lang w:eastAsia="en-AU"/>
              </w:rPr>
              <w:t>''''''''''''</w:t>
            </w:r>
          </w:p>
        </w:tc>
        <w:tc>
          <w:tcPr>
            <w:tcW w:w="1046" w:type="pct"/>
          </w:tcPr>
          <w:p w:rsidR="00254021" w:rsidRPr="00827EDF" w:rsidRDefault="00827EDF" w:rsidP="00987EA2">
            <w:pPr>
              <w:keepNext/>
              <w:keepLines/>
              <w:widowControl/>
              <w:jc w:val="center"/>
              <w:rPr>
                <w:rFonts w:ascii="Arial Narrow" w:hAnsi="Arial Narrow" w:cs="Times New Roman"/>
                <w:sz w:val="20"/>
                <w:szCs w:val="22"/>
                <w:highlight w:val="black"/>
                <w:lang w:eastAsia="en-AU"/>
              </w:rPr>
            </w:pPr>
            <w:r>
              <w:rPr>
                <w:rFonts w:ascii="Arial Narrow" w:hAnsi="Arial Narrow" w:cs="Times New Roman"/>
                <w:noProof/>
                <w:color w:val="000000"/>
                <w:sz w:val="20"/>
                <w:szCs w:val="22"/>
                <w:highlight w:val="black"/>
                <w:lang w:eastAsia="en-AU"/>
              </w:rPr>
              <w:t>''''''''''''</w:t>
            </w:r>
          </w:p>
        </w:tc>
      </w:tr>
      <w:tr w:rsidR="00254021" w:rsidRPr="005F039C">
        <w:tc>
          <w:tcPr>
            <w:tcW w:w="1515" w:type="pct"/>
          </w:tcPr>
          <w:p w:rsidR="00254021" w:rsidRPr="005F039C" w:rsidRDefault="00254021" w:rsidP="008C1E02">
            <w:pPr>
              <w:keepNext/>
              <w:keepLines/>
              <w:widowControl/>
              <w:jc w:val="left"/>
              <w:rPr>
                <w:rFonts w:ascii="Arial Narrow" w:hAnsi="Arial Narrow" w:cs="Times New Roman"/>
                <w:sz w:val="20"/>
                <w:szCs w:val="22"/>
                <w:lang w:eastAsia="en-AU"/>
              </w:rPr>
            </w:pPr>
            <w:r w:rsidRPr="005F039C">
              <w:rPr>
                <w:rFonts w:ascii="Arial Narrow" w:hAnsi="Arial Narrow" w:cs="Times New Roman"/>
                <w:sz w:val="20"/>
                <w:szCs w:val="22"/>
                <w:lang w:eastAsia="en-AU"/>
              </w:rPr>
              <w:t xml:space="preserve">  4 – 6</w:t>
            </w:r>
          </w:p>
        </w:tc>
        <w:tc>
          <w:tcPr>
            <w:tcW w:w="1345" w:type="pct"/>
          </w:tcPr>
          <w:p w:rsidR="00254021" w:rsidRPr="00827EDF" w:rsidRDefault="00827EDF" w:rsidP="00E1593D">
            <w:pPr>
              <w:keepNext/>
              <w:keepLines/>
              <w:widowControl/>
              <w:jc w:val="center"/>
              <w:rPr>
                <w:rFonts w:ascii="Arial Narrow" w:hAnsi="Arial Narrow" w:cs="Times New Roman"/>
                <w:sz w:val="20"/>
                <w:szCs w:val="22"/>
                <w:highlight w:val="black"/>
                <w:lang w:eastAsia="en-AU"/>
              </w:rPr>
            </w:pPr>
            <w:r>
              <w:rPr>
                <w:rFonts w:ascii="Arial Narrow" w:hAnsi="Arial Narrow" w:cs="Times New Roman"/>
                <w:noProof/>
                <w:color w:val="000000"/>
                <w:sz w:val="20"/>
                <w:szCs w:val="22"/>
                <w:highlight w:val="black"/>
                <w:lang w:eastAsia="en-AU"/>
              </w:rPr>
              <w:t>'''''''''''</w:t>
            </w:r>
          </w:p>
          <w:p w:rsidR="00254021" w:rsidRPr="005F039C" w:rsidRDefault="00254021" w:rsidP="008C1E02">
            <w:pPr>
              <w:keepNext/>
              <w:keepLines/>
              <w:widowControl/>
              <w:jc w:val="left"/>
              <w:rPr>
                <w:rFonts w:ascii="Arial Narrow" w:hAnsi="Arial Narrow" w:cs="Times New Roman"/>
                <w:sz w:val="20"/>
                <w:szCs w:val="22"/>
                <w:lang w:eastAsia="en-AU"/>
              </w:rPr>
            </w:pPr>
            <w:r w:rsidRPr="005F039C">
              <w:rPr>
                <w:rFonts w:ascii="Arial Narrow" w:hAnsi="Arial Narrow" w:cs="Times New Roman"/>
                <w:sz w:val="20"/>
                <w:szCs w:val="22"/>
                <w:lang w:eastAsia="en-AU"/>
              </w:rPr>
              <w:t>(assumption based on the dose frequency observed in the 7-12 month period)</w:t>
            </w:r>
          </w:p>
        </w:tc>
        <w:tc>
          <w:tcPr>
            <w:tcW w:w="1094" w:type="pct"/>
          </w:tcPr>
          <w:p w:rsidR="00254021" w:rsidRPr="00827EDF" w:rsidRDefault="00827EDF" w:rsidP="00987EA2">
            <w:pPr>
              <w:keepNext/>
              <w:keepLines/>
              <w:widowControl/>
              <w:jc w:val="center"/>
              <w:rPr>
                <w:rFonts w:ascii="Arial Narrow" w:hAnsi="Arial Narrow" w:cs="Times New Roman"/>
                <w:sz w:val="20"/>
                <w:szCs w:val="22"/>
                <w:highlight w:val="black"/>
                <w:lang w:eastAsia="en-AU"/>
              </w:rPr>
            </w:pPr>
            <w:r>
              <w:rPr>
                <w:rFonts w:ascii="Arial Narrow" w:hAnsi="Arial Narrow" w:cs="Times New Roman"/>
                <w:noProof/>
                <w:color w:val="000000"/>
                <w:sz w:val="20"/>
                <w:szCs w:val="22"/>
                <w:highlight w:val="black"/>
                <w:lang w:eastAsia="en-AU"/>
              </w:rPr>
              <w:t>'''''''''''</w:t>
            </w:r>
          </w:p>
        </w:tc>
        <w:tc>
          <w:tcPr>
            <w:tcW w:w="1046" w:type="pct"/>
          </w:tcPr>
          <w:p w:rsidR="00254021" w:rsidRPr="00827EDF" w:rsidRDefault="00827EDF" w:rsidP="00987EA2">
            <w:pPr>
              <w:keepNext/>
              <w:keepLines/>
              <w:widowControl/>
              <w:jc w:val="center"/>
              <w:rPr>
                <w:rFonts w:ascii="Arial Narrow" w:hAnsi="Arial Narrow" w:cs="Times New Roman"/>
                <w:sz w:val="20"/>
                <w:szCs w:val="22"/>
                <w:highlight w:val="black"/>
                <w:lang w:eastAsia="en-AU"/>
              </w:rPr>
            </w:pPr>
            <w:r>
              <w:rPr>
                <w:rFonts w:ascii="Arial Narrow" w:hAnsi="Arial Narrow" w:cs="Times New Roman"/>
                <w:noProof/>
                <w:color w:val="000000"/>
                <w:sz w:val="20"/>
                <w:szCs w:val="22"/>
                <w:highlight w:val="black"/>
                <w:lang w:eastAsia="en-AU"/>
              </w:rPr>
              <w:t>''''''''''</w:t>
            </w:r>
          </w:p>
          <w:p w:rsidR="00254021" w:rsidRPr="005F039C" w:rsidRDefault="00254021" w:rsidP="008C1E02">
            <w:pPr>
              <w:keepNext/>
              <w:keepLines/>
              <w:widowControl/>
              <w:jc w:val="left"/>
              <w:rPr>
                <w:rFonts w:ascii="Arial Narrow" w:hAnsi="Arial Narrow" w:cs="Times New Roman"/>
                <w:sz w:val="20"/>
                <w:szCs w:val="22"/>
                <w:lang w:eastAsia="en-AU"/>
              </w:rPr>
            </w:pPr>
            <w:r w:rsidRPr="005F039C">
              <w:rPr>
                <w:rFonts w:ascii="Arial Narrow" w:hAnsi="Arial Narrow" w:cs="Times New Roman"/>
                <w:sz w:val="20"/>
                <w:szCs w:val="22"/>
                <w:lang w:eastAsia="en-AU"/>
              </w:rPr>
              <w:t>(as per the PI)</w:t>
            </w:r>
          </w:p>
        </w:tc>
      </w:tr>
      <w:tr w:rsidR="00254021" w:rsidRPr="005F039C">
        <w:tc>
          <w:tcPr>
            <w:tcW w:w="1515" w:type="pct"/>
          </w:tcPr>
          <w:p w:rsidR="00254021" w:rsidRPr="005F039C" w:rsidRDefault="00254021" w:rsidP="008C1E02">
            <w:pPr>
              <w:keepNext/>
              <w:keepLines/>
              <w:widowControl/>
              <w:jc w:val="left"/>
              <w:rPr>
                <w:rFonts w:ascii="Arial Narrow" w:hAnsi="Arial Narrow" w:cs="Times New Roman"/>
                <w:sz w:val="20"/>
                <w:szCs w:val="22"/>
                <w:lang w:eastAsia="en-AU"/>
              </w:rPr>
            </w:pPr>
            <w:r w:rsidRPr="005F039C">
              <w:rPr>
                <w:rFonts w:ascii="Arial Narrow" w:hAnsi="Arial Narrow" w:cs="Times New Roman"/>
                <w:sz w:val="20"/>
                <w:szCs w:val="22"/>
                <w:lang w:eastAsia="en-AU"/>
              </w:rPr>
              <w:t xml:space="preserve">  7 – 12</w:t>
            </w:r>
          </w:p>
        </w:tc>
        <w:tc>
          <w:tcPr>
            <w:tcW w:w="1345" w:type="pct"/>
          </w:tcPr>
          <w:p w:rsidR="00254021" w:rsidRPr="00827EDF" w:rsidRDefault="00827EDF" w:rsidP="00987EA2">
            <w:pPr>
              <w:keepNext/>
              <w:keepLines/>
              <w:widowControl/>
              <w:jc w:val="center"/>
              <w:rPr>
                <w:rFonts w:ascii="Arial Narrow" w:hAnsi="Arial Narrow" w:cs="Times New Roman"/>
                <w:sz w:val="20"/>
                <w:szCs w:val="22"/>
                <w:highlight w:val="black"/>
                <w:lang w:eastAsia="en-AU"/>
              </w:rPr>
            </w:pPr>
            <w:r>
              <w:rPr>
                <w:rFonts w:ascii="Arial Narrow" w:hAnsi="Arial Narrow" w:cs="Times New Roman"/>
                <w:noProof/>
                <w:color w:val="000000"/>
                <w:sz w:val="20"/>
                <w:szCs w:val="22"/>
                <w:highlight w:val="black"/>
                <w:lang w:eastAsia="en-AU"/>
              </w:rPr>
              <w:t>'''''''''''</w:t>
            </w:r>
          </w:p>
          <w:p w:rsidR="00254021" w:rsidRPr="005F039C" w:rsidRDefault="00254021" w:rsidP="008C1E02">
            <w:pPr>
              <w:keepNext/>
              <w:keepLines/>
              <w:widowControl/>
              <w:jc w:val="left"/>
              <w:rPr>
                <w:rFonts w:ascii="Arial Narrow" w:hAnsi="Arial Narrow" w:cs="Times New Roman"/>
                <w:sz w:val="20"/>
                <w:szCs w:val="22"/>
                <w:lang w:eastAsia="en-AU"/>
              </w:rPr>
            </w:pPr>
            <w:r w:rsidRPr="005F039C">
              <w:rPr>
                <w:rFonts w:ascii="Arial Narrow" w:hAnsi="Arial Narrow" w:cs="Times New Roman"/>
                <w:sz w:val="20"/>
                <w:szCs w:val="22"/>
                <w:lang w:eastAsia="en-AU"/>
              </w:rPr>
              <w:t>(based on GALILEO and COPERNICUS)</w:t>
            </w:r>
          </w:p>
        </w:tc>
        <w:tc>
          <w:tcPr>
            <w:tcW w:w="1094" w:type="pct"/>
          </w:tcPr>
          <w:p w:rsidR="00254021" w:rsidRPr="00827EDF" w:rsidRDefault="00827EDF" w:rsidP="00987EA2">
            <w:pPr>
              <w:keepNext/>
              <w:keepLines/>
              <w:widowControl/>
              <w:jc w:val="center"/>
              <w:rPr>
                <w:rFonts w:ascii="Arial Narrow" w:hAnsi="Arial Narrow" w:cs="Times New Roman"/>
                <w:sz w:val="20"/>
                <w:szCs w:val="22"/>
                <w:highlight w:val="black"/>
                <w:lang w:eastAsia="en-AU"/>
              </w:rPr>
            </w:pPr>
            <w:r>
              <w:rPr>
                <w:rFonts w:ascii="Arial Narrow" w:hAnsi="Arial Narrow" w:cs="Times New Roman"/>
                <w:noProof/>
                <w:color w:val="000000"/>
                <w:sz w:val="20"/>
                <w:szCs w:val="22"/>
                <w:highlight w:val="black"/>
                <w:lang w:eastAsia="en-AU"/>
              </w:rPr>
              <w:t>''''''''''</w:t>
            </w:r>
          </w:p>
        </w:tc>
        <w:tc>
          <w:tcPr>
            <w:tcW w:w="1046" w:type="pct"/>
          </w:tcPr>
          <w:p w:rsidR="00254021" w:rsidRPr="00827EDF" w:rsidRDefault="00827EDF" w:rsidP="00987EA2">
            <w:pPr>
              <w:keepNext/>
              <w:keepLines/>
              <w:widowControl/>
              <w:jc w:val="center"/>
              <w:rPr>
                <w:rFonts w:ascii="Arial Narrow" w:hAnsi="Arial Narrow" w:cs="Times New Roman"/>
                <w:sz w:val="20"/>
                <w:szCs w:val="22"/>
                <w:highlight w:val="black"/>
                <w:lang w:eastAsia="en-AU"/>
              </w:rPr>
            </w:pPr>
            <w:r>
              <w:rPr>
                <w:rFonts w:ascii="Arial Narrow" w:hAnsi="Arial Narrow" w:cs="Times New Roman"/>
                <w:noProof/>
                <w:color w:val="000000"/>
                <w:sz w:val="20"/>
                <w:szCs w:val="22"/>
                <w:highlight w:val="black"/>
                <w:lang w:eastAsia="en-AU"/>
              </w:rPr>
              <w:t>''''''''''''</w:t>
            </w:r>
          </w:p>
          <w:p w:rsidR="00254021" w:rsidRPr="005F039C" w:rsidRDefault="00254021" w:rsidP="008C1E02">
            <w:pPr>
              <w:keepNext/>
              <w:keepLines/>
              <w:widowControl/>
              <w:jc w:val="left"/>
              <w:rPr>
                <w:rFonts w:ascii="Arial Narrow" w:hAnsi="Arial Narrow" w:cs="Times New Roman"/>
                <w:sz w:val="20"/>
                <w:szCs w:val="22"/>
                <w:lang w:eastAsia="en-AU"/>
              </w:rPr>
            </w:pPr>
            <w:r w:rsidRPr="005F039C">
              <w:rPr>
                <w:rFonts w:ascii="Arial Narrow" w:hAnsi="Arial Narrow" w:cs="Times New Roman"/>
                <w:sz w:val="20"/>
                <w:szCs w:val="22"/>
                <w:lang w:eastAsia="en-AU"/>
              </w:rPr>
              <w:t>(based on CRUISE)</w:t>
            </w:r>
          </w:p>
        </w:tc>
      </w:tr>
      <w:tr w:rsidR="00254021" w:rsidRPr="005F039C">
        <w:tc>
          <w:tcPr>
            <w:tcW w:w="1515" w:type="pct"/>
          </w:tcPr>
          <w:p w:rsidR="00254021" w:rsidRPr="005F039C" w:rsidRDefault="00254021" w:rsidP="008C1E02">
            <w:pPr>
              <w:keepNext/>
              <w:keepLines/>
              <w:widowControl/>
              <w:jc w:val="left"/>
              <w:rPr>
                <w:rFonts w:ascii="Arial Narrow" w:hAnsi="Arial Narrow" w:cs="Times New Roman"/>
                <w:sz w:val="20"/>
                <w:szCs w:val="22"/>
                <w:lang w:eastAsia="en-AU"/>
              </w:rPr>
            </w:pPr>
            <w:r w:rsidRPr="005F039C">
              <w:rPr>
                <w:rFonts w:ascii="Arial Narrow" w:hAnsi="Arial Narrow" w:cs="Times New Roman"/>
                <w:sz w:val="20"/>
                <w:szCs w:val="22"/>
                <w:lang w:eastAsia="en-AU"/>
              </w:rPr>
              <w:t>Total injections in the first 12 months of treatment</w:t>
            </w:r>
          </w:p>
        </w:tc>
        <w:tc>
          <w:tcPr>
            <w:tcW w:w="1345" w:type="pct"/>
          </w:tcPr>
          <w:p w:rsidR="00254021" w:rsidRPr="00827EDF" w:rsidRDefault="00827EDF" w:rsidP="00987EA2">
            <w:pPr>
              <w:keepNext/>
              <w:keepLines/>
              <w:widowControl/>
              <w:jc w:val="center"/>
              <w:rPr>
                <w:rFonts w:ascii="Arial Narrow" w:hAnsi="Arial Narrow" w:cs="Times New Roman"/>
                <w:sz w:val="20"/>
                <w:szCs w:val="22"/>
                <w:highlight w:val="black"/>
                <w:lang w:eastAsia="en-AU"/>
              </w:rPr>
            </w:pPr>
            <w:r>
              <w:rPr>
                <w:rFonts w:ascii="Arial Narrow" w:hAnsi="Arial Narrow" w:cs="Times New Roman"/>
                <w:noProof/>
                <w:color w:val="000000"/>
                <w:sz w:val="20"/>
                <w:szCs w:val="22"/>
                <w:highlight w:val="black"/>
                <w:lang w:eastAsia="en-AU"/>
              </w:rPr>
              <w:t>''''''''''</w:t>
            </w:r>
          </w:p>
        </w:tc>
        <w:tc>
          <w:tcPr>
            <w:tcW w:w="1094" w:type="pct"/>
          </w:tcPr>
          <w:p w:rsidR="00254021" w:rsidRPr="00827EDF" w:rsidRDefault="00827EDF" w:rsidP="00987EA2">
            <w:pPr>
              <w:keepNext/>
              <w:keepLines/>
              <w:widowControl/>
              <w:jc w:val="center"/>
              <w:rPr>
                <w:rFonts w:ascii="Arial Narrow" w:hAnsi="Arial Narrow" w:cs="Times New Roman"/>
                <w:sz w:val="20"/>
                <w:szCs w:val="22"/>
                <w:highlight w:val="black"/>
                <w:lang w:eastAsia="en-AU"/>
              </w:rPr>
            </w:pPr>
            <w:r>
              <w:rPr>
                <w:rFonts w:ascii="Arial Narrow" w:hAnsi="Arial Narrow" w:cs="Times New Roman"/>
                <w:noProof/>
                <w:color w:val="000000"/>
                <w:sz w:val="20"/>
                <w:szCs w:val="22"/>
                <w:highlight w:val="black"/>
                <w:lang w:eastAsia="en-AU"/>
              </w:rPr>
              <w:t>''''''''''</w:t>
            </w:r>
          </w:p>
        </w:tc>
        <w:tc>
          <w:tcPr>
            <w:tcW w:w="1046" w:type="pct"/>
          </w:tcPr>
          <w:p w:rsidR="00254021" w:rsidRPr="00827EDF" w:rsidRDefault="00827EDF" w:rsidP="00987EA2">
            <w:pPr>
              <w:keepNext/>
              <w:keepLines/>
              <w:widowControl/>
              <w:jc w:val="center"/>
              <w:rPr>
                <w:rFonts w:ascii="Arial Narrow" w:hAnsi="Arial Narrow" w:cs="Times New Roman"/>
                <w:sz w:val="20"/>
                <w:szCs w:val="22"/>
                <w:highlight w:val="black"/>
                <w:lang w:eastAsia="en-AU"/>
              </w:rPr>
            </w:pPr>
            <w:r>
              <w:rPr>
                <w:rFonts w:ascii="Arial Narrow" w:hAnsi="Arial Narrow" w:cs="Times New Roman"/>
                <w:noProof/>
                <w:color w:val="000000"/>
                <w:sz w:val="20"/>
                <w:szCs w:val="22"/>
                <w:highlight w:val="black"/>
                <w:lang w:eastAsia="en-AU"/>
              </w:rPr>
              <w:t>''''''''''</w:t>
            </w:r>
          </w:p>
        </w:tc>
      </w:tr>
      <w:tr w:rsidR="00254021" w:rsidRPr="005F039C">
        <w:tc>
          <w:tcPr>
            <w:tcW w:w="1515" w:type="pct"/>
          </w:tcPr>
          <w:p w:rsidR="00254021" w:rsidRPr="005F039C" w:rsidRDefault="00254021" w:rsidP="008C1E02">
            <w:pPr>
              <w:keepNext/>
              <w:keepLines/>
              <w:widowControl/>
              <w:jc w:val="left"/>
              <w:rPr>
                <w:rFonts w:ascii="Arial Narrow" w:hAnsi="Arial Narrow" w:cs="Times New Roman"/>
                <w:b/>
                <w:sz w:val="20"/>
                <w:szCs w:val="22"/>
                <w:lang w:eastAsia="en-AU"/>
              </w:rPr>
            </w:pPr>
            <w:r w:rsidRPr="005F039C">
              <w:rPr>
                <w:rFonts w:ascii="Arial Narrow" w:hAnsi="Arial Narrow" w:cs="Times New Roman"/>
                <w:b/>
                <w:sz w:val="20"/>
                <w:szCs w:val="22"/>
                <w:lang w:eastAsia="en-AU"/>
              </w:rPr>
              <w:t>Price premium relative to ranibizumab</w:t>
            </w:r>
          </w:p>
        </w:tc>
        <w:tc>
          <w:tcPr>
            <w:tcW w:w="1345" w:type="pct"/>
          </w:tcPr>
          <w:p w:rsidR="00254021" w:rsidRPr="00827EDF" w:rsidRDefault="00827EDF" w:rsidP="00987EA2">
            <w:pPr>
              <w:keepNext/>
              <w:keepLines/>
              <w:widowControl/>
              <w:jc w:val="center"/>
              <w:rPr>
                <w:rFonts w:ascii="Arial Narrow" w:hAnsi="Arial Narrow" w:cs="Times New Roman"/>
                <w:b/>
                <w:sz w:val="20"/>
                <w:szCs w:val="22"/>
                <w:highlight w:val="black"/>
                <w:lang w:eastAsia="en-AU"/>
              </w:rPr>
            </w:pPr>
            <w:r>
              <w:rPr>
                <w:rFonts w:ascii="Arial Narrow" w:hAnsi="Arial Narrow" w:cs="Times New Roman"/>
                <w:b/>
                <w:noProof/>
                <w:color w:val="000000"/>
                <w:sz w:val="20"/>
                <w:szCs w:val="22"/>
                <w:highlight w:val="black"/>
                <w:lang w:eastAsia="en-AU"/>
              </w:rPr>
              <w:t>'''''''''''''</w:t>
            </w:r>
          </w:p>
        </w:tc>
        <w:tc>
          <w:tcPr>
            <w:tcW w:w="1094" w:type="pct"/>
          </w:tcPr>
          <w:p w:rsidR="00254021" w:rsidRPr="00827EDF" w:rsidRDefault="00827EDF" w:rsidP="00987EA2">
            <w:pPr>
              <w:keepNext/>
              <w:keepLines/>
              <w:widowControl/>
              <w:jc w:val="center"/>
              <w:rPr>
                <w:rFonts w:ascii="Arial Narrow" w:hAnsi="Arial Narrow" w:cs="Times New Roman"/>
                <w:b/>
                <w:sz w:val="20"/>
                <w:szCs w:val="22"/>
                <w:highlight w:val="black"/>
                <w:lang w:eastAsia="en-AU"/>
              </w:rPr>
            </w:pPr>
            <w:r>
              <w:rPr>
                <w:rFonts w:ascii="Arial Narrow" w:hAnsi="Arial Narrow" w:cs="Times New Roman"/>
                <w:b/>
                <w:noProof/>
                <w:color w:val="000000"/>
                <w:sz w:val="20"/>
                <w:szCs w:val="22"/>
                <w:highlight w:val="black"/>
                <w:lang w:eastAsia="en-AU"/>
              </w:rPr>
              <w:t>''''''''''''</w:t>
            </w:r>
          </w:p>
        </w:tc>
        <w:tc>
          <w:tcPr>
            <w:tcW w:w="1046" w:type="pct"/>
          </w:tcPr>
          <w:p w:rsidR="00254021" w:rsidRPr="00827EDF" w:rsidRDefault="00827EDF" w:rsidP="00987EA2">
            <w:pPr>
              <w:keepNext/>
              <w:keepLines/>
              <w:widowControl/>
              <w:jc w:val="center"/>
              <w:rPr>
                <w:rFonts w:ascii="Arial Narrow" w:hAnsi="Arial Narrow" w:cs="Times New Roman"/>
                <w:b/>
                <w:sz w:val="20"/>
                <w:szCs w:val="22"/>
                <w:highlight w:val="black"/>
                <w:lang w:eastAsia="en-AU"/>
              </w:rPr>
            </w:pPr>
            <w:r>
              <w:rPr>
                <w:rFonts w:ascii="Arial Narrow" w:hAnsi="Arial Narrow" w:cs="Times New Roman"/>
                <w:b/>
                <w:noProof/>
                <w:color w:val="000000"/>
                <w:sz w:val="20"/>
                <w:szCs w:val="22"/>
                <w:highlight w:val="black"/>
                <w:lang w:eastAsia="en-AU"/>
              </w:rPr>
              <w:t>''</w:t>
            </w:r>
          </w:p>
        </w:tc>
      </w:tr>
    </w:tbl>
    <w:p w:rsidR="00254021" w:rsidRPr="005F039C" w:rsidRDefault="00254021" w:rsidP="00254021">
      <w:pPr>
        <w:ind w:firstLine="720"/>
        <w:contextualSpacing/>
        <w:rPr>
          <w:rFonts w:ascii="Arial Narrow" w:hAnsi="Arial Narrow"/>
          <w:sz w:val="18"/>
        </w:rPr>
      </w:pPr>
      <w:r w:rsidRPr="005F039C">
        <w:rPr>
          <w:rFonts w:ascii="Arial Narrow" w:hAnsi="Arial Narrow"/>
          <w:sz w:val="18"/>
        </w:rPr>
        <w:t xml:space="preserve">Source: Table 37, p142 of the November 2014 </w:t>
      </w:r>
      <w:r w:rsidR="00525231" w:rsidRPr="005F039C">
        <w:rPr>
          <w:rFonts w:ascii="Arial Narrow" w:hAnsi="Arial Narrow"/>
          <w:sz w:val="18"/>
        </w:rPr>
        <w:t>resubmission</w:t>
      </w:r>
    </w:p>
    <w:p w:rsidR="00254021" w:rsidRPr="005F039C" w:rsidRDefault="00254021" w:rsidP="00607D0A">
      <w:pPr>
        <w:widowControl/>
        <w:rPr>
          <w:szCs w:val="22"/>
        </w:rPr>
      </w:pPr>
    </w:p>
    <w:p w:rsidR="008D10D7" w:rsidRPr="005F039C" w:rsidRDefault="00607D0A" w:rsidP="00745891">
      <w:pPr>
        <w:pStyle w:val="ListParagraph"/>
        <w:widowControl/>
        <w:numPr>
          <w:ilvl w:val="1"/>
          <w:numId w:val="2"/>
        </w:numPr>
        <w:rPr>
          <w:i/>
        </w:rPr>
      </w:pPr>
      <w:r w:rsidRPr="005F039C">
        <w:t xml:space="preserve">The </w:t>
      </w:r>
      <w:r w:rsidR="00525231" w:rsidRPr="005F039C">
        <w:t>resubmission</w:t>
      </w:r>
      <w:r w:rsidRPr="005F039C">
        <w:t xml:space="preserve"> estimate</w:t>
      </w:r>
      <w:r w:rsidR="00E37D0E" w:rsidRPr="005F039C">
        <w:t>d</w:t>
      </w:r>
      <w:r w:rsidRPr="005F039C">
        <w:t xml:space="preserve"> an </w:t>
      </w:r>
      <w:r w:rsidR="00827EDF">
        <w:rPr>
          <w:noProof/>
          <w:color w:val="000000"/>
          <w:highlight w:val="black"/>
        </w:rPr>
        <w:t>'''''''''''</w:t>
      </w:r>
      <w:r w:rsidRPr="005F039C">
        <w:t xml:space="preserve"> price premium over ranibizumab based on its estimates of equi-effective dosing.</w:t>
      </w:r>
      <w:r w:rsidR="00A603FD" w:rsidRPr="005F039C">
        <w:t xml:space="preserve"> </w:t>
      </w:r>
      <w:r w:rsidR="00117C4F" w:rsidRPr="005F039C">
        <w:t xml:space="preserve"> </w:t>
      </w:r>
      <w:r w:rsidR="00A603FD" w:rsidRPr="005F039C">
        <w:t xml:space="preserve">The cost-minimising price (DPMQ) presented by the </w:t>
      </w:r>
      <w:r w:rsidR="00525231" w:rsidRPr="005F039C">
        <w:t>resubmission</w:t>
      </w:r>
      <w:r w:rsidR="00A603FD" w:rsidRPr="005F039C">
        <w:t xml:space="preserve"> for aflibercept versus ranibizumab </w:t>
      </w:r>
      <w:r w:rsidR="00E37D0E" w:rsidRPr="005F039C">
        <w:t>wa</w:t>
      </w:r>
      <w:r w:rsidR="00A603FD" w:rsidRPr="005F039C">
        <w:t xml:space="preserve">s </w:t>
      </w:r>
      <w:r w:rsidR="00827EDF">
        <w:rPr>
          <w:noProof/>
          <w:color w:val="000000"/>
          <w:highlight w:val="black"/>
        </w:rPr>
        <w:t>''''''''''''''''''''''''</w:t>
      </w:r>
      <w:r w:rsidR="00A603FD" w:rsidRPr="005F039C">
        <w:t xml:space="preserve"> (</w:t>
      </w:r>
      <w:r w:rsidR="00827EDF">
        <w:rPr>
          <w:noProof/>
          <w:color w:val="000000"/>
          <w:highlight w:val="black"/>
        </w:rPr>
        <w:t>''''''''''''''''''''''''''''''''''''</w:t>
      </w:r>
      <w:r w:rsidR="00A603FD" w:rsidRPr="005F039C">
        <w:t>)</w:t>
      </w:r>
      <w:r w:rsidR="000B78E0" w:rsidRPr="005F039C">
        <w:t xml:space="preserve">. </w:t>
      </w:r>
      <w:r w:rsidR="007A17AA" w:rsidRPr="005F039C">
        <w:t xml:space="preserve"> </w:t>
      </w:r>
      <w:r w:rsidR="00E37D0E" w:rsidRPr="005F039C">
        <w:t xml:space="preserve">The </w:t>
      </w:r>
      <w:r w:rsidR="00827EDF">
        <w:rPr>
          <w:noProof/>
          <w:color w:val="000000"/>
          <w:highlight w:val="black"/>
        </w:rPr>
        <w:t>'''''''''''''''</w:t>
      </w:r>
      <w:r w:rsidR="007A17AA" w:rsidRPr="005F039C">
        <w:t xml:space="preserve"> </w:t>
      </w:r>
      <w:r w:rsidR="00E37D0E" w:rsidRPr="005F039C">
        <w:t xml:space="preserve">price premium was suggested to </w:t>
      </w:r>
      <w:r w:rsidR="007A17AA" w:rsidRPr="005F039C">
        <w:t xml:space="preserve">likely reflect the upper bound of the possible injection ratio between ranibizumab and aflibercept, due to vague continuing criteria in the restriction of aflibercept and the lack of clinical evidence around aflibercept reinjection frequencies under a 3 loading dose regimen, </w:t>
      </w:r>
      <w:r w:rsidR="00E37D0E" w:rsidRPr="005F039C">
        <w:t xml:space="preserve">and </w:t>
      </w:r>
      <w:r w:rsidR="007A17AA" w:rsidRPr="005F039C">
        <w:t xml:space="preserve">price parity (rather than the </w:t>
      </w:r>
      <w:r w:rsidR="00827EDF">
        <w:rPr>
          <w:noProof/>
          <w:color w:val="000000"/>
          <w:highlight w:val="black"/>
        </w:rPr>
        <w:t>''''''''''''''''</w:t>
      </w:r>
      <w:r w:rsidR="007A17AA" w:rsidRPr="005F039C">
        <w:t xml:space="preserve"> </w:t>
      </w:r>
      <w:r w:rsidR="00E37D0E" w:rsidRPr="005F039C">
        <w:t xml:space="preserve">price </w:t>
      </w:r>
      <w:r w:rsidR="007A17AA" w:rsidRPr="005F039C">
        <w:t xml:space="preserve">premium) </w:t>
      </w:r>
      <w:r w:rsidR="00E37D0E" w:rsidRPr="005F039C">
        <w:t xml:space="preserve">was suggested to </w:t>
      </w:r>
      <w:r w:rsidR="007A17AA" w:rsidRPr="005F039C">
        <w:t>likely reflect the lower bound of equi-effective dosing estimates.</w:t>
      </w:r>
    </w:p>
    <w:p w:rsidR="008D10D7" w:rsidRPr="005F039C" w:rsidRDefault="008D10D7" w:rsidP="008D10D7">
      <w:pPr>
        <w:widowControl/>
        <w:rPr>
          <w:i/>
        </w:rPr>
      </w:pPr>
    </w:p>
    <w:p w:rsidR="00607D0A" w:rsidRPr="005F039C" w:rsidRDefault="00D34C62" w:rsidP="00745891">
      <w:pPr>
        <w:pStyle w:val="ListParagraph"/>
        <w:widowControl/>
        <w:numPr>
          <w:ilvl w:val="1"/>
          <w:numId w:val="2"/>
        </w:numPr>
      </w:pPr>
      <w:r w:rsidRPr="005F039C">
        <w:t>The PSCR (p3) claimed that this dose relativity premium d</w:t>
      </w:r>
      <w:r w:rsidR="00E37D0E" w:rsidRPr="005F039C">
        <w:t>id</w:t>
      </w:r>
      <w:r w:rsidRPr="005F039C">
        <w:t xml:space="preserve"> not rely upon the difference in the number of aflibercept and ranibizumab loading doses</w:t>
      </w:r>
      <w:r w:rsidR="00E37D0E" w:rsidRPr="005F039C">
        <w:t>, but was</w:t>
      </w:r>
      <w:r w:rsidRPr="005F039C">
        <w:t xml:space="preserve"> instead based on </w:t>
      </w:r>
      <w:r w:rsidR="00E37D0E" w:rsidRPr="005F039C">
        <w:t xml:space="preserve">the </w:t>
      </w:r>
      <w:r w:rsidRPr="005F039C">
        <w:t>12</w:t>
      </w:r>
      <w:r w:rsidR="00E37D0E" w:rsidRPr="005F039C">
        <w:t>-</w:t>
      </w:r>
      <w:r w:rsidRPr="005F039C">
        <w:t xml:space="preserve">month injection frequency as observed in the GALILEO, COPERNICUS and CRUISE trials where both aflibercept and ranibizumab used 6 loading doses in all three trials. </w:t>
      </w:r>
      <w:r w:rsidR="00195841" w:rsidRPr="005F039C">
        <w:t xml:space="preserve">The ESC agreed with the commentary that the </w:t>
      </w:r>
      <w:r w:rsidR="00D86742" w:rsidRPr="005F039C">
        <w:t xml:space="preserve">dose </w:t>
      </w:r>
      <w:r w:rsidR="00D86742" w:rsidRPr="005F039C">
        <w:lastRenderedPageBreak/>
        <w:t xml:space="preserve">relativity underpinning the </w:t>
      </w:r>
      <w:r w:rsidR="00195841" w:rsidRPr="005F039C">
        <w:t xml:space="preserve">premium is </w:t>
      </w:r>
      <w:r w:rsidR="00D86742" w:rsidRPr="005F039C">
        <w:t>not adequately</w:t>
      </w:r>
      <w:r w:rsidR="00195841" w:rsidRPr="005F039C">
        <w:t xml:space="preserve"> supported, and therefore is not likely to be reasonable.</w:t>
      </w:r>
    </w:p>
    <w:p w:rsidR="00607D0A" w:rsidRPr="005F039C" w:rsidRDefault="00607D0A" w:rsidP="00607D0A">
      <w:pPr>
        <w:rPr>
          <w:szCs w:val="22"/>
        </w:rPr>
      </w:pPr>
    </w:p>
    <w:p w:rsidR="007A17AA" w:rsidRPr="005F039C" w:rsidRDefault="00F25F61" w:rsidP="00745891">
      <w:pPr>
        <w:pStyle w:val="ListParagraph"/>
        <w:widowControl/>
        <w:numPr>
          <w:ilvl w:val="1"/>
          <w:numId w:val="2"/>
        </w:numPr>
        <w:rPr>
          <w:szCs w:val="22"/>
        </w:rPr>
      </w:pPr>
      <w:r w:rsidRPr="005F039C">
        <w:t>In terms of the TGA</w:t>
      </w:r>
      <w:r w:rsidR="00E37D0E" w:rsidRPr="005F039C">
        <w:t>-</w:t>
      </w:r>
      <w:r w:rsidRPr="005F039C">
        <w:t xml:space="preserve">revised Product Information </w:t>
      </w:r>
      <w:r w:rsidR="00E37D0E" w:rsidRPr="005F039C">
        <w:t>in relation to the</w:t>
      </w:r>
      <w:r w:rsidRPr="005F039C">
        <w:t xml:space="preserve"> loading dose, </w:t>
      </w:r>
      <w:r w:rsidR="007A17AA" w:rsidRPr="005F039C">
        <w:t xml:space="preserve">the trial evidence presented by the </w:t>
      </w:r>
      <w:r w:rsidR="00525231" w:rsidRPr="005F039C">
        <w:t>resubmission</w:t>
      </w:r>
      <w:r w:rsidR="007A17AA" w:rsidRPr="005F039C">
        <w:t xml:space="preserve"> to support the revised loading dose regimen (from 6 to 3 loading doses) </w:t>
      </w:r>
      <w:r w:rsidR="00E37D0E" w:rsidRPr="005F039C">
        <w:t>wa</w:t>
      </w:r>
      <w:r w:rsidR="007A17AA" w:rsidRPr="005F039C">
        <w:t xml:space="preserve">s the mean change from baseline in COPERNICUS and GALILEO trials which was provided as an attachment in the March 2014 </w:t>
      </w:r>
      <w:r w:rsidR="00525231" w:rsidRPr="005F039C">
        <w:t>resubmission</w:t>
      </w:r>
      <w:r w:rsidR="007A17AA" w:rsidRPr="005F039C">
        <w:t xml:space="preserve">.  The current </w:t>
      </w:r>
      <w:r w:rsidR="00525231" w:rsidRPr="005F039C">
        <w:t>resubmission</w:t>
      </w:r>
      <w:r w:rsidR="007A17AA" w:rsidRPr="005F039C">
        <w:t xml:space="preserve"> state</w:t>
      </w:r>
      <w:r w:rsidR="00E37D0E" w:rsidRPr="005F039C">
        <w:t>d</w:t>
      </w:r>
      <w:r w:rsidR="007A17AA" w:rsidRPr="005F039C">
        <w:t xml:space="preserve"> that</w:t>
      </w:r>
      <w:r w:rsidR="00E37D0E" w:rsidRPr="005F039C">
        <w:t>,</w:t>
      </w:r>
      <w:r w:rsidR="007A17AA" w:rsidRPr="005F039C">
        <w:t xml:space="preserve"> in both the GALILEO and COPERNICUS trials, the progression of improvement in VA showed a steep initial rise, with most of the improvement becoming evident after the first three injections.  The submission further stated that the findings from the trials suggest that</w:t>
      </w:r>
      <w:r w:rsidR="00E37D0E" w:rsidRPr="005F039C">
        <w:t>,</w:t>
      </w:r>
      <w:r w:rsidR="007A17AA" w:rsidRPr="005F039C">
        <w:t xml:space="preserve"> in some patients, most of the visual acuity gains could be achieved with the first three injections and</w:t>
      </w:r>
      <w:r w:rsidR="00E37D0E" w:rsidRPr="005F039C">
        <w:t>,</w:t>
      </w:r>
      <w:r w:rsidR="007A17AA" w:rsidRPr="005F039C">
        <w:t xml:space="preserve"> for these patients, considerations may be given to switch the dosing regimen to the maintenance phase to individualise the treatment interval.  </w:t>
      </w:r>
      <w:r w:rsidR="00240EAB" w:rsidRPr="005F039C">
        <w:t>T</w:t>
      </w:r>
      <w:r w:rsidR="00014CC6" w:rsidRPr="005F039C">
        <w:t xml:space="preserve">he </w:t>
      </w:r>
      <w:r w:rsidR="00CD2706" w:rsidRPr="005F039C">
        <w:t xml:space="preserve">ESC considered that the </w:t>
      </w:r>
      <w:r w:rsidR="00014CC6" w:rsidRPr="005F039C">
        <w:t xml:space="preserve">major concern is not with the loading doses, but rather the injection frequency estimates after the loading phase.  The </w:t>
      </w:r>
      <w:r w:rsidR="00525231" w:rsidRPr="005F039C">
        <w:t>resubmission</w:t>
      </w:r>
      <w:r w:rsidR="00014CC6" w:rsidRPr="005F039C">
        <w:t xml:space="preserve">’s reliance on injection rates after 6 months </w:t>
      </w:r>
      <w:r w:rsidR="00E37D0E" w:rsidRPr="005F039C">
        <w:t>was</w:t>
      </w:r>
      <w:r w:rsidR="00014CC6" w:rsidRPr="005F039C">
        <w:t xml:space="preserve"> based on the assumption that maintaining the effect reached after 3 months will require the same frequency injections as after 6 months.  </w:t>
      </w:r>
      <w:r w:rsidR="00240EAB" w:rsidRPr="005F039C">
        <w:t xml:space="preserve">The ESC agreed that this assumption </w:t>
      </w:r>
      <w:r w:rsidR="00CD2706" w:rsidRPr="005F039C">
        <w:t>wa</w:t>
      </w:r>
      <w:r w:rsidR="00240EAB" w:rsidRPr="005F039C">
        <w:t>s not supported.</w:t>
      </w:r>
    </w:p>
    <w:p w:rsidR="00014CC6" w:rsidRPr="005F039C" w:rsidRDefault="00014CC6" w:rsidP="00014CC6">
      <w:pPr>
        <w:widowControl/>
        <w:rPr>
          <w:szCs w:val="22"/>
        </w:rPr>
      </w:pPr>
    </w:p>
    <w:p w:rsidR="007A17AA" w:rsidRPr="005F039C" w:rsidRDefault="007A17AA" w:rsidP="00745891">
      <w:pPr>
        <w:pStyle w:val="ListParagraph"/>
        <w:widowControl/>
        <w:numPr>
          <w:ilvl w:val="1"/>
          <w:numId w:val="2"/>
        </w:numPr>
        <w:rPr>
          <w:szCs w:val="22"/>
        </w:rPr>
      </w:pPr>
      <w:r w:rsidRPr="005F039C">
        <w:rPr>
          <w:szCs w:val="22"/>
        </w:rPr>
        <w:t>T</w:t>
      </w:r>
      <w:r w:rsidR="00CF6104" w:rsidRPr="005F039C">
        <w:rPr>
          <w:szCs w:val="22"/>
        </w:rPr>
        <w:t xml:space="preserve">he ESC </w:t>
      </w:r>
      <w:r w:rsidR="00BE5F27">
        <w:rPr>
          <w:szCs w:val="22"/>
        </w:rPr>
        <w:t>questioned</w:t>
      </w:r>
      <w:r w:rsidR="00BE5F27" w:rsidRPr="005F039C">
        <w:rPr>
          <w:szCs w:val="22"/>
        </w:rPr>
        <w:t xml:space="preserve"> </w:t>
      </w:r>
      <w:r w:rsidRPr="005F039C">
        <w:rPr>
          <w:szCs w:val="22"/>
        </w:rPr>
        <w:t>how the treat and extend regimen would function in clinical practice.  While beginning treat and extend after only 3 loading doses does allow flexibility, and could reduce the number of injections in the first six months as compared to the 6 loading dose regimen, no satisfactory evidence has been provided to support using post six month re-injection rates as a proxy for re-injections in the three months after the revised 3 month loading doses.  The ESC agreed with the commentary that this is a concern in the economic evaluation of aflibercept compared to sham and the cost-minimisation against bevacizumab.</w:t>
      </w:r>
    </w:p>
    <w:p w:rsidR="007A17AA" w:rsidRPr="005F039C" w:rsidRDefault="007A17AA" w:rsidP="007A17AA">
      <w:pPr>
        <w:widowControl/>
      </w:pPr>
    </w:p>
    <w:p w:rsidR="007A17AA" w:rsidRPr="005F039C" w:rsidRDefault="007A17AA" w:rsidP="00745891">
      <w:pPr>
        <w:pStyle w:val="ListParagraph"/>
        <w:widowControl/>
        <w:numPr>
          <w:ilvl w:val="1"/>
          <w:numId w:val="2"/>
        </w:numPr>
        <w:rPr>
          <w:szCs w:val="22"/>
        </w:rPr>
      </w:pPr>
      <w:r w:rsidRPr="005F039C">
        <w:t xml:space="preserve">The issue </w:t>
      </w:r>
      <w:r w:rsidR="00CD2706" w:rsidRPr="005F039C">
        <w:t>wa</w:t>
      </w:r>
      <w:r w:rsidRPr="005F039C">
        <w:t xml:space="preserve">s further compounded by the fact that the current </w:t>
      </w:r>
      <w:r w:rsidR="00525231" w:rsidRPr="005F039C">
        <w:t>resubmission</w:t>
      </w:r>
      <w:r w:rsidRPr="005F039C">
        <w:t xml:space="preserve"> removed the OCT requirements from treatment continuation and </w:t>
      </w:r>
      <w:r w:rsidR="00CD2706" w:rsidRPr="005F039C">
        <w:t xml:space="preserve">suggested </w:t>
      </w:r>
      <w:r w:rsidRPr="005F039C">
        <w:t xml:space="preserve">little continuing treatment criteria in general. While the reasons for removing OCT may be justified, its absence removes a criterion for treatment continuation. This </w:t>
      </w:r>
      <w:r w:rsidR="00CD2706" w:rsidRPr="005F039C">
        <w:t xml:space="preserve">would </w:t>
      </w:r>
      <w:r w:rsidRPr="005F039C">
        <w:t xml:space="preserve">give physicians less objective requirements in determining the treatment schedule and </w:t>
      </w:r>
      <w:r w:rsidR="00CD2706" w:rsidRPr="005F039C">
        <w:t xml:space="preserve">thus </w:t>
      </w:r>
      <w:r w:rsidRPr="005F039C">
        <w:t>makes estimating the number of re-injections in clinical practice more difficult.</w:t>
      </w:r>
    </w:p>
    <w:p w:rsidR="007A17AA" w:rsidRPr="005F039C" w:rsidRDefault="007A17AA" w:rsidP="007A17AA">
      <w:pPr>
        <w:widowControl/>
        <w:rPr>
          <w:szCs w:val="22"/>
        </w:rPr>
      </w:pPr>
    </w:p>
    <w:p w:rsidR="002D5EB5" w:rsidRPr="005F039C" w:rsidRDefault="002D5EB5" w:rsidP="00745891">
      <w:pPr>
        <w:pStyle w:val="ListParagraph"/>
        <w:widowControl/>
        <w:numPr>
          <w:ilvl w:val="1"/>
          <w:numId w:val="2"/>
        </w:numPr>
        <w:rPr>
          <w:szCs w:val="22"/>
        </w:rPr>
      </w:pPr>
      <w:r w:rsidRPr="005F039C">
        <w:rPr>
          <w:szCs w:val="22"/>
          <w:u w:val="single"/>
        </w:rPr>
        <w:t>CMA aflibercept vs. bevacizumab</w:t>
      </w:r>
      <w:r w:rsidRPr="005F039C">
        <w:rPr>
          <w:szCs w:val="22"/>
        </w:rPr>
        <w:t xml:space="preserve">: </w:t>
      </w:r>
      <w:r w:rsidR="00117C4F" w:rsidRPr="005F039C">
        <w:rPr>
          <w:szCs w:val="22"/>
        </w:rPr>
        <w:t>t</w:t>
      </w:r>
      <w:r w:rsidR="00607D0A" w:rsidRPr="005F039C">
        <w:rPr>
          <w:szCs w:val="22"/>
        </w:rPr>
        <w:t xml:space="preserve">he equi-effective doses </w:t>
      </w:r>
      <w:r w:rsidR="00CD2706" w:rsidRPr="005F039C">
        <w:rPr>
          <w:szCs w:val="22"/>
        </w:rPr>
        <w:t>we</w:t>
      </w:r>
      <w:r w:rsidR="00607D0A" w:rsidRPr="005F039C">
        <w:rPr>
          <w:szCs w:val="22"/>
        </w:rPr>
        <w:t xml:space="preserve">re estimated as </w:t>
      </w:r>
      <w:r w:rsidR="00827EDF">
        <w:rPr>
          <w:noProof/>
          <w:color w:val="000000"/>
          <w:szCs w:val="22"/>
          <w:highlight w:val="black"/>
        </w:rPr>
        <w:t>''''''''''</w:t>
      </w:r>
      <w:r w:rsidR="00607D0A" w:rsidRPr="005F039C">
        <w:rPr>
          <w:szCs w:val="22"/>
        </w:rPr>
        <w:t xml:space="preserve"> aflibercept injections over the first year of treatment and </w:t>
      </w:r>
      <w:r w:rsidR="00827EDF">
        <w:rPr>
          <w:noProof/>
          <w:color w:val="000000"/>
          <w:szCs w:val="22"/>
          <w:highlight w:val="black"/>
        </w:rPr>
        <w:t>''''''''''</w:t>
      </w:r>
      <w:r w:rsidR="00607D0A" w:rsidRPr="005F039C">
        <w:rPr>
          <w:szCs w:val="22"/>
        </w:rPr>
        <w:t xml:space="preserve"> bevacizumab injections over the first year of treatment based on </w:t>
      </w:r>
      <w:r w:rsidR="00CD33BA" w:rsidRPr="005F039C">
        <w:rPr>
          <w:szCs w:val="22"/>
        </w:rPr>
        <w:t xml:space="preserve">the </w:t>
      </w:r>
      <w:r w:rsidR="00607D0A" w:rsidRPr="005F039C">
        <w:rPr>
          <w:szCs w:val="22"/>
        </w:rPr>
        <w:t xml:space="preserve">Epstein 2012 </w:t>
      </w:r>
      <w:r w:rsidR="00CD33BA" w:rsidRPr="005F039C">
        <w:rPr>
          <w:szCs w:val="22"/>
        </w:rPr>
        <w:t xml:space="preserve">sham-controlled randomised trial </w:t>
      </w:r>
      <w:r w:rsidR="00607D0A" w:rsidRPr="005F039C">
        <w:rPr>
          <w:szCs w:val="22"/>
        </w:rPr>
        <w:t xml:space="preserve">regimen of one </w:t>
      </w:r>
      <w:r w:rsidR="00CD33BA" w:rsidRPr="005F039C">
        <w:rPr>
          <w:szCs w:val="22"/>
        </w:rPr>
        <w:t xml:space="preserve">1.25 mg </w:t>
      </w:r>
      <w:r w:rsidR="00607D0A" w:rsidRPr="005F039C">
        <w:rPr>
          <w:szCs w:val="22"/>
        </w:rPr>
        <w:t>dose every 6 weeks.</w:t>
      </w:r>
      <w:r w:rsidRPr="005F039C">
        <w:rPr>
          <w:szCs w:val="22"/>
        </w:rPr>
        <w:t xml:space="preserve">  </w:t>
      </w:r>
      <w:r w:rsidRPr="005F039C">
        <w:t xml:space="preserve">No formal clinical claim is made to support the CMA.  The </w:t>
      </w:r>
      <w:r w:rsidR="00CD2706" w:rsidRPr="005F039C">
        <w:t xml:space="preserve">ESC questioned the </w:t>
      </w:r>
      <w:r w:rsidRPr="005F039C">
        <w:t xml:space="preserve">inclusion of adverse event costs in the CMA given the non-systematic approach used by the </w:t>
      </w:r>
      <w:r w:rsidR="00525231" w:rsidRPr="005F039C">
        <w:t>resubmission</w:t>
      </w:r>
      <w:r w:rsidRPr="005F039C">
        <w:t xml:space="preserve"> and the lack of evidence informing the long-term systemic adverse events a</w:t>
      </w:r>
      <w:r w:rsidR="00117C4F" w:rsidRPr="005F039C">
        <w:t>cross the VEGF inhibitors.</w:t>
      </w:r>
    </w:p>
    <w:p w:rsidR="0037798F" w:rsidRPr="005F039C" w:rsidRDefault="0037798F">
      <w:pPr>
        <w:widowControl/>
        <w:jc w:val="left"/>
        <w:rPr>
          <w:rFonts w:ascii="Arial Narrow" w:hAnsi="Arial Narrow"/>
          <w:b/>
          <w:sz w:val="20"/>
        </w:rPr>
      </w:pPr>
    </w:p>
    <w:p w:rsidR="004D1751" w:rsidRPr="005F039C" w:rsidRDefault="004D1751" w:rsidP="004D1751">
      <w:pPr>
        <w:widowControl/>
        <w:ind w:firstLine="720"/>
        <w:jc w:val="left"/>
        <w:rPr>
          <w:rFonts w:ascii="Arial Narrow" w:hAnsi="Arial Narrow"/>
          <w:b/>
          <w:sz w:val="20"/>
        </w:rPr>
      </w:pPr>
      <w:r w:rsidRPr="005F039C">
        <w:rPr>
          <w:rFonts w:ascii="Arial Narrow" w:hAnsi="Arial Narrow"/>
          <w:b/>
          <w:sz w:val="20"/>
        </w:rPr>
        <w:t>Cost minimisation price of aflibercept compared to bevacizumab</w:t>
      </w:r>
    </w:p>
    <w:tbl>
      <w:tblPr>
        <w:tblStyle w:val="TableGrid"/>
        <w:tblW w:w="4604" w:type="pct"/>
        <w:tblInd w:w="737" w:type="dxa"/>
        <w:tblCellMar>
          <w:left w:w="28" w:type="dxa"/>
          <w:right w:w="28" w:type="dxa"/>
        </w:tblCellMar>
        <w:tblLook w:val="04A0" w:firstRow="1" w:lastRow="0" w:firstColumn="1" w:lastColumn="0" w:noHBand="0" w:noVBand="1"/>
      </w:tblPr>
      <w:tblGrid>
        <w:gridCol w:w="4253"/>
        <w:gridCol w:w="1984"/>
        <w:gridCol w:w="2126"/>
      </w:tblGrid>
      <w:tr w:rsidR="004D1751" w:rsidRPr="005F039C">
        <w:trPr>
          <w:trHeight w:val="200"/>
        </w:trPr>
        <w:tc>
          <w:tcPr>
            <w:tcW w:w="2543" w:type="pct"/>
            <w:vAlign w:val="center"/>
          </w:tcPr>
          <w:p w:rsidR="004D1751" w:rsidRPr="005F039C" w:rsidRDefault="004D1751" w:rsidP="00993806">
            <w:pPr>
              <w:jc w:val="left"/>
              <w:rPr>
                <w:rFonts w:ascii="Arial Narrow" w:hAnsi="Arial Narrow"/>
                <w:b/>
                <w:sz w:val="20"/>
              </w:rPr>
            </w:pPr>
            <w:r w:rsidRPr="005F039C">
              <w:rPr>
                <w:rFonts w:ascii="Arial Narrow" w:hAnsi="Arial Narrow"/>
                <w:b/>
                <w:sz w:val="20"/>
              </w:rPr>
              <w:t>Parameter</w:t>
            </w:r>
          </w:p>
        </w:tc>
        <w:tc>
          <w:tcPr>
            <w:tcW w:w="1186" w:type="pct"/>
            <w:vAlign w:val="center"/>
          </w:tcPr>
          <w:p w:rsidR="004D1751" w:rsidRPr="005F039C" w:rsidRDefault="004D1751" w:rsidP="00993806">
            <w:pPr>
              <w:jc w:val="center"/>
              <w:rPr>
                <w:rFonts w:ascii="Arial Narrow" w:hAnsi="Arial Narrow"/>
                <w:b/>
                <w:sz w:val="20"/>
              </w:rPr>
            </w:pPr>
            <w:r w:rsidRPr="005F039C">
              <w:rPr>
                <w:rFonts w:ascii="Arial Narrow" w:hAnsi="Arial Narrow"/>
                <w:b/>
                <w:sz w:val="20"/>
              </w:rPr>
              <w:t>Bevacizumab</w:t>
            </w:r>
          </w:p>
        </w:tc>
        <w:tc>
          <w:tcPr>
            <w:tcW w:w="1271" w:type="pct"/>
            <w:vAlign w:val="center"/>
          </w:tcPr>
          <w:p w:rsidR="004D1751" w:rsidRPr="005F039C" w:rsidRDefault="004D1751" w:rsidP="00993806">
            <w:pPr>
              <w:jc w:val="center"/>
              <w:rPr>
                <w:rFonts w:ascii="Arial Narrow" w:hAnsi="Arial Narrow"/>
                <w:b/>
                <w:sz w:val="20"/>
              </w:rPr>
            </w:pPr>
            <w:r w:rsidRPr="005F039C">
              <w:rPr>
                <w:rFonts w:ascii="Arial Narrow" w:hAnsi="Arial Narrow"/>
                <w:b/>
                <w:sz w:val="20"/>
              </w:rPr>
              <w:t>Aflibercept</w:t>
            </w:r>
          </w:p>
        </w:tc>
      </w:tr>
      <w:tr w:rsidR="00993806" w:rsidRPr="005F039C">
        <w:tc>
          <w:tcPr>
            <w:tcW w:w="2543" w:type="pct"/>
            <w:vAlign w:val="center"/>
          </w:tcPr>
          <w:p w:rsidR="00993806" w:rsidRPr="005F039C" w:rsidRDefault="00993806" w:rsidP="00993806">
            <w:pPr>
              <w:widowControl/>
              <w:jc w:val="left"/>
              <w:rPr>
                <w:rFonts w:ascii="Arial Narrow" w:hAnsi="Arial Narrow"/>
                <w:b/>
                <w:sz w:val="20"/>
              </w:rPr>
            </w:pPr>
            <w:r w:rsidRPr="005F039C">
              <w:rPr>
                <w:rFonts w:ascii="Arial Narrow" w:hAnsi="Arial Narrow"/>
                <w:b/>
                <w:sz w:val="20"/>
              </w:rPr>
              <w:t>Drug cost per injection</w:t>
            </w:r>
          </w:p>
        </w:tc>
        <w:tc>
          <w:tcPr>
            <w:tcW w:w="1186" w:type="pct"/>
            <w:vAlign w:val="center"/>
          </w:tcPr>
          <w:p w:rsidR="00993806" w:rsidRPr="00827EDF" w:rsidRDefault="00827EDF" w:rsidP="00993806">
            <w:pPr>
              <w:widowControl/>
              <w:jc w:val="center"/>
              <w:rPr>
                <w:rFonts w:ascii="Arial Narrow" w:hAnsi="Arial Narrow"/>
                <w:b/>
                <w:sz w:val="20"/>
                <w:highlight w:val="black"/>
              </w:rPr>
            </w:pPr>
            <w:r>
              <w:rPr>
                <w:rFonts w:ascii="Arial Narrow" w:hAnsi="Arial Narrow"/>
                <w:b/>
                <w:bCs/>
                <w:noProof/>
                <w:color w:val="000000"/>
                <w:sz w:val="20"/>
                <w:highlight w:val="black"/>
              </w:rPr>
              <w:t>'''''''''''''''''</w:t>
            </w:r>
          </w:p>
        </w:tc>
        <w:tc>
          <w:tcPr>
            <w:tcW w:w="1271" w:type="pct"/>
            <w:vAlign w:val="center"/>
          </w:tcPr>
          <w:p w:rsidR="00993806" w:rsidRPr="00827EDF" w:rsidRDefault="00827EDF" w:rsidP="00134704">
            <w:pPr>
              <w:widowControl/>
              <w:jc w:val="center"/>
              <w:rPr>
                <w:rFonts w:ascii="Arial Narrow" w:hAnsi="Arial Narrow"/>
                <w:b/>
                <w:sz w:val="20"/>
                <w:highlight w:val="black"/>
              </w:rPr>
            </w:pPr>
            <w:r>
              <w:rPr>
                <w:rFonts w:ascii="Arial Narrow" w:hAnsi="Arial Narrow"/>
                <w:b/>
                <w:bCs/>
                <w:noProof/>
                <w:color w:val="000000"/>
                <w:sz w:val="20"/>
                <w:highlight w:val="black"/>
              </w:rPr>
              <w:t>''''''''''''''''</w:t>
            </w:r>
          </w:p>
        </w:tc>
      </w:tr>
      <w:tr w:rsidR="00993806" w:rsidRPr="005F039C">
        <w:tc>
          <w:tcPr>
            <w:tcW w:w="2543" w:type="pct"/>
            <w:vAlign w:val="center"/>
          </w:tcPr>
          <w:p w:rsidR="00993806" w:rsidRPr="005F039C" w:rsidRDefault="00993806" w:rsidP="00993806">
            <w:pPr>
              <w:widowControl/>
              <w:jc w:val="left"/>
              <w:rPr>
                <w:rFonts w:ascii="Arial Narrow" w:hAnsi="Arial Narrow"/>
                <w:sz w:val="20"/>
              </w:rPr>
            </w:pPr>
            <w:r w:rsidRPr="005F039C">
              <w:rPr>
                <w:rFonts w:ascii="Arial Narrow" w:hAnsi="Arial Narrow"/>
                <w:sz w:val="20"/>
              </w:rPr>
              <w:t>Administration cost/injection</w:t>
            </w:r>
          </w:p>
        </w:tc>
        <w:tc>
          <w:tcPr>
            <w:tcW w:w="1186" w:type="pct"/>
            <w:vAlign w:val="center"/>
          </w:tcPr>
          <w:p w:rsidR="00993806" w:rsidRPr="00827EDF" w:rsidRDefault="00827EDF" w:rsidP="00993806">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71" w:type="pct"/>
            <w:vAlign w:val="center"/>
          </w:tcPr>
          <w:p w:rsidR="00993806" w:rsidRPr="00827EDF" w:rsidRDefault="00827EDF" w:rsidP="00993806">
            <w:pPr>
              <w:widowControl/>
              <w:jc w:val="center"/>
              <w:rPr>
                <w:rFonts w:ascii="Arial Narrow" w:hAnsi="Arial Narrow"/>
                <w:sz w:val="20"/>
                <w:highlight w:val="black"/>
              </w:rPr>
            </w:pPr>
            <w:r>
              <w:rPr>
                <w:rFonts w:ascii="Arial Narrow" w:hAnsi="Arial Narrow"/>
                <w:noProof/>
                <w:color w:val="000000"/>
                <w:sz w:val="20"/>
                <w:highlight w:val="black"/>
              </w:rPr>
              <w:t>'''''''''''''''''''</w:t>
            </w:r>
          </w:p>
        </w:tc>
      </w:tr>
      <w:tr w:rsidR="00993806" w:rsidRPr="005F039C">
        <w:tc>
          <w:tcPr>
            <w:tcW w:w="2543" w:type="pct"/>
            <w:tcBorders>
              <w:bottom w:val="double" w:sz="4" w:space="0" w:color="auto"/>
            </w:tcBorders>
            <w:vAlign w:val="center"/>
          </w:tcPr>
          <w:p w:rsidR="00993806" w:rsidRPr="005F039C" w:rsidRDefault="00993806" w:rsidP="00993806">
            <w:pPr>
              <w:widowControl/>
              <w:jc w:val="left"/>
              <w:rPr>
                <w:rFonts w:ascii="Arial Narrow" w:hAnsi="Arial Narrow"/>
                <w:sz w:val="20"/>
              </w:rPr>
            </w:pPr>
            <w:r w:rsidRPr="005F039C">
              <w:rPr>
                <w:rFonts w:ascii="Arial Narrow" w:hAnsi="Arial Narrow"/>
                <w:sz w:val="20"/>
              </w:rPr>
              <w:t>Drug and administration cost/injection</w:t>
            </w:r>
          </w:p>
        </w:tc>
        <w:tc>
          <w:tcPr>
            <w:tcW w:w="1186" w:type="pct"/>
            <w:tcBorders>
              <w:bottom w:val="double" w:sz="4" w:space="0" w:color="auto"/>
            </w:tcBorders>
            <w:vAlign w:val="center"/>
          </w:tcPr>
          <w:p w:rsidR="00993806" w:rsidRPr="00827EDF" w:rsidRDefault="00827EDF" w:rsidP="00993806">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71" w:type="pct"/>
            <w:tcBorders>
              <w:bottom w:val="double" w:sz="4" w:space="0" w:color="auto"/>
            </w:tcBorders>
            <w:vAlign w:val="center"/>
          </w:tcPr>
          <w:p w:rsidR="00993806" w:rsidRPr="00827EDF" w:rsidRDefault="00827EDF" w:rsidP="00993806">
            <w:pPr>
              <w:widowControl/>
              <w:jc w:val="center"/>
              <w:rPr>
                <w:rFonts w:ascii="Arial Narrow" w:hAnsi="Arial Narrow"/>
                <w:sz w:val="20"/>
                <w:highlight w:val="black"/>
              </w:rPr>
            </w:pPr>
            <w:r>
              <w:rPr>
                <w:rFonts w:ascii="Arial Narrow" w:hAnsi="Arial Narrow"/>
                <w:noProof/>
                <w:color w:val="000000"/>
                <w:sz w:val="20"/>
                <w:highlight w:val="black"/>
              </w:rPr>
              <w:t>''''''''''''''''''''</w:t>
            </w:r>
          </w:p>
        </w:tc>
      </w:tr>
      <w:tr w:rsidR="00993806" w:rsidRPr="005F039C">
        <w:tc>
          <w:tcPr>
            <w:tcW w:w="2543" w:type="pct"/>
            <w:tcBorders>
              <w:top w:val="double" w:sz="4" w:space="0" w:color="auto"/>
              <w:bottom w:val="single" w:sz="4" w:space="0" w:color="auto"/>
            </w:tcBorders>
            <w:vAlign w:val="center"/>
          </w:tcPr>
          <w:p w:rsidR="00993806" w:rsidRPr="005F039C" w:rsidRDefault="00993806" w:rsidP="00993806">
            <w:pPr>
              <w:widowControl/>
              <w:jc w:val="left"/>
              <w:rPr>
                <w:rFonts w:ascii="Arial Narrow" w:hAnsi="Arial Narrow"/>
                <w:sz w:val="20"/>
              </w:rPr>
            </w:pPr>
            <w:r w:rsidRPr="005F039C">
              <w:rPr>
                <w:rFonts w:ascii="Arial Narrow" w:hAnsi="Arial Narrow"/>
                <w:sz w:val="20"/>
              </w:rPr>
              <w:t>Injections per patient: Year 1</w:t>
            </w:r>
          </w:p>
        </w:tc>
        <w:tc>
          <w:tcPr>
            <w:tcW w:w="1186" w:type="pct"/>
            <w:tcBorders>
              <w:top w:val="double" w:sz="4" w:space="0" w:color="auto"/>
              <w:bottom w:val="single" w:sz="4" w:space="0" w:color="auto"/>
            </w:tcBorders>
            <w:vAlign w:val="center"/>
          </w:tcPr>
          <w:p w:rsidR="00993806" w:rsidRPr="00827EDF" w:rsidRDefault="00827EDF" w:rsidP="00993806">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71" w:type="pct"/>
            <w:tcBorders>
              <w:top w:val="double" w:sz="4" w:space="0" w:color="auto"/>
              <w:bottom w:val="single" w:sz="4" w:space="0" w:color="auto"/>
            </w:tcBorders>
            <w:vAlign w:val="center"/>
          </w:tcPr>
          <w:p w:rsidR="00993806" w:rsidRPr="00827EDF" w:rsidRDefault="00827EDF" w:rsidP="00993806">
            <w:pPr>
              <w:widowControl/>
              <w:jc w:val="center"/>
              <w:rPr>
                <w:rFonts w:ascii="Arial Narrow" w:hAnsi="Arial Narrow"/>
                <w:sz w:val="20"/>
                <w:highlight w:val="black"/>
              </w:rPr>
            </w:pPr>
            <w:r>
              <w:rPr>
                <w:rFonts w:ascii="Arial Narrow" w:hAnsi="Arial Narrow"/>
                <w:noProof/>
                <w:color w:val="000000"/>
                <w:sz w:val="20"/>
                <w:highlight w:val="black"/>
              </w:rPr>
              <w:t>''''''''''''</w:t>
            </w:r>
          </w:p>
        </w:tc>
      </w:tr>
      <w:tr w:rsidR="00993806" w:rsidRPr="005F039C">
        <w:tc>
          <w:tcPr>
            <w:tcW w:w="2543" w:type="pct"/>
            <w:tcBorders>
              <w:top w:val="single" w:sz="4" w:space="0" w:color="auto"/>
              <w:bottom w:val="single" w:sz="4" w:space="0" w:color="auto"/>
            </w:tcBorders>
            <w:vAlign w:val="center"/>
          </w:tcPr>
          <w:p w:rsidR="00993806" w:rsidRPr="005F039C" w:rsidRDefault="00993806" w:rsidP="00993806">
            <w:pPr>
              <w:widowControl/>
              <w:jc w:val="left"/>
              <w:rPr>
                <w:rFonts w:ascii="Arial Narrow" w:hAnsi="Arial Narrow"/>
                <w:sz w:val="20"/>
              </w:rPr>
            </w:pPr>
            <w:r w:rsidRPr="005F039C">
              <w:rPr>
                <w:rFonts w:ascii="Arial Narrow" w:hAnsi="Arial Narrow"/>
                <w:sz w:val="20"/>
              </w:rPr>
              <w:lastRenderedPageBreak/>
              <w:t>Total drug and administration costs per patient: Year 1</w:t>
            </w:r>
          </w:p>
        </w:tc>
        <w:tc>
          <w:tcPr>
            <w:tcW w:w="1186" w:type="pct"/>
            <w:tcBorders>
              <w:top w:val="single" w:sz="4" w:space="0" w:color="auto"/>
              <w:bottom w:val="single" w:sz="4" w:space="0" w:color="auto"/>
            </w:tcBorders>
            <w:vAlign w:val="center"/>
          </w:tcPr>
          <w:p w:rsidR="00993806" w:rsidRPr="00827EDF" w:rsidRDefault="00827EDF" w:rsidP="00993806">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71" w:type="pct"/>
            <w:tcBorders>
              <w:top w:val="single" w:sz="4" w:space="0" w:color="auto"/>
              <w:bottom w:val="single" w:sz="4" w:space="0" w:color="auto"/>
            </w:tcBorders>
            <w:vAlign w:val="center"/>
          </w:tcPr>
          <w:p w:rsidR="00993806" w:rsidRPr="00827EDF" w:rsidRDefault="00827EDF" w:rsidP="00993806">
            <w:pPr>
              <w:widowControl/>
              <w:jc w:val="center"/>
              <w:rPr>
                <w:rFonts w:ascii="Arial Narrow" w:hAnsi="Arial Narrow"/>
                <w:sz w:val="20"/>
                <w:highlight w:val="black"/>
              </w:rPr>
            </w:pPr>
            <w:r>
              <w:rPr>
                <w:rFonts w:ascii="Arial Narrow" w:hAnsi="Arial Narrow"/>
                <w:noProof/>
                <w:color w:val="000000"/>
                <w:sz w:val="20"/>
                <w:highlight w:val="black"/>
              </w:rPr>
              <w:t>'''''''''''''''''''''</w:t>
            </w:r>
          </w:p>
        </w:tc>
      </w:tr>
      <w:tr w:rsidR="00993806" w:rsidRPr="005F039C">
        <w:tc>
          <w:tcPr>
            <w:tcW w:w="2543" w:type="pct"/>
            <w:tcBorders>
              <w:top w:val="single" w:sz="4" w:space="0" w:color="auto"/>
              <w:bottom w:val="single" w:sz="4" w:space="0" w:color="auto"/>
            </w:tcBorders>
            <w:vAlign w:val="center"/>
          </w:tcPr>
          <w:p w:rsidR="00993806" w:rsidRPr="005F039C" w:rsidRDefault="00993806" w:rsidP="00993806">
            <w:pPr>
              <w:widowControl/>
              <w:jc w:val="left"/>
              <w:rPr>
                <w:rFonts w:ascii="Arial Narrow" w:hAnsi="Arial Narrow"/>
                <w:sz w:val="20"/>
              </w:rPr>
            </w:pPr>
            <w:r w:rsidRPr="005F039C">
              <w:rPr>
                <w:rFonts w:ascii="Arial Narrow" w:hAnsi="Arial Narrow"/>
                <w:sz w:val="20"/>
              </w:rPr>
              <w:t>Adverse event costs</w:t>
            </w:r>
          </w:p>
        </w:tc>
        <w:tc>
          <w:tcPr>
            <w:tcW w:w="1186" w:type="pct"/>
            <w:tcBorders>
              <w:top w:val="single" w:sz="4" w:space="0" w:color="auto"/>
              <w:bottom w:val="single" w:sz="4" w:space="0" w:color="auto"/>
            </w:tcBorders>
            <w:vAlign w:val="center"/>
          </w:tcPr>
          <w:p w:rsidR="00993806" w:rsidRPr="00827EDF" w:rsidRDefault="00827EDF" w:rsidP="00993806">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71" w:type="pct"/>
            <w:tcBorders>
              <w:top w:val="single" w:sz="4" w:space="0" w:color="auto"/>
              <w:bottom w:val="single" w:sz="4" w:space="0" w:color="auto"/>
            </w:tcBorders>
            <w:vAlign w:val="center"/>
          </w:tcPr>
          <w:p w:rsidR="00993806" w:rsidRPr="00827EDF" w:rsidRDefault="00827EDF" w:rsidP="00993806">
            <w:pPr>
              <w:widowControl/>
              <w:jc w:val="center"/>
              <w:rPr>
                <w:rFonts w:ascii="Arial Narrow" w:hAnsi="Arial Narrow"/>
                <w:sz w:val="20"/>
                <w:highlight w:val="black"/>
              </w:rPr>
            </w:pPr>
            <w:r>
              <w:rPr>
                <w:rFonts w:ascii="Arial Narrow" w:hAnsi="Arial Narrow"/>
                <w:noProof/>
                <w:color w:val="000000"/>
                <w:sz w:val="20"/>
                <w:highlight w:val="black"/>
              </w:rPr>
              <w:t>''''''</w:t>
            </w:r>
          </w:p>
        </w:tc>
      </w:tr>
      <w:tr w:rsidR="00993806" w:rsidRPr="005F039C">
        <w:tc>
          <w:tcPr>
            <w:tcW w:w="2543" w:type="pct"/>
            <w:tcBorders>
              <w:top w:val="single" w:sz="4" w:space="0" w:color="auto"/>
            </w:tcBorders>
            <w:vAlign w:val="center"/>
          </w:tcPr>
          <w:p w:rsidR="00993806" w:rsidRPr="005F039C" w:rsidRDefault="00993806" w:rsidP="00993806">
            <w:pPr>
              <w:widowControl/>
              <w:jc w:val="left"/>
              <w:rPr>
                <w:rFonts w:ascii="Arial Narrow" w:hAnsi="Arial Narrow"/>
                <w:b/>
                <w:sz w:val="20"/>
              </w:rPr>
            </w:pPr>
            <w:r w:rsidRPr="005F039C">
              <w:rPr>
                <w:rFonts w:ascii="Arial Narrow" w:hAnsi="Arial Narrow"/>
                <w:b/>
                <w:sz w:val="20"/>
              </w:rPr>
              <w:t>Total costs per patient: Year 1</w:t>
            </w:r>
          </w:p>
        </w:tc>
        <w:tc>
          <w:tcPr>
            <w:tcW w:w="1186" w:type="pct"/>
            <w:tcBorders>
              <w:top w:val="single" w:sz="4" w:space="0" w:color="auto"/>
            </w:tcBorders>
            <w:vAlign w:val="center"/>
          </w:tcPr>
          <w:p w:rsidR="00993806" w:rsidRPr="00827EDF" w:rsidRDefault="00827EDF" w:rsidP="00993806">
            <w:pPr>
              <w:widowControl/>
              <w:jc w:val="center"/>
              <w:rPr>
                <w:rFonts w:ascii="Arial Narrow" w:hAnsi="Arial Narrow"/>
                <w:b/>
                <w:sz w:val="20"/>
                <w:highlight w:val="black"/>
              </w:rPr>
            </w:pPr>
            <w:r>
              <w:rPr>
                <w:rFonts w:ascii="Arial Narrow" w:hAnsi="Arial Narrow"/>
                <w:b/>
                <w:bCs/>
                <w:noProof/>
                <w:color w:val="000000"/>
                <w:sz w:val="20"/>
                <w:highlight w:val="black"/>
              </w:rPr>
              <w:t>''''''''''''''''''''</w:t>
            </w:r>
          </w:p>
        </w:tc>
        <w:tc>
          <w:tcPr>
            <w:tcW w:w="1271" w:type="pct"/>
            <w:tcBorders>
              <w:top w:val="single" w:sz="4" w:space="0" w:color="auto"/>
            </w:tcBorders>
            <w:vAlign w:val="center"/>
          </w:tcPr>
          <w:p w:rsidR="00993806" w:rsidRPr="00827EDF" w:rsidRDefault="00827EDF" w:rsidP="00993806">
            <w:pPr>
              <w:widowControl/>
              <w:jc w:val="center"/>
              <w:rPr>
                <w:rFonts w:ascii="Arial Narrow" w:hAnsi="Arial Narrow"/>
                <w:b/>
                <w:sz w:val="20"/>
                <w:highlight w:val="black"/>
              </w:rPr>
            </w:pPr>
            <w:r>
              <w:rPr>
                <w:rFonts w:ascii="Arial Narrow" w:hAnsi="Arial Narrow"/>
                <w:b/>
                <w:bCs/>
                <w:noProof/>
                <w:color w:val="000000"/>
                <w:sz w:val="20"/>
                <w:highlight w:val="black"/>
              </w:rPr>
              <w:t>'''''''''''''''''''</w:t>
            </w:r>
          </w:p>
        </w:tc>
      </w:tr>
    </w:tbl>
    <w:p w:rsidR="006A1EB6" w:rsidRPr="005F039C" w:rsidRDefault="00993806" w:rsidP="004D1751">
      <w:pPr>
        <w:widowControl/>
        <w:ind w:left="709"/>
        <w:rPr>
          <w:szCs w:val="22"/>
        </w:rPr>
      </w:pPr>
      <w:r w:rsidRPr="005F039C">
        <w:rPr>
          <w:rFonts w:ascii="Arial Narrow" w:hAnsi="Arial Narrow"/>
          <w:sz w:val="18"/>
        </w:rPr>
        <w:t xml:space="preserve">Source: Table 41, p158 of the November 2014 </w:t>
      </w:r>
      <w:r w:rsidR="00525231" w:rsidRPr="005F039C">
        <w:rPr>
          <w:rFonts w:ascii="Arial Narrow" w:hAnsi="Arial Narrow"/>
          <w:sz w:val="18"/>
        </w:rPr>
        <w:t>resubmission</w:t>
      </w:r>
    </w:p>
    <w:p w:rsidR="006A1EB6" w:rsidRPr="005F039C" w:rsidRDefault="006A1EB6" w:rsidP="002D5EB5">
      <w:pPr>
        <w:widowControl/>
        <w:rPr>
          <w:szCs w:val="22"/>
        </w:rPr>
      </w:pPr>
    </w:p>
    <w:p w:rsidR="00412985" w:rsidRPr="005F039C" w:rsidRDefault="00412985" w:rsidP="00745891">
      <w:pPr>
        <w:pStyle w:val="ListParagraph"/>
        <w:widowControl/>
        <w:numPr>
          <w:ilvl w:val="1"/>
          <w:numId w:val="2"/>
        </w:numPr>
      </w:pPr>
      <w:r w:rsidRPr="005F039C">
        <w:t xml:space="preserve">The ESC noted a recent Cochrane review by Moja et al 2014 </w:t>
      </w:r>
      <w:r w:rsidR="00D86742" w:rsidRPr="005F039C">
        <w:t>concluded that</w:t>
      </w:r>
      <w:r w:rsidRPr="005F039C">
        <w:rPr>
          <w:snapToGrid/>
          <w:lang w:eastAsia="en-AU"/>
        </w:rPr>
        <w:t xml:space="preserve"> the systemic safety of bevacizumab for neovascular AMD </w:t>
      </w:r>
      <w:r w:rsidR="00D86742" w:rsidRPr="005F039C">
        <w:rPr>
          <w:snapToGrid/>
          <w:lang w:eastAsia="en-AU"/>
        </w:rPr>
        <w:t>is</w:t>
      </w:r>
      <w:r w:rsidRPr="005F039C">
        <w:rPr>
          <w:snapToGrid/>
          <w:lang w:eastAsia="en-AU"/>
        </w:rPr>
        <w:t xml:space="preserve"> similar to that of ranibizumab, except for gastrointestinal disorders, which was a part of a secondary analysis.</w:t>
      </w:r>
    </w:p>
    <w:p w:rsidR="00412985" w:rsidRPr="005F039C" w:rsidRDefault="00412985" w:rsidP="00412985">
      <w:pPr>
        <w:widowControl/>
      </w:pPr>
    </w:p>
    <w:p w:rsidR="00CF6104" w:rsidRPr="005F039C" w:rsidRDefault="00F44916" w:rsidP="00745891">
      <w:pPr>
        <w:pStyle w:val="ListParagraph"/>
        <w:widowControl/>
        <w:numPr>
          <w:ilvl w:val="1"/>
          <w:numId w:val="2"/>
        </w:numPr>
      </w:pPr>
      <w:r w:rsidRPr="005F039C">
        <w:rPr>
          <w:szCs w:val="22"/>
        </w:rPr>
        <w:t>The submission request</w:t>
      </w:r>
      <w:r w:rsidR="00C56AAC" w:rsidRPr="005F039C">
        <w:rPr>
          <w:szCs w:val="22"/>
        </w:rPr>
        <w:t>ed</w:t>
      </w:r>
      <w:r w:rsidRPr="005F039C">
        <w:rPr>
          <w:szCs w:val="22"/>
        </w:rPr>
        <w:t xml:space="preserve"> a price premium for aflibercept (</w:t>
      </w:r>
      <w:r w:rsidR="00827EDF">
        <w:rPr>
          <w:noProof/>
          <w:color w:val="000000"/>
          <w:szCs w:val="22"/>
          <w:highlight w:val="black"/>
        </w:rPr>
        <w:t>''''''''''''''''''</w:t>
      </w:r>
      <w:r w:rsidRPr="005F039C">
        <w:rPr>
          <w:szCs w:val="22"/>
        </w:rPr>
        <w:t xml:space="preserve"> per vial) on the basis of costs associated with research and development, registration, reimbursement, patient support and pharmacovigilance.  This result</w:t>
      </w:r>
      <w:r w:rsidR="00C56AAC" w:rsidRPr="005F039C">
        <w:rPr>
          <w:szCs w:val="22"/>
        </w:rPr>
        <w:t>ed</w:t>
      </w:r>
      <w:r w:rsidRPr="005F039C">
        <w:rPr>
          <w:szCs w:val="22"/>
        </w:rPr>
        <w:t xml:space="preserve"> in a proposed aflibercept vial price of </w:t>
      </w:r>
      <w:r w:rsidR="00827EDF">
        <w:rPr>
          <w:noProof/>
          <w:color w:val="000000"/>
          <w:szCs w:val="22"/>
          <w:highlight w:val="black"/>
        </w:rPr>
        <w:t>''''''''''''''''''</w:t>
      </w:r>
      <w:r w:rsidRPr="005F039C">
        <w:rPr>
          <w:szCs w:val="22"/>
        </w:rPr>
        <w:t xml:space="preserve"> for the comparison with bevacizumab.</w:t>
      </w:r>
      <w:r w:rsidR="00117C4F" w:rsidRPr="005F039C">
        <w:rPr>
          <w:szCs w:val="22"/>
        </w:rPr>
        <w:t xml:space="preserve"> </w:t>
      </w:r>
      <w:r w:rsidR="00CF6104" w:rsidRPr="005F039C">
        <w:rPr>
          <w:szCs w:val="22"/>
        </w:rPr>
        <w:t xml:space="preserve"> </w:t>
      </w:r>
      <w:r w:rsidR="00CF6104" w:rsidRPr="005F039C">
        <w:t>The PBAC consider</w:t>
      </w:r>
      <w:r w:rsidR="00C56AAC" w:rsidRPr="005F039C">
        <w:t>ed that</w:t>
      </w:r>
      <w:r w:rsidR="00CF6104" w:rsidRPr="005F039C">
        <w:t xml:space="preserve"> a price premium for aflibercept based on costs associated with registration, reimbursement, patient support and pharmacovigilance </w:t>
      </w:r>
      <w:r w:rsidR="00C56AAC" w:rsidRPr="005F039C">
        <w:t xml:space="preserve">was not </w:t>
      </w:r>
      <w:r w:rsidR="00CF6104" w:rsidRPr="005F039C">
        <w:t>relevant for the CMA.</w:t>
      </w:r>
    </w:p>
    <w:p w:rsidR="00F44916" w:rsidRPr="005F039C" w:rsidRDefault="00F44916" w:rsidP="00F44916">
      <w:pPr>
        <w:widowControl/>
        <w:rPr>
          <w:szCs w:val="22"/>
        </w:rPr>
      </w:pPr>
    </w:p>
    <w:p w:rsidR="00607D0A" w:rsidRPr="005F039C" w:rsidRDefault="00F44916" w:rsidP="00745891">
      <w:pPr>
        <w:pStyle w:val="ListParagraph"/>
        <w:widowControl/>
        <w:numPr>
          <w:ilvl w:val="1"/>
          <w:numId w:val="2"/>
        </w:numPr>
        <w:rPr>
          <w:szCs w:val="22"/>
        </w:rPr>
      </w:pPr>
      <w:r w:rsidRPr="005F039C">
        <w:t xml:space="preserve">On the basis of the aflibercept vial prices used in the economic evaluations, the overall effective price </w:t>
      </w:r>
      <w:r w:rsidR="00827EDF">
        <w:rPr>
          <w:noProof/>
          <w:color w:val="000000"/>
          <w:highlight w:val="black"/>
        </w:rPr>
        <w:t>'''''''''''''''''''''</w:t>
      </w:r>
      <w:r w:rsidRPr="005F039C">
        <w:t xml:space="preserve"> </w:t>
      </w:r>
      <w:r w:rsidR="00C56AAC" w:rsidRPr="005F039C">
        <w:t>wa</w:t>
      </w:r>
      <w:r w:rsidRPr="005F039C">
        <w:t xml:space="preserve">s informed by a </w:t>
      </w:r>
      <w:r w:rsidR="00827EDF">
        <w:rPr>
          <w:noProof/>
          <w:color w:val="000000"/>
          <w:highlight w:val="black"/>
        </w:rPr>
        <w:t>'''''''''''''''''''''</w:t>
      </w:r>
      <w:r w:rsidRPr="005F039C">
        <w:t xml:space="preserve"> distribution across ranibizumab/bevacizumab/BSC</w:t>
      </w:r>
      <w:r w:rsidR="00C56AAC" w:rsidRPr="005F039C">
        <w:t xml:space="preserve"> as comparators</w:t>
      </w:r>
      <w:r w:rsidRPr="005F039C">
        <w:t>.</w:t>
      </w:r>
    </w:p>
    <w:p w:rsidR="00195841" w:rsidRPr="005F039C" w:rsidRDefault="00195841" w:rsidP="00195841">
      <w:pPr>
        <w:widowControl/>
        <w:rPr>
          <w:szCs w:val="22"/>
        </w:rPr>
      </w:pPr>
    </w:p>
    <w:p w:rsidR="00B31CC4" w:rsidRPr="005F039C" w:rsidRDefault="00B31CC4" w:rsidP="00B31CC4">
      <w:pPr>
        <w:widowControl/>
        <w:ind w:left="709"/>
        <w:contextualSpacing/>
        <w:rPr>
          <w:rFonts w:cs="Times New Roman"/>
          <w:i/>
          <w:snapToGrid/>
          <w:szCs w:val="22"/>
          <w:lang w:eastAsia="en-AU"/>
        </w:rPr>
      </w:pPr>
      <w:r w:rsidRPr="005F039C">
        <w:rPr>
          <w:rFonts w:cs="Times New Roman"/>
          <w:i/>
          <w:snapToGrid/>
          <w:szCs w:val="22"/>
          <w:lang w:eastAsia="en-AU"/>
        </w:rPr>
        <w:t>For more detail on PBAC’s view, see section 7 “PBAC outcome”</w:t>
      </w:r>
    </w:p>
    <w:p w:rsidR="00B31CC4" w:rsidRPr="005F039C" w:rsidRDefault="00B31CC4" w:rsidP="00195841">
      <w:pPr>
        <w:widowControl/>
        <w:rPr>
          <w:szCs w:val="22"/>
        </w:rPr>
      </w:pPr>
    </w:p>
    <w:p w:rsidR="00B31CC4" w:rsidRPr="005F039C" w:rsidRDefault="00B31CC4" w:rsidP="00195841">
      <w:pPr>
        <w:widowControl/>
        <w:rPr>
          <w:szCs w:val="22"/>
        </w:rPr>
      </w:pPr>
    </w:p>
    <w:p w:rsidR="00607D0A" w:rsidRPr="005F039C" w:rsidRDefault="00607D0A" w:rsidP="006B5A69">
      <w:pPr>
        <w:pStyle w:val="BodyText"/>
        <w:rPr>
          <w:szCs w:val="22"/>
        </w:rPr>
      </w:pPr>
      <w:r w:rsidRPr="00B3341B">
        <w:rPr>
          <w:b/>
        </w:rPr>
        <w:t>Drug cost/patient/year:</w:t>
      </w:r>
      <w:r w:rsidRPr="005F039C">
        <w:t xml:space="preserve"> </w:t>
      </w:r>
      <w:r w:rsidR="00827EDF">
        <w:rPr>
          <w:noProof/>
          <w:color w:val="000000"/>
          <w:highlight w:val="black"/>
        </w:rPr>
        <w:t>'''''''''''''''</w:t>
      </w:r>
      <w:r w:rsidRPr="005F039C">
        <w:t xml:space="preserve"> in year 1; </w:t>
      </w:r>
      <w:r w:rsidR="00827EDF">
        <w:rPr>
          <w:noProof/>
          <w:color w:val="000000"/>
          <w:highlight w:val="black"/>
        </w:rPr>
        <w:t>''''''''''''''''''</w:t>
      </w:r>
      <w:r w:rsidRPr="005F039C">
        <w:t xml:space="preserve"> each subsequent year through </w:t>
      </w:r>
      <w:r w:rsidR="00C56AAC" w:rsidRPr="005F039C">
        <w:t xml:space="preserve">to </w:t>
      </w:r>
      <w:r w:rsidRPr="005F039C">
        <w:t>year 5.</w:t>
      </w:r>
    </w:p>
    <w:p w:rsidR="00607D0A" w:rsidRPr="005F039C" w:rsidRDefault="00607D0A" w:rsidP="00607D0A">
      <w:pPr>
        <w:widowControl/>
        <w:rPr>
          <w:szCs w:val="22"/>
        </w:rPr>
      </w:pPr>
    </w:p>
    <w:p w:rsidR="00607D0A" w:rsidRPr="005F039C" w:rsidRDefault="00C56AAC" w:rsidP="00745891">
      <w:pPr>
        <w:pStyle w:val="ListParagraph"/>
        <w:widowControl/>
        <w:numPr>
          <w:ilvl w:val="1"/>
          <w:numId w:val="2"/>
        </w:numPr>
        <w:snapToGrid w:val="0"/>
        <w:rPr>
          <w:szCs w:val="22"/>
        </w:rPr>
      </w:pPr>
      <w:r w:rsidRPr="005F039C">
        <w:rPr>
          <w:szCs w:val="22"/>
        </w:rPr>
        <w:t>The estimated d</w:t>
      </w:r>
      <w:r w:rsidR="00607D0A" w:rsidRPr="005F039C">
        <w:rPr>
          <w:szCs w:val="22"/>
        </w:rPr>
        <w:t xml:space="preserve">rug cost/patient/year </w:t>
      </w:r>
      <w:r w:rsidRPr="005F039C">
        <w:rPr>
          <w:szCs w:val="22"/>
        </w:rPr>
        <w:t>wa</w:t>
      </w:r>
      <w:r w:rsidR="00607D0A" w:rsidRPr="005F039C">
        <w:rPr>
          <w:szCs w:val="22"/>
        </w:rPr>
        <w:t>s based on an average number of aflibercept injections per patient each year</w:t>
      </w:r>
      <w:r w:rsidR="002D5EB5" w:rsidRPr="005F039C">
        <w:rPr>
          <w:szCs w:val="22"/>
        </w:rPr>
        <w:t xml:space="preserve"> </w:t>
      </w:r>
      <w:r w:rsidR="00607D0A" w:rsidRPr="005F039C">
        <w:rPr>
          <w:szCs w:val="22"/>
        </w:rPr>
        <w:t xml:space="preserve">(year 1: </w:t>
      </w:r>
      <w:r w:rsidR="00827EDF">
        <w:rPr>
          <w:noProof/>
          <w:color w:val="000000"/>
          <w:szCs w:val="22"/>
          <w:highlight w:val="black"/>
        </w:rPr>
        <w:t>''''''''''</w:t>
      </w:r>
      <w:r w:rsidR="00607D0A" w:rsidRPr="005F039C">
        <w:rPr>
          <w:szCs w:val="22"/>
        </w:rPr>
        <w:t xml:space="preserve">; years 2-5: </w:t>
      </w:r>
      <w:r w:rsidR="00827EDF">
        <w:rPr>
          <w:noProof/>
          <w:color w:val="000000"/>
          <w:szCs w:val="22"/>
          <w:highlight w:val="black"/>
        </w:rPr>
        <w:t>''''''''''</w:t>
      </w:r>
      <w:r w:rsidR="00607D0A" w:rsidRPr="005F039C">
        <w:rPr>
          <w:szCs w:val="22"/>
        </w:rPr>
        <w:t xml:space="preserve">). </w:t>
      </w:r>
      <w:r w:rsidRPr="005F039C">
        <w:rPr>
          <w:szCs w:val="22"/>
        </w:rPr>
        <w:t xml:space="preserve"> </w:t>
      </w:r>
      <w:r w:rsidR="00607D0A" w:rsidRPr="005F039C">
        <w:rPr>
          <w:szCs w:val="22"/>
        </w:rPr>
        <w:t xml:space="preserve">The </w:t>
      </w:r>
      <w:r w:rsidR="00525231" w:rsidRPr="005F039C">
        <w:rPr>
          <w:szCs w:val="22"/>
        </w:rPr>
        <w:t>resubmission</w:t>
      </w:r>
      <w:r w:rsidR="00607D0A" w:rsidRPr="005F039C">
        <w:rPr>
          <w:szCs w:val="22"/>
        </w:rPr>
        <w:t xml:space="preserve"> contend</w:t>
      </w:r>
      <w:r w:rsidRPr="005F039C">
        <w:rPr>
          <w:szCs w:val="22"/>
        </w:rPr>
        <w:t>ed</w:t>
      </w:r>
      <w:r w:rsidR="00607D0A" w:rsidRPr="005F039C">
        <w:rPr>
          <w:szCs w:val="22"/>
        </w:rPr>
        <w:t xml:space="preserve"> that almost all patients do not require treatment beyond 5 years. </w:t>
      </w:r>
      <w:r w:rsidRPr="005F039C">
        <w:rPr>
          <w:szCs w:val="22"/>
        </w:rPr>
        <w:t xml:space="preserve"> </w:t>
      </w:r>
      <w:r w:rsidR="00607D0A" w:rsidRPr="005F039C">
        <w:rPr>
          <w:szCs w:val="22"/>
        </w:rPr>
        <w:t xml:space="preserve">Estimates of injection frequency after the loading dose phase </w:t>
      </w:r>
      <w:r w:rsidRPr="005F039C">
        <w:rPr>
          <w:szCs w:val="22"/>
        </w:rPr>
        <w:t>we</w:t>
      </w:r>
      <w:r w:rsidR="00607D0A" w:rsidRPr="005F039C">
        <w:rPr>
          <w:szCs w:val="22"/>
        </w:rPr>
        <w:t>re not well supported.</w:t>
      </w:r>
    </w:p>
    <w:p w:rsidR="00607D0A" w:rsidRPr="005F039C" w:rsidRDefault="00607D0A" w:rsidP="00607D0A">
      <w:pPr>
        <w:rPr>
          <w:szCs w:val="22"/>
        </w:rPr>
      </w:pPr>
    </w:p>
    <w:p w:rsidR="00607D0A" w:rsidRPr="00B3341B" w:rsidRDefault="00607D0A" w:rsidP="00B3341B">
      <w:pPr>
        <w:rPr>
          <w:b/>
        </w:rPr>
      </w:pPr>
      <w:bookmarkStart w:id="15" w:name="_Toc398652411"/>
      <w:r w:rsidRPr="00B3341B">
        <w:rPr>
          <w:b/>
        </w:rPr>
        <w:t>Estimated PBS usage &amp; financial implications</w:t>
      </w:r>
      <w:bookmarkEnd w:id="15"/>
    </w:p>
    <w:p w:rsidR="00607D0A" w:rsidRPr="005F039C" w:rsidRDefault="00607D0A" w:rsidP="00607D0A"/>
    <w:p w:rsidR="006B5A69" w:rsidRPr="005F039C" w:rsidRDefault="00607D0A" w:rsidP="00745891">
      <w:pPr>
        <w:pStyle w:val="ListParagraph"/>
        <w:widowControl/>
        <w:numPr>
          <w:ilvl w:val="1"/>
          <w:numId w:val="2"/>
        </w:numPr>
        <w:rPr>
          <w:rStyle w:val="CommentReference"/>
          <w:rFonts w:ascii="Arial" w:hAnsi="Arial"/>
          <w:b w:val="0"/>
          <w:sz w:val="22"/>
          <w:szCs w:val="22"/>
        </w:rPr>
      </w:pPr>
      <w:r w:rsidRPr="005F039C">
        <w:t xml:space="preserve">This </w:t>
      </w:r>
      <w:r w:rsidR="00525231" w:rsidRPr="005F039C">
        <w:t>resubmission</w:t>
      </w:r>
      <w:r w:rsidRPr="005F039C">
        <w:t xml:space="preserve"> </w:t>
      </w:r>
      <w:r w:rsidR="000E68E1" w:rsidRPr="005F039C">
        <w:t>was not</w:t>
      </w:r>
      <w:r w:rsidRPr="005F039C">
        <w:t xml:space="preserve"> considered by DUSC.</w:t>
      </w:r>
    </w:p>
    <w:p w:rsidR="0037798F" w:rsidRPr="005F039C" w:rsidRDefault="0037798F">
      <w:pPr>
        <w:widowControl/>
        <w:jc w:val="left"/>
        <w:rPr>
          <w:rStyle w:val="CommentReference"/>
        </w:rPr>
      </w:pPr>
    </w:p>
    <w:p w:rsidR="00607D0A" w:rsidRPr="005F039C" w:rsidRDefault="00607D0A" w:rsidP="00607D0A">
      <w:pPr>
        <w:ind w:firstLine="709"/>
        <w:rPr>
          <w:rStyle w:val="CommentReference"/>
        </w:rPr>
      </w:pPr>
      <w:r w:rsidRPr="005F039C">
        <w:rPr>
          <w:rStyle w:val="CommentReference"/>
        </w:rPr>
        <w:t>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7"/>
        <w:gridCol w:w="1219"/>
        <w:gridCol w:w="1407"/>
        <w:gridCol w:w="1282"/>
        <w:gridCol w:w="1407"/>
        <w:gridCol w:w="1313"/>
      </w:tblGrid>
      <w:tr w:rsidR="00607D0A" w:rsidRPr="005F039C">
        <w:trPr>
          <w:tblHeader/>
        </w:trPr>
        <w:tc>
          <w:tcPr>
            <w:tcW w:w="1528" w:type="pct"/>
            <w:shd w:val="clear" w:color="auto" w:fill="auto"/>
            <w:vAlign w:val="center"/>
          </w:tcPr>
          <w:p w:rsidR="00607D0A" w:rsidRPr="005F039C" w:rsidRDefault="00607D0A" w:rsidP="00607D0A">
            <w:pPr>
              <w:tabs>
                <w:tab w:val="left" w:pos="142"/>
              </w:tabs>
              <w:ind w:right="93"/>
              <w:jc w:val="left"/>
              <w:rPr>
                <w:rFonts w:ascii="Arial Narrow" w:hAnsi="Arial Narrow"/>
                <w:b/>
                <w:sz w:val="20"/>
              </w:rPr>
            </w:pPr>
          </w:p>
        </w:tc>
        <w:tc>
          <w:tcPr>
            <w:tcW w:w="683" w:type="pct"/>
            <w:shd w:val="clear" w:color="auto" w:fill="auto"/>
            <w:vAlign w:val="center"/>
          </w:tcPr>
          <w:p w:rsidR="00607D0A" w:rsidRPr="005F039C" w:rsidRDefault="00607D0A" w:rsidP="00607D0A">
            <w:pPr>
              <w:ind w:right="93"/>
              <w:jc w:val="center"/>
              <w:rPr>
                <w:rFonts w:ascii="Arial Narrow" w:hAnsi="Arial Narrow"/>
                <w:b/>
                <w:sz w:val="20"/>
              </w:rPr>
            </w:pPr>
            <w:r w:rsidRPr="005F039C">
              <w:rPr>
                <w:rFonts w:ascii="Arial Narrow" w:hAnsi="Arial Narrow"/>
                <w:b/>
                <w:sz w:val="20"/>
              </w:rPr>
              <w:t>Year 1</w:t>
            </w:r>
          </w:p>
        </w:tc>
        <w:tc>
          <w:tcPr>
            <w:tcW w:w="679" w:type="pct"/>
            <w:shd w:val="clear" w:color="auto" w:fill="auto"/>
            <w:vAlign w:val="center"/>
          </w:tcPr>
          <w:p w:rsidR="00607D0A" w:rsidRPr="005F039C" w:rsidRDefault="00607D0A" w:rsidP="00607D0A">
            <w:pPr>
              <w:ind w:right="93"/>
              <w:jc w:val="center"/>
              <w:rPr>
                <w:rFonts w:ascii="Arial Narrow" w:hAnsi="Arial Narrow"/>
                <w:b/>
                <w:sz w:val="20"/>
              </w:rPr>
            </w:pPr>
            <w:r w:rsidRPr="005F039C">
              <w:rPr>
                <w:rFonts w:ascii="Arial Narrow" w:hAnsi="Arial Narrow"/>
                <w:b/>
                <w:sz w:val="20"/>
              </w:rPr>
              <w:t>Year 2</w:t>
            </w:r>
          </w:p>
        </w:tc>
        <w:tc>
          <w:tcPr>
            <w:tcW w:w="679" w:type="pct"/>
            <w:shd w:val="clear" w:color="auto" w:fill="auto"/>
            <w:vAlign w:val="center"/>
          </w:tcPr>
          <w:p w:rsidR="00607D0A" w:rsidRPr="005F039C" w:rsidRDefault="00607D0A" w:rsidP="00607D0A">
            <w:pPr>
              <w:ind w:right="93"/>
              <w:jc w:val="center"/>
              <w:rPr>
                <w:rFonts w:ascii="Arial Narrow" w:hAnsi="Arial Narrow"/>
                <w:b/>
                <w:sz w:val="20"/>
              </w:rPr>
            </w:pPr>
            <w:r w:rsidRPr="005F039C">
              <w:rPr>
                <w:rFonts w:ascii="Arial Narrow" w:hAnsi="Arial Narrow"/>
                <w:b/>
                <w:sz w:val="20"/>
              </w:rPr>
              <w:t>Year 3</w:t>
            </w:r>
          </w:p>
        </w:tc>
        <w:tc>
          <w:tcPr>
            <w:tcW w:w="680" w:type="pct"/>
            <w:shd w:val="clear" w:color="auto" w:fill="auto"/>
            <w:vAlign w:val="center"/>
          </w:tcPr>
          <w:p w:rsidR="00607D0A" w:rsidRPr="005F039C" w:rsidRDefault="00607D0A" w:rsidP="00607D0A">
            <w:pPr>
              <w:ind w:right="93"/>
              <w:jc w:val="center"/>
              <w:rPr>
                <w:rFonts w:ascii="Arial Narrow" w:hAnsi="Arial Narrow"/>
                <w:b/>
                <w:sz w:val="20"/>
              </w:rPr>
            </w:pPr>
            <w:r w:rsidRPr="005F039C">
              <w:rPr>
                <w:rFonts w:ascii="Arial Narrow" w:hAnsi="Arial Narrow"/>
                <w:b/>
                <w:sz w:val="20"/>
              </w:rPr>
              <w:t>Year 4</w:t>
            </w:r>
          </w:p>
        </w:tc>
        <w:tc>
          <w:tcPr>
            <w:tcW w:w="751" w:type="pct"/>
            <w:shd w:val="clear" w:color="auto" w:fill="auto"/>
            <w:vAlign w:val="center"/>
          </w:tcPr>
          <w:p w:rsidR="00607D0A" w:rsidRPr="005F039C" w:rsidRDefault="00607D0A" w:rsidP="00607D0A">
            <w:pPr>
              <w:ind w:right="93"/>
              <w:jc w:val="center"/>
              <w:rPr>
                <w:rFonts w:ascii="Arial Narrow" w:hAnsi="Arial Narrow"/>
                <w:b/>
                <w:sz w:val="20"/>
              </w:rPr>
            </w:pPr>
            <w:r w:rsidRPr="005F039C">
              <w:rPr>
                <w:rFonts w:ascii="Arial Narrow" w:hAnsi="Arial Narrow"/>
                <w:b/>
                <w:sz w:val="20"/>
              </w:rPr>
              <w:t>Year 5</w:t>
            </w:r>
          </w:p>
        </w:tc>
      </w:tr>
      <w:tr w:rsidR="00607D0A" w:rsidRPr="005F039C">
        <w:tc>
          <w:tcPr>
            <w:tcW w:w="5000" w:type="pct"/>
            <w:gridSpan w:val="6"/>
            <w:shd w:val="clear" w:color="auto" w:fill="auto"/>
            <w:vAlign w:val="center"/>
          </w:tcPr>
          <w:p w:rsidR="00607D0A" w:rsidRPr="005F039C" w:rsidRDefault="00607D0A" w:rsidP="00607D0A">
            <w:pPr>
              <w:ind w:right="93"/>
              <w:jc w:val="left"/>
              <w:rPr>
                <w:rFonts w:ascii="Arial Narrow" w:hAnsi="Arial Narrow"/>
                <w:b/>
                <w:bCs/>
                <w:sz w:val="20"/>
              </w:rPr>
            </w:pPr>
            <w:r w:rsidRPr="005F039C">
              <w:rPr>
                <w:rFonts w:ascii="Arial Narrow" w:hAnsi="Arial Narrow"/>
                <w:b/>
                <w:bCs/>
                <w:sz w:val="20"/>
              </w:rPr>
              <w:t>Estimated extent of use</w:t>
            </w:r>
          </w:p>
        </w:tc>
      </w:tr>
      <w:tr w:rsidR="00607D0A" w:rsidRPr="005F039C">
        <w:tc>
          <w:tcPr>
            <w:tcW w:w="1528" w:type="pct"/>
            <w:shd w:val="clear" w:color="auto" w:fill="auto"/>
            <w:vAlign w:val="center"/>
          </w:tcPr>
          <w:p w:rsidR="00607D0A" w:rsidRPr="005F039C" w:rsidRDefault="00607D0A" w:rsidP="00607D0A">
            <w:pPr>
              <w:tabs>
                <w:tab w:val="left" w:pos="142"/>
              </w:tabs>
              <w:ind w:right="93"/>
              <w:jc w:val="left"/>
              <w:rPr>
                <w:rFonts w:ascii="Arial Narrow" w:hAnsi="Arial Narrow"/>
                <w:sz w:val="20"/>
              </w:rPr>
            </w:pPr>
            <w:r w:rsidRPr="005F039C">
              <w:rPr>
                <w:rFonts w:ascii="Arial Narrow" w:hAnsi="Arial Narrow"/>
                <w:sz w:val="20"/>
              </w:rPr>
              <w:t>Number treated</w:t>
            </w:r>
          </w:p>
        </w:tc>
        <w:tc>
          <w:tcPr>
            <w:tcW w:w="683" w:type="pct"/>
            <w:shd w:val="clear" w:color="auto" w:fill="auto"/>
            <w:vAlign w:val="center"/>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80" w:type="pct"/>
            <w:shd w:val="clear" w:color="auto" w:fill="auto"/>
            <w:vAlign w:val="center"/>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751" w:type="pct"/>
            <w:shd w:val="clear" w:color="auto" w:fill="auto"/>
            <w:vAlign w:val="center"/>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r>
      <w:tr w:rsidR="00607D0A" w:rsidRPr="005F039C">
        <w:tc>
          <w:tcPr>
            <w:tcW w:w="1528" w:type="pct"/>
            <w:shd w:val="clear" w:color="auto" w:fill="auto"/>
            <w:vAlign w:val="center"/>
          </w:tcPr>
          <w:p w:rsidR="00607D0A" w:rsidRPr="005F039C" w:rsidRDefault="00607D0A" w:rsidP="00607D0A">
            <w:pPr>
              <w:tabs>
                <w:tab w:val="left" w:pos="142"/>
              </w:tabs>
              <w:ind w:right="93"/>
              <w:jc w:val="left"/>
              <w:rPr>
                <w:rFonts w:ascii="Arial Narrow" w:hAnsi="Arial Narrow"/>
                <w:sz w:val="20"/>
              </w:rPr>
            </w:pPr>
            <w:r w:rsidRPr="005F039C">
              <w:rPr>
                <w:rFonts w:ascii="Arial Narrow" w:hAnsi="Arial Narrow"/>
                <w:sz w:val="20"/>
              </w:rPr>
              <w:t>Number treated – March 2014</w:t>
            </w:r>
          </w:p>
        </w:tc>
        <w:tc>
          <w:tcPr>
            <w:tcW w:w="683" w:type="pct"/>
            <w:shd w:val="clear" w:color="auto" w:fill="auto"/>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80" w:type="pct"/>
            <w:shd w:val="clear" w:color="auto" w:fill="auto"/>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751" w:type="pct"/>
            <w:shd w:val="clear" w:color="auto" w:fill="auto"/>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r>
      <w:tr w:rsidR="00607D0A" w:rsidRPr="005F039C">
        <w:tc>
          <w:tcPr>
            <w:tcW w:w="1528" w:type="pct"/>
            <w:shd w:val="clear" w:color="auto" w:fill="auto"/>
            <w:vAlign w:val="center"/>
          </w:tcPr>
          <w:p w:rsidR="00607D0A" w:rsidRPr="005F039C" w:rsidRDefault="00607D0A" w:rsidP="00607D0A">
            <w:pPr>
              <w:tabs>
                <w:tab w:val="left" w:pos="142"/>
              </w:tabs>
              <w:ind w:right="93"/>
              <w:jc w:val="left"/>
              <w:rPr>
                <w:rFonts w:ascii="Arial Narrow" w:hAnsi="Arial Narrow"/>
                <w:sz w:val="20"/>
              </w:rPr>
            </w:pPr>
            <w:r w:rsidRPr="005F039C">
              <w:rPr>
                <w:rFonts w:ascii="Arial Narrow" w:hAnsi="Arial Narrow"/>
                <w:sz w:val="20"/>
              </w:rPr>
              <w:t>Uptake rate</w:t>
            </w:r>
          </w:p>
        </w:tc>
        <w:tc>
          <w:tcPr>
            <w:tcW w:w="683"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eastAsiaTheme="minorHAnsi" w:hAnsi="Arial Narrow"/>
                <w:iCs/>
                <w:noProof/>
                <w:color w:val="000000"/>
                <w:sz w:val="20"/>
                <w:highlight w:val="black"/>
              </w:rPr>
              <w:t>''''''''''</w:t>
            </w:r>
          </w:p>
        </w:tc>
        <w:tc>
          <w:tcPr>
            <w:tcW w:w="679"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eastAsiaTheme="minorHAnsi" w:hAnsi="Arial Narrow"/>
                <w:iCs/>
                <w:noProof/>
                <w:color w:val="000000"/>
                <w:sz w:val="20"/>
                <w:highlight w:val="black"/>
              </w:rPr>
              <w:t>'''''''''''</w:t>
            </w:r>
          </w:p>
        </w:tc>
        <w:tc>
          <w:tcPr>
            <w:tcW w:w="679"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eastAsiaTheme="minorHAnsi" w:hAnsi="Arial Narrow"/>
                <w:iCs/>
                <w:noProof/>
                <w:color w:val="000000"/>
                <w:sz w:val="20"/>
                <w:highlight w:val="black"/>
              </w:rPr>
              <w:t>''''''''''</w:t>
            </w:r>
          </w:p>
        </w:tc>
        <w:tc>
          <w:tcPr>
            <w:tcW w:w="680"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eastAsiaTheme="minorHAnsi" w:hAnsi="Arial Narrow"/>
                <w:iCs/>
                <w:noProof/>
                <w:color w:val="000000"/>
                <w:sz w:val="20"/>
                <w:highlight w:val="black"/>
              </w:rPr>
              <w:t>'''''''''''</w:t>
            </w:r>
          </w:p>
        </w:tc>
        <w:tc>
          <w:tcPr>
            <w:tcW w:w="751"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eastAsiaTheme="minorHAnsi" w:hAnsi="Arial Narrow"/>
                <w:iCs/>
                <w:noProof/>
                <w:color w:val="000000"/>
                <w:sz w:val="20"/>
                <w:highlight w:val="black"/>
              </w:rPr>
              <w:t>'''''''''''''</w:t>
            </w:r>
          </w:p>
        </w:tc>
      </w:tr>
      <w:tr w:rsidR="00607D0A" w:rsidRPr="005F039C">
        <w:tc>
          <w:tcPr>
            <w:tcW w:w="1528" w:type="pct"/>
            <w:shd w:val="clear" w:color="auto" w:fill="auto"/>
            <w:vAlign w:val="center"/>
          </w:tcPr>
          <w:p w:rsidR="00607D0A" w:rsidRPr="005F039C" w:rsidRDefault="00607D0A" w:rsidP="00607D0A">
            <w:pPr>
              <w:tabs>
                <w:tab w:val="left" w:pos="142"/>
              </w:tabs>
              <w:ind w:right="93"/>
              <w:jc w:val="left"/>
              <w:rPr>
                <w:rFonts w:ascii="Arial Narrow" w:hAnsi="Arial Narrow"/>
                <w:sz w:val="20"/>
              </w:rPr>
            </w:pPr>
            <w:r w:rsidRPr="005F039C">
              <w:rPr>
                <w:rFonts w:ascii="Arial Narrow" w:hAnsi="Arial Narrow"/>
                <w:sz w:val="20"/>
              </w:rPr>
              <w:t>Uptake rate March 2014</w:t>
            </w:r>
          </w:p>
        </w:tc>
        <w:tc>
          <w:tcPr>
            <w:tcW w:w="683"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hAnsi="Arial Narrow"/>
                <w:noProof/>
                <w:color w:val="000000"/>
                <w:sz w:val="20"/>
                <w:highlight w:val="black"/>
              </w:rPr>
              <w:t>'''''''''''</w:t>
            </w:r>
          </w:p>
        </w:tc>
        <w:tc>
          <w:tcPr>
            <w:tcW w:w="680"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hAnsi="Arial Narrow"/>
                <w:noProof/>
                <w:color w:val="000000"/>
                <w:sz w:val="20"/>
                <w:highlight w:val="black"/>
              </w:rPr>
              <w:t>'''''''''''</w:t>
            </w:r>
          </w:p>
        </w:tc>
        <w:tc>
          <w:tcPr>
            <w:tcW w:w="751"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hAnsi="Arial Narrow"/>
                <w:noProof/>
                <w:color w:val="000000"/>
                <w:sz w:val="20"/>
                <w:highlight w:val="black"/>
              </w:rPr>
              <w:t>''''''''''</w:t>
            </w:r>
          </w:p>
        </w:tc>
      </w:tr>
      <w:tr w:rsidR="00607D0A" w:rsidRPr="005F039C">
        <w:tc>
          <w:tcPr>
            <w:tcW w:w="1528" w:type="pct"/>
            <w:shd w:val="clear" w:color="auto" w:fill="auto"/>
            <w:vAlign w:val="center"/>
          </w:tcPr>
          <w:p w:rsidR="00607D0A" w:rsidRPr="005F039C" w:rsidRDefault="00607D0A" w:rsidP="00607D0A">
            <w:pPr>
              <w:tabs>
                <w:tab w:val="left" w:pos="142"/>
              </w:tabs>
              <w:ind w:right="93"/>
              <w:jc w:val="left"/>
              <w:rPr>
                <w:rFonts w:ascii="Arial Narrow" w:hAnsi="Arial Narrow"/>
                <w:sz w:val="20"/>
              </w:rPr>
            </w:pPr>
            <w:r w:rsidRPr="005F039C">
              <w:rPr>
                <w:rFonts w:ascii="Arial Narrow" w:hAnsi="Arial Narrow"/>
                <w:sz w:val="20"/>
              </w:rPr>
              <w:t>Injections</w:t>
            </w:r>
          </w:p>
        </w:tc>
        <w:tc>
          <w:tcPr>
            <w:tcW w:w="683" w:type="pct"/>
            <w:shd w:val="clear" w:color="auto" w:fill="auto"/>
            <w:vAlign w:val="center"/>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80" w:type="pct"/>
            <w:shd w:val="clear" w:color="auto" w:fill="auto"/>
            <w:vAlign w:val="center"/>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751" w:type="pct"/>
            <w:shd w:val="clear" w:color="auto" w:fill="auto"/>
            <w:vAlign w:val="center"/>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r>
      <w:tr w:rsidR="00607D0A" w:rsidRPr="005F039C">
        <w:tc>
          <w:tcPr>
            <w:tcW w:w="1528" w:type="pct"/>
            <w:shd w:val="clear" w:color="auto" w:fill="auto"/>
            <w:vAlign w:val="center"/>
          </w:tcPr>
          <w:p w:rsidR="00607D0A" w:rsidRPr="005F039C" w:rsidRDefault="00607D0A" w:rsidP="00607D0A">
            <w:pPr>
              <w:tabs>
                <w:tab w:val="left" w:pos="142"/>
              </w:tabs>
              <w:ind w:right="93"/>
              <w:jc w:val="left"/>
              <w:rPr>
                <w:rFonts w:ascii="Arial Narrow" w:hAnsi="Arial Narrow"/>
                <w:sz w:val="20"/>
              </w:rPr>
            </w:pPr>
            <w:r w:rsidRPr="005F039C">
              <w:rPr>
                <w:rFonts w:ascii="Arial Narrow" w:hAnsi="Arial Narrow"/>
                <w:sz w:val="20"/>
              </w:rPr>
              <w:t>Injections - March 2014</w:t>
            </w:r>
          </w:p>
        </w:tc>
        <w:tc>
          <w:tcPr>
            <w:tcW w:w="683" w:type="pct"/>
            <w:shd w:val="clear" w:color="auto" w:fill="auto"/>
          </w:tcPr>
          <w:p w:rsidR="00607D0A" w:rsidRPr="00827EDF" w:rsidRDefault="00827EDF" w:rsidP="00607D0A">
            <w:pPr>
              <w:ind w:right="93"/>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tcPr>
          <w:p w:rsidR="00607D0A" w:rsidRPr="00827EDF" w:rsidRDefault="00827EDF" w:rsidP="00607D0A">
            <w:pPr>
              <w:ind w:right="93"/>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tcPr>
          <w:p w:rsidR="00607D0A" w:rsidRPr="00827EDF" w:rsidRDefault="00827EDF" w:rsidP="00607D0A">
            <w:pPr>
              <w:ind w:right="93"/>
              <w:jc w:val="center"/>
              <w:rPr>
                <w:rFonts w:ascii="Arial Narrow" w:hAnsi="Arial Narrow"/>
                <w:bCs/>
                <w:sz w:val="20"/>
                <w:highlight w:val="black"/>
              </w:rPr>
            </w:pPr>
            <w:r>
              <w:rPr>
                <w:rFonts w:ascii="Arial Narrow" w:hAnsi="Arial Narrow"/>
                <w:bCs/>
                <w:noProof/>
                <w:color w:val="000000"/>
                <w:sz w:val="20"/>
                <w:highlight w:val="black"/>
              </w:rPr>
              <w:t>''''''''''''''''</w:t>
            </w:r>
          </w:p>
        </w:tc>
        <w:tc>
          <w:tcPr>
            <w:tcW w:w="680" w:type="pct"/>
            <w:shd w:val="clear" w:color="auto" w:fill="auto"/>
          </w:tcPr>
          <w:p w:rsidR="00607D0A" w:rsidRPr="00827EDF" w:rsidRDefault="00827EDF" w:rsidP="00607D0A">
            <w:pPr>
              <w:ind w:right="93"/>
              <w:jc w:val="center"/>
              <w:rPr>
                <w:rFonts w:ascii="Arial Narrow" w:hAnsi="Arial Narrow"/>
                <w:bCs/>
                <w:sz w:val="20"/>
                <w:highlight w:val="black"/>
              </w:rPr>
            </w:pPr>
            <w:r>
              <w:rPr>
                <w:rFonts w:ascii="Arial Narrow" w:hAnsi="Arial Narrow"/>
                <w:bCs/>
                <w:noProof/>
                <w:color w:val="000000"/>
                <w:sz w:val="20"/>
                <w:highlight w:val="black"/>
              </w:rPr>
              <w:t>'''''''''''''''''</w:t>
            </w:r>
          </w:p>
        </w:tc>
        <w:tc>
          <w:tcPr>
            <w:tcW w:w="751" w:type="pct"/>
            <w:shd w:val="clear" w:color="auto" w:fill="auto"/>
          </w:tcPr>
          <w:p w:rsidR="00607D0A" w:rsidRPr="00827EDF" w:rsidRDefault="00827EDF" w:rsidP="00607D0A">
            <w:pPr>
              <w:ind w:right="93"/>
              <w:jc w:val="center"/>
              <w:rPr>
                <w:rFonts w:ascii="Arial Narrow" w:hAnsi="Arial Narrow"/>
                <w:bCs/>
                <w:sz w:val="20"/>
                <w:highlight w:val="black"/>
              </w:rPr>
            </w:pPr>
            <w:r>
              <w:rPr>
                <w:rFonts w:ascii="Arial Narrow" w:hAnsi="Arial Narrow"/>
                <w:bCs/>
                <w:noProof/>
                <w:color w:val="000000"/>
                <w:sz w:val="20"/>
                <w:highlight w:val="black"/>
              </w:rPr>
              <w:t>'''''''''''''''</w:t>
            </w:r>
          </w:p>
        </w:tc>
      </w:tr>
      <w:tr w:rsidR="00607D0A" w:rsidRPr="005F039C">
        <w:tc>
          <w:tcPr>
            <w:tcW w:w="5000" w:type="pct"/>
            <w:gridSpan w:val="6"/>
            <w:shd w:val="clear" w:color="auto" w:fill="auto"/>
            <w:vAlign w:val="center"/>
          </w:tcPr>
          <w:p w:rsidR="00607D0A" w:rsidRPr="005F039C" w:rsidRDefault="00607D0A" w:rsidP="00607D0A">
            <w:pPr>
              <w:ind w:right="93"/>
              <w:jc w:val="left"/>
              <w:rPr>
                <w:rFonts w:ascii="Arial Narrow" w:hAnsi="Arial Narrow"/>
                <w:b/>
                <w:bCs/>
                <w:sz w:val="20"/>
              </w:rPr>
            </w:pPr>
            <w:r w:rsidRPr="005F039C">
              <w:rPr>
                <w:rFonts w:ascii="Arial Narrow" w:hAnsi="Arial Narrow"/>
                <w:b/>
                <w:bCs/>
                <w:sz w:val="20"/>
              </w:rPr>
              <w:t>Estimated net cost to PBS/MBS</w:t>
            </w:r>
          </w:p>
        </w:tc>
      </w:tr>
      <w:tr w:rsidR="00607D0A" w:rsidRPr="005F039C">
        <w:tc>
          <w:tcPr>
            <w:tcW w:w="1528" w:type="pct"/>
            <w:shd w:val="clear" w:color="auto" w:fill="auto"/>
            <w:vAlign w:val="center"/>
          </w:tcPr>
          <w:p w:rsidR="00607D0A" w:rsidRPr="005F039C" w:rsidRDefault="00607D0A" w:rsidP="00607D0A">
            <w:pPr>
              <w:tabs>
                <w:tab w:val="left" w:pos="142"/>
              </w:tabs>
              <w:ind w:right="93"/>
              <w:jc w:val="left"/>
              <w:rPr>
                <w:rFonts w:ascii="Arial Narrow" w:hAnsi="Arial Narrow"/>
                <w:sz w:val="20"/>
              </w:rPr>
            </w:pPr>
            <w:r w:rsidRPr="005F039C">
              <w:rPr>
                <w:rFonts w:ascii="Arial Narrow" w:hAnsi="Arial Narrow"/>
                <w:sz w:val="20"/>
              </w:rPr>
              <w:t xml:space="preserve">Net cost to PBS </w:t>
            </w:r>
          </w:p>
        </w:tc>
        <w:tc>
          <w:tcPr>
            <w:tcW w:w="683" w:type="pct"/>
            <w:shd w:val="clear" w:color="auto" w:fill="auto"/>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80" w:type="pct"/>
            <w:shd w:val="clear" w:color="auto" w:fill="auto"/>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751" w:type="pct"/>
            <w:shd w:val="clear" w:color="auto" w:fill="auto"/>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r>
      <w:tr w:rsidR="00607D0A" w:rsidRPr="005F039C">
        <w:tc>
          <w:tcPr>
            <w:tcW w:w="1528" w:type="pct"/>
            <w:shd w:val="clear" w:color="auto" w:fill="auto"/>
            <w:vAlign w:val="center"/>
          </w:tcPr>
          <w:p w:rsidR="00607D0A" w:rsidRPr="005F039C" w:rsidRDefault="00607D0A" w:rsidP="00607D0A">
            <w:pPr>
              <w:tabs>
                <w:tab w:val="left" w:pos="142"/>
              </w:tabs>
              <w:ind w:right="93"/>
              <w:jc w:val="left"/>
              <w:rPr>
                <w:rFonts w:ascii="Arial Narrow" w:hAnsi="Arial Narrow"/>
                <w:sz w:val="20"/>
              </w:rPr>
            </w:pPr>
            <w:r w:rsidRPr="005F039C">
              <w:rPr>
                <w:rFonts w:ascii="Arial Narrow" w:hAnsi="Arial Narrow"/>
                <w:sz w:val="20"/>
              </w:rPr>
              <w:t xml:space="preserve">Net cost to March </w:t>
            </w:r>
            <w:r w:rsidRPr="005F039C">
              <w:rPr>
                <w:rFonts w:ascii="Arial Narrow" w:hAnsi="Arial Narrow"/>
                <w:sz w:val="20"/>
              </w:rPr>
              <w:lastRenderedPageBreak/>
              <w:t>2014</w:t>
            </w:r>
          </w:p>
        </w:tc>
        <w:tc>
          <w:tcPr>
            <w:tcW w:w="683"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hAnsi="Arial Narrow"/>
                <w:noProof/>
                <w:color w:val="000000"/>
                <w:sz w:val="20"/>
                <w:highlight w:val="black"/>
              </w:rPr>
              <w:lastRenderedPageBreak/>
              <w:t>'''''''''''''''''''''''''''</w:t>
            </w:r>
          </w:p>
        </w:tc>
        <w:tc>
          <w:tcPr>
            <w:tcW w:w="679"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hAnsi="Arial Narrow"/>
                <w:noProof/>
                <w:color w:val="000000"/>
                <w:sz w:val="20"/>
                <w:highlight w:val="black"/>
              </w:rPr>
              <w:t>'''''''''''''''''''''''''''''</w:t>
            </w:r>
          </w:p>
        </w:tc>
        <w:tc>
          <w:tcPr>
            <w:tcW w:w="680"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hAnsi="Arial Narrow"/>
                <w:noProof/>
                <w:color w:val="000000"/>
                <w:sz w:val="20"/>
                <w:highlight w:val="black"/>
              </w:rPr>
              <w:t>'''''''''''''''''''''''''''''</w:t>
            </w:r>
          </w:p>
        </w:tc>
        <w:tc>
          <w:tcPr>
            <w:tcW w:w="751"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hAnsi="Arial Narrow"/>
                <w:noProof/>
                <w:color w:val="000000"/>
                <w:sz w:val="20"/>
                <w:highlight w:val="black"/>
              </w:rPr>
              <w:t>'''''''''''''''''''''''''''''''</w:t>
            </w:r>
          </w:p>
        </w:tc>
      </w:tr>
      <w:tr w:rsidR="00607D0A" w:rsidRPr="005F039C">
        <w:tc>
          <w:tcPr>
            <w:tcW w:w="1528" w:type="pct"/>
            <w:shd w:val="clear" w:color="auto" w:fill="auto"/>
            <w:vAlign w:val="center"/>
          </w:tcPr>
          <w:p w:rsidR="00607D0A" w:rsidRPr="005F039C" w:rsidRDefault="00607D0A" w:rsidP="00607D0A">
            <w:pPr>
              <w:tabs>
                <w:tab w:val="left" w:pos="142"/>
              </w:tabs>
              <w:ind w:right="93"/>
              <w:jc w:val="left"/>
              <w:rPr>
                <w:rFonts w:ascii="Arial Narrow" w:hAnsi="Arial Narrow"/>
                <w:sz w:val="20"/>
              </w:rPr>
            </w:pPr>
            <w:r w:rsidRPr="005F039C">
              <w:rPr>
                <w:rFonts w:ascii="Arial Narrow" w:hAnsi="Arial Narrow"/>
                <w:sz w:val="20"/>
              </w:rPr>
              <w:lastRenderedPageBreak/>
              <w:t>Net cost to MBS</w:t>
            </w:r>
          </w:p>
        </w:tc>
        <w:tc>
          <w:tcPr>
            <w:tcW w:w="683"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hAnsi="Arial Narrow"/>
                <w:noProof/>
                <w:color w:val="000000"/>
                <w:sz w:val="20"/>
                <w:highlight w:val="black"/>
              </w:rPr>
              <w:t>'''''''''''''''''''''''''''''</w:t>
            </w:r>
          </w:p>
        </w:tc>
        <w:tc>
          <w:tcPr>
            <w:tcW w:w="680"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hAnsi="Arial Narrow"/>
                <w:noProof/>
                <w:color w:val="000000"/>
                <w:sz w:val="20"/>
                <w:highlight w:val="black"/>
              </w:rPr>
              <w:t>'''''''''''''''''''''''''</w:t>
            </w:r>
          </w:p>
        </w:tc>
        <w:tc>
          <w:tcPr>
            <w:tcW w:w="751" w:type="pct"/>
            <w:shd w:val="clear" w:color="auto" w:fill="auto"/>
          </w:tcPr>
          <w:p w:rsidR="00607D0A" w:rsidRPr="00827EDF" w:rsidRDefault="00827EDF" w:rsidP="00607D0A">
            <w:pPr>
              <w:ind w:right="93"/>
              <w:jc w:val="center"/>
              <w:rPr>
                <w:rFonts w:ascii="Arial Narrow" w:hAnsi="Arial Narrow"/>
                <w:sz w:val="20"/>
                <w:highlight w:val="black"/>
              </w:rPr>
            </w:pPr>
            <w:r>
              <w:rPr>
                <w:rFonts w:ascii="Arial Narrow" w:hAnsi="Arial Narrow"/>
                <w:noProof/>
                <w:color w:val="000000"/>
                <w:sz w:val="20"/>
                <w:highlight w:val="black"/>
              </w:rPr>
              <w:t>''''''''''''''''''''''''''''</w:t>
            </w:r>
          </w:p>
        </w:tc>
      </w:tr>
      <w:tr w:rsidR="00607D0A" w:rsidRPr="005F039C">
        <w:tc>
          <w:tcPr>
            <w:tcW w:w="1528" w:type="pct"/>
            <w:shd w:val="clear" w:color="auto" w:fill="auto"/>
            <w:vAlign w:val="center"/>
          </w:tcPr>
          <w:p w:rsidR="00607D0A" w:rsidRPr="005F039C" w:rsidRDefault="00607D0A" w:rsidP="00607D0A">
            <w:pPr>
              <w:tabs>
                <w:tab w:val="left" w:pos="142"/>
              </w:tabs>
              <w:ind w:right="93"/>
              <w:jc w:val="left"/>
              <w:rPr>
                <w:rFonts w:ascii="Arial Narrow" w:hAnsi="Arial Narrow"/>
                <w:sz w:val="20"/>
              </w:rPr>
            </w:pPr>
            <w:r w:rsidRPr="005F039C">
              <w:rPr>
                <w:rFonts w:ascii="Arial Narrow" w:hAnsi="Arial Narrow"/>
                <w:sz w:val="20"/>
              </w:rPr>
              <w:t>Net cost to MBS March 2014</w:t>
            </w:r>
          </w:p>
        </w:tc>
        <w:tc>
          <w:tcPr>
            <w:tcW w:w="683" w:type="pct"/>
            <w:shd w:val="clear" w:color="auto" w:fill="auto"/>
            <w:vAlign w:val="bottom"/>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bottom"/>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bottom"/>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80" w:type="pct"/>
            <w:shd w:val="clear" w:color="auto" w:fill="auto"/>
            <w:vAlign w:val="bottom"/>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751" w:type="pct"/>
            <w:shd w:val="clear" w:color="auto" w:fill="auto"/>
            <w:vAlign w:val="bottom"/>
          </w:tcPr>
          <w:p w:rsidR="00607D0A" w:rsidRPr="00827EDF" w:rsidRDefault="00827EDF" w:rsidP="00607D0A">
            <w:pPr>
              <w:ind w:right="93"/>
              <w:jc w:val="center"/>
              <w:rPr>
                <w:rFonts w:ascii="Arial Narrow" w:hAnsi="Arial Narrow"/>
                <w:bCs/>
                <w:sz w:val="20"/>
                <w:highlight w:val="black"/>
              </w:rPr>
            </w:pPr>
            <w:r>
              <w:rPr>
                <w:rFonts w:ascii="Arial Narrow" w:hAnsi="Arial Narrow"/>
                <w:noProof/>
                <w:color w:val="000000"/>
                <w:sz w:val="20"/>
                <w:highlight w:val="black"/>
              </w:rPr>
              <w:t>'''''''''''''''''''''''''''''</w:t>
            </w:r>
          </w:p>
        </w:tc>
      </w:tr>
      <w:tr w:rsidR="00607D0A" w:rsidRPr="005F039C">
        <w:tc>
          <w:tcPr>
            <w:tcW w:w="5000" w:type="pct"/>
            <w:gridSpan w:val="6"/>
            <w:shd w:val="clear" w:color="auto" w:fill="auto"/>
            <w:vAlign w:val="center"/>
          </w:tcPr>
          <w:p w:rsidR="00607D0A" w:rsidRPr="005F039C" w:rsidRDefault="00607D0A" w:rsidP="00607D0A">
            <w:pPr>
              <w:ind w:right="93"/>
              <w:jc w:val="left"/>
              <w:rPr>
                <w:rFonts w:ascii="Arial Narrow" w:hAnsi="Arial Narrow"/>
                <w:b/>
                <w:sz w:val="20"/>
              </w:rPr>
            </w:pPr>
            <w:r w:rsidRPr="005F039C">
              <w:rPr>
                <w:rFonts w:ascii="Arial Narrow" w:hAnsi="Arial Narrow"/>
                <w:b/>
                <w:sz w:val="20"/>
              </w:rPr>
              <w:t>Estimated total net cost</w:t>
            </w:r>
          </w:p>
        </w:tc>
      </w:tr>
      <w:tr w:rsidR="00607D0A" w:rsidRPr="005F039C">
        <w:tc>
          <w:tcPr>
            <w:tcW w:w="1528" w:type="pct"/>
            <w:shd w:val="clear" w:color="auto" w:fill="auto"/>
            <w:vAlign w:val="center"/>
          </w:tcPr>
          <w:p w:rsidR="00607D0A" w:rsidRPr="005F039C" w:rsidRDefault="00607D0A" w:rsidP="00607D0A">
            <w:pPr>
              <w:tabs>
                <w:tab w:val="left" w:pos="142"/>
              </w:tabs>
              <w:ind w:right="93"/>
              <w:jc w:val="left"/>
              <w:rPr>
                <w:rFonts w:ascii="Arial Narrow" w:hAnsi="Arial Narrow"/>
                <w:b/>
                <w:sz w:val="20"/>
              </w:rPr>
            </w:pPr>
            <w:r w:rsidRPr="005F039C">
              <w:rPr>
                <w:rFonts w:ascii="Arial Narrow" w:hAnsi="Arial Narrow"/>
                <w:b/>
                <w:bCs/>
                <w:sz w:val="20"/>
              </w:rPr>
              <w:t>Net cost PBS/MBS</w:t>
            </w:r>
          </w:p>
        </w:tc>
        <w:tc>
          <w:tcPr>
            <w:tcW w:w="683" w:type="pct"/>
            <w:shd w:val="clear" w:color="auto" w:fill="auto"/>
            <w:vAlign w:val="bottom"/>
          </w:tcPr>
          <w:p w:rsidR="00607D0A" w:rsidRPr="00827EDF" w:rsidRDefault="00827EDF" w:rsidP="00607D0A">
            <w:pPr>
              <w:ind w:right="93"/>
              <w:jc w:val="center"/>
              <w:rPr>
                <w:rFonts w:ascii="Arial Narrow" w:hAnsi="Arial Narrow"/>
                <w:b/>
                <w:bCs/>
                <w:sz w:val="20"/>
                <w:highlight w:val="black"/>
              </w:rPr>
            </w:pPr>
            <w:r>
              <w:rPr>
                <w:rFonts w:ascii="Arial Narrow" w:hAnsi="Arial Narrow"/>
                <w:b/>
                <w:noProof/>
                <w:color w:val="000000"/>
                <w:sz w:val="20"/>
                <w:highlight w:val="black"/>
              </w:rPr>
              <w:t>'''''''''''''''''''''''</w:t>
            </w:r>
          </w:p>
        </w:tc>
        <w:tc>
          <w:tcPr>
            <w:tcW w:w="679" w:type="pct"/>
            <w:shd w:val="clear" w:color="auto" w:fill="auto"/>
            <w:vAlign w:val="bottom"/>
          </w:tcPr>
          <w:p w:rsidR="00607D0A" w:rsidRPr="00827EDF" w:rsidRDefault="00827EDF" w:rsidP="00607D0A">
            <w:pPr>
              <w:ind w:right="93"/>
              <w:jc w:val="center"/>
              <w:rPr>
                <w:rFonts w:ascii="Arial Narrow" w:hAnsi="Arial Narrow"/>
                <w:b/>
                <w:bCs/>
                <w:sz w:val="20"/>
                <w:highlight w:val="black"/>
              </w:rPr>
            </w:pPr>
            <w:r>
              <w:rPr>
                <w:rFonts w:ascii="Arial Narrow" w:hAnsi="Arial Narrow"/>
                <w:b/>
                <w:noProof/>
                <w:color w:val="000000"/>
                <w:sz w:val="20"/>
                <w:highlight w:val="black"/>
              </w:rPr>
              <w:t>''''''''''''''''''''''</w:t>
            </w:r>
          </w:p>
        </w:tc>
        <w:tc>
          <w:tcPr>
            <w:tcW w:w="679" w:type="pct"/>
            <w:shd w:val="clear" w:color="auto" w:fill="auto"/>
            <w:vAlign w:val="bottom"/>
          </w:tcPr>
          <w:p w:rsidR="00607D0A" w:rsidRPr="00827EDF" w:rsidRDefault="00827EDF" w:rsidP="00607D0A">
            <w:pPr>
              <w:ind w:right="93"/>
              <w:jc w:val="center"/>
              <w:rPr>
                <w:rFonts w:ascii="Arial Narrow" w:hAnsi="Arial Narrow"/>
                <w:b/>
                <w:bCs/>
                <w:sz w:val="20"/>
                <w:highlight w:val="black"/>
              </w:rPr>
            </w:pPr>
            <w:r>
              <w:rPr>
                <w:rFonts w:ascii="Arial Narrow" w:hAnsi="Arial Narrow"/>
                <w:b/>
                <w:noProof/>
                <w:color w:val="000000"/>
                <w:sz w:val="20"/>
                <w:highlight w:val="black"/>
              </w:rPr>
              <w:t>'''''''''''''''''''''''''</w:t>
            </w:r>
          </w:p>
        </w:tc>
        <w:tc>
          <w:tcPr>
            <w:tcW w:w="680" w:type="pct"/>
            <w:shd w:val="clear" w:color="auto" w:fill="auto"/>
            <w:vAlign w:val="bottom"/>
          </w:tcPr>
          <w:p w:rsidR="00607D0A" w:rsidRPr="00827EDF" w:rsidRDefault="00827EDF" w:rsidP="00607D0A">
            <w:pPr>
              <w:ind w:right="93"/>
              <w:jc w:val="center"/>
              <w:rPr>
                <w:rFonts w:ascii="Arial Narrow" w:hAnsi="Arial Narrow"/>
                <w:b/>
                <w:bCs/>
                <w:sz w:val="20"/>
                <w:highlight w:val="black"/>
              </w:rPr>
            </w:pPr>
            <w:r>
              <w:rPr>
                <w:rFonts w:ascii="Arial Narrow" w:hAnsi="Arial Narrow"/>
                <w:b/>
                <w:noProof/>
                <w:color w:val="000000"/>
                <w:sz w:val="20"/>
                <w:highlight w:val="black"/>
              </w:rPr>
              <w:t>''''''''''''''''''''''''</w:t>
            </w:r>
          </w:p>
        </w:tc>
        <w:tc>
          <w:tcPr>
            <w:tcW w:w="751" w:type="pct"/>
            <w:shd w:val="clear" w:color="auto" w:fill="auto"/>
            <w:vAlign w:val="bottom"/>
          </w:tcPr>
          <w:p w:rsidR="00607D0A" w:rsidRPr="00827EDF" w:rsidRDefault="00827EDF" w:rsidP="00607D0A">
            <w:pPr>
              <w:ind w:right="93"/>
              <w:jc w:val="center"/>
              <w:rPr>
                <w:rFonts w:ascii="Arial Narrow" w:hAnsi="Arial Narrow"/>
                <w:b/>
                <w:bCs/>
                <w:sz w:val="20"/>
                <w:highlight w:val="black"/>
              </w:rPr>
            </w:pPr>
            <w:r>
              <w:rPr>
                <w:rFonts w:ascii="Arial Narrow" w:hAnsi="Arial Narrow"/>
                <w:b/>
                <w:noProof/>
                <w:color w:val="000000"/>
                <w:sz w:val="20"/>
                <w:highlight w:val="black"/>
              </w:rPr>
              <w:t>''''''''''''''''''''''''''</w:t>
            </w:r>
          </w:p>
        </w:tc>
      </w:tr>
      <w:tr w:rsidR="00607D0A" w:rsidRPr="005F039C">
        <w:tc>
          <w:tcPr>
            <w:tcW w:w="1528" w:type="pct"/>
            <w:shd w:val="clear" w:color="auto" w:fill="auto"/>
            <w:vAlign w:val="center"/>
          </w:tcPr>
          <w:p w:rsidR="00607D0A" w:rsidRPr="005F039C" w:rsidRDefault="00607D0A" w:rsidP="00607D0A">
            <w:pPr>
              <w:tabs>
                <w:tab w:val="left" w:pos="142"/>
              </w:tabs>
              <w:ind w:right="93"/>
              <w:jc w:val="left"/>
              <w:rPr>
                <w:rFonts w:ascii="Arial Narrow" w:hAnsi="Arial Narrow"/>
                <w:sz w:val="20"/>
              </w:rPr>
            </w:pPr>
            <w:r w:rsidRPr="005F039C">
              <w:rPr>
                <w:rFonts w:ascii="Arial Narrow" w:hAnsi="Arial Narrow"/>
                <w:bCs/>
                <w:sz w:val="20"/>
              </w:rPr>
              <w:t xml:space="preserve">Net cost PBS/MBS </w:t>
            </w:r>
            <w:r w:rsidRPr="005F039C">
              <w:rPr>
                <w:rFonts w:ascii="Arial Narrow" w:hAnsi="Arial Narrow"/>
                <w:sz w:val="20"/>
              </w:rPr>
              <w:t>March 2014</w:t>
            </w:r>
          </w:p>
        </w:tc>
        <w:tc>
          <w:tcPr>
            <w:tcW w:w="683" w:type="pct"/>
            <w:shd w:val="clear" w:color="auto" w:fill="auto"/>
            <w:vAlign w:val="bottom"/>
          </w:tcPr>
          <w:p w:rsidR="00607D0A" w:rsidRPr="00827EDF" w:rsidRDefault="00827EDF" w:rsidP="00607D0A">
            <w:pPr>
              <w:ind w:right="93"/>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bottom"/>
          </w:tcPr>
          <w:p w:rsidR="00607D0A" w:rsidRPr="00827EDF" w:rsidRDefault="00827EDF" w:rsidP="00607D0A">
            <w:pPr>
              <w:ind w:right="93"/>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bottom"/>
          </w:tcPr>
          <w:p w:rsidR="00607D0A" w:rsidRPr="00827EDF" w:rsidRDefault="00827EDF" w:rsidP="00607D0A">
            <w:pPr>
              <w:ind w:right="93"/>
              <w:jc w:val="center"/>
              <w:rPr>
                <w:rFonts w:ascii="Arial Narrow" w:hAnsi="Arial Narrow"/>
                <w:bCs/>
                <w:sz w:val="20"/>
                <w:highlight w:val="black"/>
              </w:rPr>
            </w:pPr>
            <w:r>
              <w:rPr>
                <w:rFonts w:ascii="Arial Narrow" w:hAnsi="Arial Narrow"/>
                <w:bCs/>
                <w:noProof/>
                <w:color w:val="000000"/>
                <w:sz w:val="20"/>
                <w:highlight w:val="black"/>
              </w:rPr>
              <w:t>''''''''''''''''''''''''''''''''''''</w:t>
            </w:r>
          </w:p>
        </w:tc>
        <w:tc>
          <w:tcPr>
            <w:tcW w:w="680" w:type="pct"/>
            <w:shd w:val="clear" w:color="auto" w:fill="auto"/>
            <w:vAlign w:val="bottom"/>
          </w:tcPr>
          <w:p w:rsidR="00607D0A" w:rsidRPr="00827EDF" w:rsidRDefault="00827EDF" w:rsidP="00607D0A">
            <w:pPr>
              <w:ind w:right="93"/>
              <w:jc w:val="center"/>
              <w:rPr>
                <w:rFonts w:ascii="Arial Narrow" w:hAnsi="Arial Narrow"/>
                <w:bCs/>
                <w:sz w:val="20"/>
                <w:highlight w:val="black"/>
              </w:rPr>
            </w:pPr>
            <w:r>
              <w:rPr>
                <w:rFonts w:ascii="Arial Narrow" w:hAnsi="Arial Narrow"/>
                <w:bCs/>
                <w:noProof/>
                <w:color w:val="000000"/>
                <w:sz w:val="20"/>
                <w:highlight w:val="black"/>
              </w:rPr>
              <w:t>''''''''''''''''''''''''''''''''''''''''</w:t>
            </w:r>
          </w:p>
        </w:tc>
        <w:tc>
          <w:tcPr>
            <w:tcW w:w="751" w:type="pct"/>
            <w:shd w:val="clear" w:color="auto" w:fill="auto"/>
            <w:vAlign w:val="bottom"/>
          </w:tcPr>
          <w:p w:rsidR="00607D0A" w:rsidRPr="00827EDF" w:rsidRDefault="00827EDF" w:rsidP="00607D0A">
            <w:pPr>
              <w:ind w:right="93"/>
              <w:jc w:val="center"/>
              <w:rPr>
                <w:rFonts w:ascii="Arial Narrow" w:hAnsi="Arial Narrow"/>
                <w:bCs/>
                <w:sz w:val="20"/>
                <w:highlight w:val="black"/>
              </w:rPr>
            </w:pPr>
            <w:r>
              <w:rPr>
                <w:rFonts w:ascii="Arial Narrow" w:hAnsi="Arial Narrow"/>
                <w:bCs/>
                <w:noProof/>
                <w:color w:val="000000"/>
                <w:sz w:val="20"/>
                <w:highlight w:val="black"/>
              </w:rPr>
              <w:t>'''''''''''''''''''''''''''''''''''''</w:t>
            </w:r>
          </w:p>
        </w:tc>
      </w:tr>
    </w:tbl>
    <w:p w:rsidR="00607D0A" w:rsidRPr="005F039C" w:rsidRDefault="00607D0A" w:rsidP="00607D0A">
      <w:pPr>
        <w:pStyle w:val="TableFooter"/>
        <w:ind w:firstLine="709"/>
      </w:pPr>
      <w:r w:rsidRPr="005F039C">
        <w:t xml:space="preserve">Each patient is estimated to use </w:t>
      </w:r>
      <w:r w:rsidR="00827EDF">
        <w:rPr>
          <w:noProof/>
          <w:color w:val="000000"/>
          <w:highlight w:val="black"/>
        </w:rPr>
        <w:t>'''''''''''</w:t>
      </w:r>
      <w:r w:rsidRPr="005F039C">
        <w:t xml:space="preserve"> injections in year 1 and </w:t>
      </w:r>
      <w:r w:rsidR="00827EDF">
        <w:rPr>
          <w:noProof/>
          <w:color w:val="000000"/>
          <w:highlight w:val="black"/>
        </w:rPr>
        <w:t>'''''''''''</w:t>
      </w:r>
      <w:r w:rsidRPr="005F039C">
        <w:t xml:space="preserve"> injections per year in years 2 through 5</w:t>
      </w:r>
    </w:p>
    <w:p w:rsidR="00607D0A" w:rsidRPr="005F039C" w:rsidRDefault="00607D0A" w:rsidP="00607D0A">
      <w:pPr>
        <w:pStyle w:val="TableFooter"/>
        <w:ind w:firstLine="709"/>
        <w:rPr>
          <w:szCs w:val="22"/>
        </w:rPr>
      </w:pPr>
      <w:r w:rsidRPr="005F039C">
        <w:t>Source: Compiled during the evaluation</w:t>
      </w:r>
    </w:p>
    <w:p w:rsidR="00607D0A" w:rsidRDefault="00607D0A" w:rsidP="00607D0A">
      <w:pPr>
        <w:widowControl/>
        <w:rPr>
          <w:szCs w:val="22"/>
        </w:rPr>
      </w:pPr>
    </w:p>
    <w:p w:rsidR="007448E6" w:rsidRPr="00A732E6" w:rsidRDefault="007448E6" w:rsidP="00745891">
      <w:pPr>
        <w:ind w:left="720"/>
        <w:rPr>
          <w:szCs w:val="22"/>
        </w:rPr>
      </w:pPr>
      <w:r w:rsidRPr="00A732E6">
        <w:rPr>
          <w:szCs w:val="22"/>
        </w:rPr>
        <w:t>The redacted table above shows:</w:t>
      </w:r>
    </w:p>
    <w:p w:rsidR="00F03C4F" w:rsidRPr="00A732E6" w:rsidRDefault="00F03C4F" w:rsidP="00745891">
      <w:pPr>
        <w:ind w:left="720"/>
        <w:rPr>
          <w:szCs w:val="22"/>
        </w:rPr>
      </w:pPr>
      <w:r w:rsidRPr="00A732E6">
        <w:rPr>
          <w:szCs w:val="22"/>
        </w:rPr>
        <w:t xml:space="preserve">Estimated patient numbers: </w:t>
      </w:r>
      <w:r w:rsidR="00745891" w:rsidRPr="00A732E6">
        <w:rPr>
          <w:szCs w:val="22"/>
        </w:rPr>
        <w:t xml:space="preserve">less than </w:t>
      </w:r>
      <w:r w:rsidRPr="00A732E6">
        <w:rPr>
          <w:szCs w:val="22"/>
        </w:rPr>
        <w:t xml:space="preserve">10,000 in Year 1, increasing to </w:t>
      </w:r>
      <w:r w:rsidR="00745891" w:rsidRPr="00A732E6">
        <w:rPr>
          <w:szCs w:val="22"/>
        </w:rPr>
        <w:t xml:space="preserve">less than </w:t>
      </w:r>
      <w:r w:rsidR="007448E6" w:rsidRPr="00A732E6">
        <w:rPr>
          <w:szCs w:val="22"/>
        </w:rPr>
        <w:t>10,000 per year in Year 5;</w:t>
      </w:r>
    </w:p>
    <w:p w:rsidR="00F03C4F" w:rsidRPr="00A732E6" w:rsidRDefault="00F03C4F" w:rsidP="00F03C4F">
      <w:pPr>
        <w:ind w:left="720"/>
        <w:rPr>
          <w:szCs w:val="22"/>
        </w:rPr>
      </w:pPr>
      <w:r w:rsidRPr="00A732E6">
        <w:rPr>
          <w:szCs w:val="22"/>
        </w:rPr>
        <w:t xml:space="preserve">Estimated injections: </w:t>
      </w:r>
      <w:r w:rsidR="00745891" w:rsidRPr="00A732E6">
        <w:rPr>
          <w:szCs w:val="22"/>
        </w:rPr>
        <w:t>less than 1</w:t>
      </w:r>
      <w:r w:rsidRPr="00A732E6">
        <w:rPr>
          <w:szCs w:val="22"/>
        </w:rPr>
        <w:t xml:space="preserve">0,000 in Year 1, </w:t>
      </w:r>
      <w:r w:rsidR="00745891" w:rsidRPr="00A732E6">
        <w:rPr>
          <w:szCs w:val="22"/>
        </w:rPr>
        <w:t>increasing</w:t>
      </w:r>
      <w:r w:rsidRPr="00A732E6">
        <w:rPr>
          <w:szCs w:val="22"/>
        </w:rPr>
        <w:t xml:space="preserve"> to </w:t>
      </w:r>
      <w:r w:rsidR="00745891" w:rsidRPr="00A732E6">
        <w:rPr>
          <w:szCs w:val="22"/>
        </w:rPr>
        <w:t>1</w:t>
      </w:r>
      <w:r w:rsidRPr="00A732E6">
        <w:rPr>
          <w:szCs w:val="22"/>
        </w:rPr>
        <w:t>0,000</w:t>
      </w:r>
      <w:r w:rsidR="00745891" w:rsidRPr="00A732E6">
        <w:rPr>
          <w:szCs w:val="22"/>
        </w:rPr>
        <w:t xml:space="preserve"> – 50,000</w:t>
      </w:r>
      <w:r w:rsidR="007448E6" w:rsidRPr="00A732E6">
        <w:rPr>
          <w:szCs w:val="22"/>
        </w:rPr>
        <w:t xml:space="preserve"> in Year 5;</w:t>
      </w:r>
    </w:p>
    <w:p w:rsidR="00F03C4F" w:rsidRPr="00A732E6" w:rsidRDefault="00F03C4F" w:rsidP="00F03C4F">
      <w:pPr>
        <w:widowControl/>
        <w:ind w:left="720"/>
        <w:rPr>
          <w:szCs w:val="22"/>
        </w:rPr>
      </w:pPr>
      <w:r w:rsidRPr="00A732E6">
        <w:rPr>
          <w:szCs w:val="22"/>
        </w:rPr>
        <w:t xml:space="preserve">Estimated financial impact: Cost of </w:t>
      </w:r>
      <w:r w:rsidR="00745891" w:rsidRPr="00A732E6">
        <w:rPr>
          <w:szCs w:val="22"/>
        </w:rPr>
        <w:t>less</w:t>
      </w:r>
      <w:r w:rsidRPr="00A732E6">
        <w:rPr>
          <w:szCs w:val="22"/>
        </w:rPr>
        <w:t xml:space="preserve"> than $10 million per year in Year 1, </w:t>
      </w:r>
      <w:r w:rsidR="00745891" w:rsidRPr="00A732E6">
        <w:rPr>
          <w:szCs w:val="22"/>
        </w:rPr>
        <w:t>in</w:t>
      </w:r>
      <w:r w:rsidRPr="00A732E6">
        <w:rPr>
          <w:szCs w:val="22"/>
        </w:rPr>
        <w:t>creasing to a cost</w:t>
      </w:r>
      <w:r w:rsidR="00745891" w:rsidRPr="00A732E6">
        <w:rPr>
          <w:szCs w:val="22"/>
        </w:rPr>
        <w:t xml:space="preserve"> of $1</w:t>
      </w:r>
      <w:r w:rsidRPr="00A732E6">
        <w:rPr>
          <w:szCs w:val="22"/>
        </w:rPr>
        <w:t xml:space="preserve">0 </w:t>
      </w:r>
      <w:r w:rsidR="00745891" w:rsidRPr="00A732E6">
        <w:rPr>
          <w:szCs w:val="22"/>
        </w:rPr>
        <w:t xml:space="preserve">- $20 </w:t>
      </w:r>
      <w:r w:rsidRPr="00A732E6">
        <w:rPr>
          <w:szCs w:val="22"/>
        </w:rPr>
        <w:t>million per year in Year 5.</w:t>
      </w:r>
    </w:p>
    <w:p w:rsidR="00F03C4F" w:rsidRPr="005F039C" w:rsidRDefault="00F03C4F" w:rsidP="00607D0A">
      <w:pPr>
        <w:widowControl/>
        <w:rPr>
          <w:szCs w:val="22"/>
        </w:rPr>
      </w:pPr>
    </w:p>
    <w:p w:rsidR="00607D0A" w:rsidRPr="005F039C" w:rsidRDefault="00607D0A" w:rsidP="00745891">
      <w:pPr>
        <w:pStyle w:val="ListParagraph"/>
        <w:widowControl/>
        <w:numPr>
          <w:ilvl w:val="1"/>
          <w:numId w:val="2"/>
        </w:numPr>
        <w:rPr>
          <w:szCs w:val="22"/>
        </w:rPr>
      </w:pPr>
      <w:r w:rsidRPr="005F039C">
        <w:t xml:space="preserve">Compared to the March 2014 </w:t>
      </w:r>
      <w:r w:rsidR="00525231" w:rsidRPr="005F039C">
        <w:t>resubmission</w:t>
      </w:r>
      <w:r w:rsidRPr="005F039C">
        <w:t xml:space="preserve">, the current </w:t>
      </w:r>
      <w:r w:rsidR="00525231" w:rsidRPr="005F039C">
        <w:t>resubmission</w:t>
      </w:r>
      <w:r w:rsidRPr="005F039C">
        <w:t xml:space="preserve"> revised uptake rates upwards, and revised </w:t>
      </w:r>
      <w:r w:rsidR="005C226F" w:rsidRPr="005F039C">
        <w:t xml:space="preserve">injection frequency </w:t>
      </w:r>
      <w:r w:rsidRPr="005F039C">
        <w:t xml:space="preserve">downwards. </w:t>
      </w:r>
      <w:r w:rsidR="00C56AAC" w:rsidRPr="005F039C">
        <w:t xml:space="preserve"> </w:t>
      </w:r>
      <w:r w:rsidRPr="005F039C">
        <w:t xml:space="preserve">Total cost estimates </w:t>
      </w:r>
      <w:r w:rsidR="00C56AAC" w:rsidRPr="005F039C">
        <w:t>we</w:t>
      </w:r>
      <w:r w:rsidRPr="005F039C">
        <w:t xml:space="preserve">re similar to the March 2014 </w:t>
      </w:r>
      <w:r w:rsidR="00525231" w:rsidRPr="005F039C">
        <w:t>resubmission</w:t>
      </w:r>
      <w:r w:rsidRPr="005F039C">
        <w:t xml:space="preserve"> due to a reduction in requested price, and the aforementioned reduction in </w:t>
      </w:r>
      <w:r w:rsidR="005C226F" w:rsidRPr="005F039C">
        <w:t>injections</w:t>
      </w:r>
      <w:r w:rsidRPr="005F039C">
        <w:t xml:space="preserve">. </w:t>
      </w:r>
      <w:r w:rsidR="00C56AAC" w:rsidRPr="005F039C">
        <w:t xml:space="preserve"> </w:t>
      </w:r>
      <w:r w:rsidRPr="005F039C">
        <w:t>These estimates depend</w:t>
      </w:r>
      <w:r w:rsidR="00C56AAC" w:rsidRPr="005F039C">
        <w:t>ed</w:t>
      </w:r>
      <w:r w:rsidRPr="005F039C">
        <w:t xml:space="preserve"> on the assumption that ranibizumab </w:t>
      </w:r>
      <w:r w:rsidR="005C226F" w:rsidRPr="005F039C">
        <w:t>is not PBS-listed</w:t>
      </w:r>
      <w:r w:rsidRPr="005F039C">
        <w:t xml:space="preserve">, and on the assumption of 3 loading doses followed by dosing according to post 6-month GALILEO injection rates, which </w:t>
      </w:r>
      <w:r w:rsidR="00C56AAC" w:rsidRPr="005F039C">
        <w:t>we</w:t>
      </w:r>
      <w:r w:rsidRPr="005F039C">
        <w:t>re not clinically supported and may be underestimates.</w:t>
      </w:r>
    </w:p>
    <w:p w:rsidR="00D41D85" w:rsidRPr="005F039C" w:rsidRDefault="00D41D85" w:rsidP="00D41D85">
      <w:pPr>
        <w:pStyle w:val="ListParagraph"/>
        <w:widowControl/>
        <w:rPr>
          <w:szCs w:val="22"/>
        </w:rPr>
      </w:pPr>
    </w:p>
    <w:p w:rsidR="00D41D85" w:rsidRPr="005F039C" w:rsidRDefault="00D41D85" w:rsidP="00745891">
      <w:pPr>
        <w:pStyle w:val="ListParagraph"/>
        <w:widowControl/>
        <w:numPr>
          <w:ilvl w:val="1"/>
          <w:numId w:val="2"/>
        </w:numPr>
        <w:rPr>
          <w:szCs w:val="22"/>
        </w:rPr>
      </w:pPr>
      <w:r w:rsidRPr="005F039C">
        <w:rPr>
          <w:szCs w:val="22"/>
        </w:rPr>
        <w:t xml:space="preserve">The PSCR (p4) included financial estimates for a ‘worst case’ scenario where all aflibercept patients use 6 loading doses.  The PSCR noted that this would increase net PBS/RPBS expenditure by </w:t>
      </w:r>
      <w:r w:rsidR="00827EDF">
        <w:rPr>
          <w:noProof/>
          <w:color w:val="000000"/>
          <w:szCs w:val="22"/>
          <w:highlight w:val="black"/>
        </w:rPr>
        <w:t>''''''''''</w:t>
      </w:r>
      <w:r w:rsidRPr="005F039C">
        <w:rPr>
          <w:szCs w:val="22"/>
        </w:rPr>
        <w:t xml:space="preserve"> in the fifth year of listing relative to the 3 loading dose estimates in the </w:t>
      </w:r>
      <w:r w:rsidR="00525231" w:rsidRPr="005F039C">
        <w:rPr>
          <w:szCs w:val="22"/>
        </w:rPr>
        <w:t>resubmission</w:t>
      </w:r>
      <w:r w:rsidRPr="005F039C">
        <w:rPr>
          <w:szCs w:val="22"/>
        </w:rPr>
        <w:t>.</w:t>
      </w:r>
    </w:p>
    <w:p w:rsidR="00607D0A" w:rsidRPr="005F039C" w:rsidRDefault="00607D0A" w:rsidP="00607D0A">
      <w:pPr>
        <w:widowControl/>
        <w:rPr>
          <w:i/>
          <w:szCs w:val="22"/>
        </w:rPr>
      </w:pPr>
    </w:p>
    <w:p w:rsidR="00D41D85" w:rsidRPr="005F039C" w:rsidRDefault="00D41D85" w:rsidP="00D41D85">
      <w:pPr>
        <w:pStyle w:val="Caption"/>
        <w:spacing w:after="0"/>
        <w:ind w:firstLine="720"/>
        <w:rPr>
          <w:rFonts w:ascii="Arial Narrow" w:hAnsi="Arial Narrow"/>
          <w:color w:val="auto"/>
          <w:sz w:val="20"/>
          <w:szCs w:val="20"/>
        </w:rPr>
      </w:pPr>
      <w:bookmarkStart w:id="16" w:name="_Toc398652412"/>
      <w:r w:rsidRPr="005F039C">
        <w:rPr>
          <w:rFonts w:ascii="Arial Narrow" w:hAnsi="Arial Narrow"/>
          <w:color w:val="auto"/>
          <w:sz w:val="20"/>
          <w:szCs w:val="20"/>
        </w:rPr>
        <w:t xml:space="preserve">Combined </w:t>
      </w:r>
      <w:r w:rsidRPr="005F039C">
        <w:rPr>
          <w:rFonts w:ascii="Arial Narrow" w:hAnsi="Arial Narrow"/>
          <w:color w:val="auto"/>
          <w:sz w:val="20"/>
          <w:szCs w:val="20"/>
          <w:lang w:eastAsia="en-AU"/>
        </w:rPr>
        <w:t xml:space="preserve">PBS/RPBS </w:t>
      </w:r>
      <w:r w:rsidRPr="005F039C">
        <w:rPr>
          <w:rFonts w:ascii="Arial Narrow" w:hAnsi="Arial Narrow"/>
          <w:color w:val="auto"/>
          <w:sz w:val="20"/>
          <w:szCs w:val="20"/>
        </w:rPr>
        <w:t>expenditure assuming three and six loading dose regimens</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113"/>
        <w:gridCol w:w="1254"/>
        <w:gridCol w:w="1128"/>
        <w:gridCol w:w="1233"/>
        <w:gridCol w:w="1166"/>
      </w:tblGrid>
      <w:tr w:rsidR="00D41D85" w:rsidRPr="005F039C">
        <w:trPr>
          <w:trHeight w:val="255"/>
        </w:trPr>
        <w:tc>
          <w:tcPr>
            <w:tcW w:w="1516" w:type="pct"/>
            <w:shd w:val="clear" w:color="auto" w:fill="auto"/>
            <w:noWrap/>
            <w:vAlign w:val="bottom"/>
          </w:tcPr>
          <w:p w:rsidR="00D41D85" w:rsidRPr="005F039C" w:rsidRDefault="00D41D85" w:rsidP="00D41D85">
            <w:pPr>
              <w:pStyle w:val="TableText0"/>
              <w:keepNext w:val="0"/>
              <w:widowControl w:val="0"/>
              <w:spacing w:before="0" w:after="0"/>
              <w:rPr>
                <w:szCs w:val="20"/>
              </w:rPr>
            </w:pPr>
          </w:p>
        </w:tc>
        <w:tc>
          <w:tcPr>
            <w:tcW w:w="674" w:type="pct"/>
            <w:shd w:val="clear" w:color="auto" w:fill="auto"/>
            <w:noWrap/>
            <w:vAlign w:val="bottom"/>
          </w:tcPr>
          <w:p w:rsidR="00D41D85" w:rsidRPr="005F039C" w:rsidRDefault="00D41D85" w:rsidP="00D41D85">
            <w:pPr>
              <w:pStyle w:val="TableText0"/>
              <w:keepNext w:val="0"/>
              <w:widowControl w:val="0"/>
              <w:spacing w:before="0" w:after="0"/>
              <w:jc w:val="center"/>
              <w:rPr>
                <w:b/>
                <w:szCs w:val="20"/>
              </w:rPr>
            </w:pPr>
            <w:r w:rsidRPr="005F039C">
              <w:rPr>
                <w:b/>
                <w:szCs w:val="20"/>
              </w:rPr>
              <w:t>Year 1</w:t>
            </w:r>
          </w:p>
        </w:tc>
        <w:tc>
          <w:tcPr>
            <w:tcW w:w="677" w:type="pct"/>
            <w:shd w:val="clear" w:color="auto" w:fill="auto"/>
            <w:noWrap/>
            <w:vAlign w:val="bottom"/>
          </w:tcPr>
          <w:p w:rsidR="00D41D85" w:rsidRPr="005F039C" w:rsidRDefault="00D41D85" w:rsidP="00D41D85">
            <w:pPr>
              <w:pStyle w:val="TableText0"/>
              <w:keepNext w:val="0"/>
              <w:widowControl w:val="0"/>
              <w:spacing w:before="0" w:after="0"/>
              <w:jc w:val="center"/>
              <w:rPr>
                <w:b/>
                <w:szCs w:val="20"/>
              </w:rPr>
            </w:pPr>
            <w:r w:rsidRPr="005F039C">
              <w:rPr>
                <w:b/>
                <w:szCs w:val="20"/>
              </w:rPr>
              <w:t>Year 2</w:t>
            </w:r>
          </w:p>
        </w:tc>
        <w:tc>
          <w:tcPr>
            <w:tcW w:w="670" w:type="pct"/>
            <w:shd w:val="clear" w:color="auto" w:fill="auto"/>
            <w:noWrap/>
            <w:vAlign w:val="bottom"/>
          </w:tcPr>
          <w:p w:rsidR="00D41D85" w:rsidRPr="005F039C" w:rsidRDefault="00D41D85" w:rsidP="00D41D85">
            <w:pPr>
              <w:pStyle w:val="TableText0"/>
              <w:keepNext w:val="0"/>
              <w:widowControl w:val="0"/>
              <w:spacing w:before="0" w:after="0"/>
              <w:jc w:val="center"/>
              <w:rPr>
                <w:b/>
                <w:szCs w:val="20"/>
              </w:rPr>
            </w:pPr>
            <w:r w:rsidRPr="005F039C">
              <w:rPr>
                <w:b/>
                <w:szCs w:val="20"/>
              </w:rPr>
              <w:t>Year 3</w:t>
            </w:r>
          </w:p>
        </w:tc>
        <w:tc>
          <w:tcPr>
            <w:tcW w:w="758" w:type="pct"/>
            <w:shd w:val="clear" w:color="auto" w:fill="auto"/>
            <w:noWrap/>
            <w:vAlign w:val="bottom"/>
          </w:tcPr>
          <w:p w:rsidR="00D41D85" w:rsidRPr="005F039C" w:rsidRDefault="00D41D85" w:rsidP="00D41D85">
            <w:pPr>
              <w:pStyle w:val="TableText0"/>
              <w:keepNext w:val="0"/>
              <w:widowControl w:val="0"/>
              <w:spacing w:before="0" w:after="0"/>
              <w:jc w:val="center"/>
              <w:rPr>
                <w:b/>
                <w:szCs w:val="20"/>
              </w:rPr>
            </w:pPr>
            <w:r w:rsidRPr="005F039C">
              <w:rPr>
                <w:b/>
                <w:szCs w:val="20"/>
              </w:rPr>
              <w:t>Year 4</w:t>
            </w:r>
          </w:p>
        </w:tc>
        <w:tc>
          <w:tcPr>
            <w:tcW w:w="706" w:type="pct"/>
            <w:shd w:val="clear" w:color="auto" w:fill="auto"/>
            <w:noWrap/>
            <w:vAlign w:val="bottom"/>
          </w:tcPr>
          <w:p w:rsidR="00D41D85" w:rsidRPr="005F039C" w:rsidRDefault="00D41D85" w:rsidP="00D41D85">
            <w:pPr>
              <w:pStyle w:val="TableText0"/>
              <w:keepNext w:val="0"/>
              <w:widowControl w:val="0"/>
              <w:spacing w:before="0" w:after="0"/>
              <w:jc w:val="center"/>
              <w:rPr>
                <w:b/>
                <w:szCs w:val="20"/>
              </w:rPr>
            </w:pPr>
            <w:r w:rsidRPr="005F039C">
              <w:rPr>
                <w:b/>
                <w:szCs w:val="20"/>
              </w:rPr>
              <w:t>Year 5</w:t>
            </w:r>
          </w:p>
        </w:tc>
      </w:tr>
      <w:tr w:rsidR="00D41D85" w:rsidRPr="005F039C">
        <w:trPr>
          <w:trHeight w:val="255"/>
        </w:trPr>
        <w:tc>
          <w:tcPr>
            <w:tcW w:w="1516" w:type="pct"/>
            <w:shd w:val="clear" w:color="auto" w:fill="auto"/>
            <w:noWrap/>
            <w:vAlign w:val="bottom"/>
          </w:tcPr>
          <w:p w:rsidR="00D41D85" w:rsidRPr="005F039C" w:rsidRDefault="00D41D85" w:rsidP="00D41D85">
            <w:pPr>
              <w:pStyle w:val="TableText0"/>
              <w:keepNext w:val="0"/>
              <w:widowControl w:val="0"/>
              <w:spacing w:before="0" w:after="0"/>
              <w:rPr>
                <w:szCs w:val="20"/>
                <w:vertAlign w:val="superscript"/>
              </w:rPr>
            </w:pPr>
            <w:r w:rsidRPr="005F039C">
              <w:rPr>
                <w:szCs w:val="20"/>
              </w:rPr>
              <w:t>Three loading dose regimen</w:t>
            </w:r>
            <w:r w:rsidRPr="005F039C">
              <w:rPr>
                <w:szCs w:val="20"/>
                <w:vertAlign w:val="superscript"/>
              </w:rPr>
              <w:t>a</w:t>
            </w:r>
          </w:p>
        </w:tc>
        <w:tc>
          <w:tcPr>
            <w:tcW w:w="674" w:type="pct"/>
            <w:shd w:val="clear" w:color="auto" w:fill="auto"/>
            <w:noWrap/>
            <w:vAlign w:val="bottom"/>
          </w:tcPr>
          <w:p w:rsidR="00D41D85" w:rsidRPr="00827EDF" w:rsidRDefault="00827EDF" w:rsidP="00D41D85">
            <w:pPr>
              <w:pStyle w:val="TableText0"/>
              <w:keepNext w:val="0"/>
              <w:widowControl w:val="0"/>
              <w:spacing w:before="0" w:after="0"/>
              <w:jc w:val="center"/>
              <w:rPr>
                <w:szCs w:val="20"/>
                <w:highlight w:val="black"/>
              </w:rPr>
            </w:pPr>
            <w:r>
              <w:rPr>
                <w:noProof/>
                <w:color w:val="000000"/>
                <w:szCs w:val="20"/>
                <w:highlight w:val="black"/>
              </w:rPr>
              <w:t>''''''''''''''''''''''''''</w:t>
            </w:r>
          </w:p>
        </w:tc>
        <w:tc>
          <w:tcPr>
            <w:tcW w:w="677" w:type="pct"/>
            <w:shd w:val="clear" w:color="auto" w:fill="auto"/>
            <w:noWrap/>
            <w:vAlign w:val="bottom"/>
          </w:tcPr>
          <w:p w:rsidR="00D41D85" w:rsidRPr="00827EDF" w:rsidRDefault="00827EDF" w:rsidP="00D41D85">
            <w:pPr>
              <w:pStyle w:val="TableText0"/>
              <w:keepNext w:val="0"/>
              <w:widowControl w:val="0"/>
              <w:spacing w:before="0" w:after="0"/>
              <w:jc w:val="center"/>
              <w:rPr>
                <w:szCs w:val="20"/>
                <w:highlight w:val="black"/>
              </w:rPr>
            </w:pPr>
            <w:r>
              <w:rPr>
                <w:noProof/>
                <w:color w:val="000000"/>
                <w:szCs w:val="20"/>
                <w:highlight w:val="black"/>
              </w:rPr>
              <w:t>'''''''''''''''''''''''''''''''''</w:t>
            </w:r>
          </w:p>
        </w:tc>
        <w:tc>
          <w:tcPr>
            <w:tcW w:w="670" w:type="pct"/>
            <w:shd w:val="clear" w:color="auto" w:fill="auto"/>
            <w:noWrap/>
            <w:vAlign w:val="bottom"/>
          </w:tcPr>
          <w:p w:rsidR="00D41D85" w:rsidRPr="00827EDF" w:rsidRDefault="00827EDF" w:rsidP="00D41D85">
            <w:pPr>
              <w:pStyle w:val="TableText0"/>
              <w:keepNext w:val="0"/>
              <w:widowControl w:val="0"/>
              <w:spacing w:before="0" w:after="0"/>
              <w:jc w:val="center"/>
              <w:rPr>
                <w:szCs w:val="20"/>
                <w:highlight w:val="black"/>
              </w:rPr>
            </w:pPr>
            <w:r>
              <w:rPr>
                <w:noProof/>
                <w:color w:val="000000"/>
                <w:szCs w:val="20"/>
                <w:highlight w:val="black"/>
              </w:rPr>
              <w:t>'''''''''''''''''''''''''''''</w:t>
            </w:r>
          </w:p>
        </w:tc>
        <w:tc>
          <w:tcPr>
            <w:tcW w:w="758" w:type="pct"/>
            <w:shd w:val="clear" w:color="auto" w:fill="auto"/>
            <w:noWrap/>
            <w:vAlign w:val="bottom"/>
          </w:tcPr>
          <w:p w:rsidR="00D41D85" w:rsidRPr="00827EDF" w:rsidRDefault="00827EDF" w:rsidP="00D41D85">
            <w:pPr>
              <w:pStyle w:val="TableText0"/>
              <w:keepNext w:val="0"/>
              <w:widowControl w:val="0"/>
              <w:spacing w:before="0" w:after="0"/>
              <w:jc w:val="center"/>
              <w:rPr>
                <w:szCs w:val="20"/>
                <w:highlight w:val="black"/>
              </w:rPr>
            </w:pPr>
            <w:r>
              <w:rPr>
                <w:noProof/>
                <w:color w:val="000000"/>
                <w:szCs w:val="20"/>
                <w:highlight w:val="black"/>
              </w:rPr>
              <w:t>''''''''''''''''''''''''''''</w:t>
            </w:r>
          </w:p>
        </w:tc>
        <w:tc>
          <w:tcPr>
            <w:tcW w:w="706" w:type="pct"/>
            <w:shd w:val="clear" w:color="auto" w:fill="auto"/>
            <w:noWrap/>
            <w:vAlign w:val="bottom"/>
          </w:tcPr>
          <w:p w:rsidR="00D41D85" w:rsidRPr="00827EDF" w:rsidRDefault="00827EDF" w:rsidP="00D41D85">
            <w:pPr>
              <w:pStyle w:val="TableText0"/>
              <w:keepNext w:val="0"/>
              <w:widowControl w:val="0"/>
              <w:spacing w:before="0" w:after="0"/>
              <w:jc w:val="center"/>
              <w:rPr>
                <w:szCs w:val="20"/>
                <w:highlight w:val="black"/>
              </w:rPr>
            </w:pPr>
            <w:r>
              <w:rPr>
                <w:noProof/>
                <w:color w:val="000000"/>
                <w:szCs w:val="20"/>
                <w:highlight w:val="black"/>
              </w:rPr>
              <w:t>'''''''''''''''''''''''''''</w:t>
            </w:r>
          </w:p>
        </w:tc>
      </w:tr>
      <w:tr w:rsidR="00D41D85" w:rsidRPr="005F039C">
        <w:trPr>
          <w:trHeight w:val="255"/>
        </w:trPr>
        <w:tc>
          <w:tcPr>
            <w:tcW w:w="1516" w:type="pct"/>
            <w:shd w:val="clear" w:color="auto" w:fill="auto"/>
            <w:noWrap/>
            <w:vAlign w:val="bottom"/>
          </w:tcPr>
          <w:p w:rsidR="00D41D85" w:rsidRPr="005F039C" w:rsidRDefault="00D41D85" w:rsidP="00D41D85">
            <w:pPr>
              <w:pStyle w:val="TableText0"/>
              <w:keepNext w:val="0"/>
              <w:widowControl w:val="0"/>
              <w:spacing w:before="0" w:after="0"/>
              <w:rPr>
                <w:szCs w:val="20"/>
                <w:vertAlign w:val="superscript"/>
              </w:rPr>
            </w:pPr>
            <w:r w:rsidRPr="005F039C">
              <w:rPr>
                <w:szCs w:val="20"/>
              </w:rPr>
              <w:t>Six loading dose regimen</w:t>
            </w:r>
            <w:r w:rsidRPr="005F039C">
              <w:rPr>
                <w:szCs w:val="20"/>
                <w:vertAlign w:val="superscript"/>
              </w:rPr>
              <w:t>b</w:t>
            </w:r>
          </w:p>
        </w:tc>
        <w:tc>
          <w:tcPr>
            <w:tcW w:w="674" w:type="pct"/>
            <w:shd w:val="clear" w:color="auto" w:fill="auto"/>
            <w:noWrap/>
            <w:vAlign w:val="bottom"/>
          </w:tcPr>
          <w:p w:rsidR="00D41D85" w:rsidRPr="00827EDF" w:rsidRDefault="00827EDF" w:rsidP="00D41D85">
            <w:pPr>
              <w:pStyle w:val="TableText0"/>
              <w:keepNext w:val="0"/>
              <w:widowControl w:val="0"/>
              <w:spacing w:before="0" w:after="0"/>
              <w:jc w:val="center"/>
              <w:rPr>
                <w:szCs w:val="20"/>
                <w:highlight w:val="black"/>
              </w:rPr>
            </w:pPr>
            <w:r>
              <w:rPr>
                <w:noProof/>
                <w:color w:val="000000"/>
                <w:szCs w:val="20"/>
                <w:highlight w:val="black"/>
              </w:rPr>
              <w:t>''''''''''''''''''''''''</w:t>
            </w:r>
          </w:p>
        </w:tc>
        <w:tc>
          <w:tcPr>
            <w:tcW w:w="677" w:type="pct"/>
            <w:shd w:val="clear" w:color="auto" w:fill="auto"/>
            <w:noWrap/>
            <w:vAlign w:val="bottom"/>
          </w:tcPr>
          <w:p w:rsidR="00D41D85" w:rsidRPr="00827EDF" w:rsidRDefault="00827EDF" w:rsidP="00D41D85">
            <w:pPr>
              <w:pStyle w:val="TableText0"/>
              <w:keepNext w:val="0"/>
              <w:widowControl w:val="0"/>
              <w:spacing w:before="0" w:after="0"/>
              <w:jc w:val="center"/>
              <w:rPr>
                <w:szCs w:val="20"/>
                <w:highlight w:val="black"/>
              </w:rPr>
            </w:pPr>
            <w:r>
              <w:rPr>
                <w:noProof/>
                <w:color w:val="000000"/>
                <w:szCs w:val="20"/>
                <w:highlight w:val="black"/>
              </w:rPr>
              <w:t>''''''''''''''''''''''''''''''''</w:t>
            </w:r>
          </w:p>
        </w:tc>
        <w:tc>
          <w:tcPr>
            <w:tcW w:w="670" w:type="pct"/>
            <w:shd w:val="clear" w:color="auto" w:fill="auto"/>
            <w:noWrap/>
            <w:vAlign w:val="bottom"/>
          </w:tcPr>
          <w:p w:rsidR="00D41D85" w:rsidRPr="00827EDF" w:rsidRDefault="00827EDF" w:rsidP="00D41D85">
            <w:pPr>
              <w:pStyle w:val="TableText0"/>
              <w:keepNext w:val="0"/>
              <w:widowControl w:val="0"/>
              <w:spacing w:before="0" w:after="0"/>
              <w:jc w:val="center"/>
              <w:rPr>
                <w:szCs w:val="20"/>
                <w:highlight w:val="black"/>
              </w:rPr>
            </w:pPr>
            <w:r>
              <w:rPr>
                <w:noProof/>
                <w:color w:val="000000"/>
                <w:szCs w:val="20"/>
                <w:highlight w:val="black"/>
              </w:rPr>
              <w:t>'''''''''''''''''''''''''''''</w:t>
            </w:r>
          </w:p>
        </w:tc>
        <w:tc>
          <w:tcPr>
            <w:tcW w:w="758" w:type="pct"/>
            <w:shd w:val="clear" w:color="auto" w:fill="auto"/>
            <w:noWrap/>
            <w:vAlign w:val="bottom"/>
          </w:tcPr>
          <w:p w:rsidR="00D41D85" w:rsidRPr="00827EDF" w:rsidRDefault="00827EDF" w:rsidP="00D41D85">
            <w:pPr>
              <w:pStyle w:val="TableText0"/>
              <w:keepNext w:val="0"/>
              <w:widowControl w:val="0"/>
              <w:spacing w:before="0" w:after="0"/>
              <w:jc w:val="center"/>
              <w:rPr>
                <w:szCs w:val="20"/>
                <w:highlight w:val="black"/>
              </w:rPr>
            </w:pPr>
            <w:r>
              <w:rPr>
                <w:noProof/>
                <w:color w:val="000000"/>
                <w:szCs w:val="20"/>
                <w:highlight w:val="black"/>
              </w:rPr>
              <w:t>''''''''''''''''''''''''''''</w:t>
            </w:r>
          </w:p>
        </w:tc>
        <w:tc>
          <w:tcPr>
            <w:tcW w:w="706" w:type="pct"/>
            <w:shd w:val="clear" w:color="auto" w:fill="auto"/>
            <w:noWrap/>
            <w:vAlign w:val="bottom"/>
          </w:tcPr>
          <w:p w:rsidR="00D41D85" w:rsidRPr="00827EDF" w:rsidRDefault="00827EDF" w:rsidP="00D41D85">
            <w:pPr>
              <w:pStyle w:val="TableText0"/>
              <w:keepNext w:val="0"/>
              <w:widowControl w:val="0"/>
              <w:spacing w:before="0" w:after="0"/>
              <w:jc w:val="center"/>
              <w:rPr>
                <w:szCs w:val="20"/>
                <w:highlight w:val="black"/>
              </w:rPr>
            </w:pPr>
            <w:r>
              <w:rPr>
                <w:noProof/>
                <w:color w:val="000000"/>
                <w:szCs w:val="20"/>
                <w:highlight w:val="black"/>
              </w:rPr>
              <w:t>'''''''''''''''''''''''''''''</w:t>
            </w:r>
          </w:p>
        </w:tc>
      </w:tr>
      <w:tr w:rsidR="00D41D85" w:rsidRPr="005F039C">
        <w:trPr>
          <w:trHeight w:val="255"/>
        </w:trPr>
        <w:tc>
          <w:tcPr>
            <w:tcW w:w="1516" w:type="pct"/>
            <w:shd w:val="clear" w:color="auto" w:fill="auto"/>
            <w:noWrap/>
            <w:vAlign w:val="bottom"/>
          </w:tcPr>
          <w:p w:rsidR="00D41D85" w:rsidRPr="005F039C" w:rsidRDefault="00D41D85" w:rsidP="00D41D85">
            <w:pPr>
              <w:pStyle w:val="TableText0"/>
              <w:keepNext w:val="0"/>
              <w:widowControl w:val="0"/>
              <w:spacing w:before="0" w:after="0"/>
              <w:rPr>
                <w:szCs w:val="20"/>
                <w:vertAlign w:val="superscript"/>
              </w:rPr>
            </w:pPr>
            <w:r w:rsidRPr="005F039C">
              <w:rPr>
                <w:szCs w:val="20"/>
              </w:rPr>
              <w:t>Difference in PBS expenditure</w:t>
            </w:r>
            <w:r w:rsidRPr="005F039C">
              <w:rPr>
                <w:szCs w:val="20"/>
                <w:vertAlign w:val="superscript"/>
              </w:rPr>
              <w:t>c</w:t>
            </w:r>
          </w:p>
        </w:tc>
        <w:tc>
          <w:tcPr>
            <w:tcW w:w="674" w:type="pct"/>
            <w:shd w:val="clear" w:color="auto" w:fill="auto"/>
            <w:noWrap/>
            <w:vAlign w:val="bottom"/>
          </w:tcPr>
          <w:p w:rsidR="00D41D85" w:rsidRPr="00827EDF" w:rsidRDefault="00827EDF" w:rsidP="00D41D85">
            <w:pPr>
              <w:pStyle w:val="TableText0"/>
              <w:keepNext w:val="0"/>
              <w:widowControl w:val="0"/>
              <w:spacing w:before="0" w:after="0"/>
              <w:jc w:val="center"/>
              <w:rPr>
                <w:szCs w:val="20"/>
                <w:highlight w:val="black"/>
              </w:rPr>
            </w:pPr>
            <w:r>
              <w:rPr>
                <w:noProof/>
                <w:color w:val="000000"/>
                <w:szCs w:val="20"/>
                <w:highlight w:val="black"/>
              </w:rPr>
              <w:t>''''''''''</w:t>
            </w:r>
          </w:p>
        </w:tc>
        <w:tc>
          <w:tcPr>
            <w:tcW w:w="677" w:type="pct"/>
            <w:shd w:val="clear" w:color="auto" w:fill="auto"/>
            <w:noWrap/>
            <w:vAlign w:val="bottom"/>
          </w:tcPr>
          <w:p w:rsidR="00D41D85" w:rsidRPr="00827EDF" w:rsidRDefault="00827EDF" w:rsidP="00D41D85">
            <w:pPr>
              <w:pStyle w:val="TableText0"/>
              <w:keepNext w:val="0"/>
              <w:widowControl w:val="0"/>
              <w:spacing w:before="0" w:after="0"/>
              <w:jc w:val="center"/>
              <w:rPr>
                <w:szCs w:val="20"/>
                <w:highlight w:val="black"/>
              </w:rPr>
            </w:pPr>
            <w:r>
              <w:rPr>
                <w:noProof/>
                <w:color w:val="000000"/>
                <w:szCs w:val="20"/>
                <w:highlight w:val="black"/>
              </w:rPr>
              <w:t>''''''''''</w:t>
            </w:r>
          </w:p>
        </w:tc>
        <w:tc>
          <w:tcPr>
            <w:tcW w:w="670" w:type="pct"/>
            <w:shd w:val="clear" w:color="auto" w:fill="auto"/>
            <w:noWrap/>
            <w:vAlign w:val="bottom"/>
          </w:tcPr>
          <w:p w:rsidR="00D41D85" w:rsidRPr="00827EDF" w:rsidRDefault="00827EDF" w:rsidP="00D41D85">
            <w:pPr>
              <w:pStyle w:val="TableText0"/>
              <w:keepNext w:val="0"/>
              <w:widowControl w:val="0"/>
              <w:spacing w:before="0" w:after="0"/>
              <w:jc w:val="center"/>
              <w:rPr>
                <w:szCs w:val="20"/>
                <w:highlight w:val="black"/>
              </w:rPr>
            </w:pPr>
            <w:r>
              <w:rPr>
                <w:noProof/>
                <w:color w:val="000000"/>
                <w:szCs w:val="20"/>
                <w:highlight w:val="black"/>
              </w:rPr>
              <w:t>''''''''''''</w:t>
            </w:r>
          </w:p>
        </w:tc>
        <w:tc>
          <w:tcPr>
            <w:tcW w:w="758" w:type="pct"/>
            <w:shd w:val="clear" w:color="auto" w:fill="auto"/>
            <w:noWrap/>
            <w:vAlign w:val="bottom"/>
          </w:tcPr>
          <w:p w:rsidR="00D41D85" w:rsidRPr="00827EDF" w:rsidRDefault="00827EDF" w:rsidP="00D41D85">
            <w:pPr>
              <w:pStyle w:val="TableText0"/>
              <w:keepNext w:val="0"/>
              <w:widowControl w:val="0"/>
              <w:spacing w:before="0" w:after="0"/>
              <w:jc w:val="center"/>
              <w:rPr>
                <w:szCs w:val="20"/>
                <w:highlight w:val="black"/>
              </w:rPr>
            </w:pPr>
            <w:r>
              <w:rPr>
                <w:noProof/>
                <w:color w:val="000000"/>
                <w:szCs w:val="20"/>
                <w:highlight w:val="black"/>
              </w:rPr>
              <w:t>''''''''''</w:t>
            </w:r>
          </w:p>
        </w:tc>
        <w:tc>
          <w:tcPr>
            <w:tcW w:w="706" w:type="pct"/>
            <w:shd w:val="clear" w:color="auto" w:fill="auto"/>
            <w:noWrap/>
            <w:vAlign w:val="bottom"/>
          </w:tcPr>
          <w:p w:rsidR="00D41D85" w:rsidRPr="00827EDF" w:rsidRDefault="00827EDF" w:rsidP="00D41D85">
            <w:pPr>
              <w:pStyle w:val="TableText0"/>
              <w:keepNext w:val="0"/>
              <w:widowControl w:val="0"/>
              <w:spacing w:before="0" w:after="0"/>
              <w:jc w:val="center"/>
              <w:rPr>
                <w:szCs w:val="20"/>
                <w:highlight w:val="black"/>
              </w:rPr>
            </w:pPr>
            <w:r>
              <w:rPr>
                <w:noProof/>
                <w:color w:val="000000"/>
                <w:szCs w:val="20"/>
                <w:highlight w:val="black"/>
              </w:rPr>
              <w:t>''''''''''</w:t>
            </w:r>
          </w:p>
        </w:tc>
      </w:tr>
    </w:tbl>
    <w:p w:rsidR="00D41D85" w:rsidRPr="005F039C" w:rsidRDefault="00D41D85" w:rsidP="00D41D85">
      <w:pPr>
        <w:pStyle w:val="Footer"/>
        <w:ind w:firstLine="720"/>
        <w:rPr>
          <w:rFonts w:ascii="Arial Narrow" w:hAnsi="Arial Narrow"/>
          <w:sz w:val="18"/>
          <w:szCs w:val="18"/>
        </w:rPr>
      </w:pPr>
      <w:r w:rsidRPr="005F039C">
        <w:rPr>
          <w:rFonts w:ascii="Arial Narrow" w:hAnsi="Arial Narrow"/>
          <w:sz w:val="18"/>
          <w:szCs w:val="18"/>
          <w:vertAlign w:val="superscript"/>
        </w:rPr>
        <w:t xml:space="preserve">a </w:t>
      </w:r>
      <w:r w:rsidRPr="005F039C">
        <w:rPr>
          <w:rFonts w:ascii="Arial Narrow" w:hAnsi="Arial Narrow"/>
          <w:sz w:val="18"/>
          <w:szCs w:val="18"/>
        </w:rPr>
        <w:t xml:space="preserve"> See 7.1.COM.76, Table E.4.1.</w:t>
      </w:r>
    </w:p>
    <w:p w:rsidR="00D41D85" w:rsidRPr="005F039C" w:rsidRDefault="00D41D85" w:rsidP="00D41D85">
      <w:pPr>
        <w:pStyle w:val="Footer"/>
        <w:rPr>
          <w:rFonts w:ascii="Arial Narrow" w:hAnsi="Arial Narrow"/>
          <w:sz w:val="18"/>
          <w:szCs w:val="18"/>
        </w:rPr>
      </w:pPr>
      <w:r w:rsidRPr="005F039C">
        <w:rPr>
          <w:rFonts w:ascii="Arial Narrow" w:hAnsi="Arial Narrow"/>
          <w:sz w:val="18"/>
          <w:szCs w:val="18"/>
          <w:vertAlign w:val="superscript"/>
        </w:rPr>
        <w:t xml:space="preserve">                          b </w:t>
      </w:r>
      <w:r w:rsidRPr="005F039C">
        <w:rPr>
          <w:rFonts w:ascii="Arial Narrow" w:hAnsi="Arial Narrow"/>
          <w:sz w:val="18"/>
          <w:szCs w:val="18"/>
        </w:rPr>
        <w:t xml:space="preserve"> Calculated for the PSCR (Change cell D51 in the ‘Background and Assumptions’ worksheet from </w:t>
      </w:r>
      <w:r w:rsidR="00827EDF">
        <w:rPr>
          <w:rFonts w:ascii="Arial Narrow" w:hAnsi="Arial Narrow"/>
          <w:noProof/>
          <w:color w:val="000000"/>
          <w:sz w:val="18"/>
          <w:szCs w:val="18"/>
          <w:highlight w:val="black"/>
        </w:rPr>
        <w:t>'''''''''' ''''' '''''''''''</w:t>
      </w:r>
      <w:r w:rsidRPr="005F039C">
        <w:rPr>
          <w:rFonts w:ascii="Arial Narrow" w:hAnsi="Arial Narrow"/>
          <w:sz w:val="18"/>
          <w:szCs w:val="18"/>
        </w:rPr>
        <w:t>).</w:t>
      </w:r>
    </w:p>
    <w:p w:rsidR="00525231" w:rsidRPr="005F039C" w:rsidRDefault="00D41D85" w:rsidP="00525231">
      <w:pPr>
        <w:pStyle w:val="Footer"/>
        <w:ind w:left="720"/>
        <w:rPr>
          <w:rFonts w:ascii="Arial Narrow" w:hAnsi="Arial Narrow"/>
          <w:sz w:val="18"/>
          <w:szCs w:val="18"/>
        </w:rPr>
      </w:pPr>
      <w:r w:rsidRPr="005F039C">
        <w:rPr>
          <w:rFonts w:ascii="Arial Narrow" w:hAnsi="Arial Narrow"/>
          <w:sz w:val="18"/>
          <w:szCs w:val="18"/>
          <w:vertAlign w:val="superscript"/>
        </w:rPr>
        <w:tab/>
        <w:t xml:space="preserve"> c </w:t>
      </w:r>
      <w:r w:rsidRPr="005F039C">
        <w:rPr>
          <w:rFonts w:ascii="Arial Narrow" w:hAnsi="Arial Narrow"/>
          <w:sz w:val="18"/>
          <w:szCs w:val="18"/>
        </w:rPr>
        <w:t xml:space="preserve"> Difference in PBS expenditure is greater in the early years because there are more new patients in the loading dose phase of treatment.</w:t>
      </w:r>
    </w:p>
    <w:p w:rsidR="00607D0A" w:rsidRPr="005F039C" w:rsidRDefault="00D41D85" w:rsidP="00525231">
      <w:pPr>
        <w:pStyle w:val="Footer"/>
        <w:ind w:left="720"/>
        <w:rPr>
          <w:rFonts w:ascii="Arial Narrow" w:hAnsi="Arial Narrow"/>
          <w:sz w:val="18"/>
        </w:rPr>
      </w:pPr>
      <w:r w:rsidRPr="005F039C">
        <w:rPr>
          <w:rFonts w:ascii="Arial Narrow" w:hAnsi="Arial Narrow"/>
          <w:sz w:val="18"/>
        </w:rPr>
        <w:t>Source: Table 6, p6 of the PSCR</w:t>
      </w:r>
      <w:bookmarkEnd w:id="16"/>
    </w:p>
    <w:p w:rsidR="00525231" w:rsidRPr="005F039C" w:rsidRDefault="00525231" w:rsidP="00525231">
      <w:pPr>
        <w:pStyle w:val="Footer"/>
        <w:ind w:left="720"/>
        <w:rPr>
          <w:rFonts w:ascii="Arial Narrow" w:hAnsi="Arial Narrow"/>
          <w:i/>
          <w:sz w:val="18"/>
          <w:szCs w:val="18"/>
        </w:rPr>
      </w:pPr>
    </w:p>
    <w:p w:rsidR="00607D0A" w:rsidRPr="00B3341B" w:rsidRDefault="00607D0A" w:rsidP="00B3341B">
      <w:pPr>
        <w:rPr>
          <w:b/>
        </w:rPr>
      </w:pPr>
      <w:bookmarkStart w:id="17" w:name="_Toc398652413"/>
      <w:r w:rsidRPr="00B3341B">
        <w:rPr>
          <w:b/>
        </w:rPr>
        <w:t>Financial Management – Risk Sharing Arrangements</w:t>
      </w:r>
      <w:bookmarkEnd w:id="17"/>
    </w:p>
    <w:p w:rsidR="00607D0A" w:rsidRPr="005F039C" w:rsidRDefault="00607D0A" w:rsidP="00607D0A">
      <w:pPr>
        <w:widowControl/>
        <w:rPr>
          <w:szCs w:val="22"/>
        </w:rPr>
      </w:pPr>
    </w:p>
    <w:p w:rsidR="005C226F" w:rsidRPr="005F039C" w:rsidRDefault="00607D0A" w:rsidP="00745891">
      <w:pPr>
        <w:pStyle w:val="ListParagraph"/>
        <w:widowControl/>
        <w:numPr>
          <w:ilvl w:val="1"/>
          <w:numId w:val="2"/>
        </w:numPr>
        <w:rPr>
          <w:szCs w:val="22"/>
        </w:rPr>
      </w:pPr>
      <w:r w:rsidRPr="005F039C">
        <w:t xml:space="preserve">The </w:t>
      </w:r>
      <w:r w:rsidR="00525231" w:rsidRPr="005F039C">
        <w:t>resubmission</w:t>
      </w:r>
      <w:r w:rsidRPr="005F039C">
        <w:t xml:space="preserve"> </w:t>
      </w:r>
      <w:r w:rsidR="003D0FF6" w:rsidRPr="005F039C">
        <w:t xml:space="preserve">did </w:t>
      </w:r>
      <w:r w:rsidRPr="005F039C">
        <w:t xml:space="preserve">not </w:t>
      </w:r>
      <w:r w:rsidR="005C226F" w:rsidRPr="005F039C">
        <w:t xml:space="preserve">provide detail of a risk sharing arrangement, </w:t>
      </w:r>
      <w:r w:rsidR="00827EDF">
        <w:rPr>
          <w:noProof/>
          <w:color w:val="000000"/>
          <w:highlight w:val="black"/>
        </w:rPr>
        <w:t>''''''' ''''''' ''''''''''' ''''''''' '''''''' '''''''''''''''''''''' ''''''''''' '''''''''''''' ''''''' ''''''' '''''''''''' ''''''''' ''''''''''''''' '''''''''''''''''''''''' ''''''''''''' ''''''''''' '''''''''''''''''''''''' ''''' ''''''' ''''''''''''''''''''''''''' ''''''' ''''''''''''</w:t>
      </w:r>
      <w:r w:rsidR="005C226F" w:rsidRPr="005F039C">
        <w:t xml:space="preserve"> demonstrated to be cost-effective against the relevant comparator(s) for each indication.</w:t>
      </w:r>
    </w:p>
    <w:p w:rsidR="005256DC" w:rsidRPr="005F039C" w:rsidRDefault="005256DC" w:rsidP="005256DC">
      <w:pPr>
        <w:pStyle w:val="PBACheading1"/>
        <w:numPr>
          <w:ilvl w:val="0"/>
          <w:numId w:val="0"/>
        </w:numPr>
        <w:ind w:left="720"/>
      </w:pPr>
    </w:p>
    <w:p w:rsidR="005256DC" w:rsidRPr="005F039C" w:rsidRDefault="005256DC" w:rsidP="00745891">
      <w:pPr>
        <w:widowControl/>
        <w:numPr>
          <w:ilvl w:val="1"/>
          <w:numId w:val="2"/>
        </w:numPr>
      </w:pPr>
      <w:r w:rsidRPr="005F039C">
        <w:t xml:space="preserve">The PBAC noted that </w:t>
      </w:r>
      <w:r w:rsidR="004961A1" w:rsidRPr="005F039C">
        <w:t xml:space="preserve">as </w:t>
      </w:r>
      <w:r w:rsidRPr="005F039C">
        <w:t>the re-submission did not propose a risk sharing arrangement</w:t>
      </w:r>
      <w:r w:rsidR="004961A1" w:rsidRPr="005F039C">
        <w:t>,</w:t>
      </w:r>
      <w:r w:rsidR="002372E9" w:rsidRPr="005F039C">
        <w:t xml:space="preserve"> </w:t>
      </w:r>
      <w:r w:rsidR="004961A1" w:rsidRPr="005F039C">
        <w:t>t</w:t>
      </w:r>
      <w:r w:rsidRPr="005F039C">
        <w:t xml:space="preserve">o address the concerns regarding re-injections beyond the loading </w:t>
      </w:r>
      <w:r w:rsidRPr="005F039C">
        <w:lastRenderedPageBreak/>
        <w:t xml:space="preserve">dose phase, </w:t>
      </w:r>
      <w:r w:rsidR="004961A1" w:rsidRPr="005F039C">
        <w:t xml:space="preserve">the PBAC recommended that a subsidisation cap for aflibercept for this indication would be necessary.  </w:t>
      </w:r>
      <w:r w:rsidR="00827EDF">
        <w:rPr>
          <w:noProof/>
          <w:color w:val="000000"/>
          <w:highlight w:val="black"/>
        </w:rPr>
        <w:t xml:space="preserve">''''''''' '''''''''''''''' '''''''''''''''''''' ''' '''''''''''''''' ''''''''''' '''' '''''''''''''' '''''''''''''''''' ''''''''''''''''''''''' ''''' ''''''''''' '''''''''' ''''''''''' ''''' ''''''''''''''''''''''''' ''''''''' ''''''''''''''''' '''''''''' '''''''' ''''''''''''''' '''''''''' '''''''' '''''''''''' '''''' '''''''' '''''''''''''''''''''''''''' ''''''''''  </w:t>
      </w:r>
    </w:p>
    <w:p w:rsidR="005C226F" w:rsidRPr="005F039C" w:rsidRDefault="005C226F" w:rsidP="00EF50A8">
      <w:pPr>
        <w:widowControl/>
        <w:rPr>
          <w:szCs w:val="22"/>
        </w:rPr>
      </w:pPr>
    </w:p>
    <w:p w:rsidR="007A44E3" w:rsidRPr="005F039C" w:rsidRDefault="007A44E3" w:rsidP="007A44E3">
      <w:pPr>
        <w:pStyle w:val="ListParagraph"/>
        <w:ind w:left="709"/>
        <w:rPr>
          <w:i/>
          <w:szCs w:val="22"/>
        </w:rPr>
      </w:pPr>
      <w:r w:rsidRPr="005F039C">
        <w:rPr>
          <w:i/>
          <w:szCs w:val="22"/>
        </w:rPr>
        <w:t>For more detail on PBAC’s view, see section 7 “PBAC outcome”</w:t>
      </w:r>
    </w:p>
    <w:p w:rsidR="00E3677E" w:rsidRPr="005F039C" w:rsidRDefault="00E3677E" w:rsidP="00E3677E"/>
    <w:p w:rsidR="00E3677E" w:rsidRPr="005F039C" w:rsidRDefault="00E3677E" w:rsidP="00E3677E"/>
    <w:p w:rsidR="007A44E3" w:rsidRPr="005F039C" w:rsidRDefault="007A44E3" w:rsidP="00745891">
      <w:pPr>
        <w:numPr>
          <w:ilvl w:val="0"/>
          <w:numId w:val="2"/>
        </w:numPr>
        <w:rPr>
          <w:b/>
          <w:bCs/>
        </w:rPr>
      </w:pPr>
      <w:r w:rsidRPr="005F039C">
        <w:rPr>
          <w:b/>
          <w:bCs/>
        </w:rPr>
        <w:t>PBAC Outcome</w:t>
      </w:r>
    </w:p>
    <w:p w:rsidR="007A44E3" w:rsidRPr="005F039C" w:rsidRDefault="007A44E3" w:rsidP="007A44E3">
      <w:pPr>
        <w:rPr>
          <w:bCs/>
        </w:rPr>
      </w:pPr>
    </w:p>
    <w:p w:rsidR="003D0FF6" w:rsidRPr="005F039C" w:rsidRDefault="003D0FF6" w:rsidP="00745891">
      <w:pPr>
        <w:widowControl/>
        <w:numPr>
          <w:ilvl w:val="1"/>
          <w:numId w:val="2"/>
        </w:numPr>
        <w:rPr>
          <w:bCs/>
          <w:szCs w:val="22"/>
        </w:rPr>
      </w:pPr>
      <w:r w:rsidRPr="005F039C">
        <w:rPr>
          <w:bCs/>
          <w:szCs w:val="22"/>
        </w:rPr>
        <w:t>The PBAC recommended extending the listing of aflibercept as Section 85 Authority required benefit to include treatment</w:t>
      </w:r>
      <w:r w:rsidRPr="005F039C">
        <w:t xml:space="preserve"> of a patient with macular oedema due to central retinal vein occlusion</w:t>
      </w:r>
      <w:r w:rsidR="00846521" w:rsidRPr="005F039C">
        <w:t xml:space="preserve"> (CRVO)</w:t>
      </w:r>
      <w:r w:rsidRPr="005F039C">
        <w:t xml:space="preserve">.  The PBAC considered that authority applications through the PBS and Specialised </w:t>
      </w:r>
      <w:r w:rsidRPr="005F039C">
        <w:rPr>
          <w:rFonts w:cs="Times New Roman"/>
          <w:snapToGrid/>
          <w:szCs w:val="22"/>
          <w:lang w:eastAsia="en-AU"/>
        </w:rPr>
        <w:t>Drugs Branch of the Department of Human Services would be appropriate for aflibercept, similar to administrative arrangements for ranibizumab and aflibercept in AMD.</w:t>
      </w:r>
    </w:p>
    <w:p w:rsidR="009E70D5" w:rsidRPr="005F039C" w:rsidRDefault="009E70D5" w:rsidP="009E70D5">
      <w:pPr>
        <w:widowControl/>
        <w:rPr>
          <w:bCs/>
          <w:szCs w:val="22"/>
        </w:rPr>
      </w:pPr>
    </w:p>
    <w:p w:rsidR="00FC520F" w:rsidRDefault="009E70D5" w:rsidP="00745891">
      <w:pPr>
        <w:widowControl/>
        <w:numPr>
          <w:ilvl w:val="1"/>
          <w:numId w:val="2"/>
        </w:numPr>
        <w:rPr>
          <w:bCs/>
          <w:szCs w:val="22"/>
        </w:rPr>
      </w:pPr>
      <w:r w:rsidRPr="005F039C">
        <w:rPr>
          <w:bCs/>
          <w:szCs w:val="22"/>
        </w:rPr>
        <w:t>The PBAC recommended the listing of aflibercept on a cost-minimisation basis with ranibizumab.  The PBAC determined that the equi-effective doses are aflibercept 2</w:t>
      </w:r>
      <w:r w:rsidR="00C56AAC" w:rsidRPr="005F039C">
        <w:rPr>
          <w:bCs/>
          <w:szCs w:val="22"/>
        </w:rPr>
        <w:t> </w:t>
      </w:r>
      <w:r w:rsidRPr="005F039C">
        <w:rPr>
          <w:bCs/>
          <w:szCs w:val="22"/>
        </w:rPr>
        <w:t>mg injection : 0.5</w:t>
      </w:r>
      <w:r w:rsidR="00C56AAC" w:rsidRPr="005F039C">
        <w:rPr>
          <w:bCs/>
          <w:szCs w:val="22"/>
        </w:rPr>
        <w:t> </w:t>
      </w:r>
      <w:r w:rsidRPr="005F039C">
        <w:rPr>
          <w:bCs/>
          <w:szCs w:val="22"/>
        </w:rPr>
        <w:t>mg ranibizumab injection</w:t>
      </w:r>
      <w:r w:rsidR="00FC520F">
        <w:rPr>
          <w:bCs/>
          <w:szCs w:val="22"/>
        </w:rPr>
        <w:t>.</w:t>
      </w:r>
    </w:p>
    <w:p w:rsidR="00FC520F" w:rsidRDefault="00FC520F" w:rsidP="00FC520F">
      <w:pPr>
        <w:pStyle w:val="ListParagraph"/>
        <w:rPr>
          <w:bCs/>
          <w:szCs w:val="22"/>
        </w:rPr>
      </w:pPr>
    </w:p>
    <w:p w:rsidR="00FC520F" w:rsidRPr="00DF19EB" w:rsidRDefault="00E972B6" w:rsidP="00745891">
      <w:pPr>
        <w:widowControl/>
        <w:numPr>
          <w:ilvl w:val="1"/>
          <w:numId w:val="2"/>
        </w:numPr>
        <w:rPr>
          <w:bCs/>
          <w:szCs w:val="22"/>
          <w:lang w:val="en-GB"/>
        </w:rPr>
      </w:pPr>
      <w:r w:rsidRPr="00E972B6">
        <w:rPr>
          <w:bCs/>
          <w:szCs w:val="22"/>
        </w:rPr>
        <w:t xml:space="preserve">The PBAC concluded that, based on the totality of the available clinical evidence, aflibercept can also be considered non-inferior in terms of effectiveness and safety with bevacizumab.  </w:t>
      </w:r>
      <w:r w:rsidR="00FC520F" w:rsidRPr="00FC520F">
        <w:rPr>
          <w:bCs/>
          <w:szCs w:val="22"/>
        </w:rPr>
        <w:t>The equi-effective doses for this comparison</w:t>
      </w:r>
      <w:r w:rsidR="009E70D5" w:rsidRPr="005F039C">
        <w:rPr>
          <w:bCs/>
          <w:szCs w:val="22"/>
        </w:rPr>
        <w:t xml:space="preserve"> and aflibercept 2</w:t>
      </w:r>
      <w:r w:rsidR="00C56AAC" w:rsidRPr="005F039C">
        <w:rPr>
          <w:bCs/>
          <w:szCs w:val="22"/>
        </w:rPr>
        <w:t> </w:t>
      </w:r>
      <w:r w:rsidR="009E70D5" w:rsidRPr="005F039C">
        <w:rPr>
          <w:bCs/>
          <w:szCs w:val="22"/>
        </w:rPr>
        <w:t>mg injection : 1.</w:t>
      </w:r>
      <w:r w:rsidR="00B75C8B" w:rsidRPr="005F039C">
        <w:rPr>
          <w:bCs/>
          <w:szCs w:val="22"/>
        </w:rPr>
        <w:t>2</w:t>
      </w:r>
      <w:r w:rsidR="009E70D5" w:rsidRPr="005F039C">
        <w:rPr>
          <w:bCs/>
          <w:szCs w:val="22"/>
        </w:rPr>
        <w:t>5</w:t>
      </w:r>
      <w:r w:rsidR="00CD33BA" w:rsidRPr="005F039C">
        <w:rPr>
          <w:bCs/>
          <w:szCs w:val="22"/>
        </w:rPr>
        <w:t> </w:t>
      </w:r>
      <w:r w:rsidR="009E70D5" w:rsidRPr="005F039C">
        <w:rPr>
          <w:bCs/>
          <w:szCs w:val="22"/>
        </w:rPr>
        <w:t xml:space="preserve">mg bevacizumab injection. </w:t>
      </w:r>
      <w:r w:rsidR="00B54192" w:rsidRPr="005F039C">
        <w:rPr>
          <w:bCs/>
          <w:szCs w:val="22"/>
        </w:rPr>
        <w:t xml:space="preserve"> </w:t>
      </w:r>
      <w:r w:rsidR="00DF19EB" w:rsidRPr="00DF19EB">
        <w:t xml:space="preserve">The PBAC noted the bevacizumab equi-effective dose for this submission is different with the </w:t>
      </w:r>
      <w:r w:rsidR="00CC7A83">
        <w:t>submission for aflibercept for diabetic macular oedema</w:t>
      </w:r>
      <w:r w:rsidR="0048630B">
        <w:t xml:space="preserve"> (DME)</w:t>
      </w:r>
      <w:r w:rsidR="00CC7A83">
        <w:t xml:space="preserve"> also consider</w:t>
      </w:r>
      <w:r w:rsidR="00A61167">
        <w:t xml:space="preserve">ed on the November 2014 agenda </w:t>
      </w:r>
      <w:r w:rsidR="00CC7A83">
        <w:t>(item 6.2 refers)</w:t>
      </w:r>
      <w:r w:rsidR="00DF19EB" w:rsidRPr="00DF19EB">
        <w:t xml:space="preserve">. </w:t>
      </w:r>
      <w:r w:rsidR="0048630B">
        <w:t xml:space="preserve"> The PBAC considered that this wa</w:t>
      </w:r>
      <w:r w:rsidR="00DF19EB" w:rsidRPr="00DF19EB">
        <w:t xml:space="preserve">s due to the different trial data available for bevacizumab for each indication. </w:t>
      </w:r>
    </w:p>
    <w:p w:rsidR="00FC520F" w:rsidRDefault="00FC520F" w:rsidP="00DF19EB"/>
    <w:p w:rsidR="009E70D5" w:rsidRPr="005F039C" w:rsidRDefault="00B54192" w:rsidP="00745891">
      <w:pPr>
        <w:widowControl/>
        <w:numPr>
          <w:ilvl w:val="1"/>
          <w:numId w:val="2"/>
        </w:numPr>
        <w:rPr>
          <w:bCs/>
          <w:szCs w:val="22"/>
        </w:rPr>
      </w:pPr>
      <w:r w:rsidRPr="005F039C">
        <w:t>The PBAC considered that the data provided did not enable any further differentiation across these three alternative VEGF inhibitors by dose frequency or treatment duration for CRVO.</w:t>
      </w:r>
    </w:p>
    <w:p w:rsidR="00B75C8B" w:rsidRPr="005F039C" w:rsidRDefault="00B75C8B" w:rsidP="00B75C8B">
      <w:pPr>
        <w:widowControl/>
        <w:rPr>
          <w:bCs/>
          <w:szCs w:val="22"/>
        </w:rPr>
      </w:pPr>
    </w:p>
    <w:p w:rsidR="00C15E83" w:rsidRPr="005F039C" w:rsidRDefault="00B75C8B" w:rsidP="00745891">
      <w:pPr>
        <w:numPr>
          <w:ilvl w:val="1"/>
          <w:numId w:val="2"/>
        </w:numPr>
        <w:rPr>
          <w:bCs/>
        </w:rPr>
      </w:pPr>
      <w:r w:rsidRPr="005F039C">
        <w:rPr>
          <w:bCs/>
          <w:szCs w:val="22"/>
        </w:rPr>
        <w:t>The PBAC</w:t>
      </w:r>
      <w:r w:rsidR="008114FA" w:rsidRPr="005F039C">
        <w:rPr>
          <w:bCs/>
          <w:szCs w:val="22"/>
        </w:rPr>
        <w:t xml:space="preserve"> noted that the resubmission removed OCT from the requested restriction.</w:t>
      </w:r>
      <w:r w:rsidR="00C15E83" w:rsidRPr="005F039C">
        <w:rPr>
          <w:bCs/>
          <w:szCs w:val="22"/>
        </w:rPr>
        <w:t xml:space="preserve">  </w:t>
      </w:r>
      <w:r w:rsidR="008114FA" w:rsidRPr="005F039C">
        <w:rPr>
          <w:bCs/>
          <w:szCs w:val="22"/>
        </w:rPr>
        <w:t>The PBAC</w:t>
      </w:r>
      <w:r w:rsidRPr="005F039C">
        <w:rPr>
          <w:bCs/>
          <w:szCs w:val="22"/>
        </w:rPr>
        <w:t xml:space="preserve"> advised that the restriction wording for aflibercept needs to include</w:t>
      </w:r>
      <w:r w:rsidR="00C15E83" w:rsidRPr="005F039C">
        <w:rPr>
          <w:bCs/>
          <w:szCs w:val="22"/>
        </w:rPr>
        <w:t xml:space="preserve"> the following information:</w:t>
      </w:r>
    </w:p>
    <w:p w:rsidR="00C15E83" w:rsidRPr="005F039C" w:rsidRDefault="00C15E83" w:rsidP="00745891">
      <w:pPr>
        <w:pStyle w:val="ListParagraph"/>
        <w:numPr>
          <w:ilvl w:val="0"/>
          <w:numId w:val="9"/>
        </w:numPr>
        <w:ind w:left="993" w:hanging="284"/>
        <w:rPr>
          <w:bCs/>
        </w:rPr>
      </w:pPr>
      <w:r w:rsidRPr="005F039C">
        <w:rPr>
          <w:bCs/>
          <w:szCs w:val="22"/>
        </w:rPr>
        <w:t xml:space="preserve">criteria </w:t>
      </w:r>
      <w:r w:rsidR="00B54192" w:rsidRPr="005F039C">
        <w:rPr>
          <w:bCs/>
          <w:szCs w:val="22"/>
        </w:rPr>
        <w:t xml:space="preserve">(trial based) </w:t>
      </w:r>
      <w:r w:rsidRPr="005F039C">
        <w:rPr>
          <w:bCs/>
          <w:szCs w:val="22"/>
        </w:rPr>
        <w:t>for patients to be eligible for treatment must be consistent with ranibizumab;</w:t>
      </w:r>
    </w:p>
    <w:p w:rsidR="00C15E83" w:rsidRPr="005F039C" w:rsidRDefault="001D12F6" w:rsidP="00745891">
      <w:pPr>
        <w:pStyle w:val="ListParagraph"/>
        <w:numPr>
          <w:ilvl w:val="0"/>
          <w:numId w:val="9"/>
        </w:numPr>
        <w:ind w:left="993" w:hanging="284"/>
        <w:rPr>
          <w:bCs/>
        </w:rPr>
      </w:pPr>
      <w:r w:rsidRPr="005F039C">
        <w:rPr>
          <w:bCs/>
          <w:szCs w:val="22"/>
        </w:rPr>
        <w:t xml:space="preserve">a </w:t>
      </w:r>
      <w:r w:rsidR="00975660" w:rsidRPr="005F039C">
        <w:rPr>
          <w:bCs/>
          <w:szCs w:val="22"/>
        </w:rPr>
        <w:t xml:space="preserve">documentation of </w:t>
      </w:r>
      <w:r w:rsidR="00B75C8B" w:rsidRPr="005F039C">
        <w:rPr>
          <w:bCs/>
          <w:szCs w:val="22"/>
        </w:rPr>
        <w:t xml:space="preserve">assessment of response (at each visit) to establish </w:t>
      </w:r>
      <w:r w:rsidR="00975660" w:rsidRPr="005F039C">
        <w:rPr>
          <w:bCs/>
          <w:szCs w:val="22"/>
        </w:rPr>
        <w:t xml:space="preserve">eligibility for </w:t>
      </w:r>
      <w:r w:rsidR="00B75C8B" w:rsidRPr="005F039C">
        <w:rPr>
          <w:bCs/>
          <w:szCs w:val="22"/>
        </w:rPr>
        <w:t>continuation</w:t>
      </w:r>
      <w:r w:rsidR="00C15E83" w:rsidRPr="005F039C">
        <w:rPr>
          <w:bCs/>
          <w:szCs w:val="22"/>
        </w:rPr>
        <w:t xml:space="preserve"> or </w:t>
      </w:r>
      <w:r w:rsidR="00B75C8B" w:rsidRPr="005F039C">
        <w:rPr>
          <w:bCs/>
          <w:szCs w:val="22"/>
        </w:rPr>
        <w:t>cessation of treatment</w:t>
      </w:r>
      <w:r w:rsidR="00C15E83" w:rsidRPr="005F039C">
        <w:rPr>
          <w:bCs/>
          <w:szCs w:val="22"/>
        </w:rPr>
        <w:t>;</w:t>
      </w:r>
    </w:p>
    <w:p w:rsidR="00C15E83" w:rsidRPr="005F039C" w:rsidRDefault="00B75C8B" w:rsidP="00745891">
      <w:pPr>
        <w:pStyle w:val="ListParagraph"/>
        <w:numPr>
          <w:ilvl w:val="0"/>
          <w:numId w:val="9"/>
        </w:numPr>
        <w:ind w:left="993" w:hanging="284"/>
        <w:rPr>
          <w:bCs/>
        </w:rPr>
      </w:pPr>
      <w:r w:rsidRPr="005F039C">
        <w:rPr>
          <w:bCs/>
          <w:szCs w:val="22"/>
        </w:rPr>
        <w:t>appropriate method</w:t>
      </w:r>
      <w:r w:rsidR="00B54192" w:rsidRPr="005F039C">
        <w:rPr>
          <w:bCs/>
          <w:szCs w:val="22"/>
        </w:rPr>
        <w:t>(s) to assess response</w:t>
      </w:r>
      <w:r w:rsidR="00C15E83" w:rsidRPr="005F039C">
        <w:rPr>
          <w:bCs/>
          <w:szCs w:val="22"/>
        </w:rPr>
        <w:t>; and</w:t>
      </w:r>
    </w:p>
    <w:p w:rsidR="00C15E83" w:rsidRPr="005F039C" w:rsidRDefault="00D66947" w:rsidP="00745891">
      <w:pPr>
        <w:pStyle w:val="ListParagraph"/>
        <w:numPr>
          <w:ilvl w:val="0"/>
          <w:numId w:val="9"/>
        </w:numPr>
        <w:ind w:left="993" w:hanging="284"/>
        <w:rPr>
          <w:bCs/>
        </w:rPr>
      </w:pPr>
      <w:r w:rsidRPr="005F039C">
        <w:rPr>
          <w:bCs/>
          <w:szCs w:val="22"/>
        </w:rPr>
        <w:t xml:space="preserve">if possible, </w:t>
      </w:r>
      <w:r w:rsidR="00C15E83" w:rsidRPr="005F039C">
        <w:rPr>
          <w:bCs/>
          <w:szCs w:val="22"/>
        </w:rPr>
        <w:t>duration of treatment</w:t>
      </w:r>
      <w:r w:rsidR="00065DE0" w:rsidRPr="005F039C">
        <w:rPr>
          <w:bCs/>
          <w:szCs w:val="22"/>
        </w:rPr>
        <w:t>.</w:t>
      </w:r>
    </w:p>
    <w:p w:rsidR="007A44E3" w:rsidRPr="005F039C" w:rsidRDefault="00B75C8B" w:rsidP="00C15E83">
      <w:pPr>
        <w:ind w:left="709"/>
        <w:rPr>
          <w:bCs/>
        </w:rPr>
      </w:pPr>
      <w:r w:rsidRPr="005F039C">
        <w:rPr>
          <w:bCs/>
          <w:szCs w:val="22"/>
        </w:rPr>
        <w:t xml:space="preserve">The PBAC requested the Department to work with the Restriction Working Group </w:t>
      </w:r>
      <w:r w:rsidR="00B54192" w:rsidRPr="005F039C">
        <w:rPr>
          <w:bCs/>
          <w:szCs w:val="22"/>
        </w:rPr>
        <w:t>to</w:t>
      </w:r>
      <w:r w:rsidRPr="005F039C">
        <w:rPr>
          <w:bCs/>
          <w:szCs w:val="22"/>
        </w:rPr>
        <w:t xml:space="preserve"> finalis</w:t>
      </w:r>
      <w:r w:rsidR="00B54192" w:rsidRPr="005F039C">
        <w:rPr>
          <w:bCs/>
          <w:szCs w:val="22"/>
        </w:rPr>
        <w:t>e</w:t>
      </w:r>
      <w:r w:rsidRPr="005F039C">
        <w:rPr>
          <w:bCs/>
          <w:szCs w:val="22"/>
        </w:rPr>
        <w:t xml:space="preserve"> a restriction wording.</w:t>
      </w:r>
    </w:p>
    <w:p w:rsidR="00F64AB9" w:rsidRPr="005F039C" w:rsidRDefault="00F64AB9" w:rsidP="00F64AB9">
      <w:pPr>
        <w:rPr>
          <w:bCs/>
        </w:rPr>
      </w:pPr>
    </w:p>
    <w:p w:rsidR="00F64AB9" w:rsidRPr="005F039C" w:rsidRDefault="00F64AB9" w:rsidP="00745891">
      <w:pPr>
        <w:widowControl/>
        <w:numPr>
          <w:ilvl w:val="1"/>
          <w:numId w:val="2"/>
        </w:numPr>
        <w:rPr>
          <w:bCs/>
          <w:szCs w:val="22"/>
        </w:rPr>
      </w:pPr>
      <w:r w:rsidRPr="005F039C">
        <w:rPr>
          <w:bCs/>
          <w:szCs w:val="22"/>
        </w:rPr>
        <w:t xml:space="preserve">The PBAC noted the clinical place for aflibercept </w:t>
      </w:r>
      <w:r w:rsidR="00B54192" w:rsidRPr="005F039C">
        <w:rPr>
          <w:bCs/>
          <w:szCs w:val="22"/>
        </w:rPr>
        <w:t xml:space="preserve">as being </w:t>
      </w:r>
      <w:r w:rsidRPr="005F039C">
        <w:rPr>
          <w:bCs/>
          <w:szCs w:val="22"/>
        </w:rPr>
        <w:t>an alternative to ranibizumab and bevacizumab (off label) for the treatment of CRVO.</w:t>
      </w:r>
    </w:p>
    <w:p w:rsidR="00B22296" w:rsidRPr="005F039C" w:rsidRDefault="00B22296" w:rsidP="00B22296">
      <w:pPr>
        <w:rPr>
          <w:bCs/>
          <w:szCs w:val="22"/>
        </w:rPr>
      </w:pPr>
    </w:p>
    <w:p w:rsidR="00B22296" w:rsidRPr="005F039C" w:rsidRDefault="00DB1B42" w:rsidP="00745891">
      <w:pPr>
        <w:widowControl/>
        <w:numPr>
          <w:ilvl w:val="1"/>
          <w:numId w:val="2"/>
        </w:numPr>
        <w:rPr>
          <w:bCs/>
          <w:szCs w:val="22"/>
        </w:rPr>
      </w:pPr>
      <w:r w:rsidRPr="005F039C">
        <w:rPr>
          <w:bCs/>
          <w:szCs w:val="22"/>
        </w:rPr>
        <w:lastRenderedPageBreak/>
        <w:t xml:space="preserve">The PBAC recalled that </w:t>
      </w:r>
      <w:r w:rsidR="00B54192" w:rsidRPr="005F039C">
        <w:rPr>
          <w:bCs/>
          <w:szCs w:val="22"/>
        </w:rPr>
        <w:t xml:space="preserve">in March 2014 </w:t>
      </w:r>
      <w:r w:rsidRPr="005F039C">
        <w:rPr>
          <w:bCs/>
          <w:szCs w:val="22"/>
        </w:rPr>
        <w:t xml:space="preserve">it </w:t>
      </w:r>
      <w:r w:rsidR="00B54192" w:rsidRPr="005F039C">
        <w:rPr>
          <w:bCs/>
          <w:szCs w:val="22"/>
        </w:rPr>
        <w:t xml:space="preserve">had </w:t>
      </w:r>
      <w:r w:rsidRPr="005F039C">
        <w:rPr>
          <w:bCs/>
          <w:szCs w:val="22"/>
        </w:rPr>
        <w:t xml:space="preserve">previously considered best supportive care as the appropriate comparator for aflibercept.  Given that ranibizumab received a positive recommendation in July 2014 for the treatment of CRVO, the PBAC agreed that ranibizumab is </w:t>
      </w:r>
      <w:r w:rsidR="00B54192" w:rsidRPr="005F039C">
        <w:rPr>
          <w:bCs/>
          <w:szCs w:val="22"/>
        </w:rPr>
        <w:t xml:space="preserve">now </w:t>
      </w:r>
      <w:r w:rsidRPr="005F039C">
        <w:rPr>
          <w:bCs/>
          <w:szCs w:val="22"/>
        </w:rPr>
        <w:t>the most relevant comparator.</w:t>
      </w:r>
      <w:r w:rsidR="00B17497" w:rsidRPr="005F039C">
        <w:rPr>
          <w:bCs/>
          <w:szCs w:val="22"/>
        </w:rPr>
        <w:t xml:space="preserve">  </w:t>
      </w:r>
      <w:r w:rsidR="00244CD2" w:rsidRPr="005F039C">
        <w:rPr>
          <w:bCs/>
          <w:szCs w:val="22"/>
        </w:rPr>
        <w:t>As in the March 2014 re-submission, t</w:t>
      </w:r>
      <w:r w:rsidRPr="005F039C">
        <w:rPr>
          <w:bCs/>
          <w:szCs w:val="22"/>
        </w:rPr>
        <w:t>he PBAC remained of the view that</w:t>
      </w:r>
      <w:r w:rsidR="00244CD2" w:rsidRPr="005F039C">
        <w:rPr>
          <w:bCs/>
          <w:szCs w:val="22"/>
        </w:rPr>
        <w:t xml:space="preserve"> bevacizumab is also a relevant comparator.</w:t>
      </w:r>
    </w:p>
    <w:p w:rsidR="00E81CB8" w:rsidRPr="005F039C" w:rsidRDefault="00E81CB8" w:rsidP="00E81CB8">
      <w:pPr>
        <w:widowControl/>
        <w:rPr>
          <w:bCs/>
          <w:szCs w:val="22"/>
        </w:rPr>
      </w:pPr>
    </w:p>
    <w:p w:rsidR="000A7E5B" w:rsidRPr="005F039C" w:rsidRDefault="001B5ACD" w:rsidP="00745891">
      <w:pPr>
        <w:widowControl/>
        <w:numPr>
          <w:ilvl w:val="1"/>
          <w:numId w:val="2"/>
        </w:numPr>
        <w:rPr>
          <w:szCs w:val="22"/>
        </w:rPr>
      </w:pPr>
      <w:r w:rsidRPr="005F039C">
        <w:rPr>
          <w:bCs/>
          <w:szCs w:val="22"/>
        </w:rPr>
        <w:t>The</w:t>
      </w:r>
      <w:r w:rsidR="000A7E5B" w:rsidRPr="005F039C">
        <w:rPr>
          <w:bCs/>
          <w:szCs w:val="22"/>
        </w:rPr>
        <w:t xml:space="preserve"> </w:t>
      </w:r>
      <w:r w:rsidR="00E81CB8" w:rsidRPr="005F039C">
        <w:rPr>
          <w:bCs/>
          <w:szCs w:val="22"/>
        </w:rPr>
        <w:t xml:space="preserve">PBAC’s views on aflibercept’s non-inferiority in terms of comparative </w:t>
      </w:r>
      <w:r w:rsidR="00B54192" w:rsidRPr="005F039C">
        <w:rPr>
          <w:bCs/>
          <w:szCs w:val="22"/>
        </w:rPr>
        <w:t>effectiveness</w:t>
      </w:r>
      <w:r w:rsidR="00E81CB8" w:rsidRPr="005F039C">
        <w:rPr>
          <w:bCs/>
          <w:szCs w:val="22"/>
        </w:rPr>
        <w:t xml:space="preserve"> and safety against ranibizumab remained unchanged from those formed in </w:t>
      </w:r>
      <w:r w:rsidRPr="005F039C">
        <w:rPr>
          <w:bCs/>
          <w:szCs w:val="22"/>
        </w:rPr>
        <w:t xml:space="preserve">July 2013 and </w:t>
      </w:r>
      <w:r w:rsidR="00E81CB8" w:rsidRPr="005F039C">
        <w:rPr>
          <w:bCs/>
          <w:szCs w:val="22"/>
        </w:rPr>
        <w:t>March 2014</w:t>
      </w:r>
      <w:r w:rsidRPr="005F039C">
        <w:rPr>
          <w:bCs/>
          <w:szCs w:val="22"/>
        </w:rPr>
        <w:t xml:space="preserve"> meetings</w:t>
      </w:r>
      <w:r w:rsidR="00E81CB8" w:rsidRPr="005F039C">
        <w:rPr>
          <w:bCs/>
          <w:szCs w:val="22"/>
        </w:rPr>
        <w:t>.</w:t>
      </w:r>
      <w:r w:rsidR="00DC4C55" w:rsidRPr="005F039C">
        <w:rPr>
          <w:bCs/>
          <w:szCs w:val="22"/>
        </w:rPr>
        <w:t xml:space="preserve"> </w:t>
      </w:r>
      <w:r w:rsidRPr="005F039C">
        <w:rPr>
          <w:bCs/>
          <w:szCs w:val="22"/>
        </w:rPr>
        <w:t xml:space="preserve"> </w:t>
      </w:r>
      <w:r w:rsidRPr="005F039C">
        <w:t xml:space="preserve">The PBAC noted that no clinical claims were made by the re-submission regarding the safety or </w:t>
      </w:r>
      <w:r w:rsidR="00B54192" w:rsidRPr="005F039C">
        <w:t>effectiveness</w:t>
      </w:r>
      <w:r w:rsidRPr="005F039C">
        <w:t xml:space="preserve"> of aflibercept in comparison to bevacizumab however, the PBAC recalled the March 2014 </w:t>
      </w:r>
      <w:r w:rsidRPr="005F039C">
        <w:rPr>
          <w:szCs w:val="22"/>
        </w:rPr>
        <w:t>consideration where it</w:t>
      </w:r>
      <w:r w:rsidR="000A7E5B" w:rsidRPr="005F039C">
        <w:rPr>
          <w:szCs w:val="22"/>
        </w:rPr>
        <w:t xml:space="preserve"> accepted that, on the basis of the analysis conducted during the evaluation, aflibercept is non-inferior in terms of </w:t>
      </w:r>
      <w:r w:rsidR="00B54192" w:rsidRPr="005F039C">
        <w:rPr>
          <w:szCs w:val="22"/>
        </w:rPr>
        <w:t>effectiveness</w:t>
      </w:r>
      <w:r w:rsidR="000A7E5B" w:rsidRPr="005F039C">
        <w:rPr>
          <w:szCs w:val="22"/>
        </w:rPr>
        <w:t xml:space="preserve"> compared to bevacizumab</w:t>
      </w:r>
      <w:r w:rsidR="006F560D">
        <w:rPr>
          <w:szCs w:val="22"/>
        </w:rPr>
        <w:t xml:space="preserve"> </w:t>
      </w:r>
      <w:r w:rsidR="006F560D" w:rsidRPr="006F560D">
        <w:rPr>
          <w:szCs w:val="22"/>
        </w:rPr>
        <w:t>(paragraph 6.29, March 2014 PBAC Minutes)</w:t>
      </w:r>
      <w:r w:rsidR="000A7E5B" w:rsidRPr="005F039C">
        <w:rPr>
          <w:szCs w:val="22"/>
        </w:rPr>
        <w:t>.</w:t>
      </w:r>
    </w:p>
    <w:p w:rsidR="00A56658" w:rsidRPr="005F039C" w:rsidRDefault="00A56658" w:rsidP="00A56658">
      <w:pPr>
        <w:rPr>
          <w:szCs w:val="22"/>
        </w:rPr>
      </w:pPr>
    </w:p>
    <w:p w:rsidR="00A56658" w:rsidRPr="005F039C" w:rsidRDefault="00A56658" w:rsidP="00745891">
      <w:pPr>
        <w:widowControl/>
        <w:numPr>
          <w:ilvl w:val="1"/>
          <w:numId w:val="2"/>
        </w:numPr>
        <w:rPr>
          <w:szCs w:val="22"/>
        </w:rPr>
      </w:pPr>
      <w:r w:rsidRPr="005F039C">
        <w:rPr>
          <w:szCs w:val="22"/>
        </w:rPr>
        <w:t xml:space="preserve">The PBAC noted that </w:t>
      </w:r>
      <w:r w:rsidR="000F3626">
        <w:rPr>
          <w:szCs w:val="22"/>
        </w:rPr>
        <w:t xml:space="preserve">the submission provided </w:t>
      </w:r>
      <w:r w:rsidRPr="005F039C">
        <w:rPr>
          <w:szCs w:val="22"/>
        </w:rPr>
        <w:t>no formal clinical comparison was made</w:t>
      </w:r>
      <w:r w:rsidR="000F3626">
        <w:rPr>
          <w:szCs w:val="22"/>
        </w:rPr>
        <w:t xml:space="preserve"> </w:t>
      </w:r>
      <w:r w:rsidRPr="005F039C">
        <w:rPr>
          <w:szCs w:val="22"/>
        </w:rPr>
        <w:t xml:space="preserve">to support </w:t>
      </w:r>
      <w:r w:rsidR="00E972B6">
        <w:rPr>
          <w:szCs w:val="22"/>
        </w:rPr>
        <w:t>its</w:t>
      </w:r>
      <w:r w:rsidR="00E972B6" w:rsidRPr="005F039C">
        <w:rPr>
          <w:szCs w:val="22"/>
        </w:rPr>
        <w:t xml:space="preserve"> </w:t>
      </w:r>
      <w:r w:rsidRPr="005F039C">
        <w:rPr>
          <w:szCs w:val="22"/>
        </w:rPr>
        <w:t xml:space="preserve">cost-minimisation analysis against bevacizumab.  The submission identified </w:t>
      </w:r>
      <w:r w:rsidRPr="005F039C">
        <w:rPr>
          <w:bCs/>
          <w:szCs w:val="22"/>
        </w:rPr>
        <w:t xml:space="preserve">one randomised trial in CRVO comparing bevacizumab 1.25 mg and sham (Epstein 2012), which could establish equi-effective doses by indirectly comparing injection numbers for aflibercept and bevacizumab via sham.  </w:t>
      </w:r>
      <w:r w:rsidRPr="005F039C">
        <w:t xml:space="preserve">  On the totality of the evidence available, it is reasonable to conclude non-inferiority across all three VEGF inhibitors.</w:t>
      </w:r>
    </w:p>
    <w:p w:rsidR="00C812BC" w:rsidRPr="005F039C" w:rsidRDefault="00C812BC" w:rsidP="00BD7EB4"/>
    <w:p w:rsidR="00AE3F50" w:rsidRPr="005F039C" w:rsidRDefault="00882C0C" w:rsidP="00745891">
      <w:pPr>
        <w:widowControl/>
        <w:numPr>
          <w:ilvl w:val="1"/>
          <w:numId w:val="2"/>
        </w:numPr>
      </w:pPr>
      <w:r w:rsidRPr="005F039C">
        <w:t>The PBAC noted that the submission presented three economic evaluations</w:t>
      </w:r>
      <w:r w:rsidR="005900D9" w:rsidRPr="005F039C">
        <w:t>:</w:t>
      </w:r>
      <w:r w:rsidRPr="005F039C">
        <w:t xml:space="preserve"> a cost-utility analysis based on the comparisons of aflibercept versus best supportive care, two cost-minimisation analyses comparing aflibercept versus ranibizumab and aflibercept versus bevacizumab. </w:t>
      </w:r>
      <w:r w:rsidR="00846521" w:rsidRPr="005F039C">
        <w:t xml:space="preserve"> </w:t>
      </w:r>
      <w:r w:rsidRPr="005F039C">
        <w:t xml:space="preserve">Given the acceptance of equivalence in </w:t>
      </w:r>
      <w:r w:rsidR="005256DC" w:rsidRPr="005F039C">
        <w:t>effectiveness</w:t>
      </w:r>
      <w:r w:rsidRPr="005F039C">
        <w:t xml:space="preserve"> and safety between aflibercept and ranibizumab (paragraph 7.</w:t>
      </w:r>
      <w:r w:rsidR="00B54192" w:rsidRPr="005F039C">
        <w:t>6</w:t>
      </w:r>
      <w:r w:rsidRPr="005F039C">
        <w:t xml:space="preserve">), the PBAC considered that the primary analysis should be a cost-minimisation to ranibizumab and cost-minimisation to bevacizumab </w:t>
      </w:r>
      <w:r w:rsidR="00C812BC" w:rsidRPr="005F039C">
        <w:t>as</w:t>
      </w:r>
      <w:r w:rsidRPr="005F039C">
        <w:t xml:space="preserve"> </w:t>
      </w:r>
      <w:r w:rsidR="00B54192" w:rsidRPr="005F039C">
        <w:t xml:space="preserve">a </w:t>
      </w:r>
      <w:r w:rsidRPr="005F039C">
        <w:t>secondary analysis.</w:t>
      </w:r>
    </w:p>
    <w:p w:rsidR="00AE3F50" w:rsidRPr="005F039C" w:rsidRDefault="00AE3F50" w:rsidP="00AE3F50"/>
    <w:p w:rsidR="00CE7CA6" w:rsidRPr="005F039C" w:rsidRDefault="00CE7CA6" w:rsidP="00745891">
      <w:pPr>
        <w:widowControl/>
        <w:numPr>
          <w:ilvl w:val="1"/>
          <w:numId w:val="2"/>
        </w:numPr>
      </w:pPr>
      <w:r w:rsidRPr="005F039C">
        <w:t>The PBAC did not accept the</w:t>
      </w:r>
      <w:r w:rsidR="000C6D42" w:rsidRPr="005F039C">
        <w:t xml:space="preserve"> submission’s</w:t>
      </w:r>
      <w:r w:rsidRPr="005F039C">
        <w:t xml:space="preserve"> </w:t>
      </w:r>
      <w:r w:rsidR="000C6D42" w:rsidRPr="005F039C">
        <w:t xml:space="preserve">proposed pricing approach where the price of aflibercept is the </w:t>
      </w:r>
      <w:r w:rsidRPr="005F039C">
        <w:t>overall aflibercept vial price</w:t>
      </w:r>
      <w:r w:rsidR="000C6D42" w:rsidRPr="005F039C">
        <w:t xml:space="preserve"> calculated by</w:t>
      </w:r>
      <w:r w:rsidRPr="005F039C">
        <w:t xml:space="preserve"> </w:t>
      </w:r>
      <w:r w:rsidR="000C6D42" w:rsidRPr="005F039C">
        <w:t>a weighting across</w:t>
      </w:r>
      <w:r w:rsidRPr="005F039C">
        <w:t xml:space="preserve"> </w:t>
      </w:r>
      <w:r w:rsidR="000C6D42" w:rsidRPr="005F039C">
        <w:t>the ranibizumab, BSC and bevacizumab comparisons.</w:t>
      </w:r>
    </w:p>
    <w:p w:rsidR="000E6CA4" w:rsidRPr="005F039C" w:rsidRDefault="000E6CA4" w:rsidP="000E6CA4">
      <w:pPr>
        <w:widowControl/>
      </w:pPr>
    </w:p>
    <w:p w:rsidR="001035B7" w:rsidRPr="005F039C" w:rsidRDefault="008D7F88" w:rsidP="00745891">
      <w:pPr>
        <w:widowControl/>
        <w:numPr>
          <w:ilvl w:val="1"/>
          <w:numId w:val="2"/>
        </w:numPr>
      </w:pPr>
      <w:r w:rsidRPr="005F039C">
        <w:t>The PBAC considered the issues in the cost-minimisation analysis between aflibercept and ranibizumab</w:t>
      </w:r>
      <w:r w:rsidR="006F560D">
        <w:t>, as reported</w:t>
      </w:r>
      <w:r w:rsidR="008E2836" w:rsidRPr="005F039C">
        <w:t xml:space="preserve"> in paragraphs 6.22 to 6.23</w:t>
      </w:r>
      <w:r w:rsidRPr="005F039C">
        <w:t xml:space="preserve">.  The </w:t>
      </w:r>
      <w:r w:rsidR="001035B7" w:rsidRPr="005F039C">
        <w:t xml:space="preserve">PBAC did not accept the re-submission’s request of an </w:t>
      </w:r>
      <w:r w:rsidR="00827EDF">
        <w:rPr>
          <w:noProof/>
          <w:color w:val="000000"/>
          <w:highlight w:val="black"/>
        </w:rPr>
        <w:t xml:space="preserve">'''''''''''' </w:t>
      </w:r>
      <w:r w:rsidR="001035B7" w:rsidRPr="005F039C">
        <w:t xml:space="preserve">premium against ranibizumab on the basis that </w:t>
      </w:r>
      <w:r w:rsidR="008E2836" w:rsidRPr="005F039C">
        <w:t xml:space="preserve">the dose relativity underpinning the price premium is not adequately supported.  </w:t>
      </w:r>
      <w:r w:rsidR="009F1830" w:rsidRPr="005F039C">
        <w:rPr>
          <w:bCs/>
          <w:szCs w:val="22"/>
        </w:rPr>
        <w:t xml:space="preserve">The PBAC noted that </w:t>
      </w:r>
      <w:r w:rsidR="00DF19EB" w:rsidRPr="005F039C">
        <w:rPr>
          <w:bCs/>
          <w:szCs w:val="22"/>
        </w:rPr>
        <w:t>in its Pre-PBAC Response</w:t>
      </w:r>
      <w:r w:rsidR="00DF19EB">
        <w:rPr>
          <w:bCs/>
          <w:szCs w:val="22"/>
        </w:rPr>
        <w:t>,</w:t>
      </w:r>
      <w:r w:rsidR="00DF19EB" w:rsidRPr="005F039C">
        <w:rPr>
          <w:bCs/>
          <w:szCs w:val="22"/>
        </w:rPr>
        <w:t xml:space="preserve"> </w:t>
      </w:r>
      <w:r w:rsidR="009F1830" w:rsidRPr="005F039C">
        <w:rPr>
          <w:bCs/>
          <w:szCs w:val="22"/>
        </w:rPr>
        <w:t xml:space="preserve">the sponsor is willing to concede the </w:t>
      </w:r>
      <w:r w:rsidR="00827EDF">
        <w:rPr>
          <w:bCs/>
          <w:noProof/>
          <w:color w:val="000000"/>
          <w:szCs w:val="22"/>
          <w:highlight w:val="black"/>
        </w:rPr>
        <w:t>'''''''''''</w:t>
      </w:r>
      <w:r w:rsidR="009F1830" w:rsidRPr="005F039C">
        <w:rPr>
          <w:bCs/>
          <w:szCs w:val="22"/>
        </w:rPr>
        <w:t xml:space="preserve"> price premium</w:t>
      </w:r>
      <w:r w:rsidR="00F05710" w:rsidRPr="005F039C">
        <w:rPr>
          <w:bCs/>
          <w:szCs w:val="22"/>
        </w:rPr>
        <w:t xml:space="preserve"> and</w:t>
      </w:r>
      <w:r w:rsidR="009F1830" w:rsidRPr="005F039C">
        <w:rPr>
          <w:bCs/>
          <w:szCs w:val="22"/>
        </w:rPr>
        <w:t xml:space="preserve"> accepted a 1:1 dose relativity (price parity) to ranibizumab should ranibizumab become listed on the PBS.</w:t>
      </w:r>
    </w:p>
    <w:p w:rsidR="00EB43FB" w:rsidRPr="005F039C" w:rsidRDefault="00EB43FB" w:rsidP="00EB43FB"/>
    <w:p w:rsidR="00EB43FB" w:rsidRPr="005F039C" w:rsidRDefault="00EB43FB" w:rsidP="00745891">
      <w:pPr>
        <w:widowControl/>
        <w:numPr>
          <w:ilvl w:val="1"/>
          <w:numId w:val="2"/>
        </w:numPr>
      </w:pPr>
      <w:r w:rsidRPr="005F039C">
        <w:t>The PBAC noted that ranibizumab was rec</w:t>
      </w:r>
      <w:r w:rsidR="00CF5D32" w:rsidRPr="005F039C">
        <w:t>ommended for both CRVO and BRVO</w:t>
      </w:r>
      <w:r w:rsidR="003A5729" w:rsidRPr="005F039C">
        <w:t>.</w:t>
      </w:r>
      <w:r w:rsidR="00CF5D32" w:rsidRPr="005F039C">
        <w:t xml:space="preserve"> </w:t>
      </w:r>
      <w:r w:rsidRPr="005F039C">
        <w:t xml:space="preserve">The PBAC </w:t>
      </w:r>
      <w:r w:rsidR="003A5729" w:rsidRPr="005F039C">
        <w:t>recommended that the</w:t>
      </w:r>
      <w:r w:rsidRPr="005F039C">
        <w:t xml:space="preserve"> Department </w:t>
      </w:r>
      <w:r w:rsidR="003A5729" w:rsidRPr="005F039C">
        <w:t xml:space="preserve">should ensure that </w:t>
      </w:r>
      <w:r w:rsidR="00CF5D32" w:rsidRPr="005F039C">
        <w:t xml:space="preserve">the </w:t>
      </w:r>
      <w:r w:rsidR="006F560D">
        <w:t xml:space="preserve">cost-minimisation </w:t>
      </w:r>
      <w:r w:rsidR="009965DE" w:rsidRPr="005F039C">
        <w:t xml:space="preserve">comparison </w:t>
      </w:r>
      <w:r w:rsidR="00CF5D32" w:rsidRPr="005F039C">
        <w:t xml:space="preserve">of aflibercept </w:t>
      </w:r>
      <w:r w:rsidR="003A5729" w:rsidRPr="005F039C">
        <w:t xml:space="preserve">to ranibizumab should only </w:t>
      </w:r>
      <w:r w:rsidR="009965DE" w:rsidRPr="005F039C">
        <w:t xml:space="preserve">be for the </w:t>
      </w:r>
      <w:r w:rsidR="003A5729" w:rsidRPr="005F039C">
        <w:t>CRVO indication.</w:t>
      </w:r>
      <w:r w:rsidR="0007035D" w:rsidRPr="005F039C">
        <w:t xml:space="preserve">  The Pre-PBAC Response also comment</w:t>
      </w:r>
      <w:r w:rsidR="00A56658" w:rsidRPr="005F039C">
        <w:t>ed</w:t>
      </w:r>
      <w:r w:rsidR="0007035D" w:rsidRPr="005F039C">
        <w:t xml:space="preserve"> on this issue and assumed the relative prevalence of CRVO to BRVO is 1:2.8 (Mitchell et al., 1996:BMES), </w:t>
      </w:r>
      <w:r w:rsidR="00065DE0" w:rsidRPr="005F039C">
        <w:t xml:space="preserve">and </w:t>
      </w:r>
      <w:r w:rsidR="0007035D" w:rsidRPr="005F039C">
        <w:t xml:space="preserve">estimated that the ranibizumab RVO price (weighted across both CRVO and BRVO) would be around </w:t>
      </w:r>
      <w:r w:rsidR="00827EDF">
        <w:rPr>
          <w:noProof/>
          <w:color w:val="000000"/>
          <w:highlight w:val="black"/>
        </w:rPr>
        <w:t>''''''''''</w:t>
      </w:r>
      <w:r w:rsidR="0007035D" w:rsidRPr="005F039C">
        <w:t xml:space="preserve"> less than the price for the CRVO component.</w:t>
      </w:r>
    </w:p>
    <w:p w:rsidR="001035B7" w:rsidRPr="005F039C" w:rsidRDefault="001035B7" w:rsidP="001035B7"/>
    <w:p w:rsidR="00047997" w:rsidRPr="005F039C" w:rsidRDefault="00047997" w:rsidP="00745891">
      <w:pPr>
        <w:widowControl/>
        <w:numPr>
          <w:ilvl w:val="1"/>
          <w:numId w:val="2"/>
        </w:numPr>
      </w:pPr>
      <w:r w:rsidRPr="005F039C">
        <w:t xml:space="preserve">The PBAC </w:t>
      </w:r>
      <w:r w:rsidR="008833FC" w:rsidRPr="005F039C">
        <w:t>not</w:t>
      </w:r>
      <w:r w:rsidRPr="005F039C">
        <w:t xml:space="preserve">ed the issues </w:t>
      </w:r>
      <w:r w:rsidR="008833FC" w:rsidRPr="005F039C">
        <w:t>around the safety advantages of aflibercept</w:t>
      </w:r>
      <w:r w:rsidRPr="005F039C">
        <w:t xml:space="preserve"> </w:t>
      </w:r>
      <w:r w:rsidR="008833FC" w:rsidRPr="005F039C">
        <w:t>over</w:t>
      </w:r>
      <w:r w:rsidRPr="005F039C">
        <w:t xml:space="preserve"> bevacizumab.  </w:t>
      </w:r>
      <w:r w:rsidR="00116CD8" w:rsidRPr="005F039C">
        <w:t>The PBAC noted the inclusion of bevacizumab adverse events costs in the model which was based on two trials (IVAN and CATT) comparing bevacizumab and ranibizumab in the treatment of AMD, i.e. the submission concludes that any differences in systemic adverse events evident in bevacizumab compared to ranibizumab, can reasonably be assumed to be associated with bevacizumab and not aflibercept.  The PBAC did not accept this assumption given the lack of direct evidence and presumptive basis for the consideration of IVAN and CATT trials.  Furthermore, the PBAC noted a recent Cochrane review by Moja et al 2014 wh</w:t>
      </w:r>
      <w:r w:rsidR="00A56658" w:rsidRPr="005F039C">
        <w:t>ich</w:t>
      </w:r>
      <w:r w:rsidR="00116CD8" w:rsidRPr="005F039C">
        <w:t xml:space="preserve"> found the systemic safety of bevacizumab for neovascular AMD to be similar to that of ranibizumab, except for gastrointestinal disorders, which was a part of a secondary analysis.</w:t>
      </w:r>
    </w:p>
    <w:p w:rsidR="00C14D94" w:rsidRPr="005F039C" w:rsidRDefault="00C14D94" w:rsidP="00C14D94"/>
    <w:p w:rsidR="00C14D94" w:rsidRPr="005F039C" w:rsidRDefault="008833FC" w:rsidP="00745891">
      <w:pPr>
        <w:widowControl/>
        <w:numPr>
          <w:ilvl w:val="1"/>
          <w:numId w:val="2"/>
        </w:numPr>
      </w:pPr>
      <w:r w:rsidRPr="005F039C">
        <w:t xml:space="preserve">The PBAC considered the issues in the cost-minimisation analysis between aflibercept and bevacizumab.  </w:t>
      </w:r>
      <w:r w:rsidR="00C14D94" w:rsidRPr="005F039C">
        <w:t xml:space="preserve">The PBAC did not accept the re-submission’s request </w:t>
      </w:r>
      <w:r w:rsidR="00C563ED" w:rsidRPr="005F039C">
        <w:t>for</w:t>
      </w:r>
      <w:r w:rsidR="00C14D94" w:rsidRPr="005F039C">
        <w:t xml:space="preserve"> a price premium </w:t>
      </w:r>
      <w:r w:rsidRPr="005F039C">
        <w:t xml:space="preserve">based on costs associated </w:t>
      </w:r>
      <w:r w:rsidR="00CE7CA6" w:rsidRPr="005F039C">
        <w:t xml:space="preserve">in </w:t>
      </w:r>
      <w:r w:rsidRPr="005F039C">
        <w:t>registration, reimbursement, patient support and pharmacovigilance</w:t>
      </w:r>
      <w:r w:rsidR="005900D9" w:rsidRPr="005F039C">
        <w:t>, noting that these were</w:t>
      </w:r>
      <w:r w:rsidRPr="005F039C">
        <w:t xml:space="preserve"> not relevant to the cost-minimisation analysis.</w:t>
      </w:r>
    </w:p>
    <w:p w:rsidR="008833FC" w:rsidRPr="005F039C" w:rsidRDefault="008833FC" w:rsidP="008833FC"/>
    <w:p w:rsidR="002D39E6" w:rsidRPr="005F039C" w:rsidRDefault="00CE7CA6" w:rsidP="00745891">
      <w:pPr>
        <w:widowControl/>
        <w:numPr>
          <w:ilvl w:val="1"/>
          <w:numId w:val="2"/>
        </w:numPr>
      </w:pPr>
      <w:r w:rsidRPr="005F039C">
        <w:t xml:space="preserve">The PBAC </w:t>
      </w:r>
      <w:r w:rsidR="0036571F" w:rsidRPr="005F039C">
        <w:t>noted the</w:t>
      </w:r>
      <w:r w:rsidR="00875A61" w:rsidRPr="005F039C">
        <w:t xml:space="preserve"> issues in</w:t>
      </w:r>
      <w:r w:rsidR="0036571F" w:rsidRPr="005F039C">
        <w:t xml:space="preserve"> </w:t>
      </w:r>
      <w:r w:rsidR="006429F8" w:rsidRPr="005F039C">
        <w:t xml:space="preserve">the </w:t>
      </w:r>
      <w:r w:rsidR="0036571F" w:rsidRPr="005F039C">
        <w:t>revised financial e</w:t>
      </w:r>
      <w:r w:rsidR="00AE29EF" w:rsidRPr="005F039C">
        <w:t>stimates</w:t>
      </w:r>
      <w:r w:rsidR="00975660" w:rsidRPr="005F039C">
        <w:t xml:space="preserve">.  The PBAC considered that the estimated number of injections per patient per year have </w:t>
      </w:r>
      <w:r w:rsidR="00A361CD" w:rsidRPr="005F039C">
        <w:t xml:space="preserve">important consequences for </w:t>
      </w:r>
      <w:r w:rsidR="00975660" w:rsidRPr="005F039C">
        <w:t>estimated costs.  The PBAC acknowledged that the TGA Product Information has been updated to reduce</w:t>
      </w:r>
      <w:r w:rsidR="00BA6D85" w:rsidRPr="005F039C">
        <w:t xml:space="preserve"> the number of</w:t>
      </w:r>
      <w:r w:rsidR="00975660" w:rsidRPr="005F039C">
        <w:t xml:space="preserve"> </w:t>
      </w:r>
      <w:r w:rsidR="00337469" w:rsidRPr="005F039C">
        <w:t xml:space="preserve">monthly </w:t>
      </w:r>
      <w:r w:rsidR="00BA6D85" w:rsidRPr="005F039C">
        <w:t>injections from six to three in the loading dose phase</w:t>
      </w:r>
      <w:r w:rsidR="00A361CD" w:rsidRPr="005F039C">
        <w:t>,</w:t>
      </w:r>
      <w:r w:rsidR="00975660" w:rsidRPr="005F039C">
        <w:t xml:space="preserve"> however re-injections after three months remain a source of uncertainty considering the lack of new sources of evidence.</w:t>
      </w:r>
    </w:p>
    <w:p w:rsidR="008D226B" w:rsidRPr="005F039C" w:rsidRDefault="008D226B" w:rsidP="00A361CD">
      <w:pPr>
        <w:widowControl/>
        <w:contextualSpacing/>
        <w:rPr>
          <w:rFonts w:cs="Times New Roman"/>
          <w:snapToGrid/>
          <w:szCs w:val="22"/>
          <w:lang w:eastAsia="en-AU"/>
        </w:rPr>
      </w:pPr>
    </w:p>
    <w:p w:rsidR="008D226B" w:rsidRPr="005F039C" w:rsidRDefault="008D226B" w:rsidP="00745891">
      <w:pPr>
        <w:widowControl/>
        <w:numPr>
          <w:ilvl w:val="1"/>
          <w:numId w:val="2"/>
        </w:numPr>
      </w:pPr>
      <w:r w:rsidRPr="005F039C">
        <w:t>The PBAC advised that aflibercept is not suitable for prescribing by nurse practitioners.</w:t>
      </w:r>
    </w:p>
    <w:p w:rsidR="008D226B" w:rsidRPr="005F039C" w:rsidRDefault="008D226B" w:rsidP="00A361CD">
      <w:pPr>
        <w:widowControl/>
      </w:pPr>
    </w:p>
    <w:p w:rsidR="008D226B" w:rsidRPr="005F039C" w:rsidRDefault="008D226B" w:rsidP="00745891">
      <w:pPr>
        <w:widowControl/>
        <w:numPr>
          <w:ilvl w:val="1"/>
          <w:numId w:val="2"/>
        </w:numPr>
      </w:pPr>
      <w:r w:rsidRPr="005F039C">
        <w:t>The PBAC recommended that the Safety Net 20 Day Rule should not apply.</w:t>
      </w:r>
    </w:p>
    <w:p w:rsidR="007A44E3" w:rsidRPr="005F039C" w:rsidRDefault="007A44E3" w:rsidP="007A44E3">
      <w:pPr>
        <w:rPr>
          <w:bCs/>
        </w:rPr>
      </w:pPr>
    </w:p>
    <w:p w:rsidR="00561F63" w:rsidRPr="005F039C" w:rsidRDefault="00561F63" w:rsidP="007A44E3">
      <w:pPr>
        <w:rPr>
          <w:bCs/>
        </w:rPr>
      </w:pPr>
    </w:p>
    <w:p w:rsidR="007A44E3" w:rsidRPr="005F039C" w:rsidRDefault="007A44E3" w:rsidP="007A44E3">
      <w:pPr>
        <w:rPr>
          <w:b/>
          <w:bCs/>
        </w:rPr>
      </w:pPr>
      <w:r w:rsidRPr="005F039C">
        <w:rPr>
          <w:b/>
          <w:bCs/>
        </w:rPr>
        <w:t>Outcome:</w:t>
      </w:r>
    </w:p>
    <w:p w:rsidR="007A44E3" w:rsidRPr="005F039C" w:rsidRDefault="007A44E3" w:rsidP="007A44E3">
      <w:pPr>
        <w:rPr>
          <w:bCs/>
        </w:rPr>
      </w:pPr>
      <w:r w:rsidRPr="005F039C">
        <w:rPr>
          <w:bCs/>
        </w:rPr>
        <w:t>Recommended</w:t>
      </w:r>
    </w:p>
    <w:p w:rsidR="00A361CD" w:rsidRDefault="00A361CD" w:rsidP="007A44E3">
      <w:pPr>
        <w:rPr>
          <w:bCs/>
        </w:rPr>
      </w:pPr>
    </w:p>
    <w:p w:rsidR="00B3341B" w:rsidRPr="005F039C" w:rsidRDefault="00B3341B" w:rsidP="007A44E3">
      <w:pPr>
        <w:rPr>
          <w:bCs/>
        </w:rPr>
      </w:pPr>
    </w:p>
    <w:p w:rsidR="007A44E3" w:rsidRPr="005F039C" w:rsidRDefault="007A44E3" w:rsidP="00745891">
      <w:pPr>
        <w:numPr>
          <w:ilvl w:val="0"/>
          <w:numId w:val="2"/>
        </w:numPr>
        <w:rPr>
          <w:b/>
          <w:bCs/>
        </w:rPr>
      </w:pPr>
      <w:r w:rsidRPr="005F039C">
        <w:rPr>
          <w:b/>
          <w:bCs/>
        </w:rPr>
        <w:t>Recommended listing</w:t>
      </w:r>
    </w:p>
    <w:p w:rsidR="00B3341B" w:rsidRDefault="00B3341B" w:rsidP="00B3341B">
      <w:pPr>
        <w:rPr>
          <w:bCs/>
        </w:rPr>
      </w:pPr>
    </w:p>
    <w:p w:rsidR="007A44E3" w:rsidRPr="005F039C" w:rsidRDefault="007A44E3" w:rsidP="00745891">
      <w:pPr>
        <w:numPr>
          <w:ilvl w:val="1"/>
          <w:numId w:val="2"/>
        </w:numPr>
        <w:rPr>
          <w:bCs/>
        </w:rPr>
      </w:pPr>
      <w:r w:rsidRPr="005F039C">
        <w:rPr>
          <w:bCs/>
        </w:rPr>
        <w:t>Amend existing/recommended listing as follows:</w:t>
      </w:r>
    </w:p>
    <w:p w:rsidR="0041462F" w:rsidRPr="005F039C" w:rsidRDefault="0041462F" w:rsidP="00A361CD"/>
    <w:p w:rsidR="007A44E3" w:rsidRPr="005F039C" w:rsidRDefault="0041462F" w:rsidP="0041462F">
      <w:pPr>
        <w:ind w:left="720"/>
        <w:rPr>
          <w:bCs/>
          <w:i/>
        </w:rPr>
      </w:pPr>
      <w:r w:rsidRPr="005F039C">
        <w:t>Suggested wording for the restriction (final restriction to be finalised).</w:t>
      </w:r>
    </w:p>
    <w:p w:rsidR="007A44E3" w:rsidRPr="005F039C" w:rsidRDefault="007A44E3" w:rsidP="007A44E3">
      <w:pPr>
        <w:rPr>
          <w:i/>
        </w:rPr>
      </w:pPr>
    </w:p>
    <w:tbl>
      <w:tblPr>
        <w:tblW w:w="4600" w:type="pct"/>
        <w:tblInd w:w="817" w:type="dxa"/>
        <w:tblLayout w:type="fixed"/>
        <w:tblLook w:val="0000" w:firstRow="0" w:lastRow="0" w:firstColumn="0" w:lastColumn="0" w:noHBand="0" w:noVBand="0"/>
      </w:tblPr>
      <w:tblGrid>
        <w:gridCol w:w="4659"/>
        <w:gridCol w:w="862"/>
        <w:gridCol w:w="689"/>
        <w:gridCol w:w="1381"/>
        <w:gridCol w:w="912"/>
      </w:tblGrid>
      <w:tr w:rsidR="00FC4490" w:rsidRPr="005F039C" w:rsidTr="00FC4490">
        <w:trPr>
          <w:cantSplit/>
          <w:trHeight w:val="471"/>
        </w:trPr>
        <w:tc>
          <w:tcPr>
            <w:tcW w:w="2740" w:type="pct"/>
            <w:tcBorders>
              <w:bottom w:val="single" w:sz="4" w:space="0" w:color="auto"/>
            </w:tcBorders>
          </w:tcPr>
          <w:p w:rsidR="00FC4490" w:rsidRPr="005F039C" w:rsidRDefault="00FC4490" w:rsidP="00584E9E">
            <w:pPr>
              <w:keepNext/>
              <w:widowControl/>
              <w:ind w:left="-108"/>
              <w:rPr>
                <w:rFonts w:ascii="Arial Narrow" w:eastAsia="Calibri" w:hAnsi="Arial Narrow"/>
                <w:snapToGrid/>
                <w:sz w:val="20"/>
              </w:rPr>
            </w:pPr>
            <w:r w:rsidRPr="005F039C">
              <w:rPr>
                <w:rFonts w:ascii="Arial Narrow" w:eastAsia="Calibri" w:hAnsi="Arial Narrow"/>
                <w:snapToGrid/>
                <w:sz w:val="20"/>
              </w:rPr>
              <w:lastRenderedPageBreak/>
              <w:t>Name, Restriction,</w:t>
            </w:r>
          </w:p>
          <w:p w:rsidR="00FC4490" w:rsidRPr="005F039C" w:rsidRDefault="00FC4490" w:rsidP="00584E9E">
            <w:pPr>
              <w:keepNext/>
              <w:widowControl/>
              <w:ind w:left="-108"/>
              <w:rPr>
                <w:rFonts w:ascii="Arial Narrow" w:eastAsia="Calibri" w:hAnsi="Arial Narrow"/>
                <w:snapToGrid/>
                <w:sz w:val="20"/>
              </w:rPr>
            </w:pPr>
            <w:r w:rsidRPr="005F039C">
              <w:rPr>
                <w:rFonts w:ascii="Arial Narrow" w:eastAsia="Calibri" w:hAnsi="Arial Narrow"/>
                <w:snapToGrid/>
                <w:sz w:val="20"/>
              </w:rPr>
              <w:t xml:space="preserve">Manner of administration </w:t>
            </w:r>
          </w:p>
          <w:p w:rsidR="00FC4490" w:rsidRPr="005F039C" w:rsidRDefault="00FC4490" w:rsidP="00584E9E">
            <w:pPr>
              <w:keepNext/>
              <w:widowControl/>
              <w:ind w:left="-108"/>
              <w:rPr>
                <w:rFonts w:ascii="Arial Narrow" w:eastAsia="Calibri" w:hAnsi="Arial Narrow"/>
                <w:snapToGrid/>
                <w:sz w:val="20"/>
              </w:rPr>
            </w:pPr>
            <w:r w:rsidRPr="005F039C">
              <w:rPr>
                <w:rFonts w:ascii="Arial Narrow" w:eastAsia="Calibri" w:hAnsi="Arial Narrow"/>
                <w:snapToGrid/>
                <w:sz w:val="20"/>
              </w:rPr>
              <w:t>and form</w:t>
            </w:r>
          </w:p>
        </w:tc>
        <w:tc>
          <w:tcPr>
            <w:tcW w:w="507" w:type="pct"/>
            <w:tcBorders>
              <w:bottom w:val="single" w:sz="4" w:space="0" w:color="auto"/>
            </w:tcBorders>
          </w:tcPr>
          <w:p w:rsidR="00FC4490" w:rsidRPr="005F039C" w:rsidRDefault="00FC4490" w:rsidP="00584E9E">
            <w:pPr>
              <w:keepNext/>
              <w:widowControl/>
              <w:ind w:left="-108"/>
              <w:rPr>
                <w:rFonts w:ascii="Arial Narrow" w:eastAsia="Calibri" w:hAnsi="Arial Narrow"/>
                <w:snapToGrid/>
                <w:sz w:val="20"/>
              </w:rPr>
            </w:pPr>
            <w:r w:rsidRPr="005F039C">
              <w:rPr>
                <w:rFonts w:ascii="Arial Narrow" w:eastAsia="Calibri" w:hAnsi="Arial Narrow"/>
                <w:snapToGrid/>
                <w:sz w:val="20"/>
              </w:rPr>
              <w:t>Max.</w:t>
            </w:r>
          </w:p>
          <w:p w:rsidR="00FC4490" w:rsidRPr="005F039C" w:rsidRDefault="00FC4490" w:rsidP="00584E9E">
            <w:pPr>
              <w:keepNext/>
              <w:widowControl/>
              <w:ind w:left="-108"/>
              <w:rPr>
                <w:rFonts w:ascii="Arial Narrow" w:eastAsia="Calibri" w:hAnsi="Arial Narrow"/>
                <w:snapToGrid/>
                <w:sz w:val="20"/>
              </w:rPr>
            </w:pPr>
            <w:r w:rsidRPr="005F039C">
              <w:rPr>
                <w:rFonts w:ascii="Arial Narrow" w:eastAsia="Calibri" w:hAnsi="Arial Narrow"/>
                <w:snapToGrid/>
                <w:sz w:val="20"/>
              </w:rPr>
              <w:t>Qty</w:t>
            </w:r>
          </w:p>
        </w:tc>
        <w:tc>
          <w:tcPr>
            <w:tcW w:w="405" w:type="pct"/>
            <w:tcBorders>
              <w:bottom w:val="single" w:sz="4" w:space="0" w:color="auto"/>
            </w:tcBorders>
          </w:tcPr>
          <w:p w:rsidR="00FC4490" w:rsidRPr="005F039C" w:rsidRDefault="00FC4490" w:rsidP="00584E9E">
            <w:pPr>
              <w:keepNext/>
              <w:widowControl/>
              <w:ind w:left="-108"/>
              <w:rPr>
                <w:rFonts w:ascii="Arial Narrow" w:eastAsia="Calibri" w:hAnsi="Arial Narrow"/>
                <w:snapToGrid/>
                <w:sz w:val="20"/>
              </w:rPr>
            </w:pPr>
            <w:r w:rsidRPr="002C0388">
              <w:rPr>
                <w:rFonts w:ascii="Arial Narrow" w:eastAsia="Calibri" w:hAnsi="Arial Narrow"/>
                <w:snapToGrid/>
                <w:sz w:val="20"/>
              </w:rPr>
              <w:t>№</w:t>
            </w:r>
            <w:r w:rsidRPr="005F039C">
              <w:rPr>
                <w:rFonts w:ascii="Arial Narrow" w:eastAsia="Calibri" w:hAnsi="Arial Narrow"/>
                <w:snapToGrid/>
                <w:sz w:val="20"/>
              </w:rPr>
              <w:t>.of</w:t>
            </w:r>
          </w:p>
          <w:p w:rsidR="00FC4490" w:rsidRPr="005F039C" w:rsidRDefault="00FC4490" w:rsidP="00584E9E">
            <w:pPr>
              <w:keepNext/>
              <w:widowControl/>
              <w:ind w:left="-108"/>
              <w:rPr>
                <w:rFonts w:ascii="Arial Narrow" w:eastAsia="Calibri" w:hAnsi="Arial Narrow"/>
                <w:snapToGrid/>
                <w:sz w:val="20"/>
              </w:rPr>
            </w:pPr>
            <w:r w:rsidRPr="005F039C">
              <w:rPr>
                <w:rFonts w:ascii="Arial Narrow" w:eastAsia="Calibri" w:hAnsi="Arial Narrow"/>
                <w:snapToGrid/>
                <w:sz w:val="20"/>
              </w:rPr>
              <w:t>Rpts</w:t>
            </w:r>
          </w:p>
        </w:tc>
        <w:tc>
          <w:tcPr>
            <w:tcW w:w="1348" w:type="pct"/>
            <w:gridSpan w:val="2"/>
            <w:tcBorders>
              <w:bottom w:val="single" w:sz="4" w:space="0" w:color="auto"/>
            </w:tcBorders>
          </w:tcPr>
          <w:p w:rsidR="00FC4490" w:rsidRPr="005F039C" w:rsidRDefault="00FC4490" w:rsidP="00584E9E">
            <w:pPr>
              <w:keepNext/>
              <w:widowControl/>
              <w:rPr>
                <w:rFonts w:ascii="Arial Narrow" w:eastAsia="Calibri" w:hAnsi="Arial Narrow"/>
                <w:snapToGrid/>
                <w:sz w:val="20"/>
              </w:rPr>
            </w:pPr>
            <w:r w:rsidRPr="005F039C">
              <w:rPr>
                <w:rFonts w:ascii="Arial Narrow" w:eastAsia="Calibri" w:hAnsi="Arial Narrow"/>
                <w:snapToGrid/>
                <w:sz w:val="20"/>
              </w:rPr>
              <w:t xml:space="preserve">Proprietary Name </w:t>
            </w:r>
          </w:p>
          <w:p w:rsidR="00FC4490" w:rsidRPr="005F039C" w:rsidRDefault="00FC4490" w:rsidP="00584E9E">
            <w:pPr>
              <w:keepNext/>
              <w:widowControl/>
              <w:rPr>
                <w:rFonts w:ascii="Arial Narrow" w:eastAsia="Calibri" w:hAnsi="Arial Narrow"/>
                <w:snapToGrid/>
                <w:sz w:val="20"/>
              </w:rPr>
            </w:pPr>
            <w:r w:rsidRPr="005F039C">
              <w:rPr>
                <w:rFonts w:ascii="Arial Narrow" w:eastAsia="Calibri" w:hAnsi="Arial Narrow"/>
                <w:snapToGrid/>
                <w:sz w:val="20"/>
              </w:rPr>
              <w:t>and Manufacturer</w:t>
            </w:r>
          </w:p>
        </w:tc>
      </w:tr>
      <w:tr w:rsidR="00FC4490" w:rsidRPr="005F039C" w:rsidTr="00FC4490">
        <w:trPr>
          <w:cantSplit/>
          <w:trHeight w:val="578"/>
        </w:trPr>
        <w:tc>
          <w:tcPr>
            <w:tcW w:w="2740" w:type="pct"/>
          </w:tcPr>
          <w:p w:rsidR="00FC4490" w:rsidRPr="005F039C" w:rsidRDefault="00FC4490" w:rsidP="00584E9E">
            <w:pPr>
              <w:keepNext/>
              <w:widowControl/>
              <w:ind w:left="-108"/>
              <w:rPr>
                <w:rFonts w:ascii="Arial Narrow" w:eastAsia="Calibri" w:hAnsi="Arial Narrow"/>
                <w:snapToGrid/>
                <w:sz w:val="20"/>
              </w:rPr>
            </w:pPr>
            <w:r w:rsidRPr="005F039C">
              <w:rPr>
                <w:rFonts w:ascii="Arial Narrow" w:eastAsia="Calibri" w:hAnsi="Arial Narrow"/>
                <w:smallCaps/>
                <w:snapToGrid/>
                <w:sz w:val="20"/>
              </w:rPr>
              <w:t>AFLIBERCEPT</w:t>
            </w:r>
          </w:p>
          <w:p w:rsidR="00FC4490" w:rsidRPr="005F039C" w:rsidRDefault="00FC4490" w:rsidP="00584E9E">
            <w:pPr>
              <w:keepNext/>
              <w:widowControl/>
              <w:ind w:left="-108"/>
              <w:rPr>
                <w:rFonts w:ascii="Arial Narrow" w:eastAsia="Calibri" w:hAnsi="Arial Narrow"/>
                <w:snapToGrid/>
                <w:sz w:val="20"/>
              </w:rPr>
            </w:pPr>
          </w:p>
          <w:p w:rsidR="00FC4490" w:rsidRPr="005F039C" w:rsidRDefault="00FC4490" w:rsidP="00584E9E">
            <w:pPr>
              <w:keepNext/>
              <w:widowControl/>
              <w:ind w:left="-108"/>
              <w:rPr>
                <w:rFonts w:ascii="Arial Narrow" w:eastAsia="Calibri" w:hAnsi="Arial Narrow"/>
                <w:snapToGrid/>
                <w:sz w:val="20"/>
              </w:rPr>
            </w:pPr>
            <w:r w:rsidRPr="005F039C">
              <w:rPr>
                <w:rFonts w:ascii="Arial Narrow" w:eastAsia="Calibri" w:hAnsi="Arial Narrow"/>
                <w:snapToGrid/>
                <w:sz w:val="20"/>
              </w:rPr>
              <w:t>aflibercept 4mg/</w:t>
            </w:r>
            <w:r w:rsidRPr="005F039C">
              <w:rPr>
                <w:rFonts w:ascii="Arial Narrow" w:eastAsia="Calibri" w:hAnsi="Arial Narrow"/>
                <w:snapToGrid/>
                <w:sz w:val="20"/>
                <w:lang w:eastAsia="zh-CN"/>
              </w:rPr>
              <w:t>0.1</w:t>
            </w:r>
            <w:r w:rsidRPr="005F039C">
              <w:rPr>
                <w:rFonts w:ascii="Arial Narrow" w:eastAsia="Calibri" w:hAnsi="Arial Narrow"/>
                <w:snapToGrid/>
                <w:sz w:val="20"/>
              </w:rPr>
              <w:t>mL injection, 1 x</w:t>
            </w:r>
            <w:r w:rsidRPr="005F039C">
              <w:rPr>
                <w:rFonts w:ascii="Arial Narrow" w:eastAsia="Calibri" w:hAnsi="Arial Narrow"/>
                <w:snapToGrid/>
                <w:sz w:val="20"/>
                <w:lang w:eastAsia="zh-CN"/>
              </w:rPr>
              <w:t xml:space="preserve"> 0.1 ml </w:t>
            </w:r>
            <w:r w:rsidRPr="005F039C">
              <w:rPr>
                <w:rFonts w:ascii="Arial Narrow" w:eastAsia="Calibri" w:hAnsi="Arial Narrow"/>
                <w:snapToGrid/>
                <w:sz w:val="20"/>
              </w:rPr>
              <w:t>vial</w:t>
            </w:r>
          </w:p>
          <w:p w:rsidR="00FC4490" w:rsidRPr="005F039C" w:rsidRDefault="00FC4490" w:rsidP="00584E9E">
            <w:pPr>
              <w:keepNext/>
              <w:widowControl/>
              <w:ind w:left="-108"/>
              <w:rPr>
                <w:rFonts w:ascii="Arial Narrow" w:eastAsia="Calibri" w:hAnsi="Arial Narrow"/>
                <w:snapToGrid/>
                <w:sz w:val="20"/>
                <w:lang w:eastAsia="zh-CN"/>
              </w:rPr>
            </w:pPr>
          </w:p>
          <w:p w:rsidR="00FC4490" w:rsidRPr="005F039C" w:rsidRDefault="00FC4490" w:rsidP="00584E9E">
            <w:pPr>
              <w:keepNext/>
              <w:widowControl/>
              <w:ind w:left="-108"/>
              <w:rPr>
                <w:rFonts w:ascii="Arial Narrow" w:eastAsia="Calibri" w:hAnsi="Arial Narrow"/>
                <w:snapToGrid/>
                <w:sz w:val="20"/>
                <w:lang w:eastAsia="zh-CN"/>
              </w:rPr>
            </w:pPr>
            <w:r w:rsidRPr="005F039C">
              <w:rPr>
                <w:rFonts w:ascii="Arial Narrow" w:eastAsia="Calibri" w:hAnsi="Arial Narrow"/>
                <w:snapToGrid/>
                <w:sz w:val="20"/>
              </w:rPr>
              <w:t>aflibercept 4mg/</w:t>
            </w:r>
            <w:r w:rsidRPr="005F039C">
              <w:rPr>
                <w:rFonts w:ascii="Arial Narrow" w:eastAsia="Calibri" w:hAnsi="Arial Narrow"/>
                <w:snapToGrid/>
                <w:sz w:val="20"/>
                <w:lang w:eastAsia="zh-CN"/>
              </w:rPr>
              <w:t xml:space="preserve">0.1 </w:t>
            </w:r>
            <w:r w:rsidRPr="005F039C">
              <w:rPr>
                <w:rFonts w:ascii="Arial Narrow" w:eastAsia="Calibri" w:hAnsi="Arial Narrow"/>
                <w:snapToGrid/>
                <w:sz w:val="20"/>
              </w:rPr>
              <w:t>mL injection, 1</w:t>
            </w:r>
            <w:r w:rsidRPr="005F039C">
              <w:rPr>
                <w:rFonts w:ascii="Arial Narrow" w:eastAsia="Calibri" w:hAnsi="Arial Narrow"/>
                <w:snapToGrid/>
                <w:sz w:val="20"/>
                <w:lang w:eastAsia="zh-CN"/>
              </w:rPr>
              <w:t xml:space="preserve"> </w:t>
            </w:r>
            <w:r w:rsidRPr="005F039C">
              <w:rPr>
                <w:rFonts w:ascii="Arial Narrow" w:eastAsia="Calibri" w:hAnsi="Arial Narrow"/>
                <w:snapToGrid/>
                <w:sz w:val="20"/>
              </w:rPr>
              <w:t>x</w:t>
            </w:r>
            <w:r w:rsidRPr="005F039C">
              <w:rPr>
                <w:rFonts w:ascii="Arial Narrow" w:eastAsia="Calibri" w:hAnsi="Arial Narrow"/>
                <w:snapToGrid/>
                <w:sz w:val="20"/>
                <w:lang w:eastAsia="zh-CN"/>
              </w:rPr>
              <w:t xml:space="preserve"> 0.09 ml pre-filled syringe</w:t>
            </w:r>
          </w:p>
        </w:tc>
        <w:tc>
          <w:tcPr>
            <w:tcW w:w="507" w:type="pct"/>
          </w:tcPr>
          <w:p w:rsidR="00FC4490" w:rsidRPr="005F039C" w:rsidRDefault="00FC4490" w:rsidP="00584E9E">
            <w:pPr>
              <w:keepNext/>
              <w:widowControl/>
              <w:ind w:left="-108"/>
              <w:rPr>
                <w:rFonts w:ascii="Arial Narrow" w:eastAsia="Calibri" w:hAnsi="Arial Narrow"/>
                <w:snapToGrid/>
                <w:sz w:val="20"/>
              </w:rPr>
            </w:pPr>
          </w:p>
          <w:p w:rsidR="00FC4490" w:rsidRPr="005F039C" w:rsidRDefault="00FC4490" w:rsidP="00584E9E">
            <w:pPr>
              <w:keepNext/>
              <w:widowControl/>
              <w:ind w:left="-108"/>
              <w:rPr>
                <w:rFonts w:ascii="Arial Narrow" w:eastAsia="Calibri" w:hAnsi="Arial Narrow"/>
                <w:snapToGrid/>
                <w:sz w:val="20"/>
              </w:rPr>
            </w:pPr>
          </w:p>
          <w:p w:rsidR="00FC4490" w:rsidRPr="005F039C" w:rsidRDefault="00FC4490" w:rsidP="00584E9E">
            <w:pPr>
              <w:keepNext/>
              <w:widowControl/>
              <w:ind w:left="-108"/>
              <w:rPr>
                <w:rFonts w:ascii="Arial Narrow" w:eastAsia="Calibri" w:hAnsi="Arial Narrow"/>
                <w:snapToGrid/>
                <w:sz w:val="20"/>
                <w:lang w:eastAsia="zh-CN"/>
              </w:rPr>
            </w:pPr>
            <w:r w:rsidRPr="005F039C">
              <w:rPr>
                <w:rFonts w:ascii="Arial Narrow" w:eastAsia="Calibri" w:hAnsi="Arial Narrow"/>
                <w:snapToGrid/>
                <w:sz w:val="20"/>
              </w:rPr>
              <w:t>1</w:t>
            </w:r>
          </w:p>
          <w:p w:rsidR="00FC4490" w:rsidRPr="005F039C" w:rsidRDefault="00FC4490" w:rsidP="00584E9E">
            <w:pPr>
              <w:keepNext/>
              <w:widowControl/>
              <w:ind w:left="-108"/>
              <w:rPr>
                <w:rFonts w:ascii="Arial Narrow" w:eastAsia="Calibri" w:hAnsi="Arial Narrow"/>
                <w:snapToGrid/>
                <w:sz w:val="20"/>
                <w:lang w:eastAsia="zh-CN"/>
              </w:rPr>
            </w:pPr>
          </w:p>
          <w:p w:rsidR="00FC4490" w:rsidRPr="005F039C" w:rsidRDefault="00FC4490" w:rsidP="00584E9E">
            <w:pPr>
              <w:keepNext/>
              <w:widowControl/>
              <w:ind w:left="-108"/>
              <w:rPr>
                <w:rFonts w:ascii="Arial Narrow" w:eastAsia="Calibri" w:hAnsi="Arial Narrow"/>
                <w:snapToGrid/>
                <w:sz w:val="20"/>
                <w:lang w:eastAsia="zh-CN"/>
              </w:rPr>
            </w:pPr>
          </w:p>
          <w:p w:rsidR="00FC4490" w:rsidRPr="005F039C" w:rsidRDefault="00FC4490" w:rsidP="00584E9E">
            <w:pPr>
              <w:keepNext/>
              <w:widowControl/>
              <w:ind w:left="-108"/>
              <w:rPr>
                <w:rFonts w:ascii="Arial Narrow" w:eastAsia="Calibri" w:hAnsi="Arial Narrow"/>
                <w:snapToGrid/>
                <w:sz w:val="20"/>
                <w:lang w:eastAsia="zh-CN"/>
              </w:rPr>
            </w:pPr>
            <w:r w:rsidRPr="005F039C">
              <w:rPr>
                <w:rFonts w:ascii="Arial Narrow" w:eastAsia="Calibri" w:hAnsi="Arial Narrow"/>
                <w:snapToGrid/>
                <w:sz w:val="20"/>
                <w:lang w:eastAsia="zh-CN"/>
              </w:rPr>
              <w:t>1</w:t>
            </w:r>
          </w:p>
        </w:tc>
        <w:tc>
          <w:tcPr>
            <w:tcW w:w="405" w:type="pct"/>
          </w:tcPr>
          <w:p w:rsidR="00FC4490" w:rsidRPr="005F039C" w:rsidRDefault="00FC4490" w:rsidP="00584E9E">
            <w:pPr>
              <w:keepNext/>
              <w:widowControl/>
              <w:ind w:left="-108"/>
              <w:rPr>
                <w:rFonts w:ascii="Arial Narrow" w:eastAsia="Calibri" w:hAnsi="Arial Narrow"/>
                <w:snapToGrid/>
                <w:sz w:val="20"/>
              </w:rPr>
            </w:pPr>
          </w:p>
          <w:p w:rsidR="00FC4490" w:rsidRPr="005F039C" w:rsidRDefault="00FC4490" w:rsidP="00584E9E">
            <w:pPr>
              <w:keepNext/>
              <w:widowControl/>
              <w:ind w:left="-108"/>
              <w:rPr>
                <w:rFonts w:ascii="Arial Narrow" w:eastAsia="Calibri" w:hAnsi="Arial Narrow"/>
                <w:snapToGrid/>
                <w:sz w:val="20"/>
              </w:rPr>
            </w:pPr>
          </w:p>
          <w:p w:rsidR="00FC4490" w:rsidRPr="005F039C" w:rsidRDefault="00FC4490" w:rsidP="00584E9E">
            <w:pPr>
              <w:keepNext/>
              <w:widowControl/>
              <w:ind w:left="-108"/>
              <w:rPr>
                <w:rFonts w:ascii="Arial Narrow" w:eastAsia="Calibri" w:hAnsi="Arial Narrow"/>
                <w:strike/>
                <w:snapToGrid/>
                <w:sz w:val="20"/>
              </w:rPr>
            </w:pPr>
            <w:r w:rsidRPr="005F039C">
              <w:rPr>
                <w:rFonts w:ascii="Arial Narrow" w:eastAsia="Calibri" w:hAnsi="Arial Narrow"/>
                <w:strike/>
                <w:snapToGrid/>
                <w:sz w:val="20"/>
              </w:rPr>
              <w:t>5</w:t>
            </w:r>
          </w:p>
          <w:p w:rsidR="00FC4490" w:rsidRPr="005F039C" w:rsidRDefault="00FC4490" w:rsidP="00584E9E">
            <w:pPr>
              <w:keepNext/>
              <w:widowControl/>
              <w:ind w:left="-108"/>
              <w:rPr>
                <w:rFonts w:ascii="Arial Narrow" w:eastAsia="Calibri" w:hAnsi="Arial Narrow"/>
                <w:i/>
                <w:snapToGrid/>
                <w:sz w:val="20"/>
                <w:lang w:eastAsia="zh-CN"/>
              </w:rPr>
            </w:pPr>
            <w:r w:rsidRPr="005F039C">
              <w:rPr>
                <w:rFonts w:ascii="Arial Narrow" w:eastAsia="Calibri" w:hAnsi="Arial Narrow"/>
                <w:i/>
                <w:snapToGrid/>
                <w:sz w:val="20"/>
              </w:rPr>
              <w:t>2</w:t>
            </w:r>
          </w:p>
          <w:p w:rsidR="00FC4490" w:rsidRPr="005F039C" w:rsidRDefault="00FC4490" w:rsidP="00584E9E">
            <w:pPr>
              <w:keepNext/>
              <w:widowControl/>
              <w:rPr>
                <w:rFonts w:ascii="Arial Narrow" w:eastAsia="Calibri" w:hAnsi="Arial Narrow"/>
                <w:snapToGrid/>
                <w:sz w:val="20"/>
                <w:lang w:eastAsia="zh-CN"/>
              </w:rPr>
            </w:pPr>
          </w:p>
          <w:p w:rsidR="00FC4490" w:rsidRPr="005F039C" w:rsidRDefault="00FC4490" w:rsidP="00584E9E">
            <w:pPr>
              <w:keepNext/>
              <w:widowControl/>
              <w:ind w:left="-108"/>
              <w:rPr>
                <w:rFonts w:ascii="Arial Narrow" w:eastAsia="Calibri" w:hAnsi="Arial Narrow"/>
                <w:strike/>
                <w:snapToGrid/>
                <w:sz w:val="20"/>
                <w:lang w:eastAsia="zh-CN"/>
              </w:rPr>
            </w:pPr>
            <w:r w:rsidRPr="005F039C">
              <w:rPr>
                <w:rFonts w:ascii="Arial Narrow" w:eastAsia="Calibri" w:hAnsi="Arial Narrow"/>
                <w:strike/>
                <w:snapToGrid/>
                <w:sz w:val="20"/>
                <w:lang w:eastAsia="zh-CN"/>
              </w:rPr>
              <w:t>5</w:t>
            </w:r>
          </w:p>
          <w:p w:rsidR="00FC4490" w:rsidRPr="005F039C" w:rsidRDefault="00FC4490" w:rsidP="00584E9E">
            <w:pPr>
              <w:keepNext/>
              <w:widowControl/>
              <w:ind w:left="-108"/>
              <w:rPr>
                <w:rFonts w:ascii="Arial Narrow" w:eastAsia="Calibri" w:hAnsi="Arial Narrow"/>
                <w:i/>
                <w:snapToGrid/>
                <w:sz w:val="20"/>
                <w:lang w:eastAsia="zh-CN"/>
              </w:rPr>
            </w:pPr>
            <w:r w:rsidRPr="005F039C">
              <w:rPr>
                <w:rFonts w:ascii="Arial Narrow" w:eastAsia="Calibri" w:hAnsi="Arial Narrow"/>
                <w:i/>
                <w:snapToGrid/>
                <w:sz w:val="20"/>
                <w:lang w:eastAsia="zh-CN"/>
              </w:rPr>
              <w:t>2</w:t>
            </w:r>
          </w:p>
        </w:tc>
        <w:tc>
          <w:tcPr>
            <w:tcW w:w="812" w:type="pct"/>
          </w:tcPr>
          <w:p w:rsidR="00FC4490" w:rsidRPr="005F039C" w:rsidRDefault="00FC4490" w:rsidP="00584E9E">
            <w:pPr>
              <w:keepNext/>
              <w:widowControl/>
              <w:rPr>
                <w:rFonts w:ascii="Arial Narrow" w:eastAsia="Calibri" w:hAnsi="Arial Narrow"/>
                <w:snapToGrid/>
                <w:sz w:val="20"/>
              </w:rPr>
            </w:pPr>
          </w:p>
          <w:p w:rsidR="00FC4490" w:rsidRPr="005F039C" w:rsidRDefault="00FC4490" w:rsidP="00584E9E">
            <w:pPr>
              <w:keepNext/>
              <w:widowControl/>
              <w:rPr>
                <w:rFonts w:ascii="Arial Narrow" w:eastAsia="Calibri" w:hAnsi="Arial Narrow"/>
                <w:snapToGrid/>
                <w:sz w:val="20"/>
              </w:rPr>
            </w:pPr>
          </w:p>
          <w:p w:rsidR="00FC4490" w:rsidRPr="005F039C" w:rsidRDefault="00FC4490" w:rsidP="00584E9E">
            <w:pPr>
              <w:keepNext/>
              <w:widowControl/>
              <w:rPr>
                <w:rFonts w:ascii="Arial Narrow" w:eastAsia="Calibri" w:hAnsi="Arial Narrow"/>
                <w:snapToGrid/>
                <w:sz w:val="20"/>
                <w:lang w:eastAsia="zh-CN"/>
              </w:rPr>
            </w:pPr>
            <w:r w:rsidRPr="005F039C">
              <w:rPr>
                <w:rFonts w:ascii="Arial Narrow" w:eastAsia="Calibri" w:hAnsi="Arial Narrow"/>
                <w:snapToGrid/>
                <w:sz w:val="20"/>
              </w:rPr>
              <w:t>Eylea</w:t>
            </w:r>
          </w:p>
          <w:p w:rsidR="00FC4490" w:rsidRPr="005F039C" w:rsidRDefault="00FC4490" w:rsidP="00584E9E">
            <w:pPr>
              <w:keepNext/>
              <w:widowControl/>
              <w:rPr>
                <w:rFonts w:ascii="Arial Narrow" w:eastAsia="Calibri" w:hAnsi="Arial Narrow"/>
                <w:snapToGrid/>
                <w:sz w:val="20"/>
                <w:lang w:eastAsia="zh-CN"/>
              </w:rPr>
            </w:pPr>
          </w:p>
          <w:p w:rsidR="00FC4490" w:rsidRPr="005F039C" w:rsidRDefault="00FC4490" w:rsidP="00584E9E">
            <w:pPr>
              <w:keepNext/>
              <w:widowControl/>
              <w:rPr>
                <w:rFonts w:ascii="Arial Narrow" w:eastAsia="Calibri" w:hAnsi="Arial Narrow"/>
                <w:snapToGrid/>
                <w:sz w:val="20"/>
                <w:lang w:eastAsia="zh-CN"/>
              </w:rPr>
            </w:pPr>
          </w:p>
          <w:p w:rsidR="00FC4490" w:rsidRPr="005F039C" w:rsidRDefault="00FC4490" w:rsidP="00584E9E">
            <w:pPr>
              <w:keepNext/>
              <w:widowControl/>
              <w:rPr>
                <w:rFonts w:ascii="Arial Narrow" w:eastAsia="Calibri" w:hAnsi="Arial Narrow"/>
                <w:snapToGrid/>
                <w:sz w:val="20"/>
                <w:lang w:eastAsia="zh-CN"/>
              </w:rPr>
            </w:pPr>
            <w:r w:rsidRPr="005F039C">
              <w:rPr>
                <w:rFonts w:ascii="Arial Narrow" w:eastAsia="Calibri" w:hAnsi="Arial Narrow"/>
                <w:snapToGrid/>
                <w:sz w:val="20"/>
              </w:rPr>
              <w:t>Eylea</w:t>
            </w:r>
          </w:p>
          <w:p w:rsidR="00FC4490" w:rsidRPr="005F039C" w:rsidRDefault="00FC4490" w:rsidP="00584E9E">
            <w:pPr>
              <w:keepNext/>
              <w:widowControl/>
              <w:rPr>
                <w:rFonts w:ascii="Arial Narrow" w:eastAsia="Calibri" w:hAnsi="Arial Narrow"/>
                <w:snapToGrid/>
                <w:sz w:val="20"/>
                <w:lang w:eastAsia="zh-CN"/>
              </w:rPr>
            </w:pPr>
          </w:p>
        </w:tc>
        <w:tc>
          <w:tcPr>
            <w:tcW w:w="536" w:type="pct"/>
          </w:tcPr>
          <w:p w:rsidR="00FC4490" w:rsidRPr="005F039C" w:rsidRDefault="00FC4490" w:rsidP="00584E9E">
            <w:pPr>
              <w:keepNext/>
              <w:widowControl/>
              <w:rPr>
                <w:rFonts w:ascii="Arial Narrow" w:eastAsia="Calibri" w:hAnsi="Arial Narrow"/>
                <w:snapToGrid/>
                <w:sz w:val="20"/>
              </w:rPr>
            </w:pPr>
          </w:p>
          <w:p w:rsidR="00FC4490" w:rsidRPr="005F039C" w:rsidRDefault="00FC4490" w:rsidP="00584E9E">
            <w:pPr>
              <w:keepNext/>
              <w:widowControl/>
              <w:rPr>
                <w:rFonts w:ascii="Arial Narrow" w:eastAsia="Calibri" w:hAnsi="Arial Narrow"/>
                <w:snapToGrid/>
                <w:sz w:val="20"/>
              </w:rPr>
            </w:pPr>
          </w:p>
          <w:p w:rsidR="00FC4490" w:rsidRPr="005F039C" w:rsidRDefault="00FC4490" w:rsidP="00584E9E">
            <w:pPr>
              <w:keepNext/>
              <w:widowControl/>
              <w:rPr>
                <w:rFonts w:ascii="Arial Narrow" w:eastAsia="Calibri" w:hAnsi="Arial Narrow"/>
                <w:snapToGrid/>
                <w:sz w:val="20"/>
              </w:rPr>
            </w:pPr>
            <w:r w:rsidRPr="005F039C">
              <w:rPr>
                <w:rFonts w:ascii="Arial Narrow" w:eastAsia="Calibri" w:hAnsi="Arial Narrow"/>
                <w:snapToGrid/>
                <w:sz w:val="20"/>
              </w:rPr>
              <w:t>BN</w:t>
            </w:r>
          </w:p>
          <w:p w:rsidR="00FC4490" w:rsidRPr="005F039C" w:rsidRDefault="00FC4490" w:rsidP="00584E9E">
            <w:pPr>
              <w:keepNext/>
              <w:widowControl/>
              <w:rPr>
                <w:rFonts w:ascii="Arial Narrow" w:eastAsia="Calibri" w:hAnsi="Arial Narrow"/>
                <w:snapToGrid/>
                <w:sz w:val="20"/>
                <w:lang w:eastAsia="zh-CN"/>
              </w:rPr>
            </w:pPr>
          </w:p>
          <w:p w:rsidR="00FC4490" w:rsidRPr="005F039C" w:rsidRDefault="00FC4490" w:rsidP="00584E9E">
            <w:pPr>
              <w:keepNext/>
              <w:widowControl/>
              <w:rPr>
                <w:rFonts w:ascii="Arial Narrow" w:eastAsia="Calibri" w:hAnsi="Arial Narrow"/>
                <w:snapToGrid/>
                <w:sz w:val="20"/>
                <w:lang w:eastAsia="zh-CN"/>
              </w:rPr>
            </w:pPr>
          </w:p>
          <w:p w:rsidR="00FC4490" w:rsidRPr="005F039C" w:rsidRDefault="00FC4490" w:rsidP="00584E9E">
            <w:pPr>
              <w:keepNext/>
              <w:widowControl/>
              <w:rPr>
                <w:rFonts w:ascii="Arial Narrow" w:eastAsia="Calibri" w:hAnsi="Arial Narrow"/>
                <w:snapToGrid/>
                <w:sz w:val="20"/>
              </w:rPr>
            </w:pPr>
            <w:r w:rsidRPr="005F039C">
              <w:rPr>
                <w:rFonts w:ascii="Arial Narrow" w:eastAsia="Calibri" w:hAnsi="Arial Narrow"/>
                <w:snapToGrid/>
                <w:sz w:val="20"/>
              </w:rPr>
              <w:t>BN</w:t>
            </w:r>
          </w:p>
        </w:tc>
      </w:tr>
    </w:tbl>
    <w:p w:rsidR="00561F63" w:rsidRPr="005F039C" w:rsidRDefault="00561F63" w:rsidP="00561F63">
      <w:pPr>
        <w:widowControl/>
        <w:rPr>
          <w:rFonts w:ascii="Arial Narrow" w:eastAsia="Calibri" w:hAnsi="Arial Narrow"/>
          <w:i/>
          <w:snapToGrid/>
          <w:sz w:val="20"/>
        </w:rPr>
      </w:pPr>
    </w:p>
    <w:tbl>
      <w:tblPr>
        <w:tblW w:w="8505" w:type="dxa"/>
        <w:tblInd w:w="817" w:type="dxa"/>
        <w:tblLayout w:type="fixed"/>
        <w:tblLook w:val="0000" w:firstRow="0" w:lastRow="0" w:firstColumn="0" w:lastColumn="0" w:noHBand="0" w:noVBand="0"/>
      </w:tblPr>
      <w:tblGrid>
        <w:gridCol w:w="2693"/>
        <w:gridCol w:w="5812"/>
      </w:tblGrid>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 xml:space="preserve">Category / </w:t>
            </w:r>
          </w:p>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Program</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GENERAL – General Schedule (Code GE)</w:t>
            </w:r>
          </w:p>
          <w:p w:rsidR="00561F63" w:rsidRPr="005F039C" w:rsidRDefault="00561F63" w:rsidP="00584E9E">
            <w:pPr>
              <w:widowControl/>
              <w:rPr>
                <w:rFonts w:ascii="Arial Narrow" w:eastAsia="Calibri" w:hAnsi="Arial Narrow"/>
                <w:i/>
                <w:snapToGrid/>
                <w:sz w:val="20"/>
              </w:rPr>
            </w:pP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Prescriber type:</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1"/>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 xml:space="preserve">Dental  </w:t>
            </w:r>
            <w:r w:rsidRPr="005F039C">
              <w:rPr>
                <w:rFonts w:ascii="Arial Narrow" w:eastAsia="Calibri" w:hAnsi="Arial Narrow"/>
                <w:i/>
                <w:snapToGrid/>
                <w:sz w:val="20"/>
              </w:rPr>
              <w:fldChar w:fldCharType="begin">
                <w:ffData>
                  <w:name w:val=""/>
                  <w:enabled/>
                  <w:calcOnExit w:val="0"/>
                  <w:checkBox>
                    <w:sizeAuto/>
                    <w:default w:val="1"/>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 xml:space="preserve">Medical Practitioners  </w:t>
            </w:r>
            <w:r w:rsidRPr="005F039C">
              <w:rPr>
                <w:rFonts w:ascii="Arial Narrow" w:eastAsia="Calibri" w:hAnsi="Arial Narrow"/>
                <w:i/>
                <w:snapToGrid/>
                <w:sz w:val="20"/>
              </w:rPr>
              <w:fldChar w:fldCharType="begin">
                <w:ffData>
                  <w:name w:val="Check3"/>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 xml:space="preserve">Nurse practitioners  </w:t>
            </w:r>
            <w:r w:rsidRPr="005F039C">
              <w:rPr>
                <w:rFonts w:ascii="Arial Narrow" w:eastAsia="Calibri" w:hAnsi="Arial Narrow"/>
                <w:i/>
                <w:snapToGrid/>
                <w:sz w:val="20"/>
              </w:rPr>
              <w:fldChar w:fldCharType="begin">
                <w:ffData>
                  <w:name w:val=""/>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Optometrists</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5"/>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Midwives</w:t>
            </w: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Episodicity:</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Severity:</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Condition:</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Macular oedema secondary to central retinal vein occlusion</w:t>
            </w: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PBS Indication:</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 xml:space="preserve">Macular oedema secondary to central retinal vein occlusion </w:t>
            </w: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Treatment phase:</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Initial treatment</w:t>
            </w: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Restriction Level / Method:</w:t>
            </w:r>
          </w:p>
          <w:p w:rsidR="00561F63" w:rsidRPr="005F039C" w:rsidRDefault="00561F63" w:rsidP="00584E9E">
            <w:pPr>
              <w:widowControl/>
              <w:rPr>
                <w:rFonts w:ascii="Arial Narrow" w:eastAsia="Calibri" w:hAnsi="Arial Narrow"/>
                <w:i/>
                <w:snapToGrid/>
                <w:sz w:val="20"/>
              </w:rPr>
            </w:pP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1"/>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Restricted benefit</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
                  <w:enabled/>
                  <w:calcOnExit w:val="0"/>
                  <w:checkBox>
                    <w:sizeAuto/>
                    <w:default w:val="1"/>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Authority Required - In Writing</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3"/>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Authority Required - Telephone</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Authority Required – Emergency</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5"/>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Authority Required - Electronic</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5"/>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Streamlined</w:t>
            </w:r>
          </w:p>
        </w:tc>
      </w:tr>
      <w:tr w:rsidR="00561F63" w:rsidRPr="005F039C" w:rsidTr="00584E9E">
        <w:tblPrEx>
          <w:tblLook w:val="04A0" w:firstRow="1" w:lastRow="0" w:firstColumn="1" w:lastColumn="0" w:noHBand="0" w:noVBand="1"/>
        </w:tblPrEx>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Treatment criteria:</w:t>
            </w:r>
          </w:p>
          <w:p w:rsidR="00561F63" w:rsidRPr="005F039C" w:rsidRDefault="00561F63" w:rsidP="00584E9E">
            <w:pPr>
              <w:widowControl/>
              <w:rPr>
                <w:rFonts w:ascii="Arial Narrow" w:eastAsia="Calibri" w:hAnsi="Arial Narrow"/>
                <w:i/>
                <w:snapToGrid/>
                <w:sz w:val="20"/>
              </w:rPr>
            </w:pP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Must be treated by an ophthalmologist</w:t>
            </w:r>
          </w:p>
          <w:p w:rsidR="00561F63" w:rsidRPr="005F039C" w:rsidRDefault="00561F63" w:rsidP="00584E9E">
            <w:pPr>
              <w:widowControl/>
              <w:rPr>
                <w:rFonts w:ascii="Arial Narrow" w:eastAsia="Calibri" w:hAnsi="Arial Narrow"/>
                <w:i/>
                <w:snapToGrid/>
                <w:sz w:val="20"/>
              </w:rPr>
            </w:pPr>
          </w:p>
        </w:tc>
      </w:tr>
      <w:tr w:rsidR="00561F63" w:rsidRPr="005F039C" w:rsidTr="00584E9E">
        <w:tblPrEx>
          <w:tblLook w:val="04A0" w:firstRow="1" w:lastRow="0" w:firstColumn="1" w:lastColumn="0" w:noHBand="0" w:noVBand="1"/>
        </w:tblPrEx>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Clinical criteria:</w:t>
            </w:r>
          </w:p>
          <w:p w:rsidR="00561F63" w:rsidRPr="005F039C" w:rsidRDefault="00561F63" w:rsidP="00584E9E">
            <w:pPr>
              <w:widowControl/>
              <w:rPr>
                <w:rFonts w:ascii="Arial Narrow" w:eastAsia="Calibri" w:hAnsi="Arial Narrow"/>
                <w:i/>
                <w:snapToGrid/>
                <w:sz w:val="20"/>
              </w:rPr>
            </w:pP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Patient must have visual impairment due to macular oedema secondary to central retinal vein occlusion (CRVO)</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AND</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The condition must be diagnosed by [appropriate diagnostic method – to be finalised]</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AND</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Patient must have documented impairment of best corrected visual acuity (BCVA) on the early treatment diabetic retinopathy study (EDTRS) chart</w:t>
            </w:r>
          </w:p>
        </w:tc>
      </w:tr>
      <w:tr w:rsidR="00561F63" w:rsidRPr="005F039C" w:rsidTr="00584E9E">
        <w:tblPrEx>
          <w:tblLook w:val="04A0" w:firstRow="1" w:lastRow="0" w:firstColumn="1" w:lastColumn="0" w:noHBand="0" w:noVBand="1"/>
        </w:tblPrEx>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Definitions</w:t>
            </w:r>
          </w:p>
          <w:p w:rsidR="00561F63" w:rsidRPr="005F039C" w:rsidRDefault="00561F63" w:rsidP="00584E9E">
            <w:pPr>
              <w:widowControl/>
              <w:rPr>
                <w:rFonts w:ascii="Arial Narrow" w:eastAsia="Calibri" w:hAnsi="Arial Narrow"/>
                <w:b/>
                <w:i/>
                <w:snapToGrid/>
                <w:sz w:val="20"/>
              </w:rPr>
            </w:pPr>
          </w:p>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i/>
                <w:snapToGrid/>
                <w:sz w:val="20"/>
              </w:rPr>
              <w:t>(to be finalised at a later stage)</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[Visual impairment is defined as best corrected visual acuity using EDTRS charts] - to be finalised.</w:t>
            </w:r>
          </w:p>
        </w:tc>
      </w:tr>
      <w:tr w:rsidR="00561F63" w:rsidRPr="005F039C" w:rsidTr="00584E9E">
        <w:tblPrEx>
          <w:tblLook w:val="04A0" w:firstRow="1" w:lastRow="0" w:firstColumn="1" w:lastColumn="0" w:noHBand="0" w:noVBand="1"/>
        </w:tblPrEx>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lastRenderedPageBreak/>
              <w:t>Prescriber Instructions</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(to be finalised at a later stage)</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Authority approval for initial treatment of each eye must be sought.</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 xml:space="preserve">The first authority application for each eye must be made in writing or by telephone. </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A written application must include:</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a) a completed authority prescription form;</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b) a completed [insert name of form] - PBS Supporting Information Form; and</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c) a copy of the fluorescein angiogram or alternative method of diagnosis where applicable.</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A telephone application must be made following submission by facsimile of a copy of a completed [insert name of form] - PBS Supporting Information Form and a copy of the [appropriate diagnostic report]. The original documentation must be submitted to the Chief Executive Medicare by post after the application has been authorised.</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Where a fluorescein angiogram cannot be performed due to a contraindication as listed in the TGA-approved product information, details of the contraindication must be provided.  A copy of the report of an alternative method of diagnosis must be included in the application, for example optical coherence tomography (OCT) or red free photography.</w:t>
            </w:r>
          </w:p>
        </w:tc>
      </w:tr>
      <w:tr w:rsidR="00561F63" w:rsidRPr="005F039C" w:rsidTr="00584E9E">
        <w:tblPrEx>
          <w:tblLook w:val="04A0" w:firstRow="1" w:lastRow="0" w:firstColumn="1" w:lastColumn="0" w:noHBand="0" w:noVBand="1"/>
        </w:tblPrEx>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Administrative Advice</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(to be finalised at a later stage)</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Authority approvals will be administered by the Complex Drugs Unit of the Department of Human Services</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 xml:space="preserve">Any queries concerning the arrangements to prescribe may be directed to the Department of Human Services on 1800 700 270 (hours of operation 8 a.m. to 5 p.m. EST Monday to Friday). </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Prescribing information (including Authority Application forms and other relevant documentation as applicable) is available on the Department of Human Services website at www.humanservices.gov.au</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Applications for authority to prescribe should be forwarded to:</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Department of Human Services</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Prior Written Approval of Complex Drugs</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Reply Paid 9826</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GPO Box 9826</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HOBART  TAS  7001</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u w:val="single"/>
              </w:rPr>
            </w:pPr>
            <w:r w:rsidRPr="005F039C">
              <w:rPr>
                <w:rFonts w:ascii="Arial Narrow" w:eastAsia="Calibri" w:hAnsi="Arial Narrow"/>
                <w:i/>
                <w:snapToGrid/>
                <w:sz w:val="20"/>
                <w:u w:val="single"/>
              </w:rPr>
              <w:t>Note</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No increase in the maximum quantity or number of units may be authorised</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u w:val="single"/>
              </w:rPr>
            </w:pPr>
            <w:r w:rsidRPr="005F039C">
              <w:rPr>
                <w:rFonts w:ascii="Arial Narrow" w:eastAsia="Calibri" w:hAnsi="Arial Narrow"/>
                <w:i/>
                <w:snapToGrid/>
                <w:sz w:val="20"/>
                <w:u w:val="single"/>
              </w:rPr>
              <w:t>Note</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No increase in the maximum number of repeats may be authorised</w:t>
            </w:r>
          </w:p>
          <w:p w:rsidR="00561F63" w:rsidRPr="005F039C" w:rsidRDefault="00561F63" w:rsidP="00584E9E">
            <w:pPr>
              <w:widowControl/>
              <w:rPr>
                <w:rFonts w:ascii="Arial Narrow" w:eastAsia="Calibri" w:hAnsi="Arial Narrow"/>
                <w:i/>
                <w:snapToGrid/>
                <w:sz w:val="20"/>
                <w:u w:val="single"/>
              </w:rPr>
            </w:pPr>
          </w:p>
          <w:p w:rsidR="00561F63" w:rsidRPr="005F039C" w:rsidRDefault="00561F63" w:rsidP="00584E9E">
            <w:pPr>
              <w:widowControl/>
              <w:rPr>
                <w:rFonts w:ascii="Arial Narrow" w:eastAsia="Calibri" w:hAnsi="Arial Narrow"/>
                <w:i/>
                <w:snapToGrid/>
                <w:sz w:val="20"/>
                <w:u w:val="single"/>
              </w:rPr>
            </w:pPr>
            <w:r w:rsidRPr="005F039C">
              <w:rPr>
                <w:rFonts w:ascii="Arial Narrow" w:eastAsia="Calibri" w:hAnsi="Arial Narrow"/>
                <w:i/>
                <w:snapToGrid/>
                <w:sz w:val="20"/>
                <w:u w:val="single"/>
              </w:rPr>
              <w:t>Note</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Special Pricing Arrangements apply.</w:t>
            </w:r>
          </w:p>
        </w:tc>
      </w:tr>
    </w:tbl>
    <w:p w:rsidR="00706954" w:rsidRPr="005F039C" w:rsidRDefault="00706954" w:rsidP="00561F63">
      <w:pPr>
        <w:widowControl/>
        <w:rPr>
          <w:rFonts w:ascii="Arial Narrow" w:eastAsia="Calibri" w:hAnsi="Arial Narrow"/>
          <w:i/>
          <w:snapToGrid/>
          <w:sz w:val="20"/>
        </w:rPr>
      </w:pPr>
    </w:p>
    <w:tbl>
      <w:tblPr>
        <w:tblW w:w="4600" w:type="pct"/>
        <w:tblInd w:w="817" w:type="dxa"/>
        <w:tblLayout w:type="fixed"/>
        <w:tblLook w:val="0000" w:firstRow="0" w:lastRow="0" w:firstColumn="0" w:lastColumn="0" w:noHBand="0" w:noVBand="0"/>
      </w:tblPr>
      <w:tblGrid>
        <w:gridCol w:w="4659"/>
        <w:gridCol w:w="862"/>
        <w:gridCol w:w="689"/>
        <w:gridCol w:w="1381"/>
        <w:gridCol w:w="912"/>
      </w:tblGrid>
      <w:tr w:rsidR="00FC4490" w:rsidRPr="005F039C" w:rsidTr="00FC4490">
        <w:trPr>
          <w:cantSplit/>
          <w:trHeight w:val="425"/>
        </w:trPr>
        <w:tc>
          <w:tcPr>
            <w:tcW w:w="2740" w:type="pct"/>
            <w:tcBorders>
              <w:bottom w:val="single" w:sz="4" w:space="0" w:color="auto"/>
            </w:tcBorders>
          </w:tcPr>
          <w:p w:rsidR="00FC4490" w:rsidRPr="005F039C" w:rsidRDefault="00FC4490" w:rsidP="00462D48">
            <w:pPr>
              <w:keepNext/>
              <w:widowControl/>
              <w:ind w:left="-108"/>
              <w:rPr>
                <w:rFonts w:ascii="Arial Narrow" w:eastAsia="Calibri" w:hAnsi="Arial Narrow"/>
                <w:snapToGrid/>
                <w:sz w:val="20"/>
              </w:rPr>
            </w:pPr>
            <w:r w:rsidRPr="005F039C">
              <w:rPr>
                <w:rFonts w:ascii="Arial Narrow" w:eastAsia="Calibri" w:hAnsi="Arial Narrow"/>
                <w:snapToGrid/>
                <w:sz w:val="20"/>
              </w:rPr>
              <w:lastRenderedPageBreak/>
              <w:t>Name, Restriction,</w:t>
            </w:r>
          </w:p>
          <w:p w:rsidR="00FC4490" w:rsidRPr="005F039C" w:rsidRDefault="00FC4490" w:rsidP="00462D48">
            <w:pPr>
              <w:keepNext/>
              <w:widowControl/>
              <w:ind w:left="-108"/>
              <w:rPr>
                <w:rFonts w:ascii="Arial Narrow" w:eastAsia="Calibri" w:hAnsi="Arial Narrow"/>
                <w:snapToGrid/>
                <w:sz w:val="20"/>
              </w:rPr>
            </w:pPr>
            <w:r w:rsidRPr="005F039C">
              <w:rPr>
                <w:rFonts w:ascii="Arial Narrow" w:eastAsia="Calibri" w:hAnsi="Arial Narrow"/>
                <w:snapToGrid/>
                <w:sz w:val="20"/>
              </w:rPr>
              <w:t xml:space="preserve">Manner of administration </w:t>
            </w:r>
          </w:p>
          <w:p w:rsidR="00FC4490" w:rsidRPr="005F039C" w:rsidRDefault="00FC4490" w:rsidP="00462D48">
            <w:pPr>
              <w:keepNext/>
              <w:widowControl/>
              <w:ind w:left="-108"/>
              <w:rPr>
                <w:rFonts w:ascii="Arial Narrow" w:eastAsia="Calibri" w:hAnsi="Arial Narrow"/>
                <w:snapToGrid/>
                <w:sz w:val="20"/>
              </w:rPr>
            </w:pPr>
            <w:r w:rsidRPr="005F039C">
              <w:rPr>
                <w:rFonts w:ascii="Arial Narrow" w:eastAsia="Calibri" w:hAnsi="Arial Narrow"/>
                <w:snapToGrid/>
                <w:sz w:val="20"/>
              </w:rPr>
              <w:t>and form</w:t>
            </w:r>
          </w:p>
        </w:tc>
        <w:tc>
          <w:tcPr>
            <w:tcW w:w="507" w:type="pct"/>
            <w:tcBorders>
              <w:bottom w:val="single" w:sz="4" w:space="0" w:color="auto"/>
            </w:tcBorders>
          </w:tcPr>
          <w:p w:rsidR="00FC4490" w:rsidRPr="005F039C" w:rsidRDefault="00FC4490" w:rsidP="00462D48">
            <w:pPr>
              <w:keepNext/>
              <w:widowControl/>
              <w:ind w:left="-108"/>
              <w:rPr>
                <w:rFonts w:ascii="Arial Narrow" w:eastAsia="Calibri" w:hAnsi="Arial Narrow"/>
                <w:snapToGrid/>
                <w:sz w:val="20"/>
              </w:rPr>
            </w:pPr>
            <w:r w:rsidRPr="005F039C">
              <w:rPr>
                <w:rFonts w:ascii="Arial Narrow" w:eastAsia="Calibri" w:hAnsi="Arial Narrow"/>
                <w:snapToGrid/>
                <w:sz w:val="20"/>
              </w:rPr>
              <w:t>Max.</w:t>
            </w:r>
          </w:p>
          <w:p w:rsidR="00FC4490" w:rsidRPr="005F039C" w:rsidRDefault="00FC4490" w:rsidP="00462D48">
            <w:pPr>
              <w:keepNext/>
              <w:widowControl/>
              <w:ind w:left="-108"/>
              <w:rPr>
                <w:rFonts w:ascii="Arial Narrow" w:eastAsia="Calibri" w:hAnsi="Arial Narrow"/>
                <w:snapToGrid/>
                <w:sz w:val="20"/>
              </w:rPr>
            </w:pPr>
            <w:r w:rsidRPr="005F039C">
              <w:rPr>
                <w:rFonts w:ascii="Arial Narrow" w:eastAsia="Calibri" w:hAnsi="Arial Narrow"/>
                <w:snapToGrid/>
                <w:sz w:val="20"/>
              </w:rPr>
              <w:t>Qty</w:t>
            </w:r>
          </w:p>
        </w:tc>
        <w:tc>
          <w:tcPr>
            <w:tcW w:w="405" w:type="pct"/>
            <w:tcBorders>
              <w:bottom w:val="single" w:sz="4" w:space="0" w:color="auto"/>
            </w:tcBorders>
          </w:tcPr>
          <w:p w:rsidR="00FC4490" w:rsidRPr="005F039C" w:rsidRDefault="00FC4490" w:rsidP="00462D48">
            <w:pPr>
              <w:keepNext/>
              <w:widowControl/>
              <w:ind w:left="-108"/>
              <w:rPr>
                <w:rFonts w:ascii="Arial Narrow" w:eastAsia="Calibri" w:hAnsi="Arial Narrow"/>
                <w:snapToGrid/>
                <w:sz w:val="20"/>
              </w:rPr>
            </w:pPr>
            <w:r w:rsidRPr="005F039C">
              <w:rPr>
                <w:rFonts w:ascii="Times New Roman" w:eastAsia="Calibri" w:hAnsi="Times New Roman" w:cs="Times New Roman"/>
                <w:snapToGrid/>
                <w:sz w:val="20"/>
              </w:rPr>
              <w:t>№</w:t>
            </w:r>
            <w:r w:rsidRPr="005F039C">
              <w:rPr>
                <w:rFonts w:ascii="Arial Narrow" w:eastAsia="Calibri" w:hAnsi="Arial Narrow"/>
                <w:snapToGrid/>
                <w:sz w:val="20"/>
              </w:rPr>
              <w:t>.of</w:t>
            </w:r>
          </w:p>
          <w:p w:rsidR="00FC4490" w:rsidRPr="005F039C" w:rsidRDefault="00FC4490" w:rsidP="00462D48">
            <w:pPr>
              <w:keepNext/>
              <w:widowControl/>
              <w:ind w:left="-108"/>
              <w:rPr>
                <w:rFonts w:ascii="Arial Narrow" w:eastAsia="Calibri" w:hAnsi="Arial Narrow"/>
                <w:snapToGrid/>
                <w:sz w:val="20"/>
              </w:rPr>
            </w:pPr>
            <w:r w:rsidRPr="005F039C">
              <w:rPr>
                <w:rFonts w:ascii="Arial Narrow" w:eastAsia="Calibri" w:hAnsi="Arial Narrow"/>
                <w:snapToGrid/>
                <w:sz w:val="20"/>
              </w:rPr>
              <w:t>Rpts</w:t>
            </w:r>
          </w:p>
        </w:tc>
        <w:tc>
          <w:tcPr>
            <w:tcW w:w="1348" w:type="pct"/>
            <w:gridSpan w:val="2"/>
            <w:tcBorders>
              <w:bottom w:val="single" w:sz="4" w:space="0" w:color="auto"/>
            </w:tcBorders>
          </w:tcPr>
          <w:p w:rsidR="00FC4490" w:rsidRPr="005F039C" w:rsidRDefault="00FC4490" w:rsidP="00462D48">
            <w:pPr>
              <w:keepNext/>
              <w:widowControl/>
              <w:rPr>
                <w:rFonts w:ascii="Arial Narrow" w:eastAsia="Calibri" w:hAnsi="Arial Narrow"/>
                <w:snapToGrid/>
                <w:sz w:val="20"/>
              </w:rPr>
            </w:pPr>
            <w:r w:rsidRPr="005F039C">
              <w:rPr>
                <w:rFonts w:ascii="Arial Narrow" w:eastAsia="Calibri" w:hAnsi="Arial Narrow"/>
                <w:snapToGrid/>
                <w:sz w:val="20"/>
              </w:rPr>
              <w:t xml:space="preserve">Proprietary Name </w:t>
            </w:r>
          </w:p>
          <w:p w:rsidR="00FC4490" w:rsidRPr="005F039C" w:rsidRDefault="00FC4490" w:rsidP="00462D48">
            <w:pPr>
              <w:keepNext/>
              <w:widowControl/>
              <w:rPr>
                <w:rFonts w:ascii="Arial Narrow" w:eastAsia="Calibri" w:hAnsi="Arial Narrow"/>
                <w:snapToGrid/>
                <w:sz w:val="20"/>
              </w:rPr>
            </w:pPr>
            <w:r w:rsidRPr="005F039C">
              <w:rPr>
                <w:rFonts w:ascii="Arial Narrow" w:eastAsia="Calibri" w:hAnsi="Arial Narrow"/>
                <w:snapToGrid/>
                <w:sz w:val="20"/>
              </w:rPr>
              <w:t>and Manufacturer</w:t>
            </w:r>
          </w:p>
        </w:tc>
      </w:tr>
      <w:tr w:rsidR="00FC4490" w:rsidRPr="005F039C" w:rsidTr="00FC4490">
        <w:trPr>
          <w:cantSplit/>
          <w:trHeight w:val="521"/>
        </w:trPr>
        <w:tc>
          <w:tcPr>
            <w:tcW w:w="2740" w:type="pct"/>
          </w:tcPr>
          <w:p w:rsidR="00FC4490" w:rsidRPr="005F039C" w:rsidRDefault="00FC4490" w:rsidP="00462D48">
            <w:pPr>
              <w:keepNext/>
              <w:widowControl/>
              <w:ind w:left="-108"/>
              <w:rPr>
                <w:rFonts w:ascii="Arial Narrow" w:eastAsia="Calibri" w:hAnsi="Arial Narrow"/>
                <w:snapToGrid/>
                <w:sz w:val="20"/>
              </w:rPr>
            </w:pPr>
            <w:r w:rsidRPr="005F039C">
              <w:rPr>
                <w:rFonts w:ascii="Arial Narrow" w:eastAsia="Calibri" w:hAnsi="Arial Narrow"/>
                <w:smallCaps/>
                <w:snapToGrid/>
                <w:sz w:val="20"/>
              </w:rPr>
              <w:t>AFLIBERCEPT</w:t>
            </w:r>
          </w:p>
          <w:p w:rsidR="00FC4490" w:rsidRPr="005F039C" w:rsidRDefault="00FC4490" w:rsidP="00462D48">
            <w:pPr>
              <w:keepNext/>
              <w:widowControl/>
              <w:ind w:left="-108"/>
              <w:rPr>
                <w:rFonts w:ascii="Arial Narrow" w:eastAsia="Calibri" w:hAnsi="Arial Narrow"/>
                <w:snapToGrid/>
                <w:sz w:val="20"/>
              </w:rPr>
            </w:pPr>
          </w:p>
          <w:p w:rsidR="00FC4490" w:rsidRPr="005F039C" w:rsidRDefault="00FC4490" w:rsidP="00462D48">
            <w:pPr>
              <w:keepNext/>
              <w:widowControl/>
              <w:ind w:left="-108"/>
              <w:rPr>
                <w:rFonts w:ascii="Arial Narrow" w:eastAsia="Calibri" w:hAnsi="Arial Narrow"/>
                <w:snapToGrid/>
                <w:sz w:val="20"/>
              </w:rPr>
            </w:pPr>
            <w:r w:rsidRPr="005F039C">
              <w:rPr>
                <w:rFonts w:ascii="Arial Narrow" w:eastAsia="Calibri" w:hAnsi="Arial Narrow"/>
                <w:snapToGrid/>
                <w:sz w:val="20"/>
              </w:rPr>
              <w:t>aflibercept 4mg/</w:t>
            </w:r>
            <w:r w:rsidRPr="005F039C">
              <w:rPr>
                <w:rFonts w:ascii="Arial Narrow" w:eastAsia="Calibri" w:hAnsi="Arial Narrow"/>
                <w:snapToGrid/>
                <w:sz w:val="20"/>
                <w:lang w:eastAsia="zh-CN"/>
              </w:rPr>
              <w:t>0.1</w:t>
            </w:r>
            <w:r w:rsidRPr="005F039C">
              <w:rPr>
                <w:rFonts w:ascii="Arial Narrow" w:eastAsia="Calibri" w:hAnsi="Arial Narrow"/>
                <w:snapToGrid/>
                <w:sz w:val="20"/>
              </w:rPr>
              <w:t>mL injection, 1 x</w:t>
            </w:r>
            <w:r w:rsidRPr="005F039C">
              <w:rPr>
                <w:rFonts w:ascii="Arial Narrow" w:eastAsia="Calibri" w:hAnsi="Arial Narrow"/>
                <w:snapToGrid/>
                <w:sz w:val="20"/>
                <w:lang w:eastAsia="zh-CN"/>
              </w:rPr>
              <w:t xml:space="preserve"> 0.1 ml </w:t>
            </w:r>
            <w:r w:rsidRPr="005F039C">
              <w:rPr>
                <w:rFonts w:ascii="Arial Narrow" w:eastAsia="Calibri" w:hAnsi="Arial Narrow"/>
                <w:snapToGrid/>
                <w:sz w:val="20"/>
              </w:rPr>
              <w:t>vial</w:t>
            </w:r>
          </w:p>
          <w:p w:rsidR="00FC4490" w:rsidRPr="005F039C" w:rsidRDefault="00FC4490" w:rsidP="00462D48">
            <w:pPr>
              <w:keepNext/>
              <w:widowControl/>
              <w:ind w:left="-108"/>
              <w:rPr>
                <w:rFonts w:ascii="Arial Narrow" w:eastAsia="Calibri" w:hAnsi="Arial Narrow"/>
                <w:snapToGrid/>
                <w:sz w:val="20"/>
                <w:lang w:eastAsia="zh-CN"/>
              </w:rPr>
            </w:pPr>
          </w:p>
          <w:p w:rsidR="00FC4490" w:rsidRPr="005F039C" w:rsidRDefault="00FC4490" w:rsidP="00462D48">
            <w:pPr>
              <w:keepNext/>
              <w:widowControl/>
              <w:ind w:left="-108"/>
              <w:rPr>
                <w:rFonts w:ascii="Arial Narrow" w:eastAsia="Calibri" w:hAnsi="Arial Narrow"/>
                <w:snapToGrid/>
                <w:sz w:val="20"/>
                <w:lang w:eastAsia="zh-CN"/>
              </w:rPr>
            </w:pPr>
            <w:r w:rsidRPr="005F039C">
              <w:rPr>
                <w:rFonts w:ascii="Arial Narrow" w:eastAsia="Calibri" w:hAnsi="Arial Narrow"/>
                <w:snapToGrid/>
                <w:sz w:val="20"/>
              </w:rPr>
              <w:t>aflibercept 4mg/</w:t>
            </w:r>
            <w:r w:rsidRPr="005F039C">
              <w:rPr>
                <w:rFonts w:ascii="Arial Narrow" w:eastAsia="Calibri" w:hAnsi="Arial Narrow"/>
                <w:snapToGrid/>
                <w:sz w:val="20"/>
                <w:lang w:eastAsia="zh-CN"/>
              </w:rPr>
              <w:t xml:space="preserve">0.1 </w:t>
            </w:r>
            <w:r w:rsidRPr="005F039C">
              <w:rPr>
                <w:rFonts w:ascii="Arial Narrow" w:eastAsia="Calibri" w:hAnsi="Arial Narrow"/>
                <w:snapToGrid/>
                <w:sz w:val="20"/>
              </w:rPr>
              <w:t>mL injection, 1</w:t>
            </w:r>
            <w:r w:rsidRPr="005F039C">
              <w:rPr>
                <w:rFonts w:ascii="Arial Narrow" w:eastAsia="Calibri" w:hAnsi="Arial Narrow"/>
                <w:snapToGrid/>
                <w:sz w:val="20"/>
                <w:lang w:eastAsia="zh-CN"/>
              </w:rPr>
              <w:t xml:space="preserve"> </w:t>
            </w:r>
            <w:r w:rsidRPr="005F039C">
              <w:rPr>
                <w:rFonts w:ascii="Arial Narrow" w:eastAsia="Calibri" w:hAnsi="Arial Narrow"/>
                <w:snapToGrid/>
                <w:sz w:val="20"/>
              </w:rPr>
              <w:t>x</w:t>
            </w:r>
            <w:r w:rsidRPr="005F039C">
              <w:rPr>
                <w:rFonts w:ascii="Arial Narrow" w:eastAsia="Calibri" w:hAnsi="Arial Narrow"/>
                <w:snapToGrid/>
                <w:sz w:val="20"/>
                <w:lang w:eastAsia="zh-CN"/>
              </w:rPr>
              <w:t xml:space="preserve"> 0.09 ml pre-filled syringe</w:t>
            </w:r>
          </w:p>
        </w:tc>
        <w:tc>
          <w:tcPr>
            <w:tcW w:w="507" w:type="pct"/>
          </w:tcPr>
          <w:p w:rsidR="00FC4490" w:rsidRPr="005F039C" w:rsidRDefault="00FC4490" w:rsidP="00462D48">
            <w:pPr>
              <w:keepNext/>
              <w:widowControl/>
              <w:ind w:left="-108"/>
              <w:rPr>
                <w:rFonts w:ascii="Arial Narrow" w:eastAsia="Calibri" w:hAnsi="Arial Narrow"/>
                <w:snapToGrid/>
                <w:sz w:val="20"/>
              </w:rPr>
            </w:pPr>
          </w:p>
          <w:p w:rsidR="00FC4490" w:rsidRPr="005F039C" w:rsidRDefault="00FC4490" w:rsidP="00462D48">
            <w:pPr>
              <w:keepNext/>
              <w:widowControl/>
              <w:ind w:left="-108"/>
              <w:rPr>
                <w:rFonts w:ascii="Arial Narrow" w:eastAsia="Calibri" w:hAnsi="Arial Narrow"/>
                <w:snapToGrid/>
                <w:sz w:val="20"/>
              </w:rPr>
            </w:pPr>
          </w:p>
          <w:p w:rsidR="00FC4490" w:rsidRPr="005F039C" w:rsidRDefault="00FC4490" w:rsidP="00462D48">
            <w:pPr>
              <w:keepNext/>
              <w:widowControl/>
              <w:ind w:left="-108"/>
              <w:rPr>
                <w:rFonts w:ascii="Arial Narrow" w:eastAsia="Calibri" w:hAnsi="Arial Narrow"/>
                <w:snapToGrid/>
                <w:sz w:val="20"/>
                <w:lang w:eastAsia="zh-CN"/>
              </w:rPr>
            </w:pPr>
            <w:r w:rsidRPr="005F039C">
              <w:rPr>
                <w:rFonts w:ascii="Arial Narrow" w:eastAsia="Calibri" w:hAnsi="Arial Narrow"/>
                <w:snapToGrid/>
                <w:sz w:val="20"/>
              </w:rPr>
              <w:t>1</w:t>
            </w:r>
          </w:p>
          <w:p w:rsidR="00FC4490" w:rsidRPr="005F039C" w:rsidRDefault="00FC4490" w:rsidP="00462D48">
            <w:pPr>
              <w:keepNext/>
              <w:widowControl/>
              <w:ind w:left="-108"/>
              <w:rPr>
                <w:rFonts w:ascii="Arial Narrow" w:eastAsia="Calibri" w:hAnsi="Arial Narrow"/>
                <w:snapToGrid/>
                <w:sz w:val="20"/>
                <w:lang w:eastAsia="zh-CN"/>
              </w:rPr>
            </w:pPr>
          </w:p>
          <w:p w:rsidR="00FC4490" w:rsidRPr="005F039C" w:rsidRDefault="00FC4490" w:rsidP="00462D48">
            <w:pPr>
              <w:keepNext/>
              <w:widowControl/>
              <w:ind w:left="-108"/>
              <w:rPr>
                <w:rFonts w:ascii="Arial Narrow" w:eastAsia="Calibri" w:hAnsi="Arial Narrow"/>
                <w:snapToGrid/>
                <w:sz w:val="20"/>
                <w:lang w:eastAsia="zh-CN"/>
              </w:rPr>
            </w:pPr>
          </w:p>
          <w:p w:rsidR="00FC4490" w:rsidRPr="005F039C" w:rsidRDefault="00FC4490" w:rsidP="00462D48">
            <w:pPr>
              <w:keepNext/>
              <w:widowControl/>
              <w:ind w:left="-108"/>
              <w:rPr>
                <w:rFonts w:ascii="Arial Narrow" w:eastAsia="Calibri" w:hAnsi="Arial Narrow"/>
                <w:snapToGrid/>
                <w:sz w:val="20"/>
                <w:lang w:eastAsia="zh-CN"/>
              </w:rPr>
            </w:pPr>
            <w:r w:rsidRPr="005F039C">
              <w:rPr>
                <w:rFonts w:ascii="Arial Narrow" w:eastAsia="Calibri" w:hAnsi="Arial Narrow"/>
                <w:snapToGrid/>
                <w:sz w:val="20"/>
                <w:lang w:eastAsia="zh-CN"/>
              </w:rPr>
              <w:t>1</w:t>
            </w:r>
          </w:p>
        </w:tc>
        <w:tc>
          <w:tcPr>
            <w:tcW w:w="405" w:type="pct"/>
          </w:tcPr>
          <w:p w:rsidR="00FC4490" w:rsidRPr="005F039C" w:rsidRDefault="00FC4490" w:rsidP="00462D48">
            <w:pPr>
              <w:keepNext/>
              <w:widowControl/>
              <w:ind w:left="-108"/>
              <w:rPr>
                <w:rFonts w:ascii="Arial Narrow" w:eastAsia="Calibri" w:hAnsi="Arial Narrow"/>
                <w:snapToGrid/>
                <w:sz w:val="20"/>
              </w:rPr>
            </w:pPr>
          </w:p>
          <w:p w:rsidR="00FC4490" w:rsidRPr="005F039C" w:rsidRDefault="00FC4490" w:rsidP="00462D48">
            <w:pPr>
              <w:keepNext/>
              <w:widowControl/>
              <w:ind w:left="-108"/>
              <w:rPr>
                <w:rFonts w:ascii="Arial Narrow" w:eastAsia="Calibri" w:hAnsi="Arial Narrow"/>
                <w:snapToGrid/>
                <w:sz w:val="20"/>
              </w:rPr>
            </w:pPr>
          </w:p>
          <w:p w:rsidR="00FC4490" w:rsidRPr="005F039C" w:rsidRDefault="00FC4490" w:rsidP="00462D48">
            <w:pPr>
              <w:keepNext/>
              <w:widowControl/>
              <w:ind w:left="-108"/>
              <w:rPr>
                <w:rFonts w:ascii="Arial Narrow" w:eastAsia="Calibri" w:hAnsi="Arial Narrow"/>
                <w:strike/>
                <w:snapToGrid/>
                <w:sz w:val="20"/>
              </w:rPr>
            </w:pPr>
            <w:r w:rsidRPr="005F039C">
              <w:rPr>
                <w:rFonts w:ascii="Arial Narrow" w:eastAsia="Calibri" w:hAnsi="Arial Narrow"/>
                <w:strike/>
                <w:snapToGrid/>
                <w:sz w:val="20"/>
              </w:rPr>
              <w:t>5</w:t>
            </w:r>
          </w:p>
          <w:p w:rsidR="00FC4490" w:rsidRPr="005F039C" w:rsidRDefault="00FC4490" w:rsidP="00462D48">
            <w:pPr>
              <w:keepNext/>
              <w:widowControl/>
              <w:ind w:left="-108"/>
              <w:rPr>
                <w:rFonts w:ascii="Arial Narrow" w:eastAsia="Calibri" w:hAnsi="Arial Narrow"/>
                <w:i/>
                <w:snapToGrid/>
                <w:sz w:val="20"/>
                <w:lang w:eastAsia="zh-CN"/>
              </w:rPr>
            </w:pPr>
            <w:r w:rsidRPr="005F039C">
              <w:rPr>
                <w:rFonts w:ascii="Arial Narrow" w:eastAsia="Calibri" w:hAnsi="Arial Narrow"/>
                <w:i/>
                <w:snapToGrid/>
                <w:sz w:val="20"/>
              </w:rPr>
              <w:t>2</w:t>
            </w:r>
          </w:p>
          <w:p w:rsidR="00FC4490" w:rsidRPr="005F039C" w:rsidRDefault="00FC4490" w:rsidP="00462D48">
            <w:pPr>
              <w:keepNext/>
              <w:widowControl/>
              <w:rPr>
                <w:rFonts w:ascii="Arial Narrow" w:eastAsia="Calibri" w:hAnsi="Arial Narrow"/>
                <w:snapToGrid/>
                <w:sz w:val="20"/>
                <w:lang w:eastAsia="zh-CN"/>
              </w:rPr>
            </w:pPr>
          </w:p>
          <w:p w:rsidR="00FC4490" w:rsidRPr="005F039C" w:rsidRDefault="00FC4490" w:rsidP="00462D48">
            <w:pPr>
              <w:keepNext/>
              <w:widowControl/>
              <w:ind w:left="-108"/>
              <w:rPr>
                <w:rFonts w:ascii="Arial Narrow" w:eastAsia="Calibri" w:hAnsi="Arial Narrow"/>
                <w:strike/>
                <w:snapToGrid/>
                <w:sz w:val="20"/>
                <w:lang w:eastAsia="zh-CN"/>
              </w:rPr>
            </w:pPr>
            <w:r w:rsidRPr="005F039C">
              <w:rPr>
                <w:rFonts w:ascii="Arial Narrow" w:eastAsia="Calibri" w:hAnsi="Arial Narrow"/>
                <w:strike/>
                <w:snapToGrid/>
                <w:sz w:val="20"/>
                <w:lang w:eastAsia="zh-CN"/>
              </w:rPr>
              <w:t>5</w:t>
            </w:r>
          </w:p>
          <w:p w:rsidR="00FC4490" w:rsidRPr="005F039C" w:rsidRDefault="00FC4490" w:rsidP="00462D48">
            <w:pPr>
              <w:keepNext/>
              <w:widowControl/>
              <w:ind w:left="-108"/>
              <w:rPr>
                <w:rFonts w:ascii="Arial Narrow" w:eastAsia="Calibri" w:hAnsi="Arial Narrow"/>
                <w:i/>
                <w:snapToGrid/>
                <w:sz w:val="20"/>
                <w:lang w:eastAsia="zh-CN"/>
              </w:rPr>
            </w:pPr>
            <w:r w:rsidRPr="005F039C">
              <w:rPr>
                <w:rFonts w:ascii="Arial Narrow" w:eastAsia="Calibri" w:hAnsi="Arial Narrow"/>
                <w:i/>
                <w:snapToGrid/>
                <w:sz w:val="20"/>
                <w:lang w:eastAsia="zh-CN"/>
              </w:rPr>
              <w:t>2</w:t>
            </w:r>
          </w:p>
        </w:tc>
        <w:tc>
          <w:tcPr>
            <w:tcW w:w="812" w:type="pct"/>
          </w:tcPr>
          <w:p w:rsidR="00FC4490" w:rsidRPr="005F039C" w:rsidRDefault="00FC4490" w:rsidP="00462D48">
            <w:pPr>
              <w:keepNext/>
              <w:widowControl/>
              <w:rPr>
                <w:rFonts w:ascii="Arial Narrow" w:eastAsia="Calibri" w:hAnsi="Arial Narrow"/>
                <w:snapToGrid/>
                <w:sz w:val="20"/>
              </w:rPr>
            </w:pPr>
          </w:p>
          <w:p w:rsidR="00FC4490" w:rsidRPr="005F039C" w:rsidRDefault="00FC4490" w:rsidP="00462D48">
            <w:pPr>
              <w:keepNext/>
              <w:widowControl/>
              <w:rPr>
                <w:rFonts w:ascii="Arial Narrow" w:eastAsia="Calibri" w:hAnsi="Arial Narrow"/>
                <w:snapToGrid/>
                <w:sz w:val="20"/>
              </w:rPr>
            </w:pPr>
          </w:p>
          <w:p w:rsidR="00FC4490" w:rsidRPr="005F039C" w:rsidRDefault="00FC4490" w:rsidP="00462D48">
            <w:pPr>
              <w:keepNext/>
              <w:widowControl/>
              <w:rPr>
                <w:rFonts w:ascii="Arial Narrow" w:eastAsia="Calibri" w:hAnsi="Arial Narrow"/>
                <w:snapToGrid/>
                <w:sz w:val="20"/>
                <w:lang w:eastAsia="zh-CN"/>
              </w:rPr>
            </w:pPr>
            <w:r w:rsidRPr="005F039C">
              <w:rPr>
                <w:rFonts w:ascii="Arial Narrow" w:eastAsia="Calibri" w:hAnsi="Arial Narrow"/>
                <w:snapToGrid/>
                <w:sz w:val="20"/>
              </w:rPr>
              <w:t>Eylea</w:t>
            </w:r>
          </w:p>
          <w:p w:rsidR="00FC4490" w:rsidRPr="005F039C" w:rsidRDefault="00FC4490" w:rsidP="00462D48">
            <w:pPr>
              <w:keepNext/>
              <w:widowControl/>
              <w:rPr>
                <w:rFonts w:ascii="Arial Narrow" w:eastAsia="Calibri" w:hAnsi="Arial Narrow"/>
                <w:snapToGrid/>
                <w:sz w:val="20"/>
                <w:lang w:eastAsia="zh-CN"/>
              </w:rPr>
            </w:pPr>
          </w:p>
          <w:p w:rsidR="00FC4490" w:rsidRPr="005F039C" w:rsidRDefault="00FC4490" w:rsidP="00462D48">
            <w:pPr>
              <w:keepNext/>
              <w:widowControl/>
              <w:rPr>
                <w:rFonts w:ascii="Arial Narrow" w:eastAsia="Calibri" w:hAnsi="Arial Narrow"/>
                <w:snapToGrid/>
                <w:sz w:val="20"/>
                <w:lang w:eastAsia="zh-CN"/>
              </w:rPr>
            </w:pPr>
          </w:p>
          <w:p w:rsidR="00FC4490" w:rsidRPr="005F039C" w:rsidRDefault="00FC4490" w:rsidP="00462D48">
            <w:pPr>
              <w:keepNext/>
              <w:widowControl/>
              <w:rPr>
                <w:rFonts w:ascii="Arial Narrow" w:eastAsia="Calibri" w:hAnsi="Arial Narrow"/>
                <w:snapToGrid/>
                <w:sz w:val="20"/>
                <w:lang w:eastAsia="zh-CN"/>
              </w:rPr>
            </w:pPr>
            <w:r w:rsidRPr="005F039C">
              <w:rPr>
                <w:rFonts w:ascii="Arial Narrow" w:eastAsia="Calibri" w:hAnsi="Arial Narrow"/>
                <w:snapToGrid/>
                <w:sz w:val="20"/>
              </w:rPr>
              <w:t>Eylea</w:t>
            </w:r>
          </w:p>
          <w:p w:rsidR="00FC4490" w:rsidRPr="005F039C" w:rsidRDefault="00FC4490" w:rsidP="00462D48">
            <w:pPr>
              <w:keepNext/>
              <w:widowControl/>
              <w:rPr>
                <w:rFonts w:ascii="Arial Narrow" w:eastAsia="Calibri" w:hAnsi="Arial Narrow"/>
                <w:snapToGrid/>
                <w:sz w:val="20"/>
                <w:lang w:eastAsia="zh-CN"/>
              </w:rPr>
            </w:pPr>
          </w:p>
        </w:tc>
        <w:tc>
          <w:tcPr>
            <w:tcW w:w="536" w:type="pct"/>
          </w:tcPr>
          <w:p w:rsidR="00FC4490" w:rsidRPr="005F039C" w:rsidRDefault="00FC4490" w:rsidP="00462D48">
            <w:pPr>
              <w:keepNext/>
              <w:widowControl/>
              <w:rPr>
                <w:rFonts w:ascii="Arial Narrow" w:eastAsia="Calibri" w:hAnsi="Arial Narrow"/>
                <w:snapToGrid/>
                <w:sz w:val="20"/>
              </w:rPr>
            </w:pPr>
          </w:p>
          <w:p w:rsidR="00FC4490" w:rsidRPr="005F039C" w:rsidRDefault="00FC4490" w:rsidP="00462D48">
            <w:pPr>
              <w:keepNext/>
              <w:widowControl/>
              <w:rPr>
                <w:rFonts w:ascii="Arial Narrow" w:eastAsia="Calibri" w:hAnsi="Arial Narrow"/>
                <w:snapToGrid/>
                <w:sz w:val="20"/>
              </w:rPr>
            </w:pPr>
          </w:p>
          <w:p w:rsidR="00FC4490" w:rsidRPr="005F039C" w:rsidRDefault="00FC4490" w:rsidP="00462D48">
            <w:pPr>
              <w:keepNext/>
              <w:widowControl/>
              <w:rPr>
                <w:rFonts w:ascii="Arial Narrow" w:eastAsia="Calibri" w:hAnsi="Arial Narrow"/>
                <w:snapToGrid/>
                <w:sz w:val="20"/>
              </w:rPr>
            </w:pPr>
            <w:r w:rsidRPr="005F039C">
              <w:rPr>
                <w:rFonts w:ascii="Arial Narrow" w:eastAsia="Calibri" w:hAnsi="Arial Narrow"/>
                <w:snapToGrid/>
                <w:sz w:val="20"/>
              </w:rPr>
              <w:t>BN</w:t>
            </w:r>
          </w:p>
          <w:p w:rsidR="00FC4490" w:rsidRPr="005F039C" w:rsidRDefault="00FC4490" w:rsidP="00462D48">
            <w:pPr>
              <w:keepNext/>
              <w:widowControl/>
              <w:rPr>
                <w:rFonts w:ascii="Arial Narrow" w:eastAsia="Calibri" w:hAnsi="Arial Narrow"/>
                <w:snapToGrid/>
                <w:sz w:val="20"/>
                <w:lang w:eastAsia="zh-CN"/>
              </w:rPr>
            </w:pPr>
          </w:p>
          <w:p w:rsidR="00FC4490" w:rsidRPr="005F039C" w:rsidRDefault="00FC4490" w:rsidP="00462D48">
            <w:pPr>
              <w:keepNext/>
              <w:widowControl/>
              <w:rPr>
                <w:rFonts w:ascii="Arial Narrow" w:eastAsia="Calibri" w:hAnsi="Arial Narrow"/>
                <w:snapToGrid/>
                <w:sz w:val="20"/>
                <w:lang w:eastAsia="zh-CN"/>
              </w:rPr>
            </w:pPr>
          </w:p>
          <w:p w:rsidR="00FC4490" w:rsidRPr="005F039C" w:rsidRDefault="00FC4490" w:rsidP="00462D48">
            <w:pPr>
              <w:keepNext/>
              <w:widowControl/>
              <w:rPr>
                <w:rFonts w:ascii="Arial Narrow" w:eastAsia="Calibri" w:hAnsi="Arial Narrow"/>
                <w:snapToGrid/>
                <w:sz w:val="20"/>
              </w:rPr>
            </w:pPr>
            <w:r w:rsidRPr="005F039C">
              <w:rPr>
                <w:rFonts w:ascii="Arial Narrow" w:eastAsia="Calibri" w:hAnsi="Arial Narrow"/>
                <w:snapToGrid/>
                <w:sz w:val="20"/>
              </w:rPr>
              <w:t>BN</w:t>
            </w:r>
          </w:p>
        </w:tc>
      </w:tr>
    </w:tbl>
    <w:p w:rsidR="00706954" w:rsidRPr="005F039C" w:rsidRDefault="00706954" w:rsidP="00561F63">
      <w:pPr>
        <w:widowControl/>
        <w:rPr>
          <w:rFonts w:ascii="Arial Narrow" w:eastAsia="Calibri" w:hAnsi="Arial Narrow"/>
          <w:i/>
          <w:snapToGrid/>
          <w:sz w:val="20"/>
        </w:rPr>
      </w:pPr>
    </w:p>
    <w:tbl>
      <w:tblPr>
        <w:tblW w:w="8505" w:type="dxa"/>
        <w:tblInd w:w="817" w:type="dxa"/>
        <w:tblLayout w:type="fixed"/>
        <w:tblLook w:val="04A0" w:firstRow="1" w:lastRow="0" w:firstColumn="1" w:lastColumn="0" w:noHBand="0" w:noVBand="1"/>
      </w:tblPr>
      <w:tblGrid>
        <w:gridCol w:w="2693"/>
        <w:gridCol w:w="5812"/>
      </w:tblGrid>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 xml:space="preserve">Category / </w:t>
            </w:r>
          </w:p>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Program</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GENERAL – General Schedule (Code GE)</w:t>
            </w:r>
          </w:p>
          <w:p w:rsidR="00561F63" w:rsidRPr="005F039C" w:rsidRDefault="00561F63" w:rsidP="00584E9E">
            <w:pPr>
              <w:widowControl/>
              <w:rPr>
                <w:rFonts w:ascii="Arial Narrow" w:eastAsia="Calibri" w:hAnsi="Arial Narrow"/>
                <w:i/>
                <w:snapToGrid/>
                <w:sz w:val="20"/>
              </w:rPr>
            </w:pP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Prescriber type:</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1"/>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 xml:space="preserve">Dental  </w:t>
            </w:r>
            <w:r w:rsidRPr="005F039C">
              <w:rPr>
                <w:rFonts w:ascii="Arial Narrow" w:eastAsia="Calibri" w:hAnsi="Arial Narrow"/>
                <w:i/>
                <w:snapToGrid/>
                <w:sz w:val="20"/>
              </w:rPr>
              <w:fldChar w:fldCharType="begin">
                <w:ffData>
                  <w:name w:val=""/>
                  <w:enabled/>
                  <w:calcOnExit w:val="0"/>
                  <w:checkBox>
                    <w:sizeAuto/>
                    <w:default w:val="1"/>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 xml:space="preserve">Medical Practitioners  </w:t>
            </w:r>
            <w:r w:rsidRPr="005F039C">
              <w:rPr>
                <w:rFonts w:ascii="Arial Narrow" w:eastAsia="Calibri" w:hAnsi="Arial Narrow"/>
                <w:i/>
                <w:snapToGrid/>
                <w:sz w:val="20"/>
              </w:rPr>
              <w:fldChar w:fldCharType="begin">
                <w:ffData>
                  <w:name w:val="Check3"/>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 xml:space="preserve">Nurse practitioners  </w:t>
            </w:r>
            <w:r w:rsidRPr="005F039C">
              <w:rPr>
                <w:rFonts w:ascii="Arial Narrow" w:eastAsia="Calibri" w:hAnsi="Arial Narrow"/>
                <w:i/>
                <w:snapToGrid/>
                <w:sz w:val="20"/>
              </w:rPr>
              <w:fldChar w:fldCharType="begin">
                <w:ffData>
                  <w:name w:val=""/>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Optometrists</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5"/>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Midwives</w:t>
            </w: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Episodicity:</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Severity:</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Condition:</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Macular oedema secondary to central retinal vein occlusion</w:t>
            </w: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PBS Indication:</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 xml:space="preserve">Macular oedema secondary to central retinal vein occlusion </w:t>
            </w: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Treatment phase:</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Continuing treatment</w:t>
            </w: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Restriction Level / Method:</w:t>
            </w:r>
          </w:p>
          <w:p w:rsidR="00561F63" w:rsidRPr="005F039C" w:rsidRDefault="00561F63" w:rsidP="00584E9E">
            <w:pPr>
              <w:widowControl/>
              <w:rPr>
                <w:rFonts w:ascii="Arial Narrow" w:eastAsia="Calibri" w:hAnsi="Arial Narrow"/>
                <w:b/>
                <w:i/>
                <w:snapToGrid/>
                <w:sz w:val="20"/>
              </w:rPr>
            </w:pP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1"/>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Restricted benefit</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Authority Required - In Writing</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3"/>
                  <w:enabled/>
                  <w:calcOnExit w:val="0"/>
                  <w:checkBox>
                    <w:sizeAuto/>
                    <w:default w:val="1"/>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Authority Required - Telephone</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Authority Required – Emergency</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5"/>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Authority Required - Electronic</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fldChar w:fldCharType="begin">
                <w:ffData>
                  <w:name w:val="Check5"/>
                  <w:enabled/>
                  <w:calcOnExit w:val="0"/>
                  <w:checkBox>
                    <w:sizeAuto/>
                    <w:default w:val="0"/>
                  </w:checkBox>
                </w:ffData>
              </w:fldChar>
            </w:r>
            <w:r w:rsidRPr="005F039C">
              <w:rPr>
                <w:rFonts w:ascii="Arial Narrow" w:eastAsia="Calibri" w:hAnsi="Arial Narrow"/>
                <w:i/>
                <w:snapToGrid/>
                <w:sz w:val="20"/>
              </w:rPr>
              <w:instrText xml:space="preserve"> FORMCHECKBOX </w:instrText>
            </w:r>
            <w:r w:rsidR="00827EDF">
              <w:rPr>
                <w:rFonts w:ascii="Arial Narrow" w:eastAsia="Calibri" w:hAnsi="Arial Narrow"/>
                <w:i/>
                <w:snapToGrid/>
                <w:sz w:val="20"/>
              </w:rPr>
            </w:r>
            <w:r w:rsidR="00827EDF">
              <w:rPr>
                <w:rFonts w:ascii="Arial Narrow" w:eastAsia="Calibri" w:hAnsi="Arial Narrow"/>
                <w:i/>
                <w:snapToGrid/>
                <w:sz w:val="20"/>
              </w:rPr>
              <w:fldChar w:fldCharType="separate"/>
            </w:r>
            <w:r w:rsidRPr="005F039C">
              <w:rPr>
                <w:rFonts w:ascii="Arial Narrow" w:eastAsia="Calibri" w:hAnsi="Arial Narrow"/>
                <w:i/>
                <w:snapToGrid/>
                <w:sz w:val="20"/>
              </w:rPr>
              <w:fldChar w:fldCharType="end"/>
            </w:r>
            <w:r w:rsidRPr="005F039C">
              <w:rPr>
                <w:rFonts w:ascii="Arial Narrow" w:eastAsia="Calibri" w:hAnsi="Arial Narrow"/>
                <w:i/>
                <w:snapToGrid/>
                <w:sz w:val="20"/>
              </w:rPr>
              <w:t>Streamlined</w:t>
            </w: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Treatment criteria:</w:t>
            </w:r>
          </w:p>
          <w:p w:rsidR="00561F63" w:rsidRPr="005F039C" w:rsidRDefault="00561F63" w:rsidP="00584E9E">
            <w:pPr>
              <w:widowControl/>
              <w:rPr>
                <w:rFonts w:ascii="Arial Narrow" w:eastAsia="Calibri" w:hAnsi="Arial Narrow"/>
                <w:i/>
                <w:snapToGrid/>
                <w:sz w:val="20"/>
              </w:rPr>
            </w:pP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Must be treated by an ophthalmologist</w:t>
            </w:r>
          </w:p>
          <w:p w:rsidR="00561F63" w:rsidRPr="005F039C" w:rsidRDefault="00561F63" w:rsidP="00584E9E">
            <w:pPr>
              <w:widowControl/>
              <w:rPr>
                <w:rFonts w:ascii="Arial Narrow" w:eastAsia="Calibri" w:hAnsi="Arial Narrow"/>
                <w:i/>
                <w:snapToGrid/>
                <w:sz w:val="20"/>
              </w:rPr>
            </w:pP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Clinical criteria:</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(To be finalised at a later stage)</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Patient must have visual impairment due to macular oedema secondary to central retinal vein occlusion (CRVO)</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AND</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Patient must have previously been granted an authority prescription for the same eye</w:t>
            </w: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Prescriber Instructions</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(To be finalised at a later stage)</w:t>
            </w:r>
          </w:p>
        </w:tc>
      </w:tr>
      <w:tr w:rsidR="00561F63" w:rsidRPr="005F039C" w:rsidTr="00584E9E">
        <w:trPr>
          <w:cantSplit/>
          <w:trHeight w:val="360"/>
        </w:trPr>
        <w:tc>
          <w:tcPr>
            <w:tcW w:w="2693"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b/>
                <w:i/>
                <w:snapToGrid/>
                <w:sz w:val="20"/>
              </w:rPr>
            </w:pPr>
            <w:r w:rsidRPr="005F039C">
              <w:rPr>
                <w:rFonts w:ascii="Arial Narrow" w:eastAsia="Calibri" w:hAnsi="Arial Narrow"/>
                <w:b/>
                <w:i/>
                <w:snapToGrid/>
                <w:sz w:val="20"/>
              </w:rPr>
              <w:t>Administrative Advice</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(To be finalised at a later stage)</w:t>
            </w:r>
          </w:p>
        </w:tc>
        <w:tc>
          <w:tcPr>
            <w:tcW w:w="5812" w:type="dxa"/>
            <w:tcBorders>
              <w:top w:val="single" w:sz="4" w:space="0" w:color="auto"/>
              <w:left w:val="single" w:sz="4" w:space="0" w:color="auto"/>
              <w:bottom w:val="single" w:sz="4" w:space="0" w:color="auto"/>
              <w:right w:val="single" w:sz="4" w:space="0" w:color="auto"/>
            </w:tcBorders>
          </w:tcPr>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Authority approvals will be administered by the Complex Drugs Unit of the Department of Human Services</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 xml:space="preserve">Authority applications for continuing treatment in the same eye may be made by telephone on 1800 700 270 (hours of operation 8 a.m. to 5 p.m. EST Monday to Friday). </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u w:val="single"/>
              </w:rPr>
            </w:pPr>
            <w:r w:rsidRPr="005F039C">
              <w:rPr>
                <w:rFonts w:ascii="Arial Narrow" w:eastAsia="Calibri" w:hAnsi="Arial Narrow"/>
                <w:i/>
                <w:snapToGrid/>
                <w:sz w:val="20"/>
                <w:u w:val="single"/>
              </w:rPr>
              <w:t>Note</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No increase in the maximum quantity or number of units may be authorised</w:t>
            </w:r>
          </w:p>
          <w:p w:rsidR="00561F63" w:rsidRPr="005F039C" w:rsidRDefault="00561F63" w:rsidP="00584E9E">
            <w:pPr>
              <w:widowControl/>
              <w:rPr>
                <w:rFonts w:ascii="Arial Narrow" w:eastAsia="Calibri" w:hAnsi="Arial Narrow"/>
                <w:i/>
                <w:snapToGrid/>
                <w:sz w:val="20"/>
              </w:rPr>
            </w:pPr>
          </w:p>
          <w:p w:rsidR="00561F63" w:rsidRPr="005F039C" w:rsidRDefault="00561F63" w:rsidP="00584E9E">
            <w:pPr>
              <w:widowControl/>
              <w:rPr>
                <w:rFonts w:ascii="Arial Narrow" w:eastAsia="Calibri" w:hAnsi="Arial Narrow"/>
                <w:i/>
                <w:snapToGrid/>
                <w:sz w:val="20"/>
                <w:u w:val="single"/>
              </w:rPr>
            </w:pPr>
            <w:r w:rsidRPr="005F039C">
              <w:rPr>
                <w:rFonts w:ascii="Arial Narrow" w:eastAsia="Calibri" w:hAnsi="Arial Narrow"/>
                <w:i/>
                <w:snapToGrid/>
                <w:sz w:val="20"/>
                <w:u w:val="single"/>
              </w:rPr>
              <w:t>Note</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No increase in the maximum number of repeats may be authorised</w:t>
            </w:r>
          </w:p>
          <w:p w:rsidR="00561F63" w:rsidRPr="005F039C" w:rsidRDefault="00561F63" w:rsidP="00584E9E">
            <w:pPr>
              <w:widowControl/>
              <w:rPr>
                <w:rFonts w:ascii="Arial Narrow" w:eastAsia="Calibri" w:hAnsi="Arial Narrow"/>
                <w:i/>
                <w:snapToGrid/>
                <w:sz w:val="20"/>
                <w:u w:val="single"/>
              </w:rPr>
            </w:pPr>
          </w:p>
          <w:p w:rsidR="00561F63" w:rsidRPr="005F039C" w:rsidRDefault="00561F63" w:rsidP="00584E9E">
            <w:pPr>
              <w:widowControl/>
              <w:rPr>
                <w:rFonts w:ascii="Arial Narrow" w:eastAsia="Calibri" w:hAnsi="Arial Narrow"/>
                <w:i/>
                <w:snapToGrid/>
                <w:sz w:val="20"/>
                <w:u w:val="single"/>
              </w:rPr>
            </w:pPr>
            <w:r w:rsidRPr="005F039C">
              <w:rPr>
                <w:rFonts w:ascii="Arial Narrow" w:eastAsia="Calibri" w:hAnsi="Arial Narrow"/>
                <w:i/>
                <w:snapToGrid/>
                <w:sz w:val="20"/>
                <w:u w:val="single"/>
              </w:rPr>
              <w:t>Note</w:t>
            </w:r>
          </w:p>
          <w:p w:rsidR="00561F63" w:rsidRPr="005F039C" w:rsidRDefault="00561F63" w:rsidP="00584E9E">
            <w:pPr>
              <w:widowControl/>
              <w:rPr>
                <w:rFonts w:ascii="Arial Narrow" w:eastAsia="Calibri" w:hAnsi="Arial Narrow"/>
                <w:i/>
                <w:snapToGrid/>
                <w:sz w:val="20"/>
              </w:rPr>
            </w:pPr>
            <w:r w:rsidRPr="005F039C">
              <w:rPr>
                <w:rFonts w:ascii="Arial Narrow" w:eastAsia="Calibri" w:hAnsi="Arial Narrow"/>
                <w:i/>
                <w:snapToGrid/>
                <w:sz w:val="20"/>
              </w:rPr>
              <w:t>Special Pricing Arrangements apply.</w:t>
            </w:r>
          </w:p>
        </w:tc>
      </w:tr>
    </w:tbl>
    <w:p w:rsidR="007A44E3" w:rsidRDefault="007A44E3" w:rsidP="005C226F">
      <w:pPr>
        <w:rPr>
          <w:b/>
          <w:i/>
        </w:rPr>
      </w:pPr>
    </w:p>
    <w:p w:rsidR="00AF349C" w:rsidRPr="005F039C" w:rsidRDefault="00AF349C" w:rsidP="005C226F">
      <w:pPr>
        <w:rPr>
          <w:b/>
          <w:i/>
        </w:rPr>
      </w:pPr>
    </w:p>
    <w:p w:rsidR="001472D1" w:rsidRDefault="001472D1" w:rsidP="00745891">
      <w:pPr>
        <w:pStyle w:val="ListParagraph"/>
        <w:widowControl/>
        <w:numPr>
          <w:ilvl w:val="0"/>
          <w:numId w:val="2"/>
        </w:numPr>
        <w:rPr>
          <w:b/>
        </w:rPr>
      </w:pPr>
      <w:r w:rsidRPr="00D4420F">
        <w:rPr>
          <w:b/>
        </w:rPr>
        <w:t>Context for Decision</w:t>
      </w:r>
    </w:p>
    <w:p w:rsidR="001472D1" w:rsidRPr="00D4420F" w:rsidRDefault="001472D1" w:rsidP="001472D1">
      <w:pPr>
        <w:pStyle w:val="ListParagraph"/>
        <w:rPr>
          <w:b/>
        </w:rPr>
      </w:pPr>
    </w:p>
    <w:p w:rsidR="001472D1" w:rsidRPr="00D4420F" w:rsidRDefault="001472D1" w:rsidP="001472D1">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472D1" w:rsidRDefault="001472D1" w:rsidP="001472D1"/>
    <w:p w:rsidR="00AF349C" w:rsidRPr="00D4420F" w:rsidRDefault="00AF349C" w:rsidP="001472D1"/>
    <w:p w:rsidR="001472D1" w:rsidRDefault="001472D1" w:rsidP="00745891">
      <w:pPr>
        <w:pStyle w:val="ListParagraph"/>
        <w:widowControl/>
        <w:numPr>
          <w:ilvl w:val="0"/>
          <w:numId w:val="2"/>
        </w:numPr>
        <w:rPr>
          <w:b/>
        </w:rPr>
      </w:pPr>
      <w:r w:rsidRPr="00D4420F">
        <w:rPr>
          <w:b/>
        </w:rPr>
        <w:t>Sponsor’s Comment</w:t>
      </w:r>
    </w:p>
    <w:p w:rsidR="007A44E3" w:rsidRPr="005F039C" w:rsidRDefault="007A44E3" w:rsidP="005C226F">
      <w:pPr>
        <w:rPr>
          <w:b/>
          <w:i/>
        </w:rPr>
      </w:pPr>
    </w:p>
    <w:p w:rsidR="007A44E3" w:rsidRPr="00A8288D" w:rsidRDefault="00A8288D" w:rsidP="00A8288D">
      <w:pPr>
        <w:ind w:left="720"/>
      </w:pPr>
      <w:r w:rsidRPr="00A8288D">
        <w:t>Bayer is concerned that the Pharmaceutical Benefits Advisory Committee’s (PBAC) considers a product that has not been approved, formulated or manufactured for use in eye disease in Australia as an appropriate comparator against a Therapeutic Goods Administration (TGA) approved treatment in the reimbursement assessment.</w:t>
      </w:r>
    </w:p>
    <w:p w:rsidR="00AE2426" w:rsidRPr="00AE2426" w:rsidRDefault="00AE2426" w:rsidP="00AE2426">
      <w:pPr>
        <w:ind w:left="720"/>
      </w:pPr>
      <w:r w:rsidRPr="00AE2426">
        <w:rPr>
          <w:iCs/>
          <w:lang w:val="en-US"/>
        </w:rPr>
        <w:t>For this reason, no formal clinical comparison was undertaken between aflibercept and bevacizumab.</w:t>
      </w:r>
    </w:p>
    <w:sectPr w:rsidR="00AE2426" w:rsidRPr="00AE2426" w:rsidSect="00492C76">
      <w:headerReference w:type="default" r:id="rId10"/>
      <w:footerReference w:type="default" r:id="rId11"/>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EDF" w:rsidRDefault="00827EDF" w:rsidP="00124A51">
      <w:r>
        <w:separator/>
      </w:r>
    </w:p>
  </w:endnote>
  <w:endnote w:type="continuationSeparator" w:id="0">
    <w:p w:rsidR="00827EDF" w:rsidRDefault="00827EDF"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250664"/>
      <w:docPartObj>
        <w:docPartGallery w:val="Page Numbers (Bottom of Page)"/>
        <w:docPartUnique/>
      </w:docPartObj>
    </w:sdtPr>
    <w:sdtEndPr>
      <w:rPr>
        <w:noProof/>
      </w:rPr>
    </w:sdtEndPr>
    <w:sdtContent>
      <w:p w:rsidR="002C0388" w:rsidRDefault="002C0388">
        <w:pPr>
          <w:pStyle w:val="Footer"/>
          <w:jc w:val="center"/>
        </w:pPr>
      </w:p>
      <w:p w:rsidR="002C0388" w:rsidRDefault="002C0388">
        <w:pPr>
          <w:pStyle w:val="Footer"/>
          <w:jc w:val="center"/>
        </w:pPr>
        <w:r>
          <w:fldChar w:fldCharType="begin"/>
        </w:r>
        <w:r>
          <w:instrText xml:space="preserve"> PAGE   \* MERGEFORMAT </w:instrText>
        </w:r>
        <w:r>
          <w:fldChar w:fldCharType="separate"/>
        </w:r>
        <w:r w:rsidR="00827EDF">
          <w:rPr>
            <w:noProof/>
          </w:rPr>
          <w:t>24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EDF" w:rsidRDefault="00827EDF" w:rsidP="00124A51">
      <w:r>
        <w:separator/>
      </w:r>
    </w:p>
  </w:footnote>
  <w:footnote w:type="continuationSeparator" w:id="0">
    <w:p w:rsidR="00827EDF" w:rsidRDefault="00827EDF"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388" w:rsidRPr="00F20888" w:rsidRDefault="002C0388" w:rsidP="00D67067">
    <w:pPr>
      <w:pStyle w:val="Header"/>
      <w:jc w:val="center"/>
      <w:rPr>
        <w:i/>
      </w:rPr>
    </w:pPr>
    <w:r>
      <w:rPr>
        <w:i/>
      </w:rPr>
      <w:t>Public Summary Document</w:t>
    </w:r>
    <w:r w:rsidRPr="00F20888">
      <w:rPr>
        <w:i/>
      </w:rPr>
      <w:t xml:space="preserve"> – November 2014 PBAC Meeting</w:t>
    </w:r>
  </w:p>
  <w:p w:rsidR="002C0388" w:rsidRPr="008C7ECB" w:rsidRDefault="002C03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E6E"/>
    <w:multiLevelType w:val="hybridMultilevel"/>
    <w:tmpl w:val="4EFA5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75344"/>
    <w:multiLevelType w:val="multilevel"/>
    <w:tmpl w:val="5A9C76F4"/>
    <w:styleLink w:val="StyleNumberedArial11ptLeft063cmHanging063cm"/>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8959B0"/>
    <w:multiLevelType w:val="hybridMultilevel"/>
    <w:tmpl w:val="E21E1AC0"/>
    <w:lvl w:ilvl="0" w:tplc="F2429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D15B36"/>
    <w:multiLevelType w:val="hybridMultilevel"/>
    <w:tmpl w:val="B3C28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1E77AC9"/>
    <w:multiLevelType w:val="hybridMultilevel"/>
    <w:tmpl w:val="70BC5E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59BC5196"/>
    <w:multiLevelType w:val="multilevel"/>
    <w:tmpl w:val="B3C2C57C"/>
    <w:lvl w:ilvl="0">
      <w:start w:val="6"/>
      <w:numFmt w:val="decimal"/>
      <w:lvlText w:val="%1"/>
      <w:lvlJc w:val="left"/>
      <w:pPr>
        <w:ind w:left="360" w:hanging="360"/>
      </w:pPr>
      <w:rPr>
        <w:rFonts w:hint="default"/>
        <w:i w:val="0"/>
      </w:rPr>
    </w:lvl>
    <w:lvl w:ilvl="1">
      <w:start w:val="4"/>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CA43C24"/>
    <w:multiLevelType w:val="hybridMultilevel"/>
    <w:tmpl w:val="434E9A98"/>
    <w:lvl w:ilvl="0" w:tplc="459866D6">
      <w:start w:val="1"/>
      <w:numFmt w:val="bullet"/>
      <w:pStyle w:val="Body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84D033C"/>
    <w:multiLevelType w:val="multilevel"/>
    <w:tmpl w:val="539631A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Courier New"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8"/>
  </w:num>
  <w:num w:numId="3">
    <w:abstractNumId w:val="6"/>
  </w:num>
  <w:num w:numId="4">
    <w:abstractNumId w:val="7"/>
  </w:num>
  <w:num w:numId="5">
    <w:abstractNumId w:val="2"/>
  </w:num>
  <w:num w:numId="6">
    <w:abstractNumId w:val="3"/>
  </w:num>
  <w:num w:numId="7">
    <w:abstractNumId w:val="8"/>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42A"/>
    <w:rsid w:val="00000790"/>
    <w:rsid w:val="0000110B"/>
    <w:rsid w:val="0000446A"/>
    <w:rsid w:val="00004F84"/>
    <w:rsid w:val="00005751"/>
    <w:rsid w:val="00006E09"/>
    <w:rsid w:val="00011CB6"/>
    <w:rsid w:val="00012191"/>
    <w:rsid w:val="00012559"/>
    <w:rsid w:val="00013247"/>
    <w:rsid w:val="00014CC6"/>
    <w:rsid w:val="00015886"/>
    <w:rsid w:val="000162EF"/>
    <w:rsid w:val="000209B5"/>
    <w:rsid w:val="0002225F"/>
    <w:rsid w:val="00023763"/>
    <w:rsid w:val="00034A61"/>
    <w:rsid w:val="00034FBA"/>
    <w:rsid w:val="00040895"/>
    <w:rsid w:val="0004231D"/>
    <w:rsid w:val="00042F2B"/>
    <w:rsid w:val="00043C37"/>
    <w:rsid w:val="0004414E"/>
    <w:rsid w:val="00044208"/>
    <w:rsid w:val="00046C96"/>
    <w:rsid w:val="00047906"/>
    <w:rsid w:val="00047997"/>
    <w:rsid w:val="0005327F"/>
    <w:rsid w:val="000546D7"/>
    <w:rsid w:val="00055A18"/>
    <w:rsid w:val="0006040C"/>
    <w:rsid w:val="000634E0"/>
    <w:rsid w:val="00064698"/>
    <w:rsid w:val="00065DE0"/>
    <w:rsid w:val="00066B5E"/>
    <w:rsid w:val="00066F1C"/>
    <w:rsid w:val="00067236"/>
    <w:rsid w:val="0007035D"/>
    <w:rsid w:val="00070B07"/>
    <w:rsid w:val="00071248"/>
    <w:rsid w:val="000720B9"/>
    <w:rsid w:val="0007536C"/>
    <w:rsid w:val="000767F1"/>
    <w:rsid w:val="000771BE"/>
    <w:rsid w:val="000801B9"/>
    <w:rsid w:val="000812CA"/>
    <w:rsid w:val="000817C7"/>
    <w:rsid w:val="000832DC"/>
    <w:rsid w:val="0008740E"/>
    <w:rsid w:val="00090C7E"/>
    <w:rsid w:val="00090D6B"/>
    <w:rsid w:val="000911F8"/>
    <w:rsid w:val="00094EEE"/>
    <w:rsid w:val="0009627E"/>
    <w:rsid w:val="00096417"/>
    <w:rsid w:val="000A2915"/>
    <w:rsid w:val="000A2EDE"/>
    <w:rsid w:val="000A4400"/>
    <w:rsid w:val="000A4987"/>
    <w:rsid w:val="000A55E0"/>
    <w:rsid w:val="000A7E5B"/>
    <w:rsid w:val="000B369C"/>
    <w:rsid w:val="000B4455"/>
    <w:rsid w:val="000B5079"/>
    <w:rsid w:val="000B78E0"/>
    <w:rsid w:val="000C3027"/>
    <w:rsid w:val="000C5C75"/>
    <w:rsid w:val="000C6D42"/>
    <w:rsid w:val="000D1BFC"/>
    <w:rsid w:val="000D703C"/>
    <w:rsid w:val="000E103F"/>
    <w:rsid w:val="000E3B90"/>
    <w:rsid w:val="000E68E1"/>
    <w:rsid w:val="000E6CA4"/>
    <w:rsid w:val="000F1822"/>
    <w:rsid w:val="000F30AE"/>
    <w:rsid w:val="000F3626"/>
    <w:rsid w:val="000F5BDF"/>
    <w:rsid w:val="000F73A8"/>
    <w:rsid w:val="00100F8A"/>
    <w:rsid w:val="00101464"/>
    <w:rsid w:val="00102DA7"/>
    <w:rsid w:val="001035B7"/>
    <w:rsid w:val="00104FA8"/>
    <w:rsid w:val="00105785"/>
    <w:rsid w:val="00106E28"/>
    <w:rsid w:val="001079B0"/>
    <w:rsid w:val="0011032E"/>
    <w:rsid w:val="00116CD8"/>
    <w:rsid w:val="001170FB"/>
    <w:rsid w:val="00117C4F"/>
    <w:rsid w:val="00121799"/>
    <w:rsid w:val="001222FC"/>
    <w:rsid w:val="0012330B"/>
    <w:rsid w:val="00124A51"/>
    <w:rsid w:val="00125F62"/>
    <w:rsid w:val="00126621"/>
    <w:rsid w:val="00127AEC"/>
    <w:rsid w:val="001301E9"/>
    <w:rsid w:val="0013385B"/>
    <w:rsid w:val="00134704"/>
    <w:rsid w:val="001351B6"/>
    <w:rsid w:val="001356FC"/>
    <w:rsid w:val="00135738"/>
    <w:rsid w:val="00135EE7"/>
    <w:rsid w:val="00137645"/>
    <w:rsid w:val="0014015A"/>
    <w:rsid w:val="00140A51"/>
    <w:rsid w:val="00140E99"/>
    <w:rsid w:val="00142C1A"/>
    <w:rsid w:val="0014372B"/>
    <w:rsid w:val="001456B0"/>
    <w:rsid w:val="001464BA"/>
    <w:rsid w:val="001472D1"/>
    <w:rsid w:val="00151B50"/>
    <w:rsid w:val="00152A15"/>
    <w:rsid w:val="00152D22"/>
    <w:rsid w:val="00152F61"/>
    <w:rsid w:val="00153C0E"/>
    <w:rsid w:val="001563D0"/>
    <w:rsid w:val="00156669"/>
    <w:rsid w:val="00157130"/>
    <w:rsid w:val="001573B7"/>
    <w:rsid w:val="00157F2A"/>
    <w:rsid w:val="00162444"/>
    <w:rsid w:val="001627E3"/>
    <w:rsid w:val="00162913"/>
    <w:rsid w:val="00163EFF"/>
    <w:rsid w:val="001661FB"/>
    <w:rsid w:val="001711D2"/>
    <w:rsid w:val="00175226"/>
    <w:rsid w:val="00176A3D"/>
    <w:rsid w:val="00176C6B"/>
    <w:rsid w:val="00183208"/>
    <w:rsid w:val="001842B9"/>
    <w:rsid w:val="001875D6"/>
    <w:rsid w:val="00190929"/>
    <w:rsid w:val="0019277F"/>
    <w:rsid w:val="00194C36"/>
    <w:rsid w:val="00195222"/>
    <w:rsid w:val="001954CB"/>
    <w:rsid w:val="00195841"/>
    <w:rsid w:val="00196FF7"/>
    <w:rsid w:val="001971A6"/>
    <w:rsid w:val="001975D8"/>
    <w:rsid w:val="001A222E"/>
    <w:rsid w:val="001A2546"/>
    <w:rsid w:val="001A4361"/>
    <w:rsid w:val="001A7446"/>
    <w:rsid w:val="001B1023"/>
    <w:rsid w:val="001B2D68"/>
    <w:rsid w:val="001B3443"/>
    <w:rsid w:val="001B5ACD"/>
    <w:rsid w:val="001B6188"/>
    <w:rsid w:val="001B6565"/>
    <w:rsid w:val="001C1030"/>
    <w:rsid w:val="001C3CEE"/>
    <w:rsid w:val="001C3E49"/>
    <w:rsid w:val="001C497F"/>
    <w:rsid w:val="001C5CC8"/>
    <w:rsid w:val="001C6E66"/>
    <w:rsid w:val="001D112E"/>
    <w:rsid w:val="001D12C2"/>
    <w:rsid w:val="001D12F6"/>
    <w:rsid w:val="001D44FC"/>
    <w:rsid w:val="001D69B8"/>
    <w:rsid w:val="001D7352"/>
    <w:rsid w:val="001D78F8"/>
    <w:rsid w:val="001E0EE6"/>
    <w:rsid w:val="001E238E"/>
    <w:rsid w:val="001E2A8A"/>
    <w:rsid w:val="001E4A05"/>
    <w:rsid w:val="001E4B4A"/>
    <w:rsid w:val="001E5182"/>
    <w:rsid w:val="001E52EB"/>
    <w:rsid w:val="001E740C"/>
    <w:rsid w:val="001E7BAD"/>
    <w:rsid w:val="001F1235"/>
    <w:rsid w:val="001F1CB3"/>
    <w:rsid w:val="001F1D03"/>
    <w:rsid w:val="001F26CB"/>
    <w:rsid w:val="001F4848"/>
    <w:rsid w:val="001F529D"/>
    <w:rsid w:val="001F7361"/>
    <w:rsid w:val="001F7DC3"/>
    <w:rsid w:val="00200655"/>
    <w:rsid w:val="002025FE"/>
    <w:rsid w:val="002046F1"/>
    <w:rsid w:val="00205B7B"/>
    <w:rsid w:val="0020620F"/>
    <w:rsid w:val="002105C1"/>
    <w:rsid w:val="002128F7"/>
    <w:rsid w:val="00212B61"/>
    <w:rsid w:val="00216A81"/>
    <w:rsid w:val="0021799C"/>
    <w:rsid w:val="00217F0F"/>
    <w:rsid w:val="00221DFF"/>
    <w:rsid w:val="002229A8"/>
    <w:rsid w:val="00223310"/>
    <w:rsid w:val="00223B49"/>
    <w:rsid w:val="00224DD4"/>
    <w:rsid w:val="002309CC"/>
    <w:rsid w:val="00233643"/>
    <w:rsid w:val="0023376D"/>
    <w:rsid w:val="002372E9"/>
    <w:rsid w:val="00240EAB"/>
    <w:rsid w:val="00241F47"/>
    <w:rsid w:val="00244CD2"/>
    <w:rsid w:val="00247964"/>
    <w:rsid w:val="00251F7A"/>
    <w:rsid w:val="00252B57"/>
    <w:rsid w:val="0025315D"/>
    <w:rsid w:val="00254021"/>
    <w:rsid w:val="0025534B"/>
    <w:rsid w:val="00255BB7"/>
    <w:rsid w:val="002570C5"/>
    <w:rsid w:val="00261ABE"/>
    <w:rsid w:val="00262A87"/>
    <w:rsid w:val="002630EA"/>
    <w:rsid w:val="00266580"/>
    <w:rsid w:val="0027021F"/>
    <w:rsid w:val="00272E1C"/>
    <w:rsid w:val="00274E66"/>
    <w:rsid w:val="00275C5A"/>
    <w:rsid w:val="00275E83"/>
    <w:rsid w:val="002761B0"/>
    <w:rsid w:val="00281653"/>
    <w:rsid w:val="00281966"/>
    <w:rsid w:val="00283D40"/>
    <w:rsid w:val="00287D0D"/>
    <w:rsid w:val="00290C88"/>
    <w:rsid w:val="002911A5"/>
    <w:rsid w:val="00291D97"/>
    <w:rsid w:val="00297F9F"/>
    <w:rsid w:val="002A0839"/>
    <w:rsid w:val="002A14AB"/>
    <w:rsid w:val="002A4140"/>
    <w:rsid w:val="002A64A7"/>
    <w:rsid w:val="002B0818"/>
    <w:rsid w:val="002B0B99"/>
    <w:rsid w:val="002B1C1F"/>
    <w:rsid w:val="002B2D9F"/>
    <w:rsid w:val="002B311C"/>
    <w:rsid w:val="002B432F"/>
    <w:rsid w:val="002B6CCE"/>
    <w:rsid w:val="002B7B8F"/>
    <w:rsid w:val="002C0388"/>
    <w:rsid w:val="002C11EA"/>
    <w:rsid w:val="002C1619"/>
    <w:rsid w:val="002C1E8F"/>
    <w:rsid w:val="002C27C1"/>
    <w:rsid w:val="002C3F67"/>
    <w:rsid w:val="002C5443"/>
    <w:rsid w:val="002C5BC6"/>
    <w:rsid w:val="002C5E6A"/>
    <w:rsid w:val="002C6956"/>
    <w:rsid w:val="002D0A22"/>
    <w:rsid w:val="002D39E6"/>
    <w:rsid w:val="002D5EB5"/>
    <w:rsid w:val="002D749C"/>
    <w:rsid w:val="002E18C6"/>
    <w:rsid w:val="002E2F15"/>
    <w:rsid w:val="002E4A1F"/>
    <w:rsid w:val="002E6DCB"/>
    <w:rsid w:val="002F46A2"/>
    <w:rsid w:val="00301017"/>
    <w:rsid w:val="003011D5"/>
    <w:rsid w:val="00301DD6"/>
    <w:rsid w:val="00302D36"/>
    <w:rsid w:val="00305025"/>
    <w:rsid w:val="00305995"/>
    <w:rsid w:val="0030786C"/>
    <w:rsid w:val="0031031A"/>
    <w:rsid w:val="00310D9D"/>
    <w:rsid w:val="003113AC"/>
    <w:rsid w:val="00315498"/>
    <w:rsid w:val="00321447"/>
    <w:rsid w:val="003214BD"/>
    <w:rsid w:val="00323D05"/>
    <w:rsid w:val="00323FE8"/>
    <w:rsid w:val="003247A8"/>
    <w:rsid w:val="003247EE"/>
    <w:rsid w:val="00327246"/>
    <w:rsid w:val="0033437D"/>
    <w:rsid w:val="00334458"/>
    <w:rsid w:val="0033519A"/>
    <w:rsid w:val="0033535C"/>
    <w:rsid w:val="003360AF"/>
    <w:rsid w:val="003366C9"/>
    <w:rsid w:val="00337469"/>
    <w:rsid w:val="00337E5B"/>
    <w:rsid w:val="003411B7"/>
    <w:rsid w:val="003435CF"/>
    <w:rsid w:val="00343A20"/>
    <w:rsid w:val="00352CD9"/>
    <w:rsid w:val="003555D0"/>
    <w:rsid w:val="0035620E"/>
    <w:rsid w:val="00360A20"/>
    <w:rsid w:val="00364034"/>
    <w:rsid w:val="00364596"/>
    <w:rsid w:val="003651F9"/>
    <w:rsid w:val="0036571F"/>
    <w:rsid w:val="00365D6C"/>
    <w:rsid w:val="0037001C"/>
    <w:rsid w:val="0037008D"/>
    <w:rsid w:val="00371FC7"/>
    <w:rsid w:val="00373DF0"/>
    <w:rsid w:val="003745CE"/>
    <w:rsid w:val="00375291"/>
    <w:rsid w:val="003774FA"/>
    <w:rsid w:val="0037798F"/>
    <w:rsid w:val="00380EB3"/>
    <w:rsid w:val="0038339B"/>
    <w:rsid w:val="0038365C"/>
    <w:rsid w:val="003906BD"/>
    <w:rsid w:val="00393F75"/>
    <w:rsid w:val="00395E1C"/>
    <w:rsid w:val="00396879"/>
    <w:rsid w:val="00396FD0"/>
    <w:rsid w:val="003A12B2"/>
    <w:rsid w:val="003A1A7A"/>
    <w:rsid w:val="003A2C74"/>
    <w:rsid w:val="003A3964"/>
    <w:rsid w:val="003A5729"/>
    <w:rsid w:val="003A6970"/>
    <w:rsid w:val="003B3FE9"/>
    <w:rsid w:val="003C06CC"/>
    <w:rsid w:val="003C0B10"/>
    <w:rsid w:val="003C0CCA"/>
    <w:rsid w:val="003C1D4F"/>
    <w:rsid w:val="003C2A30"/>
    <w:rsid w:val="003C2CE3"/>
    <w:rsid w:val="003C54AC"/>
    <w:rsid w:val="003D0FF6"/>
    <w:rsid w:val="003D1828"/>
    <w:rsid w:val="003D2422"/>
    <w:rsid w:val="003D34D8"/>
    <w:rsid w:val="003D487B"/>
    <w:rsid w:val="003D5CD5"/>
    <w:rsid w:val="003E135A"/>
    <w:rsid w:val="003E6865"/>
    <w:rsid w:val="003E68D0"/>
    <w:rsid w:val="003E71FC"/>
    <w:rsid w:val="003F245D"/>
    <w:rsid w:val="003F2831"/>
    <w:rsid w:val="003F4156"/>
    <w:rsid w:val="003F4A9F"/>
    <w:rsid w:val="003F4C34"/>
    <w:rsid w:val="003F6965"/>
    <w:rsid w:val="003F7AD1"/>
    <w:rsid w:val="00400BB6"/>
    <w:rsid w:val="004015E9"/>
    <w:rsid w:val="00401F07"/>
    <w:rsid w:val="00402CE8"/>
    <w:rsid w:val="00403832"/>
    <w:rsid w:val="00405B08"/>
    <w:rsid w:val="00410235"/>
    <w:rsid w:val="004102AF"/>
    <w:rsid w:val="004106C0"/>
    <w:rsid w:val="00410EC7"/>
    <w:rsid w:val="00412985"/>
    <w:rsid w:val="00414476"/>
    <w:rsid w:val="0041462F"/>
    <w:rsid w:val="00414CED"/>
    <w:rsid w:val="00415210"/>
    <w:rsid w:val="00415351"/>
    <w:rsid w:val="004156A2"/>
    <w:rsid w:val="00416A77"/>
    <w:rsid w:val="00420B9F"/>
    <w:rsid w:val="00422226"/>
    <w:rsid w:val="00422918"/>
    <w:rsid w:val="00425CB2"/>
    <w:rsid w:val="00427F7C"/>
    <w:rsid w:val="00431503"/>
    <w:rsid w:val="004319F8"/>
    <w:rsid w:val="00431FD0"/>
    <w:rsid w:val="00432952"/>
    <w:rsid w:val="00434430"/>
    <w:rsid w:val="0043463D"/>
    <w:rsid w:val="00436F0F"/>
    <w:rsid w:val="00441CD3"/>
    <w:rsid w:val="0044309B"/>
    <w:rsid w:val="004443A7"/>
    <w:rsid w:val="004458F2"/>
    <w:rsid w:val="00445BCD"/>
    <w:rsid w:val="004464EB"/>
    <w:rsid w:val="004517C6"/>
    <w:rsid w:val="00452DC4"/>
    <w:rsid w:val="00453F5E"/>
    <w:rsid w:val="00455D45"/>
    <w:rsid w:val="004625D3"/>
    <w:rsid w:val="00462D48"/>
    <w:rsid w:val="0046340F"/>
    <w:rsid w:val="00464252"/>
    <w:rsid w:val="00464595"/>
    <w:rsid w:val="00465591"/>
    <w:rsid w:val="004721A9"/>
    <w:rsid w:val="00472359"/>
    <w:rsid w:val="0047456A"/>
    <w:rsid w:val="004756D7"/>
    <w:rsid w:val="004764C4"/>
    <w:rsid w:val="00477EE1"/>
    <w:rsid w:val="004823C3"/>
    <w:rsid w:val="00482444"/>
    <w:rsid w:val="00483CA0"/>
    <w:rsid w:val="0048630B"/>
    <w:rsid w:val="004867E2"/>
    <w:rsid w:val="00487031"/>
    <w:rsid w:val="004905DA"/>
    <w:rsid w:val="00490BD2"/>
    <w:rsid w:val="00491B3A"/>
    <w:rsid w:val="0049259C"/>
    <w:rsid w:val="00492C76"/>
    <w:rsid w:val="00493074"/>
    <w:rsid w:val="004948B9"/>
    <w:rsid w:val="004958F9"/>
    <w:rsid w:val="004961A1"/>
    <w:rsid w:val="00497F10"/>
    <w:rsid w:val="004A0DA1"/>
    <w:rsid w:val="004A6597"/>
    <w:rsid w:val="004A7338"/>
    <w:rsid w:val="004A7656"/>
    <w:rsid w:val="004B1776"/>
    <w:rsid w:val="004B21AD"/>
    <w:rsid w:val="004B2F18"/>
    <w:rsid w:val="004B31E7"/>
    <w:rsid w:val="004B3DDB"/>
    <w:rsid w:val="004B44FD"/>
    <w:rsid w:val="004B5971"/>
    <w:rsid w:val="004B5CFC"/>
    <w:rsid w:val="004B7B92"/>
    <w:rsid w:val="004B7DDB"/>
    <w:rsid w:val="004C2F19"/>
    <w:rsid w:val="004C4AED"/>
    <w:rsid w:val="004C557A"/>
    <w:rsid w:val="004C6F72"/>
    <w:rsid w:val="004C7A2E"/>
    <w:rsid w:val="004D0AA6"/>
    <w:rsid w:val="004D1751"/>
    <w:rsid w:val="004E0EB8"/>
    <w:rsid w:val="004E2ADC"/>
    <w:rsid w:val="004E3A00"/>
    <w:rsid w:val="004E618B"/>
    <w:rsid w:val="004F02AE"/>
    <w:rsid w:val="004F1D02"/>
    <w:rsid w:val="004F2679"/>
    <w:rsid w:val="004F7EAC"/>
    <w:rsid w:val="00501666"/>
    <w:rsid w:val="00501A47"/>
    <w:rsid w:val="00503A94"/>
    <w:rsid w:val="00506E16"/>
    <w:rsid w:val="00507F6A"/>
    <w:rsid w:val="00510231"/>
    <w:rsid w:val="00512D9A"/>
    <w:rsid w:val="005136FC"/>
    <w:rsid w:val="005152B5"/>
    <w:rsid w:val="0051619C"/>
    <w:rsid w:val="00517174"/>
    <w:rsid w:val="0051719A"/>
    <w:rsid w:val="005210C3"/>
    <w:rsid w:val="00521319"/>
    <w:rsid w:val="005237D3"/>
    <w:rsid w:val="00523C28"/>
    <w:rsid w:val="005250BA"/>
    <w:rsid w:val="00525231"/>
    <w:rsid w:val="005256DC"/>
    <w:rsid w:val="00525BC1"/>
    <w:rsid w:val="00527BA5"/>
    <w:rsid w:val="00532CD4"/>
    <w:rsid w:val="00540A2A"/>
    <w:rsid w:val="0054178B"/>
    <w:rsid w:val="00545692"/>
    <w:rsid w:val="005462EA"/>
    <w:rsid w:val="00546CEB"/>
    <w:rsid w:val="00552AE9"/>
    <w:rsid w:val="0055330F"/>
    <w:rsid w:val="00555109"/>
    <w:rsid w:val="00561022"/>
    <w:rsid w:val="00561F63"/>
    <w:rsid w:val="0056276A"/>
    <w:rsid w:val="00565802"/>
    <w:rsid w:val="0056696F"/>
    <w:rsid w:val="005709B9"/>
    <w:rsid w:val="00571C64"/>
    <w:rsid w:val="00573BDD"/>
    <w:rsid w:val="00573EEB"/>
    <w:rsid w:val="00576972"/>
    <w:rsid w:val="00576D68"/>
    <w:rsid w:val="00577717"/>
    <w:rsid w:val="005801D8"/>
    <w:rsid w:val="005801E9"/>
    <w:rsid w:val="00581B89"/>
    <w:rsid w:val="00583699"/>
    <w:rsid w:val="00584917"/>
    <w:rsid w:val="00584E9E"/>
    <w:rsid w:val="00587413"/>
    <w:rsid w:val="00587752"/>
    <w:rsid w:val="005900D9"/>
    <w:rsid w:val="00593927"/>
    <w:rsid w:val="005944A9"/>
    <w:rsid w:val="00594A80"/>
    <w:rsid w:val="00597B27"/>
    <w:rsid w:val="005A0024"/>
    <w:rsid w:val="005A13BF"/>
    <w:rsid w:val="005A4F5F"/>
    <w:rsid w:val="005B0B15"/>
    <w:rsid w:val="005B0FF2"/>
    <w:rsid w:val="005B5857"/>
    <w:rsid w:val="005B76C1"/>
    <w:rsid w:val="005C1B83"/>
    <w:rsid w:val="005C226F"/>
    <w:rsid w:val="005C315C"/>
    <w:rsid w:val="005C346B"/>
    <w:rsid w:val="005C6124"/>
    <w:rsid w:val="005C7549"/>
    <w:rsid w:val="005C7E45"/>
    <w:rsid w:val="005D18AD"/>
    <w:rsid w:val="005D22AD"/>
    <w:rsid w:val="005D613B"/>
    <w:rsid w:val="005D7E3E"/>
    <w:rsid w:val="005E2F9E"/>
    <w:rsid w:val="005E4641"/>
    <w:rsid w:val="005E5D2B"/>
    <w:rsid w:val="005F039C"/>
    <w:rsid w:val="005F09DE"/>
    <w:rsid w:val="005F136B"/>
    <w:rsid w:val="005F2706"/>
    <w:rsid w:val="005F27C3"/>
    <w:rsid w:val="005F2D87"/>
    <w:rsid w:val="005F2F6E"/>
    <w:rsid w:val="005F6A8F"/>
    <w:rsid w:val="006007E5"/>
    <w:rsid w:val="00602488"/>
    <w:rsid w:val="0060350B"/>
    <w:rsid w:val="00604C16"/>
    <w:rsid w:val="006068EA"/>
    <w:rsid w:val="00607669"/>
    <w:rsid w:val="00607D0A"/>
    <w:rsid w:val="00610752"/>
    <w:rsid w:val="00611661"/>
    <w:rsid w:val="00612DF9"/>
    <w:rsid w:val="00612F97"/>
    <w:rsid w:val="00614DC7"/>
    <w:rsid w:val="00616802"/>
    <w:rsid w:val="00616ED0"/>
    <w:rsid w:val="00617567"/>
    <w:rsid w:val="00617E12"/>
    <w:rsid w:val="006206B2"/>
    <w:rsid w:val="00620D04"/>
    <w:rsid w:val="00621477"/>
    <w:rsid w:val="00621832"/>
    <w:rsid w:val="006219C3"/>
    <w:rsid w:val="00621F64"/>
    <w:rsid w:val="00625CBF"/>
    <w:rsid w:val="00631D6B"/>
    <w:rsid w:val="0063207D"/>
    <w:rsid w:val="006333E7"/>
    <w:rsid w:val="0063479F"/>
    <w:rsid w:val="006364A1"/>
    <w:rsid w:val="0063652F"/>
    <w:rsid w:val="00637BFD"/>
    <w:rsid w:val="006406F7"/>
    <w:rsid w:val="00641C62"/>
    <w:rsid w:val="006429F8"/>
    <w:rsid w:val="00643D13"/>
    <w:rsid w:val="006451CB"/>
    <w:rsid w:val="006471CC"/>
    <w:rsid w:val="00647A2A"/>
    <w:rsid w:val="0065079F"/>
    <w:rsid w:val="00650BB9"/>
    <w:rsid w:val="00650F4A"/>
    <w:rsid w:val="006536A0"/>
    <w:rsid w:val="00653B13"/>
    <w:rsid w:val="006554BD"/>
    <w:rsid w:val="006558C6"/>
    <w:rsid w:val="00655D15"/>
    <w:rsid w:val="00657C44"/>
    <w:rsid w:val="00662137"/>
    <w:rsid w:val="00662EE1"/>
    <w:rsid w:val="0066364C"/>
    <w:rsid w:val="006637FA"/>
    <w:rsid w:val="006664DF"/>
    <w:rsid w:val="006704EB"/>
    <w:rsid w:val="006705FD"/>
    <w:rsid w:val="00671F2A"/>
    <w:rsid w:val="00674E42"/>
    <w:rsid w:val="006775A7"/>
    <w:rsid w:val="00682112"/>
    <w:rsid w:val="00687D3D"/>
    <w:rsid w:val="00691B7B"/>
    <w:rsid w:val="00692BCD"/>
    <w:rsid w:val="00693277"/>
    <w:rsid w:val="00693560"/>
    <w:rsid w:val="00694F44"/>
    <w:rsid w:val="0069539F"/>
    <w:rsid w:val="00696B9E"/>
    <w:rsid w:val="006A1EB6"/>
    <w:rsid w:val="006A3519"/>
    <w:rsid w:val="006B01B6"/>
    <w:rsid w:val="006B1CA0"/>
    <w:rsid w:val="006B2E2E"/>
    <w:rsid w:val="006B5A69"/>
    <w:rsid w:val="006B5D9D"/>
    <w:rsid w:val="006B608D"/>
    <w:rsid w:val="006C1A81"/>
    <w:rsid w:val="006C2A8E"/>
    <w:rsid w:val="006C417C"/>
    <w:rsid w:val="006C4827"/>
    <w:rsid w:val="006C6F42"/>
    <w:rsid w:val="006D1549"/>
    <w:rsid w:val="006D260B"/>
    <w:rsid w:val="006D3495"/>
    <w:rsid w:val="006D3C7D"/>
    <w:rsid w:val="006D3DF9"/>
    <w:rsid w:val="006D67AD"/>
    <w:rsid w:val="006E03A9"/>
    <w:rsid w:val="006E0E6D"/>
    <w:rsid w:val="006E109B"/>
    <w:rsid w:val="006E3D9B"/>
    <w:rsid w:val="006F10E7"/>
    <w:rsid w:val="006F2497"/>
    <w:rsid w:val="006F4DD1"/>
    <w:rsid w:val="006F560D"/>
    <w:rsid w:val="006F5B3B"/>
    <w:rsid w:val="006F63A5"/>
    <w:rsid w:val="006F77A4"/>
    <w:rsid w:val="00700AA9"/>
    <w:rsid w:val="0070276E"/>
    <w:rsid w:val="007047F4"/>
    <w:rsid w:val="00705492"/>
    <w:rsid w:val="00706954"/>
    <w:rsid w:val="007071E1"/>
    <w:rsid w:val="00710603"/>
    <w:rsid w:val="00711A36"/>
    <w:rsid w:val="007123E5"/>
    <w:rsid w:val="00712D65"/>
    <w:rsid w:val="00715D4C"/>
    <w:rsid w:val="00716A5F"/>
    <w:rsid w:val="00716C84"/>
    <w:rsid w:val="007172AD"/>
    <w:rsid w:val="00717A77"/>
    <w:rsid w:val="007265FB"/>
    <w:rsid w:val="007314B2"/>
    <w:rsid w:val="0073280A"/>
    <w:rsid w:val="00735328"/>
    <w:rsid w:val="0073533C"/>
    <w:rsid w:val="00735C86"/>
    <w:rsid w:val="007360F4"/>
    <w:rsid w:val="0073685B"/>
    <w:rsid w:val="00737AB7"/>
    <w:rsid w:val="0074174C"/>
    <w:rsid w:val="007448E6"/>
    <w:rsid w:val="00745891"/>
    <w:rsid w:val="00746294"/>
    <w:rsid w:val="007474AD"/>
    <w:rsid w:val="00750FC7"/>
    <w:rsid w:val="0075248A"/>
    <w:rsid w:val="00752722"/>
    <w:rsid w:val="00752772"/>
    <w:rsid w:val="00755C5C"/>
    <w:rsid w:val="00760118"/>
    <w:rsid w:val="007611EB"/>
    <w:rsid w:val="00762946"/>
    <w:rsid w:val="00762F4E"/>
    <w:rsid w:val="007639A9"/>
    <w:rsid w:val="00764E30"/>
    <w:rsid w:val="00765D27"/>
    <w:rsid w:val="00770521"/>
    <w:rsid w:val="007741E7"/>
    <w:rsid w:val="007754E7"/>
    <w:rsid w:val="00775BD0"/>
    <w:rsid w:val="00781C87"/>
    <w:rsid w:val="00790CD7"/>
    <w:rsid w:val="00790D2C"/>
    <w:rsid w:val="007A17AA"/>
    <w:rsid w:val="007A30D5"/>
    <w:rsid w:val="007A44E3"/>
    <w:rsid w:val="007A7920"/>
    <w:rsid w:val="007B11E5"/>
    <w:rsid w:val="007B1D37"/>
    <w:rsid w:val="007B251D"/>
    <w:rsid w:val="007B394B"/>
    <w:rsid w:val="007B3B6C"/>
    <w:rsid w:val="007B77D1"/>
    <w:rsid w:val="007C0F83"/>
    <w:rsid w:val="007C26CB"/>
    <w:rsid w:val="007C53CB"/>
    <w:rsid w:val="007C7152"/>
    <w:rsid w:val="007D0918"/>
    <w:rsid w:val="007D0B38"/>
    <w:rsid w:val="007D11D5"/>
    <w:rsid w:val="007E25E7"/>
    <w:rsid w:val="007E37B7"/>
    <w:rsid w:val="007E4463"/>
    <w:rsid w:val="007E578B"/>
    <w:rsid w:val="007E6829"/>
    <w:rsid w:val="007F1017"/>
    <w:rsid w:val="007F1F0E"/>
    <w:rsid w:val="007F4899"/>
    <w:rsid w:val="007F4A3F"/>
    <w:rsid w:val="007F6EE8"/>
    <w:rsid w:val="00805142"/>
    <w:rsid w:val="00807A8B"/>
    <w:rsid w:val="00807B22"/>
    <w:rsid w:val="008114FA"/>
    <w:rsid w:val="00812149"/>
    <w:rsid w:val="00813A49"/>
    <w:rsid w:val="008166EF"/>
    <w:rsid w:val="008167E3"/>
    <w:rsid w:val="00817A99"/>
    <w:rsid w:val="0082347E"/>
    <w:rsid w:val="008252C7"/>
    <w:rsid w:val="0082568B"/>
    <w:rsid w:val="008264EB"/>
    <w:rsid w:val="00827AFE"/>
    <w:rsid w:val="00827EDF"/>
    <w:rsid w:val="008326C6"/>
    <w:rsid w:val="00840CA2"/>
    <w:rsid w:val="00842524"/>
    <w:rsid w:val="0084426F"/>
    <w:rsid w:val="00845CD1"/>
    <w:rsid w:val="00846521"/>
    <w:rsid w:val="00847464"/>
    <w:rsid w:val="00850BEB"/>
    <w:rsid w:val="008522BD"/>
    <w:rsid w:val="00853A11"/>
    <w:rsid w:val="00853DF1"/>
    <w:rsid w:val="008545B5"/>
    <w:rsid w:val="00856002"/>
    <w:rsid w:val="00856E9A"/>
    <w:rsid w:val="00865874"/>
    <w:rsid w:val="0086675F"/>
    <w:rsid w:val="00866E37"/>
    <w:rsid w:val="0086761C"/>
    <w:rsid w:val="00873679"/>
    <w:rsid w:val="00873F30"/>
    <w:rsid w:val="00875A61"/>
    <w:rsid w:val="00881C09"/>
    <w:rsid w:val="00882874"/>
    <w:rsid w:val="00882C0C"/>
    <w:rsid w:val="008833FC"/>
    <w:rsid w:val="00883787"/>
    <w:rsid w:val="00887377"/>
    <w:rsid w:val="00890E18"/>
    <w:rsid w:val="00891DE5"/>
    <w:rsid w:val="00892B49"/>
    <w:rsid w:val="00892E59"/>
    <w:rsid w:val="008963A5"/>
    <w:rsid w:val="008A0494"/>
    <w:rsid w:val="008A15AB"/>
    <w:rsid w:val="008A2338"/>
    <w:rsid w:val="008A2ECF"/>
    <w:rsid w:val="008A3C3E"/>
    <w:rsid w:val="008A6B62"/>
    <w:rsid w:val="008A6CBF"/>
    <w:rsid w:val="008A79DE"/>
    <w:rsid w:val="008B0F7B"/>
    <w:rsid w:val="008B10FA"/>
    <w:rsid w:val="008B15B8"/>
    <w:rsid w:val="008B21D0"/>
    <w:rsid w:val="008B53B3"/>
    <w:rsid w:val="008B6496"/>
    <w:rsid w:val="008B7D7E"/>
    <w:rsid w:val="008C1E02"/>
    <w:rsid w:val="008C1E35"/>
    <w:rsid w:val="008C1F68"/>
    <w:rsid w:val="008C705A"/>
    <w:rsid w:val="008C7157"/>
    <w:rsid w:val="008C7ECB"/>
    <w:rsid w:val="008D10D7"/>
    <w:rsid w:val="008D223B"/>
    <w:rsid w:val="008D226B"/>
    <w:rsid w:val="008D2D4D"/>
    <w:rsid w:val="008D7F88"/>
    <w:rsid w:val="008E1B1A"/>
    <w:rsid w:val="008E1B9E"/>
    <w:rsid w:val="008E2836"/>
    <w:rsid w:val="008E413D"/>
    <w:rsid w:val="008E4337"/>
    <w:rsid w:val="008E62CC"/>
    <w:rsid w:val="008E7EED"/>
    <w:rsid w:val="008F0048"/>
    <w:rsid w:val="008F0DCF"/>
    <w:rsid w:val="008F1F8A"/>
    <w:rsid w:val="008F2EB4"/>
    <w:rsid w:val="008F39BF"/>
    <w:rsid w:val="008F48EB"/>
    <w:rsid w:val="008F4989"/>
    <w:rsid w:val="008F4F0B"/>
    <w:rsid w:val="00901ABC"/>
    <w:rsid w:val="00903271"/>
    <w:rsid w:val="0090491F"/>
    <w:rsid w:val="009062A5"/>
    <w:rsid w:val="009100C9"/>
    <w:rsid w:val="009106BD"/>
    <w:rsid w:val="00911272"/>
    <w:rsid w:val="00911CA9"/>
    <w:rsid w:val="00912E52"/>
    <w:rsid w:val="009163EF"/>
    <w:rsid w:val="0091698D"/>
    <w:rsid w:val="00917E20"/>
    <w:rsid w:val="00927EC5"/>
    <w:rsid w:val="009307C6"/>
    <w:rsid w:val="00930C5B"/>
    <w:rsid w:val="00935083"/>
    <w:rsid w:val="00935AFE"/>
    <w:rsid w:val="00935B00"/>
    <w:rsid w:val="00936A49"/>
    <w:rsid w:val="00937789"/>
    <w:rsid w:val="00941DC7"/>
    <w:rsid w:val="0094276B"/>
    <w:rsid w:val="00942D92"/>
    <w:rsid w:val="00943666"/>
    <w:rsid w:val="009466FF"/>
    <w:rsid w:val="00950BD5"/>
    <w:rsid w:val="00952D17"/>
    <w:rsid w:val="00953B4F"/>
    <w:rsid w:val="00957256"/>
    <w:rsid w:val="009601E5"/>
    <w:rsid w:val="00961AF9"/>
    <w:rsid w:val="00962CB9"/>
    <w:rsid w:val="00963F7D"/>
    <w:rsid w:val="00964312"/>
    <w:rsid w:val="00970909"/>
    <w:rsid w:val="00972FD1"/>
    <w:rsid w:val="00974441"/>
    <w:rsid w:val="00975660"/>
    <w:rsid w:val="0098002F"/>
    <w:rsid w:val="00980417"/>
    <w:rsid w:val="00982535"/>
    <w:rsid w:val="00982F42"/>
    <w:rsid w:val="00983E57"/>
    <w:rsid w:val="00985B47"/>
    <w:rsid w:val="00986163"/>
    <w:rsid w:val="00987EA2"/>
    <w:rsid w:val="00991518"/>
    <w:rsid w:val="00993806"/>
    <w:rsid w:val="009965DE"/>
    <w:rsid w:val="00996B1A"/>
    <w:rsid w:val="009A16EF"/>
    <w:rsid w:val="009A4A8A"/>
    <w:rsid w:val="009A50AB"/>
    <w:rsid w:val="009A5EC7"/>
    <w:rsid w:val="009B288E"/>
    <w:rsid w:val="009B2B9B"/>
    <w:rsid w:val="009B3E26"/>
    <w:rsid w:val="009B5A2E"/>
    <w:rsid w:val="009B5B73"/>
    <w:rsid w:val="009B6C6A"/>
    <w:rsid w:val="009C0D6C"/>
    <w:rsid w:val="009C45DE"/>
    <w:rsid w:val="009C484B"/>
    <w:rsid w:val="009C5A7D"/>
    <w:rsid w:val="009C6F6D"/>
    <w:rsid w:val="009D1226"/>
    <w:rsid w:val="009D1E1E"/>
    <w:rsid w:val="009D4DBC"/>
    <w:rsid w:val="009D5B91"/>
    <w:rsid w:val="009E06A4"/>
    <w:rsid w:val="009E0E19"/>
    <w:rsid w:val="009E2114"/>
    <w:rsid w:val="009E215A"/>
    <w:rsid w:val="009E4C07"/>
    <w:rsid w:val="009E4F5E"/>
    <w:rsid w:val="009E6543"/>
    <w:rsid w:val="009E70D5"/>
    <w:rsid w:val="009F1830"/>
    <w:rsid w:val="009F204E"/>
    <w:rsid w:val="009F266E"/>
    <w:rsid w:val="009F3993"/>
    <w:rsid w:val="009F63B1"/>
    <w:rsid w:val="009F6C49"/>
    <w:rsid w:val="009F7096"/>
    <w:rsid w:val="00A02A94"/>
    <w:rsid w:val="00A03A53"/>
    <w:rsid w:val="00A03D43"/>
    <w:rsid w:val="00A03F96"/>
    <w:rsid w:val="00A04380"/>
    <w:rsid w:val="00A071B2"/>
    <w:rsid w:val="00A077D5"/>
    <w:rsid w:val="00A11F7D"/>
    <w:rsid w:val="00A13948"/>
    <w:rsid w:val="00A2122F"/>
    <w:rsid w:val="00A23943"/>
    <w:rsid w:val="00A25003"/>
    <w:rsid w:val="00A272BD"/>
    <w:rsid w:val="00A277F8"/>
    <w:rsid w:val="00A27AEC"/>
    <w:rsid w:val="00A27EBD"/>
    <w:rsid w:val="00A3442B"/>
    <w:rsid w:val="00A351D2"/>
    <w:rsid w:val="00A35D16"/>
    <w:rsid w:val="00A361CD"/>
    <w:rsid w:val="00A403BF"/>
    <w:rsid w:val="00A41C98"/>
    <w:rsid w:val="00A43C59"/>
    <w:rsid w:val="00A4648C"/>
    <w:rsid w:val="00A5014F"/>
    <w:rsid w:val="00A50ECD"/>
    <w:rsid w:val="00A51B6E"/>
    <w:rsid w:val="00A52729"/>
    <w:rsid w:val="00A53675"/>
    <w:rsid w:val="00A56658"/>
    <w:rsid w:val="00A56B6A"/>
    <w:rsid w:val="00A578DC"/>
    <w:rsid w:val="00A602DD"/>
    <w:rsid w:val="00A603FD"/>
    <w:rsid w:val="00A60CBA"/>
    <w:rsid w:val="00A61167"/>
    <w:rsid w:val="00A63B6A"/>
    <w:rsid w:val="00A64E53"/>
    <w:rsid w:val="00A65BD7"/>
    <w:rsid w:val="00A671C7"/>
    <w:rsid w:val="00A6725B"/>
    <w:rsid w:val="00A71838"/>
    <w:rsid w:val="00A7318D"/>
    <w:rsid w:val="00A732E6"/>
    <w:rsid w:val="00A76339"/>
    <w:rsid w:val="00A8288D"/>
    <w:rsid w:val="00A82EF1"/>
    <w:rsid w:val="00A8303E"/>
    <w:rsid w:val="00A85756"/>
    <w:rsid w:val="00A857D4"/>
    <w:rsid w:val="00A86E8B"/>
    <w:rsid w:val="00A90050"/>
    <w:rsid w:val="00A93072"/>
    <w:rsid w:val="00A95501"/>
    <w:rsid w:val="00A95CE1"/>
    <w:rsid w:val="00A97555"/>
    <w:rsid w:val="00AA0A07"/>
    <w:rsid w:val="00AA1EAA"/>
    <w:rsid w:val="00AA4812"/>
    <w:rsid w:val="00AA6B9D"/>
    <w:rsid w:val="00AB042A"/>
    <w:rsid w:val="00AB24B0"/>
    <w:rsid w:val="00AB28D3"/>
    <w:rsid w:val="00AB3430"/>
    <w:rsid w:val="00AB7A75"/>
    <w:rsid w:val="00AB7CFA"/>
    <w:rsid w:val="00AC2FA8"/>
    <w:rsid w:val="00AC3092"/>
    <w:rsid w:val="00AC622A"/>
    <w:rsid w:val="00AE2426"/>
    <w:rsid w:val="00AE29EF"/>
    <w:rsid w:val="00AE3F50"/>
    <w:rsid w:val="00AE4F38"/>
    <w:rsid w:val="00AE5A42"/>
    <w:rsid w:val="00AE628D"/>
    <w:rsid w:val="00AE7E2B"/>
    <w:rsid w:val="00AF349C"/>
    <w:rsid w:val="00B007ED"/>
    <w:rsid w:val="00B0102E"/>
    <w:rsid w:val="00B0178B"/>
    <w:rsid w:val="00B025E9"/>
    <w:rsid w:val="00B0499B"/>
    <w:rsid w:val="00B06861"/>
    <w:rsid w:val="00B11B00"/>
    <w:rsid w:val="00B12BB7"/>
    <w:rsid w:val="00B14741"/>
    <w:rsid w:val="00B17497"/>
    <w:rsid w:val="00B1779D"/>
    <w:rsid w:val="00B22296"/>
    <w:rsid w:val="00B226B3"/>
    <w:rsid w:val="00B22C1C"/>
    <w:rsid w:val="00B25F88"/>
    <w:rsid w:val="00B26CCD"/>
    <w:rsid w:val="00B27757"/>
    <w:rsid w:val="00B31CC4"/>
    <w:rsid w:val="00B3341B"/>
    <w:rsid w:val="00B33F17"/>
    <w:rsid w:val="00B37682"/>
    <w:rsid w:val="00B41D8A"/>
    <w:rsid w:val="00B42851"/>
    <w:rsid w:val="00B4353F"/>
    <w:rsid w:val="00B4737C"/>
    <w:rsid w:val="00B52F88"/>
    <w:rsid w:val="00B54192"/>
    <w:rsid w:val="00B54B5B"/>
    <w:rsid w:val="00B5562E"/>
    <w:rsid w:val="00B5622A"/>
    <w:rsid w:val="00B57000"/>
    <w:rsid w:val="00B57BE5"/>
    <w:rsid w:val="00B60801"/>
    <w:rsid w:val="00B608CF"/>
    <w:rsid w:val="00B60939"/>
    <w:rsid w:val="00B60AFD"/>
    <w:rsid w:val="00B62715"/>
    <w:rsid w:val="00B63EE7"/>
    <w:rsid w:val="00B645DA"/>
    <w:rsid w:val="00B70F72"/>
    <w:rsid w:val="00B729F0"/>
    <w:rsid w:val="00B72FF5"/>
    <w:rsid w:val="00B75C8B"/>
    <w:rsid w:val="00B76058"/>
    <w:rsid w:val="00B7698C"/>
    <w:rsid w:val="00B773C9"/>
    <w:rsid w:val="00B77A3A"/>
    <w:rsid w:val="00B800A6"/>
    <w:rsid w:val="00B808AF"/>
    <w:rsid w:val="00B80E49"/>
    <w:rsid w:val="00B818A4"/>
    <w:rsid w:val="00B84D03"/>
    <w:rsid w:val="00B84EBD"/>
    <w:rsid w:val="00B8649C"/>
    <w:rsid w:val="00B90B0F"/>
    <w:rsid w:val="00B90F8A"/>
    <w:rsid w:val="00B9186B"/>
    <w:rsid w:val="00B92D0B"/>
    <w:rsid w:val="00B94945"/>
    <w:rsid w:val="00B94960"/>
    <w:rsid w:val="00B96491"/>
    <w:rsid w:val="00BA03B4"/>
    <w:rsid w:val="00BA1222"/>
    <w:rsid w:val="00BA1E2A"/>
    <w:rsid w:val="00BA25CD"/>
    <w:rsid w:val="00BA3BE1"/>
    <w:rsid w:val="00BA460E"/>
    <w:rsid w:val="00BA4BD0"/>
    <w:rsid w:val="00BA5A1E"/>
    <w:rsid w:val="00BA5BFA"/>
    <w:rsid w:val="00BA6D85"/>
    <w:rsid w:val="00BB3369"/>
    <w:rsid w:val="00BB3882"/>
    <w:rsid w:val="00BB523B"/>
    <w:rsid w:val="00BB562D"/>
    <w:rsid w:val="00BB64C7"/>
    <w:rsid w:val="00BB6E6B"/>
    <w:rsid w:val="00BC1D32"/>
    <w:rsid w:val="00BC1DBB"/>
    <w:rsid w:val="00BC2812"/>
    <w:rsid w:val="00BC2DE0"/>
    <w:rsid w:val="00BC39CD"/>
    <w:rsid w:val="00BC3AD0"/>
    <w:rsid w:val="00BC3EA9"/>
    <w:rsid w:val="00BC5523"/>
    <w:rsid w:val="00BC6DE4"/>
    <w:rsid w:val="00BD30BA"/>
    <w:rsid w:val="00BD3F6A"/>
    <w:rsid w:val="00BD4E36"/>
    <w:rsid w:val="00BD7EB4"/>
    <w:rsid w:val="00BE2180"/>
    <w:rsid w:val="00BE2212"/>
    <w:rsid w:val="00BE2617"/>
    <w:rsid w:val="00BE4275"/>
    <w:rsid w:val="00BE5993"/>
    <w:rsid w:val="00BE5E55"/>
    <w:rsid w:val="00BE5F27"/>
    <w:rsid w:val="00BE6CF2"/>
    <w:rsid w:val="00BE7E38"/>
    <w:rsid w:val="00BF0193"/>
    <w:rsid w:val="00BF23ED"/>
    <w:rsid w:val="00BF2433"/>
    <w:rsid w:val="00BF61C9"/>
    <w:rsid w:val="00BF7473"/>
    <w:rsid w:val="00BF7D7A"/>
    <w:rsid w:val="00C04C2D"/>
    <w:rsid w:val="00C057C0"/>
    <w:rsid w:val="00C1464E"/>
    <w:rsid w:val="00C14D94"/>
    <w:rsid w:val="00C15E83"/>
    <w:rsid w:val="00C2082A"/>
    <w:rsid w:val="00C20B1B"/>
    <w:rsid w:val="00C21DD2"/>
    <w:rsid w:val="00C21FEA"/>
    <w:rsid w:val="00C22FC0"/>
    <w:rsid w:val="00C25418"/>
    <w:rsid w:val="00C25D9C"/>
    <w:rsid w:val="00C26A82"/>
    <w:rsid w:val="00C31649"/>
    <w:rsid w:val="00C34191"/>
    <w:rsid w:val="00C36AF7"/>
    <w:rsid w:val="00C40385"/>
    <w:rsid w:val="00C503A0"/>
    <w:rsid w:val="00C510E0"/>
    <w:rsid w:val="00C525D4"/>
    <w:rsid w:val="00C52611"/>
    <w:rsid w:val="00C52A19"/>
    <w:rsid w:val="00C52D3A"/>
    <w:rsid w:val="00C54046"/>
    <w:rsid w:val="00C54C7C"/>
    <w:rsid w:val="00C54E6B"/>
    <w:rsid w:val="00C563ED"/>
    <w:rsid w:val="00C56AAC"/>
    <w:rsid w:val="00C56E5B"/>
    <w:rsid w:val="00C574B3"/>
    <w:rsid w:val="00C616A0"/>
    <w:rsid w:val="00C61836"/>
    <w:rsid w:val="00C638AF"/>
    <w:rsid w:val="00C65576"/>
    <w:rsid w:val="00C66165"/>
    <w:rsid w:val="00C728A5"/>
    <w:rsid w:val="00C7613D"/>
    <w:rsid w:val="00C76607"/>
    <w:rsid w:val="00C77930"/>
    <w:rsid w:val="00C809D8"/>
    <w:rsid w:val="00C812BC"/>
    <w:rsid w:val="00C8213F"/>
    <w:rsid w:val="00C864D8"/>
    <w:rsid w:val="00C8797A"/>
    <w:rsid w:val="00C90D20"/>
    <w:rsid w:val="00C9115A"/>
    <w:rsid w:val="00C91FEB"/>
    <w:rsid w:val="00C92A13"/>
    <w:rsid w:val="00C938CF"/>
    <w:rsid w:val="00C9552F"/>
    <w:rsid w:val="00C9566C"/>
    <w:rsid w:val="00CA1660"/>
    <w:rsid w:val="00CA34DC"/>
    <w:rsid w:val="00CA3D38"/>
    <w:rsid w:val="00CA5245"/>
    <w:rsid w:val="00CA685F"/>
    <w:rsid w:val="00CA7B09"/>
    <w:rsid w:val="00CB3FF2"/>
    <w:rsid w:val="00CB55DD"/>
    <w:rsid w:val="00CB5B1A"/>
    <w:rsid w:val="00CB7FB7"/>
    <w:rsid w:val="00CC1BB5"/>
    <w:rsid w:val="00CC238E"/>
    <w:rsid w:val="00CC4131"/>
    <w:rsid w:val="00CC7A83"/>
    <w:rsid w:val="00CD0D96"/>
    <w:rsid w:val="00CD0DD2"/>
    <w:rsid w:val="00CD2706"/>
    <w:rsid w:val="00CD2F90"/>
    <w:rsid w:val="00CD33BA"/>
    <w:rsid w:val="00CD413F"/>
    <w:rsid w:val="00CD4BC1"/>
    <w:rsid w:val="00CD6ADC"/>
    <w:rsid w:val="00CD7AD7"/>
    <w:rsid w:val="00CE063A"/>
    <w:rsid w:val="00CE0AC3"/>
    <w:rsid w:val="00CE2807"/>
    <w:rsid w:val="00CE57EE"/>
    <w:rsid w:val="00CE6274"/>
    <w:rsid w:val="00CE7172"/>
    <w:rsid w:val="00CE72F4"/>
    <w:rsid w:val="00CE79E6"/>
    <w:rsid w:val="00CE7CA6"/>
    <w:rsid w:val="00CF456B"/>
    <w:rsid w:val="00CF4FB9"/>
    <w:rsid w:val="00CF5A22"/>
    <w:rsid w:val="00CF5D32"/>
    <w:rsid w:val="00CF6104"/>
    <w:rsid w:val="00CF725F"/>
    <w:rsid w:val="00D00292"/>
    <w:rsid w:val="00D01037"/>
    <w:rsid w:val="00D02028"/>
    <w:rsid w:val="00D0262E"/>
    <w:rsid w:val="00D02C84"/>
    <w:rsid w:val="00D04C42"/>
    <w:rsid w:val="00D06D8A"/>
    <w:rsid w:val="00D06FD4"/>
    <w:rsid w:val="00D10B6F"/>
    <w:rsid w:val="00D110BD"/>
    <w:rsid w:val="00D111DE"/>
    <w:rsid w:val="00D11822"/>
    <w:rsid w:val="00D1214B"/>
    <w:rsid w:val="00D12AF5"/>
    <w:rsid w:val="00D145C8"/>
    <w:rsid w:val="00D16C5F"/>
    <w:rsid w:val="00D17D6C"/>
    <w:rsid w:val="00D20E3B"/>
    <w:rsid w:val="00D22F89"/>
    <w:rsid w:val="00D249D7"/>
    <w:rsid w:val="00D25257"/>
    <w:rsid w:val="00D2631C"/>
    <w:rsid w:val="00D32872"/>
    <w:rsid w:val="00D34C62"/>
    <w:rsid w:val="00D365AB"/>
    <w:rsid w:val="00D41D85"/>
    <w:rsid w:val="00D44952"/>
    <w:rsid w:val="00D4613F"/>
    <w:rsid w:val="00D518B8"/>
    <w:rsid w:val="00D51F86"/>
    <w:rsid w:val="00D52440"/>
    <w:rsid w:val="00D53731"/>
    <w:rsid w:val="00D624F1"/>
    <w:rsid w:val="00D66947"/>
    <w:rsid w:val="00D67067"/>
    <w:rsid w:val="00D70253"/>
    <w:rsid w:val="00D71C4D"/>
    <w:rsid w:val="00D72421"/>
    <w:rsid w:val="00D76A44"/>
    <w:rsid w:val="00D81654"/>
    <w:rsid w:val="00D82707"/>
    <w:rsid w:val="00D8271E"/>
    <w:rsid w:val="00D83975"/>
    <w:rsid w:val="00D86742"/>
    <w:rsid w:val="00D87C0D"/>
    <w:rsid w:val="00D9059A"/>
    <w:rsid w:val="00D9073F"/>
    <w:rsid w:val="00D93753"/>
    <w:rsid w:val="00D95599"/>
    <w:rsid w:val="00D95E6A"/>
    <w:rsid w:val="00D96F19"/>
    <w:rsid w:val="00DA149E"/>
    <w:rsid w:val="00DA4878"/>
    <w:rsid w:val="00DA4B69"/>
    <w:rsid w:val="00DA57F4"/>
    <w:rsid w:val="00DA6476"/>
    <w:rsid w:val="00DA77A5"/>
    <w:rsid w:val="00DB136B"/>
    <w:rsid w:val="00DB1B42"/>
    <w:rsid w:val="00DB41E3"/>
    <w:rsid w:val="00DB5056"/>
    <w:rsid w:val="00DB7128"/>
    <w:rsid w:val="00DB7769"/>
    <w:rsid w:val="00DC0C2D"/>
    <w:rsid w:val="00DC13A6"/>
    <w:rsid w:val="00DC335E"/>
    <w:rsid w:val="00DC3EDD"/>
    <w:rsid w:val="00DC43B8"/>
    <w:rsid w:val="00DC4C55"/>
    <w:rsid w:val="00DC5501"/>
    <w:rsid w:val="00DC7DF7"/>
    <w:rsid w:val="00DD2072"/>
    <w:rsid w:val="00DD31D3"/>
    <w:rsid w:val="00DD3F28"/>
    <w:rsid w:val="00DD4537"/>
    <w:rsid w:val="00DD4E15"/>
    <w:rsid w:val="00DD6E0D"/>
    <w:rsid w:val="00DD7903"/>
    <w:rsid w:val="00DD7E39"/>
    <w:rsid w:val="00DE1A2F"/>
    <w:rsid w:val="00DE3349"/>
    <w:rsid w:val="00DE48F9"/>
    <w:rsid w:val="00DE4FCB"/>
    <w:rsid w:val="00DE50DB"/>
    <w:rsid w:val="00DE65DA"/>
    <w:rsid w:val="00DE7777"/>
    <w:rsid w:val="00DF067A"/>
    <w:rsid w:val="00DF14E3"/>
    <w:rsid w:val="00DF19EB"/>
    <w:rsid w:val="00DF43A7"/>
    <w:rsid w:val="00DF50F6"/>
    <w:rsid w:val="00DF73C5"/>
    <w:rsid w:val="00E02B0A"/>
    <w:rsid w:val="00E02FD2"/>
    <w:rsid w:val="00E078C2"/>
    <w:rsid w:val="00E10149"/>
    <w:rsid w:val="00E1593D"/>
    <w:rsid w:val="00E16372"/>
    <w:rsid w:val="00E17006"/>
    <w:rsid w:val="00E172B0"/>
    <w:rsid w:val="00E2013F"/>
    <w:rsid w:val="00E20ED6"/>
    <w:rsid w:val="00E21358"/>
    <w:rsid w:val="00E2249B"/>
    <w:rsid w:val="00E23772"/>
    <w:rsid w:val="00E25DBC"/>
    <w:rsid w:val="00E2771E"/>
    <w:rsid w:val="00E305B2"/>
    <w:rsid w:val="00E3128C"/>
    <w:rsid w:val="00E3245A"/>
    <w:rsid w:val="00E3677E"/>
    <w:rsid w:val="00E37569"/>
    <w:rsid w:val="00E37797"/>
    <w:rsid w:val="00E37D0E"/>
    <w:rsid w:val="00E41E30"/>
    <w:rsid w:val="00E43BEE"/>
    <w:rsid w:val="00E44E23"/>
    <w:rsid w:val="00E45C65"/>
    <w:rsid w:val="00E469F4"/>
    <w:rsid w:val="00E4784D"/>
    <w:rsid w:val="00E47B2C"/>
    <w:rsid w:val="00E50A3E"/>
    <w:rsid w:val="00E55424"/>
    <w:rsid w:val="00E57C6C"/>
    <w:rsid w:val="00E600D7"/>
    <w:rsid w:val="00E6088B"/>
    <w:rsid w:val="00E60EB6"/>
    <w:rsid w:val="00E618C6"/>
    <w:rsid w:val="00E61B24"/>
    <w:rsid w:val="00E6239B"/>
    <w:rsid w:val="00E63AB5"/>
    <w:rsid w:val="00E65E79"/>
    <w:rsid w:val="00E6739B"/>
    <w:rsid w:val="00E67416"/>
    <w:rsid w:val="00E718B6"/>
    <w:rsid w:val="00E71918"/>
    <w:rsid w:val="00E73581"/>
    <w:rsid w:val="00E75BAC"/>
    <w:rsid w:val="00E77FEA"/>
    <w:rsid w:val="00E800B8"/>
    <w:rsid w:val="00E81CB8"/>
    <w:rsid w:val="00E835DA"/>
    <w:rsid w:val="00E83BDF"/>
    <w:rsid w:val="00E910A1"/>
    <w:rsid w:val="00E918DD"/>
    <w:rsid w:val="00E929DE"/>
    <w:rsid w:val="00E93544"/>
    <w:rsid w:val="00E94353"/>
    <w:rsid w:val="00E94DD6"/>
    <w:rsid w:val="00E95008"/>
    <w:rsid w:val="00E9548A"/>
    <w:rsid w:val="00E96AD5"/>
    <w:rsid w:val="00E972B6"/>
    <w:rsid w:val="00EA30C5"/>
    <w:rsid w:val="00EA3864"/>
    <w:rsid w:val="00EA44EA"/>
    <w:rsid w:val="00EA78A2"/>
    <w:rsid w:val="00EA7946"/>
    <w:rsid w:val="00EB0A30"/>
    <w:rsid w:val="00EB43FB"/>
    <w:rsid w:val="00EB55CC"/>
    <w:rsid w:val="00EB7356"/>
    <w:rsid w:val="00EC00C9"/>
    <w:rsid w:val="00EC45AF"/>
    <w:rsid w:val="00EC49F3"/>
    <w:rsid w:val="00EC7499"/>
    <w:rsid w:val="00ED34B8"/>
    <w:rsid w:val="00ED5787"/>
    <w:rsid w:val="00ED7FE1"/>
    <w:rsid w:val="00EE07D3"/>
    <w:rsid w:val="00EE5B7C"/>
    <w:rsid w:val="00EE6763"/>
    <w:rsid w:val="00EE7849"/>
    <w:rsid w:val="00EF4BC0"/>
    <w:rsid w:val="00EF50A8"/>
    <w:rsid w:val="00EF5A7F"/>
    <w:rsid w:val="00F00AF1"/>
    <w:rsid w:val="00F02E9D"/>
    <w:rsid w:val="00F03C4F"/>
    <w:rsid w:val="00F05710"/>
    <w:rsid w:val="00F058C9"/>
    <w:rsid w:val="00F061BB"/>
    <w:rsid w:val="00F067A2"/>
    <w:rsid w:val="00F06B24"/>
    <w:rsid w:val="00F1081A"/>
    <w:rsid w:val="00F1219A"/>
    <w:rsid w:val="00F12E72"/>
    <w:rsid w:val="00F13BAF"/>
    <w:rsid w:val="00F1581A"/>
    <w:rsid w:val="00F16226"/>
    <w:rsid w:val="00F163A8"/>
    <w:rsid w:val="00F20888"/>
    <w:rsid w:val="00F21202"/>
    <w:rsid w:val="00F21661"/>
    <w:rsid w:val="00F22797"/>
    <w:rsid w:val="00F23AC0"/>
    <w:rsid w:val="00F24837"/>
    <w:rsid w:val="00F2575F"/>
    <w:rsid w:val="00F25F61"/>
    <w:rsid w:val="00F311A0"/>
    <w:rsid w:val="00F338FF"/>
    <w:rsid w:val="00F33DE9"/>
    <w:rsid w:val="00F3619A"/>
    <w:rsid w:val="00F3783C"/>
    <w:rsid w:val="00F37F29"/>
    <w:rsid w:val="00F41396"/>
    <w:rsid w:val="00F419FF"/>
    <w:rsid w:val="00F42C00"/>
    <w:rsid w:val="00F44916"/>
    <w:rsid w:val="00F46C3D"/>
    <w:rsid w:val="00F46CB6"/>
    <w:rsid w:val="00F5415C"/>
    <w:rsid w:val="00F55037"/>
    <w:rsid w:val="00F55E4C"/>
    <w:rsid w:val="00F55E73"/>
    <w:rsid w:val="00F609BA"/>
    <w:rsid w:val="00F60CC8"/>
    <w:rsid w:val="00F6421C"/>
    <w:rsid w:val="00F64842"/>
    <w:rsid w:val="00F64AB9"/>
    <w:rsid w:val="00F76431"/>
    <w:rsid w:val="00F80E5D"/>
    <w:rsid w:val="00F851CE"/>
    <w:rsid w:val="00F864D8"/>
    <w:rsid w:val="00F955F6"/>
    <w:rsid w:val="00F97A78"/>
    <w:rsid w:val="00FB007B"/>
    <w:rsid w:val="00FB1F39"/>
    <w:rsid w:val="00FB2CB4"/>
    <w:rsid w:val="00FB2FCB"/>
    <w:rsid w:val="00FB4FB7"/>
    <w:rsid w:val="00FB7EF7"/>
    <w:rsid w:val="00FC0767"/>
    <w:rsid w:val="00FC1074"/>
    <w:rsid w:val="00FC1884"/>
    <w:rsid w:val="00FC35D3"/>
    <w:rsid w:val="00FC4490"/>
    <w:rsid w:val="00FC4806"/>
    <w:rsid w:val="00FC520F"/>
    <w:rsid w:val="00FD0EE5"/>
    <w:rsid w:val="00FD2100"/>
    <w:rsid w:val="00FD446D"/>
    <w:rsid w:val="00FE0FF9"/>
    <w:rsid w:val="00FE70B2"/>
    <w:rsid w:val="00FE7FD2"/>
    <w:rsid w:val="00FF251E"/>
    <w:rsid w:val="00FF3DCF"/>
    <w:rsid w:val="00FF4380"/>
    <w:rsid w:val="00FF4482"/>
    <w:rsid w:val="00FF5A13"/>
    <w:rsid w:val="00FF5AA3"/>
    <w:rsid w:val="00FF62A0"/>
    <w:rsid w:val="00FF76D2"/>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annotation reference" w:uiPriority="99"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128C"/>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AC622A"/>
    <w:pPr>
      <w:ind w:left="720" w:hanging="720"/>
      <w:outlineLvl w:val="0"/>
    </w:pPr>
    <w:rPr>
      <w:rFonts w:ascii="Arial Bold" w:hAnsi="Arial Bold"/>
      <w:b/>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szCs w:val="22"/>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styleId="Caption">
    <w:name w:val="caption"/>
    <w:aliases w:val="CSR Caption,Inset title,Caption Char1 Char,Caption Char Char Char,Caption Char1 Char Char Char,Caption Char Char Char Char Char,Caption Char Char1 Char,Caption Char1 Char1,Caption Char Char Char1,Caption Char Char,Caption ChaCaptio"/>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SR Caption Char,Inset title Char,Caption Char1 Char Char,Caption Char Char Char Char,Caption Char1 Char Char Char Char,Caption Char Char Char Char Char Char,Caption Char Char1 Char Char,Caption Char1 Char1 Char,Caption Char Char Char1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aliases w:val="title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qFormat/>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qFormat/>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2"/>
      </w:numPr>
    </w:pPr>
    <w:rPr>
      <w:rFonts w:ascii="Arial" w:hAnsi="Arial" w:cs="Arial"/>
      <w:snapToGrid w:val="0"/>
      <w:sz w:val="22"/>
      <w:szCs w:val="22"/>
      <w:lang w:eastAsia="en-US"/>
    </w:rPr>
  </w:style>
  <w:style w:type="paragraph" w:customStyle="1" w:styleId="TableText1">
    <w:name w:val="Table Text"/>
    <w:basedOn w:val="Normal"/>
    <w:link w:val="TableTextChar0"/>
    <w:qFormat/>
    <w:rsid w:val="002A64A7"/>
    <w:pPr>
      <w:keepNext/>
      <w:keepLines/>
      <w:widowControl/>
      <w:spacing w:before="40" w:after="120"/>
      <w:jc w:val="left"/>
    </w:pPr>
    <w:rPr>
      <w:rFonts w:cs="Times New Roman"/>
      <w:snapToGrid/>
      <w:sz w:val="20"/>
      <w:szCs w:val="22"/>
    </w:rPr>
  </w:style>
  <w:style w:type="character" w:customStyle="1" w:styleId="TableTextChar0">
    <w:name w:val="Table Text Char"/>
    <w:link w:val="TableText1"/>
    <w:rsid w:val="002A64A7"/>
    <w:rPr>
      <w:rFonts w:ascii="Arial" w:hAnsi="Arial"/>
      <w:szCs w:val="22"/>
      <w:lang w:eastAsia="en-US"/>
    </w:rPr>
  </w:style>
  <w:style w:type="paragraph" w:customStyle="1" w:styleId="Tablenotes">
    <w:name w:val="Table notes"/>
    <w:basedOn w:val="Normal"/>
    <w:qFormat/>
    <w:rsid w:val="00D51F86"/>
    <w:pPr>
      <w:keepNext/>
      <w:widowControl/>
      <w:jc w:val="left"/>
    </w:pPr>
    <w:rPr>
      <w:snapToGrid/>
      <w:sz w:val="18"/>
      <w:szCs w:val="22"/>
      <w:lang w:eastAsia="en-AU"/>
    </w:rPr>
  </w:style>
  <w:style w:type="character" w:customStyle="1" w:styleId="Heading3Char">
    <w:name w:val="Heading 3 Char"/>
    <w:link w:val="Heading3"/>
    <w:rsid w:val="00D9059A"/>
    <w:rPr>
      <w:rFonts w:ascii="Arial" w:hAnsi="Arial" w:cs="Arial"/>
      <w:snapToGrid w:val="0"/>
      <w:sz w:val="22"/>
      <w:u w:val="single"/>
      <w:lang w:eastAsia="en-US"/>
    </w:rPr>
  </w:style>
  <w:style w:type="character" w:customStyle="1" w:styleId="Heading4Char">
    <w:name w:val="Heading 4 Char"/>
    <w:link w:val="Heading4"/>
    <w:uiPriority w:val="9"/>
    <w:rsid w:val="00D9059A"/>
    <w:rPr>
      <w:rFonts w:ascii="Arial" w:hAnsi="Arial" w:cs="Arial"/>
      <w:b/>
      <w:bCs/>
      <w:i/>
      <w:snapToGrid w:val="0"/>
      <w:sz w:val="26"/>
      <w:szCs w:val="28"/>
      <w:lang w:eastAsia="en-US"/>
    </w:rPr>
  </w:style>
  <w:style w:type="table" w:styleId="TableGrid3">
    <w:name w:val="Table Grid 3"/>
    <w:basedOn w:val="TableNormal"/>
    <w:rsid w:val="00D9059A"/>
    <w:pPr>
      <w:tabs>
        <w:tab w:val="left" w:pos="416"/>
        <w:tab w:val="left" w:pos="582"/>
      </w:tabs>
      <w:spacing w:line="360" w:lineRule="auto"/>
      <w:jc w:val="both"/>
    </w:pPr>
    <w:rPr>
      <w:rFonts w:ascii="Times" w:hAnsi="Tim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References">
    <w:name w:val="References"/>
    <w:basedOn w:val="BodyText2"/>
    <w:rsid w:val="00D9059A"/>
    <w:pPr>
      <w:widowControl/>
      <w:spacing w:after="240" w:line="240" w:lineRule="auto"/>
    </w:pPr>
    <w:rPr>
      <w:rFonts w:cs="Times New Roman"/>
      <w:snapToGrid/>
      <w:sz w:val="20"/>
      <w:szCs w:val="22"/>
    </w:rPr>
  </w:style>
  <w:style w:type="paragraph" w:customStyle="1" w:styleId="AppendixHeading1">
    <w:name w:val="Appendix Heading 1"/>
    <w:basedOn w:val="Heading2"/>
    <w:next w:val="Normal"/>
    <w:link w:val="AppendixHeading1Char"/>
    <w:autoRedefine/>
    <w:rsid w:val="00D9059A"/>
    <w:pPr>
      <w:keepNext/>
      <w:widowControl/>
      <w:spacing w:before="240" w:after="240"/>
      <w:ind w:left="1560" w:right="-282" w:hanging="1560"/>
      <w:jc w:val="left"/>
    </w:pPr>
    <w:rPr>
      <w:snapToGrid/>
      <w:sz w:val="32"/>
    </w:rPr>
  </w:style>
  <w:style w:type="character" w:customStyle="1" w:styleId="AppendixHeading1Char">
    <w:name w:val="Appendix Heading 1 Char"/>
    <w:basedOn w:val="Heading2Char"/>
    <w:link w:val="AppendixHeading1"/>
    <w:rsid w:val="00D9059A"/>
    <w:rPr>
      <w:rFonts w:ascii="Arial" w:hAnsi="Arial" w:cs="Arial"/>
      <w:b/>
      <w:snapToGrid/>
      <w:sz w:val="32"/>
      <w:szCs w:val="24"/>
      <w:lang w:eastAsia="en-US"/>
    </w:rPr>
  </w:style>
  <w:style w:type="paragraph" w:customStyle="1" w:styleId="CaptBayer">
    <w:name w:val="CaptBayer"/>
    <w:basedOn w:val="Caption"/>
    <w:link w:val="CaptBayerChar"/>
    <w:rsid w:val="00D9059A"/>
    <w:pPr>
      <w:keepNext/>
      <w:keepLines/>
      <w:widowControl/>
      <w:spacing w:before="120" w:after="120"/>
      <w:ind w:left="1276" w:hanging="1276"/>
      <w:jc w:val="left"/>
    </w:pPr>
    <w:rPr>
      <w:rFonts w:cs="Times New Roman"/>
      <w:snapToGrid/>
      <w:color w:val="auto"/>
      <w:sz w:val="22"/>
      <w:szCs w:val="28"/>
    </w:rPr>
  </w:style>
  <w:style w:type="character" w:customStyle="1" w:styleId="CaptBayerChar">
    <w:name w:val="CaptBayer Char"/>
    <w:link w:val="CaptBayer"/>
    <w:rsid w:val="00D9059A"/>
    <w:rPr>
      <w:rFonts w:ascii="Arial" w:hAnsi="Arial"/>
      <w:b/>
      <w:bCs/>
      <w:sz w:val="22"/>
      <w:szCs w:val="28"/>
      <w:lang w:eastAsia="en-US"/>
    </w:rPr>
  </w:style>
  <w:style w:type="table" w:customStyle="1" w:styleId="PBACTableStyle">
    <w:name w:val="PBAC Table Style"/>
    <w:basedOn w:val="TableNormal"/>
    <w:rsid w:val="00D9059A"/>
    <w:pPr>
      <w:tabs>
        <w:tab w:val="left" w:pos="416"/>
        <w:tab w:val="left" w:pos="582"/>
      </w:tabs>
      <w:spacing w:line="360" w:lineRule="auto"/>
      <w:jc w:val="center"/>
    </w:pPr>
    <w:tblPr>
      <w:tblBorders>
        <w:top w:val="single" w:sz="4" w:space="0" w:color="auto"/>
        <w:bottom w:val="single" w:sz="4" w:space="0" w:color="auto"/>
      </w:tblBorders>
    </w:tblPr>
    <w:tcPr>
      <w:shd w:val="clear" w:color="auto" w:fill="auto"/>
    </w:tcPr>
    <w:tblStylePr w:type="firstRow">
      <w:rPr>
        <w:b/>
      </w:rPr>
      <w:tblPr/>
      <w:tcPr>
        <w:tcBorders>
          <w:bottom w:val="single" w:sz="4" w:space="0" w:color="auto"/>
          <w:tl2br w:val="none" w:sz="0" w:space="0" w:color="auto"/>
          <w:tr2bl w:val="none" w:sz="0" w:space="0" w:color="auto"/>
        </w:tcBorders>
        <w:shd w:val="clear" w:color="auto" w:fill="E0E0E0"/>
      </w:tcPr>
    </w:tblStylePr>
    <w:tblStylePr w:type="lastRow">
      <w:rPr>
        <w:b w:val="0"/>
        <w:bCs/>
      </w:rPr>
      <w:tblPr/>
      <w:tcPr>
        <w:tcBorders>
          <w:tl2br w:val="none" w:sz="0" w:space="0" w:color="auto"/>
          <w:tr2bl w:val="none" w:sz="0" w:space="0" w:color="auto"/>
        </w:tcBorders>
      </w:tcPr>
    </w:tblStylePr>
    <w:tblStylePr w:type="firstCol">
      <w:pPr>
        <w:jc w:val="left"/>
      </w:pPr>
      <w:rPr>
        <w:rFonts w:ascii="Times New Roman" w:hAnsi="Times New Roman"/>
        <w:b/>
        <w:sz w:val="20"/>
      </w:rPr>
    </w:tblStylePr>
    <w:tblStylePr w:type="lastCol">
      <w:rPr>
        <w:b/>
        <w:bCs/>
      </w:rPr>
      <w:tblPr/>
      <w:tcPr>
        <w:tcBorders>
          <w:tl2br w:val="none" w:sz="0" w:space="0" w:color="auto"/>
          <w:tr2bl w:val="none" w:sz="0" w:space="0" w:color="auto"/>
        </w:tcBorders>
      </w:tcPr>
    </w:tblStylePr>
    <w:tblStylePr w:type="swCell">
      <w:pPr>
        <w:jc w:val="center"/>
      </w:pPr>
      <w:rPr>
        <w:b/>
      </w:rPr>
    </w:tblStylePr>
  </w:style>
  <w:style w:type="paragraph" w:styleId="TableofFigures">
    <w:name w:val="table of figures"/>
    <w:basedOn w:val="BodyText2"/>
    <w:next w:val="BodyText2"/>
    <w:uiPriority w:val="99"/>
    <w:rsid w:val="00D9059A"/>
    <w:pPr>
      <w:widowControl/>
      <w:spacing w:line="240" w:lineRule="auto"/>
      <w:ind w:left="1418" w:right="737" w:hanging="1418"/>
      <w:jc w:val="left"/>
    </w:pPr>
    <w:rPr>
      <w:rFonts w:cs="Calibri"/>
      <w:bCs/>
      <w:snapToGrid/>
      <w:sz w:val="20"/>
    </w:rPr>
  </w:style>
  <w:style w:type="paragraph" w:styleId="FootnoteText">
    <w:name w:val="footnote text"/>
    <w:basedOn w:val="Normal"/>
    <w:link w:val="FootnoteTextChar"/>
    <w:rsid w:val="00D9059A"/>
    <w:pPr>
      <w:widowControl/>
    </w:pPr>
    <w:rPr>
      <w:rFonts w:cs="Times New Roman"/>
      <w:snapToGrid/>
      <w:sz w:val="20"/>
      <w:lang w:val="en-GB"/>
    </w:rPr>
  </w:style>
  <w:style w:type="character" w:customStyle="1" w:styleId="FootnoteTextChar">
    <w:name w:val="Footnote Text Char"/>
    <w:basedOn w:val="DefaultParagraphFont"/>
    <w:link w:val="FootnoteText"/>
    <w:rsid w:val="00D9059A"/>
    <w:rPr>
      <w:rFonts w:ascii="Arial" w:hAnsi="Arial"/>
      <w:lang w:val="en-GB" w:eastAsia="en-US"/>
    </w:rPr>
  </w:style>
  <w:style w:type="paragraph" w:styleId="EndnoteText">
    <w:name w:val="endnote text"/>
    <w:basedOn w:val="Normal"/>
    <w:link w:val="EndnoteTextChar"/>
    <w:rsid w:val="00D9059A"/>
    <w:pPr>
      <w:widowControl/>
      <w:tabs>
        <w:tab w:val="left" w:pos="567"/>
      </w:tabs>
    </w:pPr>
    <w:rPr>
      <w:rFonts w:ascii="Times New Roman" w:hAnsi="Times New Roman" w:cs="Times New Roman"/>
      <w:snapToGrid/>
      <w:lang w:val="en-GB"/>
    </w:rPr>
  </w:style>
  <w:style w:type="character" w:customStyle="1" w:styleId="EndnoteTextChar">
    <w:name w:val="Endnote Text Char"/>
    <w:basedOn w:val="DefaultParagraphFont"/>
    <w:link w:val="EndnoteText"/>
    <w:rsid w:val="00D9059A"/>
    <w:rPr>
      <w:sz w:val="22"/>
      <w:lang w:val="en-GB" w:eastAsia="en-US"/>
    </w:rPr>
  </w:style>
  <w:style w:type="paragraph" w:customStyle="1" w:styleId="TableBullet">
    <w:name w:val="TableBullet"/>
    <w:basedOn w:val="TableText0"/>
    <w:rsid w:val="00D9059A"/>
    <w:pPr>
      <w:tabs>
        <w:tab w:val="left" w:pos="216"/>
      </w:tabs>
      <w:ind w:left="216" w:hanging="216"/>
    </w:pPr>
  </w:style>
  <w:style w:type="paragraph" w:customStyle="1" w:styleId="TableDash">
    <w:name w:val="TableDash"/>
    <w:basedOn w:val="TableText0"/>
    <w:rsid w:val="00D9059A"/>
    <w:pPr>
      <w:tabs>
        <w:tab w:val="num" w:pos="578"/>
      </w:tabs>
      <w:ind w:left="431" w:hanging="216"/>
    </w:pPr>
  </w:style>
  <w:style w:type="paragraph" w:customStyle="1" w:styleId="TableNotes1">
    <w:name w:val="TableNotes"/>
    <w:basedOn w:val="BodyText2"/>
    <w:next w:val="BodyText2"/>
    <w:autoRedefine/>
    <w:rsid w:val="00D9059A"/>
    <w:pPr>
      <w:keepNext/>
      <w:keepLines/>
      <w:widowControl/>
      <w:spacing w:after="240" w:line="240" w:lineRule="auto"/>
      <w:jc w:val="left"/>
    </w:pPr>
    <w:rPr>
      <w:rFonts w:cs="Arial Narrow"/>
      <w:snapToGrid/>
      <w:sz w:val="16"/>
      <w:szCs w:val="18"/>
    </w:rPr>
  </w:style>
  <w:style w:type="character" w:styleId="FootnoteReference">
    <w:name w:val="footnote reference"/>
    <w:rsid w:val="00D9059A"/>
    <w:rPr>
      <w:vertAlign w:val="superscript"/>
    </w:rPr>
  </w:style>
  <w:style w:type="paragraph" w:styleId="DocumentMap">
    <w:name w:val="Document Map"/>
    <w:basedOn w:val="Normal"/>
    <w:link w:val="DocumentMapChar"/>
    <w:uiPriority w:val="99"/>
    <w:semiHidden/>
    <w:rsid w:val="00D9059A"/>
    <w:pPr>
      <w:widowControl/>
      <w:shd w:val="clear" w:color="auto" w:fill="000080"/>
      <w:tabs>
        <w:tab w:val="left" w:pos="416"/>
        <w:tab w:val="left" w:pos="582"/>
      </w:tabs>
      <w:spacing w:line="360" w:lineRule="auto"/>
    </w:pPr>
    <w:rPr>
      <w:rFonts w:ascii="Tahoma" w:hAnsi="Tahoma" w:cs="Times New Roman"/>
      <w:snapToGrid/>
      <w:sz w:val="20"/>
    </w:rPr>
  </w:style>
  <w:style w:type="character" w:customStyle="1" w:styleId="DocumentMapChar">
    <w:name w:val="Document Map Char"/>
    <w:basedOn w:val="DefaultParagraphFont"/>
    <w:link w:val="DocumentMap"/>
    <w:uiPriority w:val="99"/>
    <w:semiHidden/>
    <w:rsid w:val="00D9059A"/>
    <w:rPr>
      <w:rFonts w:ascii="Tahoma" w:hAnsi="Tahoma"/>
      <w:shd w:val="clear" w:color="auto" w:fill="000080"/>
      <w:lang w:eastAsia="en-US"/>
    </w:rPr>
  </w:style>
  <w:style w:type="numbering" w:customStyle="1" w:styleId="NoList1">
    <w:name w:val="No List1"/>
    <w:next w:val="NoList"/>
    <w:uiPriority w:val="99"/>
    <w:semiHidden/>
    <w:unhideWhenUsed/>
    <w:rsid w:val="00D9059A"/>
  </w:style>
  <w:style w:type="paragraph" w:customStyle="1" w:styleId="StyleArial18ptBoldCenteredLinespacingsinglePattern">
    <w:name w:val="Style Arial 18 pt Bold Centered Line spacing:  single Pattern:..."/>
    <w:basedOn w:val="Normal"/>
    <w:rsid w:val="00D9059A"/>
    <w:pPr>
      <w:widowControl/>
      <w:shd w:val="clear" w:color="auto" w:fill="E0E0E0"/>
      <w:tabs>
        <w:tab w:val="left" w:pos="416"/>
        <w:tab w:val="left" w:pos="582"/>
      </w:tabs>
      <w:jc w:val="center"/>
    </w:pPr>
    <w:rPr>
      <w:rFonts w:cs="Times New Roman"/>
      <w:b/>
      <w:bCs/>
      <w:snapToGrid/>
      <w:sz w:val="36"/>
    </w:rPr>
  </w:style>
  <w:style w:type="paragraph" w:customStyle="1" w:styleId="StyleCaptionBayerCaptionIBCaptionMedicalCaptionArialBla">
    <w:name w:val="Style CaptionBayer CaptionIB CaptionMedical Caption + Arial Bla..."/>
    <w:basedOn w:val="Caption"/>
    <w:link w:val="StyleCaptionBayerCaptionIBCaptionMedicalCaptionArialBlaChar"/>
    <w:rsid w:val="00D9059A"/>
    <w:pPr>
      <w:keepNext/>
      <w:keepLines/>
      <w:widowControl/>
      <w:spacing w:before="120" w:after="120"/>
      <w:ind w:left="1276" w:hanging="1276"/>
      <w:jc w:val="left"/>
    </w:pPr>
    <w:rPr>
      <w:rFonts w:cs="Times New Roman"/>
      <w:snapToGrid/>
      <w:color w:val="auto"/>
      <w:sz w:val="22"/>
      <w:szCs w:val="28"/>
    </w:rPr>
  </w:style>
  <w:style w:type="character" w:customStyle="1" w:styleId="StyleCaptionBayerCaptionIBCaptionMedicalCaptionArialBlaChar">
    <w:name w:val="Style CaptionBayer CaptionIB CaptionMedical Caption + Arial Bla... Char"/>
    <w:link w:val="StyleCaptionBayerCaptionIBCaptionMedicalCaptionArialBla"/>
    <w:rsid w:val="00D9059A"/>
    <w:rPr>
      <w:rFonts w:ascii="Arial" w:hAnsi="Arial"/>
      <w:b/>
      <w:bCs/>
      <w:sz w:val="22"/>
      <w:szCs w:val="28"/>
      <w:lang w:eastAsia="en-US"/>
    </w:rPr>
  </w:style>
  <w:style w:type="paragraph" w:customStyle="1" w:styleId="Tableheading0">
    <w:name w:val="Table heading"/>
    <w:basedOn w:val="Normal"/>
    <w:rsid w:val="00D9059A"/>
    <w:pPr>
      <w:keepNext/>
      <w:widowControl/>
      <w:spacing w:before="60" w:after="60"/>
      <w:jc w:val="left"/>
    </w:pPr>
    <w:rPr>
      <w:rFonts w:ascii="Arial Narrow" w:hAnsi="Arial Narrow" w:cs="Times New Roman"/>
      <w:b/>
      <w:snapToGrid/>
      <w:sz w:val="20"/>
    </w:rPr>
  </w:style>
  <w:style w:type="paragraph" w:styleId="Quote">
    <w:name w:val="Quote"/>
    <w:basedOn w:val="Normal"/>
    <w:next w:val="Normal"/>
    <w:link w:val="QuoteChar"/>
    <w:uiPriority w:val="29"/>
    <w:qFormat/>
    <w:rsid w:val="00D9059A"/>
    <w:pPr>
      <w:tabs>
        <w:tab w:val="left" w:pos="567"/>
        <w:tab w:val="left" w:pos="1134"/>
        <w:tab w:val="left" w:pos="2268"/>
        <w:tab w:val="left" w:pos="3402"/>
        <w:tab w:val="left" w:pos="4536"/>
        <w:tab w:val="left" w:pos="5670"/>
      </w:tabs>
      <w:spacing w:after="240"/>
      <w:ind w:left="567" w:right="710"/>
    </w:pPr>
    <w:rPr>
      <w:rFonts w:cs="Times New Roman"/>
      <w:i/>
      <w:iCs/>
      <w:snapToGrid/>
      <w:color w:val="000000"/>
      <w:szCs w:val="22"/>
    </w:rPr>
  </w:style>
  <w:style w:type="character" w:customStyle="1" w:styleId="QuoteChar">
    <w:name w:val="Quote Char"/>
    <w:basedOn w:val="DefaultParagraphFont"/>
    <w:link w:val="Quote"/>
    <w:uiPriority w:val="29"/>
    <w:rsid w:val="00D9059A"/>
    <w:rPr>
      <w:rFonts w:ascii="Arial" w:hAnsi="Arial"/>
      <w:i/>
      <w:iCs/>
      <w:color w:val="000000"/>
      <w:sz w:val="22"/>
      <w:szCs w:val="22"/>
      <w:lang w:eastAsia="en-US"/>
    </w:rPr>
  </w:style>
  <w:style w:type="paragraph" w:styleId="Subtitle">
    <w:name w:val="Subtitle"/>
    <w:aliases w:val="SummariesText"/>
    <w:basedOn w:val="BodyText2"/>
    <w:link w:val="SubtitleChar"/>
    <w:qFormat/>
    <w:rsid w:val="00D9059A"/>
    <w:pPr>
      <w:keepNext/>
      <w:keepLines/>
      <w:widowControl/>
      <w:spacing w:after="240" w:line="240" w:lineRule="auto"/>
    </w:pPr>
    <w:rPr>
      <w:rFonts w:cs="Times New Roman"/>
      <w:snapToGrid/>
      <w:sz w:val="20"/>
      <w:szCs w:val="22"/>
    </w:rPr>
  </w:style>
  <w:style w:type="character" w:customStyle="1" w:styleId="SubtitleChar">
    <w:name w:val="Subtitle Char"/>
    <w:aliases w:val="SummariesText Char"/>
    <w:basedOn w:val="DefaultParagraphFont"/>
    <w:link w:val="Subtitle"/>
    <w:uiPriority w:val="11"/>
    <w:rsid w:val="00D9059A"/>
    <w:rPr>
      <w:rFonts w:ascii="Arial" w:hAnsi="Arial"/>
      <w:szCs w:val="22"/>
      <w:lang w:eastAsia="en-US"/>
    </w:rPr>
  </w:style>
  <w:style w:type="paragraph" w:customStyle="1" w:styleId="Tablecaption">
    <w:name w:val="Table caption"/>
    <w:basedOn w:val="Normal"/>
    <w:rsid w:val="00D9059A"/>
    <w:pPr>
      <w:keepNext/>
      <w:widowControl/>
      <w:tabs>
        <w:tab w:val="left" w:pos="1134"/>
      </w:tabs>
      <w:spacing w:before="360" w:after="60"/>
      <w:jc w:val="left"/>
    </w:pPr>
    <w:rPr>
      <w:rFonts w:ascii="Arial Narrow" w:hAnsi="Arial Narrow" w:cs="Times New Roman"/>
      <w:b/>
      <w:bCs/>
      <w:snapToGrid/>
      <w:sz w:val="20"/>
    </w:rPr>
  </w:style>
  <w:style w:type="paragraph" w:customStyle="1" w:styleId="Heading40">
    <w:name w:val="Heading4"/>
    <w:basedOn w:val="Normal"/>
    <w:rsid w:val="00D9059A"/>
    <w:pPr>
      <w:widowControl/>
      <w:spacing w:before="240" w:after="360" w:line="360" w:lineRule="auto"/>
      <w:jc w:val="left"/>
    </w:pPr>
    <w:rPr>
      <w:rFonts w:cs="Times New Roman"/>
      <w:b/>
      <w:spacing w:val="-8"/>
      <w:sz w:val="24"/>
    </w:rPr>
  </w:style>
  <w:style w:type="paragraph" w:customStyle="1" w:styleId="Bodybullet">
    <w:name w:val="Body bullet"/>
    <w:basedOn w:val="Normal"/>
    <w:rsid w:val="00D9059A"/>
    <w:pPr>
      <w:widowControl/>
      <w:numPr>
        <w:numId w:val="4"/>
      </w:numPr>
      <w:spacing w:after="60" w:line="360" w:lineRule="auto"/>
      <w:ind w:left="714" w:hanging="357"/>
      <w:jc w:val="left"/>
    </w:pPr>
    <w:rPr>
      <w:rFonts w:ascii="Arial Narrow" w:hAnsi="Arial Narrow" w:cs="Times New Roman"/>
      <w:snapToGrid/>
    </w:rPr>
  </w:style>
  <w:style w:type="paragraph" w:customStyle="1" w:styleId="Tableheadingcentred">
    <w:name w:val="Table heading centred"/>
    <w:basedOn w:val="Normal"/>
    <w:rsid w:val="00D9059A"/>
    <w:pPr>
      <w:keepNext/>
      <w:keepLines/>
      <w:widowControl/>
      <w:tabs>
        <w:tab w:val="left" w:pos="113"/>
        <w:tab w:val="center" w:pos="142"/>
        <w:tab w:val="center" w:pos="284"/>
        <w:tab w:val="center" w:pos="425"/>
      </w:tabs>
      <w:spacing w:before="20" w:after="20"/>
      <w:jc w:val="left"/>
    </w:pPr>
    <w:rPr>
      <w:rFonts w:cs="Times New Roman"/>
      <w:b/>
      <w:snapToGrid/>
      <w:sz w:val="20"/>
      <w:lang w:val="en-GB"/>
    </w:rPr>
  </w:style>
  <w:style w:type="paragraph" w:customStyle="1" w:styleId="Sectionsummary">
    <w:name w:val="Section summary"/>
    <w:basedOn w:val="BodyText2"/>
    <w:rsid w:val="00D9059A"/>
    <w:pPr>
      <w:widowControl/>
      <w:spacing w:line="240" w:lineRule="auto"/>
    </w:pPr>
    <w:rPr>
      <w:rFonts w:cs="Times New Roman"/>
      <w:snapToGrid/>
      <w:szCs w:val="22"/>
    </w:rPr>
  </w:style>
  <w:style w:type="paragraph" w:customStyle="1" w:styleId="Bodybulletlastinlist">
    <w:name w:val="Body bullet last in list"/>
    <w:basedOn w:val="Bodybullet"/>
    <w:rsid w:val="00D9059A"/>
    <w:pPr>
      <w:spacing w:after="240"/>
    </w:pPr>
  </w:style>
  <w:style w:type="paragraph" w:customStyle="1" w:styleId="Tablefootnote">
    <w:name w:val="Table footnote"/>
    <w:basedOn w:val="Tablecaption"/>
    <w:rsid w:val="00D9059A"/>
    <w:pPr>
      <w:spacing w:before="40" w:after="360"/>
    </w:pPr>
    <w:rPr>
      <w:b w:val="0"/>
      <w:sz w:val="16"/>
      <w:szCs w:val="16"/>
    </w:rPr>
  </w:style>
  <w:style w:type="paragraph" w:customStyle="1" w:styleId="Table-columnheadings">
    <w:name w:val="Table - column headings"/>
    <w:basedOn w:val="Normal"/>
    <w:rsid w:val="00D9059A"/>
    <w:pPr>
      <w:keepNext/>
      <w:adjustRightInd w:val="0"/>
      <w:jc w:val="center"/>
      <w:textAlignment w:val="baseline"/>
    </w:pPr>
    <w:rPr>
      <w:rFonts w:ascii="Calibri" w:hAnsi="Calibri"/>
      <w:b/>
      <w:bCs/>
      <w:snapToGrid/>
      <w:sz w:val="20"/>
    </w:rPr>
  </w:style>
  <w:style w:type="paragraph" w:customStyle="1" w:styleId="Default">
    <w:name w:val="Default"/>
    <w:rsid w:val="00D9059A"/>
    <w:pPr>
      <w:autoSpaceDE w:val="0"/>
      <w:autoSpaceDN w:val="0"/>
      <w:adjustRightInd w:val="0"/>
    </w:pPr>
    <w:rPr>
      <w:rFonts w:ascii="Arial" w:hAnsi="Arial" w:cs="Arial"/>
      <w:color w:val="000000"/>
      <w:lang w:eastAsia="ja-JP"/>
    </w:rPr>
  </w:style>
  <w:style w:type="paragraph" w:customStyle="1" w:styleId="BayerBodyTextFull">
    <w:name w:val="Bayer Body Text Full"/>
    <w:basedOn w:val="Normal"/>
    <w:link w:val="BayerBodyTextFullChar"/>
    <w:rsid w:val="00D9059A"/>
    <w:pPr>
      <w:widowControl/>
      <w:spacing w:before="120" w:after="120"/>
      <w:jc w:val="left"/>
    </w:pPr>
    <w:rPr>
      <w:rFonts w:ascii="Times New Roman" w:hAnsi="Times New Roman" w:cs="Times New Roman"/>
      <w:snapToGrid/>
      <w:sz w:val="24"/>
      <w:lang w:val="en-US"/>
    </w:rPr>
  </w:style>
  <w:style w:type="character" w:customStyle="1" w:styleId="BayerBodyTextFullChar">
    <w:name w:val="Bayer Body Text Full Char"/>
    <w:link w:val="BayerBodyTextFull"/>
    <w:rsid w:val="00D9059A"/>
    <w:rPr>
      <w:sz w:val="24"/>
      <w:lang w:val="en-US" w:eastAsia="en-US"/>
    </w:rPr>
  </w:style>
  <w:style w:type="paragraph" w:customStyle="1" w:styleId="Table100">
    <w:name w:val="Table10:0"/>
    <w:basedOn w:val="Normal"/>
    <w:link w:val="Table100Zchn"/>
    <w:rsid w:val="00D9059A"/>
    <w:pPr>
      <w:keepNext/>
      <w:widowControl/>
      <w:spacing w:before="60" w:after="60"/>
      <w:jc w:val="left"/>
    </w:pPr>
    <w:rPr>
      <w:rFonts w:ascii="Times New Roman" w:hAnsi="Times New Roman" w:cs="Times New Roman"/>
      <w:snapToGrid/>
      <w:sz w:val="20"/>
      <w:lang w:val="en-US"/>
    </w:rPr>
  </w:style>
  <w:style w:type="character" w:customStyle="1" w:styleId="Table100Zchn">
    <w:name w:val="Table10:0 Zchn"/>
    <w:link w:val="Table100"/>
    <w:rsid w:val="00D9059A"/>
    <w:rPr>
      <w:lang w:val="en-US" w:eastAsia="en-US"/>
    </w:rPr>
  </w:style>
  <w:style w:type="character" w:customStyle="1" w:styleId="Heading1Char">
    <w:name w:val="Heading 1 Char"/>
    <w:link w:val="Heading1"/>
    <w:rsid w:val="00AC622A"/>
    <w:rPr>
      <w:rFonts w:ascii="Arial Bold" w:hAnsi="Arial Bold" w:cs="Arial"/>
      <w:b/>
      <w:snapToGrid w:val="0"/>
      <w:sz w:val="22"/>
      <w:lang w:eastAsia="en-US"/>
    </w:rPr>
  </w:style>
  <w:style w:type="character" w:customStyle="1" w:styleId="Heading5Char">
    <w:name w:val="Heading 5 Char"/>
    <w:link w:val="Heading5"/>
    <w:uiPriority w:val="9"/>
    <w:rsid w:val="00D9059A"/>
    <w:rPr>
      <w:rFonts w:ascii="Arial" w:hAnsi="Arial" w:cs="Arial"/>
      <w:b/>
      <w:bCs/>
      <w:iCs/>
      <w:snapToGrid w:val="0"/>
      <w:sz w:val="26"/>
      <w:szCs w:val="26"/>
      <w:lang w:eastAsia="en-US"/>
    </w:rPr>
  </w:style>
  <w:style w:type="character" w:customStyle="1" w:styleId="Heading6Char">
    <w:name w:val="Heading 6 Char"/>
    <w:link w:val="Heading6"/>
    <w:uiPriority w:val="9"/>
    <w:rsid w:val="00D9059A"/>
    <w:rPr>
      <w:rFonts w:ascii="Arial" w:hAnsi="Arial" w:cs="Arial"/>
      <w:b/>
      <w:bCs/>
      <w:i/>
      <w:snapToGrid w:val="0"/>
      <w:sz w:val="22"/>
      <w:szCs w:val="22"/>
      <w:lang w:eastAsia="en-US"/>
    </w:rPr>
  </w:style>
  <w:style w:type="character" w:customStyle="1" w:styleId="BodyText2Char1">
    <w:name w:val="Body Text 2 Char1"/>
    <w:uiPriority w:val="99"/>
    <w:semiHidden/>
    <w:rsid w:val="00D9059A"/>
    <w:rPr>
      <w:rFonts w:ascii="Times New Roman" w:eastAsia="Times New Roman" w:hAnsi="Times New Roman" w:cs="Times New Roman"/>
      <w:sz w:val="24"/>
      <w:szCs w:val="24"/>
    </w:rPr>
  </w:style>
  <w:style w:type="paragraph" w:customStyle="1" w:styleId="FigureNote">
    <w:name w:val="Figure Note"/>
    <w:basedOn w:val="Heading5"/>
    <w:rsid w:val="00D9059A"/>
    <w:pPr>
      <w:keepLines/>
    </w:pPr>
    <w:rPr>
      <w:rFonts w:ascii="Tahoma" w:hAnsi="Tahoma" w:cs="Tahoma"/>
      <w:snapToGrid/>
      <w:sz w:val="12"/>
      <w:szCs w:val="16"/>
      <w:u w:val="single"/>
      <w:lang w:val="en-GB"/>
    </w:rPr>
  </w:style>
  <w:style w:type="character" w:styleId="PlaceholderText">
    <w:name w:val="Placeholder Text"/>
    <w:uiPriority w:val="99"/>
    <w:semiHidden/>
    <w:rsid w:val="00D9059A"/>
    <w:rPr>
      <w:color w:val="808080"/>
    </w:rPr>
  </w:style>
  <w:style w:type="paragraph" w:styleId="PlainText">
    <w:name w:val="Plain Text"/>
    <w:basedOn w:val="Normal"/>
    <w:link w:val="PlainTextChar"/>
    <w:uiPriority w:val="99"/>
    <w:unhideWhenUsed/>
    <w:rsid w:val="00D9059A"/>
    <w:pPr>
      <w:widowControl/>
      <w:jc w:val="left"/>
    </w:pPr>
    <w:rPr>
      <w:rFonts w:ascii="Arial Narrow" w:eastAsia="Calibri" w:hAnsi="Arial Narrow" w:cs="Times New Roman"/>
      <w:snapToGrid/>
      <w:color w:val="000000"/>
      <w:szCs w:val="21"/>
    </w:rPr>
  </w:style>
  <w:style w:type="character" w:customStyle="1" w:styleId="PlainTextChar">
    <w:name w:val="Plain Text Char"/>
    <w:basedOn w:val="DefaultParagraphFont"/>
    <w:link w:val="PlainText"/>
    <w:uiPriority w:val="99"/>
    <w:rsid w:val="00D9059A"/>
    <w:rPr>
      <w:rFonts w:ascii="Arial Narrow" w:eastAsia="Calibri" w:hAnsi="Arial Narrow"/>
      <w:color w:val="000000"/>
      <w:sz w:val="22"/>
      <w:szCs w:val="21"/>
      <w:lang w:eastAsia="en-US"/>
    </w:rPr>
  </w:style>
  <w:style w:type="paragraph" w:customStyle="1" w:styleId="TableHead">
    <w:name w:val="Table Head"/>
    <w:basedOn w:val="TableText0"/>
    <w:rsid w:val="00D9059A"/>
    <w:pPr>
      <w:widowControl w:val="0"/>
      <w:adjustRightInd w:val="0"/>
      <w:spacing w:before="60" w:after="60"/>
    </w:pPr>
    <w:rPr>
      <w:rFonts w:eastAsia="SimSun" w:cs="Times New Roman"/>
      <w:b/>
      <w:lang w:eastAsia="en-AU"/>
    </w:rPr>
  </w:style>
  <w:style w:type="table" w:customStyle="1" w:styleId="TableGrid1">
    <w:name w:val="Table Grid1"/>
    <w:basedOn w:val="TableNormal"/>
    <w:next w:val="TableGrid"/>
    <w:uiPriority w:val="59"/>
    <w:rsid w:val="00D9059A"/>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row">
    <w:name w:val="Table header row"/>
    <w:basedOn w:val="Tabletext"/>
    <w:link w:val="TableheaderrowChar"/>
    <w:rsid w:val="00D9059A"/>
    <w:pPr>
      <w:tabs>
        <w:tab w:val="left" w:pos="1134"/>
      </w:tabs>
      <w:spacing w:before="80" w:after="80"/>
    </w:pPr>
    <w:rPr>
      <w:rFonts w:ascii="Arial Narrow" w:hAnsi="Arial Narrow"/>
      <w:b/>
      <w:bCs/>
    </w:rPr>
  </w:style>
  <w:style w:type="character" w:customStyle="1" w:styleId="TableheaderrowChar">
    <w:name w:val="Table header row Char"/>
    <w:link w:val="Tableheaderrow"/>
    <w:rsid w:val="00D9059A"/>
    <w:rPr>
      <w:rFonts w:ascii="Arial Narrow" w:hAnsi="Arial Narrow"/>
      <w:b/>
      <w:bCs/>
      <w:lang w:eastAsia="en-US"/>
    </w:rPr>
  </w:style>
  <w:style w:type="paragraph" w:customStyle="1" w:styleId="PBSNormal">
    <w:name w:val="PBS Normal"/>
    <w:basedOn w:val="Normal"/>
    <w:link w:val="PBSNormalChar1"/>
    <w:rsid w:val="00D9059A"/>
    <w:pPr>
      <w:widowControl/>
      <w:spacing w:before="120" w:after="120" w:line="360" w:lineRule="auto"/>
    </w:pPr>
    <w:rPr>
      <w:rFonts w:cs="Times New Roman"/>
      <w:snapToGrid/>
    </w:rPr>
  </w:style>
  <w:style w:type="character" w:customStyle="1" w:styleId="PBSNormalChar1">
    <w:name w:val="PBS Normal Char1"/>
    <w:link w:val="PBSNormal"/>
    <w:rsid w:val="00D9059A"/>
    <w:rPr>
      <w:rFonts w:ascii="Arial" w:hAnsi="Arial"/>
      <w:sz w:val="22"/>
      <w:lang w:eastAsia="en-US"/>
    </w:rPr>
  </w:style>
  <w:style w:type="character" w:customStyle="1" w:styleId="Heading8Char1">
    <w:name w:val="Heading 8 Char1"/>
    <w:rsid w:val="00D9059A"/>
    <w:rPr>
      <w:rFonts w:ascii="Arial" w:hAnsi="Arial" w:cs="Arial"/>
      <w:b/>
      <w:sz w:val="24"/>
      <w:szCs w:val="24"/>
      <w:lang w:eastAsia="en-US"/>
    </w:rPr>
  </w:style>
  <w:style w:type="character" w:customStyle="1" w:styleId="TableTextChar1">
    <w:name w:val="Table Text Char1"/>
    <w:rsid w:val="00D9059A"/>
    <w:rPr>
      <w:rFonts w:ascii="Arial" w:hAnsi="Arial"/>
      <w:lang w:eastAsia="en-AU"/>
    </w:rPr>
  </w:style>
  <w:style w:type="paragraph" w:customStyle="1" w:styleId="CaptionStyleChar">
    <w:name w:val="Caption Style Char"/>
    <w:basedOn w:val="Caption"/>
    <w:next w:val="Normal"/>
    <w:link w:val="CaptionStyleCharChar"/>
    <w:rsid w:val="00D9059A"/>
    <w:pPr>
      <w:widowControl/>
      <w:tabs>
        <w:tab w:val="left" w:pos="1134"/>
      </w:tabs>
      <w:spacing w:after="60"/>
      <w:ind w:left="1134" w:hanging="1134"/>
      <w:jc w:val="left"/>
    </w:pPr>
    <w:rPr>
      <w:rFonts w:cs="Times New Roman"/>
      <w:snapToGrid/>
      <w:color w:val="auto"/>
      <w:sz w:val="20"/>
      <w:szCs w:val="20"/>
    </w:rPr>
  </w:style>
  <w:style w:type="character" w:customStyle="1" w:styleId="CaptionStyleCharChar">
    <w:name w:val="Caption Style Char Char"/>
    <w:link w:val="CaptionStyleChar"/>
    <w:rsid w:val="00D9059A"/>
    <w:rPr>
      <w:rFonts w:ascii="Arial" w:hAnsi="Arial"/>
      <w:b/>
      <w:bCs/>
      <w:lang w:eastAsia="en-US"/>
    </w:rPr>
  </w:style>
  <w:style w:type="paragraph" w:customStyle="1" w:styleId="BodyTextHeader">
    <w:name w:val="Body Text Header"/>
    <w:basedOn w:val="BodyText2"/>
    <w:next w:val="BodyText2"/>
    <w:autoRedefine/>
    <w:rsid w:val="00D9059A"/>
    <w:pPr>
      <w:keepNext/>
      <w:keepLines/>
      <w:widowControl/>
      <w:spacing w:line="240" w:lineRule="auto"/>
      <w:jc w:val="left"/>
    </w:pPr>
    <w:rPr>
      <w:rFonts w:eastAsia="Calibri" w:cs="Times New Roman"/>
      <w:b/>
      <w:snapToGrid/>
      <w:szCs w:val="22"/>
    </w:rPr>
  </w:style>
  <w:style w:type="table" w:customStyle="1" w:styleId="TableGrid2">
    <w:name w:val="Table Grid2"/>
    <w:basedOn w:val="TableNormal"/>
    <w:next w:val="TableGrid"/>
    <w:rsid w:val="00D905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905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aliases w:val="Title Page text"/>
    <w:uiPriority w:val="1"/>
    <w:rsid w:val="00D9059A"/>
    <w:rPr>
      <w:rFonts w:ascii="Century Gothic" w:eastAsia="Calibri" w:hAnsi="Century Gothic" w:cs="Arial"/>
      <w:szCs w:val="22"/>
      <w:lang w:eastAsia="en-US"/>
    </w:rPr>
  </w:style>
  <w:style w:type="character" w:styleId="FollowedHyperlink">
    <w:name w:val="FollowedHyperlink"/>
    <w:uiPriority w:val="99"/>
    <w:unhideWhenUsed/>
    <w:rsid w:val="00D9059A"/>
    <w:rPr>
      <w:color w:val="800080"/>
      <w:u w:val="single"/>
    </w:rPr>
  </w:style>
  <w:style w:type="character" w:styleId="Strong">
    <w:name w:val="Strong"/>
    <w:uiPriority w:val="22"/>
    <w:qFormat/>
    <w:rsid w:val="00D9059A"/>
    <w:rPr>
      <w:b/>
      <w:bCs/>
    </w:rPr>
  </w:style>
  <w:style w:type="paragraph" w:styleId="TableofAuthorities">
    <w:name w:val="table of authorities"/>
    <w:basedOn w:val="Normal"/>
    <w:next w:val="Normal"/>
    <w:uiPriority w:val="99"/>
    <w:unhideWhenUsed/>
    <w:rsid w:val="00D9059A"/>
    <w:pPr>
      <w:widowControl/>
      <w:spacing w:after="200" w:line="360" w:lineRule="auto"/>
      <w:ind w:left="220" w:hanging="220"/>
      <w:jc w:val="left"/>
    </w:pPr>
    <w:rPr>
      <w:rFonts w:eastAsia="Calibri"/>
      <w:snapToGrid/>
      <w:szCs w:val="22"/>
    </w:rPr>
  </w:style>
  <w:style w:type="character" w:styleId="IntenseEmphasis">
    <w:name w:val="Intense Emphasis"/>
    <w:uiPriority w:val="21"/>
    <w:rsid w:val="00D9059A"/>
    <w:rPr>
      <w:b/>
      <w:bCs/>
      <w:i/>
      <w:iCs/>
      <w:color w:val="4F81BD"/>
    </w:rPr>
  </w:style>
  <w:style w:type="paragraph" w:customStyle="1" w:styleId="H2NoNumber">
    <w:name w:val="H2 NoNumber"/>
    <w:basedOn w:val="Heading2"/>
    <w:qFormat/>
    <w:rsid w:val="00D9059A"/>
    <w:pPr>
      <w:keepNext/>
      <w:widowControl/>
      <w:spacing w:before="240" w:after="240"/>
      <w:ind w:right="-282"/>
      <w:jc w:val="left"/>
    </w:pPr>
    <w:rPr>
      <w:rFonts w:cs="Times New Roman"/>
      <w:snapToGrid/>
      <w:sz w:val="32"/>
      <w:lang w:eastAsia="en-AU"/>
    </w:rPr>
  </w:style>
  <w:style w:type="paragraph" w:customStyle="1" w:styleId="TableHeadingLeft">
    <w:name w:val="Table Heading Left"/>
    <w:basedOn w:val="TableText1"/>
    <w:qFormat/>
    <w:rsid w:val="00D9059A"/>
    <w:rPr>
      <w:b/>
      <w:bCs/>
    </w:rPr>
  </w:style>
  <w:style w:type="paragraph" w:customStyle="1" w:styleId="AsideNotes">
    <w:name w:val="AsideNotes"/>
    <w:basedOn w:val="BodyText2"/>
    <w:autoRedefine/>
    <w:qFormat/>
    <w:rsid w:val="00D9059A"/>
    <w:pPr>
      <w:keepNext/>
      <w:keepLines/>
      <w:widowControl/>
      <w:pBdr>
        <w:top w:val="single" w:sz="4" w:space="1" w:color="auto"/>
        <w:left w:val="single" w:sz="4" w:space="4" w:color="auto"/>
        <w:bottom w:val="single" w:sz="4" w:space="1" w:color="auto"/>
        <w:right w:val="single" w:sz="4" w:space="4" w:color="auto"/>
      </w:pBdr>
      <w:spacing w:line="240" w:lineRule="auto"/>
    </w:pPr>
    <w:rPr>
      <w:rFonts w:cs="Times New Roman"/>
      <w:i/>
      <w:snapToGrid/>
      <w:szCs w:val="22"/>
    </w:rPr>
  </w:style>
  <w:style w:type="numbering" w:customStyle="1" w:styleId="StyleNumberedArial11ptLeft063cmHanging063cm">
    <w:name w:val="Style Numbered Arial 11 pt Left:  0.63 cm Hanging:  0.63 cm"/>
    <w:basedOn w:val="NoList"/>
    <w:rsid w:val="00D9059A"/>
    <w:pPr>
      <w:numPr>
        <w:numId w:val="5"/>
      </w:numPr>
    </w:pPr>
  </w:style>
  <w:style w:type="paragraph" w:customStyle="1" w:styleId="AsideNotesHeader">
    <w:name w:val="AsideNotesHeader"/>
    <w:basedOn w:val="AsideNotes"/>
    <w:rsid w:val="00D9059A"/>
    <w:rPr>
      <w:iCs/>
      <w:u w:val="single"/>
    </w:rPr>
  </w:style>
  <w:style w:type="paragraph" w:customStyle="1" w:styleId="H1NoNumber">
    <w:name w:val="H1 NoNumber"/>
    <w:basedOn w:val="Heading1"/>
    <w:next w:val="BodyText2"/>
    <w:rsid w:val="00D9059A"/>
    <w:pPr>
      <w:keepNext/>
      <w:widowControl/>
      <w:spacing w:before="240" w:after="240"/>
      <w:ind w:left="1134" w:hanging="1134"/>
      <w:jc w:val="left"/>
    </w:pPr>
    <w:rPr>
      <w:rFonts w:ascii="Arial" w:hAnsi="Arial" w:cs="Times New Roman"/>
      <w:caps/>
      <w:snapToGrid/>
      <w:kern w:val="28"/>
      <w:sz w:val="36"/>
      <w:szCs w:val="28"/>
    </w:rPr>
  </w:style>
  <w:style w:type="paragraph" w:customStyle="1" w:styleId="SummariesHead">
    <w:name w:val="SummariesHead"/>
    <w:basedOn w:val="Subtitle"/>
    <w:rsid w:val="00D9059A"/>
    <w:pPr>
      <w:spacing w:before="40"/>
    </w:pPr>
    <w:rPr>
      <w:b/>
      <w:bCs/>
    </w:rPr>
  </w:style>
  <w:style w:type="paragraph" w:customStyle="1" w:styleId="TableHeadCentre">
    <w:name w:val="Table Head Centre"/>
    <w:basedOn w:val="Normal"/>
    <w:qFormat/>
    <w:rsid w:val="00D9059A"/>
    <w:pPr>
      <w:keepNext/>
      <w:keepLines/>
      <w:widowControl/>
      <w:tabs>
        <w:tab w:val="left" w:pos="113"/>
        <w:tab w:val="center" w:pos="142"/>
        <w:tab w:val="center" w:pos="284"/>
        <w:tab w:val="center" w:pos="425"/>
      </w:tabs>
      <w:spacing w:before="20" w:after="20"/>
      <w:jc w:val="center"/>
    </w:pPr>
    <w:rPr>
      <w:rFonts w:cs="Times New Roman"/>
      <w:b/>
      <w:snapToGrid/>
      <w:sz w:val="20"/>
      <w:lang w:val="en-GB"/>
    </w:rPr>
  </w:style>
  <w:style w:type="paragraph" w:customStyle="1" w:styleId="H3NoNumber">
    <w:name w:val="H3 NoNumber"/>
    <w:basedOn w:val="Heading3"/>
    <w:rsid w:val="00D9059A"/>
    <w:pPr>
      <w:keepNext/>
      <w:widowControl/>
      <w:spacing w:before="240" w:after="240"/>
      <w:ind w:left="993" w:hanging="993"/>
      <w:jc w:val="left"/>
    </w:pPr>
    <w:rPr>
      <w:rFonts w:cs="Times New Roman"/>
      <w:b/>
      <w:snapToGrid/>
      <w:sz w:val="24"/>
      <w:szCs w:val="22"/>
      <w:u w:val="none"/>
    </w:rPr>
  </w:style>
  <w:style w:type="paragraph" w:customStyle="1" w:styleId="Summaries">
    <w:name w:val="Summaries"/>
    <w:basedOn w:val="BodyText2"/>
    <w:rsid w:val="00D9059A"/>
    <w:pPr>
      <w:widowControl/>
      <w:spacing w:after="360" w:line="240" w:lineRule="auto"/>
    </w:pPr>
    <w:rPr>
      <w:rFonts w:cs="Times New Roman"/>
      <w:snapToGrid/>
      <w:szCs w:val="22"/>
    </w:rPr>
  </w:style>
  <w:style w:type="paragraph" w:customStyle="1" w:styleId="StyleSummaries10ptAfter6pt">
    <w:name w:val="Style Summaries + 10 pt After:  6 pt"/>
    <w:basedOn w:val="Summaries"/>
    <w:rsid w:val="00D9059A"/>
    <w:pPr>
      <w:shd w:val="clear" w:color="auto" w:fill="D9D9D9" w:themeFill="background1" w:themeFillShade="D9"/>
      <w:spacing w:after="120"/>
    </w:pPr>
    <w:rPr>
      <w:sz w:val="20"/>
      <w:szCs w:val="20"/>
    </w:rPr>
  </w:style>
  <w:style w:type="paragraph" w:customStyle="1" w:styleId="TableHeadLeft">
    <w:name w:val="Table Head Left"/>
    <w:basedOn w:val="TableText1"/>
    <w:qFormat/>
    <w:rsid w:val="00D9059A"/>
    <w:rPr>
      <w:b/>
      <w:bCs/>
    </w:rPr>
  </w:style>
  <w:style w:type="paragraph" w:customStyle="1" w:styleId="TableTextCentre">
    <w:name w:val="Table Text Centre"/>
    <w:basedOn w:val="TableText1"/>
    <w:rsid w:val="00D9059A"/>
    <w:pPr>
      <w:jc w:val="center"/>
    </w:pPr>
    <w:rPr>
      <w:szCs w:val="20"/>
    </w:rPr>
  </w:style>
  <w:style w:type="paragraph" w:customStyle="1" w:styleId="Refs">
    <w:name w:val="Refs"/>
    <w:basedOn w:val="Normal"/>
    <w:rsid w:val="00D9059A"/>
    <w:pPr>
      <w:widowControl/>
      <w:autoSpaceDE w:val="0"/>
      <w:autoSpaceDN w:val="0"/>
      <w:adjustRightInd w:val="0"/>
      <w:spacing w:before="120" w:after="240"/>
      <w:jc w:val="left"/>
    </w:pPr>
    <w:rPr>
      <w:rFonts w:eastAsia="Calibri"/>
      <w:snapToGrid/>
      <w:sz w:val="20"/>
    </w:rPr>
  </w:style>
  <w:style w:type="paragraph" w:customStyle="1" w:styleId="Tableheadingleft0">
    <w:name w:val="Table heading left"/>
    <w:basedOn w:val="Normal"/>
    <w:qFormat/>
    <w:rsid w:val="00D9059A"/>
    <w:pPr>
      <w:keepNext/>
      <w:keepLines/>
      <w:widowControl/>
      <w:tabs>
        <w:tab w:val="left" w:pos="113"/>
        <w:tab w:val="center" w:pos="142"/>
        <w:tab w:val="center" w:pos="284"/>
        <w:tab w:val="center" w:pos="425"/>
      </w:tabs>
      <w:spacing w:after="120"/>
      <w:jc w:val="left"/>
    </w:pPr>
    <w:rPr>
      <w:b/>
      <w:snapToGrid/>
      <w:sz w:val="20"/>
      <w:lang w:val="en-GB"/>
    </w:rPr>
  </w:style>
  <w:style w:type="character" w:customStyle="1" w:styleId="Style12ptBold">
    <w:name w:val="Style 12 pt Bold"/>
    <w:rsid w:val="00D9059A"/>
    <w:rPr>
      <w:rFonts w:ascii="Arial" w:hAnsi="Arial"/>
      <w:b/>
      <w:bCs/>
      <w:sz w:val="24"/>
    </w:rPr>
  </w:style>
  <w:style w:type="paragraph" w:customStyle="1" w:styleId="ExecSummText">
    <w:name w:val="ExecSummText"/>
    <w:basedOn w:val="BodyText2"/>
    <w:qFormat/>
    <w:rsid w:val="00D9059A"/>
    <w:pPr>
      <w:widowControl/>
      <w:spacing w:after="240" w:line="240" w:lineRule="auto"/>
    </w:pPr>
    <w:rPr>
      <w:rFonts w:cs="Times New Roman"/>
      <w:snapToGrid/>
      <w:szCs w:val="22"/>
    </w:rPr>
  </w:style>
  <w:style w:type="paragraph" w:customStyle="1" w:styleId="ExecSummTextAfter0pt">
    <w:name w:val="ExecSummText + After:  0 pt"/>
    <w:basedOn w:val="ExecSummText"/>
    <w:rsid w:val="00D9059A"/>
    <w:pPr>
      <w:spacing w:after="120"/>
    </w:pPr>
    <w:rPr>
      <w:szCs w:val="20"/>
    </w:rPr>
  </w:style>
  <w:style w:type="paragraph" w:customStyle="1" w:styleId="TableTextSmall">
    <w:name w:val="Table Text Small"/>
    <w:basedOn w:val="TableText1"/>
    <w:rsid w:val="00D9059A"/>
    <w:pPr>
      <w:spacing w:before="20" w:after="80"/>
    </w:pPr>
    <w:rPr>
      <w:sz w:val="18"/>
    </w:rPr>
  </w:style>
  <w:style w:type="character" w:customStyle="1" w:styleId="CaptionChar1">
    <w:name w:val="Caption Char1"/>
    <w:locked/>
    <w:rsid w:val="00D9059A"/>
    <w:rPr>
      <w:rFonts w:ascii="Arial" w:eastAsia="Calibri" w:hAnsi="Arial"/>
      <w:b/>
      <w:bCs/>
      <w:sz w:val="22"/>
    </w:rPr>
  </w:style>
  <w:style w:type="paragraph" w:customStyle="1" w:styleId="NotesFromPBAC">
    <w:name w:val="NotesFromPBAC"/>
    <w:basedOn w:val="Normal"/>
    <w:qFormat/>
    <w:rsid w:val="00D9059A"/>
    <w:pPr>
      <w:widowControl/>
      <w:spacing w:after="200"/>
    </w:pPr>
    <w:rPr>
      <w:rFonts w:cs="Times New Roman"/>
      <w:b/>
      <w:i/>
      <w:snapToGrid/>
      <w:sz w:val="20"/>
      <w:lang w:eastAsia="en-AU"/>
    </w:rPr>
  </w:style>
  <w:style w:type="paragraph" w:customStyle="1" w:styleId="H3">
    <w:name w:val="H3"/>
    <w:basedOn w:val="H3NoNumber"/>
    <w:rsid w:val="00D9059A"/>
    <w:pPr>
      <w:ind w:left="1418" w:hanging="1418"/>
    </w:pPr>
    <w:rPr>
      <w:sz w:val="28"/>
      <w:szCs w:val="28"/>
    </w:rPr>
  </w:style>
  <w:style w:type="paragraph" w:customStyle="1" w:styleId="TableNotes2">
    <w:name w:val="Table Notes"/>
    <w:basedOn w:val="Normal"/>
    <w:next w:val="Normal"/>
    <w:qFormat/>
    <w:rsid w:val="00D9059A"/>
    <w:pPr>
      <w:widowControl/>
      <w:spacing w:before="40"/>
      <w:jc w:val="left"/>
    </w:pPr>
    <w:rPr>
      <w:rFonts w:cs="Times New Roman"/>
      <w:snapToGrid/>
      <w:sz w:val="16"/>
      <w:lang w:eastAsia="en-AU"/>
    </w:rPr>
  </w:style>
  <w:style w:type="numbering" w:customStyle="1" w:styleId="NoList2">
    <w:name w:val="No List2"/>
    <w:next w:val="NoList"/>
    <w:uiPriority w:val="99"/>
    <w:semiHidden/>
    <w:unhideWhenUsed/>
    <w:rsid w:val="00655D15"/>
  </w:style>
  <w:style w:type="numbering" w:customStyle="1" w:styleId="NoList11">
    <w:name w:val="No List11"/>
    <w:next w:val="NoList"/>
    <w:uiPriority w:val="99"/>
    <w:semiHidden/>
    <w:unhideWhenUsed/>
    <w:rsid w:val="00655D15"/>
  </w:style>
  <w:style w:type="table" w:customStyle="1" w:styleId="TableGrid30">
    <w:name w:val="Table Grid3"/>
    <w:basedOn w:val="TableNormal"/>
    <w:next w:val="TableGrid"/>
    <w:uiPriority w:val="59"/>
    <w:rsid w:val="00655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rsid w:val="00655D15"/>
    <w:pPr>
      <w:tabs>
        <w:tab w:val="left" w:pos="416"/>
        <w:tab w:val="left" w:pos="582"/>
      </w:tabs>
      <w:spacing w:line="360" w:lineRule="auto"/>
      <w:jc w:val="both"/>
    </w:pPr>
    <w:rPr>
      <w:rFonts w:ascii="Times" w:hAnsi="Tim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PBACTableStyle1">
    <w:name w:val="PBAC Table Style1"/>
    <w:basedOn w:val="TableNormal"/>
    <w:rsid w:val="00655D15"/>
    <w:pPr>
      <w:tabs>
        <w:tab w:val="left" w:pos="416"/>
        <w:tab w:val="left" w:pos="582"/>
      </w:tabs>
      <w:spacing w:line="360" w:lineRule="auto"/>
      <w:jc w:val="center"/>
    </w:pPr>
    <w:tblPr>
      <w:tblBorders>
        <w:top w:val="single" w:sz="4" w:space="0" w:color="auto"/>
        <w:bottom w:val="single" w:sz="4" w:space="0" w:color="auto"/>
      </w:tblBorders>
    </w:tblPr>
    <w:tcPr>
      <w:shd w:val="clear" w:color="auto" w:fill="auto"/>
    </w:tcPr>
    <w:tblStylePr w:type="firstRow">
      <w:rPr>
        <w:b/>
      </w:rPr>
      <w:tblPr/>
      <w:tcPr>
        <w:tcBorders>
          <w:bottom w:val="single" w:sz="4" w:space="0" w:color="auto"/>
          <w:tl2br w:val="none" w:sz="0" w:space="0" w:color="auto"/>
          <w:tr2bl w:val="none" w:sz="0" w:space="0" w:color="auto"/>
        </w:tcBorders>
        <w:shd w:val="clear" w:color="auto" w:fill="E0E0E0"/>
      </w:tcPr>
    </w:tblStylePr>
    <w:tblStylePr w:type="lastRow">
      <w:rPr>
        <w:b w:val="0"/>
        <w:bCs/>
      </w:rPr>
      <w:tblPr/>
      <w:tcPr>
        <w:tcBorders>
          <w:tl2br w:val="none" w:sz="0" w:space="0" w:color="auto"/>
          <w:tr2bl w:val="none" w:sz="0" w:space="0" w:color="auto"/>
        </w:tcBorders>
      </w:tcPr>
    </w:tblStylePr>
    <w:tblStylePr w:type="firstCol">
      <w:pPr>
        <w:jc w:val="left"/>
      </w:pPr>
      <w:rPr>
        <w:rFonts w:ascii="Times New Roman" w:hAnsi="Times New Roman"/>
        <w:b/>
        <w:sz w:val="20"/>
      </w:rPr>
    </w:tblStylePr>
    <w:tblStylePr w:type="lastCol">
      <w:rPr>
        <w:b/>
        <w:bCs/>
      </w:rPr>
      <w:tblPr/>
      <w:tcPr>
        <w:tcBorders>
          <w:tl2br w:val="none" w:sz="0" w:space="0" w:color="auto"/>
          <w:tr2bl w:val="none" w:sz="0" w:space="0" w:color="auto"/>
        </w:tcBorders>
      </w:tcPr>
    </w:tblStylePr>
    <w:tblStylePr w:type="swCell">
      <w:pPr>
        <w:jc w:val="center"/>
      </w:pPr>
      <w:rPr>
        <w:b/>
      </w:rPr>
    </w:tblStylePr>
  </w:style>
  <w:style w:type="numbering" w:customStyle="1" w:styleId="NoList111">
    <w:name w:val="No List111"/>
    <w:next w:val="NoList"/>
    <w:uiPriority w:val="99"/>
    <w:semiHidden/>
    <w:unhideWhenUsed/>
    <w:rsid w:val="00655D15"/>
  </w:style>
  <w:style w:type="table" w:customStyle="1" w:styleId="TableGrid11">
    <w:name w:val="Table Grid11"/>
    <w:basedOn w:val="TableNormal"/>
    <w:next w:val="TableGrid"/>
    <w:rsid w:val="00655D1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655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55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Arial11ptLeft063cmHanging063cm1">
    <w:name w:val="Style Numbered Arial 11 pt Left:  0.63 cm Hanging:  0.63 cm1"/>
    <w:basedOn w:val="NoList"/>
    <w:rsid w:val="00655D15"/>
  </w:style>
  <w:style w:type="numbering" w:customStyle="1" w:styleId="NoList21">
    <w:name w:val="No List21"/>
    <w:next w:val="NoList"/>
    <w:uiPriority w:val="99"/>
    <w:semiHidden/>
    <w:unhideWhenUsed/>
    <w:rsid w:val="00655D15"/>
  </w:style>
  <w:style w:type="numbering" w:customStyle="1" w:styleId="NoList12">
    <w:name w:val="No List12"/>
    <w:next w:val="NoList"/>
    <w:uiPriority w:val="99"/>
    <w:semiHidden/>
    <w:unhideWhenUsed/>
    <w:rsid w:val="00655D15"/>
  </w:style>
  <w:style w:type="numbering" w:customStyle="1" w:styleId="StyleNumberedArial11ptLeft063cmHanging063cm11">
    <w:name w:val="Style Numbered Arial 11 pt Left:  0.63 cm Hanging:  0.63 cm11"/>
    <w:basedOn w:val="NoList"/>
    <w:rsid w:val="00655D15"/>
  </w:style>
  <w:style w:type="table" w:customStyle="1" w:styleId="TableGrid4">
    <w:name w:val="Table Grid4"/>
    <w:basedOn w:val="TableNormal"/>
    <w:next w:val="TableGrid"/>
    <w:uiPriority w:val="59"/>
    <w:rsid w:val="00335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C7A2E"/>
  </w:style>
  <w:style w:type="table" w:customStyle="1" w:styleId="TableGrid5">
    <w:name w:val="Table Grid5"/>
    <w:basedOn w:val="TableNormal"/>
    <w:next w:val="TableGrid"/>
    <w:uiPriority w:val="59"/>
    <w:rsid w:val="004C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C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35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35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CE72F4"/>
    <w:pPr>
      <w:widowControl/>
      <w:ind w:left="1440"/>
    </w:pPr>
    <w:rPr>
      <w:rFonts w:ascii="Times New Roman" w:hAnsi="Times New Roman" w:cs="Times New Roman"/>
      <w:snapToGrid/>
      <w:sz w:val="24"/>
    </w:rPr>
  </w:style>
  <w:style w:type="character" w:customStyle="1" w:styleId="BodyTextIndent2Char">
    <w:name w:val="Body Text Indent 2 Char"/>
    <w:basedOn w:val="DefaultParagraphFont"/>
    <w:link w:val="BodyTextIndent2"/>
    <w:rsid w:val="00CE72F4"/>
    <w:rPr>
      <w:sz w:val="24"/>
      <w:lang w:eastAsia="en-US"/>
    </w:rPr>
  </w:style>
  <w:style w:type="character" w:styleId="PageNumber">
    <w:name w:val="page number"/>
    <w:basedOn w:val="DefaultParagraphFont"/>
    <w:rsid w:val="00CE72F4"/>
  </w:style>
  <w:style w:type="paragraph" w:customStyle="1" w:styleId="1">
    <w:name w:val="1"/>
    <w:basedOn w:val="Normal"/>
    <w:rsid w:val="00CE72F4"/>
    <w:pPr>
      <w:widowControl/>
      <w:spacing w:after="160" w:line="240" w:lineRule="exact"/>
    </w:pPr>
    <w:rPr>
      <w:rFonts w:ascii="Verdana" w:eastAsia="MS Mincho" w:hAnsi="Verdana" w:cs="Verdana"/>
      <w:snapToGrid/>
      <w:sz w:val="20"/>
      <w:lang w:val="en-US"/>
    </w:rPr>
  </w:style>
  <w:style w:type="character" w:styleId="Emphasis">
    <w:name w:val="Emphasis"/>
    <w:uiPriority w:val="20"/>
    <w:qFormat/>
    <w:rsid w:val="00CE72F4"/>
    <w:rPr>
      <w:i/>
      <w:iCs/>
    </w:rPr>
  </w:style>
  <w:style w:type="paragraph" w:customStyle="1" w:styleId="MediumGrid21">
    <w:name w:val="Medium Grid 21"/>
    <w:link w:val="MediumGrid2Char"/>
    <w:uiPriority w:val="1"/>
    <w:qFormat/>
    <w:rsid w:val="00CE72F4"/>
    <w:rPr>
      <w:rFonts w:ascii="Cambria" w:eastAsia="MS Mincho" w:hAnsi="Cambria"/>
      <w:sz w:val="22"/>
      <w:szCs w:val="22"/>
      <w:lang w:val="en-US" w:eastAsia="en-US"/>
    </w:rPr>
  </w:style>
  <w:style w:type="paragraph" w:customStyle="1" w:styleId="ColorfulList-Accent11">
    <w:name w:val="Colorful List - Accent 11"/>
    <w:basedOn w:val="Normal"/>
    <w:uiPriority w:val="34"/>
    <w:qFormat/>
    <w:rsid w:val="00CE72F4"/>
    <w:pPr>
      <w:widowControl/>
      <w:ind w:left="720"/>
      <w:contextualSpacing/>
    </w:pPr>
    <w:rPr>
      <w:rFonts w:ascii="Cambria" w:eastAsia="MS Mincho" w:hAnsi="Cambria" w:cs="Times New Roman"/>
      <w:snapToGrid/>
      <w:szCs w:val="22"/>
      <w:lang w:val="en-US"/>
    </w:rPr>
  </w:style>
  <w:style w:type="paragraph" w:customStyle="1" w:styleId="ColorfulGrid-Accent11">
    <w:name w:val="Colorful Grid - Accent 11"/>
    <w:basedOn w:val="Normal"/>
    <w:next w:val="Normal"/>
    <w:link w:val="ColorfulGrid-Accent1Char"/>
    <w:uiPriority w:val="29"/>
    <w:qFormat/>
    <w:rsid w:val="00CE72F4"/>
    <w:pPr>
      <w:widowControl/>
    </w:pPr>
    <w:rPr>
      <w:rFonts w:ascii="Cambria" w:eastAsia="MS Mincho" w:hAnsi="Cambria" w:cs="Times New Roman"/>
      <w:i/>
      <w:iCs/>
      <w:snapToGrid/>
      <w:color w:val="000000"/>
      <w:szCs w:val="22"/>
      <w:lang w:val="en-US"/>
    </w:rPr>
  </w:style>
  <w:style w:type="character" w:customStyle="1" w:styleId="ColorfulGrid-Accent1Char">
    <w:name w:val="Colorful Grid - Accent 1 Char"/>
    <w:link w:val="ColorfulGrid-Accent11"/>
    <w:uiPriority w:val="29"/>
    <w:rsid w:val="00CE72F4"/>
    <w:rPr>
      <w:rFonts w:ascii="Cambria" w:eastAsia="MS Mincho" w:hAnsi="Cambria"/>
      <w:i/>
      <w:iCs/>
      <w:color w:val="000000"/>
      <w:sz w:val="22"/>
      <w:szCs w:val="22"/>
      <w:lang w:val="en-US" w:eastAsia="en-US"/>
    </w:rPr>
  </w:style>
  <w:style w:type="paragraph" w:customStyle="1" w:styleId="LightShading-Accent21">
    <w:name w:val="Light Shading - Accent 21"/>
    <w:basedOn w:val="Normal"/>
    <w:next w:val="Normal"/>
    <w:link w:val="LightShading-Accent2Char"/>
    <w:uiPriority w:val="30"/>
    <w:qFormat/>
    <w:rsid w:val="00CE72F4"/>
    <w:pPr>
      <w:widowControl/>
      <w:pBdr>
        <w:bottom w:val="single" w:sz="4" w:space="4" w:color="4F81BD"/>
      </w:pBdr>
      <w:spacing w:before="200" w:after="280"/>
      <w:ind w:left="936" w:right="936"/>
    </w:pPr>
    <w:rPr>
      <w:rFonts w:ascii="Cambria" w:eastAsia="MS Mincho" w:hAnsi="Cambria" w:cs="Times New Roman"/>
      <w:b/>
      <w:bCs/>
      <w:i/>
      <w:iCs/>
      <w:snapToGrid/>
      <w:color w:val="4F81BD"/>
      <w:szCs w:val="22"/>
      <w:lang w:val="en-US"/>
    </w:rPr>
  </w:style>
  <w:style w:type="character" w:customStyle="1" w:styleId="LightShading-Accent2Char">
    <w:name w:val="Light Shading - Accent 2 Char"/>
    <w:link w:val="LightShading-Accent21"/>
    <w:uiPriority w:val="30"/>
    <w:rsid w:val="00CE72F4"/>
    <w:rPr>
      <w:rFonts w:ascii="Cambria" w:eastAsia="MS Mincho" w:hAnsi="Cambria"/>
      <w:b/>
      <w:bCs/>
      <w:i/>
      <w:iCs/>
      <w:color w:val="4F81BD"/>
      <w:sz w:val="22"/>
      <w:szCs w:val="22"/>
      <w:lang w:val="en-US" w:eastAsia="en-US"/>
    </w:rPr>
  </w:style>
  <w:style w:type="character" w:customStyle="1" w:styleId="SubtleEmphasis1">
    <w:name w:val="Subtle Emphasis1"/>
    <w:uiPriority w:val="19"/>
    <w:qFormat/>
    <w:rsid w:val="00CE72F4"/>
    <w:rPr>
      <w:i/>
      <w:iCs/>
      <w:color w:val="808080"/>
    </w:rPr>
  </w:style>
  <w:style w:type="character" w:customStyle="1" w:styleId="IntenseEmphasis1">
    <w:name w:val="Intense Emphasis1"/>
    <w:uiPriority w:val="21"/>
    <w:qFormat/>
    <w:rsid w:val="00CE72F4"/>
    <w:rPr>
      <w:b/>
      <w:bCs/>
      <w:i/>
      <w:iCs/>
      <w:color w:val="4F81BD"/>
    </w:rPr>
  </w:style>
  <w:style w:type="character" w:customStyle="1" w:styleId="SubtleReference1">
    <w:name w:val="Subtle Reference1"/>
    <w:uiPriority w:val="31"/>
    <w:qFormat/>
    <w:rsid w:val="00CE72F4"/>
    <w:rPr>
      <w:smallCaps/>
      <w:color w:val="C0504D"/>
      <w:u w:val="single"/>
    </w:rPr>
  </w:style>
  <w:style w:type="character" w:customStyle="1" w:styleId="IntenseReference1">
    <w:name w:val="Intense Reference1"/>
    <w:uiPriority w:val="32"/>
    <w:qFormat/>
    <w:rsid w:val="00CE72F4"/>
    <w:rPr>
      <w:b/>
      <w:bCs/>
      <w:smallCaps/>
      <w:color w:val="C0504D"/>
      <w:spacing w:val="5"/>
      <w:u w:val="single"/>
    </w:rPr>
  </w:style>
  <w:style w:type="character" w:customStyle="1" w:styleId="BookTitle1">
    <w:name w:val="Book Title1"/>
    <w:uiPriority w:val="33"/>
    <w:qFormat/>
    <w:rsid w:val="00CE72F4"/>
    <w:rPr>
      <w:b/>
      <w:bCs/>
      <w:smallCaps/>
      <w:spacing w:val="5"/>
    </w:rPr>
  </w:style>
  <w:style w:type="paragraph" w:customStyle="1" w:styleId="TOCHeading1">
    <w:name w:val="TOC Heading1"/>
    <w:basedOn w:val="Heading1"/>
    <w:next w:val="Normal"/>
    <w:uiPriority w:val="39"/>
    <w:semiHidden/>
    <w:unhideWhenUsed/>
    <w:qFormat/>
    <w:rsid w:val="00CE72F4"/>
    <w:pPr>
      <w:keepNext/>
      <w:keepLines/>
      <w:widowControl/>
      <w:spacing w:before="480" w:line="276" w:lineRule="auto"/>
      <w:ind w:left="0" w:firstLine="0"/>
      <w:jc w:val="left"/>
      <w:outlineLvl w:val="9"/>
    </w:pPr>
    <w:rPr>
      <w:rFonts w:ascii="Calibri" w:eastAsia="MS Gothic" w:hAnsi="Calibri" w:cs="Times New Roman"/>
      <w:b w:val="0"/>
      <w:bCs/>
      <w:caps/>
      <w:snapToGrid/>
      <w:color w:val="365F91"/>
      <w:sz w:val="28"/>
      <w:szCs w:val="28"/>
      <w:lang w:val="en-US"/>
    </w:rPr>
  </w:style>
  <w:style w:type="character" w:customStyle="1" w:styleId="MediumGrid2Char">
    <w:name w:val="Medium Grid 2 Char"/>
    <w:link w:val="MediumGrid21"/>
    <w:uiPriority w:val="1"/>
    <w:rsid w:val="00CE72F4"/>
    <w:rPr>
      <w:rFonts w:ascii="Cambria" w:eastAsia="MS Mincho" w:hAnsi="Cambria"/>
      <w:sz w:val="22"/>
      <w:szCs w:val="22"/>
      <w:lang w:val="en-US" w:eastAsia="en-US"/>
    </w:rPr>
  </w:style>
  <w:style w:type="paragraph" w:customStyle="1" w:styleId="PersonalName">
    <w:name w:val="Personal Name"/>
    <w:basedOn w:val="Title"/>
    <w:rsid w:val="00CE72F4"/>
    <w:pPr>
      <w:widowControl/>
      <w:pBdr>
        <w:bottom w:val="single" w:sz="8" w:space="4" w:color="4F81BD"/>
      </w:pBdr>
      <w:spacing w:before="0" w:after="300"/>
      <w:contextualSpacing/>
      <w:jc w:val="left"/>
      <w:outlineLvl w:val="9"/>
    </w:pPr>
    <w:rPr>
      <w:rFonts w:ascii="Calibri" w:eastAsia="MS Gothic" w:hAnsi="Calibri" w:cs="Times New Roman"/>
      <w:bCs w:val="0"/>
      <w:caps/>
      <w:snapToGrid/>
      <w:color w:val="000000"/>
      <w:spacing w:val="5"/>
      <w:sz w:val="28"/>
      <w:szCs w:val="28"/>
      <w:lang w:val="en-US"/>
    </w:rPr>
  </w:style>
  <w:style w:type="paragraph" w:customStyle="1" w:styleId="ColorfulShading-Accent11">
    <w:name w:val="Colorful Shading - Accent 11"/>
    <w:hidden/>
    <w:uiPriority w:val="99"/>
    <w:rsid w:val="00CE72F4"/>
    <w:rPr>
      <w:rFonts w:ascii="Cambria" w:eastAsia="MS Mincho" w:hAnsi="Cambria"/>
      <w:sz w:val="22"/>
      <w:szCs w:val="22"/>
      <w:lang w:val="en-US" w:eastAsia="en-US"/>
    </w:rPr>
  </w:style>
  <w:style w:type="paragraph" w:customStyle="1" w:styleId="tabletext2">
    <w:name w:val="table text"/>
    <w:basedOn w:val="TableText1"/>
    <w:qFormat/>
    <w:rsid w:val="00CE72F4"/>
    <w:pPr>
      <w:keepLines w:val="0"/>
      <w:spacing w:before="0" w:after="0"/>
      <w:jc w:val="both"/>
    </w:pPr>
    <w:rPr>
      <w:rFonts w:cs="Arial"/>
      <w:color w:val="000000"/>
      <w:szCs w:val="20"/>
      <w:lang w:eastAsia="en-AU"/>
    </w:rPr>
  </w:style>
  <w:style w:type="character" w:styleId="EndnoteReference">
    <w:name w:val="endnote reference"/>
    <w:rsid w:val="00CE72F4"/>
    <w:rPr>
      <w:vertAlign w:val="superscript"/>
    </w:rPr>
  </w:style>
  <w:style w:type="character" w:customStyle="1" w:styleId="TabletextChar10">
    <w:name w:val="Table text Char1"/>
    <w:rsid w:val="00CE72F4"/>
    <w:rPr>
      <w:rFonts w:ascii="Arial" w:hAnsi="Arial"/>
      <w:lang w:eastAsia="en-US"/>
    </w:rPr>
  </w:style>
  <w:style w:type="paragraph" w:customStyle="1" w:styleId="Char">
    <w:name w:val="Char"/>
    <w:basedOn w:val="Normal"/>
    <w:rsid w:val="00CE72F4"/>
    <w:pPr>
      <w:widowControl/>
      <w:spacing w:after="160" w:line="240" w:lineRule="exact"/>
      <w:jc w:val="left"/>
    </w:pPr>
    <w:rPr>
      <w:rFonts w:ascii="Verdana" w:eastAsia="MS Mincho" w:hAnsi="Verdana" w:cs="Verdana"/>
      <w:snapToGrid/>
      <w:sz w:val="20"/>
      <w:lang w:val="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E72F4"/>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6664DF"/>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basedOn w:val="DefaultParagraphFont"/>
    <w:link w:val="ListParagraph"/>
    <w:uiPriority w:val="99"/>
    <w:rsid w:val="008D226B"/>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annotation reference" w:uiPriority="99"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128C"/>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AC622A"/>
    <w:pPr>
      <w:ind w:left="720" w:hanging="720"/>
      <w:outlineLvl w:val="0"/>
    </w:pPr>
    <w:rPr>
      <w:rFonts w:ascii="Arial Bold" w:hAnsi="Arial Bold"/>
      <w:b/>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szCs w:val="22"/>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styleId="Caption">
    <w:name w:val="caption"/>
    <w:aliases w:val="CSR Caption,Inset title,Caption Char1 Char,Caption Char Char Char,Caption Char1 Char Char Char,Caption Char Char Char Char Char,Caption Char Char1 Char,Caption Char1 Char1,Caption Char Char Char1,Caption Char Char,Caption ChaCaptio"/>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SR Caption Char,Inset title Char,Caption Char1 Char Char,Caption Char Char Char Char,Caption Char1 Char Char Char Char,Caption Char Char Char Char Char Char,Caption Char Char1 Char Char,Caption Char1 Char1 Char,Caption Char Char Char1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aliases w:val="title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qFormat/>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qFormat/>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2"/>
      </w:numPr>
    </w:pPr>
    <w:rPr>
      <w:rFonts w:ascii="Arial" w:hAnsi="Arial" w:cs="Arial"/>
      <w:snapToGrid w:val="0"/>
      <w:sz w:val="22"/>
      <w:szCs w:val="22"/>
      <w:lang w:eastAsia="en-US"/>
    </w:rPr>
  </w:style>
  <w:style w:type="paragraph" w:customStyle="1" w:styleId="TableText1">
    <w:name w:val="Table Text"/>
    <w:basedOn w:val="Normal"/>
    <w:link w:val="TableTextChar0"/>
    <w:qFormat/>
    <w:rsid w:val="002A64A7"/>
    <w:pPr>
      <w:keepNext/>
      <w:keepLines/>
      <w:widowControl/>
      <w:spacing w:before="40" w:after="120"/>
      <w:jc w:val="left"/>
    </w:pPr>
    <w:rPr>
      <w:rFonts w:cs="Times New Roman"/>
      <w:snapToGrid/>
      <w:sz w:val="20"/>
      <w:szCs w:val="22"/>
    </w:rPr>
  </w:style>
  <w:style w:type="character" w:customStyle="1" w:styleId="TableTextChar0">
    <w:name w:val="Table Text Char"/>
    <w:link w:val="TableText1"/>
    <w:rsid w:val="002A64A7"/>
    <w:rPr>
      <w:rFonts w:ascii="Arial" w:hAnsi="Arial"/>
      <w:szCs w:val="22"/>
      <w:lang w:eastAsia="en-US"/>
    </w:rPr>
  </w:style>
  <w:style w:type="paragraph" w:customStyle="1" w:styleId="Tablenotes">
    <w:name w:val="Table notes"/>
    <w:basedOn w:val="Normal"/>
    <w:qFormat/>
    <w:rsid w:val="00D51F86"/>
    <w:pPr>
      <w:keepNext/>
      <w:widowControl/>
      <w:jc w:val="left"/>
    </w:pPr>
    <w:rPr>
      <w:snapToGrid/>
      <w:sz w:val="18"/>
      <w:szCs w:val="22"/>
      <w:lang w:eastAsia="en-AU"/>
    </w:rPr>
  </w:style>
  <w:style w:type="character" w:customStyle="1" w:styleId="Heading3Char">
    <w:name w:val="Heading 3 Char"/>
    <w:link w:val="Heading3"/>
    <w:rsid w:val="00D9059A"/>
    <w:rPr>
      <w:rFonts w:ascii="Arial" w:hAnsi="Arial" w:cs="Arial"/>
      <w:snapToGrid w:val="0"/>
      <w:sz w:val="22"/>
      <w:u w:val="single"/>
      <w:lang w:eastAsia="en-US"/>
    </w:rPr>
  </w:style>
  <w:style w:type="character" w:customStyle="1" w:styleId="Heading4Char">
    <w:name w:val="Heading 4 Char"/>
    <w:link w:val="Heading4"/>
    <w:uiPriority w:val="9"/>
    <w:rsid w:val="00D9059A"/>
    <w:rPr>
      <w:rFonts w:ascii="Arial" w:hAnsi="Arial" w:cs="Arial"/>
      <w:b/>
      <w:bCs/>
      <w:i/>
      <w:snapToGrid w:val="0"/>
      <w:sz w:val="26"/>
      <w:szCs w:val="28"/>
      <w:lang w:eastAsia="en-US"/>
    </w:rPr>
  </w:style>
  <w:style w:type="table" w:styleId="TableGrid3">
    <w:name w:val="Table Grid 3"/>
    <w:basedOn w:val="TableNormal"/>
    <w:rsid w:val="00D9059A"/>
    <w:pPr>
      <w:tabs>
        <w:tab w:val="left" w:pos="416"/>
        <w:tab w:val="left" w:pos="582"/>
      </w:tabs>
      <w:spacing w:line="360" w:lineRule="auto"/>
      <w:jc w:val="both"/>
    </w:pPr>
    <w:rPr>
      <w:rFonts w:ascii="Times" w:hAnsi="Tim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References">
    <w:name w:val="References"/>
    <w:basedOn w:val="BodyText2"/>
    <w:rsid w:val="00D9059A"/>
    <w:pPr>
      <w:widowControl/>
      <w:spacing w:after="240" w:line="240" w:lineRule="auto"/>
    </w:pPr>
    <w:rPr>
      <w:rFonts w:cs="Times New Roman"/>
      <w:snapToGrid/>
      <w:sz w:val="20"/>
      <w:szCs w:val="22"/>
    </w:rPr>
  </w:style>
  <w:style w:type="paragraph" w:customStyle="1" w:styleId="AppendixHeading1">
    <w:name w:val="Appendix Heading 1"/>
    <w:basedOn w:val="Heading2"/>
    <w:next w:val="Normal"/>
    <w:link w:val="AppendixHeading1Char"/>
    <w:autoRedefine/>
    <w:rsid w:val="00D9059A"/>
    <w:pPr>
      <w:keepNext/>
      <w:widowControl/>
      <w:spacing w:before="240" w:after="240"/>
      <w:ind w:left="1560" w:right="-282" w:hanging="1560"/>
      <w:jc w:val="left"/>
    </w:pPr>
    <w:rPr>
      <w:snapToGrid/>
      <w:sz w:val="32"/>
    </w:rPr>
  </w:style>
  <w:style w:type="character" w:customStyle="1" w:styleId="AppendixHeading1Char">
    <w:name w:val="Appendix Heading 1 Char"/>
    <w:basedOn w:val="Heading2Char"/>
    <w:link w:val="AppendixHeading1"/>
    <w:rsid w:val="00D9059A"/>
    <w:rPr>
      <w:rFonts w:ascii="Arial" w:hAnsi="Arial" w:cs="Arial"/>
      <w:b/>
      <w:snapToGrid/>
      <w:sz w:val="32"/>
      <w:szCs w:val="24"/>
      <w:lang w:eastAsia="en-US"/>
    </w:rPr>
  </w:style>
  <w:style w:type="paragraph" w:customStyle="1" w:styleId="CaptBayer">
    <w:name w:val="CaptBayer"/>
    <w:basedOn w:val="Caption"/>
    <w:link w:val="CaptBayerChar"/>
    <w:rsid w:val="00D9059A"/>
    <w:pPr>
      <w:keepNext/>
      <w:keepLines/>
      <w:widowControl/>
      <w:spacing w:before="120" w:after="120"/>
      <w:ind w:left="1276" w:hanging="1276"/>
      <w:jc w:val="left"/>
    </w:pPr>
    <w:rPr>
      <w:rFonts w:cs="Times New Roman"/>
      <w:snapToGrid/>
      <w:color w:val="auto"/>
      <w:sz w:val="22"/>
      <w:szCs w:val="28"/>
    </w:rPr>
  </w:style>
  <w:style w:type="character" w:customStyle="1" w:styleId="CaptBayerChar">
    <w:name w:val="CaptBayer Char"/>
    <w:link w:val="CaptBayer"/>
    <w:rsid w:val="00D9059A"/>
    <w:rPr>
      <w:rFonts w:ascii="Arial" w:hAnsi="Arial"/>
      <w:b/>
      <w:bCs/>
      <w:sz w:val="22"/>
      <w:szCs w:val="28"/>
      <w:lang w:eastAsia="en-US"/>
    </w:rPr>
  </w:style>
  <w:style w:type="table" w:customStyle="1" w:styleId="PBACTableStyle">
    <w:name w:val="PBAC Table Style"/>
    <w:basedOn w:val="TableNormal"/>
    <w:rsid w:val="00D9059A"/>
    <w:pPr>
      <w:tabs>
        <w:tab w:val="left" w:pos="416"/>
        <w:tab w:val="left" w:pos="582"/>
      </w:tabs>
      <w:spacing w:line="360" w:lineRule="auto"/>
      <w:jc w:val="center"/>
    </w:pPr>
    <w:tblPr>
      <w:tblBorders>
        <w:top w:val="single" w:sz="4" w:space="0" w:color="auto"/>
        <w:bottom w:val="single" w:sz="4" w:space="0" w:color="auto"/>
      </w:tblBorders>
    </w:tblPr>
    <w:tcPr>
      <w:shd w:val="clear" w:color="auto" w:fill="auto"/>
    </w:tcPr>
    <w:tblStylePr w:type="firstRow">
      <w:rPr>
        <w:b/>
      </w:rPr>
      <w:tblPr/>
      <w:tcPr>
        <w:tcBorders>
          <w:bottom w:val="single" w:sz="4" w:space="0" w:color="auto"/>
          <w:tl2br w:val="none" w:sz="0" w:space="0" w:color="auto"/>
          <w:tr2bl w:val="none" w:sz="0" w:space="0" w:color="auto"/>
        </w:tcBorders>
        <w:shd w:val="clear" w:color="auto" w:fill="E0E0E0"/>
      </w:tcPr>
    </w:tblStylePr>
    <w:tblStylePr w:type="lastRow">
      <w:rPr>
        <w:b w:val="0"/>
        <w:bCs/>
      </w:rPr>
      <w:tblPr/>
      <w:tcPr>
        <w:tcBorders>
          <w:tl2br w:val="none" w:sz="0" w:space="0" w:color="auto"/>
          <w:tr2bl w:val="none" w:sz="0" w:space="0" w:color="auto"/>
        </w:tcBorders>
      </w:tcPr>
    </w:tblStylePr>
    <w:tblStylePr w:type="firstCol">
      <w:pPr>
        <w:jc w:val="left"/>
      </w:pPr>
      <w:rPr>
        <w:rFonts w:ascii="Times New Roman" w:hAnsi="Times New Roman"/>
        <w:b/>
        <w:sz w:val="20"/>
      </w:rPr>
    </w:tblStylePr>
    <w:tblStylePr w:type="lastCol">
      <w:rPr>
        <w:b/>
        <w:bCs/>
      </w:rPr>
      <w:tblPr/>
      <w:tcPr>
        <w:tcBorders>
          <w:tl2br w:val="none" w:sz="0" w:space="0" w:color="auto"/>
          <w:tr2bl w:val="none" w:sz="0" w:space="0" w:color="auto"/>
        </w:tcBorders>
      </w:tcPr>
    </w:tblStylePr>
    <w:tblStylePr w:type="swCell">
      <w:pPr>
        <w:jc w:val="center"/>
      </w:pPr>
      <w:rPr>
        <w:b/>
      </w:rPr>
    </w:tblStylePr>
  </w:style>
  <w:style w:type="paragraph" w:styleId="TableofFigures">
    <w:name w:val="table of figures"/>
    <w:basedOn w:val="BodyText2"/>
    <w:next w:val="BodyText2"/>
    <w:uiPriority w:val="99"/>
    <w:rsid w:val="00D9059A"/>
    <w:pPr>
      <w:widowControl/>
      <w:spacing w:line="240" w:lineRule="auto"/>
      <w:ind w:left="1418" w:right="737" w:hanging="1418"/>
      <w:jc w:val="left"/>
    </w:pPr>
    <w:rPr>
      <w:rFonts w:cs="Calibri"/>
      <w:bCs/>
      <w:snapToGrid/>
      <w:sz w:val="20"/>
    </w:rPr>
  </w:style>
  <w:style w:type="paragraph" w:styleId="FootnoteText">
    <w:name w:val="footnote text"/>
    <w:basedOn w:val="Normal"/>
    <w:link w:val="FootnoteTextChar"/>
    <w:rsid w:val="00D9059A"/>
    <w:pPr>
      <w:widowControl/>
    </w:pPr>
    <w:rPr>
      <w:rFonts w:cs="Times New Roman"/>
      <w:snapToGrid/>
      <w:sz w:val="20"/>
      <w:lang w:val="en-GB"/>
    </w:rPr>
  </w:style>
  <w:style w:type="character" w:customStyle="1" w:styleId="FootnoteTextChar">
    <w:name w:val="Footnote Text Char"/>
    <w:basedOn w:val="DefaultParagraphFont"/>
    <w:link w:val="FootnoteText"/>
    <w:rsid w:val="00D9059A"/>
    <w:rPr>
      <w:rFonts w:ascii="Arial" w:hAnsi="Arial"/>
      <w:lang w:val="en-GB" w:eastAsia="en-US"/>
    </w:rPr>
  </w:style>
  <w:style w:type="paragraph" w:styleId="EndnoteText">
    <w:name w:val="endnote text"/>
    <w:basedOn w:val="Normal"/>
    <w:link w:val="EndnoteTextChar"/>
    <w:rsid w:val="00D9059A"/>
    <w:pPr>
      <w:widowControl/>
      <w:tabs>
        <w:tab w:val="left" w:pos="567"/>
      </w:tabs>
    </w:pPr>
    <w:rPr>
      <w:rFonts w:ascii="Times New Roman" w:hAnsi="Times New Roman" w:cs="Times New Roman"/>
      <w:snapToGrid/>
      <w:lang w:val="en-GB"/>
    </w:rPr>
  </w:style>
  <w:style w:type="character" w:customStyle="1" w:styleId="EndnoteTextChar">
    <w:name w:val="Endnote Text Char"/>
    <w:basedOn w:val="DefaultParagraphFont"/>
    <w:link w:val="EndnoteText"/>
    <w:rsid w:val="00D9059A"/>
    <w:rPr>
      <w:sz w:val="22"/>
      <w:lang w:val="en-GB" w:eastAsia="en-US"/>
    </w:rPr>
  </w:style>
  <w:style w:type="paragraph" w:customStyle="1" w:styleId="TableBullet">
    <w:name w:val="TableBullet"/>
    <w:basedOn w:val="TableText0"/>
    <w:rsid w:val="00D9059A"/>
    <w:pPr>
      <w:tabs>
        <w:tab w:val="left" w:pos="216"/>
      </w:tabs>
      <w:ind w:left="216" w:hanging="216"/>
    </w:pPr>
  </w:style>
  <w:style w:type="paragraph" w:customStyle="1" w:styleId="TableDash">
    <w:name w:val="TableDash"/>
    <w:basedOn w:val="TableText0"/>
    <w:rsid w:val="00D9059A"/>
    <w:pPr>
      <w:tabs>
        <w:tab w:val="num" w:pos="578"/>
      </w:tabs>
      <w:ind w:left="431" w:hanging="216"/>
    </w:pPr>
  </w:style>
  <w:style w:type="paragraph" w:customStyle="1" w:styleId="TableNotes1">
    <w:name w:val="TableNotes"/>
    <w:basedOn w:val="BodyText2"/>
    <w:next w:val="BodyText2"/>
    <w:autoRedefine/>
    <w:rsid w:val="00D9059A"/>
    <w:pPr>
      <w:keepNext/>
      <w:keepLines/>
      <w:widowControl/>
      <w:spacing w:after="240" w:line="240" w:lineRule="auto"/>
      <w:jc w:val="left"/>
    </w:pPr>
    <w:rPr>
      <w:rFonts w:cs="Arial Narrow"/>
      <w:snapToGrid/>
      <w:sz w:val="16"/>
      <w:szCs w:val="18"/>
    </w:rPr>
  </w:style>
  <w:style w:type="character" w:styleId="FootnoteReference">
    <w:name w:val="footnote reference"/>
    <w:rsid w:val="00D9059A"/>
    <w:rPr>
      <w:vertAlign w:val="superscript"/>
    </w:rPr>
  </w:style>
  <w:style w:type="paragraph" w:styleId="DocumentMap">
    <w:name w:val="Document Map"/>
    <w:basedOn w:val="Normal"/>
    <w:link w:val="DocumentMapChar"/>
    <w:uiPriority w:val="99"/>
    <w:semiHidden/>
    <w:rsid w:val="00D9059A"/>
    <w:pPr>
      <w:widowControl/>
      <w:shd w:val="clear" w:color="auto" w:fill="000080"/>
      <w:tabs>
        <w:tab w:val="left" w:pos="416"/>
        <w:tab w:val="left" w:pos="582"/>
      </w:tabs>
      <w:spacing w:line="360" w:lineRule="auto"/>
    </w:pPr>
    <w:rPr>
      <w:rFonts w:ascii="Tahoma" w:hAnsi="Tahoma" w:cs="Times New Roman"/>
      <w:snapToGrid/>
      <w:sz w:val="20"/>
    </w:rPr>
  </w:style>
  <w:style w:type="character" w:customStyle="1" w:styleId="DocumentMapChar">
    <w:name w:val="Document Map Char"/>
    <w:basedOn w:val="DefaultParagraphFont"/>
    <w:link w:val="DocumentMap"/>
    <w:uiPriority w:val="99"/>
    <w:semiHidden/>
    <w:rsid w:val="00D9059A"/>
    <w:rPr>
      <w:rFonts w:ascii="Tahoma" w:hAnsi="Tahoma"/>
      <w:shd w:val="clear" w:color="auto" w:fill="000080"/>
      <w:lang w:eastAsia="en-US"/>
    </w:rPr>
  </w:style>
  <w:style w:type="numbering" w:customStyle="1" w:styleId="NoList1">
    <w:name w:val="No List1"/>
    <w:next w:val="NoList"/>
    <w:uiPriority w:val="99"/>
    <w:semiHidden/>
    <w:unhideWhenUsed/>
    <w:rsid w:val="00D9059A"/>
  </w:style>
  <w:style w:type="paragraph" w:customStyle="1" w:styleId="StyleArial18ptBoldCenteredLinespacingsinglePattern">
    <w:name w:val="Style Arial 18 pt Bold Centered Line spacing:  single Pattern:..."/>
    <w:basedOn w:val="Normal"/>
    <w:rsid w:val="00D9059A"/>
    <w:pPr>
      <w:widowControl/>
      <w:shd w:val="clear" w:color="auto" w:fill="E0E0E0"/>
      <w:tabs>
        <w:tab w:val="left" w:pos="416"/>
        <w:tab w:val="left" w:pos="582"/>
      </w:tabs>
      <w:jc w:val="center"/>
    </w:pPr>
    <w:rPr>
      <w:rFonts w:cs="Times New Roman"/>
      <w:b/>
      <w:bCs/>
      <w:snapToGrid/>
      <w:sz w:val="36"/>
    </w:rPr>
  </w:style>
  <w:style w:type="paragraph" w:customStyle="1" w:styleId="StyleCaptionBayerCaptionIBCaptionMedicalCaptionArialBla">
    <w:name w:val="Style CaptionBayer CaptionIB CaptionMedical Caption + Arial Bla..."/>
    <w:basedOn w:val="Caption"/>
    <w:link w:val="StyleCaptionBayerCaptionIBCaptionMedicalCaptionArialBlaChar"/>
    <w:rsid w:val="00D9059A"/>
    <w:pPr>
      <w:keepNext/>
      <w:keepLines/>
      <w:widowControl/>
      <w:spacing w:before="120" w:after="120"/>
      <w:ind w:left="1276" w:hanging="1276"/>
      <w:jc w:val="left"/>
    </w:pPr>
    <w:rPr>
      <w:rFonts w:cs="Times New Roman"/>
      <w:snapToGrid/>
      <w:color w:val="auto"/>
      <w:sz w:val="22"/>
      <w:szCs w:val="28"/>
    </w:rPr>
  </w:style>
  <w:style w:type="character" w:customStyle="1" w:styleId="StyleCaptionBayerCaptionIBCaptionMedicalCaptionArialBlaChar">
    <w:name w:val="Style CaptionBayer CaptionIB CaptionMedical Caption + Arial Bla... Char"/>
    <w:link w:val="StyleCaptionBayerCaptionIBCaptionMedicalCaptionArialBla"/>
    <w:rsid w:val="00D9059A"/>
    <w:rPr>
      <w:rFonts w:ascii="Arial" w:hAnsi="Arial"/>
      <w:b/>
      <w:bCs/>
      <w:sz w:val="22"/>
      <w:szCs w:val="28"/>
      <w:lang w:eastAsia="en-US"/>
    </w:rPr>
  </w:style>
  <w:style w:type="paragraph" w:customStyle="1" w:styleId="Tableheading0">
    <w:name w:val="Table heading"/>
    <w:basedOn w:val="Normal"/>
    <w:rsid w:val="00D9059A"/>
    <w:pPr>
      <w:keepNext/>
      <w:widowControl/>
      <w:spacing w:before="60" w:after="60"/>
      <w:jc w:val="left"/>
    </w:pPr>
    <w:rPr>
      <w:rFonts w:ascii="Arial Narrow" w:hAnsi="Arial Narrow" w:cs="Times New Roman"/>
      <w:b/>
      <w:snapToGrid/>
      <w:sz w:val="20"/>
    </w:rPr>
  </w:style>
  <w:style w:type="paragraph" w:styleId="Quote">
    <w:name w:val="Quote"/>
    <w:basedOn w:val="Normal"/>
    <w:next w:val="Normal"/>
    <w:link w:val="QuoteChar"/>
    <w:uiPriority w:val="29"/>
    <w:qFormat/>
    <w:rsid w:val="00D9059A"/>
    <w:pPr>
      <w:tabs>
        <w:tab w:val="left" w:pos="567"/>
        <w:tab w:val="left" w:pos="1134"/>
        <w:tab w:val="left" w:pos="2268"/>
        <w:tab w:val="left" w:pos="3402"/>
        <w:tab w:val="left" w:pos="4536"/>
        <w:tab w:val="left" w:pos="5670"/>
      </w:tabs>
      <w:spacing w:after="240"/>
      <w:ind w:left="567" w:right="710"/>
    </w:pPr>
    <w:rPr>
      <w:rFonts w:cs="Times New Roman"/>
      <w:i/>
      <w:iCs/>
      <w:snapToGrid/>
      <w:color w:val="000000"/>
      <w:szCs w:val="22"/>
    </w:rPr>
  </w:style>
  <w:style w:type="character" w:customStyle="1" w:styleId="QuoteChar">
    <w:name w:val="Quote Char"/>
    <w:basedOn w:val="DefaultParagraphFont"/>
    <w:link w:val="Quote"/>
    <w:uiPriority w:val="29"/>
    <w:rsid w:val="00D9059A"/>
    <w:rPr>
      <w:rFonts w:ascii="Arial" w:hAnsi="Arial"/>
      <w:i/>
      <w:iCs/>
      <w:color w:val="000000"/>
      <w:sz w:val="22"/>
      <w:szCs w:val="22"/>
      <w:lang w:eastAsia="en-US"/>
    </w:rPr>
  </w:style>
  <w:style w:type="paragraph" w:styleId="Subtitle">
    <w:name w:val="Subtitle"/>
    <w:aliases w:val="SummariesText"/>
    <w:basedOn w:val="BodyText2"/>
    <w:link w:val="SubtitleChar"/>
    <w:qFormat/>
    <w:rsid w:val="00D9059A"/>
    <w:pPr>
      <w:keepNext/>
      <w:keepLines/>
      <w:widowControl/>
      <w:spacing w:after="240" w:line="240" w:lineRule="auto"/>
    </w:pPr>
    <w:rPr>
      <w:rFonts w:cs="Times New Roman"/>
      <w:snapToGrid/>
      <w:sz w:val="20"/>
      <w:szCs w:val="22"/>
    </w:rPr>
  </w:style>
  <w:style w:type="character" w:customStyle="1" w:styleId="SubtitleChar">
    <w:name w:val="Subtitle Char"/>
    <w:aliases w:val="SummariesText Char"/>
    <w:basedOn w:val="DefaultParagraphFont"/>
    <w:link w:val="Subtitle"/>
    <w:uiPriority w:val="11"/>
    <w:rsid w:val="00D9059A"/>
    <w:rPr>
      <w:rFonts w:ascii="Arial" w:hAnsi="Arial"/>
      <w:szCs w:val="22"/>
      <w:lang w:eastAsia="en-US"/>
    </w:rPr>
  </w:style>
  <w:style w:type="paragraph" w:customStyle="1" w:styleId="Tablecaption">
    <w:name w:val="Table caption"/>
    <w:basedOn w:val="Normal"/>
    <w:rsid w:val="00D9059A"/>
    <w:pPr>
      <w:keepNext/>
      <w:widowControl/>
      <w:tabs>
        <w:tab w:val="left" w:pos="1134"/>
      </w:tabs>
      <w:spacing w:before="360" w:after="60"/>
      <w:jc w:val="left"/>
    </w:pPr>
    <w:rPr>
      <w:rFonts w:ascii="Arial Narrow" w:hAnsi="Arial Narrow" w:cs="Times New Roman"/>
      <w:b/>
      <w:bCs/>
      <w:snapToGrid/>
      <w:sz w:val="20"/>
    </w:rPr>
  </w:style>
  <w:style w:type="paragraph" w:customStyle="1" w:styleId="Heading40">
    <w:name w:val="Heading4"/>
    <w:basedOn w:val="Normal"/>
    <w:rsid w:val="00D9059A"/>
    <w:pPr>
      <w:widowControl/>
      <w:spacing w:before="240" w:after="360" w:line="360" w:lineRule="auto"/>
      <w:jc w:val="left"/>
    </w:pPr>
    <w:rPr>
      <w:rFonts w:cs="Times New Roman"/>
      <w:b/>
      <w:spacing w:val="-8"/>
      <w:sz w:val="24"/>
    </w:rPr>
  </w:style>
  <w:style w:type="paragraph" w:customStyle="1" w:styleId="Bodybullet">
    <w:name w:val="Body bullet"/>
    <w:basedOn w:val="Normal"/>
    <w:rsid w:val="00D9059A"/>
    <w:pPr>
      <w:widowControl/>
      <w:numPr>
        <w:numId w:val="4"/>
      </w:numPr>
      <w:spacing w:after="60" w:line="360" w:lineRule="auto"/>
      <w:ind w:left="714" w:hanging="357"/>
      <w:jc w:val="left"/>
    </w:pPr>
    <w:rPr>
      <w:rFonts w:ascii="Arial Narrow" w:hAnsi="Arial Narrow" w:cs="Times New Roman"/>
      <w:snapToGrid/>
    </w:rPr>
  </w:style>
  <w:style w:type="paragraph" w:customStyle="1" w:styleId="Tableheadingcentred">
    <w:name w:val="Table heading centred"/>
    <w:basedOn w:val="Normal"/>
    <w:rsid w:val="00D9059A"/>
    <w:pPr>
      <w:keepNext/>
      <w:keepLines/>
      <w:widowControl/>
      <w:tabs>
        <w:tab w:val="left" w:pos="113"/>
        <w:tab w:val="center" w:pos="142"/>
        <w:tab w:val="center" w:pos="284"/>
        <w:tab w:val="center" w:pos="425"/>
      </w:tabs>
      <w:spacing w:before="20" w:after="20"/>
      <w:jc w:val="left"/>
    </w:pPr>
    <w:rPr>
      <w:rFonts w:cs="Times New Roman"/>
      <w:b/>
      <w:snapToGrid/>
      <w:sz w:val="20"/>
      <w:lang w:val="en-GB"/>
    </w:rPr>
  </w:style>
  <w:style w:type="paragraph" w:customStyle="1" w:styleId="Sectionsummary">
    <w:name w:val="Section summary"/>
    <w:basedOn w:val="BodyText2"/>
    <w:rsid w:val="00D9059A"/>
    <w:pPr>
      <w:widowControl/>
      <w:spacing w:line="240" w:lineRule="auto"/>
    </w:pPr>
    <w:rPr>
      <w:rFonts w:cs="Times New Roman"/>
      <w:snapToGrid/>
      <w:szCs w:val="22"/>
    </w:rPr>
  </w:style>
  <w:style w:type="paragraph" w:customStyle="1" w:styleId="Bodybulletlastinlist">
    <w:name w:val="Body bullet last in list"/>
    <w:basedOn w:val="Bodybullet"/>
    <w:rsid w:val="00D9059A"/>
    <w:pPr>
      <w:spacing w:after="240"/>
    </w:pPr>
  </w:style>
  <w:style w:type="paragraph" w:customStyle="1" w:styleId="Tablefootnote">
    <w:name w:val="Table footnote"/>
    <w:basedOn w:val="Tablecaption"/>
    <w:rsid w:val="00D9059A"/>
    <w:pPr>
      <w:spacing w:before="40" w:after="360"/>
    </w:pPr>
    <w:rPr>
      <w:b w:val="0"/>
      <w:sz w:val="16"/>
      <w:szCs w:val="16"/>
    </w:rPr>
  </w:style>
  <w:style w:type="paragraph" w:customStyle="1" w:styleId="Table-columnheadings">
    <w:name w:val="Table - column headings"/>
    <w:basedOn w:val="Normal"/>
    <w:rsid w:val="00D9059A"/>
    <w:pPr>
      <w:keepNext/>
      <w:adjustRightInd w:val="0"/>
      <w:jc w:val="center"/>
      <w:textAlignment w:val="baseline"/>
    </w:pPr>
    <w:rPr>
      <w:rFonts w:ascii="Calibri" w:hAnsi="Calibri"/>
      <w:b/>
      <w:bCs/>
      <w:snapToGrid/>
      <w:sz w:val="20"/>
    </w:rPr>
  </w:style>
  <w:style w:type="paragraph" w:customStyle="1" w:styleId="Default">
    <w:name w:val="Default"/>
    <w:rsid w:val="00D9059A"/>
    <w:pPr>
      <w:autoSpaceDE w:val="0"/>
      <w:autoSpaceDN w:val="0"/>
      <w:adjustRightInd w:val="0"/>
    </w:pPr>
    <w:rPr>
      <w:rFonts w:ascii="Arial" w:hAnsi="Arial" w:cs="Arial"/>
      <w:color w:val="000000"/>
      <w:lang w:eastAsia="ja-JP"/>
    </w:rPr>
  </w:style>
  <w:style w:type="paragraph" w:customStyle="1" w:styleId="BayerBodyTextFull">
    <w:name w:val="Bayer Body Text Full"/>
    <w:basedOn w:val="Normal"/>
    <w:link w:val="BayerBodyTextFullChar"/>
    <w:rsid w:val="00D9059A"/>
    <w:pPr>
      <w:widowControl/>
      <w:spacing w:before="120" w:after="120"/>
      <w:jc w:val="left"/>
    </w:pPr>
    <w:rPr>
      <w:rFonts w:ascii="Times New Roman" w:hAnsi="Times New Roman" w:cs="Times New Roman"/>
      <w:snapToGrid/>
      <w:sz w:val="24"/>
      <w:lang w:val="en-US"/>
    </w:rPr>
  </w:style>
  <w:style w:type="character" w:customStyle="1" w:styleId="BayerBodyTextFullChar">
    <w:name w:val="Bayer Body Text Full Char"/>
    <w:link w:val="BayerBodyTextFull"/>
    <w:rsid w:val="00D9059A"/>
    <w:rPr>
      <w:sz w:val="24"/>
      <w:lang w:val="en-US" w:eastAsia="en-US"/>
    </w:rPr>
  </w:style>
  <w:style w:type="paragraph" w:customStyle="1" w:styleId="Table100">
    <w:name w:val="Table10:0"/>
    <w:basedOn w:val="Normal"/>
    <w:link w:val="Table100Zchn"/>
    <w:rsid w:val="00D9059A"/>
    <w:pPr>
      <w:keepNext/>
      <w:widowControl/>
      <w:spacing w:before="60" w:after="60"/>
      <w:jc w:val="left"/>
    </w:pPr>
    <w:rPr>
      <w:rFonts w:ascii="Times New Roman" w:hAnsi="Times New Roman" w:cs="Times New Roman"/>
      <w:snapToGrid/>
      <w:sz w:val="20"/>
      <w:lang w:val="en-US"/>
    </w:rPr>
  </w:style>
  <w:style w:type="character" w:customStyle="1" w:styleId="Table100Zchn">
    <w:name w:val="Table10:0 Zchn"/>
    <w:link w:val="Table100"/>
    <w:rsid w:val="00D9059A"/>
    <w:rPr>
      <w:lang w:val="en-US" w:eastAsia="en-US"/>
    </w:rPr>
  </w:style>
  <w:style w:type="character" w:customStyle="1" w:styleId="Heading1Char">
    <w:name w:val="Heading 1 Char"/>
    <w:link w:val="Heading1"/>
    <w:rsid w:val="00AC622A"/>
    <w:rPr>
      <w:rFonts w:ascii="Arial Bold" w:hAnsi="Arial Bold" w:cs="Arial"/>
      <w:b/>
      <w:snapToGrid w:val="0"/>
      <w:sz w:val="22"/>
      <w:lang w:eastAsia="en-US"/>
    </w:rPr>
  </w:style>
  <w:style w:type="character" w:customStyle="1" w:styleId="Heading5Char">
    <w:name w:val="Heading 5 Char"/>
    <w:link w:val="Heading5"/>
    <w:uiPriority w:val="9"/>
    <w:rsid w:val="00D9059A"/>
    <w:rPr>
      <w:rFonts w:ascii="Arial" w:hAnsi="Arial" w:cs="Arial"/>
      <w:b/>
      <w:bCs/>
      <w:iCs/>
      <w:snapToGrid w:val="0"/>
      <w:sz w:val="26"/>
      <w:szCs w:val="26"/>
      <w:lang w:eastAsia="en-US"/>
    </w:rPr>
  </w:style>
  <w:style w:type="character" w:customStyle="1" w:styleId="Heading6Char">
    <w:name w:val="Heading 6 Char"/>
    <w:link w:val="Heading6"/>
    <w:uiPriority w:val="9"/>
    <w:rsid w:val="00D9059A"/>
    <w:rPr>
      <w:rFonts w:ascii="Arial" w:hAnsi="Arial" w:cs="Arial"/>
      <w:b/>
      <w:bCs/>
      <w:i/>
      <w:snapToGrid w:val="0"/>
      <w:sz w:val="22"/>
      <w:szCs w:val="22"/>
      <w:lang w:eastAsia="en-US"/>
    </w:rPr>
  </w:style>
  <w:style w:type="character" w:customStyle="1" w:styleId="BodyText2Char1">
    <w:name w:val="Body Text 2 Char1"/>
    <w:uiPriority w:val="99"/>
    <w:semiHidden/>
    <w:rsid w:val="00D9059A"/>
    <w:rPr>
      <w:rFonts w:ascii="Times New Roman" w:eastAsia="Times New Roman" w:hAnsi="Times New Roman" w:cs="Times New Roman"/>
      <w:sz w:val="24"/>
      <w:szCs w:val="24"/>
    </w:rPr>
  </w:style>
  <w:style w:type="paragraph" w:customStyle="1" w:styleId="FigureNote">
    <w:name w:val="Figure Note"/>
    <w:basedOn w:val="Heading5"/>
    <w:rsid w:val="00D9059A"/>
    <w:pPr>
      <w:keepLines/>
    </w:pPr>
    <w:rPr>
      <w:rFonts w:ascii="Tahoma" w:hAnsi="Tahoma" w:cs="Tahoma"/>
      <w:snapToGrid/>
      <w:sz w:val="12"/>
      <w:szCs w:val="16"/>
      <w:u w:val="single"/>
      <w:lang w:val="en-GB"/>
    </w:rPr>
  </w:style>
  <w:style w:type="character" w:styleId="PlaceholderText">
    <w:name w:val="Placeholder Text"/>
    <w:uiPriority w:val="99"/>
    <w:semiHidden/>
    <w:rsid w:val="00D9059A"/>
    <w:rPr>
      <w:color w:val="808080"/>
    </w:rPr>
  </w:style>
  <w:style w:type="paragraph" w:styleId="PlainText">
    <w:name w:val="Plain Text"/>
    <w:basedOn w:val="Normal"/>
    <w:link w:val="PlainTextChar"/>
    <w:uiPriority w:val="99"/>
    <w:unhideWhenUsed/>
    <w:rsid w:val="00D9059A"/>
    <w:pPr>
      <w:widowControl/>
      <w:jc w:val="left"/>
    </w:pPr>
    <w:rPr>
      <w:rFonts w:ascii="Arial Narrow" w:eastAsia="Calibri" w:hAnsi="Arial Narrow" w:cs="Times New Roman"/>
      <w:snapToGrid/>
      <w:color w:val="000000"/>
      <w:szCs w:val="21"/>
    </w:rPr>
  </w:style>
  <w:style w:type="character" w:customStyle="1" w:styleId="PlainTextChar">
    <w:name w:val="Plain Text Char"/>
    <w:basedOn w:val="DefaultParagraphFont"/>
    <w:link w:val="PlainText"/>
    <w:uiPriority w:val="99"/>
    <w:rsid w:val="00D9059A"/>
    <w:rPr>
      <w:rFonts w:ascii="Arial Narrow" w:eastAsia="Calibri" w:hAnsi="Arial Narrow"/>
      <w:color w:val="000000"/>
      <w:sz w:val="22"/>
      <w:szCs w:val="21"/>
      <w:lang w:eastAsia="en-US"/>
    </w:rPr>
  </w:style>
  <w:style w:type="paragraph" w:customStyle="1" w:styleId="TableHead">
    <w:name w:val="Table Head"/>
    <w:basedOn w:val="TableText0"/>
    <w:rsid w:val="00D9059A"/>
    <w:pPr>
      <w:widowControl w:val="0"/>
      <w:adjustRightInd w:val="0"/>
      <w:spacing w:before="60" w:after="60"/>
    </w:pPr>
    <w:rPr>
      <w:rFonts w:eastAsia="SimSun" w:cs="Times New Roman"/>
      <w:b/>
      <w:lang w:eastAsia="en-AU"/>
    </w:rPr>
  </w:style>
  <w:style w:type="table" w:customStyle="1" w:styleId="TableGrid1">
    <w:name w:val="Table Grid1"/>
    <w:basedOn w:val="TableNormal"/>
    <w:next w:val="TableGrid"/>
    <w:uiPriority w:val="59"/>
    <w:rsid w:val="00D9059A"/>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row">
    <w:name w:val="Table header row"/>
    <w:basedOn w:val="Tabletext"/>
    <w:link w:val="TableheaderrowChar"/>
    <w:rsid w:val="00D9059A"/>
    <w:pPr>
      <w:tabs>
        <w:tab w:val="left" w:pos="1134"/>
      </w:tabs>
      <w:spacing w:before="80" w:after="80"/>
    </w:pPr>
    <w:rPr>
      <w:rFonts w:ascii="Arial Narrow" w:hAnsi="Arial Narrow"/>
      <w:b/>
      <w:bCs/>
    </w:rPr>
  </w:style>
  <w:style w:type="character" w:customStyle="1" w:styleId="TableheaderrowChar">
    <w:name w:val="Table header row Char"/>
    <w:link w:val="Tableheaderrow"/>
    <w:rsid w:val="00D9059A"/>
    <w:rPr>
      <w:rFonts w:ascii="Arial Narrow" w:hAnsi="Arial Narrow"/>
      <w:b/>
      <w:bCs/>
      <w:lang w:eastAsia="en-US"/>
    </w:rPr>
  </w:style>
  <w:style w:type="paragraph" w:customStyle="1" w:styleId="PBSNormal">
    <w:name w:val="PBS Normal"/>
    <w:basedOn w:val="Normal"/>
    <w:link w:val="PBSNormalChar1"/>
    <w:rsid w:val="00D9059A"/>
    <w:pPr>
      <w:widowControl/>
      <w:spacing w:before="120" w:after="120" w:line="360" w:lineRule="auto"/>
    </w:pPr>
    <w:rPr>
      <w:rFonts w:cs="Times New Roman"/>
      <w:snapToGrid/>
    </w:rPr>
  </w:style>
  <w:style w:type="character" w:customStyle="1" w:styleId="PBSNormalChar1">
    <w:name w:val="PBS Normal Char1"/>
    <w:link w:val="PBSNormal"/>
    <w:rsid w:val="00D9059A"/>
    <w:rPr>
      <w:rFonts w:ascii="Arial" w:hAnsi="Arial"/>
      <w:sz w:val="22"/>
      <w:lang w:eastAsia="en-US"/>
    </w:rPr>
  </w:style>
  <w:style w:type="character" w:customStyle="1" w:styleId="Heading8Char1">
    <w:name w:val="Heading 8 Char1"/>
    <w:rsid w:val="00D9059A"/>
    <w:rPr>
      <w:rFonts w:ascii="Arial" w:hAnsi="Arial" w:cs="Arial"/>
      <w:b/>
      <w:sz w:val="24"/>
      <w:szCs w:val="24"/>
      <w:lang w:eastAsia="en-US"/>
    </w:rPr>
  </w:style>
  <w:style w:type="character" w:customStyle="1" w:styleId="TableTextChar1">
    <w:name w:val="Table Text Char1"/>
    <w:rsid w:val="00D9059A"/>
    <w:rPr>
      <w:rFonts w:ascii="Arial" w:hAnsi="Arial"/>
      <w:lang w:eastAsia="en-AU"/>
    </w:rPr>
  </w:style>
  <w:style w:type="paragraph" w:customStyle="1" w:styleId="CaptionStyleChar">
    <w:name w:val="Caption Style Char"/>
    <w:basedOn w:val="Caption"/>
    <w:next w:val="Normal"/>
    <w:link w:val="CaptionStyleCharChar"/>
    <w:rsid w:val="00D9059A"/>
    <w:pPr>
      <w:widowControl/>
      <w:tabs>
        <w:tab w:val="left" w:pos="1134"/>
      </w:tabs>
      <w:spacing w:after="60"/>
      <w:ind w:left="1134" w:hanging="1134"/>
      <w:jc w:val="left"/>
    </w:pPr>
    <w:rPr>
      <w:rFonts w:cs="Times New Roman"/>
      <w:snapToGrid/>
      <w:color w:val="auto"/>
      <w:sz w:val="20"/>
      <w:szCs w:val="20"/>
    </w:rPr>
  </w:style>
  <w:style w:type="character" w:customStyle="1" w:styleId="CaptionStyleCharChar">
    <w:name w:val="Caption Style Char Char"/>
    <w:link w:val="CaptionStyleChar"/>
    <w:rsid w:val="00D9059A"/>
    <w:rPr>
      <w:rFonts w:ascii="Arial" w:hAnsi="Arial"/>
      <w:b/>
      <w:bCs/>
      <w:lang w:eastAsia="en-US"/>
    </w:rPr>
  </w:style>
  <w:style w:type="paragraph" w:customStyle="1" w:styleId="BodyTextHeader">
    <w:name w:val="Body Text Header"/>
    <w:basedOn w:val="BodyText2"/>
    <w:next w:val="BodyText2"/>
    <w:autoRedefine/>
    <w:rsid w:val="00D9059A"/>
    <w:pPr>
      <w:keepNext/>
      <w:keepLines/>
      <w:widowControl/>
      <w:spacing w:line="240" w:lineRule="auto"/>
      <w:jc w:val="left"/>
    </w:pPr>
    <w:rPr>
      <w:rFonts w:eastAsia="Calibri" w:cs="Times New Roman"/>
      <w:b/>
      <w:snapToGrid/>
      <w:szCs w:val="22"/>
    </w:rPr>
  </w:style>
  <w:style w:type="table" w:customStyle="1" w:styleId="TableGrid2">
    <w:name w:val="Table Grid2"/>
    <w:basedOn w:val="TableNormal"/>
    <w:next w:val="TableGrid"/>
    <w:rsid w:val="00D905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905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aliases w:val="Title Page text"/>
    <w:uiPriority w:val="1"/>
    <w:rsid w:val="00D9059A"/>
    <w:rPr>
      <w:rFonts w:ascii="Century Gothic" w:eastAsia="Calibri" w:hAnsi="Century Gothic" w:cs="Arial"/>
      <w:szCs w:val="22"/>
      <w:lang w:eastAsia="en-US"/>
    </w:rPr>
  </w:style>
  <w:style w:type="character" w:styleId="FollowedHyperlink">
    <w:name w:val="FollowedHyperlink"/>
    <w:uiPriority w:val="99"/>
    <w:unhideWhenUsed/>
    <w:rsid w:val="00D9059A"/>
    <w:rPr>
      <w:color w:val="800080"/>
      <w:u w:val="single"/>
    </w:rPr>
  </w:style>
  <w:style w:type="character" w:styleId="Strong">
    <w:name w:val="Strong"/>
    <w:uiPriority w:val="22"/>
    <w:qFormat/>
    <w:rsid w:val="00D9059A"/>
    <w:rPr>
      <w:b/>
      <w:bCs/>
    </w:rPr>
  </w:style>
  <w:style w:type="paragraph" w:styleId="TableofAuthorities">
    <w:name w:val="table of authorities"/>
    <w:basedOn w:val="Normal"/>
    <w:next w:val="Normal"/>
    <w:uiPriority w:val="99"/>
    <w:unhideWhenUsed/>
    <w:rsid w:val="00D9059A"/>
    <w:pPr>
      <w:widowControl/>
      <w:spacing w:after="200" w:line="360" w:lineRule="auto"/>
      <w:ind w:left="220" w:hanging="220"/>
      <w:jc w:val="left"/>
    </w:pPr>
    <w:rPr>
      <w:rFonts w:eastAsia="Calibri"/>
      <w:snapToGrid/>
      <w:szCs w:val="22"/>
    </w:rPr>
  </w:style>
  <w:style w:type="character" w:styleId="IntenseEmphasis">
    <w:name w:val="Intense Emphasis"/>
    <w:uiPriority w:val="21"/>
    <w:rsid w:val="00D9059A"/>
    <w:rPr>
      <w:b/>
      <w:bCs/>
      <w:i/>
      <w:iCs/>
      <w:color w:val="4F81BD"/>
    </w:rPr>
  </w:style>
  <w:style w:type="paragraph" w:customStyle="1" w:styleId="H2NoNumber">
    <w:name w:val="H2 NoNumber"/>
    <w:basedOn w:val="Heading2"/>
    <w:qFormat/>
    <w:rsid w:val="00D9059A"/>
    <w:pPr>
      <w:keepNext/>
      <w:widowControl/>
      <w:spacing w:before="240" w:after="240"/>
      <w:ind w:right="-282"/>
      <w:jc w:val="left"/>
    </w:pPr>
    <w:rPr>
      <w:rFonts w:cs="Times New Roman"/>
      <w:snapToGrid/>
      <w:sz w:val="32"/>
      <w:lang w:eastAsia="en-AU"/>
    </w:rPr>
  </w:style>
  <w:style w:type="paragraph" w:customStyle="1" w:styleId="TableHeadingLeft">
    <w:name w:val="Table Heading Left"/>
    <w:basedOn w:val="TableText1"/>
    <w:qFormat/>
    <w:rsid w:val="00D9059A"/>
    <w:rPr>
      <w:b/>
      <w:bCs/>
    </w:rPr>
  </w:style>
  <w:style w:type="paragraph" w:customStyle="1" w:styleId="AsideNotes">
    <w:name w:val="AsideNotes"/>
    <w:basedOn w:val="BodyText2"/>
    <w:autoRedefine/>
    <w:qFormat/>
    <w:rsid w:val="00D9059A"/>
    <w:pPr>
      <w:keepNext/>
      <w:keepLines/>
      <w:widowControl/>
      <w:pBdr>
        <w:top w:val="single" w:sz="4" w:space="1" w:color="auto"/>
        <w:left w:val="single" w:sz="4" w:space="4" w:color="auto"/>
        <w:bottom w:val="single" w:sz="4" w:space="1" w:color="auto"/>
        <w:right w:val="single" w:sz="4" w:space="4" w:color="auto"/>
      </w:pBdr>
      <w:spacing w:line="240" w:lineRule="auto"/>
    </w:pPr>
    <w:rPr>
      <w:rFonts w:cs="Times New Roman"/>
      <w:i/>
      <w:snapToGrid/>
      <w:szCs w:val="22"/>
    </w:rPr>
  </w:style>
  <w:style w:type="numbering" w:customStyle="1" w:styleId="StyleNumberedArial11ptLeft063cmHanging063cm">
    <w:name w:val="Style Numbered Arial 11 pt Left:  0.63 cm Hanging:  0.63 cm"/>
    <w:basedOn w:val="NoList"/>
    <w:rsid w:val="00D9059A"/>
    <w:pPr>
      <w:numPr>
        <w:numId w:val="5"/>
      </w:numPr>
    </w:pPr>
  </w:style>
  <w:style w:type="paragraph" w:customStyle="1" w:styleId="AsideNotesHeader">
    <w:name w:val="AsideNotesHeader"/>
    <w:basedOn w:val="AsideNotes"/>
    <w:rsid w:val="00D9059A"/>
    <w:rPr>
      <w:iCs/>
      <w:u w:val="single"/>
    </w:rPr>
  </w:style>
  <w:style w:type="paragraph" w:customStyle="1" w:styleId="H1NoNumber">
    <w:name w:val="H1 NoNumber"/>
    <w:basedOn w:val="Heading1"/>
    <w:next w:val="BodyText2"/>
    <w:rsid w:val="00D9059A"/>
    <w:pPr>
      <w:keepNext/>
      <w:widowControl/>
      <w:spacing w:before="240" w:after="240"/>
      <w:ind w:left="1134" w:hanging="1134"/>
      <w:jc w:val="left"/>
    </w:pPr>
    <w:rPr>
      <w:rFonts w:ascii="Arial" w:hAnsi="Arial" w:cs="Times New Roman"/>
      <w:caps/>
      <w:snapToGrid/>
      <w:kern w:val="28"/>
      <w:sz w:val="36"/>
      <w:szCs w:val="28"/>
    </w:rPr>
  </w:style>
  <w:style w:type="paragraph" w:customStyle="1" w:styleId="SummariesHead">
    <w:name w:val="SummariesHead"/>
    <w:basedOn w:val="Subtitle"/>
    <w:rsid w:val="00D9059A"/>
    <w:pPr>
      <w:spacing w:before="40"/>
    </w:pPr>
    <w:rPr>
      <w:b/>
      <w:bCs/>
    </w:rPr>
  </w:style>
  <w:style w:type="paragraph" w:customStyle="1" w:styleId="TableHeadCentre">
    <w:name w:val="Table Head Centre"/>
    <w:basedOn w:val="Normal"/>
    <w:qFormat/>
    <w:rsid w:val="00D9059A"/>
    <w:pPr>
      <w:keepNext/>
      <w:keepLines/>
      <w:widowControl/>
      <w:tabs>
        <w:tab w:val="left" w:pos="113"/>
        <w:tab w:val="center" w:pos="142"/>
        <w:tab w:val="center" w:pos="284"/>
        <w:tab w:val="center" w:pos="425"/>
      </w:tabs>
      <w:spacing w:before="20" w:after="20"/>
      <w:jc w:val="center"/>
    </w:pPr>
    <w:rPr>
      <w:rFonts w:cs="Times New Roman"/>
      <w:b/>
      <w:snapToGrid/>
      <w:sz w:val="20"/>
      <w:lang w:val="en-GB"/>
    </w:rPr>
  </w:style>
  <w:style w:type="paragraph" w:customStyle="1" w:styleId="H3NoNumber">
    <w:name w:val="H3 NoNumber"/>
    <w:basedOn w:val="Heading3"/>
    <w:rsid w:val="00D9059A"/>
    <w:pPr>
      <w:keepNext/>
      <w:widowControl/>
      <w:spacing w:before="240" w:after="240"/>
      <w:ind w:left="993" w:hanging="993"/>
      <w:jc w:val="left"/>
    </w:pPr>
    <w:rPr>
      <w:rFonts w:cs="Times New Roman"/>
      <w:b/>
      <w:snapToGrid/>
      <w:sz w:val="24"/>
      <w:szCs w:val="22"/>
      <w:u w:val="none"/>
    </w:rPr>
  </w:style>
  <w:style w:type="paragraph" w:customStyle="1" w:styleId="Summaries">
    <w:name w:val="Summaries"/>
    <w:basedOn w:val="BodyText2"/>
    <w:rsid w:val="00D9059A"/>
    <w:pPr>
      <w:widowControl/>
      <w:spacing w:after="360" w:line="240" w:lineRule="auto"/>
    </w:pPr>
    <w:rPr>
      <w:rFonts w:cs="Times New Roman"/>
      <w:snapToGrid/>
      <w:szCs w:val="22"/>
    </w:rPr>
  </w:style>
  <w:style w:type="paragraph" w:customStyle="1" w:styleId="StyleSummaries10ptAfter6pt">
    <w:name w:val="Style Summaries + 10 pt After:  6 pt"/>
    <w:basedOn w:val="Summaries"/>
    <w:rsid w:val="00D9059A"/>
    <w:pPr>
      <w:shd w:val="clear" w:color="auto" w:fill="D9D9D9" w:themeFill="background1" w:themeFillShade="D9"/>
      <w:spacing w:after="120"/>
    </w:pPr>
    <w:rPr>
      <w:sz w:val="20"/>
      <w:szCs w:val="20"/>
    </w:rPr>
  </w:style>
  <w:style w:type="paragraph" w:customStyle="1" w:styleId="TableHeadLeft">
    <w:name w:val="Table Head Left"/>
    <w:basedOn w:val="TableText1"/>
    <w:qFormat/>
    <w:rsid w:val="00D9059A"/>
    <w:rPr>
      <w:b/>
      <w:bCs/>
    </w:rPr>
  </w:style>
  <w:style w:type="paragraph" w:customStyle="1" w:styleId="TableTextCentre">
    <w:name w:val="Table Text Centre"/>
    <w:basedOn w:val="TableText1"/>
    <w:rsid w:val="00D9059A"/>
    <w:pPr>
      <w:jc w:val="center"/>
    </w:pPr>
    <w:rPr>
      <w:szCs w:val="20"/>
    </w:rPr>
  </w:style>
  <w:style w:type="paragraph" w:customStyle="1" w:styleId="Refs">
    <w:name w:val="Refs"/>
    <w:basedOn w:val="Normal"/>
    <w:rsid w:val="00D9059A"/>
    <w:pPr>
      <w:widowControl/>
      <w:autoSpaceDE w:val="0"/>
      <w:autoSpaceDN w:val="0"/>
      <w:adjustRightInd w:val="0"/>
      <w:spacing w:before="120" w:after="240"/>
      <w:jc w:val="left"/>
    </w:pPr>
    <w:rPr>
      <w:rFonts w:eastAsia="Calibri"/>
      <w:snapToGrid/>
      <w:sz w:val="20"/>
    </w:rPr>
  </w:style>
  <w:style w:type="paragraph" w:customStyle="1" w:styleId="Tableheadingleft0">
    <w:name w:val="Table heading left"/>
    <w:basedOn w:val="Normal"/>
    <w:qFormat/>
    <w:rsid w:val="00D9059A"/>
    <w:pPr>
      <w:keepNext/>
      <w:keepLines/>
      <w:widowControl/>
      <w:tabs>
        <w:tab w:val="left" w:pos="113"/>
        <w:tab w:val="center" w:pos="142"/>
        <w:tab w:val="center" w:pos="284"/>
        <w:tab w:val="center" w:pos="425"/>
      </w:tabs>
      <w:spacing w:after="120"/>
      <w:jc w:val="left"/>
    </w:pPr>
    <w:rPr>
      <w:b/>
      <w:snapToGrid/>
      <w:sz w:val="20"/>
      <w:lang w:val="en-GB"/>
    </w:rPr>
  </w:style>
  <w:style w:type="character" w:customStyle="1" w:styleId="Style12ptBold">
    <w:name w:val="Style 12 pt Bold"/>
    <w:rsid w:val="00D9059A"/>
    <w:rPr>
      <w:rFonts w:ascii="Arial" w:hAnsi="Arial"/>
      <w:b/>
      <w:bCs/>
      <w:sz w:val="24"/>
    </w:rPr>
  </w:style>
  <w:style w:type="paragraph" w:customStyle="1" w:styleId="ExecSummText">
    <w:name w:val="ExecSummText"/>
    <w:basedOn w:val="BodyText2"/>
    <w:qFormat/>
    <w:rsid w:val="00D9059A"/>
    <w:pPr>
      <w:widowControl/>
      <w:spacing w:after="240" w:line="240" w:lineRule="auto"/>
    </w:pPr>
    <w:rPr>
      <w:rFonts w:cs="Times New Roman"/>
      <w:snapToGrid/>
      <w:szCs w:val="22"/>
    </w:rPr>
  </w:style>
  <w:style w:type="paragraph" w:customStyle="1" w:styleId="ExecSummTextAfter0pt">
    <w:name w:val="ExecSummText + After:  0 pt"/>
    <w:basedOn w:val="ExecSummText"/>
    <w:rsid w:val="00D9059A"/>
    <w:pPr>
      <w:spacing w:after="120"/>
    </w:pPr>
    <w:rPr>
      <w:szCs w:val="20"/>
    </w:rPr>
  </w:style>
  <w:style w:type="paragraph" w:customStyle="1" w:styleId="TableTextSmall">
    <w:name w:val="Table Text Small"/>
    <w:basedOn w:val="TableText1"/>
    <w:rsid w:val="00D9059A"/>
    <w:pPr>
      <w:spacing w:before="20" w:after="80"/>
    </w:pPr>
    <w:rPr>
      <w:sz w:val="18"/>
    </w:rPr>
  </w:style>
  <w:style w:type="character" w:customStyle="1" w:styleId="CaptionChar1">
    <w:name w:val="Caption Char1"/>
    <w:locked/>
    <w:rsid w:val="00D9059A"/>
    <w:rPr>
      <w:rFonts w:ascii="Arial" w:eastAsia="Calibri" w:hAnsi="Arial"/>
      <w:b/>
      <w:bCs/>
      <w:sz w:val="22"/>
    </w:rPr>
  </w:style>
  <w:style w:type="paragraph" w:customStyle="1" w:styleId="NotesFromPBAC">
    <w:name w:val="NotesFromPBAC"/>
    <w:basedOn w:val="Normal"/>
    <w:qFormat/>
    <w:rsid w:val="00D9059A"/>
    <w:pPr>
      <w:widowControl/>
      <w:spacing w:after="200"/>
    </w:pPr>
    <w:rPr>
      <w:rFonts w:cs="Times New Roman"/>
      <w:b/>
      <w:i/>
      <w:snapToGrid/>
      <w:sz w:val="20"/>
      <w:lang w:eastAsia="en-AU"/>
    </w:rPr>
  </w:style>
  <w:style w:type="paragraph" w:customStyle="1" w:styleId="H3">
    <w:name w:val="H3"/>
    <w:basedOn w:val="H3NoNumber"/>
    <w:rsid w:val="00D9059A"/>
    <w:pPr>
      <w:ind w:left="1418" w:hanging="1418"/>
    </w:pPr>
    <w:rPr>
      <w:sz w:val="28"/>
      <w:szCs w:val="28"/>
    </w:rPr>
  </w:style>
  <w:style w:type="paragraph" w:customStyle="1" w:styleId="TableNotes2">
    <w:name w:val="Table Notes"/>
    <w:basedOn w:val="Normal"/>
    <w:next w:val="Normal"/>
    <w:qFormat/>
    <w:rsid w:val="00D9059A"/>
    <w:pPr>
      <w:widowControl/>
      <w:spacing w:before="40"/>
      <w:jc w:val="left"/>
    </w:pPr>
    <w:rPr>
      <w:rFonts w:cs="Times New Roman"/>
      <w:snapToGrid/>
      <w:sz w:val="16"/>
      <w:lang w:eastAsia="en-AU"/>
    </w:rPr>
  </w:style>
  <w:style w:type="numbering" w:customStyle="1" w:styleId="NoList2">
    <w:name w:val="No List2"/>
    <w:next w:val="NoList"/>
    <w:uiPriority w:val="99"/>
    <w:semiHidden/>
    <w:unhideWhenUsed/>
    <w:rsid w:val="00655D15"/>
  </w:style>
  <w:style w:type="numbering" w:customStyle="1" w:styleId="NoList11">
    <w:name w:val="No List11"/>
    <w:next w:val="NoList"/>
    <w:uiPriority w:val="99"/>
    <w:semiHidden/>
    <w:unhideWhenUsed/>
    <w:rsid w:val="00655D15"/>
  </w:style>
  <w:style w:type="table" w:customStyle="1" w:styleId="TableGrid30">
    <w:name w:val="Table Grid3"/>
    <w:basedOn w:val="TableNormal"/>
    <w:next w:val="TableGrid"/>
    <w:uiPriority w:val="59"/>
    <w:rsid w:val="00655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rsid w:val="00655D15"/>
    <w:pPr>
      <w:tabs>
        <w:tab w:val="left" w:pos="416"/>
        <w:tab w:val="left" w:pos="582"/>
      </w:tabs>
      <w:spacing w:line="360" w:lineRule="auto"/>
      <w:jc w:val="both"/>
    </w:pPr>
    <w:rPr>
      <w:rFonts w:ascii="Times" w:hAnsi="Tim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PBACTableStyle1">
    <w:name w:val="PBAC Table Style1"/>
    <w:basedOn w:val="TableNormal"/>
    <w:rsid w:val="00655D15"/>
    <w:pPr>
      <w:tabs>
        <w:tab w:val="left" w:pos="416"/>
        <w:tab w:val="left" w:pos="582"/>
      </w:tabs>
      <w:spacing w:line="360" w:lineRule="auto"/>
      <w:jc w:val="center"/>
    </w:pPr>
    <w:tblPr>
      <w:tblBorders>
        <w:top w:val="single" w:sz="4" w:space="0" w:color="auto"/>
        <w:bottom w:val="single" w:sz="4" w:space="0" w:color="auto"/>
      </w:tblBorders>
    </w:tblPr>
    <w:tcPr>
      <w:shd w:val="clear" w:color="auto" w:fill="auto"/>
    </w:tcPr>
    <w:tblStylePr w:type="firstRow">
      <w:rPr>
        <w:b/>
      </w:rPr>
      <w:tblPr/>
      <w:tcPr>
        <w:tcBorders>
          <w:bottom w:val="single" w:sz="4" w:space="0" w:color="auto"/>
          <w:tl2br w:val="none" w:sz="0" w:space="0" w:color="auto"/>
          <w:tr2bl w:val="none" w:sz="0" w:space="0" w:color="auto"/>
        </w:tcBorders>
        <w:shd w:val="clear" w:color="auto" w:fill="E0E0E0"/>
      </w:tcPr>
    </w:tblStylePr>
    <w:tblStylePr w:type="lastRow">
      <w:rPr>
        <w:b w:val="0"/>
        <w:bCs/>
      </w:rPr>
      <w:tblPr/>
      <w:tcPr>
        <w:tcBorders>
          <w:tl2br w:val="none" w:sz="0" w:space="0" w:color="auto"/>
          <w:tr2bl w:val="none" w:sz="0" w:space="0" w:color="auto"/>
        </w:tcBorders>
      </w:tcPr>
    </w:tblStylePr>
    <w:tblStylePr w:type="firstCol">
      <w:pPr>
        <w:jc w:val="left"/>
      </w:pPr>
      <w:rPr>
        <w:rFonts w:ascii="Times New Roman" w:hAnsi="Times New Roman"/>
        <w:b/>
        <w:sz w:val="20"/>
      </w:rPr>
    </w:tblStylePr>
    <w:tblStylePr w:type="lastCol">
      <w:rPr>
        <w:b/>
        <w:bCs/>
      </w:rPr>
      <w:tblPr/>
      <w:tcPr>
        <w:tcBorders>
          <w:tl2br w:val="none" w:sz="0" w:space="0" w:color="auto"/>
          <w:tr2bl w:val="none" w:sz="0" w:space="0" w:color="auto"/>
        </w:tcBorders>
      </w:tcPr>
    </w:tblStylePr>
    <w:tblStylePr w:type="swCell">
      <w:pPr>
        <w:jc w:val="center"/>
      </w:pPr>
      <w:rPr>
        <w:b/>
      </w:rPr>
    </w:tblStylePr>
  </w:style>
  <w:style w:type="numbering" w:customStyle="1" w:styleId="NoList111">
    <w:name w:val="No List111"/>
    <w:next w:val="NoList"/>
    <w:uiPriority w:val="99"/>
    <w:semiHidden/>
    <w:unhideWhenUsed/>
    <w:rsid w:val="00655D15"/>
  </w:style>
  <w:style w:type="table" w:customStyle="1" w:styleId="TableGrid11">
    <w:name w:val="Table Grid11"/>
    <w:basedOn w:val="TableNormal"/>
    <w:next w:val="TableGrid"/>
    <w:rsid w:val="00655D1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655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55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Arial11ptLeft063cmHanging063cm1">
    <w:name w:val="Style Numbered Arial 11 pt Left:  0.63 cm Hanging:  0.63 cm1"/>
    <w:basedOn w:val="NoList"/>
    <w:rsid w:val="00655D15"/>
  </w:style>
  <w:style w:type="numbering" w:customStyle="1" w:styleId="NoList21">
    <w:name w:val="No List21"/>
    <w:next w:val="NoList"/>
    <w:uiPriority w:val="99"/>
    <w:semiHidden/>
    <w:unhideWhenUsed/>
    <w:rsid w:val="00655D15"/>
  </w:style>
  <w:style w:type="numbering" w:customStyle="1" w:styleId="NoList12">
    <w:name w:val="No List12"/>
    <w:next w:val="NoList"/>
    <w:uiPriority w:val="99"/>
    <w:semiHidden/>
    <w:unhideWhenUsed/>
    <w:rsid w:val="00655D15"/>
  </w:style>
  <w:style w:type="numbering" w:customStyle="1" w:styleId="StyleNumberedArial11ptLeft063cmHanging063cm11">
    <w:name w:val="Style Numbered Arial 11 pt Left:  0.63 cm Hanging:  0.63 cm11"/>
    <w:basedOn w:val="NoList"/>
    <w:rsid w:val="00655D15"/>
  </w:style>
  <w:style w:type="table" w:customStyle="1" w:styleId="TableGrid4">
    <w:name w:val="Table Grid4"/>
    <w:basedOn w:val="TableNormal"/>
    <w:next w:val="TableGrid"/>
    <w:uiPriority w:val="59"/>
    <w:rsid w:val="00335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C7A2E"/>
  </w:style>
  <w:style w:type="table" w:customStyle="1" w:styleId="TableGrid5">
    <w:name w:val="Table Grid5"/>
    <w:basedOn w:val="TableNormal"/>
    <w:next w:val="TableGrid"/>
    <w:uiPriority w:val="59"/>
    <w:rsid w:val="004C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C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35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35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CE72F4"/>
    <w:pPr>
      <w:widowControl/>
      <w:ind w:left="1440"/>
    </w:pPr>
    <w:rPr>
      <w:rFonts w:ascii="Times New Roman" w:hAnsi="Times New Roman" w:cs="Times New Roman"/>
      <w:snapToGrid/>
      <w:sz w:val="24"/>
    </w:rPr>
  </w:style>
  <w:style w:type="character" w:customStyle="1" w:styleId="BodyTextIndent2Char">
    <w:name w:val="Body Text Indent 2 Char"/>
    <w:basedOn w:val="DefaultParagraphFont"/>
    <w:link w:val="BodyTextIndent2"/>
    <w:rsid w:val="00CE72F4"/>
    <w:rPr>
      <w:sz w:val="24"/>
      <w:lang w:eastAsia="en-US"/>
    </w:rPr>
  </w:style>
  <w:style w:type="character" w:styleId="PageNumber">
    <w:name w:val="page number"/>
    <w:basedOn w:val="DefaultParagraphFont"/>
    <w:rsid w:val="00CE72F4"/>
  </w:style>
  <w:style w:type="paragraph" w:customStyle="1" w:styleId="1">
    <w:name w:val="1"/>
    <w:basedOn w:val="Normal"/>
    <w:rsid w:val="00CE72F4"/>
    <w:pPr>
      <w:widowControl/>
      <w:spacing w:after="160" w:line="240" w:lineRule="exact"/>
    </w:pPr>
    <w:rPr>
      <w:rFonts w:ascii="Verdana" w:eastAsia="MS Mincho" w:hAnsi="Verdana" w:cs="Verdana"/>
      <w:snapToGrid/>
      <w:sz w:val="20"/>
      <w:lang w:val="en-US"/>
    </w:rPr>
  </w:style>
  <w:style w:type="character" w:styleId="Emphasis">
    <w:name w:val="Emphasis"/>
    <w:uiPriority w:val="20"/>
    <w:qFormat/>
    <w:rsid w:val="00CE72F4"/>
    <w:rPr>
      <w:i/>
      <w:iCs/>
    </w:rPr>
  </w:style>
  <w:style w:type="paragraph" w:customStyle="1" w:styleId="MediumGrid21">
    <w:name w:val="Medium Grid 21"/>
    <w:link w:val="MediumGrid2Char"/>
    <w:uiPriority w:val="1"/>
    <w:qFormat/>
    <w:rsid w:val="00CE72F4"/>
    <w:rPr>
      <w:rFonts w:ascii="Cambria" w:eastAsia="MS Mincho" w:hAnsi="Cambria"/>
      <w:sz w:val="22"/>
      <w:szCs w:val="22"/>
      <w:lang w:val="en-US" w:eastAsia="en-US"/>
    </w:rPr>
  </w:style>
  <w:style w:type="paragraph" w:customStyle="1" w:styleId="ColorfulList-Accent11">
    <w:name w:val="Colorful List - Accent 11"/>
    <w:basedOn w:val="Normal"/>
    <w:uiPriority w:val="34"/>
    <w:qFormat/>
    <w:rsid w:val="00CE72F4"/>
    <w:pPr>
      <w:widowControl/>
      <w:ind w:left="720"/>
      <w:contextualSpacing/>
    </w:pPr>
    <w:rPr>
      <w:rFonts w:ascii="Cambria" w:eastAsia="MS Mincho" w:hAnsi="Cambria" w:cs="Times New Roman"/>
      <w:snapToGrid/>
      <w:szCs w:val="22"/>
      <w:lang w:val="en-US"/>
    </w:rPr>
  </w:style>
  <w:style w:type="paragraph" w:customStyle="1" w:styleId="ColorfulGrid-Accent11">
    <w:name w:val="Colorful Grid - Accent 11"/>
    <w:basedOn w:val="Normal"/>
    <w:next w:val="Normal"/>
    <w:link w:val="ColorfulGrid-Accent1Char"/>
    <w:uiPriority w:val="29"/>
    <w:qFormat/>
    <w:rsid w:val="00CE72F4"/>
    <w:pPr>
      <w:widowControl/>
    </w:pPr>
    <w:rPr>
      <w:rFonts w:ascii="Cambria" w:eastAsia="MS Mincho" w:hAnsi="Cambria" w:cs="Times New Roman"/>
      <w:i/>
      <w:iCs/>
      <w:snapToGrid/>
      <w:color w:val="000000"/>
      <w:szCs w:val="22"/>
      <w:lang w:val="en-US"/>
    </w:rPr>
  </w:style>
  <w:style w:type="character" w:customStyle="1" w:styleId="ColorfulGrid-Accent1Char">
    <w:name w:val="Colorful Grid - Accent 1 Char"/>
    <w:link w:val="ColorfulGrid-Accent11"/>
    <w:uiPriority w:val="29"/>
    <w:rsid w:val="00CE72F4"/>
    <w:rPr>
      <w:rFonts w:ascii="Cambria" w:eastAsia="MS Mincho" w:hAnsi="Cambria"/>
      <w:i/>
      <w:iCs/>
      <w:color w:val="000000"/>
      <w:sz w:val="22"/>
      <w:szCs w:val="22"/>
      <w:lang w:val="en-US" w:eastAsia="en-US"/>
    </w:rPr>
  </w:style>
  <w:style w:type="paragraph" w:customStyle="1" w:styleId="LightShading-Accent21">
    <w:name w:val="Light Shading - Accent 21"/>
    <w:basedOn w:val="Normal"/>
    <w:next w:val="Normal"/>
    <w:link w:val="LightShading-Accent2Char"/>
    <w:uiPriority w:val="30"/>
    <w:qFormat/>
    <w:rsid w:val="00CE72F4"/>
    <w:pPr>
      <w:widowControl/>
      <w:pBdr>
        <w:bottom w:val="single" w:sz="4" w:space="4" w:color="4F81BD"/>
      </w:pBdr>
      <w:spacing w:before="200" w:after="280"/>
      <w:ind w:left="936" w:right="936"/>
    </w:pPr>
    <w:rPr>
      <w:rFonts w:ascii="Cambria" w:eastAsia="MS Mincho" w:hAnsi="Cambria" w:cs="Times New Roman"/>
      <w:b/>
      <w:bCs/>
      <w:i/>
      <w:iCs/>
      <w:snapToGrid/>
      <w:color w:val="4F81BD"/>
      <w:szCs w:val="22"/>
      <w:lang w:val="en-US"/>
    </w:rPr>
  </w:style>
  <w:style w:type="character" w:customStyle="1" w:styleId="LightShading-Accent2Char">
    <w:name w:val="Light Shading - Accent 2 Char"/>
    <w:link w:val="LightShading-Accent21"/>
    <w:uiPriority w:val="30"/>
    <w:rsid w:val="00CE72F4"/>
    <w:rPr>
      <w:rFonts w:ascii="Cambria" w:eastAsia="MS Mincho" w:hAnsi="Cambria"/>
      <w:b/>
      <w:bCs/>
      <w:i/>
      <w:iCs/>
      <w:color w:val="4F81BD"/>
      <w:sz w:val="22"/>
      <w:szCs w:val="22"/>
      <w:lang w:val="en-US" w:eastAsia="en-US"/>
    </w:rPr>
  </w:style>
  <w:style w:type="character" w:customStyle="1" w:styleId="SubtleEmphasis1">
    <w:name w:val="Subtle Emphasis1"/>
    <w:uiPriority w:val="19"/>
    <w:qFormat/>
    <w:rsid w:val="00CE72F4"/>
    <w:rPr>
      <w:i/>
      <w:iCs/>
      <w:color w:val="808080"/>
    </w:rPr>
  </w:style>
  <w:style w:type="character" w:customStyle="1" w:styleId="IntenseEmphasis1">
    <w:name w:val="Intense Emphasis1"/>
    <w:uiPriority w:val="21"/>
    <w:qFormat/>
    <w:rsid w:val="00CE72F4"/>
    <w:rPr>
      <w:b/>
      <w:bCs/>
      <w:i/>
      <w:iCs/>
      <w:color w:val="4F81BD"/>
    </w:rPr>
  </w:style>
  <w:style w:type="character" w:customStyle="1" w:styleId="SubtleReference1">
    <w:name w:val="Subtle Reference1"/>
    <w:uiPriority w:val="31"/>
    <w:qFormat/>
    <w:rsid w:val="00CE72F4"/>
    <w:rPr>
      <w:smallCaps/>
      <w:color w:val="C0504D"/>
      <w:u w:val="single"/>
    </w:rPr>
  </w:style>
  <w:style w:type="character" w:customStyle="1" w:styleId="IntenseReference1">
    <w:name w:val="Intense Reference1"/>
    <w:uiPriority w:val="32"/>
    <w:qFormat/>
    <w:rsid w:val="00CE72F4"/>
    <w:rPr>
      <w:b/>
      <w:bCs/>
      <w:smallCaps/>
      <w:color w:val="C0504D"/>
      <w:spacing w:val="5"/>
      <w:u w:val="single"/>
    </w:rPr>
  </w:style>
  <w:style w:type="character" w:customStyle="1" w:styleId="BookTitle1">
    <w:name w:val="Book Title1"/>
    <w:uiPriority w:val="33"/>
    <w:qFormat/>
    <w:rsid w:val="00CE72F4"/>
    <w:rPr>
      <w:b/>
      <w:bCs/>
      <w:smallCaps/>
      <w:spacing w:val="5"/>
    </w:rPr>
  </w:style>
  <w:style w:type="paragraph" w:customStyle="1" w:styleId="TOCHeading1">
    <w:name w:val="TOC Heading1"/>
    <w:basedOn w:val="Heading1"/>
    <w:next w:val="Normal"/>
    <w:uiPriority w:val="39"/>
    <w:semiHidden/>
    <w:unhideWhenUsed/>
    <w:qFormat/>
    <w:rsid w:val="00CE72F4"/>
    <w:pPr>
      <w:keepNext/>
      <w:keepLines/>
      <w:widowControl/>
      <w:spacing w:before="480" w:line="276" w:lineRule="auto"/>
      <w:ind w:left="0" w:firstLine="0"/>
      <w:jc w:val="left"/>
      <w:outlineLvl w:val="9"/>
    </w:pPr>
    <w:rPr>
      <w:rFonts w:ascii="Calibri" w:eastAsia="MS Gothic" w:hAnsi="Calibri" w:cs="Times New Roman"/>
      <w:b w:val="0"/>
      <w:bCs/>
      <w:caps/>
      <w:snapToGrid/>
      <w:color w:val="365F91"/>
      <w:sz w:val="28"/>
      <w:szCs w:val="28"/>
      <w:lang w:val="en-US"/>
    </w:rPr>
  </w:style>
  <w:style w:type="character" w:customStyle="1" w:styleId="MediumGrid2Char">
    <w:name w:val="Medium Grid 2 Char"/>
    <w:link w:val="MediumGrid21"/>
    <w:uiPriority w:val="1"/>
    <w:rsid w:val="00CE72F4"/>
    <w:rPr>
      <w:rFonts w:ascii="Cambria" w:eastAsia="MS Mincho" w:hAnsi="Cambria"/>
      <w:sz w:val="22"/>
      <w:szCs w:val="22"/>
      <w:lang w:val="en-US" w:eastAsia="en-US"/>
    </w:rPr>
  </w:style>
  <w:style w:type="paragraph" w:customStyle="1" w:styleId="PersonalName">
    <w:name w:val="Personal Name"/>
    <w:basedOn w:val="Title"/>
    <w:rsid w:val="00CE72F4"/>
    <w:pPr>
      <w:widowControl/>
      <w:pBdr>
        <w:bottom w:val="single" w:sz="8" w:space="4" w:color="4F81BD"/>
      </w:pBdr>
      <w:spacing w:before="0" w:after="300"/>
      <w:contextualSpacing/>
      <w:jc w:val="left"/>
      <w:outlineLvl w:val="9"/>
    </w:pPr>
    <w:rPr>
      <w:rFonts w:ascii="Calibri" w:eastAsia="MS Gothic" w:hAnsi="Calibri" w:cs="Times New Roman"/>
      <w:bCs w:val="0"/>
      <w:caps/>
      <w:snapToGrid/>
      <w:color w:val="000000"/>
      <w:spacing w:val="5"/>
      <w:sz w:val="28"/>
      <w:szCs w:val="28"/>
      <w:lang w:val="en-US"/>
    </w:rPr>
  </w:style>
  <w:style w:type="paragraph" w:customStyle="1" w:styleId="ColorfulShading-Accent11">
    <w:name w:val="Colorful Shading - Accent 11"/>
    <w:hidden/>
    <w:uiPriority w:val="99"/>
    <w:rsid w:val="00CE72F4"/>
    <w:rPr>
      <w:rFonts w:ascii="Cambria" w:eastAsia="MS Mincho" w:hAnsi="Cambria"/>
      <w:sz w:val="22"/>
      <w:szCs w:val="22"/>
      <w:lang w:val="en-US" w:eastAsia="en-US"/>
    </w:rPr>
  </w:style>
  <w:style w:type="paragraph" w:customStyle="1" w:styleId="tabletext2">
    <w:name w:val="table text"/>
    <w:basedOn w:val="TableText1"/>
    <w:qFormat/>
    <w:rsid w:val="00CE72F4"/>
    <w:pPr>
      <w:keepLines w:val="0"/>
      <w:spacing w:before="0" w:after="0"/>
      <w:jc w:val="both"/>
    </w:pPr>
    <w:rPr>
      <w:rFonts w:cs="Arial"/>
      <w:color w:val="000000"/>
      <w:szCs w:val="20"/>
      <w:lang w:eastAsia="en-AU"/>
    </w:rPr>
  </w:style>
  <w:style w:type="character" w:styleId="EndnoteReference">
    <w:name w:val="endnote reference"/>
    <w:rsid w:val="00CE72F4"/>
    <w:rPr>
      <w:vertAlign w:val="superscript"/>
    </w:rPr>
  </w:style>
  <w:style w:type="character" w:customStyle="1" w:styleId="TabletextChar10">
    <w:name w:val="Table text Char1"/>
    <w:rsid w:val="00CE72F4"/>
    <w:rPr>
      <w:rFonts w:ascii="Arial" w:hAnsi="Arial"/>
      <w:lang w:eastAsia="en-US"/>
    </w:rPr>
  </w:style>
  <w:style w:type="paragraph" w:customStyle="1" w:styleId="Char">
    <w:name w:val="Char"/>
    <w:basedOn w:val="Normal"/>
    <w:rsid w:val="00CE72F4"/>
    <w:pPr>
      <w:widowControl/>
      <w:spacing w:after="160" w:line="240" w:lineRule="exact"/>
      <w:jc w:val="left"/>
    </w:pPr>
    <w:rPr>
      <w:rFonts w:ascii="Verdana" w:eastAsia="MS Mincho" w:hAnsi="Verdana" w:cs="Verdana"/>
      <w:snapToGrid/>
      <w:sz w:val="20"/>
      <w:lang w:val="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E72F4"/>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6664DF"/>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basedOn w:val="DefaultParagraphFont"/>
    <w:link w:val="ListParagraph"/>
    <w:uiPriority w:val="99"/>
    <w:rsid w:val="008D226B"/>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2269">
      <w:bodyDiv w:val="1"/>
      <w:marLeft w:val="0"/>
      <w:marRight w:val="0"/>
      <w:marTop w:val="0"/>
      <w:marBottom w:val="0"/>
      <w:divBdr>
        <w:top w:val="none" w:sz="0" w:space="0" w:color="auto"/>
        <w:left w:val="none" w:sz="0" w:space="0" w:color="auto"/>
        <w:bottom w:val="none" w:sz="0" w:space="0" w:color="auto"/>
        <w:right w:val="none" w:sz="0" w:space="0" w:color="auto"/>
      </w:divBdr>
    </w:div>
    <w:div w:id="106431382">
      <w:bodyDiv w:val="1"/>
      <w:marLeft w:val="0"/>
      <w:marRight w:val="0"/>
      <w:marTop w:val="0"/>
      <w:marBottom w:val="0"/>
      <w:divBdr>
        <w:top w:val="none" w:sz="0" w:space="0" w:color="auto"/>
        <w:left w:val="none" w:sz="0" w:space="0" w:color="auto"/>
        <w:bottom w:val="none" w:sz="0" w:space="0" w:color="auto"/>
        <w:right w:val="none" w:sz="0" w:space="0" w:color="auto"/>
      </w:divBdr>
    </w:div>
    <w:div w:id="175271651">
      <w:bodyDiv w:val="1"/>
      <w:marLeft w:val="0"/>
      <w:marRight w:val="0"/>
      <w:marTop w:val="0"/>
      <w:marBottom w:val="0"/>
      <w:divBdr>
        <w:top w:val="none" w:sz="0" w:space="0" w:color="auto"/>
        <w:left w:val="none" w:sz="0" w:space="0" w:color="auto"/>
        <w:bottom w:val="none" w:sz="0" w:space="0" w:color="auto"/>
        <w:right w:val="none" w:sz="0" w:space="0" w:color="auto"/>
      </w:divBdr>
    </w:div>
    <w:div w:id="424570613">
      <w:bodyDiv w:val="1"/>
      <w:marLeft w:val="0"/>
      <w:marRight w:val="0"/>
      <w:marTop w:val="0"/>
      <w:marBottom w:val="0"/>
      <w:divBdr>
        <w:top w:val="none" w:sz="0" w:space="0" w:color="auto"/>
        <w:left w:val="none" w:sz="0" w:space="0" w:color="auto"/>
        <w:bottom w:val="none" w:sz="0" w:space="0" w:color="auto"/>
        <w:right w:val="none" w:sz="0" w:space="0" w:color="auto"/>
      </w:divBdr>
    </w:div>
    <w:div w:id="432020979">
      <w:bodyDiv w:val="1"/>
      <w:marLeft w:val="0"/>
      <w:marRight w:val="0"/>
      <w:marTop w:val="0"/>
      <w:marBottom w:val="0"/>
      <w:divBdr>
        <w:top w:val="none" w:sz="0" w:space="0" w:color="auto"/>
        <w:left w:val="none" w:sz="0" w:space="0" w:color="auto"/>
        <w:bottom w:val="none" w:sz="0" w:space="0" w:color="auto"/>
        <w:right w:val="none" w:sz="0" w:space="0" w:color="auto"/>
      </w:divBdr>
    </w:div>
    <w:div w:id="611327460">
      <w:bodyDiv w:val="1"/>
      <w:marLeft w:val="0"/>
      <w:marRight w:val="0"/>
      <w:marTop w:val="0"/>
      <w:marBottom w:val="0"/>
      <w:divBdr>
        <w:top w:val="none" w:sz="0" w:space="0" w:color="auto"/>
        <w:left w:val="none" w:sz="0" w:space="0" w:color="auto"/>
        <w:bottom w:val="none" w:sz="0" w:space="0" w:color="auto"/>
        <w:right w:val="none" w:sz="0" w:space="0" w:color="auto"/>
      </w:divBdr>
    </w:div>
    <w:div w:id="655959294">
      <w:bodyDiv w:val="1"/>
      <w:marLeft w:val="0"/>
      <w:marRight w:val="0"/>
      <w:marTop w:val="0"/>
      <w:marBottom w:val="0"/>
      <w:divBdr>
        <w:top w:val="none" w:sz="0" w:space="0" w:color="auto"/>
        <w:left w:val="none" w:sz="0" w:space="0" w:color="auto"/>
        <w:bottom w:val="none" w:sz="0" w:space="0" w:color="auto"/>
        <w:right w:val="none" w:sz="0" w:space="0" w:color="auto"/>
      </w:divBdr>
    </w:div>
    <w:div w:id="740718066">
      <w:bodyDiv w:val="1"/>
      <w:marLeft w:val="0"/>
      <w:marRight w:val="0"/>
      <w:marTop w:val="0"/>
      <w:marBottom w:val="0"/>
      <w:divBdr>
        <w:top w:val="none" w:sz="0" w:space="0" w:color="auto"/>
        <w:left w:val="none" w:sz="0" w:space="0" w:color="auto"/>
        <w:bottom w:val="none" w:sz="0" w:space="0" w:color="auto"/>
        <w:right w:val="none" w:sz="0" w:space="0" w:color="auto"/>
      </w:divBdr>
    </w:div>
    <w:div w:id="837303525">
      <w:bodyDiv w:val="1"/>
      <w:marLeft w:val="0"/>
      <w:marRight w:val="0"/>
      <w:marTop w:val="0"/>
      <w:marBottom w:val="0"/>
      <w:divBdr>
        <w:top w:val="none" w:sz="0" w:space="0" w:color="auto"/>
        <w:left w:val="none" w:sz="0" w:space="0" w:color="auto"/>
        <w:bottom w:val="none" w:sz="0" w:space="0" w:color="auto"/>
        <w:right w:val="none" w:sz="0" w:space="0" w:color="auto"/>
      </w:divBdr>
    </w:div>
    <w:div w:id="1035736120">
      <w:bodyDiv w:val="1"/>
      <w:marLeft w:val="0"/>
      <w:marRight w:val="0"/>
      <w:marTop w:val="0"/>
      <w:marBottom w:val="0"/>
      <w:divBdr>
        <w:top w:val="none" w:sz="0" w:space="0" w:color="auto"/>
        <w:left w:val="none" w:sz="0" w:space="0" w:color="auto"/>
        <w:bottom w:val="none" w:sz="0" w:space="0" w:color="auto"/>
        <w:right w:val="none" w:sz="0" w:space="0" w:color="auto"/>
      </w:divBdr>
    </w:div>
    <w:div w:id="1231574629">
      <w:bodyDiv w:val="1"/>
      <w:marLeft w:val="0"/>
      <w:marRight w:val="0"/>
      <w:marTop w:val="0"/>
      <w:marBottom w:val="0"/>
      <w:divBdr>
        <w:top w:val="none" w:sz="0" w:space="0" w:color="auto"/>
        <w:left w:val="none" w:sz="0" w:space="0" w:color="auto"/>
        <w:bottom w:val="none" w:sz="0" w:space="0" w:color="auto"/>
        <w:right w:val="none" w:sz="0" w:space="0" w:color="auto"/>
      </w:divBdr>
    </w:div>
    <w:div w:id="1242183342">
      <w:bodyDiv w:val="1"/>
      <w:marLeft w:val="0"/>
      <w:marRight w:val="0"/>
      <w:marTop w:val="0"/>
      <w:marBottom w:val="0"/>
      <w:divBdr>
        <w:top w:val="none" w:sz="0" w:space="0" w:color="auto"/>
        <w:left w:val="none" w:sz="0" w:space="0" w:color="auto"/>
        <w:bottom w:val="none" w:sz="0" w:space="0" w:color="auto"/>
        <w:right w:val="none" w:sz="0" w:space="0" w:color="auto"/>
      </w:divBdr>
    </w:div>
    <w:div w:id="1497528730">
      <w:bodyDiv w:val="1"/>
      <w:marLeft w:val="0"/>
      <w:marRight w:val="0"/>
      <w:marTop w:val="0"/>
      <w:marBottom w:val="0"/>
      <w:divBdr>
        <w:top w:val="none" w:sz="0" w:space="0" w:color="auto"/>
        <w:left w:val="none" w:sz="0" w:space="0" w:color="auto"/>
        <w:bottom w:val="none" w:sz="0" w:space="0" w:color="auto"/>
        <w:right w:val="none" w:sz="0" w:space="0" w:color="auto"/>
      </w:divBdr>
    </w:div>
    <w:div w:id="1497653372">
      <w:bodyDiv w:val="1"/>
      <w:marLeft w:val="0"/>
      <w:marRight w:val="0"/>
      <w:marTop w:val="0"/>
      <w:marBottom w:val="0"/>
      <w:divBdr>
        <w:top w:val="none" w:sz="0" w:space="0" w:color="auto"/>
        <w:left w:val="none" w:sz="0" w:space="0" w:color="auto"/>
        <w:bottom w:val="none" w:sz="0" w:space="0" w:color="auto"/>
        <w:right w:val="none" w:sz="0" w:space="0" w:color="auto"/>
      </w:divBdr>
    </w:div>
    <w:div w:id="1610770037">
      <w:bodyDiv w:val="1"/>
      <w:marLeft w:val="0"/>
      <w:marRight w:val="0"/>
      <w:marTop w:val="0"/>
      <w:marBottom w:val="0"/>
      <w:divBdr>
        <w:top w:val="none" w:sz="0" w:space="0" w:color="auto"/>
        <w:left w:val="none" w:sz="0" w:space="0" w:color="auto"/>
        <w:bottom w:val="none" w:sz="0" w:space="0" w:color="auto"/>
        <w:right w:val="none" w:sz="0" w:space="0" w:color="auto"/>
      </w:divBdr>
    </w:div>
    <w:div w:id="1726029887">
      <w:bodyDiv w:val="1"/>
      <w:marLeft w:val="0"/>
      <w:marRight w:val="0"/>
      <w:marTop w:val="0"/>
      <w:marBottom w:val="0"/>
      <w:divBdr>
        <w:top w:val="none" w:sz="0" w:space="0" w:color="auto"/>
        <w:left w:val="none" w:sz="0" w:space="0" w:color="auto"/>
        <w:bottom w:val="none" w:sz="0" w:space="0" w:color="auto"/>
        <w:right w:val="none" w:sz="0" w:space="0" w:color="auto"/>
      </w:divBdr>
    </w:div>
    <w:div w:id="1916865281">
      <w:bodyDiv w:val="1"/>
      <w:marLeft w:val="0"/>
      <w:marRight w:val="0"/>
      <w:marTop w:val="0"/>
      <w:marBottom w:val="0"/>
      <w:divBdr>
        <w:top w:val="none" w:sz="0" w:space="0" w:color="auto"/>
        <w:left w:val="none" w:sz="0" w:space="0" w:color="auto"/>
        <w:bottom w:val="none" w:sz="0" w:space="0" w:color="auto"/>
        <w:right w:val="none" w:sz="0" w:space="0" w:color="auto"/>
      </w:divBdr>
      <w:divsChild>
        <w:div w:id="171654104">
          <w:marLeft w:val="0"/>
          <w:marRight w:val="0"/>
          <w:marTop w:val="0"/>
          <w:marBottom w:val="0"/>
          <w:divBdr>
            <w:top w:val="none" w:sz="0" w:space="0" w:color="auto"/>
            <w:left w:val="none" w:sz="0" w:space="0" w:color="auto"/>
            <w:bottom w:val="none" w:sz="0" w:space="0" w:color="auto"/>
            <w:right w:val="none" w:sz="0" w:space="0" w:color="auto"/>
          </w:divBdr>
        </w:div>
      </w:divsChild>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8545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B9775-EE00-4D2D-84EF-04CD24A92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8922</Words>
  <Characters>50859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Jun</dc:creator>
  <cp:lastModifiedBy>Yin Jun</cp:lastModifiedBy>
  <cp:revision>1</cp:revision>
  <cp:lastPrinted>2014-11-28T00:15:00Z</cp:lastPrinted>
  <dcterms:created xsi:type="dcterms:W3CDTF">2015-03-04T04:50:00Z</dcterms:created>
  <dcterms:modified xsi:type="dcterms:W3CDTF">2015-03-04T04:51:00Z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