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16" w:rsidRPr="00CE6459" w:rsidRDefault="00F035D7" w:rsidP="00CE6459">
      <w:pPr>
        <w:pStyle w:val="Heading1"/>
        <w:rPr>
          <w:rFonts w:ascii="Arial" w:hAnsi="Arial" w:cs="Arial"/>
          <w:sz w:val="28"/>
          <w:szCs w:val="28"/>
        </w:rPr>
      </w:pPr>
      <w:r w:rsidRPr="00CE6459">
        <w:rPr>
          <w:rFonts w:ascii="Arial" w:hAnsi="Arial" w:cs="Arial"/>
          <w:sz w:val="28"/>
          <w:szCs w:val="28"/>
        </w:rPr>
        <w:t xml:space="preserve"> </w:t>
      </w:r>
      <w:r w:rsidR="009C03E2">
        <w:rPr>
          <w:rFonts w:ascii="Arial" w:hAnsi="Arial" w:cs="Arial"/>
          <w:sz w:val="28"/>
          <w:szCs w:val="28"/>
        </w:rPr>
        <w:tab/>
      </w:r>
      <w:r w:rsidR="0042646E" w:rsidRPr="00CE6459">
        <w:rPr>
          <w:rFonts w:ascii="Arial" w:hAnsi="Arial" w:cs="Arial"/>
          <w:sz w:val="28"/>
          <w:szCs w:val="28"/>
        </w:rPr>
        <w:t>5.20</w:t>
      </w:r>
      <w:r w:rsidR="007C0F57" w:rsidRPr="00CE6459">
        <w:rPr>
          <w:rFonts w:ascii="Arial" w:hAnsi="Arial" w:cs="Arial"/>
          <w:sz w:val="28"/>
          <w:szCs w:val="28"/>
        </w:rPr>
        <w:tab/>
      </w:r>
      <w:r w:rsidR="0042646E" w:rsidRPr="00CE6459">
        <w:rPr>
          <w:rFonts w:ascii="Arial" w:hAnsi="Arial" w:cs="Arial"/>
          <w:sz w:val="28"/>
          <w:szCs w:val="28"/>
        </w:rPr>
        <w:t>VORTIOXETINE,</w:t>
      </w:r>
    </w:p>
    <w:p w:rsidR="0042646E" w:rsidRPr="00CE6459" w:rsidRDefault="0042646E" w:rsidP="009C03E2">
      <w:pPr>
        <w:pStyle w:val="Heading1"/>
        <w:ind w:firstLine="720"/>
        <w:rPr>
          <w:rFonts w:ascii="Arial" w:hAnsi="Arial" w:cs="Arial"/>
          <w:sz w:val="28"/>
          <w:szCs w:val="28"/>
        </w:rPr>
      </w:pPr>
      <w:proofErr w:type="gramStart"/>
      <w:r w:rsidRPr="00CE6459">
        <w:rPr>
          <w:rFonts w:ascii="Arial" w:hAnsi="Arial" w:cs="Arial"/>
          <w:sz w:val="28"/>
          <w:szCs w:val="28"/>
        </w:rPr>
        <w:t>tablets</w:t>
      </w:r>
      <w:proofErr w:type="gramEnd"/>
      <w:r w:rsidRPr="00CE6459">
        <w:rPr>
          <w:rFonts w:ascii="Arial" w:hAnsi="Arial" w:cs="Arial"/>
          <w:sz w:val="28"/>
          <w:szCs w:val="28"/>
        </w:rPr>
        <w:t xml:space="preserve">, 5 mg, 10 mg, 15 mg and 20 mg, </w:t>
      </w:r>
    </w:p>
    <w:p w:rsidR="00D3280C" w:rsidRPr="00CE6459" w:rsidRDefault="0042646E" w:rsidP="009C03E2">
      <w:pPr>
        <w:pStyle w:val="Heading1"/>
        <w:ind w:firstLine="720"/>
        <w:rPr>
          <w:rFonts w:ascii="Arial" w:hAnsi="Arial" w:cs="Arial"/>
          <w:sz w:val="28"/>
          <w:szCs w:val="28"/>
        </w:rPr>
      </w:pPr>
      <w:proofErr w:type="spellStart"/>
      <w:r w:rsidRPr="00CE6459">
        <w:rPr>
          <w:rFonts w:ascii="Arial" w:hAnsi="Arial" w:cs="Arial"/>
          <w:sz w:val="28"/>
          <w:szCs w:val="28"/>
        </w:rPr>
        <w:t>Brintellix</w:t>
      </w:r>
      <w:proofErr w:type="spellEnd"/>
      <w:r w:rsidRPr="00CE6459">
        <w:rPr>
          <w:rFonts w:ascii="Arial" w:hAnsi="Arial" w:cs="Arial"/>
          <w:sz w:val="28"/>
          <w:szCs w:val="28"/>
          <w:vertAlign w:val="superscript"/>
        </w:rPr>
        <w:t>®</w:t>
      </w:r>
      <w:r w:rsidRPr="00CE6459">
        <w:rPr>
          <w:rFonts w:ascii="Arial" w:hAnsi="Arial" w:cs="Arial"/>
          <w:sz w:val="28"/>
          <w:szCs w:val="28"/>
        </w:rPr>
        <w:t xml:space="preserve">, </w:t>
      </w:r>
      <w:proofErr w:type="spellStart"/>
      <w:r w:rsidRPr="00CE6459">
        <w:rPr>
          <w:rFonts w:ascii="Arial" w:hAnsi="Arial" w:cs="Arial"/>
          <w:sz w:val="28"/>
          <w:szCs w:val="28"/>
        </w:rPr>
        <w:t>Lundbeck</w:t>
      </w:r>
      <w:proofErr w:type="spellEnd"/>
      <w:r w:rsidRPr="00CE6459">
        <w:rPr>
          <w:rFonts w:ascii="Arial" w:hAnsi="Arial" w:cs="Arial"/>
          <w:sz w:val="28"/>
          <w:szCs w:val="28"/>
        </w:rPr>
        <w:t xml:space="preserve"> Australia Pty Ltd</w:t>
      </w:r>
    </w:p>
    <w:p w:rsidR="00CE10C4" w:rsidRDefault="00CE10C4" w:rsidP="00A5273B">
      <w:pPr>
        <w:rPr>
          <w:rFonts w:ascii="Arial" w:hAnsi="Arial"/>
          <w:b/>
        </w:rPr>
      </w:pPr>
    </w:p>
    <w:p w:rsidR="008D447E" w:rsidRPr="00CE6459" w:rsidRDefault="008D447E" w:rsidP="00A5273B">
      <w:pPr>
        <w:rPr>
          <w:rFonts w:ascii="Arial" w:hAnsi="Arial" w:cs="Arial"/>
          <w:b/>
          <w:sz w:val="22"/>
        </w:rPr>
      </w:pPr>
    </w:p>
    <w:p w:rsidR="00CE10C4" w:rsidRPr="00CE6459" w:rsidRDefault="006A12A5" w:rsidP="00CE6459">
      <w:pPr>
        <w:pStyle w:val="Heading2"/>
        <w:rPr>
          <w:rFonts w:ascii="Arial" w:hAnsi="Arial" w:cs="Arial"/>
          <w:b/>
          <w:sz w:val="22"/>
        </w:rPr>
      </w:pPr>
      <w:r w:rsidRPr="00CE6459">
        <w:rPr>
          <w:rFonts w:ascii="Arial" w:hAnsi="Arial" w:cs="Arial"/>
          <w:b/>
          <w:sz w:val="22"/>
        </w:rPr>
        <w:t>1</w:t>
      </w:r>
      <w:r w:rsidRPr="00CE6459">
        <w:rPr>
          <w:rFonts w:ascii="Arial" w:hAnsi="Arial" w:cs="Arial"/>
          <w:b/>
          <w:sz w:val="22"/>
        </w:rPr>
        <w:tab/>
      </w:r>
      <w:r w:rsidR="00CE10C4" w:rsidRPr="00CE6459">
        <w:rPr>
          <w:rFonts w:ascii="Arial" w:hAnsi="Arial" w:cs="Arial"/>
          <w:b/>
          <w:sz w:val="22"/>
        </w:rPr>
        <w:t xml:space="preserve">Purpose of </w:t>
      </w:r>
      <w:r w:rsidR="0004240E" w:rsidRPr="00CE6459">
        <w:rPr>
          <w:rFonts w:ascii="Arial" w:hAnsi="Arial" w:cs="Arial"/>
          <w:b/>
          <w:sz w:val="22"/>
        </w:rPr>
        <w:t>Application</w:t>
      </w:r>
    </w:p>
    <w:p w:rsidR="006A12A5" w:rsidRPr="00882085" w:rsidRDefault="006A12A5" w:rsidP="00882085">
      <w:pPr>
        <w:jc w:val="both"/>
        <w:rPr>
          <w:rFonts w:ascii="Arial" w:hAnsi="Arial"/>
          <w:sz w:val="22"/>
          <w:szCs w:val="22"/>
        </w:rPr>
      </w:pPr>
    </w:p>
    <w:p w:rsidR="00CE6459" w:rsidRDefault="0042646E" w:rsidP="00CE6459">
      <w:pPr>
        <w:pStyle w:val="ListParagraph"/>
        <w:numPr>
          <w:ilvl w:val="1"/>
          <w:numId w:val="25"/>
        </w:numPr>
        <w:jc w:val="both"/>
        <w:rPr>
          <w:rFonts w:ascii="Arial" w:hAnsi="Arial"/>
          <w:b/>
          <w:sz w:val="22"/>
          <w:szCs w:val="22"/>
        </w:rPr>
      </w:pPr>
      <w:r>
        <w:rPr>
          <w:rFonts w:ascii="Arial" w:hAnsi="Arial"/>
          <w:sz w:val="22"/>
          <w:szCs w:val="22"/>
        </w:rPr>
        <w:t>The major submission sought</w:t>
      </w:r>
      <w:r w:rsidRPr="0042646E">
        <w:rPr>
          <w:rFonts w:ascii="Arial" w:hAnsi="Arial"/>
          <w:sz w:val="22"/>
          <w:szCs w:val="22"/>
        </w:rPr>
        <w:t xml:space="preserve"> an Authority </w:t>
      </w:r>
      <w:proofErr w:type="gramStart"/>
      <w:r w:rsidRPr="0042646E">
        <w:rPr>
          <w:rFonts w:ascii="Arial" w:hAnsi="Arial"/>
          <w:sz w:val="22"/>
          <w:szCs w:val="22"/>
        </w:rPr>
        <w:t>Required</w:t>
      </w:r>
      <w:proofErr w:type="gramEnd"/>
      <w:r w:rsidRPr="0042646E">
        <w:rPr>
          <w:rFonts w:ascii="Arial" w:hAnsi="Arial"/>
          <w:sz w:val="22"/>
          <w:szCs w:val="22"/>
        </w:rPr>
        <w:t xml:space="preserve"> listing for the treatment of major depressive disorder in patients who have received and not responded to an initial antidepressant medication or patients who are intolerant </w:t>
      </w:r>
      <w:r w:rsidR="00A8667F" w:rsidRPr="00A8667F">
        <w:rPr>
          <w:rFonts w:ascii="Arial" w:hAnsi="Arial"/>
          <w:sz w:val="22"/>
          <w:szCs w:val="22"/>
        </w:rPr>
        <w:t xml:space="preserve">of or who have contraindications to </w:t>
      </w:r>
      <w:r w:rsidRPr="0042646E">
        <w:rPr>
          <w:rFonts w:ascii="Arial" w:hAnsi="Arial"/>
          <w:sz w:val="22"/>
          <w:szCs w:val="22"/>
        </w:rPr>
        <w:t>other initial antidepressant therapy.</w:t>
      </w:r>
    </w:p>
    <w:p w:rsidR="007D560F" w:rsidRPr="00882085" w:rsidRDefault="00CE6459" w:rsidP="00CE6459">
      <w:pPr>
        <w:pStyle w:val="ListParagraph"/>
        <w:jc w:val="both"/>
        <w:rPr>
          <w:rFonts w:ascii="Arial" w:hAnsi="Arial"/>
          <w:b/>
          <w:sz w:val="22"/>
          <w:szCs w:val="22"/>
        </w:rPr>
      </w:pPr>
      <w:r w:rsidRPr="00882085">
        <w:rPr>
          <w:rFonts w:ascii="Arial" w:hAnsi="Arial"/>
          <w:b/>
          <w:sz w:val="22"/>
          <w:szCs w:val="22"/>
        </w:rPr>
        <w:t xml:space="preserve"> </w:t>
      </w: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42646E" w:rsidRPr="007D560F" w:rsidRDefault="0042646E" w:rsidP="0042646E">
      <w:pPr>
        <w:pStyle w:val="ListParagraph"/>
        <w:numPr>
          <w:ilvl w:val="1"/>
          <w:numId w:val="25"/>
        </w:numPr>
        <w:jc w:val="both"/>
        <w:rPr>
          <w:rFonts w:ascii="Arial" w:hAnsi="Arial" w:cs="Arial"/>
          <w:snapToGrid w:val="0"/>
          <w:sz w:val="22"/>
          <w:szCs w:val="22"/>
          <w:lang w:eastAsia="en-US"/>
        </w:rPr>
      </w:pPr>
      <w:r w:rsidRPr="007D560F">
        <w:rPr>
          <w:rFonts w:ascii="Arial" w:hAnsi="Arial" w:cs="Arial"/>
          <w:snapToGrid w:val="0"/>
          <w:sz w:val="22"/>
          <w:szCs w:val="22"/>
          <w:lang w:eastAsia="en-US"/>
        </w:rPr>
        <w:t xml:space="preserve">The submission sought the following listing: </w:t>
      </w:r>
    </w:p>
    <w:tbl>
      <w:tblPr>
        <w:tblW w:w="84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1"/>
        <w:gridCol w:w="1037"/>
        <w:gridCol w:w="968"/>
        <w:gridCol w:w="1774"/>
        <w:gridCol w:w="950"/>
      </w:tblGrid>
      <w:tr w:rsidR="006B3F74" w:rsidRPr="007D560F" w:rsidTr="003D3714">
        <w:trPr>
          <w:cantSplit/>
          <w:trHeight w:val="490"/>
        </w:trPr>
        <w:tc>
          <w:tcPr>
            <w:tcW w:w="3711" w:type="dxa"/>
          </w:tcPr>
          <w:p w:rsidR="006B3F74" w:rsidRPr="007D560F" w:rsidRDefault="006B3F74" w:rsidP="0042646E">
            <w:pPr>
              <w:keepNext/>
              <w:ind w:left="-108"/>
              <w:jc w:val="both"/>
              <w:rPr>
                <w:rFonts w:ascii="Arial" w:hAnsi="Arial" w:cs="Arial"/>
                <w:b/>
                <w:sz w:val="20"/>
                <w:szCs w:val="20"/>
              </w:rPr>
            </w:pPr>
            <w:r w:rsidRPr="007D560F">
              <w:rPr>
                <w:rFonts w:ascii="Arial" w:hAnsi="Arial" w:cs="Arial"/>
                <w:b/>
                <w:sz w:val="20"/>
                <w:szCs w:val="20"/>
              </w:rPr>
              <w:t>Name, Restriction,</w:t>
            </w:r>
          </w:p>
          <w:p w:rsidR="006B3F74" w:rsidRPr="007D560F" w:rsidRDefault="006B3F74" w:rsidP="0042646E">
            <w:pPr>
              <w:keepNext/>
              <w:ind w:left="-108"/>
              <w:jc w:val="both"/>
              <w:rPr>
                <w:rFonts w:ascii="Arial" w:hAnsi="Arial" w:cs="Arial"/>
                <w:b/>
                <w:sz w:val="20"/>
                <w:szCs w:val="20"/>
              </w:rPr>
            </w:pPr>
            <w:r w:rsidRPr="007D560F">
              <w:rPr>
                <w:rFonts w:ascii="Arial" w:hAnsi="Arial" w:cs="Arial"/>
                <w:b/>
                <w:sz w:val="20"/>
                <w:szCs w:val="20"/>
              </w:rPr>
              <w:t>Manner of administration and form</w:t>
            </w:r>
          </w:p>
        </w:tc>
        <w:tc>
          <w:tcPr>
            <w:tcW w:w="1037" w:type="dxa"/>
          </w:tcPr>
          <w:p w:rsidR="006B3F74" w:rsidRPr="007D560F" w:rsidRDefault="006B3F74" w:rsidP="0042646E">
            <w:pPr>
              <w:keepNext/>
              <w:ind w:left="-108"/>
              <w:jc w:val="both"/>
              <w:rPr>
                <w:rFonts w:ascii="Arial" w:hAnsi="Arial" w:cs="Arial"/>
                <w:b/>
                <w:sz w:val="20"/>
                <w:szCs w:val="20"/>
              </w:rPr>
            </w:pPr>
            <w:r w:rsidRPr="007D560F">
              <w:rPr>
                <w:rFonts w:ascii="Arial" w:hAnsi="Arial" w:cs="Arial"/>
                <w:b/>
                <w:sz w:val="20"/>
                <w:szCs w:val="20"/>
              </w:rPr>
              <w:t>Max.</w:t>
            </w:r>
          </w:p>
          <w:p w:rsidR="006B3F74" w:rsidRPr="007D560F" w:rsidRDefault="006B3F74" w:rsidP="0042646E">
            <w:pPr>
              <w:keepNext/>
              <w:ind w:left="-108"/>
              <w:jc w:val="both"/>
              <w:rPr>
                <w:rFonts w:ascii="Arial" w:hAnsi="Arial" w:cs="Arial"/>
                <w:b/>
                <w:sz w:val="20"/>
                <w:szCs w:val="20"/>
              </w:rPr>
            </w:pPr>
            <w:proofErr w:type="spellStart"/>
            <w:r w:rsidRPr="007D560F">
              <w:rPr>
                <w:rFonts w:ascii="Arial" w:hAnsi="Arial" w:cs="Arial"/>
                <w:b/>
                <w:sz w:val="20"/>
                <w:szCs w:val="20"/>
              </w:rPr>
              <w:t>Qty</w:t>
            </w:r>
            <w:proofErr w:type="spellEnd"/>
            <w:r w:rsidRPr="007D560F">
              <w:rPr>
                <w:rFonts w:ascii="Arial" w:hAnsi="Arial" w:cs="Arial"/>
                <w:b/>
                <w:sz w:val="20"/>
                <w:szCs w:val="20"/>
              </w:rPr>
              <w:t xml:space="preserve"> (Packs)</w:t>
            </w:r>
          </w:p>
        </w:tc>
        <w:tc>
          <w:tcPr>
            <w:tcW w:w="968" w:type="dxa"/>
          </w:tcPr>
          <w:p w:rsidR="006B3F74" w:rsidRPr="007D560F" w:rsidRDefault="006B3F74" w:rsidP="0042646E">
            <w:pPr>
              <w:keepNext/>
              <w:ind w:left="-108"/>
              <w:jc w:val="both"/>
              <w:rPr>
                <w:rFonts w:ascii="Arial" w:hAnsi="Arial" w:cs="Arial"/>
                <w:b/>
                <w:sz w:val="20"/>
                <w:szCs w:val="20"/>
              </w:rPr>
            </w:pPr>
            <w:r w:rsidRPr="007D560F">
              <w:rPr>
                <w:rFonts w:ascii="Arial" w:hAnsi="Arial" w:cs="Arial"/>
                <w:b/>
                <w:sz w:val="20"/>
                <w:szCs w:val="20"/>
              </w:rPr>
              <w:t>№.of</w:t>
            </w:r>
          </w:p>
          <w:p w:rsidR="006B3F74" w:rsidRPr="007D560F" w:rsidRDefault="006B3F74" w:rsidP="0042646E">
            <w:pPr>
              <w:keepNext/>
              <w:ind w:left="-108"/>
              <w:jc w:val="both"/>
              <w:rPr>
                <w:rFonts w:ascii="Arial" w:hAnsi="Arial" w:cs="Arial"/>
                <w:b/>
                <w:sz w:val="20"/>
                <w:szCs w:val="20"/>
              </w:rPr>
            </w:pPr>
            <w:proofErr w:type="spellStart"/>
            <w:r w:rsidRPr="007D560F">
              <w:rPr>
                <w:rFonts w:ascii="Arial" w:hAnsi="Arial" w:cs="Arial"/>
                <w:b/>
                <w:sz w:val="20"/>
                <w:szCs w:val="20"/>
              </w:rPr>
              <w:t>Rpts</w:t>
            </w:r>
            <w:proofErr w:type="spellEnd"/>
          </w:p>
        </w:tc>
        <w:tc>
          <w:tcPr>
            <w:tcW w:w="2724" w:type="dxa"/>
            <w:gridSpan w:val="2"/>
          </w:tcPr>
          <w:p w:rsidR="006B3F74" w:rsidRPr="007D560F" w:rsidRDefault="006B3F74" w:rsidP="0042646E">
            <w:pPr>
              <w:keepNext/>
              <w:rPr>
                <w:rFonts w:ascii="Arial" w:hAnsi="Arial" w:cs="Arial"/>
                <w:b/>
                <w:sz w:val="20"/>
                <w:szCs w:val="20"/>
                <w:lang w:val="fr-FR"/>
              </w:rPr>
            </w:pPr>
            <w:r w:rsidRPr="007D560F">
              <w:rPr>
                <w:rFonts w:ascii="Arial" w:hAnsi="Arial" w:cs="Arial"/>
                <w:b/>
                <w:sz w:val="20"/>
                <w:szCs w:val="20"/>
              </w:rPr>
              <w:t>Proprietary Name and Manufacturer</w:t>
            </w:r>
          </w:p>
        </w:tc>
      </w:tr>
      <w:tr w:rsidR="006B3F74" w:rsidRPr="0042646E" w:rsidTr="003D3714">
        <w:trPr>
          <w:cantSplit/>
          <w:trHeight w:val="600"/>
        </w:trPr>
        <w:tc>
          <w:tcPr>
            <w:tcW w:w="3711" w:type="dxa"/>
          </w:tcPr>
          <w:p w:rsidR="006B3F74" w:rsidRPr="0042646E" w:rsidRDefault="006B3F74" w:rsidP="0042646E">
            <w:pPr>
              <w:keepNext/>
              <w:ind w:left="-108"/>
              <w:jc w:val="both"/>
              <w:rPr>
                <w:rFonts w:ascii="Arial" w:hAnsi="Arial" w:cs="Arial"/>
                <w:smallCaps/>
                <w:sz w:val="20"/>
                <w:szCs w:val="20"/>
              </w:rPr>
            </w:pPr>
            <w:r w:rsidRPr="0042646E">
              <w:rPr>
                <w:rFonts w:ascii="Arial" w:hAnsi="Arial" w:cs="Arial"/>
                <w:smallCaps/>
                <w:sz w:val="20"/>
                <w:szCs w:val="20"/>
              </w:rPr>
              <w:t>VORTIOXETINE</w:t>
            </w:r>
          </w:p>
          <w:p w:rsidR="006B3F74" w:rsidRPr="0042646E" w:rsidRDefault="006B3F74" w:rsidP="0042646E">
            <w:pPr>
              <w:keepNext/>
              <w:ind w:left="-108"/>
              <w:jc w:val="both"/>
              <w:rPr>
                <w:rFonts w:ascii="Arial" w:hAnsi="Arial" w:cs="Arial"/>
                <w:smallCaps/>
                <w:sz w:val="20"/>
                <w:szCs w:val="20"/>
              </w:rPr>
            </w:pPr>
          </w:p>
          <w:p w:rsidR="006B3F74" w:rsidRPr="0042646E" w:rsidRDefault="006B3F74" w:rsidP="0042646E">
            <w:pPr>
              <w:keepNext/>
              <w:ind w:left="-108"/>
              <w:jc w:val="both"/>
              <w:rPr>
                <w:rFonts w:ascii="Arial" w:hAnsi="Arial" w:cs="Arial"/>
                <w:sz w:val="20"/>
                <w:szCs w:val="20"/>
              </w:rPr>
            </w:pPr>
            <w:proofErr w:type="spellStart"/>
            <w:r w:rsidRPr="0042646E">
              <w:rPr>
                <w:rFonts w:ascii="Arial" w:hAnsi="Arial" w:cs="Arial"/>
                <w:sz w:val="20"/>
                <w:szCs w:val="20"/>
              </w:rPr>
              <w:t>Vortioxetine</w:t>
            </w:r>
            <w:proofErr w:type="spellEnd"/>
            <w:r w:rsidRPr="0042646E">
              <w:rPr>
                <w:rFonts w:ascii="Arial" w:hAnsi="Arial" w:cs="Arial"/>
                <w:sz w:val="20"/>
                <w:szCs w:val="20"/>
              </w:rPr>
              <w:t xml:space="preserve"> 5 mg tablet, 28</w:t>
            </w:r>
          </w:p>
          <w:p w:rsidR="006B3F74" w:rsidRPr="0042646E" w:rsidRDefault="006B3F74" w:rsidP="0042646E">
            <w:pPr>
              <w:keepNext/>
              <w:ind w:left="-108"/>
              <w:jc w:val="both"/>
              <w:rPr>
                <w:rFonts w:ascii="Arial" w:hAnsi="Arial" w:cs="Arial"/>
                <w:sz w:val="20"/>
                <w:szCs w:val="20"/>
              </w:rPr>
            </w:pPr>
            <w:proofErr w:type="spellStart"/>
            <w:r w:rsidRPr="0042646E">
              <w:rPr>
                <w:rFonts w:ascii="Arial" w:hAnsi="Arial" w:cs="Arial"/>
                <w:sz w:val="20"/>
                <w:szCs w:val="20"/>
              </w:rPr>
              <w:t>Vortioxetine</w:t>
            </w:r>
            <w:proofErr w:type="spellEnd"/>
            <w:r w:rsidRPr="0042646E">
              <w:rPr>
                <w:rFonts w:ascii="Arial" w:hAnsi="Arial" w:cs="Arial"/>
                <w:sz w:val="20"/>
                <w:szCs w:val="20"/>
              </w:rPr>
              <w:t xml:space="preserve"> 10 mg tablet, 28</w:t>
            </w:r>
          </w:p>
          <w:p w:rsidR="006B3F74" w:rsidRPr="0042646E" w:rsidRDefault="006B3F74" w:rsidP="0042646E">
            <w:pPr>
              <w:keepNext/>
              <w:ind w:left="-108"/>
              <w:jc w:val="both"/>
              <w:rPr>
                <w:rFonts w:ascii="Arial" w:hAnsi="Arial" w:cs="Arial"/>
                <w:sz w:val="20"/>
                <w:szCs w:val="20"/>
              </w:rPr>
            </w:pPr>
            <w:proofErr w:type="spellStart"/>
            <w:r w:rsidRPr="0042646E">
              <w:rPr>
                <w:rFonts w:ascii="Arial" w:hAnsi="Arial" w:cs="Arial"/>
                <w:sz w:val="20"/>
                <w:szCs w:val="20"/>
              </w:rPr>
              <w:t>Vortioxetine</w:t>
            </w:r>
            <w:proofErr w:type="spellEnd"/>
            <w:r w:rsidRPr="0042646E">
              <w:rPr>
                <w:rFonts w:ascii="Arial" w:hAnsi="Arial" w:cs="Arial"/>
                <w:sz w:val="20"/>
                <w:szCs w:val="20"/>
              </w:rPr>
              <w:t xml:space="preserve"> 15 mg tablet, 28</w:t>
            </w:r>
          </w:p>
          <w:p w:rsidR="006B3F74" w:rsidRPr="0042646E" w:rsidRDefault="006B3F74" w:rsidP="0042646E">
            <w:pPr>
              <w:keepNext/>
              <w:ind w:left="-108"/>
              <w:jc w:val="both"/>
              <w:rPr>
                <w:rFonts w:ascii="Arial" w:hAnsi="Arial" w:cs="Arial"/>
                <w:sz w:val="20"/>
                <w:szCs w:val="20"/>
              </w:rPr>
            </w:pPr>
            <w:proofErr w:type="spellStart"/>
            <w:r w:rsidRPr="0042646E">
              <w:rPr>
                <w:rFonts w:ascii="Arial" w:hAnsi="Arial" w:cs="Arial"/>
                <w:sz w:val="20"/>
                <w:szCs w:val="20"/>
              </w:rPr>
              <w:t>Vortioxetine</w:t>
            </w:r>
            <w:proofErr w:type="spellEnd"/>
            <w:r w:rsidRPr="0042646E">
              <w:rPr>
                <w:rFonts w:ascii="Arial" w:hAnsi="Arial" w:cs="Arial"/>
                <w:sz w:val="20"/>
                <w:szCs w:val="20"/>
              </w:rPr>
              <w:t xml:space="preserve"> 20 mg tablet, 28</w:t>
            </w:r>
          </w:p>
        </w:tc>
        <w:tc>
          <w:tcPr>
            <w:tcW w:w="1037" w:type="dxa"/>
          </w:tcPr>
          <w:p w:rsidR="006B3F74" w:rsidRPr="0042646E" w:rsidRDefault="006B3F74" w:rsidP="0042646E">
            <w:pPr>
              <w:keepNext/>
              <w:ind w:left="-108"/>
              <w:jc w:val="both"/>
              <w:rPr>
                <w:rFonts w:ascii="Arial" w:hAnsi="Arial" w:cs="Arial"/>
                <w:sz w:val="20"/>
                <w:szCs w:val="20"/>
              </w:rPr>
            </w:pPr>
          </w:p>
          <w:p w:rsidR="006B3F74" w:rsidRPr="0042646E" w:rsidRDefault="006B3F74" w:rsidP="0042646E">
            <w:pPr>
              <w:keepNext/>
              <w:ind w:left="-108"/>
              <w:jc w:val="both"/>
              <w:rPr>
                <w:rFonts w:ascii="Arial" w:hAnsi="Arial" w:cs="Arial"/>
                <w:sz w:val="20"/>
                <w:szCs w:val="20"/>
              </w:rPr>
            </w:pP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1</w:t>
            </w: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1</w:t>
            </w: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1</w:t>
            </w: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1</w:t>
            </w:r>
          </w:p>
        </w:tc>
        <w:tc>
          <w:tcPr>
            <w:tcW w:w="968" w:type="dxa"/>
          </w:tcPr>
          <w:p w:rsidR="006B3F74" w:rsidRPr="0042646E" w:rsidRDefault="006B3F74" w:rsidP="0042646E">
            <w:pPr>
              <w:keepNext/>
              <w:ind w:left="-108"/>
              <w:jc w:val="both"/>
              <w:rPr>
                <w:rFonts w:ascii="Arial" w:hAnsi="Arial" w:cs="Arial"/>
                <w:sz w:val="20"/>
                <w:szCs w:val="20"/>
              </w:rPr>
            </w:pPr>
          </w:p>
          <w:p w:rsidR="006B3F74" w:rsidRPr="0042646E" w:rsidRDefault="006B3F74" w:rsidP="0042646E">
            <w:pPr>
              <w:keepNext/>
              <w:ind w:left="-108"/>
              <w:jc w:val="both"/>
              <w:rPr>
                <w:rFonts w:ascii="Arial" w:hAnsi="Arial" w:cs="Arial"/>
                <w:sz w:val="20"/>
                <w:szCs w:val="20"/>
              </w:rPr>
            </w:pP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5</w:t>
            </w: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5</w:t>
            </w: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5</w:t>
            </w:r>
          </w:p>
          <w:p w:rsidR="006B3F74" w:rsidRPr="0042646E" w:rsidRDefault="006B3F74" w:rsidP="0042646E">
            <w:pPr>
              <w:keepNext/>
              <w:ind w:left="-108"/>
              <w:jc w:val="both"/>
              <w:rPr>
                <w:rFonts w:ascii="Arial" w:hAnsi="Arial" w:cs="Arial"/>
                <w:sz w:val="20"/>
                <w:szCs w:val="20"/>
              </w:rPr>
            </w:pPr>
            <w:r w:rsidRPr="0042646E">
              <w:rPr>
                <w:rFonts w:ascii="Arial" w:hAnsi="Arial" w:cs="Arial"/>
                <w:sz w:val="20"/>
                <w:szCs w:val="20"/>
              </w:rPr>
              <w:t>5</w:t>
            </w:r>
          </w:p>
        </w:tc>
        <w:tc>
          <w:tcPr>
            <w:tcW w:w="1774" w:type="dxa"/>
          </w:tcPr>
          <w:p w:rsidR="006B3F74" w:rsidRPr="0042646E" w:rsidRDefault="006B3F74" w:rsidP="0042646E">
            <w:pPr>
              <w:keepNext/>
              <w:jc w:val="both"/>
              <w:rPr>
                <w:rFonts w:ascii="Arial" w:hAnsi="Arial" w:cs="Arial"/>
                <w:sz w:val="20"/>
                <w:szCs w:val="20"/>
              </w:rPr>
            </w:pPr>
          </w:p>
          <w:p w:rsidR="006B3F74" w:rsidRPr="0042646E" w:rsidRDefault="006B3F74" w:rsidP="0042646E">
            <w:pPr>
              <w:keepNext/>
              <w:jc w:val="both"/>
              <w:rPr>
                <w:rFonts w:ascii="Arial" w:hAnsi="Arial" w:cs="Arial"/>
                <w:sz w:val="20"/>
                <w:szCs w:val="20"/>
              </w:rPr>
            </w:pPr>
          </w:p>
          <w:p w:rsidR="006B3F74" w:rsidRPr="0042646E" w:rsidRDefault="006B3F74" w:rsidP="0042646E">
            <w:pPr>
              <w:keepNext/>
              <w:jc w:val="both"/>
              <w:rPr>
                <w:rFonts w:ascii="Arial" w:hAnsi="Arial" w:cs="Arial"/>
                <w:sz w:val="20"/>
                <w:szCs w:val="20"/>
              </w:rPr>
            </w:pPr>
            <w:proofErr w:type="spellStart"/>
            <w:r w:rsidRPr="0042646E">
              <w:rPr>
                <w:rFonts w:ascii="Arial" w:hAnsi="Arial" w:cs="Arial"/>
                <w:sz w:val="20"/>
                <w:szCs w:val="20"/>
              </w:rPr>
              <w:t>Brintellix</w:t>
            </w:r>
            <w:proofErr w:type="spellEnd"/>
          </w:p>
          <w:p w:rsidR="006B3F74" w:rsidRPr="0042646E" w:rsidRDefault="006B3F74" w:rsidP="0042646E">
            <w:pPr>
              <w:keepNext/>
              <w:jc w:val="both"/>
              <w:rPr>
                <w:rFonts w:ascii="Arial" w:hAnsi="Arial" w:cs="Arial"/>
                <w:sz w:val="20"/>
                <w:szCs w:val="20"/>
              </w:rPr>
            </w:pPr>
            <w:proofErr w:type="spellStart"/>
            <w:r w:rsidRPr="0042646E">
              <w:rPr>
                <w:rFonts w:ascii="Arial" w:hAnsi="Arial" w:cs="Arial"/>
                <w:sz w:val="20"/>
                <w:szCs w:val="20"/>
              </w:rPr>
              <w:t>Brintellix</w:t>
            </w:r>
            <w:proofErr w:type="spellEnd"/>
          </w:p>
          <w:p w:rsidR="006B3F74" w:rsidRPr="0042646E" w:rsidRDefault="006B3F74" w:rsidP="0042646E">
            <w:pPr>
              <w:keepNext/>
              <w:jc w:val="both"/>
              <w:rPr>
                <w:rFonts w:ascii="Arial" w:hAnsi="Arial" w:cs="Arial"/>
                <w:sz w:val="20"/>
                <w:szCs w:val="20"/>
              </w:rPr>
            </w:pPr>
            <w:proofErr w:type="spellStart"/>
            <w:r w:rsidRPr="0042646E">
              <w:rPr>
                <w:rFonts w:ascii="Arial" w:hAnsi="Arial" w:cs="Arial"/>
                <w:sz w:val="20"/>
                <w:szCs w:val="20"/>
              </w:rPr>
              <w:t>Brintellix</w:t>
            </w:r>
            <w:proofErr w:type="spellEnd"/>
          </w:p>
          <w:p w:rsidR="006B3F74" w:rsidRPr="0042646E" w:rsidRDefault="006B3F74" w:rsidP="0042646E">
            <w:pPr>
              <w:keepNext/>
              <w:jc w:val="both"/>
              <w:rPr>
                <w:rFonts w:ascii="Arial" w:hAnsi="Arial" w:cs="Arial"/>
                <w:sz w:val="20"/>
                <w:szCs w:val="20"/>
              </w:rPr>
            </w:pPr>
            <w:proofErr w:type="spellStart"/>
            <w:r w:rsidRPr="0042646E">
              <w:rPr>
                <w:rFonts w:ascii="Arial" w:hAnsi="Arial" w:cs="Arial"/>
                <w:sz w:val="20"/>
                <w:szCs w:val="20"/>
              </w:rPr>
              <w:t>Brintellix</w:t>
            </w:r>
            <w:proofErr w:type="spellEnd"/>
          </w:p>
        </w:tc>
        <w:tc>
          <w:tcPr>
            <w:tcW w:w="950" w:type="dxa"/>
          </w:tcPr>
          <w:p w:rsidR="006B3F74" w:rsidRPr="0042646E" w:rsidRDefault="006B3F74" w:rsidP="0042646E">
            <w:pPr>
              <w:keepNext/>
              <w:jc w:val="both"/>
              <w:rPr>
                <w:rFonts w:ascii="Arial" w:hAnsi="Arial" w:cs="Arial"/>
                <w:sz w:val="20"/>
                <w:szCs w:val="20"/>
              </w:rPr>
            </w:pPr>
          </w:p>
          <w:p w:rsidR="006B3F74" w:rsidRPr="0042646E" w:rsidRDefault="006B3F74" w:rsidP="0042646E">
            <w:pPr>
              <w:keepNext/>
              <w:jc w:val="both"/>
              <w:rPr>
                <w:rFonts w:ascii="Arial" w:hAnsi="Arial" w:cs="Arial"/>
                <w:sz w:val="20"/>
                <w:szCs w:val="20"/>
              </w:rPr>
            </w:pPr>
          </w:p>
          <w:p w:rsidR="006B3F74" w:rsidRPr="0042646E" w:rsidRDefault="006B3F74" w:rsidP="0042646E">
            <w:pPr>
              <w:keepNext/>
              <w:jc w:val="both"/>
              <w:rPr>
                <w:rFonts w:ascii="Arial" w:hAnsi="Arial" w:cs="Arial"/>
                <w:sz w:val="20"/>
                <w:szCs w:val="20"/>
              </w:rPr>
            </w:pPr>
            <w:r w:rsidRPr="0042646E">
              <w:rPr>
                <w:rFonts w:ascii="Arial" w:hAnsi="Arial" w:cs="Arial"/>
                <w:sz w:val="20"/>
                <w:szCs w:val="20"/>
              </w:rPr>
              <w:t>LU</w:t>
            </w:r>
          </w:p>
          <w:p w:rsidR="006B3F74" w:rsidRPr="0042646E" w:rsidRDefault="006B3F74" w:rsidP="0042646E">
            <w:pPr>
              <w:keepNext/>
              <w:jc w:val="both"/>
              <w:rPr>
                <w:rFonts w:ascii="Arial" w:hAnsi="Arial" w:cs="Arial"/>
                <w:sz w:val="20"/>
                <w:szCs w:val="20"/>
              </w:rPr>
            </w:pPr>
            <w:r w:rsidRPr="0042646E">
              <w:rPr>
                <w:rFonts w:ascii="Arial" w:hAnsi="Arial" w:cs="Arial"/>
                <w:sz w:val="20"/>
                <w:szCs w:val="20"/>
              </w:rPr>
              <w:t>LU</w:t>
            </w:r>
          </w:p>
          <w:p w:rsidR="006B3F74" w:rsidRPr="0042646E" w:rsidRDefault="006B3F74" w:rsidP="0042646E">
            <w:pPr>
              <w:keepNext/>
              <w:jc w:val="both"/>
              <w:rPr>
                <w:rFonts w:ascii="Arial" w:hAnsi="Arial" w:cs="Arial"/>
                <w:sz w:val="20"/>
                <w:szCs w:val="20"/>
              </w:rPr>
            </w:pPr>
            <w:r w:rsidRPr="0042646E">
              <w:rPr>
                <w:rFonts w:ascii="Arial" w:hAnsi="Arial" w:cs="Arial"/>
                <w:sz w:val="20"/>
                <w:szCs w:val="20"/>
              </w:rPr>
              <w:t>LU</w:t>
            </w:r>
          </w:p>
          <w:p w:rsidR="006B3F74" w:rsidRPr="0042646E" w:rsidRDefault="006B3F74" w:rsidP="0042646E">
            <w:pPr>
              <w:keepNext/>
              <w:jc w:val="both"/>
              <w:rPr>
                <w:rFonts w:ascii="Arial" w:hAnsi="Arial" w:cs="Arial"/>
                <w:sz w:val="20"/>
                <w:szCs w:val="20"/>
              </w:rPr>
            </w:pPr>
            <w:r w:rsidRPr="0042646E">
              <w:rPr>
                <w:rFonts w:ascii="Arial" w:hAnsi="Arial" w:cs="Arial"/>
                <w:sz w:val="20"/>
                <w:szCs w:val="20"/>
              </w:rPr>
              <w:t>LU</w:t>
            </w:r>
          </w:p>
        </w:tc>
      </w:tr>
    </w:tbl>
    <w:p w:rsidR="0042646E" w:rsidRPr="00EA6434" w:rsidRDefault="0042646E" w:rsidP="0042646E">
      <w:pPr>
        <w:ind w:left="709"/>
        <w:jc w:val="both"/>
        <w:rPr>
          <w:rFonts w:ascii="Arial Narrow" w:hAnsi="Arial Narrow" w:cs="Arial"/>
          <w:b/>
          <w:i/>
          <w:sz w:val="20"/>
          <w:szCs w:val="20"/>
        </w:rPr>
      </w:pPr>
      <w:r w:rsidRPr="00EA6434">
        <w:rPr>
          <w:rFonts w:ascii="Arial Narrow" w:hAnsi="Arial Narrow" w:cs="Arial"/>
          <w:b/>
          <w:i/>
          <w:sz w:val="20"/>
          <w:szCs w:val="20"/>
        </w:rPr>
        <w:t>*</w:t>
      </w:r>
      <w:r w:rsidRPr="00EA6434">
        <w:rPr>
          <w:rFonts w:ascii="Arial Narrow" w:hAnsi="Arial Narrow" w:cs="Arial"/>
          <w:i/>
          <w:sz w:val="20"/>
          <w:szCs w:val="20"/>
        </w:rPr>
        <w:t>Denotes published price.  The submission sought a special pricing arrangement.</w:t>
      </w:r>
    </w:p>
    <w:p w:rsidR="0042646E" w:rsidRPr="00EA6434" w:rsidRDefault="0042646E" w:rsidP="0042646E">
      <w:pPr>
        <w:ind w:left="709"/>
        <w:jc w:val="both"/>
        <w:rPr>
          <w:rFonts w:ascii="Arial Narrow" w:hAnsi="Arial Narrow" w:cs="Arial"/>
          <w:b/>
          <w:sz w:val="20"/>
          <w:szCs w:val="20"/>
        </w:rPr>
      </w:pP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b/>
          <w:sz w:val="20"/>
          <w:szCs w:val="20"/>
          <w:u w:val="single"/>
        </w:rPr>
      </w:pPr>
      <w:r w:rsidRPr="00EA6434">
        <w:rPr>
          <w:rFonts w:ascii="Arial Narrow" w:hAnsi="Arial Narrow" w:cs="Arial"/>
          <w:b/>
          <w:sz w:val="20"/>
          <w:szCs w:val="20"/>
          <w:u w:val="single"/>
        </w:rPr>
        <w:t>Authority required</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r w:rsidRPr="00EA6434">
        <w:rPr>
          <w:rFonts w:ascii="Arial Narrow" w:hAnsi="Arial Narrow" w:cs="Arial"/>
          <w:sz w:val="20"/>
          <w:szCs w:val="20"/>
        </w:rPr>
        <w:t>Major depressive disorder</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b/>
          <w:sz w:val="20"/>
          <w:szCs w:val="20"/>
        </w:rPr>
      </w:pPr>
      <w:r w:rsidRPr="00EA6434">
        <w:rPr>
          <w:rFonts w:ascii="Arial Narrow" w:hAnsi="Arial Narrow" w:cs="Arial"/>
          <w:b/>
          <w:sz w:val="20"/>
          <w:szCs w:val="20"/>
        </w:rPr>
        <w:t>Clinical criteria:</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r w:rsidRPr="00EA6434">
        <w:rPr>
          <w:rFonts w:ascii="Arial Narrow" w:hAnsi="Arial Narrow" w:cs="Arial"/>
          <w:sz w:val="20"/>
          <w:szCs w:val="20"/>
        </w:rPr>
        <w:t>Patient must have received and not responded to an initial antidepressant medication</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r w:rsidRPr="00EA6434">
        <w:rPr>
          <w:rFonts w:ascii="Arial Narrow" w:hAnsi="Arial Narrow" w:cs="Arial"/>
          <w:sz w:val="20"/>
          <w:szCs w:val="20"/>
        </w:rPr>
        <w:t>OR</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r w:rsidRPr="00EA6434">
        <w:rPr>
          <w:rFonts w:ascii="Arial Narrow" w:hAnsi="Arial Narrow" w:cs="Arial"/>
          <w:sz w:val="20"/>
          <w:szCs w:val="20"/>
        </w:rPr>
        <w:t xml:space="preserve">Patient must be intolerant or contraindicated to other initial antidepressant therapy </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b/>
          <w:sz w:val="20"/>
          <w:szCs w:val="20"/>
        </w:rPr>
      </w:pPr>
      <w:r w:rsidRPr="00EA6434">
        <w:rPr>
          <w:rFonts w:ascii="Arial Narrow" w:hAnsi="Arial Narrow" w:cs="Arial"/>
          <w:b/>
          <w:sz w:val="20"/>
          <w:szCs w:val="20"/>
        </w:rPr>
        <w:t>Population criteria:</w:t>
      </w:r>
    </w:p>
    <w:p w:rsidR="0042646E" w:rsidRPr="00EA6434" w:rsidRDefault="0042646E" w:rsidP="007D560F">
      <w:pPr>
        <w:pBdr>
          <w:top w:val="single" w:sz="4" w:space="1" w:color="auto"/>
          <w:left w:val="single" w:sz="4" w:space="1" w:color="auto"/>
          <w:bottom w:val="single" w:sz="4" w:space="1" w:color="auto"/>
          <w:right w:val="single" w:sz="4" w:space="4" w:color="auto"/>
        </w:pBdr>
        <w:ind w:left="709"/>
        <w:jc w:val="both"/>
        <w:rPr>
          <w:rFonts w:ascii="Arial Narrow" w:hAnsi="Arial Narrow" w:cs="Arial"/>
          <w:sz w:val="20"/>
          <w:szCs w:val="20"/>
        </w:rPr>
      </w:pPr>
      <w:r w:rsidRPr="00EA6434">
        <w:rPr>
          <w:rFonts w:ascii="Arial Narrow" w:hAnsi="Arial Narrow" w:cs="Arial"/>
          <w:sz w:val="20"/>
          <w:szCs w:val="20"/>
        </w:rPr>
        <w:t>Patient must be aged 18 years old or greater</w:t>
      </w:r>
    </w:p>
    <w:p w:rsidR="0042646E" w:rsidRPr="0042646E" w:rsidRDefault="0042646E" w:rsidP="0042646E">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7D560F" w:rsidRPr="00882085" w:rsidRDefault="007D560F"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0B6397" w:rsidRPr="000B6397" w:rsidRDefault="000B6397" w:rsidP="00C5063D">
      <w:pPr>
        <w:pStyle w:val="ListParagraph"/>
        <w:numPr>
          <w:ilvl w:val="1"/>
          <w:numId w:val="25"/>
        </w:numPr>
        <w:jc w:val="both"/>
        <w:rPr>
          <w:rFonts w:ascii="Arial" w:hAnsi="Arial"/>
          <w:sz w:val="22"/>
          <w:szCs w:val="22"/>
        </w:rPr>
      </w:pPr>
      <w:proofErr w:type="spellStart"/>
      <w:r w:rsidRPr="000B6397">
        <w:rPr>
          <w:rFonts w:ascii="Arial" w:hAnsi="Arial"/>
          <w:sz w:val="22"/>
          <w:szCs w:val="22"/>
        </w:rPr>
        <w:t>Vortioxet</w:t>
      </w:r>
      <w:r>
        <w:rPr>
          <w:rFonts w:ascii="Arial" w:hAnsi="Arial"/>
          <w:sz w:val="22"/>
          <w:szCs w:val="22"/>
        </w:rPr>
        <w:t>ine</w:t>
      </w:r>
      <w:proofErr w:type="spellEnd"/>
      <w:r>
        <w:rPr>
          <w:rFonts w:ascii="Arial" w:hAnsi="Arial"/>
          <w:sz w:val="22"/>
          <w:szCs w:val="22"/>
        </w:rPr>
        <w:t xml:space="preserve"> was TGA registered on 31 March </w:t>
      </w:r>
      <w:r w:rsidRPr="000B6397">
        <w:rPr>
          <w:rFonts w:ascii="Arial" w:hAnsi="Arial"/>
          <w:sz w:val="22"/>
          <w:szCs w:val="22"/>
        </w:rPr>
        <w:t>2014 for the treatment of major depressive disorder in adults including prevention of relapse</w:t>
      </w:r>
      <w:r>
        <w:rPr>
          <w:rFonts w:ascii="Arial" w:hAnsi="Arial"/>
          <w:sz w:val="22"/>
          <w:szCs w:val="22"/>
        </w:rPr>
        <w:t xml:space="preserve">. </w:t>
      </w:r>
    </w:p>
    <w:p w:rsidR="000B6397" w:rsidRPr="00882085" w:rsidRDefault="000B6397" w:rsidP="00C5063D">
      <w:pPr>
        <w:pStyle w:val="ListParagraph"/>
        <w:jc w:val="both"/>
        <w:rPr>
          <w:rFonts w:ascii="Arial" w:hAnsi="Arial"/>
          <w:sz w:val="22"/>
          <w:szCs w:val="22"/>
        </w:rPr>
      </w:pPr>
    </w:p>
    <w:p w:rsidR="00CE6459" w:rsidRPr="00CE6459" w:rsidRDefault="0037278A" w:rsidP="00CE6459">
      <w:pPr>
        <w:pStyle w:val="ListParagraph"/>
        <w:numPr>
          <w:ilvl w:val="1"/>
          <w:numId w:val="25"/>
        </w:numPr>
        <w:jc w:val="both"/>
        <w:rPr>
          <w:rFonts w:ascii="Arial" w:hAnsi="Arial"/>
          <w:b/>
          <w:sz w:val="22"/>
          <w:szCs w:val="22"/>
        </w:rPr>
      </w:pPr>
      <w:proofErr w:type="spellStart"/>
      <w:r w:rsidRPr="0037278A">
        <w:rPr>
          <w:rFonts w:ascii="Arial" w:hAnsi="Arial"/>
          <w:sz w:val="22"/>
          <w:szCs w:val="22"/>
        </w:rPr>
        <w:t>Vortioxetine</w:t>
      </w:r>
      <w:proofErr w:type="spellEnd"/>
      <w:r w:rsidRPr="0037278A">
        <w:rPr>
          <w:rFonts w:ascii="Arial" w:hAnsi="Arial"/>
          <w:sz w:val="22"/>
          <w:szCs w:val="22"/>
        </w:rPr>
        <w:t xml:space="preserve"> has not been considered by the PBAC previously.</w:t>
      </w:r>
    </w:p>
    <w:p w:rsidR="007D560F" w:rsidRPr="00CE6459" w:rsidRDefault="00CE6459" w:rsidP="00CE6459">
      <w:pPr>
        <w:jc w:val="both"/>
        <w:rPr>
          <w:rFonts w:ascii="Arial" w:hAnsi="Arial"/>
          <w:b/>
          <w:sz w:val="22"/>
          <w:szCs w:val="22"/>
        </w:rPr>
      </w:pPr>
      <w:r w:rsidRPr="00CE6459">
        <w:rPr>
          <w:rFonts w:ascii="Arial" w:hAnsi="Arial"/>
          <w:b/>
          <w:sz w:val="22"/>
          <w:szCs w:val="22"/>
        </w:rPr>
        <w:t xml:space="preserve"> </w:t>
      </w: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37278A" w:rsidRPr="00A8667F" w:rsidRDefault="0037278A" w:rsidP="00A8667F">
      <w:pPr>
        <w:jc w:val="both"/>
        <w:rPr>
          <w:rFonts w:ascii="Arial" w:hAnsi="Arial"/>
          <w:sz w:val="22"/>
          <w:szCs w:val="22"/>
        </w:rPr>
      </w:pPr>
    </w:p>
    <w:p w:rsidR="00EA6434" w:rsidRPr="00EA6434" w:rsidRDefault="0037278A" w:rsidP="00C5063D">
      <w:pPr>
        <w:pStyle w:val="ListParagraph"/>
        <w:numPr>
          <w:ilvl w:val="1"/>
          <w:numId w:val="25"/>
        </w:numPr>
        <w:jc w:val="both"/>
        <w:rPr>
          <w:rFonts w:ascii="Arial" w:hAnsi="Arial"/>
          <w:sz w:val="22"/>
          <w:szCs w:val="22"/>
        </w:rPr>
      </w:pPr>
      <w:r>
        <w:rPr>
          <w:rFonts w:ascii="Arial" w:hAnsi="Arial"/>
          <w:sz w:val="22"/>
          <w:szCs w:val="22"/>
        </w:rPr>
        <w:t>The submission proposed</w:t>
      </w:r>
      <w:r w:rsidRPr="0037278A">
        <w:rPr>
          <w:rFonts w:ascii="Arial" w:hAnsi="Arial"/>
          <w:sz w:val="22"/>
          <w:szCs w:val="22"/>
        </w:rPr>
        <w:t xml:space="preserve"> that the intended use for </w:t>
      </w:r>
      <w:proofErr w:type="spellStart"/>
      <w:r w:rsidRPr="0037278A">
        <w:rPr>
          <w:rFonts w:ascii="Arial" w:hAnsi="Arial"/>
          <w:sz w:val="22"/>
          <w:szCs w:val="22"/>
        </w:rPr>
        <w:t>vortioxetine</w:t>
      </w:r>
      <w:proofErr w:type="spellEnd"/>
      <w:r w:rsidRPr="0037278A">
        <w:rPr>
          <w:rFonts w:ascii="Arial" w:hAnsi="Arial"/>
          <w:sz w:val="22"/>
          <w:szCs w:val="22"/>
        </w:rPr>
        <w:t xml:space="preserve"> is as an alternative </w:t>
      </w:r>
      <w:r w:rsidR="00EA6434">
        <w:rPr>
          <w:rFonts w:ascii="Arial" w:hAnsi="Arial"/>
          <w:sz w:val="22"/>
          <w:szCs w:val="22"/>
        </w:rPr>
        <w:t>drug</w:t>
      </w:r>
      <w:r w:rsidRPr="0037278A">
        <w:rPr>
          <w:rFonts w:ascii="Arial" w:hAnsi="Arial"/>
          <w:sz w:val="22"/>
          <w:szCs w:val="22"/>
        </w:rPr>
        <w:t xml:space="preserve"> treatment to be used after non-response to an initial therapy or lack of tolerability </w:t>
      </w:r>
      <w:r w:rsidR="00A8667F">
        <w:rPr>
          <w:rFonts w:ascii="Arial" w:hAnsi="Arial"/>
          <w:sz w:val="22"/>
          <w:szCs w:val="22"/>
        </w:rPr>
        <w:t>of</w:t>
      </w:r>
      <w:r w:rsidRPr="0037278A">
        <w:rPr>
          <w:rFonts w:ascii="Arial" w:hAnsi="Arial"/>
          <w:sz w:val="22"/>
          <w:szCs w:val="22"/>
        </w:rPr>
        <w:t xml:space="preserve"> an alternative therapy.</w:t>
      </w:r>
      <w:r>
        <w:rPr>
          <w:rFonts w:ascii="Arial" w:hAnsi="Arial"/>
          <w:sz w:val="22"/>
          <w:szCs w:val="22"/>
        </w:rPr>
        <w:t xml:space="preserve"> </w:t>
      </w:r>
    </w:p>
    <w:p w:rsidR="00EA6434" w:rsidRPr="00EA6434" w:rsidRDefault="00EA6434" w:rsidP="00EA6434">
      <w:pPr>
        <w:pStyle w:val="ListParagraph"/>
        <w:jc w:val="both"/>
        <w:rPr>
          <w:rFonts w:ascii="Arial" w:hAnsi="Arial"/>
          <w:sz w:val="22"/>
          <w:szCs w:val="22"/>
        </w:rPr>
      </w:pPr>
    </w:p>
    <w:p w:rsidR="00A8667F" w:rsidRDefault="00A8667F" w:rsidP="00A8667F">
      <w:pPr>
        <w:pStyle w:val="ListParagraph"/>
        <w:numPr>
          <w:ilvl w:val="1"/>
          <w:numId w:val="25"/>
        </w:numPr>
        <w:jc w:val="both"/>
        <w:rPr>
          <w:rFonts w:ascii="Arial" w:hAnsi="Arial"/>
          <w:sz w:val="22"/>
          <w:szCs w:val="22"/>
        </w:rPr>
      </w:pPr>
      <w:r w:rsidRPr="00A8667F">
        <w:rPr>
          <w:rFonts w:ascii="Arial" w:hAnsi="Arial"/>
          <w:sz w:val="22"/>
          <w:szCs w:val="22"/>
        </w:rPr>
        <w:lastRenderedPageBreak/>
        <w:t xml:space="preserve">Several trials, </w:t>
      </w:r>
      <w:r>
        <w:rPr>
          <w:rFonts w:ascii="Arial" w:hAnsi="Arial"/>
          <w:sz w:val="22"/>
          <w:szCs w:val="22"/>
        </w:rPr>
        <w:t>presented</w:t>
      </w:r>
      <w:r w:rsidRPr="00A8667F">
        <w:rPr>
          <w:rFonts w:ascii="Arial" w:hAnsi="Arial"/>
          <w:sz w:val="22"/>
          <w:szCs w:val="22"/>
        </w:rPr>
        <w:t xml:space="preserve"> in support of the proposed listing</w:t>
      </w:r>
      <w:r>
        <w:rPr>
          <w:rFonts w:ascii="Arial" w:hAnsi="Arial"/>
          <w:sz w:val="22"/>
          <w:szCs w:val="22"/>
        </w:rPr>
        <w:t xml:space="preserve">, did not </w:t>
      </w:r>
      <w:r w:rsidR="00EA6434" w:rsidRPr="00EA6434">
        <w:rPr>
          <w:rFonts w:ascii="Arial" w:hAnsi="Arial"/>
          <w:sz w:val="22"/>
          <w:szCs w:val="22"/>
        </w:rPr>
        <w:t>exclude tr</w:t>
      </w:r>
      <w:r>
        <w:rPr>
          <w:rFonts w:ascii="Arial" w:hAnsi="Arial"/>
          <w:sz w:val="22"/>
          <w:szCs w:val="22"/>
        </w:rPr>
        <w:t>eatment-naïve patients. This suggests</w:t>
      </w:r>
      <w:r w:rsidR="00EA6434" w:rsidRPr="00EA6434">
        <w:rPr>
          <w:rFonts w:ascii="Arial" w:hAnsi="Arial"/>
          <w:sz w:val="22"/>
          <w:szCs w:val="22"/>
        </w:rPr>
        <w:t xml:space="preserve"> that </w:t>
      </w:r>
      <w:proofErr w:type="spellStart"/>
      <w:r w:rsidR="00EA6434" w:rsidRPr="00EA6434">
        <w:rPr>
          <w:rFonts w:ascii="Arial" w:hAnsi="Arial"/>
          <w:sz w:val="22"/>
          <w:szCs w:val="22"/>
        </w:rPr>
        <w:t>vortioxetine</w:t>
      </w:r>
      <w:proofErr w:type="spellEnd"/>
      <w:r w:rsidR="00EA6434" w:rsidRPr="00EA6434">
        <w:rPr>
          <w:rFonts w:ascii="Arial" w:hAnsi="Arial"/>
          <w:sz w:val="22"/>
          <w:szCs w:val="22"/>
        </w:rPr>
        <w:t xml:space="preserve"> may be prescribed as a first-line drug treatment. </w:t>
      </w:r>
    </w:p>
    <w:p w:rsidR="00A8667F" w:rsidRDefault="00A8667F" w:rsidP="00A8667F">
      <w:pPr>
        <w:pStyle w:val="ListParagraph"/>
        <w:jc w:val="both"/>
        <w:rPr>
          <w:rFonts w:ascii="Arial" w:hAnsi="Arial"/>
          <w:sz w:val="22"/>
          <w:szCs w:val="22"/>
        </w:rPr>
      </w:pPr>
    </w:p>
    <w:p w:rsidR="00EA6434" w:rsidRDefault="00EA6434" w:rsidP="00A8667F">
      <w:pPr>
        <w:pStyle w:val="ListParagraph"/>
        <w:numPr>
          <w:ilvl w:val="1"/>
          <w:numId w:val="25"/>
        </w:numPr>
        <w:jc w:val="both"/>
        <w:rPr>
          <w:rFonts w:ascii="Arial" w:hAnsi="Arial"/>
          <w:sz w:val="22"/>
          <w:szCs w:val="22"/>
        </w:rPr>
      </w:pPr>
      <w:r>
        <w:rPr>
          <w:rFonts w:ascii="Arial" w:hAnsi="Arial"/>
          <w:sz w:val="22"/>
          <w:szCs w:val="22"/>
        </w:rPr>
        <w:t>The Pre-Sub-Committee Response</w:t>
      </w:r>
      <w:r w:rsidRPr="00EA6434">
        <w:rPr>
          <w:rFonts w:ascii="Arial" w:hAnsi="Arial"/>
          <w:sz w:val="22"/>
          <w:szCs w:val="22"/>
        </w:rPr>
        <w:t xml:space="preserve"> (PSCR, pg.2) claim</w:t>
      </w:r>
      <w:r>
        <w:rPr>
          <w:rFonts w:ascii="Arial" w:hAnsi="Arial"/>
          <w:sz w:val="22"/>
          <w:szCs w:val="22"/>
        </w:rPr>
        <w:t>ed</w:t>
      </w:r>
      <w:r w:rsidRPr="00EA6434">
        <w:rPr>
          <w:rFonts w:ascii="Arial" w:hAnsi="Arial"/>
          <w:sz w:val="22"/>
          <w:szCs w:val="22"/>
        </w:rPr>
        <w:t xml:space="preserve"> that “…the treatment history recorded in the trials was in respect to the current major depressive episode (MDE). It is possible, even probable, that a considerable proportion of patients recorded as treatment naïve for their current episode were treatment experienced with respect to previous episodes”</w:t>
      </w:r>
      <w:r>
        <w:rPr>
          <w:rFonts w:ascii="Arial" w:hAnsi="Arial"/>
          <w:sz w:val="22"/>
          <w:szCs w:val="22"/>
        </w:rPr>
        <w:t>.</w:t>
      </w:r>
      <w:r w:rsidR="00A8667F">
        <w:rPr>
          <w:rFonts w:ascii="Arial" w:hAnsi="Arial"/>
          <w:b/>
          <w:color w:val="FF00FF"/>
          <w:sz w:val="22"/>
          <w:szCs w:val="22"/>
        </w:rPr>
        <w:t xml:space="preserve"> </w:t>
      </w:r>
      <w:r w:rsidR="00A8667F" w:rsidRPr="00A8667F">
        <w:rPr>
          <w:rFonts w:ascii="Arial" w:hAnsi="Arial"/>
          <w:sz w:val="22"/>
          <w:szCs w:val="22"/>
        </w:rPr>
        <w:t>This did not clarify the issue of previous exposure to anti-depressants in the current episode</w:t>
      </w:r>
      <w:r w:rsidR="00A8667F">
        <w:rPr>
          <w:rFonts w:ascii="Arial" w:hAnsi="Arial"/>
          <w:sz w:val="22"/>
          <w:szCs w:val="22"/>
        </w:rPr>
        <w:t>.</w:t>
      </w:r>
    </w:p>
    <w:p w:rsidR="00EA6434" w:rsidRPr="00EA6434" w:rsidRDefault="00EA6434" w:rsidP="00EA6434">
      <w:pPr>
        <w:pStyle w:val="ListParagraph"/>
        <w:jc w:val="both"/>
        <w:rPr>
          <w:rFonts w:ascii="Arial" w:hAnsi="Arial"/>
          <w:sz w:val="22"/>
          <w:szCs w:val="22"/>
        </w:rPr>
      </w:pPr>
    </w:p>
    <w:p w:rsidR="006A12A5" w:rsidRPr="0037278A" w:rsidRDefault="005B55BC" w:rsidP="00EA6434">
      <w:pPr>
        <w:pStyle w:val="ListParagraph"/>
        <w:numPr>
          <w:ilvl w:val="1"/>
          <w:numId w:val="25"/>
        </w:numPr>
        <w:jc w:val="both"/>
        <w:rPr>
          <w:rFonts w:ascii="Arial" w:hAnsi="Arial"/>
          <w:sz w:val="22"/>
          <w:szCs w:val="22"/>
        </w:rPr>
      </w:pPr>
      <w:r>
        <w:rPr>
          <w:rFonts w:ascii="Arial" w:hAnsi="Arial"/>
          <w:sz w:val="22"/>
          <w:szCs w:val="22"/>
        </w:rPr>
        <w:t>T</w:t>
      </w:r>
      <w:r w:rsidR="00EA6434" w:rsidRPr="00EA6434">
        <w:rPr>
          <w:rFonts w:ascii="Arial" w:hAnsi="Arial"/>
          <w:sz w:val="22"/>
          <w:szCs w:val="22"/>
        </w:rPr>
        <w:t xml:space="preserve">he statement in the PSCR (pg.4) that “The submission proposes that </w:t>
      </w:r>
      <w:proofErr w:type="spellStart"/>
      <w:r w:rsidR="00EA6434" w:rsidRPr="00EA6434">
        <w:rPr>
          <w:rFonts w:ascii="Arial" w:hAnsi="Arial"/>
          <w:sz w:val="22"/>
          <w:szCs w:val="22"/>
        </w:rPr>
        <w:t>vortioxetine</w:t>
      </w:r>
      <w:proofErr w:type="spellEnd"/>
      <w:r w:rsidR="00EA6434" w:rsidRPr="00EA6434">
        <w:rPr>
          <w:rFonts w:ascii="Arial" w:hAnsi="Arial"/>
          <w:sz w:val="22"/>
          <w:szCs w:val="22"/>
        </w:rPr>
        <w:t xml:space="preserve"> belongs in the same place as </w:t>
      </w:r>
      <w:proofErr w:type="spellStart"/>
      <w:r w:rsidR="00EA6434" w:rsidRPr="00EA6434">
        <w:rPr>
          <w:rFonts w:ascii="Arial" w:hAnsi="Arial"/>
          <w:sz w:val="22"/>
          <w:szCs w:val="22"/>
        </w:rPr>
        <w:t>agomelatine</w:t>
      </w:r>
      <w:proofErr w:type="spellEnd"/>
      <w:r w:rsidR="00EA6434" w:rsidRPr="00EA6434">
        <w:rPr>
          <w:rFonts w:ascii="Arial" w:hAnsi="Arial"/>
          <w:sz w:val="22"/>
          <w:szCs w:val="22"/>
        </w:rPr>
        <w:t xml:space="preserve"> (not PBS funded</w:t>
      </w:r>
      <w:r w:rsidR="00E05F7F">
        <w:rPr>
          <w:rFonts w:ascii="Arial" w:hAnsi="Arial"/>
          <w:sz w:val="22"/>
          <w:szCs w:val="22"/>
        </w:rPr>
        <w:t xml:space="preserve">), </w:t>
      </w:r>
      <w:proofErr w:type="spellStart"/>
      <w:r w:rsidR="00E05F7F">
        <w:rPr>
          <w:rFonts w:ascii="Arial" w:hAnsi="Arial"/>
          <w:sz w:val="22"/>
          <w:szCs w:val="22"/>
        </w:rPr>
        <w:t>moclobemide</w:t>
      </w:r>
      <w:proofErr w:type="spellEnd"/>
      <w:r w:rsidR="00E05F7F">
        <w:rPr>
          <w:rFonts w:ascii="Arial" w:hAnsi="Arial"/>
          <w:sz w:val="22"/>
          <w:szCs w:val="22"/>
        </w:rPr>
        <w:t xml:space="preserve"> and </w:t>
      </w:r>
      <w:proofErr w:type="spellStart"/>
      <w:r w:rsidR="00E05F7F">
        <w:rPr>
          <w:rFonts w:ascii="Arial" w:hAnsi="Arial"/>
          <w:sz w:val="22"/>
          <w:szCs w:val="22"/>
        </w:rPr>
        <w:t>reboxetine</w:t>
      </w:r>
      <w:proofErr w:type="spellEnd"/>
      <w:r w:rsidR="00E05F7F">
        <w:rPr>
          <w:rFonts w:ascii="Arial" w:hAnsi="Arial"/>
          <w:sz w:val="22"/>
          <w:szCs w:val="22"/>
        </w:rPr>
        <w:t>” wa</w:t>
      </w:r>
      <w:r w:rsidR="00EA6434" w:rsidRPr="00EA6434">
        <w:rPr>
          <w:rFonts w:ascii="Arial" w:hAnsi="Arial"/>
          <w:sz w:val="22"/>
          <w:szCs w:val="22"/>
        </w:rPr>
        <w:t xml:space="preserve">s not consistent with the use of </w:t>
      </w:r>
      <w:proofErr w:type="spellStart"/>
      <w:r w:rsidR="00EA6434" w:rsidRPr="00EA6434">
        <w:rPr>
          <w:rFonts w:ascii="Arial" w:hAnsi="Arial"/>
          <w:sz w:val="22"/>
          <w:szCs w:val="22"/>
        </w:rPr>
        <w:t>desvenlafaxine</w:t>
      </w:r>
      <w:proofErr w:type="spellEnd"/>
      <w:r w:rsidR="00EA6434" w:rsidRPr="00EA6434">
        <w:rPr>
          <w:rFonts w:ascii="Arial" w:hAnsi="Arial"/>
          <w:sz w:val="22"/>
          <w:szCs w:val="22"/>
        </w:rPr>
        <w:t xml:space="preserve"> as a comparator</w:t>
      </w:r>
      <w:r w:rsidR="00E05F7F">
        <w:rPr>
          <w:rFonts w:ascii="Arial" w:hAnsi="Arial"/>
          <w:sz w:val="22"/>
          <w:szCs w:val="22"/>
        </w:rPr>
        <w:t>.</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7D560F" w:rsidRPr="00882085" w:rsidRDefault="007D560F"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5063D" w:rsidRPr="0037278A" w:rsidRDefault="00E24B5F" w:rsidP="00557D2F">
      <w:pPr>
        <w:pStyle w:val="ListParagraph"/>
        <w:numPr>
          <w:ilvl w:val="0"/>
          <w:numId w:val="39"/>
        </w:numPr>
        <w:ind w:hanging="720"/>
        <w:jc w:val="both"/>
        <w:rPr>
          <w:rFonts w:ascii="Arial" w:hAnsi="Arial" w:cs="Arial"/>
          <w:snapToGrid w:val="0"/>
          <w:sz w:val="22"/>
          <w:szCs w:val="20"/>
          <w:lang w:eastAsia="en-US"/>
        </w:rPr>
      </w:pPr>
      <w:r>
        <w:rPr>
          <w:rFonts w:ascii="Arial" w:hAnsi="Arial" w:cs="Arial"/>
          <w:snapToGrid w:val="0"/>
          <w:sz w:val="22"/>
          <w:szCs w:val="20"/>
          <w:lang w:eastAsia="en-US"/>
        </w:rPr>
        <w:t>T</w:t>
      </w:r>
      <w:r w:rsidR="00C5063D">
        <w:rPr>
          <w:rFonts w:ascii="Arial" w:hAnsi="Arial" w:cs="Arial"/>
          <w:snapToGrid w:val="0"/>
          <w:sz w:val="22"/>
          <w:szCs w:val="20"/>
          <w:lang w:eastAsia="en-US"/>
        </w:rPr>
        <w:t>he submission nominated</w:t>
      </w:r>
      <w:r w:rsidR="00C5063D" w:rsidRPr="0037278A">
        <w:rPr>
          <w:rFonts w:ascii="Arial" w:hAnsi="Arial" w:cs="Arial"/>
          <w:snapToGrid w:val="0"/>
          <w:sz w:val="22"/>
          <w:szCs w:val="20"/>
          <w:lang w:eastAsia="en-US"/>
        </w:rPr>
        <w:t xml:space="preserve"> three comparators:</w:t>
      </w:r>
      <w:r w:rsidR="00C5063D">
        <w:rPr>
          <w:rFonts w:ascii="Arial" w:hAnsi="Arial" w:cs="Arial"/>
          <w:snapToGrid w:val="0"/>
          <w:sz w:val="22"/>
          <w:szCs w:val="20"/>
          <w:lang w:eastAsia="en-US"/>
        </w:rPr>
        <w:t xml:space="preserve"> </w:t>
      </w:r>
    </w:p>
    <w:p w:rsidR="00C5063D" w:rsidRPr="0037278A" w:rsidRDefault="00C5063D" w:rsidP="00557D2F">
      <w:pPr>
        <w:widowControl w:val="0"/>
        <w:numPr>
          <w:ilvl w:val="0"/>
          <w:numId w:val="40"/>
        </w:numPr>
        <w:ind w:left="1134" w:hanging="425"/>
        <w:contextualSpacing/>
        <w:jc w:val="both"/>
        <w:rPr>
          <w:rFonts w:ascii="Arial" w:hAnsi="Arial" w:cs="Arial"/>
          <w:snapToGrid w:val="0"/>
          <w:sz w:val="22"/>
          <w:szCs w:val="20"/>
          <w:lang w:eastAsia="en-US"/>
        </w:rPr>
      </w:pPr>
      <w:r w:rsidRPr="0037278A">
        <w:rPr>
          <w:rFonts w:ascii="Arial" w:hAnsi="Arial" w:cs="Arial"/>
          <w:snapToGrid w:val="0"/>
          <w:sz w:val="22"/>
          <w:szCs w:val="20"/>
          <w:lang w:eastAsia="en-US"/>
        </w:rPr>
        <w:t xml:space="preserve">Serotonin noradrenaline reuptake inhibitors (SNRI’s) as the main comparator. </w:t>
      </w:r>
    </w:p>
    <w:p w:rsidR="00C5063D" w:rsidRPr="0037278A" w:rsidRDefault="00C5063D" w:rsidP="00557D2F">
      <w:pPr>
        <w:widowControl w:val="0"/>
        <w:numPr>
          <w:ilvl w:val="0"/>
          <w:numId w:val="40"/>
        </w:numPr>
        <w:ind w:left="1134" w:hanging="425"/>
        <w:contextualSpacing/>
        <w:jc w:val="both"/>
        <w:rPr>
          <w:rFonts w:ascii="Arial" w:hAnsi="Arial" w:cs="Arial"/>
          <w:snapToGrid w:val="0"/>
          <w:sz w:val="22"/>
          <w:szCs w:val="20"/>
          <w:lang w:eastAsia="en-US"/>
        </w:rPr>
      </w:pPr>
      <w:r w:rsidRPr="0037278A">
        <w:rPr>
          <w:rFonts w:ascii="Arial" w:hAnsi="Arial" w:cs="Arial"/>
          <w:snapToGrid w:val="0"/>
          <w:sz w:val="22"/>
          <w:szCs w:val="20"/>
          <w:lang w:eastAsia="en-US"/>
        </w:rPr>
        <w:t xml:space="preserve">Selective serotonin reuptake inhibitors (SSRIs) as the secondary comparator. </w:t>
      </w:r>
    </w:p>
    <w:p w:rsidR="00E05F7F" w:rsidRPr="00E05F7F" w:rsidRDefault="00C5063D" w:rsidP="00557D2F">
      <w:pPr>
        <w:pStyle w:val="ListParagraph"/>
        <w:numPr>
          <w:ilvl w:val="0"/>
          <w:numId w:val="42"/>
        </w:numPr>
        <w:ind w:left="1134" w:hanging="425"/>
        <w:jc w:val="both"/>
        <w:rPr>
          <w:rFonts w:ascii="Arial" w:hAnsi="Arial" w:cs="Arial"/>
          <w:snapToGrid w:val="0"/>
          <w:sz w:val="22"/>
          <w:szCs w:val="20"/>
          <w:lang w:eastAsia="en-US"/>
        </w:rPr>
      </w:pPr>
      <w:proofErr w:type="spellStart"/>
      <w:r w:rsidRPr="0037278A">
        <w:rPr>
          <w:rFonts w:ascii="Arial" w:hAnsi="Arial" w:cs="Arial"/>
          <w:snapToGrid w:val="0"/>
          <w:sz w:val="22"/>
          <w:szCs w:val="20"/>
          <w:lang w:eastAsia="en-US"/>
        </w:rPr>
        <w:t>Desvenlafaxine</w:t>
      </w:r>
      <w:proofErr w:type="spellEnd"/>
      <w:r w:rsidRPr="0037278A">
        <w:rPr>
          <w:rFonts w:ascii="Arial" w:hAnsi="Arial" w:cs="Arial"/>
          <w:snapToGrid w:val="0"/>
          <w:sz w:val="22"/>
          <w:szCs w:val="20"/>
          <w:lang w:eastAsia="en-US"/>
        </w:rPr>
        <w:t xml:space="preserve"> (an SNRI) as the comparator for the cost-minimisation analysis. </w:t>
      </w:r>
    </w:p>
    <w:p w:rsidR="00C5063D" w:rsidRPr="00C5063D" w:rsidRDefault="00C5063D" w:rsidP="00C5063D">
      <w:pPr>
        <w:widowControl w:val="0"/>
        <w:ind w:left="1134"/>
        <w:contextualSpacing/>
        <w:jc w:val="both"/>
        <w:rPr>
          <w:rFonts w:ascii="Arial" w:hAnsi="Arial" w:cs="Arial"/>
          <w:snapToGrid w:val="0"/>
          <w:sz w:val="22"/>
          <w:szCs w:val="20"/>
          <w:lang w:eastAsia="en-US"/>
        </w:rPr>
      </w:pPr>
      <w:r w:rsidRPr="0037278A">
        <w:rPr>
          <w:rFonts w:ascii="Arial" w:hAnsi="Arial" w:cs="Arial"/>
          <w:i/>
          <w:snapToGrid w:val="0"/>
          <w:color w:val="BFBFBF" w:themeColor="background1" w:themeShade="BF"/>
          <w:sz w:val="22"/>
          <w:szCs w:val="20"/>
          <w:lang w:eastAsia="en-US"/>
        </w:rPr>
        <w:t>.</w:t>
      </w:r>
      <w:r w:rsidRPr="0037278A">
        <w:rPr>
          <w:rFonts w:ascii="Arial" w:hAnsi="Arial" w:cs="Arial"/>
          <w:snapToGrid w:val="0"/>
          <w:color w:val="BFBFBF" w:themeColor="background1" w:themeShade="BF"/>
          <w:sz w:val="22"/>
          <w:szCs w:val="20"/>
          <w:lang w:eastAsia="en-US"/>
        </w:rPr>
        <w:t xml:space="preserve"> </w:t>
      </w:r>
    </w:p>
    <w:p w:rsidR="00E05F7F" w:rsidRPr="00E05F7F" w:rsidRDefault="00E05F7F" w:rsidP="00E05F7F">
      <w:pPr>
        <w:pStyle w:val="ListParagraph"/>
        <w:numPr>
          <w:ilvl w:val="0"/>
          <w:numId w:val="39"/>
        </w:numPr>
        <w:ind w:hanging="720"/>
        <w:jc w:val="both"/>
        <w:rPr>
          <w:rFonts w:ascii="Arial" w:hAnsi="Arial" w:cs="Arial"/>
          <w:snapToGrid w:val="0"/>
          <w:sz w:val="22"/>
          <w:szCs w:val="20"/>
          <w:lang w:eastAsia="en-US"/>
        </w:rPr>
      </w:pPr>
      <w:r w:rsidRPr="00E05F7F">
        <w:rPr>
          <w:rFonts w:ascii="Arial" w:hAnsi="Arial" w:cs="Arial"/>
          <w:snapToGrid w:val="0"/>
          <w:sz w:val="22"/>
          <w:szCs w:val="20"/>
          <w:lang w:eastAsia="en-US"/>
        </w:rPr>
        <w:t xml:space="preserve">The ESC agreed with the evaluation that the use of SNRIs and SSRIs for the clinical comparison </w:t>
      </w:r>
      <w:r w:rsidR="00C45B9E">
        <w:rPr>
          <w:rFonts w:ascii="Arial" w:hAnsi="Arial" w:cs="Arial"/>
          <w:snapToGrid w:val="0"/>
          <w:sz w:val="22"/>
          <w:szCs w:val="20"/>
          <w:lang w:eastAsia="en-US"/>
        </w:rPr>
        <w:t xml:space="preserve">is appropriate </w:t>
      </w:r>
      <w:r w:rsidRPr="00E05F7F">
        <w:rPr>
          <w:rFonts w:ascii="Arial" w:hAnsi="Arial" w:cs="Arial"/>
          <w:snapToGrid w:val="0"/>
          <w:sz w:val="22"/>
          <w:szCs w:val="20"/>
          <w:lang w:eastAsia="en-US"/>
        </w:rPr>
        <w:t>but th</w:t>
      </w:r>
      <w:r w:rsidR="006220C6">
        <w:rPr>
          <w:rFonts w:ascii="Arial" w:hAnsi="Arial" w:cs="Arial"/>
          <w:snapToGrid w:val="0"/>
          <w:sz w:val="22"/>
          <w:szCs w:val="20"/>
          <w:lang w:eastAsia="en-US"/>
        </w:rPr>
        <w:t>at</w:t>
      </w:r>
      <w:r w:rsidRPr="00E05F7F">
        <w:rPr>
          <w:rFonts w:ascii="Arial" w:hAnsi="Arial" w:cs="Arial"/>
          <w:snapToGrid w:val="0"/>
          <w:sz w:val="22"/>
          <w:szCs w:val="20"/>
          <w:lang w:eastAsia="en-US"/>
        </w:rPr>
        <w:t xml:space="preserve"> the specific use </w:t>
      </w:r>
      <w:proofErr w:type="spellStart"/>
      <w:r w:rsidRPr="00E05F7F">
        <w:rPr>
          <w:rFonts w:ascii="Arial" w:hAnsi="Arial" w:cs="Arial"/>
          <w:snapToGrid w:val="0"/>
          <w:sz w:val="22"/>
          <w:szCs w:val="20"/>
          <w:lang w:eastAsia="en-US"/>
        </w:rPr>
        <w:t>desvenlafaxine</w:t>
      </w:r>
      <w:proofErr w:type="spellEnd"/>
      <w:r w:rsidRPr="00E05F7F">
        <w:rPr>
          <w:rFonts w:ascii="Arial" w:hAnsi="Arial" w:cs="Arial"/>
          <w:snapToGrid w:val="0"/>
          <w:sz w:val="22"/>
          <w:szCs w:val="20"/>
          <w:lang w:eastAsia="en-US"/>
        </w:rPr>
        <w:t xml:space="preserve"> to inform the economic</w:t>
      </w:r>
      <w:r w:rsidR="006220C6">
        <w:rPr>
          <w:rFonts w:ascii="Arial" w:hAnsi="Arial" w:cs="Arial"/>
          <w:snapToGrid w:val="0"/>
          <w:sz w:val="22"/>
          <w:szCs w:val="20"/>
          <w:lang w:eastAsia="en-US"/>
        </w:rPr>
        <w:t xml:space="preserve"> comparison</w:t>
      </w:r>
      <w:r w:rsidRPr="00E05F7F">
        <w:rPr>
          <w:rFonts w:ascii="Arial" w:hAnsi="Arial" w:cs="Arial"/>
          <w:snapToGrid w:val="0"/>
          <w:sz w:val="22"/>
          <w:szCs w:val="20"/>
          <w:lang w:eastAsia="en-US"/>
        </w:rPr>
        <w:t xml:space="preserve"> is not appropriate. The ESC considered that the comparator should be the therapy that prescribers would most replace with </w:t>
      </w:r>
      <w:proofErr w:type="spellStart"/>
      <w:r w:rsidRPr="00E05F7F">
        <w:rPr>
          <w:rFonts w:ascii="Arial" w:hAnsi="Arial" w:cs="Arial"/>
          <w:snapToGrid w:val="0"/>
          <w:sz w:val="22"/>
          <w:szCs w:val="20"/>
          <w:lang w:eastAsia="en-US"/>
        </w:rPr>
        <w:t>vortioxetine</w:t>
      </w:r>
      <w:proofErr w:type="spellEnd"/>
      <w:r w:rsidRPr="00E05F7F">
        <w:rPr>
          <w:rFonts w:ascii="Arial" w:hAnsi="Arial" w:cs="Arial"/>
          <w:snapToGrid w:val="0"/>
          <w:sz w:val="22"/>
          <w:szCs w:val="20"/>
          <w:lang w:eastAsia="en-US"/>
        </w:rPr>
        <w:t xml:space="preserve"> in practice.  Therapeutic treatment guidelines and PBS claims data indicate there are a wide range of therapies that would be displaced in the treatment of MDD if </w:t>
      </w:r>
      <w:proofErr w:type="spellStart"/>
      <w:r w:rsidRPr="00E05F7F">
        <w:rPr>
          <w:rFonts w:ascii="Arial" w:hAnsi="Arial" w:cs="Arial"/>
          <w:snapToGrid w:val="0"/>
          <w:sz w:val="22"/>
          <w:szCs w:val="20"/>
          <w:lang w:eastAsia="en-US"/>
        </w:rPr>
        <w:t>vortioxetine</w:t>
      </w:r>
      <w:proofErr w:type="spellEnd"/>
      <w:r w:rsidRPr="00E05F7F">
        <w:rPr>
          <w:rFonts w:ascii="Arial" w:hAnsi="Arial" w:cs="Arial"/>
          <w:snapToGrid w:val="0"/>
          <w:sz w:val="22"/>
          <w:szCs w:val="20"/>
          <w:lang w:eastAsia="en-US"/>
        </w:rPr>
        <w:t xml:space="preserve"> was PBS listed. With the large number of currently PBS-listed selective serotonin reuptake inhibitors and other anti-depressant drugs (i.e. </w:t>
      </w:r>
      <w:proofErr w:type="spellStart"/>
      <w:r w:rsidRPr="00E05F7F">
        <w:rPr>
          <w:rFonts w:ascii="Arial" w:hAnsi="Arial" w:cs="Arial"/>
          <w:snapToGrid w:val="0"/>
          <w:sz w:val="22"/>
          <w:szCs w:val="20"/>
          <w:lang w:eastAsia="en-US"/>
        </w:rPr>
        <w:t>desvenlafaxine</w:t>
      </w:r>
      <w:proofErr w:type="spellEnd"/>
      <w:r w:rsidRPr="00E05F7F">
        <w:rPr>
          <w:rFonts w:ascii="Arial" w:hAnsi="Arial" w:cs="Arial"/>
          <w:snapToGrid w:val="0"/>
          <w:sz w:val="22"/>
          <w:szCs w:val="20"/>
          <w:lang w:eastAsia="en-US"/>
        </w:rPr>
        <w:t xml:space="preserve">, venlafaxine, duloxetine, mirtazapine, </w:t>
      </w:r>
      <w:proofErr w:type="spellStart"/>
      <w:r w:rsidRPr="00E05F7F">
        <w:rPr>
          <w:rFonts w:ascii="Arial" w:hAnsi="Arial" w:cs="Arial"/>
          <w:snapToGrid w:val="0"/>
          <w:sz w:val="22"/>
          <w:szCs w:val="20"/>
          <w:lang w:eastAsia="en-US"/>
        </w:rPr>
        <w:t>reboxetine</w:t>
      </w:r>
      <w:proofErr w:type="spellEnd"/>
      <w:r w:rsidRPr="00E05F7F">
        <w:rPr>
          <w:rFonts w:ascii="Arial" w:hAnsi="Arial" w:cs="Arial"/>
          <w:snapToGrid w:val="0"/>
          <w:sz w:val="22"/>
          <w:szCs w:val="20"/>
          <w:lang w:eastAsia="en-US"/>
        </w:rPr>
        <w:t xml:space="preserve">), the ESC considered that if a patient did not respond to one of these drugs initially, it would be likely that a patient would trial another drug within these groups of drugs. Given that </w:t>
      </w:r>
      <w:proofErr w:type="spellStart"/>
      <w:r w:rsidRPr="00E05F7F">
        <w:rPr>
          <w:rFonts w:ascii="Arial" w:hAnsi="Arial" w:cs="Arial"/>
          <w:snapToGrid w:val="0"/>
          <w:sz w:val="22"/>
          <w:szCs w:val="20"/>
          <w:lang w:eastAsia="en-US"/>
        </w:rPr>
        <w:t>vortioxetine’s</w:t>
      </w:r>
      <w:proofErr w:type="spellEnd"/>
      <w:r w:rsidRPr="00E05F7F">
        <w:rPr>
          <w:rFonts w:ascii="Arial" w:hAnsi="Arial" w:cs="Arial"/>
          <w:snapToGrid w:val="0"/>
          <w:sz w:val="22"/>
          <w:szCs w:val="20"/>
          <w:lang w:eastAsia="en-US"/>
        </w:rPr>
        <w:t xml:space="preserve"> multimodal pharmacological activity appears to be predominantly related to serotonin (5-HT) regulation (see Product Information),  the ESC considered that the comparator for the requested listing should be a weighted mean of SSRI use in MDD and ‘Other antidepressants’ (as listed in the PBS Schedule under ‘Other antidepressants’) use. </w:t>
      </w:r>
    </w:p>
    <w:p w:rsidR="00BB7EC3" w:rsidRPr="005B55BC" w:rsidRDefault="00BB7EC3" w:rsidP="005B55BC">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Pr="007D560F" w:rsidRDefault="00DF26A7" w:rsidP="007D560F">
      <w:pPr>
        <w:jc w:val="both"/>
        <w:rPr>
          <w:rFonts w:ascii="Arial" w:hAnsi="Arial"/>
          <w:sz w:val="22"/>
          <w:szCs w:val="22"/>
        </w:rPr>
      </w:pPr>
    </w:p>
    <w:p w:rsidR="007D560F" w:rsidRPr="007D560F" w:rsidRDefault="007D560F" w:rsidP="007D560F">
      <w:pPr>
        <w:jc w:val="both"/>
        <w:rPr>
          <w:rFonts w:ascii="Arial" w:hAnsi="Arial"/>
          <w:sz w:val="22"/>
          <w:szCs w:val="22"/>
        </w:rPr>
      </w:pPr>
    </w:p>
    <w:p w:rsidR="000B558D" w:rsidRPr="00882085" w:rsidRDefault="009C3252" w:rsidP="007D560F">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7D560F" w:rsidRDefault="00BB7EC3" w:rsidP="005B55BC">
      <w:pPr>
        <w:jc w:val="both"/>
        <w:rPr>
          <w:rFonts w:ascii="Arial" w:hAnsi="Arial"/>
          <w:sz w:val="22"/>
          <w:szCs w:val="22"/>
        </w:rPr>
      </w:pPr>
    </w:p>
    <w:p w:rsidR="00BB7EC3" w:rsidRPr="005B55BC" w:rsidRDefault="00BB7EC3" w:rsidP="007D560F">
      <w:pPr>
        <w:pStyle w:val="ListParagraph"/>
        <w:numPr>
          <w:ilvl w:val="1"/>
          <w:numId w:val="25"/>
        </w:numPr>
        <w:jc w:val="both"/>
        <w:rPr>
          <w:rFonts w:ascii="Arial" w:hAnsi="Arial"/>
          <w:sz w:val="22"/>
          <w:szCs w:val="22"/>
        </w:rPr>
      </w:pPr>
      <w:r w:rsidRPr="005B55BC">
        <w:rPr>
          <w:rFonts w:ascii="Arial" w:hAnsi="Arial"/>
          <w:sz w:val="22"/>
          <w:szCs w:val="22"/>
        </w:rPr>
        <w:t>The</w:t>
      </w:r>
      <w:r w:rsidR="005B55BC" w:rsidRPr="005B55BC">
        <w:rPr>
          <w:rFonts w:ascii="Arial" w:hAnsi="Arial"/>
          <w:sz w:val="22"/>
          <w:szCs w:val="22"/>
        </w:rPr>
        <w:t>re was no hearing for this item</w:t>
      </w:r>
      <w:r w:rsidRPr="005B55BC">
        <w:rPr>
          <w:rFonts w:ascii="Arial" w:hAnsi="Arial"/>
          <w:sz w:val="22"/>
          <w:szCs w:val="22"/>
        </w:rPr>
        <w:t>.</w:t>
      </w:r>
    </w:p>
    <w:p w:rsidR="00BB7EC3" w:rsidRDefault="00BB7EC3" w:rsidP="00BB7EC3">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Consumer comments</w:t>
      </w:r>
    </w:p>
    <w:p w:rsidR="00BB7EC3" w:rsidRPr="007D560F" w:rsidRDefault="00BB7EC3" w:rsidP="00FA0653">
      <w:pPr>
        <w:jc w:val="both"/>
        <w:rPr>
          <w:rFonts w:ascii="Arial" w:hAnsi="Arial"/>
          <w:sz w:val="22"/>
          <w:szCs w:val="22"/>
        </w:rPr>
      </w:pPr>
    </w:p>
    <w:p w:rsidR="00BB7EC3" w:rsidRPr="00FA0653" w:rsidRDefault="00AB2204" w:rsidP="007D560F">
      <w:pPr>
        <w:pStyle w:val="ListParagraph"/>
        <w:numPr>
          <w:ilvl w:val="1"/>
          <w:numId w:val="25"/>
        </w:numPr>
        <w:jc w:val="both"/>
        <w:rPr>
          <w:rFonts w:ascii="Arial" w:hAnsi="Arial"/>
          <w:sz w:val="22"/>
          <w:szCs w:val="22"/>
        </w:rPr>
      </w:pPr>
      <w:r>
        <w:rPr>
          <w:rFonts w:ascii="Arial" w:hAnsi="Arial"/>
          <w:sz w:val="22"/>
          <w:szCs w:val="22"/>
        </w:rPr>
        <w:t>N</w:t>
      </w:r>
      <w:r w:rsidR="00BB7EC3" w:rsidRPr="00FA0653">
        <w:rPr>
          <w:rFonts w:ascii="Arial" w:hAnsi="Arial"/>
          <w:sz w:val="22"/>
          <w:szCs w:val="22"/>
        </w:rPr>
        <w:t>o consumer comme</w:t>
      </w:r>
      <w:r w:rsidR="00FA0653" w:rsidRPr="00FA0653">
        <w:rPr>
          <w:rFonts w:ascii="Arial" w:hAnsi="Arial"/>
          <w:sz w:val="22"/>
          <w:szCs w:val="22"/>
        </w:rPr>
        <w:t>nts were received for this item</w:t>
      </w:r>
      <w:r w:rsidR="00BB7EC3" w:rsidRPr="00FA0653">
        <w:rPr>
          <w:rFonts w:ascii="Arial" w:hAnsi="Arial"/>
          <w:sz w:val="22"/>
          <w:szCs w:val="22"/>
        </w:rPr>
        <w:t>.</w:t>
      </w:r>
    </w:p>
    <w:p w:rsidR="00BB7EC3" w:rsidRPr="00882085" w:rsidRDefault="00BB7EC3" w:rsidP="00AB2204">
      <w:pPr>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lastRenderedPageBreak/>
        <w:t>Clinical trials</w:t>
      </w:r>
    </w:p>
    <w:p w:rsidR="002B1AE6" w:rsidRPr="00882085" w:rsidRDefault="002B1AE6" w:rsidP="00882085">
      <w:pPr>
        <w:jc w:val="both"/>
        <w:rPr>
          <w:rFonts w:ascii="Arial" w:hAnsi="Arial"/>
          <w:sz w:val="22"/>
          <w:szCs w:val="22"/>
        </w:rPr>
      </w:pPr>
    </w:p>
    <w:p w:rsidR="00E24B5F" w:rsidRPr="007D560F" w:rsidRDefault="00E24B5F" w:rsidP="007D560F">
      <w:pPr>
        <w:pStyle w:val="ListParagraph"/>
        <w:numPr>
          <w:ilvl w:val="1"/>
          <w:numId w:val="25"/>
        </w:numPr>
        <w:jc w:val="both"/>
        <w:rPr>
          <w:rFonts w:ascii="Arial" w:hAnsi="Arial"/>
          <w:sz w:val="22"/>
          <w:szCs w:val="22"/>
        </w:rPr>
      </w:pPr>
      <w:r w:rsidRPr="007D560F">
        <w:rPr>
          <w:rFonts w:ascii="Arial" w:hAnsi="Arial"/>
          <w:sz w:val="22"/>
          <w:szCs w:val="22"/>
        </w:rPr>
        <w:t>The submission was base</w:t>
      </w:r>
      <w:r w:rsidR="007D560F">
        <w:rPr>
          <w:rFonts w:ascii="Arial" w:hAnsi="Arial"/>
          <w:sz w:val="22"/>
          <w:szCs w:val="22"/>
        </w:rPr>
        <w:t>d on four clinical comparisons:</w:t>
      </w:r>
    </w:p>
    <w:p w:rsidR="00E24B5F" w:rsidRPr="00E24B5F" w:rsidRDefault="00E24B5F" w:rsidP="00E24B5F">
      <w:pPr>
        <w:widowControl w:val="0"/>
        <w:numPr>
          <w:ilvl w:val="1"/>
          <w:numId w:val="41"/>
        </w:numPr>
        <w:ind w:left="1134" w:hanging="424"/>
        <w:contextualSpacing/>
        <w:jc w:val="both"/>
        <w:rPr>
          <w:rFonts w:ascii="Arial" w:hAnsi="Arial" w:cs="Arial"/>
          <w:snapToGrid w:val="0"/>
          <w:sz w:val="22"/>
          <w:szCs w:val="20"/>
          <w:lang w:eastAsia="en-US"/>
        </w:rPr>
      </w:pPr>
      <w:r w:rsidRPr="00E24B5F">
        <w:rPr>
          <w:rFonts w:ascii="Arial" w:hAnsi="Arial" w:cs="Arial"/>
          <w:snapToGrid w:val="0"/>
          <w:sz w:val="22"/>
          <w:szCs w:val="20"/>
          <w:lang w:eastAsia="en-US"/>
        </w:rPr>
        <w:t xml:space="preserve">A direct comparison of </w:t>
      </w:r>
      <w:proofErr w:type="spellStart"/>
      <w:r w:rsidRPr="00E24B5F">
        <w:rPr>
          <w:rFonts w:ascii="Arial" w:hAnsi="Arial" w:cs="Arial"/>
          <w:snapToGrid w:val="0"/>
          <w:sz w:val="22"/>
          <w:szCs w:val="20"/>
          <w:lang w:eastAsia="en-US"/>
        </w:rPr>
        <w:t>vortioxetine</w:t>
      </w:r>
      <w:proofErr w:type="spellEnd"/>
      <w:r w:rsidRPr="00E24B5F">
        <w:rPr>
          <w:rFonts w:ascii="Arial" w:hAnsi="Arial" w:cs="Arial"/>
          <w:snapToGrid w:val="0"/>
          <w:sz w:val="22"/>
          <w:szCs w:val="20"/>
          <w:lang w:eastAsia="en-US"/>
        </w:rPr>
        <w:t xml:space="preserve"> and the SNRI therapies, conducted to provide evidence for the clai</w:t>
      </w:r>
      <w:r w:rsidR="00A8667F">
        <w:rPr>
          <w:rFonts w:ascii="Arial" w:hAnsi="Arial" w:cs="Arial"/>
          <w:snapToGrid w:val="0"/>
          <w:sz w:val="22"/>
          <w:szCs w:val="20"/>
          <w:lang w:eastAsia="en-US"/>
        </w:rPr>
        <w:t xml:space="preserve">m of non-inferiority compared </w:t>
      </w:r>
      <w:r w:rsidR="00A8667F" w:rsidRPr="00A8667F">
        <w:rPr>
          <w:rFonts w:ascii="Arial" w:hAnsi="Arial" w:cs="Arial"/>
          <w:snapToGrid w:val="0"/>
          <w:sz w:val="22"/>
          <w:szCs w:val="20"/>
          <w:lang w:eastAsia="en-US"/>
        </w:rPr>
        <w:t>to two SNRI therapies, venlafaxine and duloxetine.</w:t>
      </w:r>
      <w:r>
        <w:rPr>
          <w:rFonts w:ascii="Arial" w:hAnsi="Arial" w:cs="Arial"/>
          <w:snapToGrid w:val="0"/>
          <w:sz w:val="22"/>
          <w:szCs w:val="20"/>
          <w:lang w:eastAsia="en-US"/>
        </w:rPr>
        <w:t>;</w:t>
      </w:r>
    </w:p>
    <w:p w:rsidR="00E24B5F" w:rsidRPr="00E24B5F" w:rsidRDefault="00E24B5F" w:rsidP="00E24B5F">
      <w:pPr>
        <w:widowControl w:val="0"/>
        <w:numPr>
          <w:ilvl w:val="1"/>
          <w:numId w:val="41"/>
        </w:numPr>
        <w:ind w:left="1134" w:hanging="424"/>
        <w:contextualSpacing/>
        <w:jc w:val="both"/>
        <w:rPr>
          <w:rFonts w:ascii="Arial" w:hAnsi="Arial" w:cs="Arial"/>
          <w:snapToGrid w:val="0"/>
          <w:sz w:val="22"/>
          <w:szCs w:val="20"/>
          <w:lang w:eastAsia="en-US"/>
        </w:rPr>
      </w:pPr>
      <w:r w:rsidRPr="00E24B5F">
        <w:rPr>
          <w:rFonts w:ascii="Arial" w:hAnsi="Arial" w:cs="Arial"/>
          <w:snapToGrid w:val="0"/>
          <w:sz w:val="22"/>
          <w:szCs w:val="20"/>
          <w:lang w:eastAsia="en-US"/>
        </w:rPr>
        <w:t xml:space="preserve">An indirect comparison of </w:t>
      </w:r>
      <w:proofErr w:type="spellStart"/>
      <w:r w:rsidRPr="00E24B5F">
        <w:rPr>
          <w:rFonts w:ascii="Arial" w:hAnsi="Arial" w:cs="Arial"/>
          <w:snapToGrid w:val="0"/>
          <w:sz w:val="22"/>
          <w:szCs w:val="20"/>
          <w:lang w:eastAsia="en-US"/>
        </w:rPr>
        <w:t>vortioxetine</w:t>
      </w:r>
      <w:proofErr w:type="spellEnd"/>
      <w:r w:rsidRPr="00E24B5F">
        <w:rPr>
          <w:rFonts w:ascii="Arial" w:hAnsi="Arial" w:cs="Arial"/>
          <w:snapToGrid w:val="0"/>
          <w:sz w:val="22"/>
          <w:szCs w:val="20"/>
          <w:lang w:eastAsia="en-US"/>
        </w:rPr>
        <w:t xml:space="preserve"> and the SNRI therapies, conducted to provide additional evidence in support of the claim of non-inferiority compared to the SNRI therapies</w:t>
      </w:r>
      <w:r>
        <w:rPr>
          <w:rFonts w:ascii="Arial" w:hAnsi="Arial" w:cs="Arial"/>
          <w:snapToGrid w:val="0"/>
          <w:sz w:val="22"/>
          <w:szCs w:val="20"/>
          <w:lang w:eastAsia="en-US"/>
        </w:rPr>
        <w:t>;</w:t>
      </w:r>
      <w:r w:rsidRPr="00E24B5F">
        <w:rPr>
          <w:rFonts w:ascii="Arial" w:hAnsi="Arial" w:cs="Arial"/>
          <w:snapToGrid w:val="0"/>
          <w:sz w:val="22"/>
          <w:szCs w:val="20"/>
          <w:lang w:eastAsia="en-US"/>
        </w:rPr>
        <w:t xml:space="preserve"> </w:t>
      </w:r>
    </w:p>
    <w:p w:rsidR="002C5FCD" w:rsidRPr="00E24B5F" w:rsidRDefault="00E24B5F" w:rsidP="002C5FCD">
      <w:pPr>
        <w:widowControl w:val="0"/>
        <w:numPr>
          <w:ilvl w:val="1"/>
          <w:numId w:val="41"/>
        </w:numPr>
        <w:ind w:left="1134" w:hanging="424"/>
        <w:contextualSpacing/>
        <w:jc w:val="both"/>
        <w:rPr>
          <w:rFonts w:ascii="Arial" w:hAnsi="Arial" w:cs="Arial"/>
          <w:snapToGrid w:val="0"/>
          <w:sz w:val="22"/>
          <w:szCs w:val="20"/>
          <w:lang w:eastAsia="en-US"/>
        </w:rPr>
      </w:pPr>
      <w:r w:rsidRPr="002C5FCD">
        <w:rPr>
          <w:rFonts w:ascii="Arial" w:hAnsi="Arial" w:cs="Arial"/>
          <w:snapToGrid w:val="0"/>
          <w:sz w:val="22"/>
          <w:szCs w:val="20"/>
          <w:lang w:eastAsia="en-US"/>
        </w:rPr>
        <w:t xml:space="preserve">An indirect comparison of </w:t>
      </w:r>
      <w:proofErr w:type="spellStart"/>
      <w:r w:rsidRPr="002C5FCD">
        <w:rPr>
          <w:rFonts w:ascii="Arial" w:hAnsi="Arial" w:cs="Arial"/>
          <w:snapToGrid w:val="0"/>
          <w:sz w:val="22"/>
          <w:szCs w:val="20"/>
          <w:lang w:eastAsia="en-US"/>
        </w:rPr>
        <w:t>vortioxetine</w:t>
      </w:r>
      <w:proofErr w:type="spellEnd"/>
      <w:r w:rsidRPr="002C5FCD">
        <w:rPr>
          <w:rFonts w:ascii="Arial" w:hAnsi="Arial" w:cs="Arial"/>
          <w:snapToGrid w:val="0"/>
          <w:sz w:val="22"/>
          <w:szCs w:val="20"/>
          <w:lang w:eastAsia="en-US"/>
        </w:rPr>
        <w:t xml:space="preserve"> and the SSRI therapies, conducted to provide evidence in support of the claim of </w:t>
      </w:r>
      <w:r w:rsidR="000268A0">
        <w:rPr>
          <w:rFonts w:ascii="Arial" w:hAnsi="Arial" w:cs="Arial"/>
          <w:snapToGrid w:val="0"/>
          <w:sz w:val="22"/>
          <w:szCs w:val="20"/>
          <w:lang w:eastAsia="en-US"/>
        </w:rPr>
        <w:t>non-inferiority</w:t>
      </w:r>
      <w:r w:rsidRPr="002C5FCD">
        <w:rPr>
          <w:rFonts w:ascii="Arial" w:hAnsi="Arial" w:cs="Arial"/>
          <w:snapToGrid w:val="0"/>
          <w:sz w:val="22"/>
          <w:szCs w:val="20"/>
          <w:lang w:eastAsia="en-US"/>
        </w:rPr>
        <w:t xml:space="preserve"> compared to the SSRI therapies; </w:t>
      </w:r>
      <w:r w:rsidR="002C5FCD">
        <w:rPr>
          <w:rFonts w:ascii="Arial" w:hAnsi="Arial" w:cs="Arial"/>
          <w:snapToGrid w:val="0"/>
          <w:sz w:val="22"/>
          <w:szCs w:val="20"/>
          <w:lang w:eastAsia="en-US"/>
        </w:rPr>
        <w:t>and</w:t>
      </w:r>
      <w:r w:rsidR="002C5FCD" w:rsidRPr="00E24B5F">
        <w:rPr>
          <w:rFonts w:ascii="Arial" w:hAnsi="Arial" w:cs="Arial"/>
          <w:snapToGrid w:val="0"/>
          <w:sz w:val="22"/>
          <w:szCs w:val="20"/>
          <w:lang w:eastAsia="en-US"/>
        </w:rPr>
        <w:t xml:space="preserve"> </w:t>
      </w:r>
    </w:p>
    <w:p w:rsidR="006220C6" w:rsidRPr="002C5FCD" w:rsidRDefault="00E24B5F" w:rsidP="006220C6">
      <w:pPr>
        <w:widowControl w:val="0"/>
        <w:numPr>
          <w:ilvl w:val="1"/>
          <w:numId w:val="41"/>
        </w:numPr>
        <w:ind w:left="1134" w:hanging="424"/>
        <w:contextualSpacing/>
        <w:jc w:val="both"/>
        <w:rPr>
          <w:rFonts w:ascii="Arial" w:hAnsi="Arial" w:cs="Arial"/>
          <w:snapToGrid w:val="0"/>
          <w:sz w:val="22"/>
          <w:szCs w:val="20"/>
          <w:lang w:eastAsia="en-US"/>
        </w:rPr>
      </w:pPr>
      <w:r w:rsidRPr="002C5FCD">
        <w:rPr>
          <w:rFonts w:ascii="Arial" w:hAnsi="Arial" w:cs="Arial"/>
          <w:snapToGrid w:val="0"/>
          <w:sz w:val="22"/>
          <w:szCs w:val="20"/>
          <w:lang w:eastAsia="en-US"/>
        </w:rPr>
        <w:t xml:space="preserve">An indirect comparison of </w:t>
      </w:r>
      <w:proofErr w:type="spellStart"/>
      <w:r w:rsidRPr="002C5FCD">
        <w:rPr>
          <w:rFonts w:ascii="Arial" w:hAnsi="Arial" w:cs="Arial"/>
          <w:snapToGrid w:val="0"/>
          <w:sz w:val="22"/>
          <w:szCs w:val="20"/>
          <w:lang w:eastAsia="en-US"/>
        </w:rPr>
        <w:t>vortioxetine</w:t>
      </w:r>
      <w:proofErr w:type="spellEnd"/>
      <w:r w:rsidRPr="002C5FCD">
        <w:rPr>
          <w:rFonts w:ascii="Arial" w:hAnsi="Arial" w:cs="Arial"/>
          <w:snapToGrid w:val="0"/>
          <w:sz w:val="22"/>
          <w:szCs w:val="20"/>
          <w:lang w:eastAsia="en-US"/>
        </w:rPr>
        <w:t xml:space="preserve"> and the </w:t>
      </w:r>
      <w:r w:rsidR="00DA40A0" w:rsidRPr="002C5FCD">
        <w:rPr>
          <w:rFonts w:ascii="Arial" w:hAnsi="Arial" w:cs="Arial"/>
          <w:snapToGrid w:val="0"/>
          <w:sz w:val="22"/>
          <w:szCs w:val="20"/>
          <w:lang w:eastAsia="en-US"/>
        </w:rPr>
        <w:t xml:space="preserve">SSRI therapies in the elderly, </w:t>
      </w:r>
      <w:r w:rsidRPr="002C5FCD">
        <w:rPr>
          <w:rFonts w:ascii="Arial" w:hAnsi="Arial" w:cs="Arial"/>
          <w:snapToGrid w:val="0"/>
          <w:sz w:val="22"/>
          <w:szCs w:val="20"/>
          <w:lang w:eastAsia="en-US"/>
        </w:rPr>
        <w:t>conducted to provide evidence of superiority compared to SSRI therapies in some patient populations.</w:t>
      </w:r>
    </w:p>
    <w:p w:rsidR="00E24B5F" w:rsidRPr="00E24B5F" w:rsidRDefault="00E24B5F" w:rsidP="00E24B5F">
      <w:pPr>
        <w:widowControl w:val="0"/>
        <w:ind w:left="1134"/>
        <w:contextualSpacing/>
        <w:jc w:val="both"/>
        <w:rPr>
          <w:rFonts w:ascii="Arial" w:hAnsi="Arial" w:cs="Arial"/>
          <w:snapToGrid w:val="0"/>
          <w:sz w:val="22"/>
          <w:szCs w:val="20"/>
          <w:lang w:eastAsia="en-US"/>
        </w:rPr>
      </w:pPr>
    </w:p>
    <w:p w:rsidR="006220C6" w:rsidRPr="007D560F" w:rsidRDefault="00F77F60" w:rsidP="007D560F">
      <w:pPr>
        <w:pStyle w:val="ListParagraph"/>
        <w:numPr>
          <w:ilvl w:val="1"/>
          <w:numId w:val="25"/>
        </w:numPr>
        <w:jc w:val="both"/>
        <w:rPr>
          <w:rFonts w:ascii="Arial" w:hAnsi="Arial"/>
          <w:sz w:val="22"/>
          <w:szCs w:val="22"/>
        </w:rPr>
      </w:pPr>
      <w:r w:rsidRPr="00F77F60">
        <w:rPr>
          <w:rFonts w:ascii="Arial" w:hAnsi="Arial"/>
          <w:sz w:val="22"/>
          <w:szCs w:val="22"/>
        </w:rPr>
        <w:t>The trials cited for the direct comparisons were the most relevant and are therefore listed below. The remaining trials</w:t>
      </w:r>
      <w:r w:rsidR="006220C6" w:rsidRPr="00F77F60">
        <w:rPr>
          <w:rFonts w:ascii="Arial" w:hAnsi="Arial"/>
          <w:sz w:val="22"/>
          <w:szCs w:val="22"/>
        </w:rPr>
        <w:t xml:space="preserve"> use</w:t>
      </w:r>
      <w:r w:rsidRPr="00F77F60">
        <w:rPr>
          <w:rFonts w:ascii="Arial" w:hAnsi="Arial"/>
          <w:sz w:val="22"/>
          <w:szCs w:val="22"/>
        </w:rPr>
        <w:t>d in the indirect comparisons are</w:t>
      </w:r>
      <w:r w:rsidR="006220C6" w:rsidRPr="00F77F60">
        <w:rPr>
          <w:rFonts w:ascii="Arial" w:hAnsi="Arial"/>
          <w:sz w:val="22"/>
          <w:szCs w:val="22"/>
        </w:rPr>
        <w:t xml:space="preserve"> not </w:t>
      </w:r>
      <w:r>
        <w:rPr>
          <w:rFonts w:ascii="Arial" w:hAnsi="Arial"/>
          <w:sz w:val="22"/>
          <w:szCs w:val="22"/>
        </w:rPr>
        <w:t>listed due to the large number (see paragraphs 6.17-19).</w:t>
      </w:r>
    </w:p>
    <w:p w:rsidR="00F77F60" w:rsidRPr="00F77F60" w:rsidRDefault="00F77F60" w:rsidP="00F77F60">
      <w:pPr>
        <w:pStyle w:val="ListParagraph"/>
        <w:ind w:left="709"/>
        <w:jc w:val="both"/>
        <w:rPr>
          <w:rFonts w:ascii="Arial" w:hAnsi="Arial"/>
          <w:sz w:val="22"/>
          <w:szCs w:val="22"/>
          <w:u w:val="single"/>
        </w:rPr>
      </w:pPr>
    </w:p>
    <w:p w:rsidR="00E24B5F" w:rsidRPr="007D560F" w:rsidRDefault="006220C6" w:rsidP="007D560F">
      <w:pPr>
        <w:pStyle w:val="ListParagraph"/>
        <w:numPr>
          <w:ilvl w:val="1"/>
          <w:numId w:val="25"/>
        </w:numPr>
        <w:jc w:val="both"/>
        <w:rPr>
          <w:rFonts w:ascii="Arial" w:hAnsi="Arial"/>
          <w:sz w:val="22"/>
          <w:szCs w:val="22"/>
          <w:u w:val="single"/>
        </w:rPr>
      </w:pPr>
      <w:r w:rsidRPr="007D560F">
        <w:rPr>
          <w:rFonts w:ascii="Arial" w:hAnsi="Arial"/>
          <w:sz w:val="22"/>
          <w:szCs w:val="22"/>
          <w:u w:val="single"/>
        </w:rPr>
        <w:t>D</w:t>
      </w:r>
      <w:r w:rsidR="00E24B5F" w:rsidRPr="007D560F">
        <w:rPr>
          <w:rFonts w:ascii="Arial" w:hAnsi="Arial"/>
          <w:sz w:val="22"/>
          <w:szCs w:val="22"/>
          <w:u w:val="single"/>
        </w:rPr>
        <w:t xml:space="preserve">irect comparison: </w:t>
      </w:r>
      <w:proofErr w:type="spellStart"/>
      <w:r w:rsidR="00E24B5F" w:rsidRPr="007D560F">
        <w:rPr>
          <w:rFonts w:ascii="Arial" w:hAnsi="Arial"/>
          <w:sz w:val="22"/>
          <w:szCs w:val="22"/>
          <w:u w:val="single"/>
        </w:rPr>
        <w:t>vortioxetine</w:t>
      </w:r>
      <w:proofErr w:type="spellEnd"/>
      <w:r w:rsidR="00E24B5F" w:rsidRPr="007D560F">
        <w:rPr>
          <w:rFonts w:ascii="Arial" w:hAnsi="Arial"/>
          <w:sz w:val="22"/>
          <w:szCs w:val="22"/>
          <w:u w:val="single"/>
        </w:rPr>
        <w:t xml:space="preserve"> versus SNRI therapies</w:t>
      </w:r>
      <w:r w:rsidR="00A8667F" w:rsidRPr="007D560F">
        <w:rPr>
          <w:rFonts w:ascii="Arial" w:hAnsi="Arial"/>
          <w:sz w:val="22"/>
          <w:szCs w:val="22"/>
          <w:u w:val="single"/>
        </w:rPr>
        <w:t xml:space="preserve"> (venlafaxine, duloxetine)</w:t>
      </w:r>
    </w:p>
    <w:p w:rsidR="00DA40A0" w:rsidRPr="00DA40A0" w:rsidRDefault="00DA40A0" w:rsidP="007D560F">
      <w:pPr>
        <w:pStyle w:val="ListParagraph"/>
        <w:jc w:val="both"/>
        <w:rPr>
          <w:rFonts w:ascii="Arial" w:hAnsi="Arial"/>
          <w:sz w:val="22"/>
          <w:szCs w:val="22"/>
        </w:rPr>
      </w:pPr>
      <w:r w:rsidRPr="00E24B5F">
        <w:rPr>
          <w:rFonts w:ascii="Arial" w:hAnsi="Arial"/>
          <w:sz w:val="22"/>
          <w:szCs w:val="22"/>
        </w:rPr>
        <w:t xml:space="preserve">Details of the trials presented in the direct comparison of </w:t>
      </w:r>
      <w:proofErr w:type="spellStart"/>
      <w:r w:rsidRPr="00E24B5F">
        <w:rPr>
          <w:rFonts w:ascii="Arial" w:hAnsi="Arial"/>
          <w:sz w:val="22"/>
          <w:szCs w:val="22"/>
        </w:rPr>
        <w:t>vortioxetine</w:t>
      </w:r>
      <w:proofErr w:type="spellEnd"/>
      <w:r>
        <w:rPr>
          <w:rFonts w:ascii="Arial" w:hAnsi="Arial"/>
          <w:sz w:val="22"/>
          <w:szCs w:val="22"/>
        </w:rPr>
        <w:t xml:space="preserve"> and the </w:t>
      </w:r>
      <w:r w:rsidRPr="00E24B5F">
        <w:rPr>
          <w:rFonts w:ascii="Arial" w:hAnsi="Arial"/>
          <w:sz w:val="22"/>
          <w:szCs w:val="22"/>
        </w:rPr>
        <w:t>SNRI therapies are provided in the table below.</w:t>
      </w:r>
    </w:p>
    <w:p w:rsidR="00DA40A0" w:rsidRDefault="00DA40A0" w:rsidP="00DA40A0">
      <w:pPr>
        <w:pStyle w:val="ListParagraph"/>
        <w:ind w:left="360"/>
        <w:jc w:val="both"/>
        <w:rPr>
          <w:rFonts w:ascii="Arial" w:hAnsi="Arial"/>
          <w:sz w:val="22"/>
          <w:szCs w:val="22"/>
        </w:rPr>
      </w:pPr>
    </w:p>
    <w:p w:rsidR="00DA40A0" w:rsidRPr="00EC646A" w:rsidRDefault="00DA40A0" w:rsidP="00DA40A0">
      <w:pPr>
        <w:pStyle w:val="ListParagraph"/>
        <w:ind w:left="360" w:firstLine="349"/>
        <w:rPr>
          <w:rFonts w:ascii="Arial Narrow" w:hAnsi="Arial Narrow"/>
          <w:b/>
          <w:sz w:val="22"/>
          <w:szCs w:val="22"/>
        </w:rPr>
      </w:pPr>
      <w:r w:rsidRPr="00EC646A">
        <w:rPr>
          <w:rFonts w:ascii="Arial Narrow" w:hAnsi="Arial Narrow"/>
          <w:b/>
          <w:sz w:val="22"/>
          <w:szCs w:val="22"/>
        </w:rPr>
        <w:t xml:space="preserve">Trials and associated reports presented </w:t>
      </w:r>
      <w:r w:rsidR="006220C6">
        <w:rPr>
          <w:rFonts w:ascii="Arial Narrow" w:hAnsi="Arial Narrow"/>
          <w:b/>
          <w:sz w:val="22"/>
          <w:szCs w:val="22"/>
        </w:rPr>
        <w:t>in direct comparisons</w:t>
      </w:r>
      <w:r>
        <w:rPr>
          <w:rFonts w:ascii="Arial Narrow" w:hAnsi="Arial Narrow"/>
          <w:b/>
          <w:sz w:val="22"/>
          <w:szCs w:val="22"/>
        </w:rPr>
        <w:t xml:space="preserve"> </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64"/>
        <w:gridCol w:w="4690"/>
        <w:gridCol w:w="2273"/>
      </w:tblGrid>
      <w:tr w:rsidR="00DA40A0" w:rsidRPr="00EC646A" w:rsidTr="00DA40A0">
        <w:tc>
          <w:tcPr>
            <w:tcW w:w="917" w:type="pct"/>
          </w:tcPr>
          <w:p w:rsidR="00DA40A0" w:rsidRPr="00EC646A" w:rsidRDefault="00DA40A0" w:rsidP="00C5063D">
            <w:pPr>
              <w:pStyle w:val="ListParagraph"/>
              <w:ind w:left="114"/>
              <w:rPr>
                <w:rFonts w:ascii="Arial Narrow" w:hAnsi="Arial Narrow"/>
                <w:b/>
                <w:sz w:val="20"/>
                <w:szCs w:val="20"/>
              </w:rPr>
            </w:pPr>
            <w:r w:rsidRPr="00EC646A">
              <w:rPr>
                <w:rFonts w:ascii="Arial Narrow" w:hAnsi="Arial Narrow"/>
                <w:b/>
                <w:sz w:val="20"/>
                <w:szCs w:val="20"/>
              </w:rPr>
              <w:t>Trial ID</w:t>
            </w:r>
            <w:r>
              <w:rPr>
                <w:rFonts w:ascii="Arial Narrow" w:hAnsi="Arial Narrow"/>
                <w:b/>
                <w:sz w:val="20"/>
                <w:szCs w:val="20"/>
              </w:rPr>
              <w:t>/First Author</w:t>
            </w:r>
          </w:p>
        </w:tc>
        <w:tc>
          <w:tcPr>
            <w:tcW w:w="2750" w:type="pct"/>
          </w:tcPr>
          <w:p w:rsidR="00DA40A0" w:rsidRPr="00EC646A" w:rsidRDefault="00DA40A0" w:rsidP="005229C4">
            <w:pPr>
              <w:pStyle w:val="ListParagraph"/>
              <w:ind w:left="63"/>
              <w:jc w:val="center"/>
              <w:rPr>
                <w:rFonts w:ascii="Arial Narrow" w:hAnsi="Arial Narrow"/>
                <w:b/>
                <w:sz w:val="20"/>
                <w:szCs w:val="20"/>
              </w:rPr>
            </w:pPr>
            <w:r w:rsidRPr="00EC646A">
              <w:rPr>
                <w:rFonts w:ascii="Arial Narrow" w:hAnsi="Arial Narrow"/>
                <w:b/>
                <w:sz w:val="20"/>
                <w:szCs w:val="20"/>
              </w:rPr>
              <w:t>Protocol title/ Publication title</w:t>
            </w:r>
          </w:p>
        </w:tc>
        <w:tc>
          <w:tcPr>
            <w:tcW w:w="1333" w:type="pct"/>
          </w:tcPr>
          <w:p w:rsidR="00DA40A0" w:rsidRPr="00EC646A" w:rsidRDefault="00DA40A0" w:rsidP="005229C4">
            <w:pPr>
              <w:pStyle w:val="ListParagraph"/>
              <w:ind w:left="0" w:firstLine="133"/>
              <w:jc w:val="center"/>
              <w:rPr>
                <w:rFonts w:ascii="Arial Narrow" w:hAnsi="Arial Narrow"/>
                <w:b/>
                <w:sz w:val="20"/>
                <w:szCs w:val="20"/>
              </w:rPr>
            </w:pPr>
            <w:r w:rsidRPr="00EC646A">
              <w:rPr>
                <w:rFonts w:ascii="Arial Narrow" w:hAnsi="Arial Narrow"/>
                <w:b/>
                <w:sz w:val="20"/>
                <w:szCs w:val="20"/>
              </w:rPr>
              <w:t>Publication citation</w:t>
            </w:r>
          </w:p>
        </w:tc>
      </w:tr>
      <w:tr w:rsidR="00DA40A0" w:rsidRPr="00EC646A" w:rsidTr="005229C4">
        <w:tblPrEx>
          <w:tblCellMar>
            <w:left w:w="108" w:type="dxa"/>
            <w:right w:w="108" w:type="dxa"/>
          </w:tblCellMar>
        </w:tblPrEx>
        <w:trPr>
          <w:cantSplit/>
          <w:trHeight w:val="353"/>
        </w:trPr>
        <w:tc>
          <w:tcPr>
            <w:tcW w:w="5000" w:type="pct"/>
            <w:gridSpan w:val="3"/>
            <w:shd w:val="clear" w:color="auto" w:fill="auto"/>
            <w:vAlign w:val="center"/>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 xml:space="preserve">Trials of </w:t>
            </w:r>
            <w:proofErr w:type="spellStart"/>
            <w:r w:rsidRPr="00EC646A">
              <w:rPr>
                <w:rFonts w:ascii="Arial Narrow" w:hAnsi="Arial Narrow"/>
                <w:sz w:val="20"/>
                <w:szCs w:val="20"/>
              </w:rPr>
              <w:t>vortioxetine</w:t>
            </w:r>
            <w:proofErr w:type="spellEnd"/>
            <w:r w:rsidRPr="00EC646A">
              <w:rPr>
                <w:rFonts w:ascii="Arial Narrow" w:hAnsi="Arial Narrow"/>
                <w:sz w:val="20"/>
                <w:szCs w:val="20"/>
              </w:rPr>
              <w:t xml:space="preserve"> and venlafaxine </w:t>
            </w:r>
          </w:p>
        </w:tc>
      </w:tr>
      <w:tr w:rsidR="00DA40A0" w:rsidRPr="00EC646A" w:rsidTr="00DA40A0">
        <w:tblPrEx>
          <w:tblCellMar>
            <w:left w:w="108" w:type="dxa"/>
            <w:right w:w="108" w:type="dxa"/>
          </w:tblCellMar>
        </w:tblPrEx>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EC646A">
              <w:rPr>
                <w:rFonts w:ascii="Arial Narrow" w:hAnsi="Arial Narrow"/>
                <w:sz w:val="20"/>
                <w:szCs w:val="20"/>
              </w:rPr>
              <w:t>11492A</w:t>
            </w:r>
          </w:p>
        </w:tc>
        <w:tc>
          <w:tcPr>
            <w:tcW w:w="2750" w:type="pct"/>
          </w:tcPr>
          <w:p w:rsidR="00DA40A0"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Double-blind, randomised, placebo-controlled study comparing the efficacy and safety of two fixed dosages of a novel antidepressant compound to that of placebo in patients with major depressive disorder</w:t>
            </w:r>
            <w:r>
              <w:rPr>
                <w:rFonts w:ascii="Arial Narrow" w:hAnsi="Arial Narrow"/>
                <w:sz w:val="20"/>
                <w:szCs w:val="20"/>
              </w:rPr>
              <w:t>.</w:t>
            </w:r>
          </w:p>
          <w:p w:rsidR="00DA40A0" w:rsidRPr="00EC646A" w:rsidRDefault="00DA40A0" w:rsidP="005229C4">
            <w:pPr>
              <w:pStyle w:val="ListParagraph"/>
              <w:ind w:left="0"/>
              <w:jc w:val="both"/>
              <w:rPr>
                <w:rFonts w:ascii="Arial Narrow" w:hAnsi="Arial Narrow"/>
                <w:sz w:val="20"/>
                <w:szCs w:val="20"/>
              </w:rPr>
            </w:pPr>
          </w:p>
        </w:tc>
        <w:tc>
          <w:tcPr>
            <w:tcW w:w="1333" w:type="pct"/>
          </w:tcPr>
          <w:p w:rsidR="00DA40A0" w:rsidRPr="00EC646A" w:rsidRDefault="00DA40A0" w:rsidP="005229C4">
            <w:pPr>
              <w:pStyle w:val="ListParagraph"/>
              <w:ind w:left="53"/>
              <w:jc w:val="both"/>
              <w:rPr>
                <w:rFonts w:ascii="Arial Narrow" w:hAnsi="Arial Narrow"/>
                <w:sz w:val="20"/>
                <w:szCs w:val="20"/>
              </w:rPr>
            </w:pPr>
            <w:r w:rsidRPr="00EC646A">
              <w:rPr>
                <w:rFonts w:ascii="Arial Narrow" w:hAnsi="Arial Narrow"/>
                <w:sz w:val="20"/>
                <w:szCs w:val="20"/>
              </w:rPr>
              <w:t>2008</w:t>
            </w:r>
          </w:p>
        </w:tc>
      </w:tr>
      <w:tr w:rsidR="00DA40A0" w:rsidRPr="00EC646A" w:rsidTr="00DA40A0">
        <w:tblPrEx>
          <w:tblCellMar>
            <w:left w:w="108" w:type="dxa"/>
            <w:right w:w="108" w:type="dxa"/>
          </w:tblCellMar>
        </w:tblPrEx>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EC646A">
              <w:rPr>
                <w:rFonts w:ascii="Arial Narrow" w:hAnsi="Arial Narrow"/>
                <w:sz w:val="20"/>
                <w:szCs w:val="20"/>
              </w:rPr>
              <w:t>Alvarez E</w:t>
            </w:r>
          </w:p>
        </w:tc>
        <w:tc>
          <w:tcPr>
            <w:tcW w:w="2750" w:type="pct"/>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 xml:space="preserve">A double-blind, randomized, placebo-controlled, active reference study of Lu AA21004 in patients with major depressive disorder. </w:t>
            </w:r>
          </w:p>
        </w:tc>
        <w:tc>
          <w:tcPr>
            <w:tcW w:w="1333" w:type="pct"/>
          </w:tcPr>
          <w:p w:rsidR="00DA40A0" w:rsidRPr="00EC646A" w:rsidRDefault="00DA40A0" w:rsidP="005229C4">
            <w:pPr>
              <w:pStyle w:val="ListParagraph"/>
              <w:ind w:left="53"/>
              <w:rPr>
                <w:rFonts w:ascii="Arial Narrow" w:hAnsi="Arial Narrow"/>
                <w:sz w:val="20"/>
                <w:szCs w:val="20"/>
              </w:rPr>
            </w:pPr>
            <w:proofErr w:type="spellStart"/>
            <w:r w:rsidRPr="00384856">
              <w:rPr>
                <w:rFonts w:ascii="Arial Narrow" w:hAnsi="Arial Narrow"/>
                <w:i/>
                <w:sz w:val="20"/>
                <w:szCs w:val="20"/>
              </w:rPr>
              <w:t>Int</w:t>
            </w:r>
            <w:proofErr w:type="spellEnd"/>
            <w:r w:rsidRPr="00384856">
              <w:rPr>
                <w:rFonts w:ascii="Arial Narrow" w:hAnsi="Arial Narrow"/>
                <w:i/>
                <w:sz w:val="20"/>
                <w:szCs w:val="20"/>
              </w:rPr>
              <w:t xml:space="preserve"> J </w:t>
            </w:r>
            <w:proofErr w:type="spellStart"/>
            <w:r w:rsidRPr="00384856">
              <w:rPr>
                <w:rFonts w:ascii="Arial Narrow" w:hAnsi="Arial Narrow"/>
                <w:i/>
                <w:sz w:val="20"/>
                <w:szCs w:val="20"/>
              </w:rPr>
              <w:t>Neurophsycopharmacol</w:t>
            </w:r>
            <w:proofErr w:type="spellEnd"/>
            <w:r w:rsidRPr="00EC646A">
              <w:rPr>
                <w:rFonts w:ascii="Arial Narrow" w:hAnsi="Arial Narrow"/>
                <w:sz w:val="20"/>
                <w:szCs w:val="20"/>
              </w:rPr>
              <w:t xml:space="preserve"> 2012, 15:589-600</w:t>
            </w:r>
          </w:p>
        </w:tc>
      </w:tr>
      <w:tr w:rsidR="00DA40A0" w:rsidRPr="00EC646A" w:rsidTr="00DA40A0">
        <w:tblPrEx>
          <w:tblCellMar>
            <w:left w:w="108" w:type="dxa"/>
            <w:right w:w="108" w:type="dxa"/>
          </w:tblCellMar>
        </w:tblPrEx>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EC646A">
              <w:rPr>
                <w:rFonts w:ascii="Arial Narrow" w:hAnsi="Arial Narrow"/>
                <w:sz w:val="20"/>
                <w:szCs w:val="20"/>
              </w:rPr>
              <w:t>Artigas F</w:t>
            </w:r>
          </w:p>
        </w:tc>
        <w:tc>
          <w:tcPr>
            <w:tcW w:w="2750" w:type="pct"/>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 xml:space="preserve">A randomised, double-blind, placebo-controlled, active-referenced study of Lu AA21004 in patients with major depression. </w:t>
            </w:r>
          </w:p>
        </w:tc>
        <w:tc>
          <w:tcPr>
            <w:tcW w:w="1333" w:type="pct"/>
          </w:tcPr>
          <w:p w:rsidR="00DA40A0" w:rsidRPr="00EC646A" w:rsidRDefault="00DA40A0" w:rsidP="005229C4">
            <w:pPr>
              <w:pStyle w:val="ListParagraph"/>
              <w:ind w:left="53"/>
              <w:rPr>
                <w:rFonts w:ascii="Arial Narrow" w:hAnsi="Arial Narrow"/>
                <w:sz w:val="20"/>
                <w:szCs w:val="20"/>
              </w:rPr>
            </w:pPr>
            <w:proofErr w:type="spellStart"/>
            <w:r w:rsidRPr="00384856">
              <w:rPr>
                <w:rFonts w:ascii="Arial Narrow" w:hAnsi="Arial Narrow"/>
                <w:i/>
                <w:sz w:val="20"/>
                <w:szCs w:val="20"/>
              </w:rPr>
              <w:t>Eur</w:t>
            </w:r>
            <w:proofErr w:type="spellEnd"/>
            <w:r w:rsidRPr="00384856">
              <w:rPr>
                <w:rFonts w:ascii="Arial Narrow" w:hAnsi="Arial Narrow"/>
                <w:i/>
                <w:sz w:val="20"/>
                <w:szCs w:val="20"/>
              </w:rPr>
              <w:t xml:space="preserve"> </w:t>
            </w:r>
            <w:proofErr w:type="spellStart"/>
            <w:r w:rsidRPr="00384856">
              <w:rPr>
                <w:rFonts w:ascii="Arial Narrow" w:hAnsi="Arial Narrow"/>
                <w:i/>
                <w:sz w:val="20"/>
                <w:szCs w:val="20"/>
              </w:rPr>
              <w:t>Neuropsychopharmacol</w:t>
            </w:r>
            <w:proofErr w:type="spellEnd"/>
            <w:r w:rsidRPr="00EC646A">
              <w:rPr>
                <w:rFonts w:ascii="Arial Narrow" w:hAnsi="Arial Narrow"/>
                <w:sz w:val="20"/>
                <w:szCs w:val="20"/>
              </w:rPr>
              <w:t xml:space="preserve"> 2009; 19:S426-7.</w:t>
            </w:r>
          </w:p>
        </w:tc>
      </w:tr>
      <w:tr w:rsidR="00DA40A0" w:rsidRPr="00EC646A" w:rsidTr="00DA40A0">
        <w:tblPrEx>
          <w:tblCellMar>
            <w:left w:w="108" w:type="dxa"/>
            <w:right w:w="108" w:type="dxa"/>
          </w:tblCellMar>
        </w:tblPrEx>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EC646A">
              <w:rPr>
                <w:rFonts w:ascii="Arial Narrow" w:hAnsi="Arial Narrow"/>
                <w:sz w:val="20"/>
                <w:szCs w:val="20"/>
              </w:rPr>
              <w:t>13926A</w:t>
            </w:r>
          </w:p>
        </w:tc>
        <w:tc>
          <w:tcPr>
            <w:tcW w:w="2750" w:type="pct"/>
          </w:tcPr>
          <w:p w:rsidR="00DA40A0" w:rsidRPr="00EC646A" w:rsidRDefault="00DA40A0" w:rsidP="005229C4">
            <w:pPr>
              <w:pStyle w:val="ListParagraph"/>
              <w:ind w:left="-91"/>
              <w:jc w:val="both"/>
              <w:rPr>
                <w:rFonts w:ascii="Arial Narrow" w:hAnsi="Arial Narrow"/>
                <w:sz w:val="20"/>
                <w:szCs w:val="20"/>
              </w:rPr>
            </w:pPr>
            <w:r w:rsidRPr="00EC646A">
              <w:rPr>
                <w:rFonts w:ascii="Arial Narrow" w:hAnsi="Arial Narrow"/>
                <w:sz w:val="20"/>
                <w:szCs w:val="20"/>
              </w:rPr>
              <w:t>Randomised, double-blind, parallel-group, active-comparator (venlafaxine XR), fixed-dose study of Lu AA21004 in Major Depressive Disorder in Asian countries</w:t>
            </w:r>
          </w:p>
        </w:tc>
        <w:tc>
          <w:tcPr>
            <w:tcW w:w="1333" w:type="pct"/>
          </w:tcPr>
          <w:p w:rsidR="00DA40A0" w:rsidRPr="00EC646A" w:rsidRDefault="00DA40A0" w:rsidP="005229C4">
            <w:pPr>
              <w:pStyle w:val="ListParagraph"/>
              <w:ind w:left="53"/>
              <w:jc w:val="both"/>
              <w:rPr>
                <w:rFonts w:ascii="Arial Narrow" w:hAnsi="Arial Narrow"/>
                <w:sz w:val="20"/>
                <w:szCs w:val="20"/>
              </w:rPr>
            </w:pPr>
            <w:r w:rsidRPr="00EC646A">
              <w:rPr>
                <w:rFonts w:ascii="Arial Narrow" w:hAnsi="Arial Narrow"/>
                <w:sz w:val="20"/>
                <w:szCs w:val="20"/>
              </w:rPr>
              <w:t>2013</w:t>
            </w:r>
          </w:p>
        </w:tc>
      </w:tr>
    </w:tbl>
    <w:p w:rsidR="007D560F" w:rsidRDefault="007D560F"/>
    <w:tbl>
      <w:tblPr>
        <w:tblW w:w="46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4690"/>
        <w:gridCol w:w="2273"/>
      </w:tblGrid>
      <w:tr w:rsidR="00DA40A0" w:rsidRPr="00EC646A" w:rsidTr="007D560F">
        <w:trPr>
          <w:cantSplit/>
          <w:trHeight w:val="353"/>
        </w:trPr>
        <w:tc>
          <w:tcPr>
            <w:tcW w:w="5000" w:type="pct"/>
            <w:gridSpan w:val="3"/>
            <w:shd w:val="clear" w:color="auto" w:fill="auto"/>
            <w:vAlign w:val="center"/>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 xml:space="preserve">Trials of </w:t>
            </w:r>
            <w:proofErr w:type="spellStart"/>
            <w:r w:rsidRPr="00EC646A">
              <w:rPr>
                <w:rFonts w:ascii="Arial Narrow" w:hAnsi="Arial Narrow"/>
                <w:sz w:val="20"/>
                <w:szCs w:val="20"/>
              </w:rPr>
              <w:t>vortioxetine</w:t>
            </w:r>
            <w:proofErr w:type="spellEnd"/>
            <w:r w:rsidRPr="00EC646A">
              <w:rPr>
                <w:rFonts w:ascii="Arial Narrow" w:hAnsi="Arial Narrow"/>
                <w:sz w:val="20"/>
                <w:szCs w:val="20"/>
              </w:rPr>
              <w:t xml:space="preserve"> and duloxetine </w:t>
            </w:r>
          </w:p>
        </w:tc>
      </w:tr>
      <w:tr w:rsidR="00DA40A0" w:rsidRPr="00EC646A" w:rsidTr="007D560F">
        <w:trPr>
          <w:cantSplit/>
          <w:trHeight w:val="937"/>
        </w:trPr>
        <w:tc>
          <w:tcPr>
            <w:tcW w:w="917" w:type="pct"/>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304</w:t>
            </w:r>
          </w:p>
        </w:tc>
        <w:tc>
          <w:tcPr>
            <w:tcW w:w="2750" w:type="pct"/>
          </w:tcPr>
          <w:p w:rsidR="00DA40A0"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A Randomized, Double-Blind, Parallel-Group, Placebo-Controlled, Active-Referenced, Fixed-Dose Study Comparing the Efficacy and Safety of 2 Doses of Lu AA21004 in Acute Treatment of Adults With Major Depressive Disorder</w:t>
            </w:r>
          </w:p>
          <w:p w:rsidR="00DA40A0" w:rsidRPr="00EC646A" w:rsidRDefault="00DA40A0" w:rsidP="005229C4">
            <w:pPr>
              <w:pStyle w:val="ListParagraph"/>
              <w:ind w:left="0"/>
              <w:jc w:val="both"/>
              <w:rPr>
                <w:rFonts w:ascii="Arial Narrow" w:hAnsi="Arial Narrow"/>
                <w:sz w:val="20"/>
                <w:szCs w:val="20"/>
              </w:rPr>
            </w:pPr>
          </w:p>
        </w:tc>
        <w:tc>
          <w:tcPr>
            <w:tcW w:w="1333" w:type="pct"/>
          </w:tcPr>
          <w:p w:rsidR="00DA40A0" w:rsidRPr="00EC646A" w:rsidRDefault="00DA40A0" w:rsidP="005229C4">
            <w:pPr>
              <w:pStyle w:val="ListParagraph"/>
              <w:ind w:left="53"/>
              <w:jc w:val="both"/>
              <w:rPr>
                <w:rFonts w:ascii="Arial Narrow" w:hAnsi="Arial Narrow"/>
                <w:sz w:val="20"/>
                <w:szCs w:val="20"/>
              </w:rPr>
            </w:pPr>
            <w:r w:rsidRPr="00EC646A">
              <w:rPr>
                <w:rFonts w:ascii="Arial Narrow" w:hAnsi="Arial Narrow"/>
                <w:sz w:val="20"/>
                <w:szCs w:val="20"/>
              </w:rPr>
              <w:t>2010</w:t>
            </w:r>
          </w:p>
        </w:tc>
      </w:tr>
      <w:tr w:rsidR="00DA40A0" w:rsidRPr="00EC646A" w:rsidTr="007D560F">
        <w:trPr>
          <w:cantSplit/>
          <w:trHeight w:val="937"/>
        </w:trPr>
        <w:tc>
          <w:tcPr>
            <w:tcW w:w="917" w:type="pct"/>
          </w:tcPr>
          <w:p w:rsidR="00DA40A0" w:rsidRPr="00EC646A" w:rsidRDefault="00DA40A0" w:rsidP="005229C4">
            <w:pPr>
              <w:pStyle w:val="ListParagraph"/>
              <w:ind w:left="0"/>
              <w:jc w:val="both"/>
              <w:rPr>
                <w:rFonts w:ascii="Arial Narrow" w:hAnsi="Arial Narrow"/>
                <w:sz w:val="20"/>
                <w:szCs w:val="20"/>
              </w:rPr>
            </w:pPr>
            <w:proofErr w:type="spellStart"/>
            <w:r w:rsidRPr="00384856">
              <w:rPr>
                <w:rFonts w:ascii="Arial Narrow" w:hAnsi="Arial Narrow"/>
                <w:sz w:val="20"/>
                <w:szCs w:val="20"/>
              </w:rPr>
              <w:lastRenderedPageBreak/>
              <w:t>Mahableshwarkar</w:t>
            </w:r>
            <w:proofErr w:type="spellEnd"/>
            <w:r w:rsidRPr="00384856">
              <w:rPr>
                <w:rFonts w:ascii="Arial Narrow" w:hAnsi="Arial Narrow"/>
                <w:sz w:val="20"/>
                <w:szCs w:val="20"/>
              </w:rPr>
              <w:t xml:space="preserve"> AR</w:t>
            </w:r>
          </w:p>
        </w:tc>
        <w:tc>
          <w:tcPr>
            <w:tcW w:w="2750" w:type="pct"/>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 xml:space="preserve">A randomized, double-blind trial of 2.5 mg and 5 mg </w:t>
            </w:r>
            <w:proofErr w:type="spellStart"/>
            <w:r w:rsidRPr="00EC646A">
              <w:rPr>
                <w:rFonts w:ascii="Arial Narrow" w:hAnsi="Arial Narrow"/>
                <w:sz w:val="20"/>
                <w:szCs w:val="20"/>
              </w:rPr>
              <w:t>vortioxetine</w:t>
            </w:r>
            <w:proofErr w:type="spellEnd"/>
            <w:r w:rsidRPr="00EC646A">
              <w:rPr>
                <w:rFonts w:ascii="Arial Narrow" w:hAnsi="Arial Narrow"/>
                <w:sz w:val="20"/>
                <w:szCs w:val="20"/>
              </w:rPr>
              <w:t xml:space="preserve"> (</w:t>
            </w:r>
            <w:proofErr w:type="spellStart"/>
            <w:r w:rsidRPr="00EC646A">
              <w:rPr>
                <w:rFonts w:ascii="Arial Narrow" w:hAnsi="Arial Narrow"/>
                <w:sz w:val="20"/>
                <w:szCs w:val="20"/>
              </w:rPr>
              <w:t>lu</w:t>
            </w:r>
            <w:proofErr w:type="spellEnd"/>
            <w:r w:rsidRPr="00EC646A">
              <w:rPr>
                <w:rFonts w:ascii="Arial Narrow" w:hAnsi="Arial Narrow"/>
                <w:sz w:val="20"/>
                <w:szCs w:val="20"/>
              </w:rPr>
              <w:t xml:space="preserve"> AA21004) versus placebo for 8 weeks in adults with major depressive disorder. </w:t>
            </w:r>
          </w:p>
        </w:tc>
        <w:tc>
          <w:tcPr>
            <w:tcW w:w="1333" w:type="pct"/>
          </w:tcPr>
          <w:p w:rsidR="00DA40A0" w:rsidRPr="00EC646A" w:rsidRDefault="00DA40A0" w:rsidP="005229C4">
            <w:pPr>
              <w:pStyle w:val="ListParagraph"/>
              <w:ind w:left="53"/>
              <w:jc w:val="both"/>
              <w:rPr>
                <w:rFonts w:ascii="Arial Narrow" w:hAnsi="Arial Narrow"/>
                <w:sz w:val="20"/>
                <w:szCs w:val="20"/>
              </w:rPr>
            </w:pPr>
            <w:proofErr w:type="spellStart"/>
            <w:r w:rsidRPr="00384856">
              <w:rPr>
                <w:rFonts w:ascii="Arial Narrow" w:hAnsi="Arial Narrow"/>
                <w:i/>
                <w:sz w:val="20"/>
                <w:szCs w:val="20"/>
              </w:rPr>
              <w:t>Curr</w:t>
            </w:r>
            <w:proofErr w:type="spellEnd"/>
            <w:r w:rsidRPr="00384856">
              <w:rPr>
                <w:rFonts w:ascii="Arial Narrow" w:hAnsi="Arial Narrow"/>
                <w:i/>
                <w:sz w:val="20"/>
                <w:szCs w:val="20"/>
              </w:rPr>
              <w:t xml:space="preserve"> Med Res </w:t>
            </w:r>
            <w:proofErr w:type="spellStart"/>
            <w:r w:rsidRPr="00384856">
              <w:rPr>
                <w:rFonts w:ascii="Arial Narrow" w:hAnsi="Arial Narrow"/>
                <w:i/>
                <w:sz w:val="20"/>
                <w:szCs w:val="20"/>
              </w:rPr>
              <w:t>Opin</w:t>
            </w:r>
            <w:proofErr w:type="spellEnd"/>
            <w:r w:rsidRPr="00EC646A">
              <w:rPr>
                <w:rFonts w:ascii="Arial Narrow" w:hAnsi="Arial Narrow"/>
                <w:sz w:val="20"/>
                <w:szCs w:val="20"/>
              </w:rPr>
              <w:t xml:space="preserve"> 2013; 29 (3):217-26.</w:t>
            </w:r>
          </w:p>
        </w:tc>
      </w:tr>
      <w:tr w:rsidR="00DA40A0" w:rsidRPr="00EC646A" w:rsidTr="007D560F">
        <w:trPr>
          <w:cantSplit/>
          <w:trHeight w:val="937"/>
        </w:trPr>
        <w:tc>
          <w:tcPr>
            <w:tcW w:w="917" w:type="pct"/>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315</w:t>
            </w:r>
          </w:p>
        </w:tc>
        <w:tc>
          <w:tcPr>
            <w:tcW w:w="2750" w:type="pct"/>
          </w:tcPr>
          <w:p w:rsidR="00DA40A0"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A Phase 3, Randomized, Double-Blind, Parallel-Group, Placebo-Controlled, Duloxetine-Referenced, Fixed-Dose Study Comparing the Efficacy and Safety of 2 Doses (15 and 20 mg) of Lu AA21004 in Acute Treatment of Adults With Major Depressive Disorder</w:t>
            </w:r>
          </w:p>
          <w:p w:rsidR="00DA40A0" w:rsidRPr="00EC646A" w:rsidRDefault="00DA40A0" w:rsidP="005229C4">
            <w:pPr>
              <w:pStyle w:val="ListParagraph"/>
              <w:ind w:left="0"/>
              <w:jc w:val="both"/>
              <w:rPr>
                <w:rFonts w:ascii="Arial Narrow" w:hAnsi="Arial Narrow"/>
                <w:sz w:val="20"/>
                <w:szCs w:val="20"/>
              </w:rPr>
            </w:pPr>
          </w:p>
        </w:tc>
        <w:tc>
          <w:tcPr>
            <w:tcW w:w="1333" w:type="pct"/>
          </w:tcPr>
          <w:p w:rsidR="00DA40A0" w:rsidRPr="00EC646A" w:rsidRDefault="00DA40A0" w:rsidP="005229C4">
            <w:pPr>
              <w:pStyle w:val="ListParagraph"/>
              <w:ind w:left="53"/>
              <w:jc w:val="both"/>
              <w:rPr>
                <w:rFonts w:ascii="Arial Narrow" w:hAnsi="Arial Narrow"/>
                <w:sz w:val="20"/>
                <w:szCs w:val="20"/>
              </w:rPr>
            </w:pPr>
            <w:r w:rsidRPr="00EC646A">
              <w:rPr>
                <w:rFonts w:ascii="Arial Narrow" w:hAnsi="Arial Narrow"/>
                <w:sz w:val="20"/>
                <w:szCs w:val="20"/>
              </w:rPr>
              <w:t>2012</w:t>
            </w:r>
          </w:p>
        </w:tc>
      </w:tr>
      <w:tr w:rsidR="00DA40A0" w:rsidRPr="00EC646A" w:rsidTr="007D560F">
        <w:trPr>
          <w:cantSplit/>
          <w:trHeight w:val="937"/>
        </w:trPr>
        <w:tc>
          <w:tcPr>
            <w:tcW w:w="917" w:type="pct"/>
          </w:tcPr>
          <w:p w:rsidR="00DA40A0" w:rsidRPr="00EC646A"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11984A</w:t>
            </w:r>
          </w:p>
        </w:tc>
        <w:tc>
          <w:tcPr>
            <w:tcW w:w="2750" w:type="pct"/>
          </w:tcPr>
          <w:p w:rsidR="00DA40A0"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A randomised, double-blind, parallel-group, placebo-controlled, duloxetine-referenced, fixed-dose study evaluating the efficacy and safety of three dosages of Lu AA21004, in acute treatment of Major Depressive Disorder</w:t>
            </w:r>
          </w:p>
          <w:p w:rsidR="00DA40A0" w:rsidRPr="00EC646A" w:rsidRDefault="00DA40A0" w:rsidP="005229C4">
            <w:pPr>
              <w:pStyle w:val="ListParagraph"/>
              <w:ind w:left="0"/>
              <w:jc w:val="both"/>
              <w:rPr>
                <w:rFonts w:ascii="Arial Narrow" w:hAnsi="Arial Narrow"/>
                <w:sz w:val="20"/>
                <w:szCs w:val="20"/>
              </w:rPr>
            </w:pPr>
          </w:p>
        </w:tc>
        <w:tc>
          <w:tcPr>
            <w:tcW w:w="1333" w:type="pct"/>
          </w:tcPr>
          <w:p w:rsidR="00DA40A0" w:rsidRPr="00EC646A" w:rsidRDefault="00DA40A0" w:rsidP="005229C4">
            <w:pPr>
              <w:pStyle w:val="ListParagraph"/>
              <w:ind w:left="53"/>
              <w:jc w:val="both"/>
              <w:rPr>
                <w:rFonts w:ascii="Arial Narrow" w:hAnsi="Arial Narrow"/>
                <w:sz w:val="20"/>
                <w:szCs w:val="20"/>
              </w:rPr>
            </w:pPr>
            <w:r w:rsidRPr="00EC646A">
              <w:rPr>
                <w:rFonts w:ascii="Arial Narrow" w:hAnsi="Arial Narrow"/>
                <w:sz w:val="20"/>
                <w:szCs w:val="20"/>
              </w:rPr>
              <w:t>2010</w:t>
            </w:r>
          </w:p>
        </w:tc>
      </w:tr>
      <w:tr w:rsidR="00DA40A0" w:rsidRPr="00EC646A" w:rsidTr="007D560F">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384856">
              <w:rPr>
                <w:rFonts w:ascii="Arial Narrow" w:hAnsi="Arial Narrow"/>
                <w:sz w:val="20"/>
                <w:szCs w:val="20"/>
              </w:rPr>
              <w:t>Baldwin DS</w:t>
            </w:r>
          </w:p>
        </w:tc>
        <w:tc>
          <w:tcPr>
            <w:tcW w:w="2750" w:type="pct"/>
          </w:tcPr>
          <w:p w:rsidR="00DA40A0" w:rsidRDefault="00DA40A0" w:rsidP="005229C4">
            <w:pPr>
              <w:pStyle w:val="ListParagraph"/>
              <w:ind w:left="0"/>
              <w:jc w:val="both"/>
              <w:rPr>
                <w:rFonts w:ascii="Arial Narrow" w:hAnsi="Arial Narrow"/>
                <w:sz w:val="20"/>
                <w:szCs w:val="20"/>
              </w:rPr>
            </w:pPr>
            <w:r w:rsidRPr="00EC646A">
              <w:rPr>
                <w:rFonts w:ascii="Arial Narrow" w:hAnsi="Arial Narrow"/>
                <w:sz w:val="20"/>
                <w:szCs w:val="20"/>
              </w:rPr>
              <w:t xml:space="preserve">A randomised, double-blind, placebo-controlled, duloxetine-referenced, fixed-dose study of three dosages of Lu AA21004 in acute treatment of major depressive disorder (MDD). </w:t>
            </w:r>
          </w:p>
          <w:p w:rsidR="00DA40A0" w:rsidRPr="00EC646A" w:rsidRDefault="00DA40A0" w:rsidP="005229C4">
            <w:pPr>
              <w:pStyle w:val="ListParagraph"/>
              <w:ind w:left="0"/>
              <w:jc w:val="both"/>
              <w:rPr>
                <w:rFonts w:ascii="Arial Narrow" w:hAnsi="Arial Narrow"/>
                <w:sz w:val="20"/>
                <w:szCs w:val="20"/>
              </w:rPr>
            </w:pPr>
          </w:p>
        </w:tc>
        <w:tc>
          <w:tcPr>
            <w:tcW w:w="1333" w:type="pct"/>
          </w:tcPr>
          <w:p w:rsidR="00DA40A0" w:rsidRPr="00EC646A" w:rsidRDefault="00DA40A0" w:rsidP="005229C4">
            <w:pPr>
              <w:pStyle w:val="ListParagraph"/>
              <w:ind w:left="53"/>
              <w:jc w:val="both"/>
              <w:rPr>
                <w:rFonts w:ascii="Arial Narrow" w:hAnsi="Arial Narrow"/>
                <w:sz w:val="20"/>
                <w:szCs w:val="20"/>
              </w:rPr>
            </w:pPr>
            <w:proofErr w:type="spellStart"/>
            <w:r w:rsidRPr="00384856">
              <w:rPr>
                <w:rFonts w:ascii="Arial Narrow" w:hAnsi="Arial Narrow"/>
                <w:i/>
                <w:sz w:val="20"/>
                <w:szCs w:val="20"/>
              </w:rPr>
              <w:t>Eur</w:t>
            </w:r>
            <w:proofErr w:type="spellEnd"/>
            <w:r w:rsidRPr="00384856">
              <w:rPr>
                <w:rFonts w:ascii="Arial Narrow" w:hAnsi="Arial Narrow"/>
                <w:i/>
                <w:sz w:val="20"/>
                <w:szCs w:val="20"/>
              </w:rPr>
              <w:t xml:space="preserve"> </w:t>
            </w:r>
            <w:proofErr w:type="spellStart"/>
            <w:r w:rsidRPr="00384856">
              <w:rPr>
                <w:rFonts w:ascii="Arial Narrow" w:hAnsi="Arial Narrow"/>
                <w:i/>
                <w:sz w:val="20"/>
                <w:szCs w:val="20"/>
              </w:rPr>
              <w:t>Neuropsychopharmacol</w:t>
            </w:r>
            <w:proofErr w:type="spellEnd"/>
            <w:r w:rsidRPr="00EC646A">
              <w:rPr>
                <w:rFonts w:ascii="Arial Narrow" w:hAnsi="Arial Narrow"/>
                <w:sz w:val="20"/>
                <w:szCs w:val="20"/>
              </w:rPr>
              <w:t xml:space="preserve"> 2012; 22: 482-91.</w:t>
            </w:r>
          </w:p>
        </w:tc>
      </w:tr>
      <w:tr w:rsidR="00DA40A0" w:rsidRPr="00EC646A" w:rsidTr="007D560F">
        <w:trPr>
          <w:cantSplit/>
          <w:trHeight w:val="937"/>
        </w:trPr>
        <w:tc>
          <w:tcPr>
            <w:tcW w:w="917" w:type="pct"/>
          </w:tcPr>
          <w:p w:rsidR="00DA40A0" w:rsidRPr="00EC646A" w:rsidRDefault="00DA40A0" w:rsidP="005229C4">
            <w:pPr>
              <w:pStyle w:val="ListParagraph"/>
              <w:ind w:left="0"/>
              <w:jc w:val="both"/>
              <w:rPr>
                <w:rFonts w:ascii="Arial Narrow" w:hAnsi="Arial Narrow"/>
                <w:sz w:val="20"/>
                <w:szCs w:val="20"/>
              </w:rPr>
            </w:pPr>
            <w:r w:rsidRPr="00384856">
              <w:rPr>
                <w:rFonts w:ascii="Arial Narrow" w:hAnsi="Arial Narrow"/>
                <w:sz w:val="20"/>
                <w:szCs w:val="20"/>
              </w:rPr>
              <w:t>Baldwin D</w:t>
            </w:r>
          </w:p>
        </w:tc>
        <w:tc>
          <w:tcPr>
            <w:tcW w:w="2750" w:type="pct"/>
          </w:tcPr>
          <w:p w:rsidR="00DA40A0" w:rsidRPr="00EC646A" w:rsidRDefault="00DA40A0" w:rsidP="005229C4">
            <w:pPr>
              <w:pStyle w:val="ListParagraph"/>
              <w:ind w:left="51"/>
              <w:jc w:val="both"/>
              <w:rPr>
                <w:rFonts w:ascii="Arial Narrow" w:hAnsi="Arial Narrow"/>
                <w:sz w:val="20"/>
                <w:szCs w:val="20"/>
              </w:rPr>
            </w:pPr>
            <w:r w:rsidRPr="00EC646A">
              <w:rPr>
                <w:rFonts w:ascii="Arial Narrow" w:hAnsi="Arial Narrow"/>
                <w:sz w:val="20"/>
                <w:szCs w:val="20"/>
              </w:rPr>
              <w:t xml:space="preserve">A randomised, double-blind, placebo-controlled, duloxetine-referenced, fixed-dose study of three dosages of Lu AA21004 in MDD treatment. </w:t>
            </w:r>
          </w:p>
        </w:tc>
        <w:tc>
          <w:tcPr>
            <w:tcW w:w="1333" w:type="pct"/>
          </w:tcPr>
          <w:p w:rsidR="00DA40A0" w:rsidRPr="00EC646A" w:rsidRDefault="00DA40A0" w:rsidP="005229C4">
            <w:pPr>
              <w:pStyle w:val="ListParagraph"/>
              <w:ind w:left="0"/>
              <w:jc w:val="both"/>
              <w:rPr>
                <w:rFonts w:ascii="Arial Narrow" w:hAnsi="Arial Narrow"/>
                <w:sz w:val="20"/>
                <w:szCs w:val="20"/>
              </w:rPr>
            </w:pPr>
            <w:proofErr w:type="spellStart"/>
            <w:r w:rsidRPr="00384856">
              <w:rPr>
                <w:rFonts w:ascii="Arial Narrow" w:hAnsi="Arial Narrow"/>
                <w:i/>
                <w:sz w:val="20"/>
                <w:szCs w:val="20"/>
              </w:rPr>
              <w:t>Eur</w:t>
            </w:r>
            <w:proofErr w:type="spellEnd"/>
            <w:r w:rsidRPr="00384856">
              <w:rPr>
                <w:rFonts w:ascii="Arial Narrow" w:hAnsi="Arial Narrow"/>
                <w:i/>
                <w:sz w:val="20"/>
                <w:szCs w:val="20"/>
              </w:rPr>
              <w:t xml:space="preserve"> </w:t>
            </w:r>
            <w:proofErr w:type="spellStart"/>
            <w:r w:rsidRPr="00384856">
              <w:rPr>
                <w:rFonts w:ascii="Arial Narrow" w:hAnsi="Arial Narrow"/>
                <w:i/>
                <w:sz w:val="20"/>
                <w:szCs w:val="20"/>
              </w:rPr>
              <w:t>Neuropsychopharmacol</w:t>
            </w:r>
            <w:proofErr w:type="spellEnd"/>
            <w:r w:rsidRPr="00384856">
              <w:rPr>
                <w:rFonts w:ascii="Arial Narrow" w:hAnsi="Arial Narrow"/>
                <w:i/>
                <w:sz w:val="20"/>
                <w:szCs w:val="20"/>
              </w:rPr>
              <w:t xml:space="preserve"> </w:t>
            </w:r>
            <w:r w:rsidRPr="00EC646A">
              <w:rPr>
                <w:rFonts w:ascii="Arial Narrow" w:hAnsi="Arial Narrow"/>
                <w:sz w:val="20"/>
                <w:szCs w:val="20"/>
              </w:rPr>
              <w:t>2011; 21: S390</w:t>
            </w:r>
          </w:p>
        </w:tc>
      </w:tr>
      <w:tr w:rsidR="00DA40A0" w:rsidRPr="00EC646A" w:rsidTr="007D560F">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EC646A">
              <w:rPr>
                <w:rFonts w:ascii="Arial Narrow" w:hAnsi="Arial Narrow"/>
                <w:sz w:val="20"/>
                <w:szCs w:val="20"/>
              </w:rPr>
              <w:t>12541A</w:t>
            </w:r>
          </w:p>
        </w:tc>
        <w:tc>
          <w:tcPr>
            <w:tcW w:w="2750" w:type="pct"/>
          </w:tcPr>
          <w:p w:rsidR="00DA40A0" w:rsidRDefault="00DA40A0" w:rsidP="005229C4">
            <w:pPr>
              <w:pStyle w:val="ListParagraph"/>
              <w:ind w:left="51"/>
              <w:jc w:val="both"/>
              <w:rPr>
                <w:rFonts w:ascii="Arial Narrow" w:hAnsi="Arial Narrow"/>
                <w:sz w:val="20"/>
                <w:szCs w:val="20"/>
              </w:rPr>
            </w:pPr>
            <w:r w:rsidRPr="00EC646A">
              <w:rPr>
                <w:rFonts w:ascii="Arial Narrow" w:hAnsi="Arial Narrow"/>
                <w:sz w:val="20"/>
                <w:szCs w:val="20"/>
              </w:rPr>
              <w:t>Randomised, double-blind, parallel-group, placebo-controlled, duloxetine-referenced, fixed-dose study comparing the efficacy and safety of Lu AA21004 in acute treatment of Major Depressive Disorder in elderly patients</w:t>
            </w:r>
          </w:p>
          <w:p w:rsidR="00DA40A0" w:rsidRPr="00EC646A" w:rsidRDefault="00DA40A0" w:rsidP="005229C4">
            <w:pPr>
              <w:pStyle w:val="ListParagraph"/>
              <w:ind w:left="51"/>
              <w:jc w:val="both"/>
              <w:rPr>
                <w:rFonts w:ascii="Arial Narrow" w:hAnsi="Arial Narrow"/>
                <w:sz w:val="20"/>
                <w:szCs w:val="20"/>
              </w:rPr>
            </w:pPr>
          </w:p>
        </w:tc>
        <w:tc>
          <w:tcPr>
            <w:tcW w:w="1333" w:type="pct"/>
          </w:tcPr>
          <w:p w:rsidR="00DA40A0" w:rsidRPr="00EC646A" w:rsidRDefault="00DA40A0" w:rsidP="005229C4">
            <w:pPr>
              <w:pStyle w:val="ListParagraph"/>
              <w:ind w:left="-6"/>
              <w:jc w:val="both"/>
              <w:rPr>
                <w:rFonts w:ascii="Arial Narrow" w:hAnsi="Arial Narrow"/>
                <w:sz w:val="20"/>
                <w:szCs w:val="20"/>
              </w:rPr>
            </w:pPr>
            <w:r w:rsidRPr="00EC646A">
              <w:rPr>
                <w:rFonts w:ascii="Arial Narrow" w:hAnsi="Arial Narrow"/>
                <w:sz w:val="20"/>
                <w:szCs w:val="20"/>
              </w:rPr>
              <w:t>2011</w:t>
            </w:r>
          </w:p>
        </w:tc>
      </w:tr>
      <w:tr w:rsidR="00DA40A0" w:rsidRPr="00EC646A" w:rsidTr="007D560F">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proofErr w:type="spellStart"/>
            <w:r w:rsidRPr="00384856">
              <w:rPr>
                <w:rFonts w:ascii="Arial Narrow" w:hAnsi="Arial Narrow"/>
                <w:sz w:val="20"/>
                <w:szCs w:val="20"/>
              </w:rPr>
              <w:t>Katona</w:t>
            </w:r>
            <w:proofErr w:type="spellEnd"/>
            <w:r w:rsidRPr="00384856">
              <w:rPr>
                <w:rFonts w:ascii="Arial Narrow" w:hAnsi="Arial Narrow"/>
                <w:sz w:val="20"/>
                <w:szCs w:val="20"/>
              </w:rPr>
              <w:t xml:space="preserve"> C</w:t>
            </w:r>
          </w:p>
        </w:tc>
        <w:tc>
          <w:tcPr>
            <w:tcW w:w="2750" w:type="pct"/>
          </w:tcPr>
          <w:p w:rsidR="00DA40A0" w:rsidRDefault="00DA40A0" w:rsidP="005229C4">
            <w:pPr>
              <w:pStyle w:val="ListParagraph"/>
              <w:ind w:left="51"/>
              <w:jc w:val="both"/>
              <w:rPr>
                <w:rFonts w:ascii="Arial Narrow" w:hAnsi="Arial Narrow"/>
                <w:sz w:val="20"/>
                <w:szCs w:val="20"/>
              </w:rPr>
            </w:pPr>
            <w:r w:rsidRPr="00EC646A">
              <w:rPr>
                <w:rFonts w:ascii="Arial Narrow" w:hAnsi="Arial Narrow"/>
                <w:sz w:val="20"/>
                <w:szCs w:val="20"/>
              </w:rPr>
              <w:t xml:space="preserve">A randomized, double-blind, placebo-controlled, duloxetine-referenced, fixed-dose study comparing the efficacy and safety of Lu AA21004 in elderly patients with major depressive disorder. </w:t>
            </w:r>
          </w:p>
          <w:p w:rsidR="00DA40A0" w:rsidRPr="00EC646A" w:rsidRDefault="00DA40A0" w:rsidP="005229C4">
            <w:pPr>
              <w:pStyle w:val="ListParagraph"/>
              <w:ind w:left="51"/>
              <w:jc w:val="both"/>
              <w:rPr>
                <w:rFonts w:ascii="Arial Narrow" w:hAnsi="Arial Narrow"/>
                <w:sz w:val="20"/>
                <w:szCs w:val="20"/>
              </w:rPr>
            </w:pPr>
          </w:p>
        </w:tc>
        <w:tc>
          <w:tcPr>
            <w:tcW w:w="1333" w:type="pct"/>
          </w:tcPr>
          <w:p w:rsidR="00DA40A0" w:rsidRPr="00EC646A" w:rsidRDefault="00DA40A0" w:rsidP="005229C4">
            <w:pPr>
              <w:pStyle w:val="ListParagraph"/>
              <w:ind w:left="-6"/>
              <w:rPr>
                <w:rFonts w:ascii="Arial Narrow" w:hAnsi="Arial Narrow"/>
                <w:sz w:val="20"/>
                <w:szCs w:val="20"/>
              </w:rPr>
            </w:pPr>
            <w:proofErr w:type="spellStart"/>
            <w:r w:rsidRPr="00384856">
              <w:rPr>
                <w:rFonts w:ascii="Arial Narrow" w:hAnsi="Arial Narrow"/>
                <w:i/>
                <w:sz w:val="20"/>
                <w:szCs w:val="20"/>
              </w:rPr>
              <w:t>Int</w:t>
            </w:r>
            <w:proofErr w:type="spellEnd"/>
            <w:r w:rsidRPr="00384856">
              <w:rPr>
                <w:rFonts w:ascii="Arial Narrow" w:hAnsi="Arial Narrow"/>
                <w:i/>
                <w:sz w:val="20"/>
                <w:szCs w:val="20"/>
              </w:rPr>
              <w:t xml:space="preserve"> </w:t>
            </w:r>
            <w:proofErr w:type="spellStart"/>
            <w:r w:rsidRPr="00384856">
              <w:rPr>
                <w:rFonts w:ascii="Arial Narrow" w:hAnsi="Arial Narrow"/>
                <w:i/>
                <w:sz w:val="20"/>
                <w:szCs w:val="20"/>
              </w:rPr>
              <w:t>Clin</w:t>
            </w:r>
            <w:proofErr w:type="spellEnd"/>
            <w:r w:rsidRPr="00384856">
              <w:rPr>
                <w:rFonts w:ascii="Arial Narrow" w:hAnsi="Arial Narrow"/>
                <w:i/>
                <w:sz w:val="20"/>
                <w:szCs w:val="20"/>
              </w:rPr>
              <w:t xml:space="preserve"> </w:t>
            </w:r>
            <w:proofErr w:type="spellStart"/>
            <w:r w:rsidRPr="00384856">
              <w:rPr>
                <w:rFonts w:ascii="Arial Narrow" w:hAnsi="Arial Narrow"/>
                <w:i/>
                <w:sz w:val="20"/>
                <w:szCs w:val="20"/>
              </w:rPr>
              <w:t>Neuropsychopharmacol</w:t>
            </w:r>
            <w:proofErr w:type="spellEnd"/>
            <w:r w:rsidRPr="00EC646A">
              <w:rPr>
                <w:rFonts w:ascii="Arial Narrow" w:hAnsi="Arial Narrow"/>
                <w:sz w:val="20"/>
                <w:szCs w:val="20"/>
              </w:rPr>
              <w:t xml:space="preserve"> 2012; 27(4): 215-23.</w:t>
            </w:r>
          </w:p>
        </w:tc>
      </w:tr>
      <w:tr w:rsidR="00DA40A0" w:rsidRPr="00EC646A" w:rsidTr="007D560F">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proofErr w:type="spellStart"/>
            <w:r w:rsidRPr="00384856">
              <w:rPr>
                <w:rFonts w:ascii="Arial Narrow" w:hAnsi="Arial Narrow"/>
                <w:sz w:val="20"/>
                <w:szCs w:val="20"/>
              </w:rPr>
              <w:t>Katona</w:t>
            </w:r>
            <w:proofErr w:type="spellEnd"/>
            <w:r w:rsidRPr="00384856">
              <w:rPr>
                <w:rFonts w:ascii="Arial Narrow" w:hAnsi="Arial Narrow"/>
                <w:sz w:val="20"/>
                <w:szCs w:val="20"/>
              </w:rPr>
              <w:t xml:space="preserve"> C</w:t>
            </w:r>
          </w:p>
        </w:tc>
        <w:tc>
          <w:tcPr>
            <w:tcW w:w="2750" w:type="pct"/>
          </w:tcPr>
          <w:p w:rsidR="00DA40A0" w:rsidRPr="00384856" w:rsidRDefault="00DA40A0" w:rsidP="005229C4">
            <w:pPr>
              <w:jc w:val="both"/>
              <w:rPr>
                <w:rFonts w:ascii="Arial Narrow" w:hAnsi="Arial Narrow"/>
                <w:sz w:val="20"/>
                <w:szCs w:val="20"/>
              </w:rPr>
            </w:pPr>
            <w:r w:rsidRPr="00384856">
              <w:rPr>
                <w:rFonts w:ascii="Arial Narrow" w:hAnsi="Arial Narrow"/>
                <w:sz w:val="20"/>
                <w:szCs w:val="20"/>
              </w:rPr>
              <w:t xml:space="preserve"> A randomised, double-blind, placebo-controlled, active-referenced, study of the multimodal antidepressant of Lu AA21004 in treatment of elderly depressed patients</w:t>
            </w:r>
            <w:proofErr w:type="gramStart"/>
            <w:r w:rsidRPr="00384856">
              <w:rPr>
                <w:rFonts w:ascii="Arial Narrow" w:hAnsi="Arial Narrow"/>
                <w:sz w:val="20"/>
                <w:szCs w:val="20"/>
              </w:rPr>
              <w:t>..</w:t>
            </w:r>
            <w:proofErr w:type="gramEnd"/>
          </w:p>
        </w:tc>
        <w:tc>
          <w:tcPr>
            <w:tcW w:w="1333" w:type="pct"/>
          </w:tcPr>
          <w:p w:rsidR="00DA40A0" w:rsidRPr="00EC646A" w:rsidRDefault="00DA40A0" w:rsidP="005229C4">
            <w:pPr>
              <w:pStyle w:val="ListParagraph"/>
              <w:ind w:left="-6"/>
              <w:jc w:val="both"/>
              <w:rPr>
                <w:rFonts w:ascii="Arial Narrow" w:hAnsi="Arial Narrow"/>
                <w:sz w:val="20"/>
                <w:szCs w:val="20"/>
              </w:rPr>
            </w:pPr>
            <w:proofErr w:type="spellStart"/>
            <w:r w:rsidRPr="00DA40A0">
              <w:rPr>
                <w:rFonts w:ascii="Arial Narrow" w:hAnsi="Arial Narrow"/>
                <w:i/>
                <w:sz w:val="20"/>
                <w:szCs w:val="20"/>
              </w:rPr>
              <w:t>Eur</w:t>
            </w:r>
            <w:proofErr w:type="spellEnd"/>
            <w:r w:rsidRPr="00DA40A0">
              <w:rPr>
                <w:rFonts w:ascii="Arial Narrow" w:hAnsi="Arial Narrow"/>
                <w:i/>
                <w:sz w:val="20"/>
                <w:szCs w:val="20"/>
              </w:rPr>
              <w:t xml:space="preserve"> </w:t>
            </w:r>
            <w:proofErr w:type="spellStart"/>
            <w:r w:rsidRPr="00DA40A0">
              <w:rPr>
                <w:rFonts w:ascii="Arial Narrow" w:hAnsi="Arial Narrow"/>
                <w:i/>
                <w:sz w:val="20"/>
                <w:szCs w:val="20"/>
              </w:rPr>
              <w:t>Neuropsychopharmacol</w:t>
            </w:r>
            <w:proofErr w:type="spellEnd"/>
            <w:r w:rsidRPr="00EC646A">
              <w:rPr>
                <w:rFonts w:ascii="Arial Narrow" w:hAnsi="Arial Narrow"/>
                <w:sz w:val="20"/>
                <w:szCs w:val="20"/>
              </w:rPr>
              <w:t xml:space="preserve"> 2012a; 22: S258-S259</w:t>
            </w:r>
          </w:p>
        </w:tc>
      </w:tr>
      <w:tr w:rsidR="00DA40A0" w:rsidRPr="00EC646A" w:rsidTr="007D560F">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r w:rsidRPr="00EC646A">
              <w:rPr>
                <w:rFonts w:ascii="Arial Narrow" w:hAnsi="Arial Narrow"/>
                <w:sz w:val="20"/>
                <w:szCs w:val="20"/>
              </w:rPr>
              <w:t>13267A</w:t>
            </w:r>
          </w:p>
        </w:tc>
        <w:tc>
          <w:tcPr>
            <w:tcW w:w="2750" w:type="pct"/>
          </w:tcPr>
          <w:p w:rsidR="00DA40A0" w:rsidRDefault="00DA40A0" w:rsidP="005229C4">
            <w:pPr>
              <w:pStyle w:val="ListParagraph"/>
              <w:ind w:left="51"/>
              <w:jc w:val="both"/>
              <w:rPr>
                <w:rFonts w:ascii="Arial Narrow" w:hAnsi="Arial Narrow"/>
                <w:sz w:val="20"/>
                <w:szCs w:val="20"/>
              </w:rPr>
            </w:pPr>
            <w:r w:rsidRPr="00EC646A">
              <w:rPr>
                <w:rFonts w:ascii="Arial Narrow" w:hAnsi="Arial Narrow"/>
                <w:sz w:val="20"/>
                <w:szCs w:val="20"/>
              </w:rPr>
              <w:t>A randomised, double-blind, parallel-group, placebo-controlled, duloxetine-referenced, fixed-dose study evaluating the efficacy and safety of Lu AA21004 (15 and 20mg/day) in the acute treatment of adult patients with Major Depressive Disorder</w:t>
            </w:r>
          </w:p>
          <w:p w:rsidR="00DA40A0" w:rsidRPr="00EC646A" w:rsidRDefault="00DA40A0" w:rsidP="005229C4">
            <w:pPr>
              <w:pStyle w:val="ListParagraph"/>
              <w:ind w:left="51"/>
              <w:jc w:val="both"/>
              <w:rPr>
                <w:rFonts w:ascii="Arial Narrow" w:hAnsi="Arial Narrow"/>
                <w:sz w:val="20"/>
                <w:szCs w:val="20"/>
              </w:rPr>
            </w:pPr>
          </w:p>
        </w:tc>
        <w:tc>
          <w:tcPr>
            <w:tcW w:w="1333" w:type="pct"/>
          </w:tcPr>
          <w:p w:rsidR="00DA40A0" w:rsidRPr="00EC646A" w:rsidRDefault="00DA40A0" w:rsidP="005229C4">
            <w:pPr>
              <w:pStyle w:val="ListParagraph"/>
              <w:ind w:left="-6"/>
              <w:jc w:val="both"/>
              <w:rPr>
                <w:rFonts w:ascii="Arial Narrow" w:hAnsi="Arial Narrow"/>
                <w:sz w:val="20"/>
                <w:szCs w:val="20"/>
              </w:rPr>
            </w:pPr>
            <w:r w:rsidRPr="00EC646A">
              <w:rPr>
                <w:rFonts w:ascii="Arial Narrow" w:hAnsi="Arial Narrow"/>
                <w:sz w:val="20"/>
                <w:szCs w:val="20"/>
              </w:rPr>
              <w:t>2012</w:t>
            </w:r>
          </w:p>
        </w:tc>
      </w:tr>
      <w:tr w:rsidR="00DA40A0" w:rsidRPr="00EC646A" w:rsidTr="007D560F">
        <w:trPr>
          <w:cantSplit/>
          <w:trHeight w:val="937"/>
        </w:trPr>
        <w:tc>
          <w:tcPr>
            <w:tcW w:w="917" w:type="pct"/>
          </w:tcPr>
          <w:p w:rsidR="00DA40A0" w:rsidRPr="00EC646A" w:rsidRDefault="00DA40A0" w:rsidP="005229C4">
            <w:pPr>
              <w:pStyle w:val="ListParagraph"/>
              <w:ind w:left="34"/>
              <w:jc w:val="both"/>
              <w:rPr>
                <w:rFonts w:ascii="Arial Narrow" w:hAnsi="Arial Narrow"/>
                <w:sz w:val="20"/>
                <w:szCs w:val="20"/>
              </w:rPr>
            </w:pPr>
            <w:proofErr w:type="spellStart"/>
            <w:r w:rsidRPr="00DA40A0">
              <w:rPr>
                <w:rFonts w:ascii="Arial Narrow" w:hAnsi="Arial Narrow"/>
                <w:sz w:val="20"/>
                <w:szCs w:val="20"/>
              </w:rPr>
              <w:t>Boulenger</w:t>
            </w:r>
            <w:proofErr w:type="spellEnd"/>
            <w:r w:rsidRPr="00DA40A0">
              <w:rPr>
                <w:rFonts w:ascii="Arial Narrow" w:hAnsi="Arial Narrow"/>
                <w:sz w:val="20"/>
                <w:szCs w:val="20"/>
              </w:rPr>
              <w:t xml:space="preserve"> JP</w:t>
            </w:r>
          </w:p>
        </w:tc>
        <w:tc>
          <w:tcPr>
            <w:tcW w:w="2750" w:type="pct"/>
          </w:tcPr>
          <w:p w:rsidR="00DA40A0" w:rsidRPr="00EC646A" w:rsidRDefault="00DA40A0" w:rsidP="005229C4">
            <w:pPr>
              <w:pStyle w:val="ListParagraph"/>
              <w:ind w:left="51"/>
              <w:jc w:val="both"/>
              <w:rPr>
                <w:rFonts w:ascii="Arial Narrow" w:hAnsi="Arial Narrow"/>
                <w:sz w:val="20"/>
                <w:szCs w:val="20"/>
              </w:rPr>
            </w:pPr>
            <w:r w:rsidRPr="00EC646A">
              <w:rPr>
                <w:rFonts w:ascii="Arial Narrow" w:hAnsi="Arial Narrow"/>
                <w:sz w:val="20"/>
                <w:szCs w:val="20"/>
              </w:rPr>
              <w:t xml:space="preserve">Efficacy and safety of </w:t>
            </w:r>
            <w:proofErr w:type="spellStart"/>
            <w:r w:rsidRPr="00EC646A">
              <w:rPr>
                <w:rFonts w:ascii="Arial Narrow" w:hAnsi="Arial Narrow"/>
                <w:sz w:val="20"/>
                <w:szCs w:val="20"/>
              </w:rPr>
              <w:t>vortioxetine</w:t>
            </w:r>
            <w:proofErr w:type="spellEnd"/>
            <w:r w:rsidRPr="00EC646A">
              <w:rPr>
                <w:rFonts w:ascii="Arial Narrow" w:hAnsi="Arial Narrow"/>
                <w:sz w:val="20"/>
                <w:szCs w:val="20"/>
              </w:rPr>
              <w:t xml:space="preserve"> (Lu AA21004), 15 and 20 mg/day: A randomized, double-blind, placebo-controlled, duloxetine-referenced study in the acute treatment of adult patients with major depressive disorder. </w:t>
            </w:r>
          </w:p>
        </w:tc>
        <w:tc>
          <w:tcPr>
            <w:tcW w:w="1333" w:type="pct"/>
          </w:tcPr>
          <w:p w:rsidR="00DA40A0" w:rsidRPr="00EC646A" w:rsidRDefault="00DA40A0" w:rsidP="005229C4">
            <w:pPr>
              <w:pStyle w:val="ListParagraph"/>
              <w:ind w:left="-6"/>
              <w:jc w:val="both"/>
              <w:rPr>
                <w:rFonts w:ascii="Arial Narrow" w:hAnsi="Arial Narrow"/>
                <w:sz w:val="20"/>
                <w:szCs w:val="20"/>
              </w:rPr>
            </w:pPr>
            <w:proofErr w:type="spellStart"/>
            <w:r w:rsidRPr="00DA40A0">
              <w:rPr>
                <w:rFonts w:ascii="Arial Narrow" w:hAnsi="Arial Narrow"/>
                <w:i/>
                <w:sz w:val="20"/>
                <w:szCs w:val="20"/>
              </w:rPr>
              <w:t>Int</w:t>
            </w:r>
            <w:proofErr w:type="spellEnd"/>
            <w:r w:rsidRPr="00DA40A0">
              <w:rPr>
                <w:rFonts w:ascii="Arial Narrow" w:hAnsi="Arial Narrow"/>
                <w:i/>
                <w:sz w:val="20"/>
                <w:szCs w:val="20"/>
              </w:rPr>
              <w:t xml:space="preserve"> </w:t>
            </w:r>
            <w:proofErr w:type="spellStart"/>
            <w:r w:rsidRPr="00DA40A0">
              <w:rPr>
                <w:rFonts w:ascii="Arial Narrow" w:hAnsi="Arial Narrow"/>
                <w:i/>
                <w:sz w:val="20"/>
                <w:szCs w:val="20"/>
              </w:rPr>
              <w:t>Clin</w:t>
            </w:r>
            <w:proofErr w:type="spellEnd"/>
            <w:r w:rsidRPr="00DA40A0">
              <w:rPr>
                <w:rFonts w:ascii="Arial Narrow" w:hAnsi="Arial Narrow"/>
                <w:i/>
                <w:sz w:val="20"/>
                <w:szCs w:val="20"/>
              </w:rPr>
              <w:t xml:space="preserve"> </w:t>
            </w:r>
            <w:proofErr w:type="spellStart"/>
            <w:r w:rsidRPr="00DA40A0">
              <w:rPr>
                <w:rFonts w:ascii="Arial Narrow" w:hAnsi="Arial Narrow"/>
                <w:i/>
                <w:sz w:val="20"/>
                <w:szCs w:val="20"/>
              </w:rPr>
              <w:t>Psychopharmacol</w:t>
            </w:r>
            <w:proofErr w:type="spellEnd"/>
            <w:r w:rsidRPr="00EC646A">
              <w:rPr>
                <w:rFonts w:ascii="Arial Narrow" w:hAnsi="Arial Narrow"/>
                <w:sz w:val="20"/>
                <w:szCs w:val="20"/>
              </w:rPr>
              <w:t xml:space="preserve"> 2013.</w:t>
            </w:r>
          </w:p>
        </w:tc>
      </w:tr>
    </w:tbl>
    <w:p w:rsidR="00DA40A0" w:rsidRPr="00DA40A0" w:rsidRDefault="00DA40A0" w:rsidP="00DA40A0">
      <w:pPr>
        <w:jc w:val="both"/>
        <w:rPr>
          <w:rFonts w:ascii="Arial" w:hAnsi="Arial"/>
          <w:b/>
          <w:color w:val="FF00FF"/>
          <w:sz w:val="22"/>
          <w:szCs w:val="22"/>
        </w:rPr>
      </w:pPr>
    </w:p>
    <w:p w:rsidR="00DA40A0" w:rsidRPr="00DA40A0" w:rsidRDefault="00DA40A0" w:rsidP="00DA40A0">
      <w:pPr>
        <w:pStyle w:val="ListParagraph"/>
        <w:ind w:left="709"/>
        <w:jc w:val="both"/>
        <w:rPr>
          <w:rFonts w:ascii="Arial" w:hAnsi="Arial"/>
          <w:sz w:val="22"/>
          <w:szCs w:val="22"/>
          <w:u w:val="single"/>
        </w:rPr>
      </w:pPr>
    </w:p>
    <w:p w:rsidR="00DA40A0" w:rsidRPr="00DA40A0" w:rsidRDefault="00DA40A0" w:rsidP="007D560F">
      <w:pPr>
        <w:pStyle w:val="ListParagraph"/>
        <w:numPr>
          <w:ilvl w:val="1"/>
          <w:numId w:val="25"/>
        </w:numPr>
        <w:jc w:val="both"/>
        <w:rPr>
          <w:rFonts w:ascii="Arial" w:hAnsi="Arial"/>
          <w:sz w:val="22"/>
          <w:szCs w:val="22"/>
        </w:rPr>
      </w:pPr>
      <w:r w:rsidRPr="00DA40A0">
        <w:rPr>
          <w:rFonts w:ascii="Arial" w:hAnsi="Arial"/>
          <w:sz w:val="22"/>
          <w:szCs w:val="22"/>
        </w:rPr>
        <w:t>All studies included in the direct comparison include</w:t>
      </w:r>
      <w:r>
        <w:rPr>
          <w:rFonts w:ascii="Arial" w:hAnsi="Arial"/>
          <w:sz w:val="22"/>
          <w:szCs w:val="22"/>
        </w:rPr>
        <w:t>d</w:t>
      </w:r>
      <w:r w:rsidRPr="00DA40A0">
        <w:rPr>
          <w:rFonts w:ascii="Arial" w:hAnsi="Arial"/>
          <w:sz w:val="22"/>
          <w:szCs w:val="22"/>
        </w:rPr>
        <w:t xml:space="preserve"> patients </w:t>
      </w:r>
      <w:r w:rsidR="00993E70">
        <w:rPr>
          <w:rFonts w:ascii="Arial" w:hAnsi="Arial"/>
          <w:sz w:val="22"/>
          <w:szCs w:val="22"/>
        </w:rPr>
        <w:t>who</w:t>
      </w:r>
      <w:r w:rsidRPr="00DA40A0">
        <w:rPr>
          <w:rFonts w:ascii="Arial" w:hAnsi="Arial"/>
          <w:sz w:val="22"/>
          <w:szCs w:val="22"/>
        </w:rPr>
        <w:t xml:space="preserve"> had not recei</w:t>
      </w:r>
      <w:r w:rsidR="00A8667F">
        <w:rPr>
          <w:rFonts w:ascii="Arial" w:hAnsi="Arial"/>
          <w:sz w:val="22"/>
          <w:szCs w:val="22"/>
        </w:rPr>
        <w:t>ved any prior treatment for MDD</w:t>
      </w:r>
      <w:r>
        <w:rPr>
          <w:rFonts w:ascii="Arial" w:hAnsi="Arial"/>
          <w:sz w:val="22"/>
          <w:szCs w:val="22"/>
        </w:rPr>
        <w:t xml:space="preserve">. </w:t>
      </w:r>
    </w:p>
    <w:p w:rsidR="00DA40A0" w:rsidRPr="00DA40A0" w:rsidRDefault="00DA40A0" w:rsidP="00DA40A0">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882085">
      <w:pPr>
        <w:jc w:val="both"/>
        <w:rPr>
          <w:rFonts w:ascii="Arial" w:hAnsi="Arial"/>
          <w:sz w:val="22"/>
          <w:szCs w:val="22"/>
        </w:rPr>
      </w:pPr>
    </w:p>
    <w:p w:rsidR="00F17DEB" w:rsidRPr="00F17DEB" w:rsidRDefault="00F17DEB" w:rsidP="007D560F">
      <w:pPr>
        <w:pStyle w:val="ListParagraph"/>
        <w:numPr>
          <w:ilvl w:val="1"/>
          <w:numId w:val="25"/>
        </w:numPr>
        <w:jc w:val="both"/>
        <w:rPr>
          <w:rFonts w:ascii="Arial" w:hAnsi="Arial"/>
          <w:sz w:val="22"/>
          <w:szCs w:val="22"/>
        </w:rPr>
      </w:pPr>
      <w:r>
        <w:rPr>
          <w:rFonts w:ascii="Arial" w:hAnsi="Arial"/>
          <w:sz w:val="22"/>
          <w:szCs w:val="22"/>
        </w:rPr>
        <w:t xml:space="preserve">Results of the </w:t>
      </w:r>
      <w:r w:rsidRPr="007D560F">
        <w:rPr>
          <w:rFonts w:ascii="Arial" w:hAnsi="Arial"/>
          <w:sz w:val="22"/>
          <w:szCs w:val="22"/>
        </w:rPr>
        <w:t xml:space="preserve">direct comparison of </w:t>
      </w:r>
      <w:proofErr w:type="spellStart"/>
      <w:r w:rsidRPr="007D560F">
        <w:rPr>
          <w:rFonts w:ascii="Arial" w:hAnsi="Arial"/>
          <w:sz w:val="22"/>
          <w:szCs w:val="22"/>
        </w:rPr>
        <w:t>vortioxetine</w:t>
      </w:r>
      <w:proofErr w:type="spellEnd"/>
      <w:r w:rsidRPr="007D560F">
        <w:rPr>
          <w:rFonts w:ascii="Arial" w:hAnsi="Arial"/>
          <w:sz w:val="22"/>
          <w:szCs w:val="22"/>
        </w:rPr>
        <w:t xml:space="preserve"> versus </w:t>
      </w:r>
      <w:r w:rsidR="00A8667F" w:rsidRPr="007D560F">
        <w:rPr>
          <w:rFonts w:ascii="Arial" w:hAnsi="Arial"/>
          <w:sz w:val="22"/>
          <w:szCs w:val="22"/>
        </w:rPr>
        <w:t>venlafaxine and duloxetine</w:t>
      </w:r>
      <w:r w:rsidR="00D254AF" w:rsidRPr="007D560F">
        <w:rPr>
          <w:rFonts w:ascii="Arial" w:hAnsi="Arial"/>
          <w:sz w:val="22"/>
          <w:szCs w:val="22"/>
        </w:rPr>
        <w:t xml:space="preserve"> </w:t>
      </w:r>
      <w:r w:rsidRPr="007D560F">
        <w:rPr>
          <w:rFonts w:ascii="Arial" w:hAnsi="Arial"/>
          <w:sz w:val="22"/>
          <w:szCs w:val="22"/>
        </w:rPr>
        <w:t xml:space="preserve">are shown in the table below: </w:t>
      </w:r>
    </w:p>
    <w:p w:rsidR="00F17DEB" w:rsidRPr="007D560F" w:rsidRDefault="00F17DEB" w:rsidP="007D560F">
      <w:pPr>
        <w:pStyle w:val="ListParagraph"/>
        <w:jc w:val="both"/>
        <w:rPr>
          <w:rFonts w:ascii="Arial" w:hAnsi="Arial"/>
          <w:sz w:val="22"/>
          <w:szCs w:val="22"/>
        </w:rPr>
      </w:pPr>
    </w:p>
    <w:p w:rsidR="00F17DEB" w:rsidRPr="00F17DEB" w:rsidRDefault="00F17DEB" w:rsidP="00F17DEB">
      <w:pPr>
        <w:keepNext/>
        <w:widowControl w:val="0"/>
        <w:ind w:left="709"/>
        <w:jc w:val="both"/>
        <w:rPr>
          <w:rFonts w:ascii="Arial Narrow" w:hAnsi="Arial Narrow" w:cs="Arial"/>
          <w:b/>
          <w:snapToGrid w:val="0"/>
          <w:sz w:val="20"/>
          <w:szCs w:val="16"/>
          <w:lang w:eastAsia="en-US"/>
        </w:rPr>
      </w:pPr>
      <w:r w:rsidRPr="00F17DEB">
        <w:rPr>
          <w:rFonts w:ascii="Arial Narrow" w:hAnsi="Arial Narrow" w:cs="Arial"/>
          <w:b/>
          <w:snapToGrid w:val="0"/>
          <w:sz w:val="20"/>
          <w:szCs w:val="16"/>
          <w:lang w:eastAsia="en-US"/>
        </w:rPr>
        <w:t xml:space="preserve">Results of mean baseline change in MADRS score (LOCF) across the direct randomised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9"/>
        <w:gridCol w:w="1990"/>
        <w:gridCol w:w="1849"/>
        <w:gridCol w:w="1829"/>
      </w:tblGrid>
      <w:tr w:rsidR="00F17DEB" w:rsidRPr="00F17DEB" w:rsidTr="00F17DEB">
        <w:tc>
          <w:tcPr>
            <w:tcW w:w="1613" w:type="pct"/>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b/>
                <w:snapToGrid w:val="0"/>
                <w:sz w:val="20"/>
                <w:szCs w:val="20"/>
                <w:lang w:eastAsia="en-US"/>
              </w:rPr>
              <w:t xml:space="preserve">Trial </w:t>
            </w:r>
          </w:p>
        </w:tc>
        <w:tc>
          <w:tcPr>
            <w:tcW w:w="1189" w:type="pct"/>
            <w:vAlign w:val="center"/>
          </w:tcPr>
          <w:p w:rsidR="00F17DEB" w:rsidRPr="00F17DEB" w:rsidRDefault="00F17DEB" w:rsidP="005229C4">
            <w:pPr>
              <w:keepNext/>
              <w:widowControl w:val="0"/>
              <w:ind w:right="-108"/>
              <w:jc w:val="center"/>
              <w:rPr>
                <w:rFonts w:ascii="Arial Narrow" w:hAnsi="Arial Narrow" w:cs="Arial"/>
                <w:snapToGrid w:val="0"/>
                <w:sz w:val="20"/>
                <w:szCs w:val="20"/>
                <w:lang w:eastAsia="en-US"/>
              </w:rPr>
            </w:pPr>
            <w:proofErr w:type="spellStart"/>
            <w:r w:rsidRPr="00F17DEB">
              <w:rPr>
                <w:rFonts w:ascii="Arial Narrow" w:hAnsi="Arial Narrow" w:cs="Arial"/>
                <w:b/>
                <w:snapToGrid w:val="0"/>
                <w:sz w:val="20"/>
                <w:szCs w:val="20"/>
                <w:lang w:eastAsia="en-US"/>
              </w:rPr>
              <w:t>Vortioxetine</w:t>
            </w:r>
            <w:proofErr w:type="spellEnd"/>
            <w:r w:rsidRPr="00F17DEB">
              <w:rPr>
                <w:rFonts w:ascii="Arial Narrow" w:hAnsi="Arial Narrow" w:cs="Arial"/>
                <w:b/>
                <w:snapToGrid w:val="0"/>
                <w:sz w:val="20"/>
                <w:szCs w:val="20"/>
                <w:lang w:eastAsia="en-US"/>
              </w:rPr>
              <w:t xml:space="preserve"> mean change ± SD</w:t>
            </w:r>
          </w:p>
        </w:tc>
        <w:tc>
          <w:tcPr>
            <w:tcW w:w="1105" w:type="pct"/>
            <w:vAlign w:val="center"/>
          </w:tcPr>
          <w:p w:rsidR="00F17DEB" w:rsidRPr="00F17DEB" w:rsidRDefault="00F17DEB" w:rsidP="005229C4">
            <w:pPr>
              <w:keepNext/>
              <w:widowControl w:val="0"/>
              <w:jc w:val="center"/>
              <w:rPr>
                <w:rFonts w:ascii="Arial Narrow" w:hAnsi="Arial Narrow" w:cs="Arial"/>
                <w:b/>
                <w:snapToGrid w:val="0"/>
                <w:sz w:val="20"/>
                <w:szCs w:val="20"/>
                <w:lang w:eastAsia="en-US"/>
              </w:rPr>
            </w:pPr>
            <w:r w:rsidRPr="00F17DEB">
              <w:rPr>
                <w:rFonts w:ascii="Arial Narrow" w:hAnsi="Arial Narrow" w:cs="Arial"/>
                <w:b/>
                <w:snapToGrid w:val="0"/>
                <w:sz w:val="20"/>
                <w:szCs w:val="20"/>
                <w:lang w:eastAsia="en-US"/>
              </w:rPr>
              <w:t>Active comparator</w:t>
            </w:r>
          </w:p>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b/>
                <w:snapToGrid w:val="0"/>
                <w:sz w:val="20"/>
                <w:szCs w:val="20"/>
                <w:lang w:eastAsia="en-US"/>
              </w:rPr>
              <w:t>mean change ± SD</w:t>
            </w:r>
          </w:p>
        </w:tc>
        <w:tc>
          <w:tcPr>
            <w:tcW w:w="1093" w:type="pct"/>
            <w:vAlign w:val="center"/>
          </w:tcPr>
          <w:p w:rsidR="00F17DEB" w:rsidRPr="00F17DEB" w:rsidRDefault="00F17DEB" w:rsidP="005229C4">
            <w:pPr>
              <w:keepNext/>
              <w:widowControl w:val="0"/>
              <w:jc w:val="center"/>
              <w:rPr>
                <w:rFonts w:ascii="Arial Narrow" w:hAnsi="Arial Narrow" w:cs="Arial"/>
                <w:b/>
                <w:snapToGrid w:val="0"/>
                <w:sz w:val="20"/>
                <w:szCs w:val="20"/>
                <w:lang w:eastAsia="en-US"/>
              </w:rPr>
            </w:pPr>
            <w:r w:rsidRPr="00F17DEB">
              <w:rPr>
                <w:rFonts w:ascii="Arial Narrow" w:hAnsi="Arial Narrow" w:cs="Arial"/>
                <w:b/>
                <w:snapToGrid w:val="0"/>
                <w:sz w:val="20"/>
                <w:szCs w:val="20"/>
                <w:lang w:eastAsia="en-US"/>
              </w:rPr>
              <w:t>Mean difference</w:t>
            </w:r>
          </w:p>
          <w:p w:rsidR="00F17DEB" w:rsidRPr="00F17DEB" w:rsidRDefault="00F17DEB" w:rsidP="005229C4">
            <w:pPr>
              <w:keepNext/>
              <w:widowControl w:val="0"/>
              <w:jc w:val="center"/>
              <w:rPr>
                <w:rFonts w:ascii="Arial Narrow" w:hAnsi="Arial Narrow" w:cs="Arial"/>
                <w:b/>
                <w:snapToGrid w:val="0"/>
                <w:sz w:val="20"/>
                <w:szCs w:val="20"/>
                <w:lang w:eastAsia="en-US"/>
              </w:rPr>
            </w:pPr>
            <w:r w:rsidRPr="00F17DEB">
              <w:rPr>
                <w:rFonts w:ascii="Arial Narrow" w:hAnsi="Arial Narrow" w:cs="Arial"/>
                <w:b/>
                <w:snapToGrid w:val="0"/>
                <w:sz w:val="20"/>
                <w:szCs w:val="20"/>
                <w:lang w:eastAsia="en-US"/>
              </w:rPr>
              <w:t>(95% CI)</w:t>
            </w:r>
          </w:p>
        </w:tc>
      </w:tr>
      <w:tr w:rsidR="00F17DEB" w:rsidRPr="00F17DEB" w:rsidTr="00F17DEB">
        <w:tc>
          <w:tcPr>
            <w:tcW w:w="5000" w:type="pct"/>
            <w:gridSpan w:val="4"/>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 xml:space="preserve">Trials of </w:t>
            </w:r>
            <w:proofErr w:type="spellStart"/>
            <w:r w:rsidRPr="00F17DEB">
              <w:rPr>
                <w:rFonts w:ascii="Arial Narrow" w:hAnsi="Arial Narrow" w:cs="Arial"/>
                <w:snapToGrid w:val="0"/>
                <w:sz w:val="20"/>
                <w:szCs w:val="20"/>
                <w:lang w:eastAsia="en-US"/>
              </w:rPr>
              <w:t>vortioxetine</w:t>
            </w:r>
            <w:proofErr w:type="spellEnd"/>
            <w:r w:rsidRPr="00F17DEB">
              <w:rPr>
                <w:rFonts w:ascii="Arial Narrow" w:hAnsi="Arial Narrow" w:cs="Arial"/>
                <w:snapToGrid w:val="0"/>
                <w:sz w:val="20"/>
                <w:szCs w:val="20"/>
                <w:lang w:eastAsia="en-US"/>
              </w:rPr>
              <w:t xml:space="preserve"> vs. venlafaxine</w:t>
            </w:r>
          </w:p>
        </w:tc>
      </w:tr>
      <w:tr w:rsidR="00F17DEB" w:rsidRPr="00F17DEB" w:rsidTr="00F17DEB">
        <w:tc>
          <w:tcPr>
            <w:tcW w:w="1613" w:type="pct"/>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11492A</w:t>
            </w:r>
          </w:p>
        </w:tc>
        <w:tc>
          <w:tcPr>
            <w:tcW w:w="1189"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-20.30 ± 10.45</w:t>
            </w:r>
          </w:p>
        </w:tc>
        <w:tc>
          <w:tcPr>
            <w:tcW w:w="1105"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-20.92 ± 10.48</w:t>
            </w:r>
          </w:p>
        </w:tc>
        <w:tc>
          <w:tcPr>
            <w:tcW w:w="1093"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0.62 (1.78,3.02)</w:t>
            </w:r>
          </w:p>
        </w:tc>
      </w:tr>
      <w:tr w:rsidR="00F17DEB" w:rsidRPr="00F17DEB" w:rsidTr="00F17DEB">
        <w:tc>
          <w:tcPr>
            <w:tcW w:w="1613" w:type="pct"/>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13926A</w:t>
            </w:r>
          </w:p>
        </w:tc>
        <w:tc>
          <w:tcPr>
            <w:tcW w:w="1189"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-19.36 ± 10.12</w:t>
            </w:r>
          </w:p>
        </w:tc>
        <w:tc>
          <w:tcPr>
            <w:tcW w:w="1105"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-18.16 ± 9.97</w:t>
            </w:r>
          </w:p>
        </w:tc>
        <w:tc>
          <w:tcPr>
            <w:tcW w:w="1093"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-1.20 (-3.11,0.71)</w:t>
            </w:r>
          </w:p>
        </w:tc>
      </w:tr>
      <w:tr w:rsidR="00F17DEB" w:rsidRPr="00F17DEB" w:rsidTr="00F17DEB">
        <w:tc>
          <w:tcPr>
            <w:tcW w:w="1613" w:type="pct"/>
            <w:vAlign w:val="center"/>
          </w:tcPr>
          <w:p w:rsidR="00F17DEB" w:rsidRPr="00F17DEB" w:rsidRDefault="00F17DEB" w:rsidP="005229C4">
            <w:pPr>
              <w:keepNext/>
              <w:widowControl w:val="0"/>
              <w:ind w:right="-108"/>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Pooled result</w:t>
            </w:r>
          </w:p>
        </w:tc>
        <w:tc>
          <w:tcPr>
            <w:tcW w:w="1189"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p>
        </w:tc>
        <w:tc>
          <w:tcPr>
            <w:tcW w:w="1105"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p>
        </w:tc>
        <w:tc>
          <w:tcPr>
            <w:tcW w:w="1093"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473C74">
              <w:rPr>
                <w:rFonts w:ascii="Arial Narrow" w:hAnsi="Arial Narrow" w:cs="Arial"/>
                <w:snapToGrid w:val="0"/>
                <w:sz w:val="20"/>
                <w:szCs w:val="20"/>
                <w:lang w:eastAsia="en-US"/>
              </w:rPr>
              <w:t>-0.44 (-2.20,1.32)</w:t>
            </w:r>
            <w:r w:rsidR="00DB32FF" w:rsidRPr="00883063">
              <w:rPr>
                <w:rFonts w:ascii="Arial Narrow" w:hAnsi="Arial Narrow" w:cs="Arial"/>
                <w:snapToGrid w:val="0"/>
                <w:sz w:val="20"/>
                <w:szCs w:val="20"/>
                <w:lang w:eastAsia="en-US"/>
              </w:rPr>
              <w:t xml:space="preserve"> )</w:t>
            </w:r>
          </w:p>
        </w:tc>
      </w:tr>
      <w:tr w:rsidR="00F17DEB" w:rsidRPr="00F17DEB" w:rsidTr="00F17DEB">
        <w:tc>
          <w:tcPr>
            <w:tcW w:w="5000" w:type="pct"/>
            <w:gridSpan w:val="4"/>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 xml:space="preserve">Heterogeneity: Tau² = 0.43; Chi² = 1.35, </w:t>
            </w:r>
            <w:proofErr w:type="spellStart"/>
            <w:r w:rsidRPr="00F17DEB">
              <w:rPr>
                <w:rFonts w:ascii="Arial Narrow" w:hAnsi="Arial Narrow" w:cs="Arial"/>
                <w:snapToGrid w:val="0"/>
                <w:sz w:val="20"/>
                <w:szCs w:val="20"/>
                <w:lang w:eastAsia="en-US"/>
              </w:rPr>
              <w:t>df</w:t>
            </w:r>
            <w:proofErr w:type="spellEnd"/>
            <w:r w:rsidRPr="00F17DEB">
              <w:rPr>
                <w:rFonts w:ascii="Arial Narrow" w:hAnsi="Arial Narrow" w:cs="Arial"/>
                <w:snapToGrid w:val="0"/>
                <w:sz w:val="20"/>
                <w:szCs w:val="20"/>
                <w:lang w:eastAsia="en-US"/>
              </w:rPr>
              <w:t xml:space="preserve"> = 1 (P = 0.25); I² = 26%</w:t>
            </w:r>
          </w:p>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Test for overall effect: Z = 0.49 (P = 0.62)</w:t>
            </w:r>
          </w:p>
        </w:tc>
      </w:tr>
      <w:tr w:rsidR="00F17DEB" w:rsidRPr="00F17DEB" w:rsidTr="00F17DEB">
        <w:tc>
          <w:tcPr>
            <w:tcW w:w="5000" w:type="pct"/>
            <w:gridSpan w:val="4"/>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 xml:space="preserve">Trials of </w:t>
            </w:r>
            <w:proofErr w:type="spellStart"/>
            <w:r w:rsidRPr="00F17DEB">
              <w:rPr>
                <w:rFonts w:ascii="Arial Narrow" w:hAnsi="Arial Narrow" w:cs="Arial"/>
                <w:snapToGrid w:val="0"/>
                <w:sz w:val="20"/>
                <w:szCs w:val="20"/>
                <w:lang w:eastAsia="en-US"/>
              </w:rPr>
              <w:t>vortioxetine</w:t>
            </w:r>
            <w:proofErr w:type="spellEnd"/>
            <w:r w:rsidRPr="00F17DEB">
              <w:rPr>
                <w:rFonts w:ascii="Arial Narrow" w:hAnsi="Arial Narrow" w:cs="Arial"/>
                <w:snapToGrid w:val="0"/>
                <w:sz w:val="20"/>
                <w:szCs w:val="20"/>
                <w:lang w:eastAsia="en-US"/>
              </w:rPr>
              <w:t xml:space="preserve"> vs. duloxetine</w:t>
            </w:r>
          </w:p>
        </w:tc>
      </w:tr>
      <w:tr w:rsidR="00F17DEB" w:rsidRPr="00F17DEB" w:rsidTr="00F17DEB">
        <w:tc>
          <w:tcPr>
            <w:tcW w:w="1613" w:type="pct"/>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11984A</w:t>
            </w:r>
          </w:p>
        </w:tc>
        <w:tc>
          <w:tcPr>
            <w:tcW w:w="1189"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05"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93"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17DEB" w:rsidRPr="00F17DEB" w:rsidTr="00F17DEB">
        <w:tc>
          <w:tcPr>
            <w:tcW w:w="1613" w:type="pct"/>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12541A</w:t>
            </w:r>
          </w:p>
        </w:tc>
        <w:tc>
          <w:tcPr>
            <w:tcW w:w="1189"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-15.50 ± 9.34</w:t>
            </w:r>
          </w:p>
        </w:tc>
        <w:tc>
          <w:tcPr>
            <w:tcW w:w="1105"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-18.00 ± 9.25</w:t>
            </w:r>
          </w:p>
        </w:tc>
        <w:tc>
          <w:tcPr>
            <w:tcW w:w="1093"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2.50 [0.41, 4.59]</w:t>
            </w:r>
          </w:p>
        </w:tc>
      </w:tr>
      <w:tr w:rsidR="00F17DEB" w:rsidRPr="00F17DEB" w:rsidTr="00F17DEB">
        <w:tc>
          <w:tcPr>
            <w:tcW w:w="1613" w:type="pct"/>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13267A</w:t>
            </w:r>
          </w:p>
        </w:tc>
        <w:tc>
          <w:tcPr>
            <w:tcW w:w="1189"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05"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93"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17DEB" w:rsidRPr="00F17DEB" w:rsidTr="00F17DEB">
        <w:tc>
          <w:tcPr>
            <w:tcW w:w="1613" w:type="pct"/>
            <w:vAlign w:val="center"/>
          </w:tcPr>
          <w:p w:rsidR="00F17DEB" w:rsidRPr="00F17DEB" w:rsidRDefault="00F17DEB" w:rsidP="005229C4">
            <w:pPr>
              <w:keepNext/>
              <w:widowControl w:val="0"/>
              <w:ind w:right="-108"/>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304</w:t>
            </w:r>
          </w:p>
        </w:tc>
        <w:tc>
          <w:tcPr>
            <w:tcW w:w="1189"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05"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93" w:type="pct"/>
            <w:vAlign w:val="center"/>
          </w:tcPr>
          <w:p w:rsidR="00F17DEB" w:rsidRPr="00F17DEB" w:rsidRDefault="00BA24A8" w:rsidP="005229C4">
            <w:pPr>
              <w:keepNext/>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 '''''''''''</w:t>
            </w:r>
            <w:r w:rsidR="00F17DEB" w:rsidRPr="00F17DEB">
              <w:rPr>
                <w:rFonts w:ascii="Arial Narrow" w:hAnsi="Arial Narrow" w:cs="Arial"/>
                <w:snapToGrid w:val="0"/>
                <w:sz w:val="20"/>
                <w:szCs w:val="20"/>
                <w:lang w:eastAsia="en-US"/>
              </w:rPr>
              <w:t>]</w:t>
            </w:r>
          </w:p>
        </w:tc>
      </w:tr>
      <w:tr w:rsidR="00F17DEB" w:rsidRPr="00F17DEB" w:rsidTr="00F17DEB">
        <w:tc>
          <w:tcPr>
            <w:tcW w:w="1613" w:type="pct"/>
            <w:vAlign w:val="center"/>
          </w:tcPr>
          <w:p w:rsidR="00F17DEB" w:rsidRPr="00F17DEB" w:rsidRDefault="00F17DEB" w:rsidP="005229C4">
            <w:pPr>
              <w:keepNext/>
              <w:widowControl w:val="0"/>
              <w:ind w:right="-108"/>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315</w:t>
            </w:r>
          </w:p>
        </w:tc>
        <w:tc>
          <w:tcPr>
            <w:tcW w:w="1189"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05"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93"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17DEB" w:rsidRPr="00F17DEB" w:rsidTr="00F17DEB">
        <w:tc>
          <w:tcPr>
            <w:tcW w:w="1613" w:type="pct"/>
            <w:vAlign w:val="center"/>
          </w:tcPr>
          <w:p w:rsidR="00F17DEB" w:rsidRPr="00F17DEB" w:rsidRDefault="00F17DEB" w:rsidP="005229C4">
            <w:pPr>
              <w:keepNext/>
              <w:widowControl w:val="0"/>
              <w:ind w:right="-108"/>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Pooled result</w:t>
            </w:r>
          </w:p>
        </w:tc>
        <w:tc>
          <w:tcPr>
            <w:tcW w:w="1189"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p>
        </w:tc>
        <w:tc>
          <w:tcPr>
            <w:tcW w:w="1105" w:type="pct"/>
            <w:vAlign w:val="center"/>
          </w:tcPr>
          <w:p w:rsidR="00F17DEB" w:rsidRPr="00F17DEB" w:rsidRDefault="00F17DEB" w:rsidP="005229C4">
            <w:pPr>
              <w:keepNext/>
              <w:widowControl w:val="0"/>
              <w:jc w:val="center"/>
              <w:rPr>
                <w:rFonts w:ascii="Arial Narrow" w:hAnsi="Arial Narrow" w:cs="Arial"/>
                <w:snapToGrid w:val="0"/>
                <w:sz w:val="20"/>
                <w:szCs w:val="20"/>
                <w:lang w:eastAsia="en-US"/>
              </w:rPr>
            </w:pPr>
          </w:p>
        </w:tc>
        <w:tc>
          <w:tcPr>
            <w:tcW w:w="1093" w:type="pct"/>
            <w:vAlign w:val="center"/>
          </w:tcPr>
          <w:p w:rsidR="00F17DEB"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17DEB" w:rsidRPr="00F17DEB" w:rsidTr="00F17DEB">
        <w:tc>
          <w:tcPr>
            <w:tcW w:w="5000" w:type="pct"/>
            <w:gridSpan w:val="4"/>
            <w:vAlign w:val="center"/>
          </w:tcPr>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 xml:space="preserve">Heterogeneity: Tau² = 0.88; Chi² = 7.35, </w:t>
            </w:r>
            <w:proofErr w:type="spellStart"/>
            <w:r w:rsidRPr="00F17DEB">
              <w:rPr>
                <w:rFonts w:ascii="Arial Narrow" w:hAnsi="Arial Narrow" w:cs="Arial"/>
                <w:snapToGrid w:val="0"/>
                <w:sz w:val="20"/>
                <w:szCs w:val="20"/>
                <w:lang w:eastAsia="en-US"/>
              </w:rPr>
              <w:t>df</w:t>
            </w:r>
            <w:proofErr w:type="spellEnd"/>
            <w:r w:rsidRPr="00F17DEB">
              <w:rPr>
                <w:rFonts w:ascii="Arial Narrow" w:hAnsi="Arial Narrow" w:cs="Arial"/>
                <w:snapToGrid w:val="0"/>
                <w:sz w:val="20"/>
                <w:szCs w:val="20"/>
                <w:lang w:eastAsia="en-US"/>
              </w:rPr>
              <w:t xml:space="preserve"> = 4 (P = 0.12); I² = 46%</w:t>
            </w:r>
          </w:p>
          <w:p w:rsidR="00F17DEB" w:rsidRPr="00F17DEB" w:rsidRDefault="00F17DEB" w:rsidP="005229C4">
            <w:pPr>
              <w:keepNext/>
              <w:widowControl w:val="0"/>
              <w:rPr>
                <w:rFonts w:ascii="Arial Narrow" w:hAnsi="Arial Narrow" w:cs="Arial"/>
                <w:snapToGrid w:val="0"/>
                <w:sz w:val="20"/>
                <w:szCs w:val="20"/>
                <w:lang w:eastAsia="en-US"/>
              </w:rPr>
            </w:pPr>
            <w:r w:rsidRPr="00F17DEB">
              <w:rPr>
                <w:rFonts w:ascii="Arial Narrow" w:hAnsi="Arial Narrow" w:cs="Arial"/>
                <w:snapToGrid w:val="0"/>
                <w:sz w:val="20"/>
                <w:szCs w:val="20"/>
                <w:lang w:eastAsia="en-US"/>
              </w:rPr>
              <w:t xml:space="preserve">Test for overall effect: Z = 3.72 (P </w:t>
            </w:r>
            <w:r w:rsidR="00BA24A8">
              <w:rPr>
                <w:rFonts w:ascii="Arial Narrow" w:hAnsi="Arial Narrow" w:cs="Arial"/>
                <w:noProof/>
                <w:snapToGrid w:val="0"/>
                <w:color w:val="000000"/>
                <w:sz w:val="20"/>
                <w:szCs w:val="20"/>
                <w:highlight w:val="black"/>
                <w:lang w:eastAsia="en-US"/>
              </w:rPr>
              <w:t>'''' ''''''''''''''''</w:t>
            </w:r>
            <w:r w:rsidRPr="00F17DEB">
              <w:rPr>
                <w:rFonts w:ascii="Arial Narrow" w:hAnsi="Arial Narrow" w:cs="Arial"/>
                <w:snapToGrid w:val="0"/>
                <w:sz w:val="20"/>
                <w:szCs w:val="20"/>
                <w:lang w:eastAsia="en-US"/>
              </w:rPr>
              <w:t>)</w:t>
            </w:r>
          </w:p>
        </w:tc>
      </w:tr>
    </w:tbl>
    <w:p w:rsidR="00F17DEB" w:rsidRPr="00F17DEB" w:rsidRDefault="00F17DEB" w:rsidP="00F17DEB">
      <w:pPr>
        <w:keepNext/>
        <w:widowControl w:val="0"/>
        <w:ind w:left="709"/>
        <w:jc w:val="both"/>
        <w:rPr>
          <w:rFonts w:ascii="Arial Narrow" w:hAnsi="Arial Narrow" w:cs="Arial"/>
          <w:snapToGrid w:val="0"/>
          <w:sz w:val="18"/>
          <w:szCs w:val="20"/>
          <w:lang w:eastAsia="en-US"/>
        </w:rPr>
      </w:pPr>
      <w:r w:rsidRPr="00F17DEB">
        <w:rPr>
          <w:rFonts w:ascii="Arial Narrow" w:hAnsi="Arial Narrow" w:cs="Arial"/>
          <w:snapToGrid w:val="0"/>
          <w:sz w:val="18"/>
          <w:szCs w:val="20"/>
          <w:lang w:eastAsia="en-US"/>
        </w:rPr>
        <w:t xml:space="preserve">Abbreviations: SD = standard deviation, CI = confidence interval, </w:t>
      </w:r>
      <w:proofErr w:type="spellStart"/>
      <w:proofErr w:type="gramStart"/>
      <w:r w:rsidRPr="00F17DEB">
        <w:rPr>
          <w:rFonts w:ascii="Arial Narrow" w:hAnsi="Arial Narrow" w:cs="Arial"/>
          <w:snapToGrid w:val="0"/>
          <w:sz w:val="18"/>
          <w:szCs w:val="20"/>
          <w:lang w:eastAsia="en-US"/>
        </w:rPr>
        <w:t>df</w:t>
      </w:r>
      <w:proofErr w:type="spellEnd"/>
      <w:proofErr w:type="gramEnd"/>
      <w:r w:rsidRPr="00F17DEB">
        <w:rPr>
          <w:rFonts w:ascii="Arial Narrow" w:hAnsi="Arial Narrow" w:cs="Arial"/>
          <w:snapToGrid w:val="0"/>
          <w:sz w:val="18"/>
          <w:szCs w:val="20"/>
          <w:lang w:eastAsia="en-US"/>
        </w:rPr>
        <w:t>= degrees of freedom</w:t>
      </w:r>
    </w:p>
    <w:p w:rsidR="00F17DEB" w:rsidRPr="00F17DEB" w:rsidRDefault="00F17DEB" w:rsidP="00F17DEB">
      <w:pPr>
        <w:keepNext/>
        <w:widowControl w:val="0"/>
        <w:ind w:left="709"/>
        <w:jc w:val="both"/>
        <w:rPr>
          <w:rFonts w:ascii="Arial Narrow" w:hAnsi="Arial Narrow" w:cs="Arial"/>
          <w:snapToGrid w:val="0"/>
          <w:sz w:val="18"/>
          <w:szCs w:val="20"/>
          <w:lang w:eastAsia="en-US"/>
        </w:rPr>
      </w:pPr>
      <w:r w:rsidRPr="00F17DEB">
        <w:rPr>
          <w:rFonts w:ascii="Arial Narrow" w:hAnsi="Arial Narrow" w:cs="Arial"/>
          <w:snapToGrid w:val="0"/>
          <w:sz w:val="18"/>
          <w:szCs w:val="20"/>
          <w:lang w:eastAsia="en-US"/>
        </w:rPr>
        <w:t xml:space="preserve">Source: Table 28, p191 and Figure 9, p 193 of the submission </w:t>
      </w:r>
    </w:p>
    <w:p w:rsidR="00F17DEB" w:rsidRDefault="00F17DEB" w:rsidP="00F17DEB">
      <w:pPr>
        <w:pStyle w:val="ListParagraph"/>
        <w:ind w:left="709"/>
        <w:jc w:val="both"/>
        <w:rPr>
          <w:rFonts w:ascii="Arial" w:hAnsi="Arial"/>
          <w:sz w:val="22"/>
          <w:szCs w:val="22"/>
        </w:rPr>
      </w:pPr>
    </w:p>
    <w:p w:rsidR="00E05F7F" w:rsidRPr="00E05F7F" w:rsidRDefault="00E05F7F" w:rsidP="007D560F">
      <w:pPr>
        <w:pStyle w:val="ListParagraph"/>
        <w:numPr>
          <w:ilvl w:val="1"/>
          <w:numId w:val="25"/>
        </w:numPr>
        <w:jc w:val="both"/>
        <w:rPr>
          <w:rFonts w:ascii="Arial" w:hAnsi="Arial"/>
          <w:sz w:val="22"/>
          <w:szCs w:val="22"/>
        </w:rPr>
      </w:pPr>
      <w:r w:rsidRPr="00E05F7F">
        <w:rPr>
          <w:rFonts w:ascii="Arial" w:hAnsi="Arial"/>
          <w:sz w:val="22"/>
          <w:szCs w:val="22"/>
        </w:rPr>
        <w:t>Results of the randomised trials</w:t>
      </w:r>
      <w:r w:rsidR="00D254AF">
        <w:rPr>
          <w:rFonts w:ascii="Arial" w:hAnsi="Arial"/>
          <w:sz w:val="22"/>
          <w:szCs w:val="22"/>
        </w:rPr>
        <w:t xml:space="preserve"> comparing </w:t>
      </w:r>
      <w:proofErr w:type="spellStart"/>
      <w:r w:rsidR="00D254AF">
        <w:rPr>
          <w:rFonts w:ascii="Arial" w:hAnsi="Arial"/>
          <w:sz w:val="22"/>
          <w:szCs w:val="22"/>
        </w:rPr>
        <w:t>vortioxetine</w:t>
      </w:r>
      <w:proofErr w:type="spellEnd"/>
      <w:r w:rsidR="00D254AF">
        <w:rPr>
          <w:rFonts w:ascii="Arial" w:hAnsi="Arial"/>
          <w:sz w:val="22"/>
          <w:szCs w:val="22"/>
        </w:rPr>
        <w:t xml:space="preserve"> to venlafaxine and duloxetine</w:t>
      </w:r>
      <w:r w:rsidRPr="00E05F7F">
        <w:rPr>
          <w:rFonts w:ascii="Arial" w:hAnsi="Arial"/>
          <w:sz w:val="22"/>
          <w:szCs w:val="22"/>
        </w:rPr>
        <w:t xml:space="preserve"> are further summarised in the figure below: </w:t>
      </w:r>
    </w:p>
    <w:p w:rsidR="00E05F7F" w:rsidRDefault="00E05F7F" w:rsidP="00E05F7F">
      <w:pPr>
        <w:pStyle w:val="ListParagraph"/>
        <w:ind w:left="709"/>
        <w:jc w:val="both"/>
        <w:rPr>
          <w:rFonts w:ascii="Arial" w:hAnsi="Arial"/>
          <w:sz w:val="22"/>
          <w:szCs w:val="22"/>
        </w:rPr>
      </w:pPr>
    </w:p>
    <w:p w:rsidR="00E05F7F" w:rsidRDefault="00CE4352" w:rsidP="00E05F7F">
      <w:pPr>
        <w:pStyle w:val="ListParagraph"/>
        <w:ind w:left="709"/>
        <w:jc w:val="both"/>
        <w:rPr>
          <w:rFonts w:ascii="Arial" w:hAnsi="Arial"/>
          <w:sz w:val="22"/>
          <w:szCs w:val="22"/>
        </w:rPr>
      </w:pPr>
      <w:r>
        <w:rPr>
          <w:rFonts w:ascii="Arial" w:hAnsi="Arial"/>
          <w:noProof/>
          <w:sz w:val="22"/>
          <w:szCs w:val="22"/>
        </w:rPr>
        <w:drawing>
          <wp:inline distT="0" distB="0" distL="0" distR="0">
            <wp:extent cx="5305425" cy="2327275"/>
            <wp:effectExtent l="0" t="0" r="9525" b="0"/>
            <wp:docPr id="4" name="Picture 4" descr="randomised trials comparing vortioxetine to venlafaxine and duloxet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05425" cy="2327275"/>
                    </a:xfrm>
                    <a:prstGeom prst="rect">
                      <a:avLst/>
                    </a:prstGeom>
                  </pic:spPr>
                </pic:pic>
              </a:graphicData>
            </a:graphic>
          </wp:inline>
        </w:drawing>
      </w:r>
    </w:p>
    <w:p w:rsidR="001A3E87" w:rsidRPr="00C97767" w:rsidRDefault="001A3E87" w:rsidP="00C97767">
      <w:pPr>
        <w:widowControl w:val="0"/>
        <w:ind w:firstLine="709"/>
        <w:jc w:val="both"/>
        <w:rPr>
          <w:rFonts w:ascii="Arial Narrow" w:hAnsi="Arial Narrow" w:cs="Arial"/>
          <w:snapToGrid w:val="0"/>
          <w:sz w:val="18"/>
          <w:szCs w:val="16"/>
          <w:lang w:eastAsia="en-US"/>
        </w:rPr>
      </w:pPr>
      <w:r w:rsidRPr="001A3E87">
        <w:rPr>
          <w:rFonts w:ascii="Arial Narrow" w:hAnsi="Arial Narrow" w:cs="Arial"/>
          <w:snapToGrid w:val="0"/>
          <w:sz w:val="18"/>
          <w:szCs w:val="16"/>
          <w:lang w:eastAsia="en-US"/>
        </w:rPr>
        <w:t>Source:</w:t>
      </w:r>
      <w:r w:rsidR="00D254AF" w:rsidRPr="00D254AF">
        <w:t xml:space="preserve"> </w:t>
      </w:r>
      <w:r w:rsidR="00D254AF" w:rsidRPr="00D254AF">
        <w:rPr>
          <w:rFonts w:ascii="Arial Narrow" w:hAnsi="Arial Narrow" w:cs="Arial"/>
          <w:snapToGrid w:val="0"/>
          <w:sz w:val="18"/>
          <w:szCs w:val="16"/>
          <w:lang w:eastAsia="en-US"/>
        </w:rPr>
        <w:t>Figure 9, p 193 of the submission</w:t>
      </w:r>
    </w:p>
    <w:p w:rsidR="00E05F7F" w:rsidRDefault="00E05F7F" w:rsidP="00E05F7F">
      <w:pPr>
        <w:pStyle w:val="ListParagraph"/>
        <w:ind w:left="709"/>
        <w:jc w:val="both"/>
        <w:rPr>
          <w:rFonts w:ascii="Arial" w:hAnsi="Arial"/>
          <w:sz w:val="22"/>
          <w:szCs w:val="22"/>
        </w:rPr>
      </w:pPr>
    </w:p>
    <w:p w:rsidR="00F17DEB" w:rsidRDefault="002C5FCD" w:rsidP="007D560F">
      <w:pPr>
        <w:pStyle w:val="ListParagraph"/>
        <w:numPr>
          <w:ilvl w:val="1"/>
          <w:numId w:val="25"/>
        </w:numPr>
        <w:jc w:val="both"/>
        <w:rPr>
          <w:rFonts w:ascii="Arial" w:hAnsi="Arial"/>
          <w:sz w:val="22"/>
          <w:szCs w:val="22"/>
        </w:rPr>
      </w:pPr>
      <w:r w:rsidRPr="00F17DEB">
        <w:rPr>
          <w:rFonts w:ascii="Arial" w:hAnsi="Arial"/>
          <w:sz w:val="22"/>
          <w:szCs w:val="22"/>
        </w:rPr>
        <w:t xml:space="preserve">In </w:t>
      </w:r>
      <w:r w:rsidR="00F17DEB" w:rsidRPr="00F17DEB">
        <w:rPr>
          <w:rFonts w:ascii="Arial" w:hAnsi="Arial"/>
          <w:sz w:val="22"/>
          <w:szCs w:val="22"/>
        </w:rPr>
        <w:t xml:space="preserve">the comparison of </w:t>
      </w:r>
      <w:proofErr w:type="spellStart"/>
      <w:r w:rsidR="00F17DEB" w:rsidRPr="00F17DEB">
        <w:rPr>
          <w:rFonts w:ascii="Arial" w:hAnsi="Arial"/>
          <w:sz w:val="22"/>
          <w:szCs w:val="22"/>
        </w:rPr>
        <w:t>vortioxetine</w:t>
      </w:r>
      <w:proofErr w:type="spellEnd"/>
      <w:r w:rsidR="00F17DEB" w:rsidRPr="00F17DEB">
        <w:rPr>
          <w:rFonts w:ascii="Arial" w:hAnsi="Arial"/>
          <w:sz w:val="22"/>
          <w:szCs w:val="22"/>
        </w:rPr>
        <w:t xml:space="preserve"> versus venlafaxine there was no statistically significant difference between </w:t>
      </w:r>
      <w:proofErr w:type="spellStart"/>
      <w:r w:rsidR="00F17DEB" w:rsidRPr="00F17DEB">
        <w:rPr>
          <w:rFonts w:ascii="Arial" w:hAnsi="Arial"/>
          <w:sz w:val="22"/>
          <w:szCs w:val="22"/>
        </w:rPr>
        <w:t>vortioxetine</w:t>
      </w:r>
      <w:proofErr w:type="spellEnd"/>
      <w:r w:rsidR="00F17DEB" w:rsidRPr="00F17DEB">
        <w:rPr>
          <w:rFonts w:ascii="Arial" w:hAnsi="Arial"/>
          <w:sz w:val="22"/>
          <w:szCs w:val="22"/>
        </w:rPr>
        <w:t xml:space="preserve"> and venlafaxine. In the comparison with duloxetine, the pooled result was significantly in favour of duloxetine. The point estimate of the </w:t>
      </w:r>
      <w:r w:rsidR="005229C4">
        <w:rPr>
          <w:rFonts w:ascii="Arial" w:hAnsi="Arial"/>
          <w:sz w:val="22"/>
          <w:szCs w:val="22"/>
        </w:rPr>
        <w:t>weighted mean difference (</w:t>
      </w:r>
      <w:r w:rsidR="00F17DEB" w:rsidRPr="00F17DEB">
        <w:rPr>
          <w:rFonts w:ascii="Arial" w:hAnsi="Arial"/>
          <w:sz w:val="22"/>
          <w:szCs w:val="22"/>
        </w:rPr>
        <w:t>WMD</w:t>
      </w:r>
      <w:r w:rsidR="005229C4">
        <w:rPr>
          <w:rFonts w:ascii="Arial" w:hAnsi="Arial"/>
          <w:sz w:val="22"/>
          <w:szCs w:val="22"/>
        </w:rPr>
        <w:t>)</w:t>
      </w:r>
      <w:r w:rsidR="00F17DEB" w:rsidRPr="00F17DEB">
        <w:rPr>
          <w:rFonts w:ascii="Arial" w:hAnsi="Arial"/>
          <w:sz w:val="22"/>
          <w:szCs w:val="22"/>
        </w:rPr>
        <w:t xml:space="preserve"> a</w:t>
      </w:r>
      <w:r w:rsidR="005229C4">
        <w:rPr>
          <w:rFonts w:ascii="Arial" w:hAnsi="Arial"/>
          <w:sz w:val="22"/>
          <w:szCs w:val="22"/>
        </w:rPr>
        <w:t>lso exceeded</w:t>
      </w:r>
      <w:r w:rsidR="00F17DEB" w:rsidRPr="00F17DEB">
        <w:rPr>
          <w:rFonts w:ascii="Arial" w:hAnsi="Arial"/>
          <w:sz w:val="22"/>
          <w:szCs w:val="22"/>
        </w:rPr>
        <w:t xml:space="preserve"> the MCID (1.6 to 1.9) suggesting statistical and clinical significance of th</w:t>
      </w:r>
      <w:r w:rsidR="005229C4">
        <w:rPr>
          <w:rFonts w:ascii="Arial" w:hAnsi="Arial"/>
          <w:sz w:val="22"/>
          <w:szCs w:val="22"/>
        </w:rPr>
        <w:t>e outcome. The submission argued</w:t>
      </w:r>
      <w:r w:rsidR="00F17DEB" w:rsidRPr="00F17DEB">
        <w:rPr>
          <w:rFonts w:ascii="Arial" w:hAnsi="Arial"/>
          <w:sz w:val="22"/>
          <w:szCs w:val="22"/>
        </w:rPr>
        <w:t xml:space="preserve"> the clini</w:t>
      </w:r>
      <w:r w:rsidR="005229C4">
        <w:rPr>
          <w:rFonts w:ascii="Arial" w:hAnsi="Arial"/>
          <w:sz w:val="22"/>
          <w:szCs w:val="22"/>
        </w:rPr>
        <w:t>cal significance of the result wa</w:t>
      </w:r>
      <w:r w:rsidR="00F17DEB" w:rsidRPr="00F17DEB">
        <w:rPr>
          <w:rFonts w:ascii="Arial" w:hAnsi="Arial"/>
          <w:sz w:val="22"/>
          <w:szCs w:val="22"/>
        </w:rPr>
        <w:t>s in</w:t>
      </w:r>
      <w:r w:rsidR="005229C4">
        <w:rPr>
          <w:rFonts w:ascii="Arial" w:hAnsi="Arial"/>
          <w:sz w:val="22"/>
          <w:szCs w:val="22"/>
        </w:rPr>
        <w:t>conclusive as the 95%CI included</w:t>
      </w:r>
      <w:r w:rsidR="00F17DEB" w:rsidRPr="00F17DEB">
        <w:rPr>
          <w:rFonts w:ascii="Arial" w:hAnsi="Arial"/>
          <w:sz w:val="22"/>
          <w:szCs w:val="22"/>
        </w:rPr>
        <w:t xml:space="preserve"> </w:t>
      </w:r>
      <w:r w:rsidR="00F17DEB">
        <w:rPr>
          <w:rFonts w:ascii="Arial" w:hAnsi="Arial"/>
          <w:sz w:val="22"/>
          <w:szCs w:val="22"/>
        </w:rPr>
        <w:t xml:space="preserve">the MCID </w:t>
      </w:r>
      <w:r w:rsidR="00F17DEB" w:rsidRPr="00071841">
        <w:rPr>
          <w:rFonts w:ascii="Arial" w:hAnsi="Arial"/>
          <w:sz w:val="22"/>
          <w:szCs w:val="22"/>
        </w:rPr>
        <w:t>(Treadwell at al 2012).</w:t>
      </w:r>
      <w:r w:rsidR="005229C4" w:rsidRPr="007D560F">
        <w:rPr>
          <w:rFonts w:ascii="Arial" w:hAnsi="Arial"/>
          <w:sz w:val="22"/>
          <w:szCs w:val="22"/>
        </w:rPr>
        <w:t xml:space="preserve"> </w:t>
      </w:r>
    </w:p>
    <w:p w:rsidR="00F17DEB" w:rsidRPr="007D560F" w:rsidRDefault="00F17DEB" w:rsidP="007D560F">
      <w:pPr>
        <w:ind w:left="709"/>
        <w:jc w:val="both"/>
        <w:rPr>
          <w:rFonts w:ascii="Arial" w:hAnsi="Arial"/>
          <w:sz w:val="22"/>
          <w:szCs w:val="22"/>
        </w:rPr>
      </w:pPr>
    </w:p>
    <w:p w:rsidR="00F17DEB" w:rsidRPr="00993E70" w:rsidRDefault="00F17DEB" w:rsidP="007D560F">
      <w:pPr>
        <w:pStyle w:val="ListParagraph"/>
        <w:numPr>
          <w:ilvl w:val="1"/>
          <w:numId w:val="25"/>
        </w:numPr>
        <w:jc w:val="both"/>
        <w:rPr>
          <w:rFonts w:ascii="Arial" w:hAnsi="Arial"/>
          <w:sz w:val="22"/>
          <w:szCs w:val="22"/>
        </w:rPr>
      </w:pPr>
      <w:r w:rsidRPr="007D560F">
        <w:rPr>
          <w:rFonts w:ascii="Arial" w:hAnsi="Arial"/>
          <w:sz w:val="22"/>
          <w:szCs w:val="22"/>
        </w:rPr>
        <w:t>Baseline change using the HAM-D17 and HAM-D24 were consistent wi</w:t>
      </w:r>
      <w:r w:rsidR="007D560F">
        <w:rPr>
          <w:rFonts w:ascii="Arial" w:hAnsi="Arial"/>
          <w:sz w:val="22"/>
          <w:szCs w:val="22"/>
        </w:rPr>
        <w:t>th the results using the MADRS.</w:t>
      </w:r>
    </w:p>
    <w:p w:rsidR="00993E70" w:rsidRPr="005229C4" w:rsidRDefault="00993E70" w:rsidP="00993E70">
      <w:pPr>
        <w:pStyle w:val="ListParagraph"/>
        <w:ind w:left="709"/>
        <w:jc w:val="both"/>
        <w:rPr>
          <w:rFonts w:ascii="Arial" w:hAnsi="Arial"/>
          <w:sz w:val="22"/>
          <w:szCs w:val="22"/>
        </w:rPr>
      </w:pPr>
    </w:p>
    <w:p w:rsidR="005229C4" w:rsidRDefault="005229C4" w:rsidP="007D560F">
      <w:pPr>
        <w:pStyle w:val="ListParagraph"/>
        <w:numPr>
          <w:ilvl w:val="1"/>
          <w:numId w:val="25"/>
        </w:numPr>
        <w:jc w:val="both"/>
        <w:rPr>
          <w:rFonts w:ascii="Arial" w:hAnsi="Arial"/>
          <w:sz w:val="22"/>
          <w:szCs w:val="22"/>
        </w:rPr>
      </w:pPr>
      <w:r>
        <w:rPr>
          <w:rFonts w:ascii="Arial" w:hAnsi="Arial"/>
          <w:sz w:val="22"/>
          <w:szCs w:val="22"/>
        </w:rPr>
        <w:t>Results using the HAM-D17 measure of effectiveness are shown in the table below:</w:t>
      </w:r>
      <w:r w:rsidR="00AB2204">
        <w:rPr>
          <w:rFonts w:ascii="Arial" w:hAnsi="Arial"/>
          <w:sz w:val="22"/>
          <w:szCs w:val="22"/>
        </w:rPr>
        <w:t xml:space="preserve"> </w:t>
      </w:r>
    </w:p>
    <w:p w:rsidR="005229C4" w:rsidRDefault="005229C4" w:rsidP="005229C4">
      <w:pPr>
        <w:pStyle w:val="ListParagraph"/>
        <w:ind w:left="709"/>
        <w:jc w:val="both"/>
        <w:rPr>
          <w:rFonts w:ascii="Arial" w:hAnsi="Arial"/>
          <w:sz w:val="22"/>
          <w:szCs w:val="22"/>
        </w:rPr>
      </w:pPr>
    </w:p>
    <w:p w:rsidR="005229C4" w:rsidRPr="005229C4" w:rsidRDefault="005229C4" w:rsidP="00FC1217">
      <w:pPr>
        <w:keepNext/>
        <w:widowControl w:val="0"/>
        <w:ind w:left="709"/>
        <w:jc w:val="both"/>
        <w:rPr>
          <w:rFonts w:ascii="Arial Narrow" w:hAnsi="Arial Narrow" w:cs="Arial"/>
          <w:b/>
          <w:snapToGrid w:val="0"/>
          <w:sz w:val="20"/>
          <w:szCs w:val="16"/>
          <w:lang w:eastAsia="en-US"/>
        </w:rPr>
      </w:pPr>
      <w:r w:rsidRPr="005229C4">
        <w:rPr>
          <w:rFonts w:ascii="Arial Narrow" w:hAnsi="Arial Narrow" w:cs="Arial"/>
          <w:b/>
          <w:snapToGrid w:val="0"/>
          <w:sz w:val="20"/>
          <w:szCs w:val="16"/>
          <w:lang w:eastAsia="en-US"/>
        </w:rPr>
        <w:lastRenderedPageBreak/>
        <w:t xml:space="preserve">Results of mean baseline change in HAM-D17 score (LOCF) across the direct randomised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7"/>
        <w:gridCol w:w="994"/>
        <w:gridCol w:w="1844"/>
        <w:gridCol w:w="1990"/>
        <w:gridCol w:w="1692"/>
      </w:tblGrid>
      <w:tr w:rsidR="005229C4" w:rsidRPr="005229C4" w:rsidTr="0040653E">
        <w:tc>
          <w:tcPr>
            <w:tcW w:w="1104" w:type="pct"/>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b/>
                <w:snapToGrid w:val="0"/>
                <w:sz w:val="20"/>
                <w:szCs w:val="20"/>
                <w:lang w:eastAsia="en-US"/>
              </w:rPr>
              <w:t xml:space="preserve">Trial </w:t>
            </w:r>
          </w:p>
        </w:tc>
        <w:tc>
          <w:tcPr>
            <w:tcW w:w="594" w:type="pct"/>
            <w:vAlign w:val="center"/>
          </w:tcPr>
          <w:p w:rsidR="005229C4" w:rsidRPr="005229C4" w:rsidRDefault="005229C4" w:rsidP="005229C4">
            <w:pPr>
              <w:keepNext/>
              <w:widowControl w:val="0"/>
              <w:ind w:right="-108"/>
              <w:jc w:val="center"/>
              <w:rPr>
                <w:rFonts w:ascii="Arial Narrow" w:hAnsi="Arial Narrow" w:cs="Arial"/>
                <w:snapToGrid w:val="0"/>
                <w:sz w:val="20"/>
                <w:szCs w:val="20"/>
                <w:lang w:eastAsia="en-US"/>
              </w:rPr>
            </w:pPr>
            <w:r w:rsidRPr="005229C4">
              <w:rPr>
                <w:rFonts w:ascii="Arial Narrow" w:hAnsi="Arial Narrow" w:cs="Arial"/>
                <w:b/>
                <w:snapToGrid w:val="0"/>
                <w:sz w:val="20"/>
                <w:szCs w:val="20"/>
                <w:lang w:eastAsia="en-US"/>
              </w:rPr>
              <w:t>n</w:t>
            </w:r>
          </w:p>
        </w:tc>
        <w:tc>
          <w:tcPr>
            <w:tcW w:w="1102" w:type="pct"/>
            <w:vAlign w:val="center"/>
          </w:tcPr>
          <w:p w:rsidR="005229C4" w:rsidRPr="005229C4" w:rsidRDefault="005229C4" w:rsidP="005229C4">
            <w:pPr>
              <w:keepNext/>
              <w:widowControl w:val="0"/>
              <w:ind w:right="-108"/>
              <w:jc w:val="center"/>
              <w:rPr>
                <w:rFonts w:ascii="Arial Narrow" w:hAnsi="Arial Narrow" w:cs="Arial"/>
                <w:snapToGrid w:val="0"/>
                <w:sz w:val="20"/>
                <w:szCs w:val="20"/>
                <w:lang w:eastAsia="en-US"/>
              </w:rPr>
            </w:pPr>
            <w:proofErr w:type="spellStart"/>
            <w:r w:rsidRPr="005229C4">
              <w:rPr>
                <w:rFonts w:ascii="Arial Narrow" w:hAnsi="Arial Narrow" w:cs="Arial"/>
                <w:b/>
                <w:snapToGrid w:val="0"/>
                <w:sz w:val="20"/>
                <w:szCs w:val="20"/>
                <w:lang w:eastAsia="en-US"/>
              </w:rPr>
              <w:t>Vortioxetine</w:t>
            </w:r>
            <w:proofErr w:type="spellEnd"/>
            <w:r w:rsidRPr="005229C4">
              <w:rPr>
                <w:rFonts w:ascii="Arial Narrow" w:hAnsi="Arial Narrow" w:cs="Arial"/>
                <w:b/>
                <w:snapToGrid w:val="0"/>
                <w:sz w:val="20"/>
                <w:szCs w:val="20"/>
                <w:lang w:eastAsia="en-US"/>
              </w:rPr>
              <w:t xml:space="preserve"> mean change ± SD</w:t>
            </w:r>
          </w:p>
        </w:tc>
        <w:tc>
          <w:tcPr>
            <w:tcW w:w="1189" w:type="pct"/>
            <w:vAlign w:val="center"/>
          </w:tcPr>
          <w:p w:rsidR="005229C4" w:rsidRPr="005229C4" w:rsidRDefault="005229C4" w:rsidP="005229C4">
            <w:pPr>
              <w:keepNext/>
              <w:widowControl w:val="0"/>
              <w:jc w:val="center"/>
              <w:rPr>
                <w:rFonts w:ascii="Arial Narrow" w:hAnsi="Arial Narrow" w:cs="Arial"/>
                <w:b/>
                <w:snapToGrid w:val="0"/>
                <w:sz w:val="20"/>
                <w:szCs w:val="20"/>
                <w:lang w:eastAsia="en-US"/>
              </w:rPr>
            </w:pPr>
            <w:r w:rsidRPr="005229C4">
              <w:rPr>
                <w:rFonts w:ascii="Arial Narrow" w:hAnsi="Arial Narrow" w:cs="Arial"/>
                <w:b/>
                <w:snapToGrid w:val="0"/>
                <w:sz w:val="20"/>
                <w:szCs w:val="20"/>
                <w:lang w:eastAsia="en-US"/>
              </w:rPr>
              <w:t>Active comparator</w:t>
            </w:r>
          </w:p>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b/>
                <w:snapToGrid w:val="0"/>
                <w:sz w:val="20"/>
                <w:szCs w:val="20"/>
                <w:lang w:eastAsia="en-US"/>
              </w:rPr>
              <w:t>mean change ± SD</w:t>
            </w:r>
          </w:p>
        </w:tc>
        <w:tc>
          <w:tcPr>
            <w:tcW w:w="1011" w:type="pct"/>
            <w:vAlign w:val="center"/>
          </w:tcPr>
          <w:p w:rsidR="005229C4" w:rsidRPr="005229C4" w:rsidRDefault="005229C4" w:rsidP="005229C4">
            <w:pPr>
              <w:keepNext/>
              <w:widowControl w:val="0"/>
              <w:jc w:val="center"/>
              <w:rPr>
                <w:rFonts w:ascii="Arial Narrow" w:hAnsi="Arial Narrow" w:cs="Arial"/>
                <w:b/>
                <w:snapToGrid w:val="0"/>
                <w:sz w:val="20"/>
                <w:szCs w:val="20"/>
                <w:lang w:eastAsia="en-US"/>
              </w:rPr>
            </w:pPr>
            <w:r w:rsidRPr="005229C4">
              <w:rPr>
                <w:rFonts w:ascii="Arial Narrow" w:hAnsi="Arial Narrow" w:cs="Arial"/>
                <w:b/>
                <w:snapToGrid w:val="0"/>
                <w:sz w:val="20"/>
                <w:szCs w:val="20"/>
                <w:lang w:eastAsia="en-US"/>
              </w:rPr>
              <w:t>Mean difference</w:t>
            </w:r>
          </w:p>
          <w:p w:rsidR="005229C4" w:rsidRPr="005229C4" w:rsidRDefault="005229C4" w:rsidP="005229C4">
            <w:pPr>
              <w:keepNext/>
              <w:widowControl w:val="0"/>
              <w:jc w:val="center"/>
              <w:rPr>
                <w:rFonts w:ascii="Arial Narrow" w:hAnsi="Arial Narrow" w:cs="Arial"/>
                <w:b/>
                <w:snapToGrid w:val="0"/>
                <w:sz w:val="20"/>
                <w:szCs w:val="20"/>
                <w:lang w:eastAsia="en-US"/>
              </w:rPr>
            </w:pPr>
            <w:r w:rsidRPr="005229C4">
              <w:rPr>
                <w:rFonts w:ascii="Arial Narrow" w:hAnsi="Arial Narrow" w:cs="Arial"/>
                <w:b/>
                <w:snapToGrid w:val="0"/>
                <w:sz w:val="20"/>
                <w:szCs w:val="20"/>
                <w:lang w:eastAsia="en-US"/>
              </w:rPr>
              <w:t>(95% CI)</w:t>
            </w:r>
          </w:p>
        </w:tc>
      </w:tr>
      <w:tr w:rsidR="005229C4" w:rsidRPr="005229C4" w:rsidTr="00FC1217">
        <w:tc>
          <w:tcPr>
            <w:tcW w:w="5000" w:type="pct"/>
            <w:gridSpan w:val="5"/>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Trials of </w:t>
            </w:r>
            <w:proofErr w:type="spellStart"/>
            <w:r w:rsidRPr="005229C4">
              <w:rPr>
                <w:rFonts w:ascii="Arial Narrow" w:hAnsi="Arial Narrow" w:cs="Arial"/>
                <w:snapToGrid w:val="0"/>
                <w:sz w:val="20"/>
                <w:szCs w:val="20"/>
                <w:lang w:eastAsia="en-US"/>
              </w:rPr>
              <w:t>vortioxetine</w:t>
            </w:r>
            <w:proofErr w:type="spellEnd"/>
            <w:r w:rsidRPr="005229C4">
              <w:rPr>
                <w:rFonts w:ascii="Arial Narrow" w:hAnsi="Arial Narrow" w:cs="Arial"/>
                <w:snapToGrid w:val="0"/>
                <w:sz w:val="20"/>
                <w:szCs w:val="20"/>
                <w:lang w:eastAsia="en-US"/>
              </w:rPr>
              <w:t xml:space="preserve"> vs. venlafaxine</w:t>
            </w:r>
          </w:p>
        </w:tc>
      </w:tr>
      <w:tr w:rsidR="005229C4" w:rsidRPr="005229C4" w:rsidTr="0040653E">
        <w:tc>
          <w:tcPr>
            <w:tcW w:w="1104" w:type="pct"/>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11492A</w:t>
            </w:r>
          </w:p>
        </w:tc>
        <w:tc>
          <w:tcPr>
            <w:tcW w:w="594"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319</w:t>
            </w:r>
          </w:p>
        </w:tc>
        <w:tc>
          <w:tcPr>
            <w:tcW w:w="1102"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-13.98  ± 7.44</w:t>
            </w:r>
          </w:p>
        </w:tc>
        <w:tc>
          <w:tcPr>
            <w:tcW w:w="1189"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-13.63 ± 7.48</w:t>
            </w:r>
          </w:p>
        </w:tc>
        <w:tc>
          <w:tcPr>
            <w:tcW w:w="1011"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-0.35 [-2.07, 1.37]</w:t>
            </w:r>
          </w:p>
        </w:tc>
      </w:tr>
      <w:tr w:rsidR="005229C4" w:rsidRPr="005229C4" w:rsidTr="00FC1217">
        <w:trPr>
          <w:trHeight w:val="151"/>
        </w:trPr>
        <w:tc>
          <w:tcPr>
            <w:tcW w:w="1104" w:type="pct"/>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13926A</w:t>
            </w:r>
          </w:p>
        </w:tc>
        <w:tc>
          <w:tcPr>
            <w:tcW w:w="3896" w:type="pct"/>
            <w:gridSpan w:val="4"/>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NR</w:t>
            </w:r>
          </w:p>
        </w:tc>
      </w:tr>
      <w:tr w:rsidR="0040653E" w:rsidRPr="005229C4" w:rsidTr="0040653E">
        <w:tc>
          <w:tcPr>
            <w:tcW w:w="1104" w:type="pct"/>
            <w:vAlign w:val="center"/>
          </w:tcPr>
          <w:p w:rsidR="0040653E" w:rsidRPr="005229C4" w:rsidRDefault="0040653E" w:rsidP="005229C4">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Pooled result</w:t>
            </w:r>
          </w:p>
        </w:tc>
        <w:tc>
          <w:tcPr>
            <w:tcW w:w="594" w:type="pct"/>
            <w:vAlign w:val="center"/>
          </w:tcPr>
          <w:p w:rsidR="0040653E" w:rsidRPr="005229C4" w:rsidRDefault="0040653E" w:rsidP="005229C4">
            <w:pPr>
              <w:keepNext/>
              <w:widowControl w:val="0"/>
              <w:jc w:val="center"/>
              <w:rPr>
                <w:rFonts w:ascii="Arial Narrow" w:hAnsi="Arial Narrow" w:cs="Arial"/>
                <w:snapToGrid w:val="0"/>
                <w:sz w:val="20"/>
                <w:szCs w:val="20"/>
                <w:lang w:eastAsia="en-US"/>
              </w:rPr>
            </w:pPr>
          </w:p>
        </w:tc>
        <w:tc>
          <w:tcPr>
            <w:tcW w:w="1102" w:type="pct"/>
            <w:vAlign w:val="center"/>
          </w:tcPr>
          <w:p w:rsidR="0040653E" w:rsidRPr="005229C4" w:rsidRDefault="0040653E" w:rsidP="005229C4">
            <w:pPr>
              <w:keepNext/>
              <w:widowControl w:val="0"/>
              <w:jc w:val="center"/>
              <w:rPr>
                <w:rFonts w:ascii="Arial Narrow" w:hAnsi="Arial Narrow" w:cs="Arial"/>
                <w:snapToGrid w:val="0"/>
                <w:sz w:val="20"/>
                <w:szCs w:val="20"/>
                <w:lang w:eastAsia="en-US"/>
              </w:rPr>
            </w:pPr>
          </w:p>
        </w:tc>
        <w:tc>
          <w:tcPr>
            <w:tcW w:w="1189" w:type="pct"/>
            <w:vAlign w:val="center"/>
          </w:tcPr>
          <w:p w:rsidR="0040653E" w:rsidRPr="005229C4" w:rsidRDefault="0040653E" w:rsidP="005229C4">
            <w:pPr>
              <w:keepNext/>
              <w:widowControl w:val="0"/>
              <w:jc w:val="center"/>
              <w:rPr>
                <w:rFonts w:ascii="Arial Narrow" w:hAnsi="Arial Narrow" w:cs="Arial"/>
                <w:snapToGrid w:val="0"/>
                <w:sz w:val="20"/>
                <w:szCs w:val="20"/>
                <w:lang w:eastAsia="en-US"/>
              </w:rPr>
            </w:pPr>
          </w:p>
        </w:tc>
        <w:tc>
          <w:tcPr>
            <w:tcW w:w="1011" w:type="pct"/>
            <w:vAlign w:val="center"/>
          </w:tcPr>
          <w:p w:rsidR="0040653E" w:rsidRPr="005229C4" w:rsidRDefault="0040653E"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-0.35 [-2.07, 1.37]</w:t>
            </w:r>
          </w:p>
        </w:tc>
      </w:tr>
      <w:tr w:rsidR="005229C4" w:rsidRPr="005229C4" w:rsidTr="00FC1217">
        <w:tc>
          <w:tcPr>
            <w:tcW w:w="5000" w:type="pct"/>
            <w:gridSpan w:val="5"/>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Heterogeneity: NA</w:t>
            </w:r>
          </w:p>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Test for overall effect: Z = 0.40 (P = 0.69)</w:t>
            </w:r>
          </w:p>
        </w:tc>
      </w:tr>
      <w:tr w:rsidR="005229C4" w:rsidRPr="005229C4" w:rsidTr="00FC1217">
        <w:tc>
          <w:tcPr>
            <w:tcW w:w="5000" w:type="pct"/>
            <w:gridSpan w:val="5"/>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Trials of </w:t>
            </w:r>
            <w:proofErr w:type="spellStart"/>
            <w:r w:rsidRPr="005229C4">
              <w:rPr>
                <w:rFonts w:ascii="Arial Narrow" w:hAnsi="Arial Narrow" w:cs="Arial"/>
                <w:snapToGrid w:val="0"/>
                <w:sz w:val="20"/>
                <w:szCs w:val="20"/>
                <w:lang w:eastAsia="en-US"/>
              </w:rPr>
              <w:t>vortioxetine</w:t>
            </w:r>
            <w:proofErr w:type="spellEnd"/>
            <w:r w:rsidRPr="005229C4">
              <w:rPr>
                <w:rFonts w:ascii="Arial Narrow" w:hAnsi="Arial Narrow" w:cs="Arial"/>
                <w:snapToGrid w:val="0"/>
                <w:sz w:val="20"/>
                <w:szCs w:val="20"/>
                <w:lang w:eastAsia="en-US"/>
              </w:rPr>
              <w:t xml:space="preserve"> vs. duloxetine</w:t>
            </w:r>
          </w:p>
        </w:tc>
      </w:tr>
      <w:tr w:rsidR="005229C4" w:rsidRPr="005229C4" w:rsidTr="0040653E">
        <w:tc>
          <w:tcPr>
            <w:tcW w:w="1104" w:type="pct"/>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11984A</w:t>
            </w:r>
          </w:p>
        </w:tc>
        <w:tc>
          <w:tcPr>
            <w:tcW w:w="594"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455</w:t>
            </w:r>
          </w:p>
        </w:tc>
        <w:tc>
          <w:tcPr>
            <w:tcW w:w="1102"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89"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11"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229C4" w:rsidRPr="005229C4" w:rsidTr="0040653E">
        <w:tc>
          <w:tcPr>
            <w:tcW w:w="1104" w:type="pct"/>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12541A</w:t>
            </w:r>
          </w:p>
        </w:tc>
        <w:tc>
          <w:tcPr>
            <w:tcW w:w="594"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303</w:t>
            </w:r>
          </w:p>
        </w:tc>
        <w:tc>
          <w:tcPr>
            <w:tcW w:w="1102"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89"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11"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229C4" w:rsidRPr="005229C4" w:rsidTr="00FC1217">
        <w:tc>
          <w:tcPr>
            <w:tcW w:w="1104" w:type="pct"/>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13267A</w:t>
            </w:r>
          </w:p>
        </w:tc>
        <w:tc>
          <w:tcPr>
            <w:tcW w:w="3896" w:type="pct"/>
            <w:gridSpan w:val="4"/>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NR</w:t>
            </w:r>
          </w:p>
        </w:tc>
      </w:tr>
      <w:tr w:rsidR="005229C4" w:rsidRPr="005229C4" w:rsidTr="0040653E">
        <w:tc>
          <w:tcPr>
            <w:tcW w:w="1104" w:type="pct"/>
            <w:vAlign w:val="center"/>
          </w:tcPr>
          <w:p w:rsidR="005229C4" w:rsidRPr="005229C4" w:rsidRDefault="005229C4" w:rsidP="005229C4">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304</w:t>
            </w:r>
          </w:p>
        </w:tc>
        <w:tc>
          <w:tcPr>
            <w:tcW w:w="594"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302</w:t>
            </w:r>
          </w:p>
        </w:tc>
        <w:tc>
          <w:tcPr>
            <w:tcW w:w="1102"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89"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w:t>
            </w:r>
            <w:r w:rsidR="00BA24A8">
              <w:rPr>
                <w:rFonts w:ascii="Arial Narrow" w:hAnsi="Arial Narrow" w:cs="Arial"/>
                <w:noProof/>
                <w:snapToGrid w:val="0"/>
                <w:color w:val="000000"/>
                <w:sz w:val="20"/>
                <w:szCs w:val="20"/>
                <w:highlight w:val="black"/>
                <w:lang w:eastAsia="en-US"/>
              </w:rPr>
              <w:t>'''''''''' '''' ''''''''''</w:t>
            </w:r>
          </w:p>
        </w:tc>
        <w:tc>
          <w:tcPr>
            <w:tcW w:w="1011"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229C4" w:rsidRPr="005229C4" w:rsidTr="00FC1217">
        <w:tc>
          <w:tcPr>
            <w:tcW w:w="1104" w:type="pct"/>
            <w:vAlign w:val="center"/>
          </w:tcPr>
          <w:p w:rsidR="005229C4" w:rsidRPr="005229C4" w:rsidRDefault="005229C4" w:rsidP="005229C4">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315</w:t>
            </w:r>
          </w:p>
        </w:tc>
        <w:tc>
          <w:tcPr>
            <w:tcW w:w="3896" w:type="pct"/>
            <w:gridSpan w:val="4"/>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NR</w:t>
            </w:r>
          </w:p>
        </w:tc>
      </w:tr>
      <w:tr w:rsidR="005229C4" w:rsidRPr="005229C4" w:rsidTr="0040653E">
        <w:tc>
          <w:tcPr>
            <w:tcW w:w="1104" w:type="pct"/>
            <w:vAlign w:val="center"/>
          </w:tcPr>
          <w:p w:rsidR="005229C4" w:rsidRPr="005229C4" w:rsidRDefault="005229C4" w:rsidP="005229C4">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Pooled result</w:t>
            </w:r>
          </w:p>
        </w:tc>
        <w:tc>
          <w:tcPr>
            <w:tcW w:w="594"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p>
        </w:tc>
        <w:tc>
          <w:tcPr>
            <w:tcW w:w="1102"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p>
        </w:tc>
        <w:tc>
          <w:tcPr>
            <w:tcW w:w="1189" w:type="pct"/>
            <w:vAlign w:val="center"/>
          </w:tcPr>
          <w:p w:rsidR="005229C4" w:rsidRPr="005229C4" w:rsidRDefault="005229C4" w:rsidP="005229C4">
            <w:pPr>
              <w:keepNext/>
              <w:widowControl w:val="0"/>
              <w:jc w:val="center"/>
              <w:rPr>
                <w:rFonts w:ascii="Arial Narrow" w:hAnsi="Arial Narrow" w:cs="Arial"/>
                <w:snapToGrid w:val="0"/>
                <w:sz w:val="20"/>
                <w:szCs w:val="20"/>
                <w:lang w:eastAsia="en-US"/>
              </w:rPr>
            </w:pPr>
          </w:p>
        </w:tc>
        <w:tc>
          <w:tcPr>
            <w:tcW w:w="1011" w:type="pct"/>
            <w:vAlign w:val="center"/>
          </w:tcPr>
          <w:p w:rsidR="005229C4" w:rsidRPr="00BA24A8" w:rsidRDefault="00BA24A8" w:rsidP="005229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229C4" w:rsidRPr="005229C4" w:rsidTr="00FC1217">
        <w:tc>
          <w:tcPr>
            <w:tcW w:w="5000" w:type="pct"/>
            <w:gridSpan w:val="5"/>
            <w:vAlign w:val="center"/>
          </w:tcPr>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Heterogeneity: Tau² = 0.00; Chi² = 1.14, </w:t>
            </w:r>
            <w:proofErr w:type="spellStart"/>
            <w:r w:rsidRPr="005229C4">
              <w:rPr>
                <w:rFonts w:ascii="Arial Narrow" w:hAnsi="Arial Narrow" w:cs="Arial"/>
                <w:snapToGrid w:val="0"/>
                <w:sz w:val="20"/>
                <w:szCs w:val="20"/>
                <w:lang w:eastAsia="en-US"/>
              </w:rPr>
              <w:t>df</w:t>
            </w:r>
            <w:proofErr w:type="spellEnd"/>
            <w:r w:rsidRPr="005229C4">
              <w:rPr>
                <w:rFonts w:ascii="Arial Narrow" w:hAnsi="Arial Narrow" w:cs="Arial"/>
                <w:snapToGrid w:val="0"/>
                <w:sz w:val="20"/>
                <w:szCs w:val="20"/>
                <w:lang w:eastAsia="en-US"/>
              </w:rPr>
              <w:t xml:space="preserve"> = 2 (P = 0.57); I² = 0%</w:t>
            </w:r>
          </w:p>
          <w:p w:rsidR="005229C4" w:rsidRPr="005229C4" w:rsidRDefault="005229C4" w:rsidP="005229C4">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Test for overall effect: Z = 2.66 (P = </w:t>
            </w:r>
            <w:r w:rsidR="00CE4352">
              <w:rPr>
                <w:rFonts w:ascii="Arial Narrow" w:hAnsi="Arial Narrow" w:cs="Arial"/>
                <w:noProof/>
                <w:snapToGrid w:val="0"/>
                <w:color w:val="000000"/>
                <w:sz w:val="20"/>
                <w:szCs w:val="20"/>
                <w:highlight w:val="black"/>
                <w:lang w:eastAsia="en-US"/>
              </w:rPr>
              <w:t>'''''''''''''</w:t>
            </w:r>
            <w:r w:rsidRPr="005229C4">
              <w:rPr>
                <w:rFonts w:ascii="Arial Narrow" w:hAnsi="Arial Narrow" w:cs="Arial"/>
                <w:snapToGrid w:val="0"/>
                <w:sz w:val="20"/>
                <w:szCs w:val="20"/>
                <w:lang w:eastAsia="en-US"/>
              </w:rPr>
              <w:t>)</w:t>
            </w:r>
          </w:p>
        </w:tc>
      </w:tr>
    </w:tbl>
    <w:p w:rsidR="005229C4" w:rsidRPr="005229C4" w:rsidRDefault="005229C4" w:rsidP="00FC1217">
      <w:pPr>
        <w:keepNext/>
        <w:widowControl w:val="0"/>
        <w:ind w:left="709"/>
        <w:jc w:val="both"/>
        <w:rPr>
          <w:rFonts w:ascii="Arial Narrow" w:hAnsi="Arial Narrow" w:cs="Arial"/>
          <w:snapToGrid w:val="0"/>
          <w:sz w:val="18"/>
          <w:szCs w:val="20"/>
          <w:lang w:eastAsia="en-US"/>
        </w:rPr>
      </w:pPr>
      <w:r w:rsidRPr="005229C4">
        <w:rPr>
          <w:rFonts w:ascii="Arial Narrow" w:hAnsi="Arial Narrow" w:cs="Arial"/>
          <w:snapToGrid w:val="0"/>
          <w:sz w:val="18"/>
          <w:szCs w:val="20"/>
          <w:lang w:eastAsia="en-US"/>
        </w:rPr>
        <w:t xml:space="preserve">Abbreviations: SD = standard deviation, CI = confidence interval, </w:t>
      </w:r>
      <w:proofErr w:type="spellStart"/>
      <w:proofErr w:type="gramStart"/>
      <w:r w:rsidRPr="005229C4">
        <w:rPr>
          <w:rFonts w:ascii="Arial Narrow" w:hAnsi="Arial Narrow" w:cs="Arial"/>
          <w:snapToGrid w:val="0"/>
          <w:sz w:val="18"/>
          <w:szCs w:val="20"/>
          <w:lang w:eastAsia="en-US"/>
        </w:rPr>
        <w:t>df</w:t>
      </w:r>
      <w:proofErr w:type="spellEnd"/>
      <w:proofErr w:type="gramEnd"/>
      <w:r w:rsidRPr="005229C4">
        <w:rPr>
          <w:rFonts w:ascii="Arial Narrow" w:hAnsi="Arial Narrow" w:cs="Arial"/>
          <w:snapToGrid w:val="0"/>
          <w:sz w:val="18"/>
          <w:szCs w:val="20"/>
          <w:lang w:eastAsia="en-US"/>
        </w:rPr>
        <w:t>= degrees of freedom</w:t>
      </w:r>
    </w:p>
    <w:p w:rsidR="005229C4" w:rsidRPr="001A777B" w:rsidRDefault="005229C4" w:rsidP="00FC1217">
      <w:pPr>
        <w:keepNext/>
        <w:widowControl w:val="0"/>
        <w:ind w:left="709"/>
        <w:jc w:val="both"/>
        <w:rPr>
          <w:rFonts w:ascii="Arial Narrow" w:hAnsi="Arial Narrow" w:cs="Arial"/>
          <w:b/>
          <w:snapToGrid w:val="0"/>
          <w:lang w:eastAsia="en-US"/>
        </w:rPr>
      </w:pPr>
      <w:r w:rsidRPr="005229C4">
        <w:rPr>
          <w:rFonts w:ascii="Arial Narrow" w:hAnsi="Arial Narrow" w:cs="Arial"/>
          <w:snapToGrid w:val="0"/>
          <w:sz w:val="18"/>
          <w:szCs w:val="20"/>
          <w:lang w:eastAsia="en-US"/>
        </w:rPr>
        <w:t xml:space="preserve">Source: Table 30, p196 and Figure 11, p196 of the submission </w:t>
      </w:r>
    </w:p>
    <w:p w:rsidR="005229C4" w:rsidRPr="00D254AF" w:rsidRDefault="005229C4" w:rsidP="00D254AF">
      <w:pPr>
        <w:jc w:val="both"/>
        <w:rPr>
          <w:rFonts w:ascii="Arial" w:hAnsi="Arial"/>
          <w:sz w:val="22"/>
          <w:szCs w:val="22"/>
        </w:rPr>
      </w:pPr>
    </w:p>
    <w:p w:rsidR="00A06195" w:rsidRPr="00D254AF" w:rsidRDefault="001A3E87" w:rsidP="001A777B">
      <w:pPr>
        <w:pStyle w:val="ListParagraph"/>
        <w:numPr>
          <w:ilvl w:val="1"/>
          <w:numId w:val="25"/>
        </w:numPr>
        <w:jc w:val="both"/>
        <w:rPr>
          <w:rFonts w:ascii="Arial" w:hAnsi="Arial"/>
          <w:sz w:val="22"/>
          <w:szCs w:val="22"/>
        </w:rPr>
      </w:pPr>
      <w:r w:rsidRPr="001A3E87">
        <w:rPr>
          <w:rFonts w:ascii="Arial" w:hAnsi="Arial"/>
          <w:sz w:val="22"/>
          <w:szCs w:val="22"/>
        </w:rPr>
        <w:t xml:space="preserve">Results using the HAM-D17 measure of effectiveness are further summarised in the figure below: </w:t>
      </w:r>
    </w:p>
    <w:p w:rsidR="001A3E87" w:rsidRPr="001A3E87" w:rsidRDefault="001A3E87" w:rsidP="001A3E87">
      <w:pPr>
        <w:rPr>
          <w:rFonts w:ascii="Arial" w:hAnsi="Arial"/>
          <w:sz w:val="22"/>
          <w:szCs w:val="22"/>
        </w:rPr>
      </w:pPr>
    </w:p>
    <w:p w:rsidR="00D254AF" w:rsidRPr="00D254AF" w:rsidRDefault="00D254AF" w:rsidP="001A777B">
      <w:pPr>
        <w:ind w:firstLine="720"/>
        <w:contextualSpacing/>
        <w:jc w:val="both"/>
        <w:rPr>
          <w:rFonts w:ascii="Arial Narrow" w:hAnsi="Arial Narrow" w:cs="Arial"/>
          <w:b/>
          <w:snapToGrid w:val="0"/>
          <w:sz w:val="20"/>
          <w:szCs w:val="16"/>
          <w:lang w:eastAsia="en-US"/>
        </w:rPr>
      </w:pPr>
      <w:r w:rsidRPr="00D254AF">
        <w:rPr>
          <w:rFonts w:ascii="Arial Narrow" w:hAnsi="Arial Narrow" w:cs="Arial"/>
          <w:b/>
          <w:snapToGrid w:val="0"/>
          <w:sz w:val="20"/>
          <w:szCs w:val="16"/>
          <w:lang w:eastAsia="en-US"/>
        </w:rPr>
        <w:t xml:space="preserve">Results of mean baseline change in HAM-D17 score </w:t>
      </w:r>
      <w:r w:rsidR="000268A0">
        <w:rPr>
          <w:rFonts w:ascii="Arial Narrow" w:hAnsi="Arial Narrow" w:cs="Arial"/>
          <w:b/>
          <w:snapToGrid w:val="0"/>
          <w:sz w:val="20"/>
          <w:szCs w:val="16"/>
          <w:lang w:eastAsia="en-US"/>
        </w:rPr>
        <w:t xml:space="preserve">(LOCF) </w:t>
      </w:r>
      <w:r w:rsidRPr="00D254AF">
        <w:rPr>
          <w:rFonts w:ascii="Arial Narrow" w:hAnsi="Arial Narrow" w:cs="Arial"/>
          <w:b/>
          <w:snapToGrid w:val="0"/>
          <w:sz w:val="20"/>
          <w:szCs w:val="16"/>
          <w:lang w:eastAsia="en-US"/>
        </w:rPr>
        <w:t>across the direct randomised trials</w:t>
      </w:r>
    </w:p>
    <w:p w:rsidR="00D254AF" w:rsidRDefault="00BA24A8" w:rsidP="001A777B">
      <w:pPr>
        <w:contextualSpacing/>
        <w:jc w:val="right"/>
        <w:rPr>
          <w:rFonts w:ascii="Arial" w:hAnsi="Arial" w:cs="Arial"/>
          <w:snapToGrid w:val="0"/>
          <w:sz w:val="22"/>
          <w:szCs w:val="22"/>
          <w:lang w:eastAsia="en-US"/>
        </w:rPr>
      </w:pPr>
      <w:r>
        <w:rPr>
          <w:rFonts w:ascii="Arial" w:hAnsi="Arial" w:cs="Arial"/>
          <w:noProof/>
          <w:sz w:val="22"/>
          <w:szCs w:val="22"/>
        </w:rPr>
        <w:drawing>
          <wp:inline distT="0" distB="0" distL="0" distR="0" wp14:anchorId="69B253D3" wp14:editId="7946A226">
            <wp:extent cx="5280025" cy="2219325"/>
            <wp:effectExtent l="0" t="0" r="0" b="9525"/>
            <wp:docPr id="3" name="Picture 3" descr="Results of mean baseline change in HAM-D17 score (LOCF) across the direct randomised trials" title="Results of mean baseline change in HAM-D17 score (LOCF) across the direct randomised tria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80025" cy="2219325"/>
                    </a:xfrm>
                    <a:prstGeom prst="rect">
                      <a:avLst/>
                    </a:prstGeom>
                  </pic:spPr>
                </pic:pic>
              </a:graphicData>
            </a:graphic>
          </wp:inline>
        </w:drawing>
      </w:r>
    </w:p>
    <w:p w:rsidR="001A3E87" w:rsidRPr="001A3E87" w:rsidRDefault="001A3E87" w:rsidP="001A777B">
      <w:pPr>
        <w:widowControl w:val="0"/>
        <w:ind w:firstLine="709"/>
        <w:jc w:val="both"/>
        <w:rPr>
          <w:rFonts w:ascii="Arial Narrow" w:hAnsi="Arial Narrow" w:cs="Arial"/>
          <w:snapToGrid w:val="0"/>
          <w:sz w:val="18"/>
          <w:szCs w:val="16"/>
          <w:lang w:eastAsia="en-US"/>
        </w:rPr>
      </w:pPr>
      <w:r w:rsidRPr="001A3E87">
        <w:rPr>
          <w:rFonts w:ascii="Arial Narrow" w:hAnsi="Arial Narrow" w:cs="Arial"/>
          <w:snapToGrid w:val="0"/>
          <w:sz w:val="18"/>
          <w:szCs w:val="16"/>
          <w:lang w:eastAsia="en-US"/>
        </w:rPr>
        <w:t xml:space="preserve">Source: </w:t>
      </w:r>
      <w:r w:rsidR="00D254AF" w:rsidRPr="00D254AF">
        <w:rPr>
          <w:rFonts w:ascii="Arial Narrow" w:hAnsi="Arial Narrow" w:cs="Arial"/>
          <w:snapToGrid w:val="0"/>
          <w:sz w:val="18"/>
          <w:szCs w:val="16"/>
          <w:lang w:eastAsia="en-US"/>
        </w:rPr>
        <w:t>Figure1</w:t>
      </w:r>
      <w:r w:rsidR="000268A0">
        <w:rPr>
          <w:rFonts w:ascii="Arial Narrow" w:hAnsi="Arial Narrow" w:cs="Arial"/>
          <w:snapToGrid w:val="0"/>
          <w:sz w:val="18"/>
          <w:szCs w:val="16"/>
          <w:lang w:eastAsia="en-US"/>
        </w:rPr>
        <w:t>1</w:t>
      </w:r>
      <w:r w:rsidR="00D254AF" w:rsidRPr="00D254AF">
        <w:rPr>
          <w:rFonts w:ascii="Arial Narrow" w:hAnsi="Arial Narrow" w:cs="Arial"/>
          <w:snapToGrid w:val="0"/>
          <w:sz w:val="18"/>
          <w:szCs w:val="16"/>
          <w:lang w:eastAsia="en-US"/>
        </w:rPr>
        <w:t>, p 19</w:t>
      </w:r>
      <w:r w:rsidR="000268A0">
        <w:rPr>
          <w:rFonts w:ascii="Arial Narrow" w:hAnsi="Arial Narrow" w:cs="Arial"/>
          <w:snapToGrid w:val="0"/>
          <w:sz w:val="18"/>
          <w:szCs w:val="16"/>
          <w:lang w:eastAsia="en-US"/>
        </w:rPr>
        <w:t>6</w:t>
      </w:r>
      <w:r w:rsidR="00D254AF" w:rsidRPr="00D254AF">
        <w:rPr>
          <w:rFonts w:ascii="Arial Narrow" w:hAnsi="Arial Narrow" w:cs="Arial"/>
          <w:snapToGrid w:val="0"/>
          <w:sz w:val="18"/>
          <w:szCs w:val="16"/>
          <w:lang w:eastAsia="en-US"/>
        </w:rPr>
        <w:t xml:space="preserve"> of the </w:t>
      </w:r>
      <w:r w:rsidR="00B853EC" w:rsidRPr="00D254AF">
        <w:rPr>
          <w:rFonts w:ascii="Arial Narrow" w:hAnsi="Arial Narrow" w:cs="Arial"/>
          <w:snapToGrid w:val="0"/>
          <w:sz w:val="18"/>
          <w:szCs w:val="16"/>
          <w:lang w:eastAsia="en-US"/>
        </w:rPr>
        <w:t>submission</w:t>
      </w:r>
    </w:p>
    <w:p w:rsidR="001A3E87" w:rsidRDefault="001A3E87" w:rsidP="001A3E87">
      <w:pPr>
        <w:pStyle w:val="ListParagraph"/>
        <w:ind w:left="709"/>
        <w:rPr>
          <w:rFonts w:ascii="Arial" w:hAnsi="Arial"/>
          <w:sz w:val="22"/>
          <w:szCs w:val="22"/>
        </w:rPr>
      </w:pPr>
    </w:p>
    <w:p w:rsidR="001A3E87" w:rsidRDefault="001A3E87" w:rsidP="001A3E87">
      <w:pPr>
        <w:pStyle w:val="ListParagraph"/>
        <w:ind w:left="709"/>
        <w:rPr>
          <w:rFonts w:ascii="Arial" w:hAnsi="Arial"/>
          <w:sz w:val="22"/>
          <w:szCs w:val="22"/>
        </w:rPr>
      </w:pPr>
    </w:p>
    <w:p w:rsidR="00A06195" w:rsidRPr="00A06195" w:rsidRDefault="006844FD" w:rsidP="001A777B">
      <w:pPr>
        <w:pStyle w:val="ListParagraph"/>
        <w:numPr>
          <w:ilvl w:val="1"/>
          <w:numId w:val="25"/>
        </w:numPr>
        <w:jc w:val="both"/>
        <w:rPr>
          <w:rFonts w:ascii="Arial" w:hAnsi="Arial"/>
          <w:sz w:val="22"/>
          <w:szCs w:val="22"/>
        </w:rPr>
      </w:pPr>
      <w:r w:rsidRPr="00A06195">
        <w:rPr>
          <w:rFonts w:ascii="Arial" w:hAnsi="Arial"/>
          <w:sz w:val="22"/>
          <w:szCs w:val="22"/>
        </w:rPr>
        <w:t>Only</w:t>
      </w:r>
      <w:r w:rsidR="00A06195" w:rsidRPr="00A06195">
        <w:rPr>
          <w:rFonts w:ascii="Arial" w:hAnsi="Arial"/>
          <w:sz w:val="22"/>
          <w:szCs w:val="22"/>
        </w:rPr>
        <w:t xml:space="preserve"> one trial reported HAM-D17 scores when comparing </w:t>
      </w:r>
      <w:proofErr w:type="spellStart"/>
      <w:r w:rsidR="00A06195" w:rsidRPr="00A06195">
        <w:rPr>
          <w:rFonts w:ascii="Arial" w:hAnsi="Arial"/>
          <w:sz w:val="22"/>
          <w:szCs w:val="22"/>
        </w:rPr>
        <w:t>vortioxetine</w:t>
      </w:r>
      <w:proofErr w:type="spellEnd"/>
      <w:r w:rsidR="00A06195" w:rsidRPr="00A06195">
        <w:rPr>
          <w:rFonts w:ascii="Arial" w:hAnsi="Arial"/>
          <w:sz w:val="22"/>
          <w:szCs w:val="22"/>
        </w:rPr>
        <w:t xml:space="preserve"> to venlafaxine. The result was not statistically significant. In the comparison with duloxetine, the pooled result was significantly in favour of duloxetine. However, the point estimate of the WMD did not exceed the MCID of 1.5. </w:t>
      </w:r>
    </w:p>
    <w:p w:rsidR="00A06195" w:rsidRDefault="00A06195" w:rsidP="00A06195">
      <w:pPr>
        <w:pStyle w:val="ListParagraph"/>
        <w:ind w:left="709"/>
        <w:rPr>
          <w:rFonts w:ascii="Arial" w:hAnsi="Arial"/>
          <w:sz w:val="22"/>
          <w:szCs w:val="22"/>
        </w:rPr>
      </w:pPr>
    </w:p>
    <w:p w:rsidR="005229C4" w:rsidRPr="001A777B" w:rsidRDefault="005229C4" w:rsidP="001A777B">
      <w:pPr>
        <w:pStyle w:val="ListParagraph"/>
        <w:numPr>
          <w:ilvl w:val="1"/>
          <w:numId w:val="25"/>
        </w:numPr>
        <w:jc w:val="both"/>
        <w:rPr>
          <w:rFonts w:ascii="Arial" w:hAnsi="Arial"/>
          <w:sz w:val="22"/>
          <w:szCs w:val="22"/>
        </w:rPr>
      </w:pPr>
      <w:r w:rsidRPr="001A777B">
        <w:rPr>
          <w:rFonts w:ascii="Arial" w:hAnsi="Arial"/>
          <w:sz w:val="22"/>
          <w:szCs w:val="22"/>
        </w:rPr>
        <w:t>Results using the HAM-D24 measure of effectiveness are shown in the table below:</w:t>
      </w:r>
      <w:r w:rsidR="00310B5C" w:rsidRPr="001A777B">
        <w:rPr>
          <w:rFonts w:ascii="Arial" w:hAnsi="Arial"/>
          <w:sz w:val="22"/>
          <w:szCs w:val="22"/>
        </w:rPr>
        <w:t xml:space="preserve"> </w:t>
      </w:r>
    </w:p>
    <w:p w:rsidR="00FC1217" w:rsidRPr="00FC1217" w:rsidRDefault="00FC1217" w:rsidP="00FC1217">
      <w:pPr>
        <w:keepNext/>
        <w:widowControl w:val="0"/>
        <w:ind w:left="709"/>
        <w:jc w:val="both"/>
        <w:rPr>
          <w:rFonts w:ascii="Arial Narrow" w:hAnsi="Arial Narrow" w:cs="Arial"/>
          <w:b/>
          <w:snapToGrid w:val="0"/>
          <w:sz w:val="20"/>
          <w:szCs w:val="16"/>
          <w:lang w:eastAsia="en-US"/>
        </w:rPr>
      </w:pPr>
      <w:r w:rsidRPr="00FC1217">
        <w:rPr>
          <w:rFonts w:ascii="Arial Narrow" w:hAnsi="Arial Narrow" w:cs="Arial"/>
          <w:b/>
          <w:snapToGrid w:val="0"/>
          <w:sz w:val="20"/>
          <w:szCs w:val="16"/>
          <w:lang w:eastAsia="en-US"/>
        </w:rPr>
        <w:lastRenderedPageBreak/>
        <w:t xml:space="preserve">Results of mean baseline change in HAM-D24 score (LOCF) across the direct randomised trials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7"/>
        <w:gridCol w:w="994"/>
        <w:gridCol w:w="1849"/>
        <w:gridCol w:w="1990"/>
        <w:gridCol w:w="1687"/>
      </w:tblGrid>
      <w:tr w:rsidR="00FC1217" w:rsidRPr="005229C4" w:rsidTr="00FC1217">
        <w:tc>
          <w:tcPr>
            <w:tcW w:w="1104" w:type="pct"/>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b/>
                <w:snapToGrid w:val="0"/>
                <w:sz w:val="20"/>
                <w:szCs w:val="20"/>
                <w:lang w:eastAsia="en-US"/>
              </w:rPr>
              <w:t xml:space="preserve">Trial </w:t>
            </w:r>
          </w:p>
        </w:tc>
        <w:tc>
          <w:tcPr>
            <w:tcW w:w="594" w:type="pct"/>
            <w:vAlign w:val="center"/>
          </w:tcPr>
          <w:p w:rsidR="00FC1217" w:rsidRPr="005229C4" w:rsidRDefault="00FC1217" w:rsidP="00060B0F">
            <w:pPr>
              <w:keepNext/>
              <w:widowControl w:val="0"/>
              <w:ind w:right="-108"/>
              <w:jc w:val="center"/>
              <w:rPr>
                <w:rFonts w:ascii="Arial Narrow" w:hAnsi="Arial Narrow" w:cs="Arial"/>
                <w:snapToGrid w:val="0"/>
                <w:sz w:val="20"/>
                <w:szCs w:val="20"/>
                <w:lang w:eastAsia="en-US"/>
              </w:rPr>
            </w:pPr>
            <w:r w:rsidRPr="005229C4">
              <w:rPr>
                <w:rFonts w:ascii="Arial Narrow" w:hAnsi="Arial Narrow" w:cs="Arial"/>
                <w:b/>
                <w:snapToGrid w:val="0"/>
                <w:sz w:val="20"/>
                <w:szCs w:val="20"/>
                <w:lang w:eastAsia="en-US"/>
              </w:rPr>
              <w:t>n</w:t>
            </w:r>
          </w:p>
        </w:tc>
        <w:tc>
          <w:tcPr>
            <w:tcW w:w="1105" w:type="pct"/>
            <w:vAlign w:val="center"/>
          </w:tcPr>
          <w:p w:rsidR="00FC1217" w:rsidRPr="005229C4" w:rsidRDefault="00FC1217" w:rsidP="00060B0F">
            <w:pPr>
              <w:keepNext/>
              <w:widowControl w:val="0"/>
              <w:ind w:right="-108"/>
              <w:jc w:val="center"/>
              <w:rPr>
                <w:rFonts w:ascii="Arial Narrow" w:hAnsi="Arial Narrow" w:cs="Arial"/>
                <w:snapToGrid w:val="0"/>
                <w:sz w:val="20"/>
                <w:szCs w:val="20"/>
                <w:lang w:eastAsia="en-US"/>
              </w:rPr>
            </w:pPr>
            <w:proofErr w:type="spellStart"/>
            <w:r w:rsidRPr="005229C4">
              <w:rPr>
                <w:rFonts w:ascii="Arial Narrow" w:hAnsi="Arial Narrow" w:cs="Arial"/>
                <w:b/>
                <w:snapToGrid w:val="0"/>
                <w:sz w:val="20"/>
                <w:szCs w:val="20"/>
                <w:lang w:eastAsia="en-US"/>
              </w:rPr>
              <w:t>Vortioxetine</w:t>
            </w:r>
            <w:proofErr w:type="spellEnd"/>
            <w:r w:rsidRPr="005229C4">
              <w:rPr>
                <w:rFonts w:ascii="Arial Narrow" w:hAnsi="Arial Narrow" w:cs="Arial"/>
                <w:b/>
                <w:snapToGrid w:val="0"/>
                <w:sz w:val="20"/>
                <w:szCs w:val="20"/>
                <w:lang w:eastAsia="en-US"/>
              </w:rPr>
              <w:t xml:space="preserve"> mean change ± SD</w:t>
            </w:r>
          </w:p>
        </w:tc>
        <w:tc>
          <w:tcPr>
            <w:tcW w:w="1189" w:type="pct"/>
            <w:vAlign w:val="center"/>
          </w:tcPr>
          <w:p w:rsidR="00FC1217" w:rsidRPr="005229C4" w:rsidRDefault="00FC1217" w:rsidP="00060B0F">
            <w:pPr>
              <w:keepNext/>
              <w:widowControl w:val="0"/>
              <w:jc w:val="center"/>
              <w:rPr>
                <w:rFonts w:ascii="Arial Narrow" w:hAnsi="Arial Narrow" w:cs="Arial"/>
                <w:b/>
                <w:snapToGrid w:val="0"/>
                <w:sz w:val="20"/>
                <w:szCs w:val="20"/>
                <w:lang w:eastAsia="en-US"/>
              </w:rPr>
            </w:pPr>
            <w:r w:rsidRPr="005229C4">
              <w:rPr>
                <w:rFonts w:ascii="Arial Narrow" w:hAnsi="Arial Narrow" w:cs="Arial"/>
                <w:b/>
                <w:snapToGrid w:val="0"/>
                <w:sz w:val="20"/>
                <w:szCs w:val="20"/>
                <w:lang w:eastAsia="en-US"/>
              </w:rPr>
              <w:t>Active comparator</w:t>
            </w:r>
          </w:p>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b/>
                <w:snapToGrid w:val="0"/>
                <w:sz w:val="20"/>
                <w:szCs w:val="20"/>
                <w:lang w:eastAsia="en-US"/>
              </w:rPr>
              <w:t>mean change ± SD</w:t>
            </w:r>
          </w:p>
        </w:tc>
        <w:tc>
          <w:tcPr>
            <w:tcW w:w="1008" w:type="pct"/>
            <w:vAlign w:val="center"/>
          </w:tcPr>
          <w:p w:rsidR="00FC1217" w:rsidRPr="005229C4" w:rsidRDefault="00FC1217" w:rsidP="00060B0F">
            <w:pPr>
              <w:keepNext/>
              <w:widowControl w:val="0"/>
              <w:jc w:val="center"/>
              <w:rPr>
                <w:rFonts w:ascii="Arial Narrow" w:hAnsi="Arial Narrow" w:cs="Arial"/>
                <w:b/>
                <w:snapToGrid w:val="0"/>
                <w:sz w:val="20"/>
                <w:szCs w:val="20"/>
                <w:lang w:eastAsia="en-US"/>
              </w:rPr>
            </w:pPr>
            <w:r w:rsidRPr="005229C4">
              <w:rPr>
                <w:rFonts w:ascii="Arial Narrow" w:hAnsi="Arial Narrow" w:cs="Arial"/>
                <w:b/>
                <w:snapToGrid w:val="0"/>
                <w:sz w:val="20"/>
                <w:szCs w:val="20"/>
                <w:lang w:eastAsia="en-US"/>
              </w:rPr>
              <w:t>Mean difference</w:t>
            </w:r>
          </w:p>
          <w:p w:rsidR="00FC1217" w:rsidRPr="005229C4" w:rsidRDefault="00FC1217" w:rsidP="00060B0F">
            <w:pPr>
              <w:keepNext/>
              <w:widowControl w:val="0"/>
              <w:jc w:val="center"/>
              <w:rPr>
                <w:rFonts w:ascii="Arial Narrow" w:hAnsi="Arial Narrow" w:cs="Arial"/>
                <w:b/>
                <w:snapToGrid w:val="0"/>
                <w:sz w:val="20"/>
                <w:szCs w:val="20"/>
                <w:lang w:eastAsia="en-US"/>
              </w:rPr>
            </w:pPr>
            <w:r w:rsidRPr="005229C4">
              <w:rPr>
                <w:rFonts w:ascii="Arial Narrow" w:hAnsi="Arial Narrow" w:cs="Arial"/>
                <w:b/>
                <w:snapToGrid w:val="0"/>
                <w:sz w:val="20"/>
                <w:szCs w:val="20"/>
                <w:lang w:eastAsia="en-US"/>
              </w:rPr>
              <w:t>(95% CI)</w:t>
            </w:r>
          </w:p>
        </w:tc>
      </w:tr>
      <w:tr w:rsidR="00FC1217" w:rsidRPr="005229C4" w:rsidTr="00FC1217">
        <w:tc>
          <w:tcPr>
            <w:tcW w:w="5000" w:type="pct"/>
            <w:gridSpan w:val="5"/>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Trials of </w:t>
            </w:r>
            <w:proofErr w:type="spellStart"/>
            <w:r w:rsidRPr="005229C4">
              <w:rPr>
                <w:rFonts w:ascii="Arial Narrow" w:hAnsi="Arial Narrow" w:cs="Arial"/>
                <w:snapToGrid w:val="0"/>
                <w:sz w:val="20"/>
                <w:szCs w:val="20"/>
                <w:lang w:eastAsia="en-US"/>
              </w:rPr>
              <w:t>vortioxetine</w:t>
            </w:r>
            <w:proofErr w:type="spellEnd"/>
            <w:r w:rsidRPr="005229C4">
              <w:rPr>
                <w:rFonts w:ascii="Arial Narrow" w:hAnsi="Arial Narrow" w:cs="Arial"/>
                <w:snapToGrid w:val="0"/>
                <w:sz w:val="20"/>
                <w:szCs w:val="20"/>
                <w:lang w:eastAsia="en-US"/>
              </w:rPr>
              <w:t xml:space="preserve"> vs. venlafaxine</w:t>
            </w:r>
          </w:p>
        </w:tc>
      </w:tr>
      <w:tr w:rsidR="00FC1217" w:rsidRPr="005229C4" w:rsidTr="00FC1217">
        <w:tc>
          <w:tcPr>
            <w:tcW w:w="1104" w:type="pct"/>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11492A</w:t>
            </w:r>
          </w:p>
        </w:tc>
        <w:tc>
          <w:tcPr>
            <w:tcW w:w="594"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319</w:t>
            </w:r>
          </w:p>
        </w:tc>
        <w:tc>
          <w:tcPr>
            <w:tcW w:w="1105"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-17.54 ± 9.23</w:t>
            </w:r>
          </w:p>
        </w:tc>
        <w:tc>
          <w:tcPr>
            <w:tcW w:w="1189"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-17.32 ± 9.27</w:t>
            </w:r>
          </w:p>
        </w:tc>
        <w:tc>
          <w:tcPr>
            <w:tcW w:w="1008"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-0.22 [-2.35, 1.91]</w:t>
            </w:r>
          </w:p>
        </w:tc>
      </w:tr>
      <w:tr w:rsidR="00FC1217" w:rsidRPr="005229C4" w:rsidTr="00FC1217">
        <w:trPr>
          <w:trHeight w:val="151"/>
        </w:trPr>
        <w:tc>
          <w:tcPr>
            <w:tcW w:w="1104" w:type="pct"/>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13926A</w:t>
            </w:r>
          </w:p>
        </w:tc>
        <w:tc>
          <w:tcPr>
            <w:tcW w:w="3896" w:type="pct"/>
            <w:gridSpan w:val="4"/>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NR</w:t>
            </w:r>
          </w:p>
        </w:tc>
      </w:tr>
      <w:tr w:rsidR="00FC1217" w:rsidRPr="005229C4" w:rsidTr="00FC1217">
        <w:tc>
          <w:tcPr>
            <w:tcW w:w="1104" w:type="pct"/>
            <w:vAlign w:val="center"/>
          </w:tcPr>
          <w:p w:rsidR="00FC1217" w:rsidRPr="005229C4" w:rsidRDefault="00FC1217" w:rsidP="00060B0F">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Pooled result</w:t>
            </w:r>
          </w:p>
        </w:tc>
        <w:tc>
          <w:tcPr>
            <w:tcW w:w="594"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p>
        </w:tc>
        <w:tc>
          <w:tcPr>
            <w:tcW w:w="1105"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p>
        </w:tc>
        <w:tc>
          <w:tcPr>
            <w:tcW w:w="1189"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p>
        </w:tc>
        <w:tc>
          <w:tcPr>
            <w:tcW w:w="1008" w:type="pct"/>
            <w:vAlign w:val="center"/>
          </w:tcPr>
          <w:p w:rsidR="00FC1217" w:rsidRPr="005229C4" w:rsidRDefault="0040653E" w:rsidP="00060B0F">
            <w:pPr>
              <w:keepNext/>
              <w:widowControl w:val="0"/>
              <w:jc w:val="center"/>
              <w:rPr>
                <w:rFonts w:ascii="Arial Narrow" w:hAnsi="Arial Narrow" w:cs="Arial"/>
                <w:snapToGrid w:val="0"/>
                <w:sz w:val="20"/>
                <w:szCs w:val="20"/>
                <w:lang w:eastAsia="en-US"/>
              </w:rPr>
            </w:pPr>
            <w:r w:rsidRPr="00883063">
              <w:rPr>
                <w:rFonts w:ascii="Arial Narrow" w:hAnsi="Arial Narrow" w:cs="Arial"/>
                <w:snapToGrid w:val="0"/>
                <w:sz w:val="20"/>
                <w:szCs w:val="20"/>
                <w:lang w:eastAsia="en-US"/>
              </w:rPr>
              <w:t>-0.22 [-2.35, 1.91]</w:t>
            </w:r>
          </w:p>
        </w:tc>
      </w:tr>
      <w:tr w:rsidR="00FC1217" w:rsidRPr="005229C4" w:rsidTr="00FC1217">
        <w:tc>
          <w:tcPr>
            <w:tcW w:w="5000" w:type="pct"/>
            <w:gridSpan w:val="5"/>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Heterogeneity: NA</w:t>
            </w:r>
          </w:p>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Test for overall effect: Z = 0.20 (P = 0.84)</w:t>
            </w:r>
          </w:p>
          <w:p w:rsidR="00FC1217" w:rsidRPr="005229C4" w:rsidRDefault="00FC1217" w:rsidP="00060B0F">
            <w:pPr>
              <w:keepNext/>
              <w:widowControl w:val="0"/>
              <w:rPr>
                <w:rFonts w:ascii="Arial Narrow" w:hAnsi="Arial Narrow" w:cs="Arial"/>
                <w:snapToGrid w:val="0"/>
                <w:sz w:val="20"/>
                <w:szCs w:val="20"/>
                <w:lang w:eastAsia="en-US"/>
              </w:rPr>
            </w:pPr>
          </w:p>
        </w:tc>
      </w:tr>
      <w:tr w:rsidR="00FC1217" w:rsidRPr="005229C4" w:rsidTr="00FC1217">
        <w:tc>
          <w:tcPr>
            <w:tcW w:w="5000" w:type="pct"/>
            <w:gridSpan w:val="5"/>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Trials of </w:t>
            </w:r>
            <w:proofErr w:type="spellStart"/>
            <w:r w:rsidRPr="005229C4">
              <w:rPr>
                <w:rFonts w:ascii="Arial Narrow" w:hAnsi="Arial Narrow" w:cs="Arial"/>
                <w:snapToGrid w:val="0"/>
                <w:sz w:val="20"/>
                <w:szCs w:val="20"/>
                <w:lang w:eastAsia="en-US"/>
              </w:rPr>
              <w:t>vortioxetine</w:t>
            </w:r>
            <w:proofErr w:type="spellEnd"/>
            <w:r w:rsidRPr="005229C4">
              <w:rPr>
                <w:rFonts w:ascii="Arial Narrow" w:hAnsi="Arial Narrow" w:cs="Arial"/>
                <w:snapToGrid w:val="0"/>
                <w:sz w:val="20"/>
                <w:szCs w:val="20"/>
                <w:lang w:eastAsia="en-US"/>
              </w:rPr>
              <w:t xml:space="preserve"> vs. duloxetine</w:t>
            </w:r>
          </w:p>
        </w:tc>
      </w:tr>
      <w:tr w:rsidR="00FC1217" w:rsidRPr="005229C4" w:rsidTr="00FC1217">
        <w:tc>
          <w:tcPr>
            <w:tcW w:w="1104" w:type="pct"/>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11984A</w:t>
            </w:r>
          </w:p>
        </w:tc>
        <w:tc>
          <w:tcPr>
            <w:tcW w:w="594"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455</w:t>
            </w:r>
          </w:p>
        </w:tc>
        <w:tc>
          <w:tcPr>
            <w:tcW w:w="1105"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89"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08"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C1217" w:rsidRPr="005229C4" w:rsidTr="00FC1217">
        <w:tc>
          <w:tcPr>
            <w:tcW w:w="1104" w:type="pct"/>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12541A</w:t>
            </w:r>
          </w:p>
        </w:tc>
        <w:tc>
          <w:tcPr>
            <w:tcW w:w="594"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303</w:t>
            </w:r>
          </w:p>
        </w:tc>
        <w:tc>
          <w:tcPr>
            <w:tcW w:w="1105"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-13.70 ± 9.21</w:t>
            </w:r>
          </w:p>
        </w:tc>
        <w:tc>
          <w:tcPr>
            <w:tcW w:w="1189"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-15.80 ± 9.12</w:t>
            </w:r>
          </w:p>
        </w:tc>
        <w:tc>
          <w:tcPr>
            <w:tcW w:w="1008"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2.10 [0.04, 4.16]</w:t>
            </w:r>
          </w:p>
        </w:tc>
      </w:tr>
      <w:tr w:rsidR="00FC1217" w:rsidRPr="005229C4" w:rsidTr="00FC1217">
        <w:tc>
          <w:tcPr>
            <w:tcW w:w="1104" w:type="pct"/>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13267A</w:t>
            </w:r>
          </w:p>
        </w:tc>
        <w:tc>
          <w:tcPr>
            <w:tcW w:w="3896" w:type="pct"/>
            <w:gridSpan w:val="4"/>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NR</w:t>
            </w:r>
          </w:p>
        </w:tc>
      </w:tr>
      <w:tr w:rsidR="00FC1217" w:rsidRPr="005229C4" w:rsidTr="00FC1217">
        <w:tc>
          <w:tcPr>
            <w:tcW w:w="1104" w:type="pct"/>
            <w:vAlign w:val="center"/>
          </w:tcPr>
          <w:p w:rsidR="00FC1217" w:rsidRPr="005229C4" w:rsidRDefault="00FC1217" w:rsidP="00060B0F">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304</w:t>
            </w:r>
          </w:p>
        </w:tc>
        <w:tc>
          <w:tcPr>
            <w:tcW w:w="594"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302</w:t>
            </w:r>
          </w:p>
        </w:tc>
        <w:tc>
          <w:tcPr>
            <w:tcW w:w="1105"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189"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c>
          <w:tcPr>
            <w:tcW w:w="1008"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C1217" w:rsidRPr="005229C4" w:rsidTr="00FC1217">
        <w:tc>
          <w:tcPr>
            <w:tcW w:w="1104" w:type="pct"/>
            <w:vAlign w:val="center"/>
          </w:tcPr>
          <w:p w:rsidR="00FC1217" w:rsidRPr="005229C4" w:rsidRDefault="00FC1217" w:rsidP="00060B0F">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315</w:t>
            </w:r>
          </w:p>
        </w:tc>
        <w:tc>
          <w:tcPr>
            <w:tcW w:w="3896" w:type="pct"/>
            <w:gridSpan w:val="4"/>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NR</w:t>
            </w:r>
          </w:p>
        </w:tc>
      </w:tr>
      <w:tr w:rsidR="00FC1217" w:rsidRPr="005229C4" w:rsidTr="00FC1217">
        <w:tc>
          <w:tcPr>
            <w:tcW w:w="1104" w:type="pct"/>
            <w:vAlign w:val="center"/>
          </w:tcPr>
          <w:p w:rsidR="00FC1217" w:rsidRPr="005229C4" w:rsidRDefault="00FC1217" w:rsidP="00060B0F">
            <w:pPr>
              <w:keepNext/>
              <w:widowControl w:val="0"/>
              <w:ind w:right="-108"/>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Pooled result</w:t>
            </w:r>
          </w:p>
        </w:tc>
        <w:tc>
          <w:tcPr>
            <w:tcW w:w="594"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p>
        </w:tc>
        <w:tc>
          <w:tcPr>
            <w:tcW w:w="1105"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p>
        </w:tc>
        <w:tc>
          <w:tcPr>
            <w:tcW w:w="1189" w:type="pct"/>
            <w:vAlign w:val="center"/>
          </w:tcPr>
          <w:p w:rsidR="00FC1217" w:rsidRPr="005229C4" w:rsidRDefault="00FC1217" w:rsidP="00060B0F">
            <w:pPr>
              <w:keepNext/>
              <w:widowControl w:val="0"/>
              <w:jc w:val="center"/>
              <w:rPr>
                <w:rFonts w:ascii="Arial Narrow" w:hAnsi="Arial Narrow" w:cs="Arial"/>
                <w:snapToGrid w:val="0"/>
                <w:sz w:val="20"/>
                <w:szCs w:val="20"/>
                <w:lang w:eastAsia="en-US"/>
              </w:rPr>
            </w:pPr>
          </w:p>
        </w:tc>
        <w:tc>
          <w:tcPr>
            <w:tcW w:w="1008" w:type="pct"/>
            <w:vAlign w:val="center"/>
          </w:tcPr>
          <w:p w:rsidR="00FC1217" w:rsidRPr="00BA24A8" w:rsidRDefault="00BA24A8" w:rsidP="00060B0F">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FC1217" w:rsidRPr="005229C4" w:rsidTr="00FC1217">
        <w:tc>
          <w:tcPr>
            <w:tcW w:w="5000" w:type="pct"/>
            <w:gridSpan w:val="5"/>
            <w:vAlign w:val="center"/>
          </w:tcPr>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Heterogeneity: Tau² = 0.00; Chi² = 1.12, </w:t>
            </w:r>
            <w:proofErr w:type="spellStart"/>
            <w:r w:rsidRPr="005229C4">
              <w:rPr>
                <w:rFonts w:ascii="Arial Narrow" w:hAnsi="Arial Narrow" w:cs="Arial"/>
                <w:snapToGrid w:val="0"/>
                <w:sz w:val="20"/>
                <w:szCs w:val="20"/>
                <w:lang w:eastAsia="en-US"/>
              </w:rPr>
              <w:t>df</w:t>
            </w:r>
            <w:proofErr w:type="spellEnd"/>
            <w:r w:rsidRPr="005229C4">
              <w:rPr>
                <w:rFonts w:ascii="Arial Narrow" w:hAnsi="Arial Narrow" w:cs="Arial"/>
                <w:snapToGrid w:val="0"/>
                <w:sz w:val="20"/>
                <w:szCs w:val="20"/>
                <w:lang w:eastAsia="en-US"/>
              </w:rPr>
              <w:t xml:space="preserve"> = 2 (P = 0.57); I² = 0%</w:t>
            </w:r>
          </w:p>
          <w:p w:rsidR="00FC1217" w:rsidRPr="005229C4" w:rsidRDefault="00FC1217" w:rsidP="00060B0F">
            <w:pPr>
              <w:keepNext/>
              <w:widowControl w:val="0"/>
              <w:rPr>
                <w:rFonts w:ascii="Arial Narrow" w:hAnsi="Arial Narrow" w:cs="Arial"/>
                <w:snapToGrid w:val="0"/>
                <w:sz w:val="20"/>
                <w:szCs w:val="20"/>
                <w:lang w:eastAsia="en-US"/>
              </w:rPr>
            </w:pPr>
            <w:r w:rsidRPr="005229C4">
              <w:rPr>
                <w:rFonts w:ascii="Arial Narrow" w:hAnsi="Arial Narrow" w:cs="Arial"/>
                <w:snapToGrid w:val="0"/>
                <w:sz w:val="20"/>
                <w:szCs w:val="20"/>
                <w:lang w:eastAsia="en-US"/>
              </w:rPr>
              <w:t xml:space="preserve">Test for overall effect: Z = 2.69 (P = </w:t>
            </w:r>
            <w:r w:rsidR="00BA24A8">
              <w:rPr>
                <w:rFonts w:ascii="Arial Narrow" w:hAnsi="Arial Narrow" w:cs="Arial"/>
                <w:noProof/>
                <w:snapToGrid w:val="0"/>
                <w:color w:val="000000"/>
                <w:sz w:val="20"/>
                <w:szCs w:val="20"/>
                <w:highlight w:val="black"/>
                <w:lang w:eastAsia="en-US"/>
              </w:rPr>
              <w:t>'''''''''''''</w:t>
            </w:r>
            <w:r w:rsidRPr="005229C4">
              <w:rPr>
                <w:rFonts w:ascii="Arial Narrow" w:hAnsi="Arial Narrow" w:cs="Arial"/>
                <w:snapToGrid w:val="0"/>
                <w:sz w:val="20"/>
                <w:szCs w:val="20"/>
                <w:lang w:eastAsia="en-US"/>
              </w:rPr>
              <w:t>)</w:t>
            </w:r>
          </w:p>
          <w:p w:rsidR="00FC1217" w:rsidRPr="005229C4" w:rsidRDefault="00FC1217" w:rsidP="00060B0F">
            <w:pPr>
              <w:keepNext/>
              <w:widowControl w:val="0"/>
              <w:rPr>
                <w:rFonts w:ascii="Arial Narrow" w:hAnsi="Arial Narrow" w:cs="Arial"/>
                <w:snapToGrid w:val="0"/>
                <w:sz w:val="20"/>
                <w:szCs w:val="20"/>
                <w:lang w:eastAsia="en-US"/>
              </w:rPr>
            </w:pPr>
          </w:p>
        </w:tc>
      </w:tr>
    </w:tbl>
    <w:p w:rsidR="00FC1217" w:rsidRPr="005229C4" w:rsidRDefault="00FC1217" w:rsidP="00FC1217">
      <w:pPr>
        <w:pStyle w:val="ListParagraph"/>
        <w:keepNext/>
        <w:widowControl w:val="0"/>
        <w:ind w:left="709"/>
        <w:jc w:val="both"/>
        <w:rPr>
          <w:rFonts w:ascii="Arial Narrow" w:hAnsi="Arial Narrow" w:cs="Arial"/>
          <w:snapToGrid w:val="0"/>
          <w:sz w:val="18"/>
          <w:szCs w:val="20"/>
          <w:lang w:eastAsia="en-US"/>
        </w:rPr>
      </w:pPr>
      <w:r w:rsidRPr="005229C4">
        <w:rPr>
          <w:rFonts w:ascii="Arial Narrow" w:hAnsi="Arial Narrow" w:cs="Arial"/>
          <w:snapToGrid w:val="0"/>
          <w:sz w:val="18"/>
          <w:szCs w:val="20"/>
          <w:lang w:eastAsia="en-US"/>
        </w:rPr>
        <w:t xml:space="preserve">Abbreviations: SD = standard deviation, CI = confidence interval, </w:t>
      </w:r>
      <w:proofErr w:type="spellStart"/>
      <w:proofErr w:type="gramStart"/>
      <w:r w:rsidRPr="005229C4">
        <w:rPr>
          <w:rFonts w:ascii="Arial Narrow" w:hAnsi="Arial Narrow" w:cs="Arial"/>
          <w:snapToGrid w:val="0"/>
          <w:sz w:val="18"/>
          <w:szCs w:val="20"/>
          <w:lang w:eastAsia="en-US"/>
        </w:rPr>
        <w:t>df</w:t>
      </w:r>
      <w:proofErr w:type="spellEnd"/>
      <w:proofErr w:type="gramEnd"/>
      <w:r w:rsidRPr="005229C4">
        <w:rPr>
          <w:rFonts w:ascii="Arial Narrow" w:hAnsi="Arial Narrow" w:cs="Arial"/>
          <w:snapToGrid w:val="0"/>
          <w:sz w:val="18"/>
          <w:szCs w:val="20"/>
          <w:lang w:eastAsia="en-US"/>
        </w:rPr>
        <w:t>= degrees of freedom</w:t>
      </w:r>
    </w:p>
    <w:p w:rsidR="005229C4" w:rsidRPr="005229C4" w:rsidRDefault="00FC1217" w:rsidP="00FC1217">
      <w:pPr>
        <w:pStyle w:val="ListParagraph"/>
        <w:ind w:left="709"/>
        <w:jc w:val="both"/>
        <w:rPr>
          <w:rFonts w:ascii="Arial" w:hAnsi="Arial"/>
          <w:sz w:val="22"/>
          <w:szCs w:val="22"/>
        </w:rPr>
      </w:pPr>
      <w:r w:rsidRPr="005229C4">
        <w:rPr>
          <w:rFonts w:ascii="Arial Narrow" w:hAnsi="Arial Narrow" w:cs="Arial"/>
          <w:snapToGrid w:val="0"/>
          <w:sz w:val="18"/>
          <w:szCs w:val="20"/>
          <w:lang w:eastAsia="en-US"/>
        </w:rPr>
        <w:t>Source: Table 32, p198 and Figure 13, p199 of the submission</w:t>
      </w:r>
      <w:r>
        <w:rPr>
          <w:rFonts w:ascii="Arial Narrow" w:hAnsi="Arial Narrow" w:cs="Arial"/>
          <w:snapToGrid w:val="0"/>
          <w:sz w:val="18"/>
          <w:szCs w:val="20"/>
          <w:lang w:eastAsia="en-US"/>
        </w:rPr>
        <w:t xml:space="preserve"> </w:t>
      </w:r>
    </w:p>
    <w:p w:rsidR="001A3E87" w:rsidRPr="001A3E87" w:rsidRDefault="001A3E87" w:rsidP="001A3E87">
      <w:pPr>
        <w:jc w:val="both"/>
        <w:rPr>
          <w:rFonts w:ascii="Arial" w:hAnsi="Arial"/>
          <w:sz w:val="22"/>
          <w:szCs w:val="22"/>
        </w:rPr>
      </w:pPr>
    </w:p>
    <w:p w:rsidR="00A06195" w:rsidRPr="00A06195" w:rsidRDefault="00A06195" w:rsidP="001A777B">
      <w:pPr>
        <w:pStyle w:val="ListParagraph"/>
        <w:numPr>
          <w:ilvl w:val="1"/>
          <w:numId w:val="25"/>
        </w:numPr>
        <w:jc w:val="both"/>
        <w:rPr>
          <w:rFonts w:ascii="Arial" w:hAnsi="Arial"/>
          <w:sz w:val="22"/>
          <w:szCs w:val="22"/>
        </w:rPr>
      </w:pPr>
      <w:r>
        <w:rPr>
          <w:rFonts w:ascii="Arial" w:hAnsi="Arial"/>
          <w:sz w:val="22"/>
          <w:szCs w:val="22"/>
        </w:rPr>
        <w:t>Results using the HAM-D2</w:t>
      </w:r>
      <w:r w:rsidRPr="00A06195">
        <w:rPr>
          <w:rFonts w:ascii="Arial" w:hAnsi="Arial"/>
          <w:sz w:val="22"/>
          <w:szCs w:val="22"/>
        </w:rPr>
        <w:t xml:space="preserve">4 measure of effectiveness are further summarised in the figure below: </w:t>
      </w:r>
    </w:p>
    <w:p w:rsidR="00A06195" w:rsidRDefault="00A06195" w:rsidP="00A06195">
      <w:pPr>
        <w:pStyle w:val="ListParagraph"/>
        <w:ind w:left="709"/>
        <w:jc w:val="both"/>
        <w:rPr>
          <w:rFonts w:ascii="Arial" w:hAnsi="Arial"/>
          <w:sz w:val="22"/>
          <w:szCs w:val="22"/>
        </w:rPr>
      </w:pPr>
    </w:p>
    <w:p w:rsidR="00A06195" w:rsidRPr="00A06195" w:rsidRDefault="00D254AF" w:rsidP="001A777B">
      <w:pPr>
        <w:keepNext/>
        <w:widowControl w:val="0"/>
        <w:ind w:firstLine="720"/>
        <w:jc w:val="both"/>
        <w:rPr>
          <w:rFonts w:ascii="Arial Narrow" w:hAnsi="Arial Narrow" w:cs="Arial"/>
          <w:b/>
          <w:snapToGrid w:val="0"/>
          <w:sz w:val="20"/>
          <w:szCs w:val="20"/>
          <w:lang w:eastAsia="en-US"/>
        </w:rPr>
      </w:pPr>
      <w:r w:rsidRPr="00D254AF">
        <w:rPr>
          <w:rFonts w:ascii="Arial Narrow" w:hAnsi="Arial Narrow" w:cs="Arial"/>
          <w:b/>
          <w:snapToGrid w:val="0"/>
          <w:sz w:val="20"/>
          <w:szCs w:val="20"/>
          <w:lang w:eastAsia="en-US"/>
        </w:rPr>
        <w:t>Results of mean baseline change in HAM-D24 score</w:t>
      </w:r>
      <w:r w:rsidR="000268A0">
        <w:rPr>
          <w:rFonts w:ascii="Arial Narrow" w:hAnsi="Arial Narrow" w:cs="Arial"/>
          <w:b/>
          <w:snapToGrid w:val="0"/>
          <w:sz w:val="20"/>
          <w:szCs w:val="20"/>
          <w:lang w:eastAsia="en-US"/>
        </w:rPr>
        <w:t xml:space="preserve"> (LOCF)</w:t>
      </w:r>
      <w:r w:rsidRPr="00D254AF">
        <w:rPr>
          <w:rFonts w:ascii="Arial Narrow" w:hAnsi="Arial Narrow" w:cs="Arial"/>
          <w:b/>
          <w:snapToGrid w:val="0"/>
          <w:sz w:val="20"/>
          <w:szCs w:val="20"/>
          <w:lang w:eastAsia="en-US"/>
        </w:rPr>
        <w:t xml:space="preserve"> across the direct randomised</w:t>
      </w:r>
    </w:p>
    <w:p w:rsidR="00A06195" w:rsidRPr="00A06195" w:rsidRDefault="00BA24A8" w:rsidP="001A777B">
      <w:pPr>
        <w:keepNext/>
        <w:widowControl w:val="0"/>
        <w:jc w:val="right"/>
        <w:rPr>
          <w:rFonts w:ascii="Arial Narrow" w:hAnsi="Arial Narrow" w:cs="Arial"/>
          <w:snapToGrid w:val="0"/>
          <w:sz w:val="22"/>
          <w:szCs w:val="22"/>
          <w:lang w:eastAsia="en-US"/>
        </w:rPr>
      </w:pPr>
      <w:r>
        <w:rPr>
          <w:rFonts w:ascii="Arial Narrow" w:hAnsi="Arial Narrow" w:cs="Arial"/>
          <w:noProof/>
          <w:sz w:val="22"/>
          <w:szCs w:val="22"/>
        </w:rPr>
        <w:drawing>
          <wp:inline distT="0" distB="0" distL="0" distR="0" wp14:anchorId="25C781E5" wp14:editId="71CEEBDB">
            <wp:extent cx="5295900" cy="1999615"/>
            <wp:effectExtent l="0" t="0" r="0" b="635"/>
            <wp:docPr id="1" name="Picture 1" descr="Results using the HAM-D24 measure of effectiveness are further summarised in the figure " title="Results of mean baseline change in HAM-D24 score (LOCF) across the direct randomis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95900" cy="1999615"/>
                    </a:xfrm>
                    <a:prstGeom prst="rect">
                      <a:avLst/>
                    </a:prstGeom>
                  </pic:spPr>
                </pic:pic>
              </a:graphicData>
            </a:graphic>
          </wp:inline>
        </w:drawing>
      </w:r>
    </w:p>
    <w:p w:rsidR="00A06195" w:rsidRPr="00A06195" w:rsidRDefault="00A06195" w:rsidP="001A777B">
      <w:pPr>
        <w:keepNext/>
        <w:widowControl w:val="0"/>
        <w:ind w:firstLine="709"/>
        <w:jc w:val="both"/>
        <w:rPr>
          <w:rFonts w:ascii="Arial Narrow" w:hAnsi="Arial Narrow" w:cs="Arial"/>
          <w:snapToGrid w:val="0"/>
          <w:sz w:val="18"/>
          <w:szCs w:val="16"/>
          <w:lang w:eastAsia="en-US"/>
        </w:rPr>
      </w:pPr>
      <w:r w:rsidRPr="00A06195">
        <w:rPr>
          <w:rFonts w:ascii="Arial Narrow" w:hAnsi="Arial Narrow" w:cs="Arial"/>
          <w:snapToGrid w:val="0"/>
          <w:sz w:val="18"/>
          <w:szCs w:val="16"/>
          <w:lang w:eastAsia="en-US"/>
        </w:rPr>
        <w:t>Source:</w:t>
      </w:r>
      <w:r w:rsidR="00D254AF" w:rsidRPr="00D254AF">
        <w:rPr>
          <w:rFonts w:ascii="Arial" w:hAnsi="Arial" w:cs="Arial"/>
          <w:snapToGrid w:val="0"/>
          <w:sz w:val="22"/>
          <w:szCs w:val="20"/>
          <w:lang w:eastAsia="en-US"/>
        </w:rPr>
        <w:t xml:space="preserve"> </w:t>
      </w:r>
      <w:r w:rsidR="00D254AF" w:rsidRPr="00D254AF">
        <w:rPr>
          <w:rFonts w:ascii="Arial Narrow" w:hAnsi="Arial Narrow" w:cs="Arial"/>
          <w:snapToGrid w:val="0"/>
          <w:sz w:val="18"/>
          <w:szCs w:val="16"/>
          <w:lang w:eastAsia="en-US"/>
        </w:rPr>
        <w:t>Figure1</w:t>
      </w:r>
      <w:r w:rsidR="000268A0">
        <w:rPr>
          <w:rFonts w:ascii="Arial Narrow" w:hAnsi="Arial Narrow" w:cs="Arial"/>
          <w:snapToGrid w:val="0"/>
          <w:sz w:val="18"/>
          <w:szCs w:val="16"/>
          <w:lang w:eastAsia="en-US"/>
        </w:rPr>
        <w:t>3</w:t>
      </w:r>
      <w:r w:rsidR="00D254AF" w:rsidRPr="00D254AF">
        <w:rPr>
          <w:rFonts w:ascii="Arial Narrow" w:hAnsi="Arial Narrow" w:cs="Arial"/>
          <w:snapToGrid w:val="0"/>
          <w:sz w:val="18"/>
          <w:szCs w:val="16"/>
          <w:lang w:eastAsia="en-US"/>
        </w:rPr>
        <w:t>, p19</w:t>
      </w:r>
      <w:r w:rsidR="000268A0">
        <w:rPr>
          <w:rFonts w:ascii="Arial Narrow" w:hAnsi="Arial Narrow" w:cs="Arial"/>
          <w:snapToGrid w:val="0"/>
          <w:sz w:val="18"/>
          <w:szCs w:val="16"/>
          <w:lang w:eastAsia="en-US"/>
        </w:rPr>
        <w:t>9</w:t>
      </w:r>
      <w:r w:rsidR="00D254AF" w:rsidRPr="00D254AF">
        <w:rPr>
          <w:rFonts w:ascii="Arial Narrow" w:hAnsi="Arial Narrow" w:cs="Arial"/>
          <w:snapToGrid w:val="0"/>
          <w:sz w:val="18"/>
          <w:szCs w:val="16"/>
          <w:lang w:eastAsia="en-US"/>
        </w:rPr>
        <w:t xml:space="preserve"> of the </w:t>
      </w:r>
      <w:r w:rsidR="00E81195" w:rsidRPr="00D254AF">
        <w:rPr>
          <w:rFonts w:ascii="Arial Narrow" w:hAnsi="Arial Narrow" w:cs="Arial"/>
          <w:snapToGrid w:val="0"/>
          <w:sz w:val="18"/>
          <w:szCs w:val="16"/>
          <w:lang w:eastAsia="en-US"/>
        </w:rPr>
        <w:t>submission</w:t>
      </w:r>
      <w:r w:rsidRPr="00A06195">
        <w:rPr>
          <w:rFonts w:ascii="Arial Narrow" w:hAnsi="Arial Narrow" w:cs="Arial"/>
          <w:snapToGrid w:val="0"/>
          <w:sz w:val="18"/>
          <w:szCs w:val="16"/>
          <w:lang w:eastAsia="en-US"/>
        </w:rPr>
        <w:t xml:space="preserve"> </w:t>
      </w:r>
    </w:p>
    <w:p w:rsidR="00A06195" w:rsidRPr="00A06195" w:rsidRDefault="00A06195" w:rsidP="00A06195">
      <w:pPr>
        <w:pStyle w:val="ListParagraph"/>
        <w:ind w:left="709"/>
        <w:jc w:val="both"/>
        <w:rPr>
          <w:rFonts w:ascii="Arial" w:hAnsi="Arial"/>
          <w:sz w:val="22"/>
          <w:szCs w:val="22"/>
        </w:rPr>
      </w:pPr>
    </w:p>
    <w:p w:rsidR="00A06195" w:rsidRPr="001A777B" w:rsidRDefault="005229C4" w:rsidP="001A777B">
      <w:pPr>
        <w:pStyle w:val="ListParagraph"/>
        <w:numPr>
          <w:ilvl w:val="1"/>
          <w:numId w:val="25"/>
        </w:numPr>
        <w:jc w:val="both"/>
        <w:rPr>
          <w:rFonts w:ascii="Arial" w:hAnsi="Arial"/>
          <w:sz w:val="22"/>
          <w:szCs w:val="22"/>
        </w:rPr>
      </w:pPr>
      <w:r w:rsidRPr="001A777B">
        <w:rPr>
          <w:rFonts w:ascii="Arial" w:hAnsi="Arial"/>
          <w:sz w:val="22"/>
          <w:szCs w:val="22"/>
        </w:rPr>
        <w:t xml:space="preserve">Only one trial reported HAM-D24 scores when comparing </w:t>
      </w:r>
      <w:proofErr w:type="spellStart"/>
      <w:r w:rsidRPr="001A777B">
        <w:rPr>
          <w:rFonts w:ascii="Arial" w:hAnsi="Arial"/>
          <w:sz w:val="22"/>
          <w:szCs w:val="22"/>
        </w:rPr>
        <w:t>vortioxetine</w:t>
      </w:r>
      <w:proofErr w:type="spellEnd"/>
      <w:r w:rsidRPr="001A777B">
        <w:rPr>
          <w:rFonts w:ascii="Arial" w:hAnsi="Arial"/>
          <w:sz w:val="22"/>
          <w:szCs w:val="22"/>
        </w:rPr>
        <w:t xml:space="preserve"> to venlafaxine. The result was not statistically significant. In the comparison with duloxetine, the pooled result was significantly in favour of duloxetine.</w:t>
      </w:r>
      <w:r w:rsidR="00FC1217" w:rsidRPr="001A777B">
        <w:rPr>
          <w:rFonts w:ascii="Arial" w:hAnsi="Arial"/>
          <w:sz w:val="22"/>
          <w:szCs w:val="22"/>
        </w:rPr>
        <w:t xml:space="preserve"> The MCID for the HAM-D24 wa</w:t>
      </w:r>
      <w:r w:rsidRPr="001A777B">
        <w:rPr>
          <w:rFonts w:ascii="Arial" w:hAnsi="Arial"/>
          <w:sz w:val="22"/>
          <w:szCs w:val="22"/>
        </w:rPr>
        <w:t>s unknown.</w:t>
      </w:r>
      <w:r w:rsidR="00FC1217" w:rsidRPr="001A777B">
        <w:rPr>
          <w:rFonts w:ascii="Arial" w:hAnsi="Arial"/>
          <w:sz w:val="22"/>
          <w:szCs w:val="22"/>
        </w:rPr>
        <w:t xml:space="preserve"> </w:t>
      </w:r>
    </w:p>
    <w:p w:rsidR="001A777B" w:rsidRPr="001A777B" w:rsidRDefault="001A777B" w:rsidP="001A777B">
      <w:pPr>
        <w:pStyle w:val="ListParagraph"/>
        <w:jc w:val="both"/>
        <w:rPr>
          <w:rFonts w:ascii="Arial" w:hAnsi="Arial"/>
          <w:sz w:val="22"/>
          <w:szCs w:val="22"/>
        </w:rPr>
      </w:pPr>
    </w:p>
    <w:p w:rsidR="00105366" w:rsidRPr="001A777B" w:rsidRDefault="00FC1217" w:rsidP="001A777B">
      <w:pPr>
        <w:pStyle w:val="ListParagraph"/>
        <w:numPr>
          <w:ilvl w:val="1"/>
          <w:numId w:val="25"/>
        </w:numPr>
        <w:jc w:val="both"/>
        <w:rPr>
          <w:rFonts w:ascii="Arial" w:hAnsi="Arial"/>
          <w:sz w:val="22"/>
          <w:szCs w:val="22"/>
          <w:u w:val="single"/>
        </w:rPr>
      </w:pPr>
      <w:r w:rsidRPr="001A777B">
        <w:rPr>
          <w:rFonts w:ascii="Arial" w:hAnsi="Arial"/>
          <w:sz w:val="22"/>
          <w:szCs w:val="22"/>
          <w:u w:val="single"/>
        </w:rPr>
        <w:t>I</w:t>
      </w:r>
      <w:r w:rsidR="00105366" w:rsidRPr="001A777B">
        <w:rPr>
          <w:rFonts w:ascii="Arial" w:hAnsi="Arial"/>
          <w:sz w:val="22"/>
          <w:szCs w:val="22"/>
          <w:u w:val="single"/>
        </w:rPr>
        <w:t xml:space="preserve">ndirect comparison: </w:t>
      </w:r>
      <w:proofErr w:type="spellStart"/>
      <w:r w:rsidR="00105366" w:rsidRPr="001A777B">
        <w:rPr>
          <w:rFonts w:ascii="Arial" w:hAnsi="Arial"/>
          <w:sz w:val="22"/>
          <w:szCs w:val="22"/>
          <w:u w:val="single"/>
        </w:rPr>
        <w:t>vortioxetine</w:t>
      </w:r>
      <w:proofErr w:type="spellEnd"/>
      <w:r w:rsidR="00105366" w:rsidRPr="001A777B">
        <w:rPr>
          <w:rFonts w:ascii="Arial" w:hAnsi="Arial"/>
          <w:sz w:val="22"/>
          <w:szCs w:val="22"/>
          <w:u w:val="single"/>
        </w:rPr>
        <w:t xml:space="preserve"> versus SNRI therapies </w:t>
      </w:r>
    </w:p>
    <w:p w:rsidR="00105366" w:rsidRPr="001A777B" w:rsidRDefault="00105366" w:rsidP="001A777B">
      <w:pPr>
        <w:pStyle w:val="ListParagraph"/>
        <w:jc w:val="both"/>
        <w:rPr>
          <w:rFonts w:ascii="Arial" w:hAnsi="Arial"/>
          <w:sz w:val="22"/>
          <w:szCs w:val="22"/>
        </w:rPr>
      </w:pPr>
      <w:r w:rsidRPr="00105366">
        <w:rPr>
          <w:rFonts w:ascii="Arial" w:hAnsi="Arial"/>
          <w:sz w:val="22"/>
          <w:szCs w:val="22"/>
        </w:rPr>
        <w:t xml:space="preserve">The comparison was based on an indirect comparison of 53 randomised trials and 60 placebo comparisons comparing </w:t>
      </w:r>
      <w:proofErr w:type="spellStart"/>
      <w:r w:rsidRPr="00105366">
        <w:rPr>
          <w:rFonts w:ascii="Arial" w:hAnsi="Arial"/>
          <w:sz w:val="22"/>
          <w:szCs w:val="22"/>
        </w:rPr>
        <w:t>vortioxetine</w:t>
      </w:r>
      <w:proofErr w:type="spellEnd"/>
      <w:r w:rsidRPr="00105366">
        <w:rPr>
          <w:rFonts w:ascii="Arial" w:hAnsi="Arial"/>
          <w:sz w:val="22"/>
          <w:szCs w:val="22"/>
        </w:rPr>
        <w:t xml:space="preserve"> to SNRIs, with placebo as the common comparator. There were no statistically significant differences between </w:t>
      </w:r>
      <w:proofErr w:type="spellStart"/>
      <w:r w:rsidRPr="00105366">
        <w:rPr>
          <w:rFonts w:ascii="Arial" w:hAnsi="Arial"/>
          <w:sz w:val="22"/>
          <w:szCs w:val="22"/>
        </w:rPr>
        <w:t>vortioxetine</w:t>
      </w:r>
      <w:proofErr w:type="spellEnd"/>
      <w:r w:rsidRPr="00105366">
        <w:rPr>
          <w:rFonts w:ascii="Arial" w:hAnsi="Arial"/>
          <w:sz w:val="22"/>
          <w:szCs w:val="22"/>
        </w:rPr>
        <w:t xml:space="preserve"> and the SNRIs (combined) for any of the reported outcomes. There were no statistically significant differences between </w:t>
      </w:r>
      <w:proofErr w:type="spellStart"/>
      <w:r w:rsidRPr="00105366">
        <w:rPr>
          <w:rFonts w:ascii="Arial" w:hAnsi="Arial"/>
          <w:sz w:val="22"/>
          <w:szCs w:val="22"/>
        </w:rPr>
        <w:t>vortioxetine</w:t>
      </w:r>
      <w:proofErr w:type="spellEnd"/>
      <w:r w:rsidRPr="00105366">
        <w:rPr>
          <w:rFonts w:ascii="Arial" w:hAnsi="Arial"/>
          <w:sz w:val="22"/>
          <w:szCs w:val="22"/>
        </w:rPr>
        <w:t xml:space="preserve"> and the SNRIs (individually) for any of the reported outcomes, except for remission on the MADRS scale, which was statistically in favour of venlafaxine. There were significant limitations to the indirect comparison in terms of exchangeability of the trials, including differences in dates of recruitment, differing inclusion criteria, differing baseline characteristics of </w:t>
      </w:r>
      <w:r w:rsidRPr="00105366">
        <w:rPr>
          <w:rFonts w:ascii="Arial" w:hAnsi="Arial"/>
          <w:sz w:val="22"/>
          <w:szCs w:val="22"/>
        </w:rPr>
        <w:lastRenderedPageBreak/>
        <w:t>the patient populations and differing definitions of outcomes (trial definition of response and remission varied across trials).</w:t>
      </w:r>
    </w:p>
    <w:p w:rsidR="00105366" w:rsidRPr="00105366" w:rsidRDefault="00105366" w:rsidP="00105366">
      <w:pPr>
        <w:pStyle w:val="ListParagraph"/>
        <w:ind w:left="709"/>
        <w:jc w:val="both"/>
        <w:rPr>
          <w:rFonts w:ascii="Arial" w:hAnsi="Arial"/>
          <w:sz w:val="22"/>
          <w:szCs w:val="22"/>
        </w:rPr>
      </w:pPr>
    </w:p>
    <w:p w:rsidR="00105366" w:rsidRPr="001A777B" w:rsidRDefault="00105366" w:rsidP="001A777B">
      <w:pPr>
        <w:pStyle w:val="ListParagraph"/>
        <w:numPr>
          <w:ilvl w:val="1"/>
          <w:numId w:val="25"/>
        </w:numPr>
        <w:jc w:val="both"/>
        <w:rPr>
          <w:rFonts w:ascii="Arial" w:hAnsi="Arial"/>
          <w:sz w:val="22"/>
          <w:szCs w:val="22"/>
          <w:u w:val="single"/>
        </w:rPr>
      </w:pPr>
      <w:r w:rsidRPr="001A777B">
        <w:rPr>
          <w:rFonts w:ascii="Arial" w:hAnsi="Arial"/>
          <w:sz w:val="22"/>
          <w:szCs w:val="22"/>
          <w:u w:val="single"/>
        </w:rPr>
        <w:t xml:space="preserve">Indirect comparison: </w:t>
      </w:r>
      <w:proofErr w:type="spellStart"/>
      <w:r w:rsidRPr="001A777B">
        <w:rPr>
          <w:rFonts w:ascii="Arial" w:hAnsi="Arial"/>
          <w:sz w:val="22"/>
          <w:szCs w:val="22"/>
          <w:u w:val="single"/>
        </w:rPr>
        <w:t>vortioxetine</w:t>
      </w:r>
      <w:proofErr w:type="spellEnd"/>
      <w:r w:rsidRPr="001A777B">
        <w:rPr>
          <w:rFonts w:ascii="Arial" w:hAnsi="Arial"/>
          <w:sz w:val="22"/>
          <w:szCs w:val="22"/>
          <w:u w:val="single"/>
        </w:rPr>
        <w:t xml:space="preserve"> versus SSRI therapies</w:t>
      </w:r>
    </w:p>
    <w:p w:rsidR="00105366" w:rsidRPr="001A777B" w:rsidRDefault="00105366" w:rsidP="001A777B">
      <w:pPr>
        <w:pStyle w:val="ListParagraph"/>
        <w:jc w:val="both"/>
        <w:rPr>
          <w:rFonts w:ascii="Arial" w:hAnsi="Arial"/>
          <w:sz w:val="22"/>
          <w:szCs w:val="22"/>
        </w:rPr>
      </w:pPr>
      <w:r>
        <w:rPr>
          <w:rFonts w:ascii="Arial" w:hAnsi="Arial"/>
          <w:sz w:val="22"/>
          <w:szCs w:val="22"/>
        </w:rPr>
        <w:t>The comparison wa</w:t>
      </w:r>
      <w:r w:rsidRPr="00105366">
        <w:rPr>
          <w:rFonts w:ascii="Arial" w:hAnsi="Arial"/>
          <w:sz w:val="22"/>
          <w:szCs w:val="22"/>
        </w:rPr>
        <w:t>s based on an indirect comparison</w:t>
      </w:r>
      <w:r>
        <w:rPr>
          <w:rFonts w:ascii="Arial" w:hAnsi="Arial"/>
          <w:sz w:val="22"/>
          <w:szCs w:val="22"/>
        </w:rPr>
        <w:t xml:space="preserve"> of 79 randomised trials and 85 </w:t>
      </w:r>
      <w:r w:rsidRPr="00105366">
        <w:rPr>
          <w:rFonts w:ascii="Arial" w:hAnsi="Arial"/>
          <w:sz w:val="22"/>
          <w:szCs w:val="22"/>
        </w:rPr>
        <w:t xml:space="preserve">placebo comparisons comparing </w:t>
      </w:r>
      <w:proofErr w:type="spellStart"/>
      <w:r w:rsidRPr="00105366">
        <w:rPr>
          <w:rFonts w:ascii="Arial" w:hAnsi="Arial"/>
          <w:sz w:val="22"/>
          <w:szCs w:val="22"/>
        </w:rPr>
        <w:t>vortioxetine</w:t>
      </w:r>
      <w:proofErr w:type="spellEnd"/>
      <w:r w:rsidRPr="00105366">
        <w:rPr>
          <w:rFonts w:ascii="Arial" w:hAnsi="Arial"/>
          <w:sz w:val="22"/>
          <w:szCs w:val="22"/>
        </w:rPr>
        <w:t xml:space="preserve"> to SSRIs, with placebo as the common comparator. The results showed no statistically significant differences between the SSRI therapies (both individually and combined) and </w:t>
      </w:r>
      <w:proofErr w:type="spellStart"/>
      <w:r w:rsidRPr="00105366">
        <w:rPr>
          <w:rFonts w:ascii="Arial" w:hAnsi="Arial"/>
          <w:sz w:val="22"/>
          <w:szCs w:val="22"/>
        </w:rPr>
        <w:t>vortioxetine</w:t>
      </w:r>
      <w:proofErr w:type="spellEnd"/>
      <w:r w:rsidRPr="00105366">
        <w:rPr>
          <w:rFonts w:ascii="Arial" w:hAnsi="Arial"/>
          <w:sz w:val="22"/>
          <w:szCs w:val="22"/>
        </w:rPr>
        <w:t xml:space="preserve">. Superiority of </w:t>
      </w:r>
      <w:proofErr w:type="spellStart"/>
      <w:r w:rsidRPr="00105366">
        <w:rPr>
          <w:rFonts w:ascii="Arial" w:hAnsi="Arial"/>
          <w:sz w:val="22"/>
          <w:szCs w:val="22"/>
        </w:rPr>
        <w:t>vortioxetine</w:t>
      </w:r>
      <w:proofErr w:type="spellEnd"/>
      <w:r w:rsidRPr="00105366">
        <w:rPr>
          <w:rFonts w:ascii="Arial" w:hAnsi="Arial"/>
          <w:sz w:val="22"/>
          <w:szCs w:val="22"/>
        </w:rPr>
        <w:t xml:space="preserve"> in terms of comparative effectiveness over the SSRIs was not </w:t>
      </w:r>
      <w:r w:rsidR="00E81195">
        <w:rPr>
          <w:rFonts w:ascii="Arial" w:hAnsi="Arial"/>
          <w:sz w:val="22"/>
          <w:szCs w:val="22"/>
        </w:rPr>
        <w:t>demonstrated</w:t>
      </w:r>
      <w:r w:rsidRPr="00105366">
        <w:rPr>
          <w:rFonts w:ascii="Arial" w:hAnsi="Arial"/>
          <w:sz w:val="22"/>
          <w:szCs w:val="22"/>
        </w:rPr>
        <w:t xml:space="preserve">. </w:t>
      </w:r>
    </w:p>
    <w:p w:rsidR="00105366" w:rsidRPr="00105366" w:rsidRDefault="00105366" w:rsidP="00105366">
      <w:pPr>
        <w:ind w:left="709"/>
        <w:jc w:val="both"/>
        <w:rPr>
          <w:rFonts w:ascii="Arial" w:hAnsi="Arial"/>
          <w:sz w:val="22"/>
          <w:szCs w:val="22"/>
        </w:rPr>
      </w:pPr>
    </w:p>
    <w:p w:rsidR="00105366" w:rsidRPr="001A777B" w:rsidRDefault="00105366" w:rsidP="001A777B">
      <w:pPr>
        <w:pStyle w:val="ListParagraph"/>
        <w:numPr>
          <w:ilvl w:val="1"/>
          <w:numId w:val="25"/>
        </w:numPr>
        <w:jc w:val="both"/>
        <w:rPr>
          <w:rFonts w:ascii="Arial" w:hAnsi="Arial"/>
          <w:sz w:val="22"/>
          <w:szCs w:val="22"/>
          <w:u w:val="single"/>
        </w:rPr>
      </w:pPr>
      <w:r w:rsidRPr="001A777B">
        <w:rPr>
          <w:rFonts w:ascii="Arial" w:hAnsi="Arial"/>
          <w:sz w:val="22"/>
          <w:szCs w:val="22"/>
          <w:u w:val="single"/>
        </w:rPr>
        <w:t xml:space="preserve">Indirect comparison: </w:t>
      </w:r>
      <w:proofErr w:type="spellStart"/>
      <w:r w:rsidRPr="001A777B">
        <w:rPr>
          <w:rFonts w:ascii="Arial" w:hAnsi="Arial"/>
          <w:sz w:val="22"/>
          <w:szCs w:val="22"/>
          <w:u w:val="single"/>
        </w:rPr>
        <w:t>vortioxetine</w:t>
      </w:r>
      <w:proofErr w:type="spellEnd"/>
      <w:r w:rsidRPr="001A777B">
        <w:rPr>
          <w:rFonts w:ascii="Arial" w:hAnsi="Arial"/>
          <w:sz w:val="22"/>
          <w:szCs w:val="22"/>
          <w:u w:val="single"/>
        </w:rPr>
        <w:t xml:space="preserve"> versus SSRI therapies in the elderly</w:t>
      </w:r>
    </w:p>
    <w:p w:rsidR="00105366" w:rsidRPr="00FC1217" w:rsidRDefault="00105366" w:rsidP="001A777B">
      <w:pPr>
        <w:pStyle w:val="ListParagraph"/>
        <w:jc w:val="both"/>
        <w:rPr>
          <w:rFonts w:ascii="Arial" w:hAnsi="Arial"/>
          <w:sz w:val="22"/>
          <w:szCs w:val="22"/>
        </w:rPr>
      </w:pPr>
      <w:r>
        <w:rPr>
          <w:rFonts w:ascii="Arial" w:hAnsi="Arial"/>
          <w:sz w:val="22"/>
          <w:szCs w:val="22"/>
        </w:rPr>
        <w:t>The comparison wa</w:t>
      </w:r>
      <w:r w:rsidRPr="00105366">
        <w:rPr>
          <w:rFonts w:ascii="Arial" w:hAnsi="Arial"/>
          <w:sz w:val="22"/>
          <w:szCs w:val="22"/>
        </w:rPr>
        <w:t xml:space="preserve">s based on an indirect comparison of eight randomised trials and nine placebo comparisons comparing </w:t>
      </w:r>
      <w:proofErr w:type="spellStart"/>
      <w:r w:rsidRPr="00105366">
        <w:rPr>
          <w:rFonts w:ascii="Arial" w:hAnsi="Arial"/>
          <w:sz w:val="22"/>
          <w:szCs w:val="22"/>
        </w:rPr>
        <w:t>vortioxetine</w:t>
      </w:r>
      <w:proofErr w:type="spellEnd"/>
      <w:r w:rsidRPr="00105366">
        <w:rPr>
          <w:rFonts w:ascii="Arial" w:hAnsi="Arial"/>
          <w:sz w:val="22"/>
          <w:szCs w:val="22"/>
        </w:rPr>
        <w:t xml:space="preserve"> to SSRIs in elderly patients (aged ≥60 years), with placebo as the common comparator. Superiority of </w:t>
      </w:r>
      <w:proofErr w:type="spellStart"/>
      <w:r w:rsidRPr="00105366">
        <w:rPr>
          <w:rFonts w:ascii="Arial" w:hAnsi="Arial"/>
          <w:sz w:val="22"/>
          <w:szCs w:val="22"/>
        </w:rPr>
        <w:t>vortioxetine</w:t>
      </w:r>
      <w:proofErr w:type="spellEnd"/>
      <w:r w:rsidRPr="00105366">
        <w:rPr>
          <w:rFonts w:ascii="Arial" w:hAnsi="Arial"/>
          <w:sz w:val="22"/>
          <w:szCs w:val="22"/>
        </w:rPr>
        <w:t xml:space="preserve"> compared to the SSRIs was only demonstrated in three of the nine reported outcomes. In the remaining six outcomes, there were no statistically significant differences between </w:t>
      </w:r>
      <w:proofErr w:type="spellStart"/>
      <w:r w:rsidRPr="00105366">
        <w:rPr>
          <w:rFonts w:ascii="Arial" w:hAnsi="Arial"/>
          <w:sz w:val="22"/>
          <w:szCs w:val="22"/>
        </w:rPr>
        <w:t>vortioxetine</w:t>
      </w:r>
      <w:proofErr w:type="spellEnd"/>
      <w:r w:rsidRPr="00105366">
        <w:rPr>
          <w:rFonts w:ascii="Arial" w:hAnsi="Arial"/>
          <w:sz w:val="22"/>
          <w:szCs w:val="22"/>
        </w:rPr>
        <w:t xml:space="preserve"> and the SSRI</w:t>
      </w:r>
      <w:r w:rsidR="001A777B">
        <w:rPr>
          <w:rFonts w:ascii="Arial" w:hAnsi="Arial"/>
          <w:sz w:val="22"/>
          <w:szCs w:val="22"/>
        </w:rPr>
        <w:t>s.</w:t>
      </w:r>
    </w:p>
    <w:p w:rsidR="00F17DEB" w:rsidRPr="00F17DEB" w:rsidRDefault="00F17DEB" w:rsidP="00F17DEB">
      <w:pPr>
        <w:pStyle w:val="ListParagraph"/>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060B0F" w:rsidRPr="005D31C4" w:rsidRDefault="00060B0F" w:rsidP="002E27EB">
      <w:pPr>
        <w:pStyle w:val="ListParagraph"/>
        <w:numPr>
          <w:ilvl w:val="1"/>
          <w:numId w:val="25"/>
        </w:numPr>
        <w:jc w:val="both"/>
        <w:rPr>
          <w:rFonts w:ascii="Arial" w:hAnsi="Arial"/>
          <w:sz w:val="22"/>
          <w:szCs w:val="22"/>
        </w:rPr>
      </w:pPr>
      <w:r w:rsidRPr="00060B0F">
        <w:rPr>
          <w:rFonts w:ascii="Arial" w:hAnsi="Arial"/>
          <w:sz w:val="22"/>
          <w:szCs w:val="22"/>
        </w:rPr>
        <w:t xml:space="preserve">Based on the direct randomised trials, the incidence of serious adverse events was similar </w:t>
      </w:r>
      <w:r w:rsidR="00780073">
        <w:rPr>
          <w:rFonts w:ascii="Arial" w:hAnsi="Arial"/>
          <w:sz w:val="22"/>
          <w:szCs w:val="22"/>
        </w:rPr>
        <w:t>for</w:t>
      </w:r>
      <w:r w:rsidRPr="00060B0F">
        <w:rPr>
          <w:rFonts w:ascii="Arial" w:hAnsi="Arial"/>
          <w:sz w:val="22"/>
          <w:szCs w:val="22"/>
        </w:rPr>
        <w:t xml:space="preserve"> </w:t>
      </w:r>
      <w:proofErr w:type="spellStart"/>
      <w:r w:rsidRPr="00060B0F">
        <w:rPr>
          <w:rFonts w:ascii="Arial" w:hAnsi="Arial"/>
          <w:sz w:val="22"/>
          <w:szCs w:val="22"/>
        </w:rPr>
        <w:t>vortioxetine</w:t>
      </w:r>
      <w:proofErr w:type="spellEnd"/>
      <w:r w:rsidRPr="00060B0F">
        <w:rPr>
          <w:rFonts w:ascii="Arial" w:hAnsi="Arial"/>
          <w:sz w:val="22"/>
          <w:szCs w:val="22"/>
        </w:rPr>
        <w:t xml:space="preserve"> and venlafaxine, and </w:t>
      </w:r>
      <w:r w:rsidR="00780073">
        <w:rPr>
          <w:rFonts w:ascii="Arial" w:hAnsi="Arial"/>
          <w:sz w:val="22"/>
          <w:szCs w:val="22"/>
        </w:rPr>
        <w:t>also for</w:t>
      </w:r>
      <w:r w:rsidRPr="00060B0F">
        <w:rPr>
          <w:rFonts w:ascii="Arial" w:hAnsi="Arial"/>
          <w:sz w:val="22"/>
          <w:szCs w:val="22"/>
        </w:rPr>
        <w:t xml:space="preserve"> </w:t>
      </w:r>
      <w:proofErr w:type="spellStart"/>
      <w:r w:rsidRPr="00060B0F">
        <w:rPr>
          <w:rFonts w:ascii="Arial" w:hAnsi="Arial"/>
          <w:sz w:val="22"/>
          <w:szCs w:val="22"/>
        </w:rPr>
        <w:t>vortioxetine</w:t>
      </w:r>
      <w:proofErr w:type="spellEnd"/>
      <w:r w:rsidRPr="00060B0F">
        <w:rPr>
          <w:rFonts w:ascii="Arial" w:hAnsi="Arial"/>
          <w:sz w:val="22"/>
          <w:szCs w:val="22"/>
        </w:rPr>
        <w:t xml:space="preserve"> and duloxetine. Treatment withdrawals due to adverse events were significantly more common in the venlafaxine arm than the </w:t>
      </w:r>
      <w:proofErr w:type="spellStart"/>
      <w:r w:rsidRPr="00060B0F">
        <w:rPr>
          <w:rFonts w:ascii="Arial" w:hAnsi="Arial"/>
          <w:sz w:val="22"/>
          <w:szCs w:val="22"/>
        </w:rPr>
        <w:t>vortioxetine</w:t>
      </w:r>
      <w:proofErr w:type="spellEnd"/>
      <w:r w:rsidRPr="00060B0F">
        <w:rPr>
          <w:rFonts w:ascii="Arial" w:hAnsi="Arial"/>
          <w:sz w:val="22"/>
          <w:szCs w:val="22"/>
        </w:rPr>
        <w:t xml:space="preserve"> arms. Treatment withdrawals due to adverse events occurred more frequently in the duloxetine arm than in the 5</w:t>
      </w:r>
      <w:r>
        <w:rPr>
          <w:rFonts w:ascii="Arial" w:hAnsi="Arial"/>
          <w:sz w:val="22"/>
          <w:szCs w:val="22"/>
        </w:rPr>
        <w:t> </w:t>
      </w:r>
      <w:r w:rsidRPr="00060B0F">
        <w:rPr>
          <w:rFonts w:ascii="Arial" w:hAnsi="Arial"/>
          <w:sz w:val="22"/>
          <w:szCs w:val="22"/>
        </w:rPr>
        <w:t>mg and 10</w:t>
      </w:r>
      <w:r>
        <w:rPr>
          <w:rFonts w:ascii="Arial" w:hAnsi="Arial"/>
          <w:sz w:val="22"/>
          <w:szCs w:val="22"/>
        </w:rPr>
        <w:t xml:space="preserve"> </w:t>
      </w:r>
      <w:r w:rsidRPr="00060B0F">
        <w:rPr>
          <w:rFonts w:ascii="Arial" w:hAnsi="Arial"/>
          <w:sz w:val="22"/>
          <w:szCs w:val="22"/>
        </w:rPr>
        <w:t xml:space="preserve">mg </w:t>
      </w:r>
      <w:proofErr w:type="spellStart"/>
      <w:r w:rsidRPr="00060B0F">
        <w:rPr>
          <w:rFonts w:ascii="Arial" w:hAnsi="Arial"/>
          <w:sz w:val="22"/>
          <w:szCs w:val="22"/>
        </w:rPr>
        <w:t>vortioxetine</w:t>
      </w:r>
      <w:proofErr w:type="spellEnd"/>
      <w:r w:rsidRPr="00060B0F">
        <w:rPr>
          <w:rFonts w:ascii="Arial" w:hAnsi="Arial"/>
          <w:sz w:val="22"/>
          <w:szCs w:val="22"/>
        </w:rPr>
        <w:t xml:space="preserve"> arms and less frequently in the duloxetine arm than in the 15</w:t>
      </w:r>
      <w:r>
        <w:rPr>
          <w:rFonts w:ascii="Arial" w:hAnsi="Arial"/>
          <w:sz w:val="22"/>
          <w:szCs w:val="22"/>
        </w:rPr>
        <w:t xml:space="preserve"> </w:t>
      </w:r>
      <w:r w:rsidRPr="00060B0F">
        <w:rPr>
          <w:rFonts w:ascii="Arial" w:hAnsi="Arial"/>
          <w:sz w:val="22"/>
          <w:szCs w:val="22"/>
        </w:rPr>
        <w:t>mg and 20</w:t>
      </w:r>
      <w:r w:rsidR="00780073">
        <w:rPr>
          <w:rFonts w:ascii="Arial" w:hAnsi="Arial"/>
          <w:sz w:val="22"/>
          <w:szCs w:val="22"/>
        </w:rPr>
        <w:t> </w:t>
      </w:r>
      <w:r w:rsidRPr="00060B0F">
        <w:rPr>
          <w:rFonts w:ascii="Arial" w:hAnsi="Arial"/>
          <w:sz w:val="22"/>
          <w:szCs w:val="22"/>
        </w:rPr>
        <w:t xml:space="preserve">mg </w:t>
      </w:r>
      <w:proofErr w:type="spellStart"/>
      <w:r w:rsidRPr="00060B0F">
        <w:rPr>
          <w:rFonts w:ascii="Arial" w:hAnsi="Arial"/>
          <w:sz w:val="22"/>
          <w:szCs w:val="22"/>
        </w:rPr>
        <w:t>vortioxetine</w:t>
      </w:r>
      <w:proofErr w:type="spellEnd"/>
      <w:r w:rsidRPr="00060B0F">
        <w:rPr>
          <w:rFonts w:ascii="Arial" w:hAnsi="Arial"/>
          <w:sz w:val="22"/>
          <w:szCs w:val="22"/>
        </w:rPr>
        <w:t xml:space="preserve"> arms, although this </w:t>
      </w:r>
      <w:r w:rsidR="00780073">
        <w:rPr>
          <w:rFonts w:ascii="Arial" w:hAnsi="Arial"/>
          <w:sz w:val="22"/>
          <w:szCs w:val="22"/>
        </w:rPr>
        <w:t xml:space="preserve">difference </w:t>
      </w:r>
      <w:r w:rsidRPr="00060B0F">
        <w:rPr>
          <w:rFonts w:ascii="Arial" w:hAnsi="Arial"/>
          <w:sz w:val="22"/>
          <w:szCs w:val="22"/>
        </w:rPr>
        <w:t>was not statistically significant.</w:t>
      </w:r>
      <w:r>
        <w:rPr>
          <w:rFonts w:ascii="Arial" w:hAnsi="Arial"/>
          <w:sz w:val="22"/>
          <w:szCs w:val="22"/>
        </w:rPr>
        <w:t xml:space="preserve"> </w:t>
      </w:r>
    </w:p>
    <w:p w:rsidR="005D31C4" w:rsidRPr="00060B0F" w:rsidRDefault="005D31C4" w:rsidP="005D31C4">
      <w:pPr>
        <w:pStyle w:val="ListParagraph"/>
        <w:ind w:left="709"/>
        <w:jc w:val="both"/>
        <w:rPr>
          <w:rFonts w:ascii="Arial" w:hAnsi="Arial"/>
          <w:sz w:val="22"/>
          <w:szCs w:val="22"/>
        </w:rPr>
      </w:pPr>
    </w:p>
    <w:p w:rsidR="005D31C4" w:rsidRDefault="005D31C4" w:rsidP="002E27EB">
      <w:pPr>
        <w:pStyle w:val="ListParagraph"/>
        <w:numPr>
          <w:ilvl w:val="1"/>
          <w:numId w:val="25"/>
        </w:numPr>
        <w:jc w:val="both"/>
        <w:rPr>
          <w:rFonts w:ascii="Arial" w:hAnsi="Arial"/>
          <w:sz w:val="22"/>
          <w:szCs w:val="22"/>
        </w:rPr>
      </w:pPr>
      <w:r w:rsidRPr="005D31C4">
        <w:rPr>
          <w:rFonts w:ascii="Arial" w:hAnsi="Arial"/>
          <w:sz w:val="22"/>
          <w:szCs w:val="22"/>
        </w:rPr>
        <w:t xml:space="preserve">A summary of the comparative benefits and harms for </w:t>
      </w:r>
      <w:proofErr w:type="spellStart"/>
      <w:r w:rsidRPr="005D31C4">
        <w:rPr>
          <w:rFonts w:ascii="Arial" w:hAnsi="Arial"/>
          <w:sz w:val="22"/>
          <w:szCs w:val="22"/>
        </w:rPr>
        <w:t>vortioxetine</w:t>
      </w:r>
      <w:proofErr w:type="spellEnd"/>
      <w:r w:rsidRPr="005D31C4">
        <w:rPr>
          <w:rFonts w:ascii="Arial" w:hAnsi="Arial"/>
          <w:sz w:val="22"/>
          <w:szCs w:val="22"/>
        </w:rPr>
        <w:t xml:space="preserve"> versus SNRI therapies is presented in the following table.</w:t>
      </w:r>
    </w:p>
    <w:p w:rsidR="005D31C4" w:rsidRDefault="005D31C4" w:rsidP="005D31C4">
      <w:pPr>
        <w:pStyle w:val="ListParagraph"/>
        <w:ind w:left="709"/>
        <w:rPr>
          <w:rFonts w:ascii="Arial" w:hAnsi="Arial"/>
          <w:sz w:val="22"/>
          <w:szCs w:val="22"/>
        </w:rPr>
      </w:pPr>
    </w:p>
    <w:p w:rsidR="005D31C4" w:rsidRPr="005D31C4" w:rsidRDefault="005D31C4" w:rsidP="002E27EB">
      <w:pPr>
        <w:widowControl w:val="0"/>
        <w:ind w:firstLine="720"/>
        <w:jc w:val="both"/>
        <w:rPr>
          <w:rFonts w:ascii="Arial Narrow" w:hAnsi="Arial Narrow" w:cs="Arial"/>
          <w:b/>
          <w:snapToGrid w:val="0"/>
          <w:sz w:val="20"/>
          <w:szCs w:val="16"/>
          <w:lang w:eastAsia="en-US"/>
        </w:rPr>
      </w:pPr>
      <w:r w:rsidRPr="005D31C4">
        <w:rPr>
          <w:rFonts w:ascii="Arial Narrow" w:hAnsi="Arial Narrow" w:cs="Arial"/>
          <w:b/>
          <w:snapToGrid w:val="0"/>
          <w:sz w:val="20"/>
          <w:szCs w:val="16"/>
          <w:lang w:eastAsia="en-US"/>
        </w:rPr>
        <w:t xml:space="preserve">Summary of comparative benefits and harms for </w:t>
      </w:r>
      <w:proofErr w:type="spellStart"/>
      <w:r w:rsidRPr="005D31C4">
        <w:rPr>
          <w:rFonts w:ascii="Arial Narrow" w:hAnsi="Arial Narrow" w:cs="Arial"/>
          <w:b/>
          <w:snapToGrid w:val="0"/>
          <w:sz w:val="20"/>
          <w:szCs w:val="16"/>
          <w:lang w:eastAsia="en-US"/>
        </w:rPr>
        <w:t>vortioxetine</w:t>
      </w:r>
      <w:proofErr w:type="spellEnd"/>
      <w:r w:rsidRPr="005D31C4">
        <w:rPr>
          <w:rFonts w:ascii="Arial Narrow" w:hAnsi="Arial Narrow" w:cs="Arial"/>
          <w:b/>
          <w:snapToGrid w:val="0"/>
          <w:sz w:val="20"/>
          <w:szCs w:val="16"/>
          <w:lang w:eastAsia="en-US"/>
        </w:rPr>
        <w:t xml:space="preserve"> and active comparator</w:t>
      </w:r>
      <w:r w:rsidR="00105366">
        <w:rPr>
          <w:rFonts w:ascii="Arial Narrow" w:hAnsi="Arial Narrow" w:cs="Arial"/>
          <w:b/>
          <w:snapToGrid w:val="0"/>
          <w:sz w:val="20"/>
          <w:szCs w:val="16"/>
          <w:lang w:eastAsia="en-US"/>
        </w:rPr>
        <w:t xml:space="preserve"> </w:t>
      </w:r>
    </w:p>
    <w:tbl>
      <w:tblPr>
        <w:tblStyle w:val="TableGrid"/>
        <w:tblW w:w="4575" w:type="pct"/>
        <w:tblInd w:w="737" w:type="dxa"/>
        <w:tblCellMar>
          <w:left w:w="28" w:type="dxa"/>
          <w:right w:w="28" w:type="dxa"/>
        </w:tblCellMar>
        <w:tblLook w:val="04A0" w:firstRow="1" w:lastRow="0" w:firstColumn="1" w:lastColumn="0" w:noHBand="0" w:noVBand="1"/>
        <w:tblDescription w:val="Summary of comparative benefits and harms for vortioxetine and active comparator "/>
      </w:tblPr>
      <w:tblGrid>
        <w:gridCol w:w="1304"/>
        <w:gridCol w:w="455"/>
        <w:gridCol w:w="638"/>
        <w:gridCol w:w="257"/>
        <w:gridCol w:w="1210"/>
        <w:gridCol w:w="503"/>
        <w:gridCol w:w="520"/>
        <w:gridCol w:w="517"/>
        <w:gridCol w:w="755"/>
        <w:gridCol w:w="210"/>
        <w:gridCol w:w="1003"/>
        <w:gridCol w:w="960"/>
      </w:tblGrid>
      <w:tr w:rsidR="005D31C4" w:rsidRPr="005D31C4" w:rsidTr="00CF3A76">
        <w:trPr>
          <w:tblHeader/>
        </w:trPr>
        <w:tc>
          <w:tcPr>
            <w:tcW w:w="5000" w:type="pct"/>
            <w:gridSpan w:val="12"/>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bookmarkStart w:id="0" w:name="_GoBack" w:colFirst="0" w:colLast="1"/>
            <w:r w:rsidRPr="005D31C4">
              <w:rPr>
                <w:rFonts w:ascii="Arial Narrow" w:hAnsi="Arial Narrow" w:cs="Arial"/>
                <w:b/>
                <w:snapToGrid w:val="0"/>
                <w:color w:val="000000"/>
                <w:sz w:val="20"/>
                <w:szCs w:val="18"/>
                <w:lang w:eastAsia="en-US"/>
              </w:rPr>
              <w:t>Benefits</w:t>
            </w:r>
          </w:p>
        </w:tc>
      </w:tr>
      <w:bookmarkEnd w:id="0"/>
      <w:tr w:rsidR="005D31C4" w:rsidRPr="005D31C4" w:rsidTr="002E27EB">
        <w:tc>
          <w:tcPr>
            <w:tcW w:w="5000" w:type="pct"/>
            <w:gridSpan w:val="12"/>
            <w:tcBorders>
              <w:top w:val="double" w:sz="4" w:space="0" w:color="auto"/>
            </w:tcBorders>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Continuous Outcome I: change from baseline MADRS scale (LOCF)</w:t>
            </w:r>
          </w:p>
        </w:tc>
      </w:tr>
      <w:tr w:rsidR="005D31C4" w:rsidRPr="005D31C4" w:rsidTr="002E27EB">
        <w:trPr>
          <w:trHeight w:val="225"/>
        </w:trPr>
        <w:tc>
          <w:tcPr>
            <w:tcW w:w="783" w:type="pct"/>
            <w:vMerge w:val="restar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p>
        </w:tc>
        <w:tc>
          <w:tcPr>
            <w:tcW w:w="1536" w:type="pct"/>
            <w:gridSpan w:val="4"/>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proofErr w:type="spellStart"/>
            <w:r w:rsidRPr="005D31C4">
              <w:rPr>
                <w:rFonts w:ascii="Arial Narrow" w:hAnsi="Arial Narrow" w:cs="Arial"/>
                <w:b/>
                <w:snapToGrid w:val="0"/>
                <w:color w:val="000000"/>
                <w:sz w:val="20"/>
                <w:szCs w:val="18"/>
                <w:lang w:eastAsia="en-US"/>
              </w:rPr>
              <w:t>Vortioxetine</w:t>
            </w:r>
            <w:proofErr w:type="spellEnd"/>
          </w:p>
        </w:tc>
        <w:tc>
          <w:tcPr>
            <w:tcW w:w="1503" w:type="pct"/>
            <w:gridSpan w:val="5"/>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b/>
                <w:snapToGrid w:val="0"/>
                <w:color w:val="000000"/>
                <w:sz w:val="20"/>
                <w:szCs w:val="18"/>
                <w:lang w:eastAsia="en-US"/>
              </w:rPr>
              <w:t>Active comparator</w:t>
            </w:r>
          </w:p>
        </w:tc>
        <w:tc>
          <w:tcPr>
            <w:tcW w:w="1178" w:type="pct"/>
            <w:gridSpan w:val="2"/>
            <w:vMerge w:val="restart"/>
            <w:vAlign w:val="center"/>
          </w:tcPr>
          <w:p w:rsidR="005D31C4" w:rsidRPr="005D31C4" w:rsidRDefault="005D31C4" w:rsidP="005D31C4">
            <w:pPr>
              <w:widowControl w:val="0"/>
              <w:jc w:val="center"/>
              <w:rPr>
                <w:rFonts w:ascii="Arial Narrow" w:hAnsi="Arial Narrow" w:cs="Arial"/>
                <w:b/>
                <w:snapToGrid w:val="0"/>
                <w:sz w:val="20"/>
                <w:szCs w:val="18"/>
                <w:lang w:eastAsia="en-US"/>
              </w:rPr>
            </w:pPr>
            <w:r w:rsidRPr="005D31C4">
              <w:rPr>
                <w:rFonts w:ascii="Arial Narrow" w:hAnsi="Arial Narrow" w:cs="Arial"/>
                <w:b/>
                <w:snapToGrid w:val="0"/>
                <w:sz w:val="20"/>
                <w:szCs w:val="18"/>
                <w:lang w:eastAsia="en-US"/>
              </w:rPr>
              <w:t xml:space="preserve">Mean difference*: </w:t>
            </w:r>
          </w:p>
          <w:p w:rsidR="005D31C4" w:rsidRPr="005D31C4" w:rsidRDefault="005D31C4" w:rsidP="005D31C4">
            <w:pPr>
              <w:widowControl w:val="0"/>
              <w:jc w:val="center"/>
              <w:rPr>
                <w:rFonts w:ascii="Arial Narrow" w:hAnsi="Arial Narrow" w:cs="Arial"/>
                <w:b/>
                <w:snapToGrid w:val="0"/>
                <w:sz w:val="20"/>
                <w:szCs w:val="18"/>
                <w:lang w:eastAsia="en-US"/>
              </w:rPr>
            </w:pPr>
            <w:proofErr w:type="spellStart"/>
            <w:r w:rsidRPr="005D31C4">
              <w:rPr>
                <w:rFonts w:ascii="Arial Narrow" w:hAnsi="Arial Narrow" w:cs="Arial"/>
                <w:b/>
                <w:snapToGrid w:val="0"/>
                <w:sz w:val="20"/>
                <w:szCs w:val="18"/>
                <w:lang w:eastAsia="en-US"/>
              </w:rPr>
              <w:t>Vortioxetine</w:t>
            </w:r>
            <w:proofErr w:type="spellEnd"/>
            <w:r w:rsidRPr="005D31C4">
              <w:rPr>
                <w:rFonts w:ascii="Arial Narrow" w:hAnsi="Arial Narrow" w:cs="Arial"/>
                <w:b/>
                <w:snapToGrid w:val="0"/>
                <w:sz w:val="20"/>
                <w:szCs w:val="18"/>
                <w:lang w:eastAsia="en-US"/>
              </w:rPr>
              <w:t xml:space="preserve"> vs.  active comparator</w:t>
            </w:r>
          </w:p>
          <w:p w:rsidR="005D31C4" w:rsidRPr="005D31C4" w:rsidRDefault="005D31C4" w:rsidP="005D31C4">
            <w:pPr>
              <w:widowControl w:val="0"/>
              <w:jc w:val="center"/>
              <w:rPr>
                <w:rFonts w:ascii="Arial Narrow" w:hAnsi="Arial Narrow" w:cs="Arial"/>
                <w:b/>
                <w:snapToGrid w:val="0"/>
                <w:sz w:val="20"/>
                <w:szCs w:val="18"/>
                <w:lang w:eastAsia="en-US"/>
              </w:rPr>
            </w:pPr>
            <w:r w:rsidRPr="005D31C4">
              <w:rPr>
                <w:rFonts w:ascii="Arial Narrow" w:hAnsi="Arial Narrow" w:cs="Arial"/>
                <w:b/>
                <w:snapToGrid w:val="0"/>
                <w:sz w:val="20"/>
                <w:szCs w:val="18"/>
                <w:lang w:eastAsia="en-US"/>
              </w:rPr>
              <w:t>(95% CI)</w:t>
            </w:r>
          </w:p>
        </w:tc>
      </w:tr>
      <w:tr w:rsidR="005D31C4" w:rsidRPr="005D31C4" w:rsidTr="002E27EB">
        <w:trPr>
          <w:trHeight w:val="225"/>
        </w:trPr>
        <w:tc>
          <w:tcPr>
            <w:tcW w:w="783" w:type="pct"/>
            <w:vMerge/>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p>
        </w:tc>
        <w:tc>
          <w:tcPr>
            <w:tcW w:w="273" w:type="pct"/>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n</w:t>
            </w:r>
          </w:p>
        </w:tc>
        <w:tc>
          <w:tcPr>
            <w:tcW w:w="537" w:type="pct"/>
            <w:gridSpan w:val="2"/>
            <w:vAlign w:val="center"/>
          </w:tcPr>
          <w:p w:rsidR="005D31C4" w:rsidRPr="005D31C4" w:rsidRDefault="005D31C4" w:rsidP="005D31C4">
            <w:pPr>
              <w:widowControl w:val="0"/>
              <w:jc w:val="center"/>
              <w:rPr>
                <w:rFonts w:ascii="Arial Narrow" w:hAnsi="Arial Narrow" w:cs="Arial"/>
                <w:b/>
                <w:snapToGrid w:val="0"/>
                <w:sz w:val="20"/>
                <w:szCs w:val="18"/>
                <w:lang w:eastAsia="en-US"/>
              </w:rPr>
            </w:pPr>
            <w:r w:rsidRPr="005D31C4">
              <w:rPr>
                <w:rFonts w:ascii="Arial Narrow" w:hAnsi="Arial Narrow" w:cs="Arial"/>
                <w:b/>
                <w:snapToGrid w:val="0"/>
                <w:sz w:val="20"/>
                <w:szCs w:val="18"/>
                <w:lang w:eastAsia="en-US"/>
              </w:rPr>
              <w:t>Mean ∆ baseline MADRS</w:t>
            </w:r>
          </w:p>
        </w:tc>
        <w:tc>
          <w:tcPr>
            <w:tcW w:w="726" w:type="pct"/>
            <w:vAlign w:val="center"/>
          </w:tcPr>
          <w:p w:rsidR="005D31C4" w:rsidRPr="005D31C4" w:rsidRDefault="005D31C4" w:rsidP="005D31C4">
            <w:pPr>
              <w:widowControl w:val="0"/>
              <w:jc w:val="center"/>
              <w:rPr>
                <w:rFonts w:ascii="Arial Narrow" w:hAnsi="Arial Narrow" w:cs="Arial"/>
                <w:b/>
                <w:snapToGrid w:val="0"/>
                <w:sz w:val="20"/>
                <w:szCs w:val="18"/>
                <w:lang w:eastAsia="en-US"/>
              </w:rPr>
            </w:pPr>
            <w:r w:rsidRPr="005D31C4">
              <w:rPr>
                <w:rFonts w:ascii="Arial Narrow" w:hAnsi="Arial Narrow" w:cs="Arial"/>
                <w:b/>
                <w:snapToGrid w:val="0"/>
                <w:sz w:val="20"/>
                <w:szCs w:val="18"/>
                <w:lang w:eastAsia="en-US"/>
              </w:rPr>
              <w:t>SD</w:t>
            </w:r>
          </w:p>
        </w:tc>
        <w:tc>
          <w:tcPr>
            <w:tcW w:w="302" w:type="pct"/>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n</w:t>
            </w:r>
          </w:p>
        </w:tc>
        <w:tc>
          <w:tcPr>
            <w:tcW w:w="622" w:type="pct"/>
            <w:gridSpan w:val="2"/>
            <w:vAlign w:val="center"/>
          </w:tcPr>
          <w:p w:rsidR="005D31C4" w:rsidRPr="005D31C4" w:rsidRDefault="005D31C4" w:rsidP="005D31C4">
            <w:pPr>
              <w:widowControl w:val="0"/>
              <w:jc w:val="center"/>
              <w:rPr>
                <w:rFonts w:ascii="Arial Narrow" w:hAnsi="Arial Narrow" w:cs="Arial"/>
                <w:b/>
                <w:snapToGrid w:val="0"/>
                <w:sz w:val="20"/>
                <w:szCs w:val="18"/>
                <w:lang w:eastAsia="en-US"/>
              </w:rPr>
            </w:pPr>
            <w:r w:rsidRPr="005D31C4">
              <w:rPr>
                <w:rFonts w:ascii="Arial Narrow" w:hAnsi="Arial Narrow" w:cs="Arial"/>
                <w:b/>
                <w:snapToGrid w:val="0"/>
                <w:sz w:val="20"/>
                <w:szCs w:val="18"/>
                <w:lang w:eastAsia="en-US"/>
              </w:rPr>
              <w:t>Mean ∆ baseline MADRS</w:t>
            </w:r>
          </w:p>
        </w:tc>
        <w:tc>
          <w:tcPr>
            <w:tcW w:w="579" w:type="pct"/>
            <w:gridSpan w:val="2"/>
            <w:vAlign w:val="center"/>
          </w:tcPr>
          <w:p w:rsidR="005D31C4" w:rsidRPr="005D31C4" w:rsidRDefault="005D31C4" w:rsidP="005D31C4">
            <w:pPr>
              <w:widowControl w:val="0"/>
              <w:jc w:val="center"/>
              <w:rPr>
                <w:rFonts w:ascii="Arial Narrow" w:hAnsi="Arial Narrow" w:cs="Arial"/>
                <w:b/>
                <w:snapToGrid w:val="0"/>
                <w:sz w:val="20"/>
                <w:szCs w:val="18"/>
                <w:lang w:eastAsia="en-US"/>
              </w:rPr>
            </w:pPr>
            <w:r w:rsidRPr="005D31C4">
              <w:rPr>
                <w:rFonts w:ascii="Arial Narrow" w:hAnsi="Arial Narrow" w:cs="Arial"/>
                <w:b/>
                <w:snapToGrid w:val="0"/>
                <w:sz w:val="20"/>
                <w:szCs w:val="18"/>
                <w:lang w:eastAsia="en-US"/>
              </w:rPr>
              <w:t>SD</w:t>
            </w:r>
          </w:p>
        </w:tc>
        <w:tc>
          <w:tcPr>
            <w:tcW w:w="1178" w:type="pct"/>
            <w:gridSpan w:val="2"/>
            <w:vMerge/>
            <w:vAlign w:val="center"/>
          </w:tcPr>
          <w:p w:rsidR="005D31C4" w:rsidRPr="005D31C4" w:rsidRDefault="005D31C4" w:rsidP="005D31C4">
            <w:pPr>
              <w:widowControl w:val="0"/>
              <w:jc w:val="center"/>
              <w:rPr>
                <w:rFonts w:ascii="Arial Narrow" w:hAnsi="Arial Narrow" w:cs="Arial"/>
                <w:b/>
                <w:snapToGrid w:val="0"/>
                <w:sz w:val="20"/>
                <w:szCs w:val="18"/>
                <w:lang w:eastAsia="en-US"/>
              </w:rPr>
            </w:pPr>
          </w:p>
        </w:tc>
      </w:tr>
      <w:tr w:rsidR="005D31C4" w:rsidRPr="005D31C4" w:rsidTr="002E27EB">
        <w:tc>
          <w:tcPr>
            <w:tcW w:w="5000" w:type="pct"/>
            <w:gridSpan w:val="12"/>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 xml:space="preserve">Trials of </w:t>
            </w:r>
            <w:proofErr w:type="spellStart"/>
            <w:r w:rsidRPr="005D31C4">
              <w:rPr>
                <w:rFonts w:ascii="Arial Narrow" w:hAnsi="Arial Narrow" w:cs="Arial"/>
                <w:snapToGrid w:val="0"/>
                <w:sz w:val="20"/>
                <w:szCs w:val="20"/>
                <w:lang w:eastAsia="en-US"/>
              </w:rPr>
              <w:t>vortioxetine</w:t>
            </w:r>
            <w:proofErr w:type="spellEnd"/>
            <w:r w:rsidRPr="005D31C4">
              <w:rPr>
                <w:rFonts w:ascii="Arial Narrow" w:hAnsi="Arial Narrow" w:cs="Arial"/>
                <w:snapToGrid w:val="0"/>
                <w:sz w:val="20"/>
                <w:szCs w:val="20"/>
                <w:lang w:eastAsia="en-US"/>
              </w:rPr>
              <w:t xml:space="preserve"> vs. venlafaxine</w:t>
            </w:r>
          </w:p>
        </w:tc>
      </w:tr>
      <w:tr w:rsidR="005D31C4" w:rsidRPr="005D31C4" w:rsidTr="002E27EB">
        <w:tc>
          <w:tcPr>
            <w:tcW w:w="783" w:type="pct"/>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11492A</w:t>
            </w:r>
          </w:p>
        </w:tc>
        <w:tc>
          <w:tcPr>
            <w:tcW w:w="273" w:type="pct"/>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208</w:t>
            </w:r>
          </w:p>
        </w:tc>
        <w:tc>
          <w:tcPr>
            <w:tcW w:w="537"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-20.30</w:t>
            </w:r>
          </w:p>
        </w:tc>
        <w:tc>
          <w:tcPr>
            <w:tcW w:w="72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10.45</w:t>
            </w:r>
          </w:p>
        </w:tc>
        <w:tc>
          <w:tcPr>
            <w:tcW w:w="302"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112</w:t>
            </w:r>
          </w:p>
        </w:tc>
        <w:tc>
          <w:tcPr>
            <w:tcW w:w="622"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-20.92</w:t>
            </w:r>
          </w:p>
        </w:tc>
        <w:tc>
          <w:tcPr>
            <w:tcW w:w="579"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10.48</w:t>
            </w:r>
          </w:p>
        </w:tc>
        <w:tc>
          <w:tcPr>
            <w:tcW w:w="1178" w:type="pct"/>
            <w:gridSpan w:val="2"/>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0.62 (1.78,3.02)</w:t>
            </w:r>
          </w:p>
        </w:tc>
      </w:tr>
      <w:tr w:rsidR="005D31C4" w:rsidRPr="005D31C4" w:rsidTr="002E27EB">
        <w:tc>
          <w:tcPr>
            <w:tcW w:w="783" w:type="pct"/>
            <w:tcBorders>
              <w:bottom w:val="single" w:sz="4" w:space="0" w:color="auto"/>
            </w:tcBorders>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13926A</w:t>
            </w:r>
          </w:p>
        </w:tc>
        <w:tc>
          <w:tcPr>
            <w:tcW w:w="273" w:type="pct"/>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209</w:t>
            </w:r>
          </w:p>
        </w:tc>
        <w:tc>
          <w:tcPr>
            <w:tcW w:w="537" w:type="pct"/>
            <w:gridSpan w:val="2"/>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-19.36</w:t>
            </w:r>
          </w:p>
        </w:tc>
        <w:tc>
          <w:tcPr>
            <w:tcW w:w="726" w:type="pct"/>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10.12</w:t>
            </w:r>
          </w:p>
        </w:tc>
        <w:tc>
          <w:tcPr>
            <w:tcW w:w="302" w:type="pct"/>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215</w:t>
            </w:r>
          </w:p>
        </w:tc>
        <w:tc>
          <w:tcPr>
            <w:tcW w:w="622" w:type="pct"/>
            <w:gridSpan w:val="2"/>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-18.16</w:t>
            </w:r>
          </w:p>
        </w:tc>
        <w:tc>
          <w:tcPr>
            <w:tcW w:w="579" w:type="pct"/>
            <w:gridSpan w:val="2"/>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9.97</w:t>
            </w:r>
          </w:p>
        </w:tc>
        <w:tc>
          <w:tcPr>
            <w:tcW w:w="1178" w:type="pct"/>
            <w:gridSpan w:val="2"/>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-1.20 (-3.11,0.71)</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Pooled result</w:t>
            </w:r>
          </w:p>
        </w:tc>
        <w:tc>
          <w:tcPr>
            <w:tcW w:w="3039" w:type="pct"/>
            <w:gridSpan w:val="9"/>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p>
        </w:tc>
        <w:tc>
          <w:tcPr>
            <w:tcW w:w="1178" w:type="pct"/>
            <w:gridSpan w:val="2"/>
            <w:vAlign w:val="center"/>
          </w:tcPr>
          <w:p w:rsidR="005D31C4" w:rsidRPr="005D31C4" w:rsidRDefault="005D31C4" w:rsidP="005D31C4">
            <w:pPr>
              <w:widowControl w:val="0"/>
              <w:jc w:val="center"/>
              <w:rPr>
                <w:rFonts w:ascii="Arial Narrow" w:hAnsi="Arial Narrow" w:cs="Arial"/>
                <w:snapToGrid w:val="0"/>
                <w:sz w:val="20"/>
                <w:szCs w:val="18"/>
                <w:lang w:eastAsia="en-US"/>
              </w:rPr>
            </w:pPr>
            <w:r w:rsidRPr="0007593F">
              <w:rPr>
                <w:rFonts w:ascii="Arial Narrow" w:hAnsi="Arial Narrow" w:cs="Arial"/>
                <w:snapToGrid w:val="0"/>
                <w:sz w:val="20"/>
                <w:szCs w:val="20"/>
                <w:lang w:eastAsia="en-US"/>
              </w:rPr>
              <w:t>-0.44 (-2.20,1.32)</w:t>
            </w:r>
          </w:p>
        </w:tc>
      </w:tr>
      <w:tr w:rsidR="005D31C4" w:rsidRPr="005D31C4" w:rsidTr="002E27EB">
        <w:tc>
          <w:tcPr>
            <w:tcW w:w="5000" w:type="pct"/>
            <w:gridSpan w:val="12"/>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 xml:space="preserve">Heterogeneity: Tau² = 0.43; Chi² = 1.35, </w:t>
            </w:r>
            <w:proofErr w:type="spellStart"/>
            <w:r w:rsidRPr="005D31C4">
              <w:rPr>
                <w:rFonts w:ascii="Arial Narrow" w:hAnsi="Arial Narrow" w:cs="Arial"/>
                <w:snapToGrid w:val="0"/>
                <w:sz w:val="20"/>
                <w:szCs w:val="20"/>
                <w:lang w:eastAsia="en-US"/>
              </w:rPr>
              <w:t>df</w:t>
            </w:r>
            <w:proofErr w:type="spellEnd"/>
            <w:r w:rsidRPr="005D31C4">
              <w:rPr>
                <w:rFonts w:ascii="Arial Narrow" w:hAnsi="Arial Narrow" w:cs="Arial"/>
                <w:snapToGrid w:val="0"/>
                <w:sz w:val="20"/>
                <w:szCs w:val="20"/>
                <w:lang w:eastAsia="en-US"/>
              </w:rPr>
              <w:t xml:space="preserve"> = 1 (P = 0.25); I² = 26%</w:t>
            </w:r>
          </w:p>
          <w:p w:rsidR="005D31C4" w:rsidRPr="005D31C4" w:rsidRDefault="005D31C4" w:rsidP="005D31C4">
            <w:pPr>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Test for overall effect: Z = 0.49 (P = 0.62)</w:t>
            </w:r>
          </w:p>
        </w:tc>
      </w:tr>
      <w:tr w:rsidR="005D31C4" w:rsidRPr="005D31C4" w:rsidTr="002E27EB">
        <w:tc>
          <w:tcPr>
            <w:tcW w:w="5000" w:type="pct"/>
            <w:gridSpan w:val="12"/>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 xml:space="preserve">Trials of </w:t>
            </w:r>
            <w:proofErr w:type="spellStart"/>
            <w:r w:rsidRPr="005D31C4">
              <w:rPr>
                <w:rFonts w:ascii="Arial Narrow" w:hAnsi="Arial Narrow" w:cs="Arial"/>
                <w:snapToGrid w:val="0"/>
                <w:sz w:val="20"/>
                <w:szCs w:val="20"/>
                <w:lang w:eastAsia="en-US"/>
              </w:rPr>
              <w:t>vortioxetine</w:t>
            </w:r>
            <w:proofErr w:type="spellEnd"/>
            <w:r w:rsidRPr="005D31C4">
              <w:rPr>
                <w:rFonts w:ascii="Arial Narrow" w:hAnsi="Arial Narrow" w:cs="Arial"/>
                <w:snapToGrid w:val="0"/>
                <w:sz w:val="20"/>
                <w:szCs w:val="20"/>
                <w:lang w:eastAsia="en-US"/>
              </w:rPr>
              <w:t xml:space="preserve"> vs. duloxetine</w:t>
            </w:r>
          </w:p>
        </w:tc>
      </w:tr>
      <w:tr w:rsidR="005D31C4" w:rsidRPr="005D31C4" w:rsidTr="002E27EB">
        <w:tc>
          <w:tcPr>
            <w:tcW w:w="783" w:type="pct"/>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11984A</w:t>
            </w:r>
          </w:p>
        </w:tc>
        <w:tc>
          <w:tcPr>
            <w:tcW w:w="273"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306</w:t>
            </w:r>
          </w:p>
        </w:tc>
        <w:tc>
          <w:tcPr>
            <w:tcW w:w="537" w:type="pct"/>
            <w:gridSpan w:val="2"/>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726" w:type="pct"/>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302" w:type="pct"/>
            <w:vAlign w:val="center"/>
          </w:tcPr>
          <w:p w:rsidR="005D31C4" w:rsidRPr="00BA24A8" w:rsidRDefault="00BA24A8" w:rsidP="005D31C4">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22" w:type="pct"/>
            <w:gridSpan w:val="2"/>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579" w:type="pct"/>
            <w:gridSpan w:val="2"/>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78" w:type="pct"/>
            <w:gridSpan w:val="2"/>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D31C4" w:rsidRPr="005D31C4" w:rsidTr="002E27EB">
        <w:tc>
          <w:tcPr>
            <w:tcW w:w="783" w:type="pct"/>
            <w:tcBorders>
              <w:bottom w:val="single" w:sz="4" w:space="0" w:color="auto"/>
            </w:tcBorders>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12541A</w:t>
            </w:r>
          </w:p>
        </w:tc>
        <w:tc>
          <w:tcPr>
            <w:tcW w:w="273" w:type="pct"/>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155</w:t>
            </w:r>
          </w:p>
        </w:tc>
        <w:tc>
          <w:tcPr>
            <w:tcW w:w="537" w:type="pct"/>
            <w:gridSpan w:val="2"/>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 xml:space="preserve">-15.50 </w:t>
            </w:r>
          </w:p>
        </w:tc>
        <w:tc>
          <w:tcPr>
            <w:tcW w:w="726" w:type="pct"/>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9.34</w:t>
            </w:r>
          </w:p>
        </w:tc>
        <w:tc>
          <w:tcPr>
            <w:tcW w:w="302" w:type="pct"/>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148</w:t>
            </w:r>
          </w:p>
        </w:tc>
        <w:tc>
          <w:tcPr>
            <w:tcW w:w="622" w:type="pct"/>
            <w:gridSpan w:val="2"/>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 xml:space="preserve">-18.00 </w:t>
            </w:r>
          </w:p>
        </w:tc>
        <w:tc>
          <w:tcPr>
            <w:tcW w:w="579" w:type="pct"/>
            <w:gridSpan w:val="2"/>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9.25</w:t>
            </w:r>
          </w:p>
        </w:tc>
        <w:tc>
          <w:tcPr>
            <w:tcW w:w="1178" w:type="pct"/>
            <w:gridSpan w:val="2"/>
            <w:tcBorders>
              <w:bottom w:val="single" w:sz="4" w:space="0" w:color="auto"/>
            </w:tcBorders>
            <w:vAlign w:val="center"/>
          </w:tcPr>
          <w:p w:rsidR="005D31C4" w:rsidRPr="005D31C4" w:rsidRDefault="005D31C4" w:rsidP="005D31C4">
            <w:pPr>
              <w:keepNext/>
              <w:widowControl w:val="0"/>
              <w:jc w:val="center"/>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2.50 (0.41, 4.59)</w:t>
            </w:r>
          </w:p>
        </w:tc>
      </w:tr>
      <w:tr w:rsidR="005D31C4" w:rsidRPr="005D31C4" w:rsidTr="002E27EB">
        <w:tc>
          <w:tcPr>
            <w:tcW w:w="783" w:type="pct"/>
            <w:tcBorders>
              <w:bottom w:val="single" w:sz="4" w:space="0" w:color="auto"/>
            </w:tcBorders>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13267A</w:t>
            </w:r>
          </w:p>
        </w:tc>
        <w:tc>
          <w:tcPr>
            <w:tcW w:w="273" w:type="pct"/>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243</w:t>
            </w:r>
          </w:p>
        </w:tc>
        <w:tc>
          <w:tcPr>
            <w:tcW w:w="537"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726" w:type="pct"/>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302" w:type="pct"/>
            <w:tcBorders>
              <w:bottom w:val="single" w:sz="4" w:space="0" w:color="auto"/>
            </w:tcBorders>
            <w:vAlign w:val="center"/>
          </w:tcPr>
          <w:p w:rsidR="005D31C4" w:rsidRPr="00BA24A8" w:rsidRDefault="00BA24A8" w:rsidP="005D31C4">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22"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579"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78"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D31C4" w:rsidRPr="005D31C4" w:rsidTr="002E27EB">
        <w:tc>
          <w:tcPr>
            <w:tcW w:w="783" w:type="pct"/>
            <w:tcBorders>
              <w:bottom w:val="single" w:sz="4" w:space="0" w:color="auto"/>
            </w:tcBorders>
            <w:shd w:val="clear" w:color="auto" w:fill="auto"/>
            <w:vAlign w:val="center"/>
          </w:tcPr>
          <w:p w:rsidR="005D31C4" w:rsidRPr="005D31C4" w:rsidRDefault="005D31C4" w:rsidP="005D31C4">
            <w:pPr>
              <w:keepNext/>
              <w:widowControl w:val="0"/>
              <w:ind w:right="-108"/>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304</w:t>
            </w:r>
          </w:p>
        </w:tc>
        <w:tc>
          <w:tcPr>
            <w:tcW w:w="273" w:type="pct"/>
            <w:tcBorders>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153</w:t>
            </w:r>
          </w:p>
        </w:tc>
        <w:tc>
          <w:tcPr>
            <w:tcW w:w="537"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726" w:type="pct"/>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302" w:type="pct"/>
            <w:tcBorders>
              <w:bottom w:val="single" w:sz="4" w:space="0" w:color="auto"/>
            </w:tcBorders>
            <w:vAlign w:val="center"/>
          </w:tcPr>
          <w:p w:rsidR="005D31C4" w:rsidRPr="00BA24A8" w:rsidRDefault="00BA24A8" w:rsidP="005D31C4">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22"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579"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78" w:type="pct"/>
            <w:gridSpan w:val="2"/>
            <w:tcBorders>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D31C4" w:rsidRPr="005D31C4" w:rsidTr="002E27EB">
        <w:tc>
          <w:tcPr>
            <w:tcW w:w="783" w:type="pct"/>
            <w:tcBorders>
              <w:top w:val="single" w:sz="4" w:space="0" w:color="auto"/>
              <w:bottom w:val="single" w:sz="4" w:space="0" w:color="auto"/>
            </w:tcBorders>
            <w:shd w:val="clear" w:color="auto" w:fill="auto"/>
            <w:vAlign w:val="center"/>
          </w:tcPr>
          <w:p w:rsidR="005D31C4" w:rsidRPr="005D31C4" w:rsidRDefault="005D31C4" w:rsidP="005D31C4">
            <w:pPr>
              <w:keepNext/>
              <w:widowControl w:val="0"/>
              <w:ind w:right="-108"/>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315</w:t>
            </w:r>
          </w:p>
        </w:tc>
        <w:tc>
          <w:tcPr>
            <w:tcW w:w="273" w:type="pct"/>
            <w:tcBorders>
              <w:top w:val="single" w:sz="4" w:space="0" w:color="auto"/>
              <w:bottom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292</w:t>
            </w:r>
          </w:p>
        </w:tc>
        <w:tc>
          <w:tcPr>
            <w:tcW w:w="537" w:type="pct"/>
            <w:gridSpan w:val="2"/>
            <w:tcBorders>
              <w:top w:val="single" w:sz="4" w:space="0" w:color="auto"/>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726" w:type="pct"/>
            <w:tcBorders>
              <w:top w:val="single" w:sz="4" w:space="0" w:color="auto"/>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302" w:type="pct"/>
            <w:tcBorders>
              <w:top w:val="single" w:sz="4" w:space="0" w:color="auto"/>
              <w:bottom w:val="single" w:sz="4" w:space="0" w:color="auto"/>
            </w:tcBorders>
            <w:vAlign w:val="center"/>
          </w:tcPr>
          <w:p w:rsidR="005D31C4" w:rsidRPr="00BA24A8" w:rsidRDefault="00BA24A8" w:rsidP="005D31C4">
            <w:pPr>
              <w:widowControl w:val="0"/>
              <w:jc w:val="center"/>
              <w:rPr>
                <w:rFonts w:ascii="Arial Narrow" w:hAnsi="Arial Narrow" w:cs="Arial"/>
                <w:snapToGrid w:val="0"/>
                <w:color w:val="000000"/>
                <w:sz w:val="20"/>
                <w:szCs w:val="18"/>
                <w:highlight w:val="black"/>
                <w:lang w:eastAsia="en-US"/>
              </w:rPr>
            </w:pPr>
            <w:r>
              <w:rPr>
                <w:rFonts w:ascii="Arial Narrow" w:hAnsi="Arial Narrow" w:cs="Arial"/>
                <w:noProof/>
                <w:snapToGrid w:val="0"/>
                <w:color w:val="000000"/>
                <w:sz w:val="20"/>
                <w:szCs w:val="18"/>
                <w:highlight w:val="black"/>
                <w:lang w:eastAsia="en-US"/>
              </w:rPr>
              <w:t>'''''''''</w:t>
            </w:r>
          </w:p>
        </w:tc>
        <w:tc>
          <w:tcPr>
            <w:tcW w:w="622" w:type="pct"/>
            <w:gridSpan w:val="2"/>
            <w:tcBorders>
              <w:top w:val="single" w:sz="4" w:space="0" w:color="auto"/>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5D31C4" w:rsidRPr="00BA24A8">
              <w:rPr>
                <w:rFonts w:ascii="Arial Narrow" w:hAnsi="Arial Narrow" w:cs="Arial"/>
                <w:snapToGrid w:val="0"/>
                <w:sz w:val="20"/>
                <w:szCs w:val="20"/>
                <w:highlight w:val="black"/>
                <w:lang w:eastAsia="en-US"/>
              </w:rPr>
              <w:t xml:space="preserve"> </w:t>
            </w:r>
          </w:p>
        </w:tc>
        <w:tc>
          <w:tcPr>
            <w:tcW w:w="579" w:type="pct"/>
            <w:gridSpan w:val="2"/>
            <w:tcBorders>
              <w:top w:val="single" w:sz="4" w:space="0" w:color="auto"/>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178" w:type="pct"/>
            <w:gridSpan w:val="2"/>
            <w:tcBorders>
              <w:top w:val="single" w:sz="4" w:space="0" w:color="auto"/>
              <w:bottom w:val="single" w:sz="4" w:space="0" w:color="auto"/>
            </w:tcBorders>
            <w:vAlign w:val="center"/>
          </w:tcPr>
          <w:p w:rsidR="005D31C4" w:rsidRPr="00BA24A8" w:rsidRDefault="00BA24A8" w:rsidP="005D31C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r w:rsidR="005D31C4" w:rsidRPr="005D31C4" w:rsidTr="002E27EB">
        <w:tc>
          <w:tcPr>
            <w:tcW w:w="783" w:type="pct"/>
            <w:tcBorders>
              <w:top w:val="single" w:sz="4" w:space="0" w:color="auto"/>
            </w:tcBorders>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Pooled result</w:t>
            </w:r>
          </w:p>
        </w:tc>
        <w:tc>
          <w:tcPr>
            <w:tcW w:w="3039" w:type="pct"/>
            <w:gridSpan w:val="9"/>
            <w:tcBorders>
              <w:top w:val="single" w:sz="4" w:space="0" w:color="auto"/>
            </w:tcBorders>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p>
        </w:tc>
        <w:tc>
          <w:tcPr>
            <w:tcW w:w="1178" w:type="pct"/>
            <w:gridSpan w:val="2"/>
            <w:tcBorders>
              <w:top w:val="single" w:sz="4" w:space="0" w:color="auto"/>
            </w:tcBorders>
            <w:vAlign w:val="center"/>
          </w:tcPr>
          <w:p w:rsidR="005D31C4" w:rsidRPr="00BA24A8" w:rsidRDefault="00BA24A8" w:rsidP="005D31C4">
            <w:pPr>
              <w:widowControl w:val="0"/>
              <w:jc w:val="center"/>
              <w:rPr>
                <w:rFonts w:ascii="Arial Narrow" w:hAnsi="Arial Narrow" w:cs="Arial"/>
                <w:snapToGrid w:val="0"/>
                <w:sz w:val="20"/>
                <w:szCs w:val="18"/>
                <w:highlight w:val="black"/>
                <w:lang w:eastAsia="en-US"/>
              </w:rPr>
            </w:pPr>
            <w:r>
              <w:rPr>
                <w:rFonts w:ascii="Arial Narrow" w:hAnsi="Arial Narrow" w:cs="Arial"/>
                <w:noProof/>
                <w:snapToGrid w:val="0"/>
                <w:color w:val="000000"/>
                <w:sz w:val="20"/>
                <w:szCs w:val="20"/>
                <w:highlight w:val="black"/>
                <w:lang w:eastAsia="en-US"/>
              </w:rPr>
              <w:t>'''''''''' '''''''''''' '''''''''''</w:t>
            </w:r>
          </w:p>
        </w:tc>
      </w:tr>
      <w:tr w:rsidR="005D31C4" w:rsidRPr="005D31C4" w:rsidTr="002E27EB">
        <w:tc>
          <w:tcPr>
            <w:tcW w:w="5000" w:type="pct"/>
            <w:gridSpan w:val="12"/>
            <w:shd w:val="clear" w:color="auto" w:fill="auto"/>
            <w:vAlign w:val="center"/>
          </w:tcPr>
          <w:p w:rsidR="005D31C4" w:rsidRPr="005D31C4" w:rsidRDefault="005D31C4" w:rsidP="005D31C4">
            <w:pPr>
              <w:keepNext/>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lastRenderedPageBreak/>
              <w:t xml:space="preserve">Heterogeneity: Tau² = 0.88; Chi² = 7.35, </w:t>
            </w:r>
            <w:proofErr w:type="spellStart"/>
            <w:r w:rsidRPr="005D31C4">
              <w:rPr>
                <w:rFonts w:ascii="Arial Narrow" w:hAnsi="Arial Narrow" w:cs="Arial"/>
                <w:snapToGrid w:val="0"/>
                <w:sz w:val="20"/>
                <w:szCs w:val="20"/>
                <w:lang w:eastAsia="en-US"/>
              </w:rPr>
              <w:t>df</w:t>
            </w:r>
            <w:proofErr w:type="spellEnd"/>
            <w:r w:rsidRPr="005D31C4">
              <w:rPr>
                <w:rFonts w:ascii="Arial Narrow" w:hAnsi="Arial Narrow" w:cs="Arial"/>
                <w:snapToGrid w:val="0"/>
                <w:sz w:val="20"/>
                <w:szCs w:val="20"/>
                <w:lang w:eastAsia="en-US"/>
              </w:rPr>
              <w:t xml:space="preserve"> = 4 (P = 0.12); I² = 46%</w:t>
            </w:r>
          </w:p>
          <w:p w:rsidR="005D31C4" w:rsidRPr="005D31C4" w:rsidRDefault="005D31C4" w:rsidP="005D31C4">
            <w:pPr>
              <w:widowControl w:val="0"/>
              <w:rPr>
                <w:rFonts w:ascii="Arial Narrow" w:hAnsi="Arial Narrow" w:cs="Arial"/>
                <w:snapToGrid w:val="0"/>
                <w:sz w:val="20"/>
                <w:szCs w:val="20"/>
                <w:lang w:eastAsia="en-US"/>
              </w:rPr>
            </w:pPr>
            <w:r w:rsidRPr="005D31C4">
              <w:rPr>
                <w:rFonts w:ascii="Arial Narrow" w:hAnsi="Arial Narrow" w:cs="Arial"/>
                <w:snapToGrid w:val="0"/>
                <w:sz w:val="20"/>
                <w:szCs w:val="20"/>
                <w:lang w:eastAsia="en-US"/>
              </w:rPr>
              <w:t xml:space="preserve">Test for overall effect: Z = 3.72 (P = </w:t>
            </w:r>
            <w:r w:rsidR="00BA24A8">
              <w:rPr>
                <w:rFonts w:ascii="Arial Narrow" w:hAnsi="Arial Narrow" w:cs="Arial"/>
                <w:noProof/>
                <w:snapToGrid w:val="0"/>
                <w:color w:val="000000"/>
                <w:sz w:val="20"/>
                <w:szCs w:val="20"/>
                <w:highlight w:val="black"/>
                <w:lang w:eastAsia="en-US"/>
              </w:rPr>
              <w:t>''''''''''''''''</w:t>
            </w:r>
            <w:r w:rsidRPr="005D31C4">
              <w:rPr>
                <w:rFonts w:ascii="Arial Narrow" w:hAnsi="Arial Narrow" w:cs="Arial"/>
                <w:snapToGrid w:val="0"/>
                <w:sz w:val="20"/>
                <w:szCs w:val="20"/>
                <w:lang w:eastAsia="en-US"/>
              </w:rPr>
              <w:t>)</w:t>
            </w:r>
          </w:p>
        </w:tc>
      </w:tr>
      <w:tr w:rsidR="005D31C4" w:rsidRPr="005D31C4" w:rsidTr="002E27EB">
        <w:tc>
          <w:tcPr>
            <w:tcW w:w="5000" w:type="pct"/>
            <w:gridSpan w:val="12"/>
            <w:tcBorders>
              <w:top w:val="double" w:sz="4" w:space="0" w:color="auto"/>
            </w:tcBorders>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 xml:space="preserve">Harms </w:t>
            </w:r>
          </w:p>
        </w:tc>
      </w:tr>
      <w:tr w:rsidR="005D31C4" w:rsidRPr="005D31C4" w:rsidTr="002E27EB">
        <w:trPr>
          <w:trHeight w:val="70"/>
        </w:trPr>
        <w:tc>
          <w:tcPr>
            <w:tcW w:w="783" w:type="pct"/>
            <w:vMerge w:val="restart"/>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p>
        </w:tc>
        <w:tc>
          <w:tcPr>
            <w:tcW w:w="656" w:type="pct"/>
            <w:gridSpan w:val="2"/>
            <w:vMerge w:val="restart"/>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proofErr w:type="spellStart"/>
            <w:r w:rsidRPr="005D31C4">
              <w:rPr>
                <w:rFonts w:ascii="Arial Narrow" w:hAnsi="Arial Narrow" w:cs="Arial"/>
                <w:b/>
                <w:snapToGrid w:val="0"/>
                <w:color w:val="000000"/>
                <w:sz w:val="20"/>
                <w:szCs w:val="18"/>
                <w:lang w:eastAsia="en-US"/>
              </w:rPr>
              <w:t>Vortioxetine</w:t>
            </w:r>
            <w:proofErr w:type="spellEnd"/>
            <w:r w:rsidRPr="005D31C4">
              <w:rPr>
                <w:rFonts w:ascii="Arial Narrow" w:hAnsi="Arial Narrow" w:cs="Arial"/>
                <w:b/>
                <w:snapToGrid w:val="0"/>
                <w:color w:val="000000"/>
                <w:sz w:val="20"/>
                <w:szCs w:val="18"/>
                <w:lang w:eastAsia="en-US"/>
              </w:rPr>
              <w:t xml:space="preserve"> (pooled dose)</w:t>
            </w:r>
          </w:p>
        </w:tc>
        <w:tc>
          <w:tcPr>
            <w:tcW w:w="880" w:type="pct"/>
            <w:gridSpan w:val="2"/>
            <w:vMerge w:val="restart"/>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Active comparator</w:t>
            </w:r>
          </w:p>
        </w:tc>
        <w:tc>
          <w:tcPr>
            <w:tcW w:w="614" w:type="pct"/>
            <w:gridSpan w:val="2"/>
            <w:vMerge w:val="restart"/>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RR</w:t>
            </w:r>
          </w:p>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(95% CI)^</w:t>
            </w:r>
          </w:p>
        </w:tc>
        <w:tc>
          <w:tcPr>
            <w:tcW w:w="1491" w:type="pct"/>
            <w:gridSpan w:val="4"/>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Event rate/100 patients* ^</w:t>
            </w:r>
          </w:p>
        </w:tc>
        <w:tc>
          <w:tcPr>
            <w:tcW w:w="576" w:type="pct"/>
            <w:vMerge w:val="restart"/>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RD</w:t>
            </w:r>
          </w:p>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(95% CI)^</w:t>
            </w:r>
          </w:p>
        </w:tc>
      </w:tr>
      <w:tr w:rsidR="005D31C4" w:rsidRPr="005D31C4" w:rsidTr="002E27EB">
        <w:trPr>
          <w:trHeight w:val="390"/>
        </w:trPr>
        <w:tc>
          <w:tcPr>
            <w:tcW w:w="783" w:type="pct"/>
            <w:vMerge/>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p>
        </w:tc>
        <w:tc>
          <w:tcPr>
            <w:tcW w:w="656" w:type="pct"/>
            <w:gridSpan w:val="2"/>
            <w:vMerge/>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p>
        </w:tc>
        <w:tc>
          <w:tcPr>
            <w:tcW w:w="880" w:type="pct"/>
            <w:gridSpan w:val="2"/>
            <w:vMerge/>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p>
        </w:tc>
        <w:tc>
          <w:tcPr>
            <w:tcW w:w="614" w:type="pct"/>
            <w:gridSpan w:val="2"/>
            <w:vMerge/>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p>
        </w:tc>
        <w:tc>
          <w:tcPr>
            <w:tcW w:w="763" w:type="pct"/>
            <w:gridSpan w:val="2"/>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proofErr w:type="spellStart"/>
            <w:r w:rsidRPr="005D31C4">
              <w:rPr>
                <w:rFonts w:ascii="Arial Narrow" w:hAnsi="Arial Narrow" w:cs="Arial"/>
                <w:b/>
                <w:snapToGrid w:val="0"/>
                <w:color w:val="000000"/>
                <w:sz w:val="20"/>
                <w:szCs w:val="18"/>
                <w:lang w:eastAsia="en-US"/>
              </w:rPr>
              <w:t>Vortioxetine</w:t>
            </w:r>
            <w:proofErr w:type="spellEnd"/>
          </w:p>
        </w:tc>
        <w:tc>
          <w:tcPr>
            <w:tcW w:w="728" w:type="pct"/>
            <w:gridSpan w:val="2"/>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Active comparator</w:t>
            </w:r>
          </w:p>
        </w:tc>
        <w:tc>
          <w:tcPr>
            <w:tcW w:w="576" w:type="pct"/>
            <w:vMerge/>
            <w:vAlign w:val="center"/>
          </w:tcPr>
          <w:p w:rsidR="005D31C4" w:rsidRPr="005D31C4" w:rsidRDefault="005D31C4" w:rsidP="005D31C4">
            <w:pPr>
              <w:widowControl w:val="0"/>
              <w:jc w:val="center"/>
              <w:rPr>
                <w:rFonts w:ascii="Arial Narrow" w:hAnsi="Arial Narrow" w:cs="Arial"/>
                <w:b/>
                <w:snapToGrid w:val="0"/>
                <w:color w:val="000000"/>
                <w:sz w:val="20"/>
                <w:szCs w:val="18"/>
                <w:lang w:eastAsia="en-US"/>
              </w:rPr>
            </w:pPr>
          </w:p>
        </w:tc>
      </w:tr>
      <w:tr w:rsidR="005D31C4" w:rsidRPr="005D31C4" w:rsidTr="002E27EB">
        <w:tc>
          <w:tcPr>
            <w:tcW w:w="5000" w:type="pct"/>
            <w:gridSpan w:val="12"/>
            <w:shd w:val="clear" w:color="auto" w:fill="auto"/>
            <w:vAlign w:val="center"/>
          </w:tcPr>
          <w:p w:rsidR="005D31C4" w:rsidRPr="005D31C4" w:rsidRDefault="005D31C4" w:rsidP="005D31C4">
            <w:pPr>
              <w:keepNext/>
              <w:widowControl w:val="0"/>
              <w:rPr>
                <w:rFonts w:ascii="Arial Narrow" w:hAnsi="Arial Narrow" w:cs="Arial"/>
                <w:b/>
                <w:snapToGrid w:val="0"/>
                <w:sz w:val="20"/>
                <w:szCs w:val="20"/>
                <w:lang w:eastAsia="en-US"/>
              </w:rPr>
            </w:pPr>
            <w:r w:rsidRPr="005D31C4">
              <w:rPr>
                <w:rFonts w:ascii="Arial Narrow" w:hAnsi="Arial Narrow" w:cs="Arial"/>
                <w:b/>
                <w:snapToGrid w:val="0"/>
                <w:sz w:val="20"/>
                <w:szCs w:val="20"/>
                <w:lang w:eastAsia="en-US"/>
              </w:rPr>
              <w:t xml:space="preserve">Trials of </w:t>
            </w:r>
            <w:proofErr w:type="spellStart"/>
            <w:r w:rsidRPr="005D31C4">
              <w:rPr>
                <w:rFonts w:ascii="Arial Narrow" w:hAnsi="Arial Narrow" w:cs="Arial"/>
                <w:b/>
                <w:snapToGrid w:val="0"/>
                <w:sz w:val="20"/>
                <w:szCs w:val="20"/>
                <w:lang w:eastAsia="en-US"/>
              </w:rPr>
              <w:t>vortioxetine</w:t>
            </w:r>
            <w:proofErr w:type="spellEnd"/>
            <w:r w:rsidRPr="005D31C4">
              <w:rPr>
                <w:rFonts w:ascii="Arial Narrow" w:hAnsi="Arial Narrow" w:cs="Arial"/>
                <w:b/>
                <w:snapToGrid w:val="0"/>
                <w:sz w:val="20"/>
                <w:szCs w:val="20"/>
                <w:lang w:eastAsia="en-US"/>
              </w:rPr>
              <w:t xml:space="preserve"> vs. venlafaxine</w:t>
            </w:r>
          </w:p>
        </w:tc>
      </w:tr>
      <w:tr w:rsidR="005D31C4" w:rsidRPr="005D31C4" w:rsidTr="002E27EB">
        <w:tc>
          <w:tcPr>
            <w:tcW w:w="5000" w:type="pct"/>
            <w:gridSpan w:val="12"/>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Serious adverse events</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11492A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2/208</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1/113</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1.09</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(0.10,11.85)</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0.96</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0.88</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0.00</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(-0.01,0.01)</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13926A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1/211</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7/226</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0.15</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(0.02,1.23)</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0.47</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3.10</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-0.03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(-0.06,0.01)</w:t>
            </w:r>
          </w:p>
        </w:tc>
      </w:tr>
      <w:tr w:rsidR="005D31C4" w:rsidRPr="005D31C4" w:rsidTr="002E27EB">
        <w:tc>
          <w:tcPr>
            <w:tcW w:w="5000" w:type="pct"/>
            <w:gridSpan w:val="12"/>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Adverse events leading to withdrawal</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11492A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10/208</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16/113</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0.34</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(0.16, 0.72)</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4.81</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14.16</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-0.14</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(-0.39,0.11)</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sz w:val="20"/>
                <w:szCs w:val="20"/>
                <w:lang w:eastAsia="en-US"/>
              </w:rPr>
              <w:t>13926A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14/211</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32/226</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0.47</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(0.26, 0.85)</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6.64</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14.16</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-0.14</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(-0.32,0.04)</w:t>
            </w:r>
          </w:p>
        </w:tc>
      </w:tr>
      <w:tr w:rsidR="005D31C4" w:rsidRPr="005D31C4" w:rsidTr="002E27EB">
        <w:tc>
          <w:tcPr>
            <w:tcW w:w="5000" w:type="pct"/>
            <w:gridSpan w:val="12"/>
            <w:shd w:val="clear" w:color="auto" w:fill="auto"/>
            <w:vAlign w:val="center"/>
          </w:tcPr>
          <w:p w:rsidR="005D31C4" w:rsidRPr="005D31C4" w:rsidRDefault="005D31C4" w:rsidP="005D31C4">
            <w:pPr>
              <w:keepNext/>
              <w:widowControl w:val="0"/>
              <w:rPr>
                <w:rFonts w:ascii="Arial Narrow" w:hAnsi="Arial Narrow" w:cs="Arial"/>
                <w:b/>
                <w:snapToGrid w:val="0"/>
                <w:sz w:val="20"/>
                <w:szCs w:val="20"/>
                <w:lang w:eastAsia="en-US"/>
              </w:rPr>
            </w:pPr>
            <w:r w:rsidRPr="005D31C4">
              <w:rPr>
                <w:rFonts w:ascii="Arial Narrow" w:hAnsi="Arial Narrow" w:cs="Arial"/>
                <w:b/>
                <w:snapToGrid w:val="0"/>
                <w:sz w:val="20"/>
                <w:szCs w:val="20"/>
                <w:lang w:eastAsia="en-US"/>
              </w:rPr>
              <w:t xml:space="preserve">Trials of </w:t>
            </w:r>
            <w:proofErr w:type="spellStart"/>
            <w:r w:rsidRPr="005D31C4">
              <w:rPr>
                <w:rFonts w:ascii="Arial Narrow" w:hAnsi="Arial Narrow" w:cs="Arial"/>
                <w:b/>
                <w:snapToGrid w:val="0"/>
                <w:sz w:val="20"/>
                <w:szCs w:val="20"/>
                <w:lang w:eastAsia="en-US"/>
              </w:rPr>
              <w:t>vortioxetine</w:t>
            </w:r>
            <w:proofErr w:type="spellEnd"/>
            <w:r w:rsidRPr="005D31C4">
              <w:rPr>
                <w:rFonts w:ascii="Arial Narrow" w:hAnsi="Arial Narrow" w:cs="Arial"/>
                <w:b/>
                <w:snapToGrid w:val="0"/>
                <w:sz w:val="20"/>
                <w:szCs w:val="20"/>
                <w:lang w:eastAsia="en-US"/>
              </w:rPr>
              <w:t xml:space="preserve"> vs. duloxetine</w:t>
            </w:r>
          </w:p>
        </w:tc>
      </w:tr>
      <w:tr w:rsidR="005D31C4" w:rsidRPr="005D31C4" w:rsidTr="002E27EB">
        <w:tc>
          <w:tcPr>
            <w:tcW w:w="5000" w:type="pct"/>
            <w:gridSpan w:val="12"/>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18"/>
                <w:lang w:eastAsia="en-US"/>
              </w:rPr>
            </w:pPr>
            <w:r w:rsidRPr="005D31C4">
              <w:rPr>
                <w:rFonts w:ascii="Arial Narrow" w:hAnsi="Arial Narrow" w:cs="Arial"/>
                <w:b/>
                <w:snapToGrid w:val="0"/>
                <w:color w:val="000000"/>
                <w:sz w:val="20"/>
                <w:szCs w:val="18"/>
                <w:lang w:eastAsia="en-US"/>
              </w:rPr>
              <w:t>Serious adverse events</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11984A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5/308</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2/155</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1.26 (0.25,6.41)</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1.62</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1.29</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0.00</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(-0.01,0.02)</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12541A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1/156</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1/151</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0.97</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 (0.06, 15.34)</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0.64</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0.66</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0.00</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(-0.01,0.01)</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13267A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1/302</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3/147</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0.16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(0.02, 1.55)</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0.33</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2.04</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-0.02</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(-0.04,0.01)</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304</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3/153</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2/150</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1.46</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(0.25, 8.68)</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1.96</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1.33</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0.01</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(-0.02,0.03)</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315</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2/301</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0/150</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NA</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0.66</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0.00</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0.01</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(0.00,0.01)</w:t>
            </w:r>
          </w:p>
        </w:tc>
      </w:tr>
      <w:tr w:rsidR="005D31C4" w:rsidRPr="005D31C4" w:rsidTr="002E27EB">
        <w:tc>
          <w:tcPr>
            <w:tcW w:w="5000" w:type="pct"/>
            <w:gridSpan w:val="12"/>
            <w:shd w:val="clear" w:color="auto" w:fill="auto"/>
            <w:vAlign w:val="center"/>
          </w:tcPr>
          <w:p w:rsidR="005D31C4" w:rsidRPr="005D31C4" w:rsidRDefault="005D31C4" w:rsidP="005D31C4">
            <w:pPr>
              <w:widowControl w:val="0"/>
              <w:jc w:val="both"/>
              <w:rPr>
                <w:rFonts w:ascii="Arial Narrow" w:hAnsi="Arial Narrow" w:cs="Arial"/>
                <w:b/>
                <w:snapToGrid w:val="0"/>
                <w:color w:val="000000"/>
                <w:sz w:val="20"/>
                <w:szCs w:val="20"/>
                <w:lang w:eastAsia="en-US"/>
              </w:rPr>
            </w:pPr>
            <w:r w:rsidRPr="005D31C4">
              <w:rPr>
                <w:rFonts w:ascii="Arial Narrow" w:hAnsi="Arial Narrow" w:cs="Arial"/>
                <w:b/>
                <w:snapToGrid w:val="0"/>
                <w:color w:val="000000"/>
                <w:sz w:val="20"/>
                <w:szCs w:val="20"/>
                <w:lang w:eastAsia="en-US"/>
              </w:rPr>
              <w:t>Adverse events leading to withdrawal</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11984A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31/308</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19/155</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0.82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(0.48, 1.41)</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10.06</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12.26</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-0.02</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(-0.24,0.19)</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12541A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10/156</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15/151</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0.65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(0.30, 1.39)</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6.41</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9.93</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-0.04</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(-0.21,0.14)</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13267A</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27/302</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7/147</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1.88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(0.84, 4.21)</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8.94</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4.76</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0.04</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(-0.08,0.16)</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304</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13/153</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16/150</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0.80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(0.40, 1.60)</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8.50</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10.67</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-0.02</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(-0.23, 0.18)</w:t>
            </w:r>
          </w:p>
        </w:tc>
      </w:tr>
      <w:tr w:rsidR="005D31C4" w:rsidRPr="005D31C4" w:rsidTr="002E27EB">
        <w:tc>
          <w:tcPr>
            <w:tcW w:w="783" w:type="pct"/>
            <w:shd w:val="clear" w:color="auto" w:fill="auto"/>
            <w:vAlign w:val="center"/>
          </w:tcPr>
          <w:p w:rsidR="005D31C4" w:rsidRPr="005D31C4" w:rsidRDefault="005D31C4" w:rsidP="005D31C4">
            <w:pPr>
              <w:widowControl w:val="0"/>
              <w:jc w:val="both"/>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315</w:t>
            </w:r>
          </w:p>
        </w:tc>
        <w:tc>
          <w:tcPr>
            <w:tcW w:w="656"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28/301</w:t>
            </w:r>
          </w:p>
        </w:tc>
        <w:tc>
          <w:tcPr>
            <w:tcW w:w="880"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0/150</w:t>
            </w:r>
          </w:p>
        </w:tc>
        <w:tc>
          <w:tcPr>
            <w:tcW w:w="614"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NA</w:t>
            </w:r>
          </w:p>
        </w:tc>
        <w:tc>
          <w:tcPr>
            <w:tcW w:w="763"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9.30</w:t>
            </w:r>
          </w:p>
        </w:tc>
        <w:tc>
          <w:tcPr>
            <w:tcW w:w="728" w:type="pct"/>
            <w:gridSpan w:val="2"/>
            <w:vAlign w:val="center"/>
          </w:tcPr>
          <w:p w:rsidR="005D31C4" w:rsidRPr="005D31C4" w:rsidRDefault="005D31C4" w:rsidP="005D31C4">
            <w:pPr>
              <w:widowControl w:val="0"/>
              <w:jc w:val="center"/>
              <w:rPr>
                <w:rFonts w:ascii="Arial Narrow" w:hAnsi="Arial Narrow" w:cs="Arial"/>
                <w:snapToGrid w:val="0"/>
                <w:color w:val="000000"/>
                <w:sz w:val="20"/>
                <w:szCs w:val="20"/>
                <w:lang w:eastAsia="en-US"/>
              </w:rPr>
            </w:pPr>
            <w:r w:rsidRPr="005D31C4">
              <w:rPr>
                <w:rFonts w:ascii="Arial Narrow" w:hAnsi="Arial Narrow" w:cs="Arial"/>
                <w:snapToGrid w:val="0"/>
                <w:color w:val="000000"/>
                <w:sz w:val="20"/>
                <w:szCs w:val="20"/>
                <w:lang w:eastAsia="en-US"/>
              </w:rPr>
              <w:t>0.00</w:t>
            </w:r>
          </w:p>
        </w:tc>
        <w:tc>
          <w:tcPr>
            <w:tcW w:w="576" w:type="pct"/>
            <w:vAlign w:val="center"/>
          </w:tcPr>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 xml:space="preserve">0.09 </w:t>
            </w:r>
          </w:p>
          <w:p w:rsidR="005D31C4" w:rsidRPr="005D31C4" w:rsidRDefault="005D31C4" w:rsidP="005D31C4">
            <w:pPr>
              <w:widowControl w:val="0"/>
              <w:jc w:val="center"/>
              <w:rPr>
                <w:rFonts w:ascii="Arial Narrow" w:hAnsi="Arial Narrow" w:cs="Arial"/>
                <w:snapToGrid w:val="0"/>
                <w:color w:val="000000"/>
                <w:sz w:val="20"/>
                <w:szCs w:val="18"/>
                <w:lang w:eastAsia="en-US"/>
              </w:rPr>
            </w:pPr>
            <w:r w:rsidRPr="005D31C4">
              <w:rPr>
                <w:rFonts w:ascii="Arial Narrow" w:hAnsi="Arial Narrow" w:cs="Arial"/>
                <w:snapToGrid w:val="0"/>
                <w:color w:val="000000"/>
                <w:sz w:val="20"/>
                <w:szCs w:val="18"/>
                <w:lang w:eastAsia="en-US"/>
              </w:rPr>
              <w:t>(-0.01,0.19)</w:t>
            </w:r>
          </w:p>
        </w:tc>
      </w:tr>
    </w:tbl>
    <w:p w:rsidR="005D31C4" w:rsidRPr="005D31C4" w:rsidRDefault="005D31C4" w:rsidP="002E27EB">
      <w:pPr>
        <w:keepNext/>
        <w:widowControl w:val="0"/>
        <w:ind w:firstLine="720"/>
        <w:jc w:val="both"/>
        <w:rPr>
          <w:rFonts w:ascii="Arial Narrow" w:hAnsi="Arial Narrow" w:cs="Arial"/>
          <w:snapToGrid w:val="0"/>
          <w:sz w:val="18"/>
          <w:szCs w:val="20"/>
          <w:lang w:eastAsia="en-US"/>
        </w:rPr>
      </w:pPr>
      <w:r w:rsidRPr="005D31C4">
        <w:rPr>
          <w:rFonts w:ascii="Arial Narrow" w:hAnsi="Arial Narrow" w:cs="Arial"/>
          <w:snapToGrid w:val="0"/>
          <w:sz w:val="18"/>
          <w:szCs w:val="20"/>
          <w:lang w:eastAsia="en-US"/>
        </w:rPr>
        <w:t xml:space="preserve">Abbreviations: SD = standard deviation, CI = confidence interval, </w:t>
      </w:r>
      <w:proofErr w:type="spellStart"/>
      <w:proofErr w:type="gramStart"/>
      <w:r w:rsidRPr="005D31C4">
        <w:rPr>
          <w:rFonts w:ascii="Arial Narrow" w:hAnsi="Arial Narrow" w:cs="Arial"/>
          <w:snapToGrid w:val="0"/>
          <w:sz w:val="18"/>
          <w:szCs w:val="20"/>
          <w:lang w:eastAsia="en-US"/>
        </w:rPr>
        <w:t>df</w:t>
      </w:r>
      <w:proofErr w:type="spellEnd"/>
      <w:proofErr w:type="gramEnd"/>
      <w:r w:rsidRPr="005D31C4">
        <w:rPr>
          <w:rFonts w:ascii="Arial Narrow" w:hAnsi="Arial Narrow" w:cs="Arial"/>
          <w:snapToGrid w:val="0"/>
          <w:sz w:val="18"/>
          <w:szCs w:val="20"/>
          <w:lang w:eastAsia="en-US"/>
        </w:rPr>
        <w:t>= degrees of freedom</w:t>
      </w:r>
    </w:p>
    <w:p w:rsidR="005D31C4" w:rsidRPr="005D31C4" w:rsidRDefault="005D31C4" w:rsidP="002E27EB">
      <w:pPr>
        <w:keepNext/>
        <w:widowControl w:val="0"/>
        <w:ind w:firstLine="720"/>
        <w:jc w:val="both"/>
        <w:rPr>
          <w:rFonts w:ascii="Arial Narrow" w:hAnsi="Arial Narrow" w:cs="Arial"/>
          <w:snapToGrid w:val="0"/>
          <w:sz w:val="18"/>
          <w:szCs w:val="20"/>
          <w:lang w:eastAsia="en-US"/>
        </w:rPr>
      </w:pPr>
      <w:r w:rsidRPr="005D31C4">
        <w:rPr>
          <w:rFonts w:ascii="Arial Narrow" w:hAnsi="Arial Narrow" w:cs="Arial"/>
          <w:snapToGrid w:val="0"/>
          <w:sz w:val="18"/>
          <w:szCs w:val="20"/>
          <w:lang w:eastAsia="en-US"/>
        </w:rPr>
        <w:t>^Calculated during the evaluation</w:t>
      </w:r>
    </w:p>
    <w:p w:rsidR="005D31C4" w:rsidRPr="005D31C4" w:rsidRDefault="005D31C4" w:rsidP="002E27EB">
      <w:pPr>
        <w:keepNext/>
        <w:widowControl w:val="0"/>
        <w:ind w:firstLine="709"/>
        <w:jc w:val="both"/>
        <w:rPr>
          <w:rFonts w:ascii="Arial Narrow" w:hAnsi="Arial Narrow" w:cs="Arial"/>
          <w:snapToGrid w:val="0"/>
          <w:sz w:val="18"/>
          <w:szCs w:val="20"/>
          <w:lang w:eastAsia="en-US"/>
        </w:rPr>
      </w:pPr>
      <w:r w:rsidRPr="005D31C4">
        <w:rPr>
          <w:rFonts w:ascii="Arial Narrow" w:hAnsi="Arial Narrow" w:cs="Arial"/>
          <w:snapToGrid w:val="0"/>
          <w:sz w:val="18"/>
          <w:szCs w:val="20"/>
          <w:lang w:eastAsia="en-US"/>
        </w:rPr>
        <w:t xml:space="preserve">*Trial duration ranged from six to eight weeks.  Source: Table 28, p191 and Figure 9, p 193 of the submission </w:t>
      </w:r>
    </w:p>
    <w:p w:rsidR="005D31C4" w:rsidRPr="005D31C4" w:rsidRDefault="005D31C4" w:rsidP="005D31C4">
      <w:pPr>
        <w:pStyle w:val="ListParagraph"/>
        <w:ind w:left="709"/>
        <w:rPr>
          <w:rFonts w:ascii="Arial" w:hAnsi="Arial"/>
          <w:sz w:val="22"/>
          <w:szCs w:val="22"/>
        </w:rPr>
      </w:pPr>
    </w:p>
    <w:p w:rsidR="005D31C4" w:rsidRPr="002E27EB" w:rsidRDefault="005D31C4" w:rsidP="002E27EB">
      <w:pPr>
        <w:pStyle w:val="ListParagraph"/>
        <w:numPr>
          <w:ilvl w:val="1"/>
          <w:numId w:val="25"/>
        </w:numPr>
        <w:jc w:val="both"/>
        <w:rPr>
          <w:rFonts w:ascii="Arial" w:hAnsi="Arial"/>
          <w:sz w:val="22"/>
          <w:szCs w:val="22"/>
        </w:rPr>
      </w:pPr>
      <w:r w:rsidRPr="002E27EB">
        <w:rPr>
          <w:rFonts w:ascii="Arial" w:hAnsi="Arial"/>
          <w:sz w:val="22"/>
          <w:szCs w:val="22"/>
        </w:rPr>
        <w:t xml:space="preserve">On the basis of direct evidence presented by the submission, the comparison of </w:t>
      </w:r>
      <w:proofErr w:type="spellStart"/>
      <w:r w:rsidRPr="002E27EB">
        <w:rPr>
          <w:rFonts w:ascii="Arial" w:hAnsi="Arial"/>
          <w:sz w:val="22"/>
          <w:szCs w:val="22"/>
        </w:rPr>
        <w:t>vortioxetine</w:t>
      </w:r>
      <w:proofErr w:type="spellEnd"/>
      <w:r w:rsidRPr="002E27EB">
        <w:rPr>
          <w:rFonts w:ascii="Arial" w:hAnsi="Arial"/>
          <w:sz w:val="22"/>
          <w:szCs w:val="22"/>
        </w:rPr>
        <w:t xml:space="preserve"> and venlafaxine resulted in:</w:t>
      </w:r>
    </w:p>
    <w:p w:rsidR="005D31C4" w:rsidRDefault="00F77F60" w:rsidP="005D31C4">
      <w:pPr>
        <w:widowControl w:val="0"/>
        <w:numPr>
          <w:ilvl w:val="1"/>
          <w:numId w:val="43"/>
        </w:numPr>
        <w:ind w:left="1134"/>
        <w:contextualSpacing/>
        <w:jc w:val="both"/>
        <w:rPr>
          <w:rFonts w:ascii="Arial" w:hAnsi="Arial" w:cs="Arial"/>
          <w:snapToGrid w:val="0"/>
          <w:sz w:val="22"/>
          <w:szCs w:val="20"/>
          <w:lang w:eastAsia="en-US"/>
        </w:rPr>
      </w:pPr>
      <w:r>
        <w:rPr>
          <w:rFonts w:ascii="Arial" w:hAnsi="Arial" w:cs="Arial"/>
          <w:snapToGrid w:val="0"/>
          <w:sz w:val="22"/>
          <w:szCs w:val="20"/>
          <w:lang w:eastAsia="en-US"/>
        </w:rPr>
        <w:t>N</w:t>
      </w:r>
      <w:r w:rsidR="005D31C4" w:rsidRPr="005D31C4">
        <w:rPr>
          <w:rFonts w:ascii="Arial" w:hAnsi="Arial" w:cs="Arial"/>
          <w:snapToGrid w:val="0"/>
          <w:sz w:val="22"/>
          <w:szCs w:val="20"/>
          <w:lang w:eastAsia="en-US"/>
        </w:rPr>
        <w:t>o statistically significant difference in change on the MADRS scale over the trial period (six to eight weeks). It is considered that a reduction of 1.6 to 1.9 is clinically si</w:t>
      </w:r>
      <w:r w:rsidR="00310B5C">
        <w:rPr>
          <w:rFonts w:ascii="Arial" w:hAnsi="Arial" w:cs="Arial"/>
          <w:snapToGrid w:val="0"/>
          <w:sz w:val="22"/>
          <w:szCs w:val="20"/>
          <w:lang w:eastAsia="en-US"/>
        </w:rPr>
        <w:t xml:space="preserve">gnificant. </w:t>
      </w:r>
    </w:p>
    <w:p w:rsidR="00A06195" w:rsidRPr="005D31C4" w:rsidRDefault="00A06195" w:rsidP="00A06195">
      <w:pPr>
        <w:widowControl w:val="0"/>
        <w:ind w:left="1134"/>
        <w:contextualSpacing/>
        <w:jc w:val="both"/>
        <w:rPr>
          <w:rFonts w:ascii="Arial" w:hAnsi="Arial" w:cs="Arial"/>
          <w:snapToGrid w:val="0"/>
          <w:sz w:val="22"/>
          <w:szCs w:val="20"/>
          <w:lang w:eastAsia="en-US"/>
        </w:rPr>
      </w:pPr>
    </w:p>
    <w:p w:rsidR="005D31C4" w:rsidRPr="005D31C4" w:rsidRDefault="005D31C4" w:rsidP="005D31C4">
      <w:pPr>
        <w:ind w:left="774"/>
        <w:jc w:val="both"/>
        <w:rPr>
          <w:rFonts w:ascii="Arial" w:hAnsi="Arial" w:cs="Arial"/>
          <w:snapToGrid w:val="0"/>
          <w:sz w:val="22"/>
          <w:szCs w:val="20"/>
          <w:lang w:eastAsia="en-US"/>
        </w:rPr>
      </w:pPr>
      <w:r w:rsidRPr="005D31C4">
        <w:rPr>
          <w:rFonts w:ascii="Arial" w:hAnsi="Arial" w:cs="Arial"/>
          <w:snapToGrid w:val="0"/>
          <w:sz w:val="22"/>
          <w:szCs w:val="20"/>
          <w:lang w:eastAsia="en-US"/>
        </w:rPr>
        <w:t xml:space="preserve">On the basis of direct evidence presented by the submission, the comparison of </w:t>
      </w:r>
      <w:proofErr w:type="spellStart"/>
      <w:r w:rsidRPr="005D31C4">
        <w:rPr>
          <w:rFonts w:ascii="Arial" w:hAnsi="Arial" w:cs="Arial"/>
          <w:snapToGrid w:val="0"/>
          <w:sz w:val="22"/>
          <w:szCs w:val="20"/>
          <w:lang w:eastAsia="en-US"/>
        </w:rPr>
        <w:t>vortioxetine</w:t>
      </w:r>
      <w:proofErr w:type="spellEnd"/>
      <w:r w:rsidRPr="005D31C4">
        <w:rPr>
          <w:rFonts w:ascii="Arial" w:hAnsi="Arial" w:cs="Arial"/>
          <w:snapToGrid w:val="0"/>
          <w:sz w:val="22"/>
          <w:szCs w:val="20"/>
          <w:lang w:eastAsia="en-US"/>
        </w:rPr>
        <w:t xml:space="preserve"> and duloxetine resulted in:</w:t>
      </w:r>
    </w:p>
    <w:p w:rsidR="00C97767" w:rsidRDefault="00A06195" w:rsidP="00C97767">
      <w:pPr>
        <w:widowControl w:val="0"/>
        <w:numPr>
          <w:ilvl w:val="1"/>
          <w:numId w:val="43"/>
        </w:numPr>
        <w:ind w:left="1134"/>
        <w:contextualSpacing/>
        <w:jc w:val="both"/>
        <w:rPr>
          <w:rFonts w:ascii="Arial" w:hAnsi="Arial" w:cs="Arial"/>
          <w:snapToGrid w:val="0"/>
          <w:sz w:val="22"/>
          <w:szCs w:val="20"/>
          <w:lang w:eastAsia="en-US"/>
        </w:rPr>
      </w:pPr>
      <w:r>
        <w:rPr>
          <w:rFonts w:ascii="Arial" w:hAnsi="Arial" w:cs="Arial"/>
          <w:snapToGrid w:val="0"/>
          <w:sz w:val="22"/>
          <w:szCs w:val="20"/>
          <w:lang w:eastAsia="en-US"/>
        </w:rPr>
        <w:t>A</w:t>
      </w:r>
      <w:r w:rsidR="005D31C4" w:rsidRPr="005D31C4">
        <w:rPr>
          <w:rFonts w:ascii="Arial" w:hAnsi="Arial" w:cs="Arial"/>
          <w:snapToGrid w:val="0"/>
          <w:sz w:val="22"/>
          <w:szCs w:val="20"/>
          <w:lang w:eastAsia="en-US"/>
        </w:rPr>
        <w:t xml:space="preserve"> </w:t>
      </w:r>
      <w:r w:rsidR="00BA24A8">
        <w:rPr>
          <w:rFonts w:ascii="Arial" w:hAnsi="Arial" w:cs="Arial"/>
          <w:noProof/>
          <w:snapToGrid w:val="0"/>
          <w:color w:val="000000"/>
          <w:sz w:val="22"/>
          <w:szCs w:val="20"/>
          <w:highlight w:val="black"/>
          <w:lang w:eastAsia="en-US"/>
        </w:rPr>
        <w:t>'''''''''''</w:t>
      </w:r>
      <w:r w:rsidR="005D31C4" w:rsidRPr="005D31C4">
        <w:rPr>
          <w:rFonts w:ascii="Arial" w:hAnsi="Arial" w:cs="Arial"/>
          <w:snapToGrid w:val="0"/>
          <w:sz w:val="22"/>
          <w:szCs w:val="20"/>
          <w:lang w:eastAsia="en-US"/>
        </w:rPr>
        <w:t xml:space="preserve"> increase (favour</w:t>
      </w:r>
      <w:r w:rsidR="00071841">
        <w:rPr>
          <w:rFonts w:ascii="Arial" w:hAnsi="Arial" w:cs="Arial"/>
          <w:snapToGrid w:val="0"/>
          <w:sz w:val="22"/>
          <w:szCs w:val="20"/>
          <w:lang w:eastAsia="en-US"/>
        </w:rPr>
        <w:t>ing</w:t>
      </w:r>
      <w:r w:rsidR="005D31C4" w:rsidRPr="005D31C4">
        <w:rPr>
          <w:rFonts w:ascii="Arial" w:hAnsi="Arial" w:cs="Arial"/>
          <w:snapToGrid w:val="0"/>
          <w:sz w:val="22"/>
          <w:szCs w:val="20"/>
          <w:lang w:eastAsia="en-US"/>
        </w:rPr>
        <w:t xml:space="preserve"> duloxetine) in baseline change on the MADRS scale over the trial period (six to eight weeks). It is considered that a change of 1.6 to 1.9 is clinically significant.</w:t>
      </w:r>
    </w:p>
    <w:p w:rsidR="00C97767" w:rsidRPr="00C97767" w:rsidRDefault="00C97767" w:rsidP="00C97767">
      <w:pPr>
        <w:widowControl w:val="0"/>
        <w:ind w:left="774"/>
        <w:contextualSpacing/>
        <w:jc w:val="both"/>
        <w:rPr>
          <w:rFonts w:ascii="Arial" w:hAnsi="Arial" w:cs="Arial"/>
          <w:snapToGrid w:val="0"/>
          <w:sz w:val="22"/>
          <w:szCs w:val="20"/>
          <w:lang w:eastAsia="en-US"/>
        </w:rPr>
      </w:pPr>
    </w:p>
    <w:p w:rsidR="007B5CA6" w:rsidRPr="00882085" w:rsidRDefault="00A06195" w:rsidP="002E27EB">
      <w:pPr>
        <w:pStyle w:val="ListParagraph"/>
        <w:numPr>
          <w:ilvl w:val="1"/>
          <w:numId w:val="25"/>
        </w:numPr>
        <w:jc w:val="both"/>
        <w:rPr>
          <w:rFonts w:ascii="Arial" w:hAnsi="Arial"/>
          <w:sz w:val="22"/>
          <w:szCs w:val="22"/>
        </w:rPr>
      </w:pPr>
      <w:r>
        <w:rPr>
          <w:rFonts w:ascii="Arial" w:hAnsi="Arial"/>
          <w:sz w:val="22"/>
          <w:szCs w:val="22"/>
        </w:rPr>
        <w:lastRenderedPageBreak/>
        <w:t>B</w:t>
      </w:r>
      <w:r w:rsidR="007B5CA6" w:rsidRPr="00882085">
        <w:rPr>
          <w:rFonts w:ascii="Arial" w:hAnsi="Arial"/>
          <w:sz w:val="22"/>
          <w:szCs w:val="22"/>
        </w:rPr>
        <w:t>ased on these trials</w:t>
      </w:r>
      <w:r w:rsidR="005D13B0">
        <w:rPr>
          <w:rFonts w:ascii="Arial" w:hAnsi="Arial"/>
          <w:sz w:val="22"/>
          <w:szCs w:val="22"/>
        </w:rPr>
        <w:t xml:space="preserve"> and the </w:t>
      </w:r>
      <w:r>
        <w:rPr>
          <w:rFonts w:ascii="Arial" w:hAnsi="Arial"/>
          <w:sz w:val="22"/>
          <w:szCs w:val="22"/>
        </w:rPr>
        <w:t xml:space="preserve">most favourable results for </w:t>
      </w:r>
      <w:proofErr w:type="spellStart"/>
      <w:r>
        <w:rPr>
          <w:rFonts w:ascii="Arial" w:hAnsi="Arial"/>
          <w:sz w:val="22"/>
          <w:szCs w:val="22"/>
        </w:rPr>
        <w:t>vortioxetine</w:t>
      </w:r>
      <w:proofErr w:type="spellEnd"/>
      <w:r>
        <w:rPr>
          <w:rFonts w:ascii="Arial" w:hAnsi="Arial"/>
          <w:sz w:val="22"/>
          <w:szCs w:val="22"/>
        </w:rPr>
        <w:t>,</w:t>
      </w:r>
      <w:r w:rsidR="00380D1C">
        <w:rPr>
          <w:rFonts w:ascii="Arial" w:hAnsi="Arial"/>
          <w:sz w:val="22"/>
          <w:szCs w:val="22"/>
        </w:rPr>
        <w:t xml:space="preserve"> for every 100 </w:t>
      </w:r>
      <w:r w:rsidR="007B5CA6" w:rsidRPr="00882085">
        <w:rPr>
          <w:rFonts w:ascii="Arial" w:hAnsi="Arial"/>
          <w:sz w:val="22"/>
          <w:szCs w:val="22"/>
        </w:rPr>
        <w:t xml:space="preserve">patients treated with </w:t>
      </w:r>
      <w:proofErr w:type="spellStart"/>
      <w:r w:rsidR="007B5CA6">
        <w:rPr>
          <w:rFonts w:ascii="Arial" w:hAnsi="Arial"/>
          <w:sz w:val="22"/>
          <w:szCs w:val="22"/>
        </w:rPr>
        <w:t>vortiox</w:t>
      </w:r>
      <w:r w:rsidR="00E02243">
        <w:rPr>
          <w:rFonts w:ascii="Arial" w:hAnsi="Arial"/>
          <w:sz w:val="22"/>
          <w:szCs w:val="22"/>
        </w:rPr>
        <w:t>e</w:t>
      </w:r>
      <w:r w:rsidR="007B5CA6">
        <w:rPr>
          <w:rFonts w:ascii="Arial" w:hAnsi="Arial"/>
          <w:sz w:val="22"/>
          <w:szCs w:val="22"/>
        </w:rPr>
        <w:t>tine</w:t>
      </w:r>
      <w:proofErr w:type="spellEnd"/>
      <w:r w:rsidR="007B5CA6" w:rsidRPr="00882085">
        <w:rPr>
          <w:rFonts w:ascii="Arial" w:hAnsi="Arial"/>
          <w:sz w:val="22"/>
          <w:szCs w:val="22"/>
        </w:rPr>
        <w:t xml:space="preserve"> compared to </w:t>
      </w:r>
      <w:r w:rsidR="007A007B">
        <w:rPr>
          <w:rFonts w:ascii="Arial" w:hAnsi="Arial"/>
          <w:sz w:val="22"/>
          <w:szCs w:val="22"/>
        </w:rPr>
        <w:t>venlafaxine</w:t>
      </w:r>
      <w:r w:rsidR="007B5CA6" w:rsidRPr="00882085">
        <w:rPr>
          <w:rFonts w:ascii="Arial" w:hAnsi="Arial"/>
          <w:sz w:val="22"/>
          <w:szCs w:val="22"/>
        </w:rPr>
        <w:t>:</w:t>
      </w:r>
    </w:p>
    <w:p w:rsidR="007B5CA6" w:rsidRPr="007B5CA6" w:rsidRDefault="007B5CA6" w:rsidP="005D13B0">
      <w:pPr>
        <w:pStyle w:val="ListParagraph"/>
        <w:numPr>
          <w:ilvl w:val="0"/>
          <w:numId w:val="44"/>
        </w:numPr>
        <w:ind w:left="1134" w:hanging="425"/>
        <w:jc w:val="both"/>
        <w:rPr>
          <w:rFonts w:ascii="Arial" w:hAnsi="Arial"/>
          <w:sz w:val="22"/>
          <w:szCs w:val="22"/>
        </w:rPr>
      </w:pPr>
      <w:r>
        <w:rPr>
          <w:rFonts w:ascii="Arial" w:hAnsi="Arial"/>
          <w:sz w:val="22"/>
          <w:szCs w:val="22"/>
        </w:rPr>
        <w:t>Up to</w:t>
      </w:r>
      <w:r w:rsidRPr="007B5CA6">
        <w:rPr>
          <w:rFonts w:ascii="Arial" w:hAnsi="Arial"/>
          <w:sz w:val="22"/>
          <w:szCs w:val="22"/>
        </w:rPr>
        <w:t xml:space="preserve"> 3 </w:t>
      </w:r>
      <w:r w:rsidR="00071841">
        <w:rPr>
          <w:rFonts w:ascii="Arial" w:hAnsi="Arial"/>
          <w:sz w:val="22"/>
          <w:szCs w:val="22"/>
        </w:rPr>
        <w:t>fewer</w:t>
      </w:r>
      <w:r w:rsidRPr="007B5CA6">
        <w:rPr>
          <w:rFonts w:ascii="Arial" w:hAnsi="Arial"/>
          <w:sz w:val="22"/>
          <w:szCs w:val="22"/>
        </w:rPr>
        <w:t xml:space="preserve"> patients would </w:t>
      </w:r>
      <w:r>
        <w:rPr>
          <w:rFonts w:ascii="Arial" w:hAnsi="Arial"/>
          <w:sz w:val="22"/>
          <w:szCs w:val="22"/>
        </w:rPr>
        <w:t xml:space="preserve">experience a serious adverse event </w:t>
      </w:r>
      <w:r w:rsidR="005D13B0">
        <w:rPr>
          <w:rFonts w:ascii="Arial" w:hAnsi="Arial"/>
          <w:sz w:val="22"/>
          <w:szCs w:val="22"/>
        </w:rPr>
        <w:t xml:space="preserve">(based on Trial </w:t>
      </w:r>
      <w:r w:rsidR="005D13B0" w:rsidRPr="005D13B0">
        <w:rPr>
          <w:rFonts w:ascii="Arial" w:hAnsi="Arial"/>
          <w:sz w:val="22"/>
          <w:szCs w:val="22"/>
        </w:rPr>
        <w:t>13926A</w:t>
      </w:r>
      <w:r w:rsidR="005D13B0">
        <w:rPr>
          <w:rFonts w:ascii="Arial" w:hAnsi="Arial"/>
          <w:sz w:val="22"/>
          <w:szCs w:val="22"/>
        </w:rPr>
        <w:t>)</w:t>
      </w:r>
    </w:p>
    <w:p w:rsidR="007B5CA6" w:rsidRDefault="007B5CA6" w:rsidP="005D13B0">
      <w:pPr>
        <w:pStyle w:val="ListParagraph"/>
        <w:numPr>
          <w:ilvl w:val="0"/>
          <w:numId w:val="44"/>
        </w:numPr>
        <w:ind w:left="1134" w:hanging="425"/>
        <w:jc w:val="both"/>
        <w:rPr>
          <w:rFonts w:ascii="Arial" w:hAnsi="Arial"/>
          <w:sz w:val="22"/>
          <w:szCs w:val="22"/>
        </w:rPr>
      </w:pPr>
      <w:r>
        <w:rPr>
          <w:rFonts w:ascii="Arial" w:hAnsi="Arial"/>
          <w:sz w:val="22"/>
          <w:szCs w:val="22"/>
        </w:rPr>
        <w:t xml:space="preserve">Up to 9 </w:t>
      </w:r>
      <w:r w:rsidR="00071841">
        <w:rPr>
          <w:rFonts w:ascii="Arial" w:hAnsi="Arial"/>
          <w:sz w:val="22"/>
          <w:szCs w:val="22"/>
        </w:rPr>
        <w:t>fewer</w:t>
      </w:r>
      <w:r w:rsidRPr="007B5CA6">
        <w:rPr>
          <w:rFonts w:ascii="Arial" w:hAnsi="Arial"/>
          <w:sz w:val="22"/>
          <w:szCs w:val="22"/>
        </w:rPr>
        <w:t xml:space="preserve"> patients would </w:t>
      </w:r>
      <w:r>
        <w:rPr>
          <w:rFonts w:ascii="Arial" w:hAnsi="Arial"/>
          <w:sz w:val="22"/>
          <w:szCs w:val="22"/>
        </w:rPr>
        <w:t>experience an adverse event leading to withdrawal from treatment</w:t>
      </w:r>
      <w:r w:rsidR="005D13B0">
        <w:rPr>
          <w:rFonts w:ascii="Arial" w:hAnsi="Arial"/>
          <w:sz w:val="22"/>
          <w:szCs w:val="22"/>
        </w:rPr>
        <w:t xml:space="preserve"> (based on Trial </w:t>
      </w:r>
      <w:r w:rsidR="005D13B0" w:rsidRPr="005D13B0">
        <w:rPr>
          <w:rFonts w:ascii="Arial" w:hAnsi="Arial"/>
          <w:sz w:val="22"/>
          <w:szCs w:val="22"/>
        </w:rPr>
        <w:t>11492A</w:t>
      </w:r>
      <w:r w:rsidR="005D13B0">
        <w:rPr>
          <w:rFonts w:ascii="Arial" w:hAnsi="Arial"/>
          <w:sz w:val="22"/>
          <w:szCs w:val="22"/>
        </w:rPr>
        <w:t>)</w:t>
      </w:r>
      <w:r w:rsidR="00310B5C">
        <w:rPr>
          <w:rFonts w:ascii="Arial" w:hAnsi="Arial"/>
          <w:sz w:val="22"/>
          <w:szCs w:val="22"/>
        </w:rPr>
        <w:t xml:space="preserve"> </w:t>
      </w:r>
    </w:p>
    <w:p w:rsidR="005D13B0" w:rsidRPr="007B5CA6" w:rsidRDefault="005D13B0" w:rsidP="00D37E02"/>
    <w:p w:rsidR="007B5CA6" w:rsidRPr="00882085" w:rsidRDefault="00B87273" w:rsidP="002E27EB">
      <w:pPr>
        <w:pStyle w:val="ListParagraph"/>
        <w:numPr>
          <w:ilvl w:val="1"/>
          <w:numId w:val="25"/>
        </w:numPr>
        <w:jc w:val="both"/>
        <w:rPr>
          <w:rFonts w:ascii="Arial" w:hAnsi="Arial"/>
          <w:sz w:val="22"/>
          <w:szCs w:val="22"/>
        </w:rPr>
      </w:pPr>
      <w:r>
        <w:rPr>
          <w:rFonts w:ascii="Arial" w:hAnsi="Arial"/>
          <w:sz w:val="22"/>
          <w:szCs w:val="22"/>
        </w:rPr>
        <w:t>B</w:t>
      </w:r>
      <w:r w:rsidR="007B5CA6" w:rsidRPr="00882085">
        <w:rPr>
          <w:rFonts w:ascii="Arial" w:hAnsi="Arial"/>
          <w:sz w:val="22"/>
          <w:szCs w:val="22"/>
        </w:rPr>
        <w:t>ased on these trials</w:t>
      </w:r>
      <w:r w:rsidR="005D13B0">
        <w:rPr>
          <w:rFonts w:ascii="Arial" w:hAnsi="Arial"/>
          <w:sz w:val="22"/>
          <w:szCs w:val="22"/>
        </w:rPr>
        <w:t xml:space="preserve"> and the </w:t>
      </w:r>
      <w:r>
        <w:rPr>
          <w:rFonts w:ascii="Arial" w:hAnsi="Arial"/>
          <w:sz w:val="22"/>
          <w:szCs w:val="22"/>
        </w:rPr>
        <w:t xml:space="preserve">most favourable results for </w:t>
      </w:r>
      <w:proofErr w:type="spellStart"/>
      <w:r>
        <w:rPr>
          <w:rFonts w:ascii="Arial" w:hAnsi="Arial"/>
          <w:sz w:val="22"/>
          <w:szCs w:val="22"/>
        </w:rPr>
        <w:t>vortioxetine</w:t>
      </w:r>
      <w:proofErr w:type="spellEnd"/>
      <w:r w:rsidR="00380D1C">
        <w:rPr>
          <w:rFonts w:ascii="Arial" w:hAnsi="Arial"/>
          <w:sz w:val="22"/>
          <w:szCs w:val="22"/>
        </w:rPr>
        <w:t>, for every 100 </w:t>
      </w:r>
      <w:r w:rsidR="007B5CA6" w:rsidRPr="00882085">
        <w:rPr>
          <w:rFonts w:ascii="Arial" w:hAnsi="Arial"/>
          <w:sz w:val="22"/>
          <w:szCs w:val="22"/>
        </w:rPr>
        <w:t xml:space="preserve">patients treated with </w:t>
      </w:r>
      <w:proofErr w:type="spellStart"/>
      <w:r w:rsidR="007B5CA6">
        <w:rPr>
          <w:rFonts w:ascii="Arial" w:hAnsi="Arial"/>
          <w:sz w:val="22"/>
          <w:szCs w:val="22"/>
        </w:rPr>
        <w:t>vortiox</w:t>
      </w:r>
      <w:r w:rsidR="00E02243">
        <w:rPr>
          <w:rFonts w:ascii="Arial" w:hAnsi="Arial"/>
          <w:sz w:val="22"/>
          <w:szCs w:val="22"/>
        </w:rPr>
        <w:t>e</w:t>
      </w:r>
      <w:r w:rsidR="007B5CA6">
        <w:rPr>
          <w:rFonts w:ascii="Arial" w:hAnsi="Arial"/>
          <w:sz w:val="22"/>
          <w:szCs w:val="22"/>
        </w:rPr>
        <w:t>tine</w:t>
      </w:r>
      <w:proofErr w:type="spellEnd"/>
      <w:r w:rsidR="007B5CA6" w:rsidRPr="00882085">
        <w:rPr>
          <w:rFonts w:ascii="Arial" w:hAnsi="Arial"/>
          <w:sz w:val="22"/>
          <w:szCs w:val="22"/>
        </w:rPr>
        <w:t xml:space="preserve"> compared to </w:t>
      </w:r>
      <w:r w:rsidR="007B5CA6">
        <w:rPr>
          <w:rFonts w:ascii="Arial" w:hAnsi="Arial"/>
          <w:sz w:val="22"/>
          <w:szCs w:val="22"/>
        </w:rPr>
        <w:t>duloxetine</w:t>
      </w:r>
      <w:r w:rsidR="007B5CA6" w:rsidRPr="00882085">
        <w:rPr>
          <w:rFonts w:ascii="Arial" w:hAnsi="Arial"/>
          <w:sz w:val="22"/>
          <w:szCs w:val="22"/>
        </w:rPr>
        <w:t>:</w:t>
      </w:r>
    </w:p>
    <w:p w:rsidR="007B5CA6" w:rsidRPr="007B5CA6" w:rsidRDefault="007B5CA6" w:rsidP="003A05A4">
      <w:pPr>
        <w:pStyle w:val="ListParagraph"/>
        <w:numPr>
          <w:ilvl w:val="0"/>
          <w:numId w:val="44"/>
        </w:numPr>
        <w:ind w:left="1134" w:hanging="425"/>
        <w:jc w:val="both"/>
        <w:rPr>
          <w:rFonts w:ascii="Arial" w:hAnsi="Arial"/>
          <w:sz w:val="22"/>
          <w:szCs w:val="22"/>
        </w:rPr>
      </w:pPr>
      <w:r>
        <w:rPr>
          <w:rFonts w:ascii="Arial" w:hAnsi="Arial"/>
          <w:sz w:val="22"/>
          <w:szCs w:val="22"/>
        </w:rPr>
        <w:t>Up to</w:t>
      </w:r>
      <w:r w:rsidRPr="007B5CA6">
        <w:rPr>
          <w:rFonts w:ascii="Arial" w:hAnsi="Arial"/>
          <w:sz w:val="22"/>
          <w:szCs w:val="22"/>
        </w:rPr>
        <w:t xml:space="preserve"> </w:t>
      </w:r>
      <w:r>
        <w:rPr>
          <w:rFonts w:ascii="Arial" w:hAnsi="Arial"/>
          <w:sz w:val="22"/>
          <w:szCs w:val="22"/>
        </w:rPr>
        <w:t>2</w:t>
      </w:r>
      <w:r w:rsidRPr="007B5CA6">
        <w:rPr>
          <w:rFonts w:ascii="Arial" w:hAnsi="Arial"/>
          <w:sz w:val="22"/>
          <w:szCs w:val="22"/>
        </w:rPr>
        <w:t xml:space="preserve"> less patients would </w:t>
      </w:r>
      <w:r>
        <w:rPr>
          <w:rFonts w:ascii="Arial" w:hAnsi="Arial"/>
          <w:sz w:val="22"/>
          <w:szCs w:val="22"/>
        </w:rPr>
        <w:t xml:space="preserve">experience a serious adverse event </w:t>
      </w:r>
      <w:r w:rsidR="005D13B0">
        <w:rPr>
          <w:rFonts w:ascii="Arial" w:hAnsi="Arial"/>
          <w:sz w:val="22"/>
          <w:szCs w:val="22"/>
        </w:rPr>
        <w:t xml:space="preserve"> (based on Trial </w:t>
      </w:r>
      <w:r w:rsidR="005D13B0" w:rsidRPr="005D13B0">
        <w:rPr>
          <w:rFonts w:ascii="Arial" w:hAnsi="Arial"/>
          <w:sz w:val="22"/>
          <w:szCs w:val="22"/>
        </w:rPr>
        <w:t>13267A</w:t>
      </w:r>
      <w:r w:rsidR="005D13B0">
        <w:rPr>
          <w:rFonts w:ascii="Arial" w:hAnsi="Arial"/>
          <w:sz w:val="22"/>
          <w:szCs w:val="22"/>
        </w:rPr>
        <w:t>)</w:t>
      </w:r>
    </w:p>
    <w:p w:rsidR="00F77F60" w:rsidRDefault="007B5CA6" w:rsidP="003A05A4">
      <w:pPr>
        <w:pStyle w:val="ListParagraph"/>
        <w:numPr>
          <w:ilvl w:val="0"/>
          <w:numId w:val="44"/>
        </w:numPr>
        <w:ind w:left="1134" w:hanging="425"/>
        <w:jc w:val="both"/>
        <w:rPr>
          <w:rFonts w:ascii="Arial" w:hAnsi="Arial"/>
          <w:sz w:val="22"/>
          <w:szCs w:val="22"/>
        </w:rPr>
      </w:pPr>
      <w:r>
        <w:rPr>
          <w:rFonts w:ascii="Arial" w:hAnsi="Arial"/>
          <w:sz w:val="22"/>
          <w:szCs w:val="22"/>
        </w:rPr>
        <w:t xml:space="preserve">Up to </w:t>
      </w:r>
      <w:r w:rsidR="005D13B0">
        <w:rPr>
          <w:rFonts w:ascii="Arial" w:hAnsi="Arial"/>
          <w:sz w:val="22"/>
          <w:szCs w:val="22"/>
        </w:rPr>
        <w:t>4</w:t>
      </w:r>
      <w:r>
        <w:rPr>
          <w:rFonts w:ascii="Arial" w:hAnsi="Arial"/>
          <w:sz w:val="22"/>
          <w:szCs w:val="22"/>
        </w:rPr>
        <w:t xml:space="preserve"> </w:t>
      </w:r>
      <w:r w:rsidR="005D13B0">
        <w:rPr>
          <w:rFonts w:ascii="Arial" w:hAnsi="Arial"/>
          <w:sz w:val="22"/>
          <w:szCs w:val="22"/>
        </w:rPr>
        <w:t>less</w:t>
      </w:r>
      <w:r w:rsidRPr="007B5CA6">
        <w:rPr>
          <w:rFonts w:ascii="Arial" w:hAnsi="Arial"/>
          <w:sz w:val="22"/>
          <w:szCs w:val="22"/>
        </w:rPr>
        <w:t xml:space="preserve"> patients would </w:t>
      </w:r>
      <w:r>
        <w:rPr>
          <w:rFonts w:ascii="Arial" w:hAnsi="Arial"/>
          <w:sz w:val="22"/>
          <w:szCs w:val="22"/>
        </w:rPr>
        <w:t xml:space="preserve">experience an adverse event leading to withdrawal from treatment (based on Trial </w:t>
      </w:r>
      <w:r w:rsidR="005D13B0">
        <w:rPr>
          <w:rFonts w:ascii="Arial" w:hAnsi="Arial"/>
          <w:sz w:val="22"/>
          <w:szCs w:val="22"/>
        </w:rPr>
        <w:t>12541A</w:t>
      </w:r>
      <w:r>
        <w:rPr>
          <w:rFonts w:ascii="Arial" w:hAnsi="Arial"/>
          <w:sz w:val="22"/>
          <w:szCs w:val="22"/>
        </w:rPr>
        <w:t>)</w:t>
      </w:r>
      <w:r w:rsidR="00310B5C">
        <w:rPr>
          <w:rFonts w:ascii="Arial" w:hAnsi="Arial"/>
          <w:sz w:val="22"/>
          <w:szCs w:val="22"/>
        </w:rPr>
        <w:t xml:space="preserve"> </w:t>
      </w:r>
    </w:p>
    <w:p w:rsidR="00060B0F" w:rsidRPr="00060B0F" w:rsidRDefault="00060B0F" w:rsidP="00D37E02">
      <w:pPr>
        <w:pStyle w:val="ListParagraph"/>
        <w:ind w:left="1134"/>
        <w:jc w:val="both"/>
      </w:pPr>
    </w:p>
    <w:p w:rsidR="00B87273" w:rsidRPr="00E527A5" w:rsidRDefault="00B87273" w:rsidP="002E27EB">
      <w:pPr>
        <w:pStyle w:val="ListParagraph"/>
        <w:numPr>
          <w:ilvl w:val="1"/>
          <w:numId w:val="25"/>
        </w:numPr>
        <w:jc w:val="both"/>
        <w:rPr>
          <w:rFonts w:ascii="Arial" w:hAnsi="Arial"/>
          <w:sz w:val="22"/>
          <w:szCs w:val="22"/>
        </w:rPr>
      </w:pPr>
      <w:r>
        <w:rPr>
          <w:rFonts w:ascii="Arial" w:hAnsi="Arial"/>
          <w:sz w:val="22"/>
          <w:szCs w:val="22"/>
        </w:rPr>
        <w:t>It was</w:t>
      </w:r>
      <w:r w:rsidRPr="00B87273">
        <w:rPr>
          <w:rFonts w:ascii="Arial" w:hAnsi="Arial"/>
          <w:sz w:val="22"/>
          <w:szCs w:val="22"/>
        </w:rPr>
        <w:t xml:space="preserve"> noted that the </w:t>
      </w:r>
      <w:r>
        <w:rPr>
          <w:rFonts w:ascii="Arial" w:hAnsi="Arial"/>
          <w:sz w:val="22"/>
          <w:szCs w:val="22"/>
        </w:rPr>
        <w:t xml:space="preserve">proposed price of </w:t>
      </w:r>
      <w:proofErr w:type="spellStart"/>
      <w:r>
        <w:rPr>
          <w:rFonts w:ascii="Arial" w:hAnsi="Arial"/>
          <w:sz w:val="22"/>
          <w:szCs w:val="22"/>
        </w:rPr>
        <w:t>vortioxetine</w:t>
      </w:r>
      <w:proofErr w:type="spellEnd"/>
      <w:r>
        <w:rPr>
          <w:rFonts w:ascii="Arial" w:hAnsi="Arial"/>
          <w:sz w:val="22"/>
          <w:szCs w:val="22"/>
        </w:rPr>
        <w:t xml:space="preserve"> wa</w:t>
      </w:r>
      <w:r w:rsidRPr="00B87273">
        <w:rPr>
          <w:rFonts w:ascii="Arial" w:hAnsi="Arial"/>
          <w:sz w:val="22"/>
          <w:szCs w:val="22"/>
        </w:rPr>
        <w:t>s $</w:t>
      </w:r>
      <w:r w:rsidR="00BA24A8">
        <w:rPr>
          <w:rFonts w:ascii="Arial" w:hAnsi="Arial"/>
          <w:noProof/>
          <w:color w:val="000000"/>
          <w:sz w:val="22"/>
          <w:szCs w:val="22"/>
          <w:highlight w:val="black"/>
        </w:rPr>
        <w:t>''''''''''''''</w:t>
      </w:r>
      <w:r w:rsidRPr="00B87273">
        <w:rPr>
          <w:rFonts w:ascii="Arial" w:hAnsi="Arial"/>
          <w:sz w:val="22"/>
          <w:szCs w:val="22"/>
        </w:rPr>
        <w:t xml:space="preserve"> (for the highest strength, 20 mg) and the current price of the highest priced SNRI (</w:t>
      </w:r>
      <w:proofErr w:type="spellStart"/>
      <w:r w:rsidRPr="00B87273">
        <w:rPr>
          <w:rFonts w:ascii="Arial" w:hAnsi="Arial"/>
          <w:sz w:val="22"/>
          <w:szCs w:val="22"/>
        </w:rPr>
        <w:t>desvenlafaxine</w:t>
      </w:r>
      <w:proofErr w:type="spellEnd"/>
      <w:r w:rsidRPr="00B87273">
        <w:rPr>
          <w:rFonts w:ascii="Arial" w:hAnsi="Arial"/>
          <w:sz w:val="22"/>
          <w:szCs w:val="22"/>
        </w:rPr>
        <w:t xml:space="preserve"> 100 mg) is $48</w:t>
      </w:r>
      <w:r>
        <w:rPr>
          <w:rFonts w:ascii="Arial" w:hAnsi="Arial"/>
          <w:sz w:val="22"/>
          <w:szCs w:val="22"/>
        </w:rPr>
        <w:t xml:space="preserve">.62. Therefore, </w:t>
      </w:r>
      <w:proofErr w:type="spellStart"/>
      <w:r>
        <w:rPr>
          <w:rFonts w:ascii="Arial" w:hAnsi="Arial"/>
          <w:sz w:val="22"/>
          <w:szCs w:val="22"/>
        </w:rPr>
        <w:t>vortioxetine</w:t>
      </w:r>
      <w:proofErr w:type="spellEnd"/>
      <w:r>
        <w:rPr>
          <w:rFonts w:ascii="Arial" w:hAnsi="Arial"/>
          <w:sz w:val="22"/>
          <w:szCs w:val="22"/>
        </w:rPr>
        <w:t xml:space="preserve"> </w:t>
      </w:r>
      <w:r w:rsidR="00C77A95">
        <w:rPr>
          <w:rFonts w:ascii="Arial" w:hAnsi="Arial"/>
          <w:sz w:val="22"/>
          <w:szCs w:val="22"/>
        </w:rPr>
        <w:t>was</w:t>
      </w:r>
      <w:r w:rsidRPr="00B87273">
        <w:rPr>
          <w:rFonts w:ascii="Arial" w:hAnsi="Arial"/>
          <w:sz w:val="22"/>
          <w:szCs w:val="22"/>
        </w:rPr>
        <w:t xml:space="preserve"> substantially more costly than alternative therapies. For </w:t>
      </w:r>
      <w:proofErr w:type="spellStart"/>
      <w:r w:rsidRPr="00B87273">
        <w:rPr>
          <w:rFonts w:ascii="Arial" w:hAnsi="Arial"/>
          <w:sz w:val="22"/>
          <w:szCs w:val="22"/>
        </w:rPr>
        <w:t>vortioxetine</w:t>
      </w:r>
      <w:proofErr w:type="spellEnd"/>
      <w:r w:rsidRPr="00B87273">
        <w:rPr>
          <w:rFonts w:ascii="Arial" w:hAnsi="Arial"/>
          <w:sz w:val="22"/>
          <w:szCs w:val="22"/>
        </w:rPr>
        <w:t xml:space="preserve"> to be PBS-listed at a substantially more costly price than an alternative therapy or alternative therapies, the PBAC </w:t>
      </w:r>
      <w:r>
        <w:rPr>
          <w:rFonts w:ascii="Arial" w:hAnsi="Arial"/>
          <w:sz w:val="22"/>
          <w:szCs w:val="22"/>
        </w:rPr>
        <w:t>noted that it needed</w:t>
      </w:r>
      <w:r w:rsidRPr="00B87273">
        <w:rPr>
          <w:rFonts w:ascii="Arial" w:hAnsi="Arial"/>
          <w:sz w:val="22"/>
          <w:szCs w:val="22"/>
        </w:rPr>
        <w:t xml:space="preserve"> to be satisfied that </w:t>
      </w:r>
      <w:proofErr w:type="spellStart"/>
      <w:r w:rsidRPr="00B87273">
        <w:rPr>
          <w:rFonts w:ascii="Arial" w:hAnsi="Arial"/>
          <w:sz w:val="22"/>
          <w:szCs w:val="22"/>
        </w:rPr>
        <w:t>vortioxetine</w:t>
      </w:r>
      <w:proofErr w:type="spellEnd"/>
      <w:r w:rsidRPr="00B87273">
        <w:rPr>
          <w:rFonts w:ascii="Arial" w:hAnsi="Arial"/>
          <w:sz w:val="22"/>
          <w:szCs w:val="22"/>
        </w:rPr>
        <w:t xml:space="preserve"> for some patients, provides a significant improvement in efficacy or reduction of toxicity over the alternative therapy or therapies</w:t>
      </w:r>
      <w:r w:rsidR="0064748C">
        <w:rPr>
          <w:rFonts w:ascii="Arial" w:hAnsi="Arial"/>
          <w:sz w:val="22"/>
          <w:szCs w:val="22"/>
        </w:rPr>
        <w:t xml:space="preserve"> </w:t>
      </w:r>
      <w:r w:rsidR="00813299">
        <w:rPr>
          <w:rFonts w:ascii="Arial" w:hAnsi="Arial"/>
          <w:sz w:val="22"/>
          <w:szCs w:val="22"/>
        </w:rPr>
        <w:t xml:space="preserve">under Section 101(3B) of the </w:t>
      </w:r>
      <w:r w:rsidR="00813299" w:rsidRPr="002E27EB">
        <w:rPr>
          <w:rFonts w:ascii="Arial" w:hAnsi="Arial"/>
          <w:sz w:val="22"/>
          <w:szCs w:val="22"/>
        </w:rPr>
        <w:t>National Health Act</w:t>
      </w:r>
      <w:r w:rsidR="00813299">
        <w:rPr>
          <w:rFonts w:ascii="Arial" w:hAnsi="Arial"/>
          <w:sz w:val="22"/>
          <w:szCs w:val="22"/>
        </w:rPr>
        <w:t xml:space="preserve"> 1953</w:t>
      </w:r>
      <w:r w:rsidRPr="00B87273">
        <w:rPr>
          <w:rFonts w:ascii="Arial" w:hAnsi="Arial"/>
          <w:sz w:val="22"/>
          <w:szCs w:val="22"/>
        </w:rPr>
        <w:t>.</w:t>
      </w:r>
      <w:r w:rsidRPr="002E27EB">
        <w:rPr>
          <w:rFonts w:ascii="Arial" w:hAnsi="Arial"/>
          <w:sz w:val="22"/>
          <w:szCs w:val="22"/>
        </w:rPr>
        <w:t xml:space="preserve"> </w:t>
      </w:r>
    </w:p>
    <w:p w:rsidR="00B87273" w:rsidRPr="00E527A5" w:rsidRDefault="00B87273" w:rsidP="002E27EB">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Default="00882085"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DE4F4F" w:rsidRPr="002E27EB" w:rsidRDefault="00DE4F4F" w:rsidP="002E27EB">
      <w:pPr>
        <w:pStyle w:val="ListParagraph"/>
        <w:numPr>
          <w:ilvl w:val="1"/>
          <w:numId w:val="25"/>
        </w:numPr>
        <w:jc w:val="both"/>
        <w:rPr>
          <w:rFonts w:ascii="Arial" w:hAnsi="Arial"/>
          <w:sz w:val="22"/>
          <w:szCs w:val="22"/>
        </w:rPr>
      </w:pPr>
      <w:r w:rsidRPr="002E27EB">
        <w:rPr>
          <w:rFonts w:ascii="Arial" w:hAnsi="Arial"/>
          <w:sz w:val="22"/>
          <w:szCs w:val="22"/>
        </w:rPr>
        <w:t xml:space="preserve">The submission described </w:t>
      </w:r>
      <w:proofErr w:type="spellStart"/>
      <w:r w:rsidRPr="002E27EB">
        <w:rPr>
          <w:rFonts w:ascii="Arial" w:hAnsi="Arial"/>
          <w:sz w:val="22"/>
          <w:szCs w:val="22"/>
        </w:rPr>
        <w:t>vortioxetine</w:t>
      </w:r>
      <w:proofErr w:type="spellEnd"/>
      <w:r w:rsidRPr="002E27EB">
        <w:rPr>
          <w:rFonts w:ascii="Arial" w:hAnsi="Arial"/>
          <w:sz w:val="22"/>
          <w:szCs w:val="22"/>
        </w:rPr>
        <w:t xml:space="preserve"> as non-inferior in terms of comparative effectiveness and similar if not more favourable in terms of comparative safety over the SNRI therapies. </w:t>
      </w:r>
    </w:p>
    <w:p w:rsidR="00B87273" w:rsidRDefault="00B87273" w:rsidP="00BB07E1">
      <w:pPr>
        <w:widowControl w:val="0"/>
        <w:contextualSpacing/>
        <w:jc w:val="both"/>
        <w:rPr>
          <w:rFonts w:ascii="Arial" w:hAnsi="Arial" w:cs="Arial"/>
          <w:snapToGrid w:val="0"/>
          <w:sz w:val="22"/>
          <w:szCs w:val="20"/>
          <w:lang w:eastAsia="en-US"/>
        </w:rPr>
      </w:pPr>
    </w:p>
    <w:p w:rsidR="00BB7EC3" w:rsidRPr="002E27EB" w:rsidRDefault="003342AE" w:rsidP="002E27EB">
      <w:pPr>
        <w:pStyle w:val="ListParagraph"/>
        <w:numPr>
          <w:ilvl w:val="1"/>
          <w:numId w:val="25"/>
        </w:numPr>
        <w:jc w:val="both"/>
        <w:rPr>
          <w:rFonts w:ascii="Arial" w:hAnsi="Arial"/>
          <w:sz w:val="22"/>
          <w:szCs w:val="22"/>
        </w:rPr>
      </w:pPr>
      <w:r w:rsidRPr="002E27EB">
        <w:rPr>
          <w:rFonts w:ascii="Arial" w:hAnsi="Arial"/>
          <w:sz w:val="22"/>
          <w:szCs w:val="22"/>
        </w:rPr>
        <w:t>The submission also described</w:t>
      </w:r>
      <w:r w:rsidR="00B87273" w:rsidRPr="002E27EB">
        <w:rPr>
          <w:rFonts w:ascii="Arial" w:hAnsi="Arial"/>
          <w:sz w:val="22"/>
          <w:szCs w:val="22"/>
        </w:rPr>
        <w:t xml:space="preserve"> </w:t>
      </w:r>
      <w:proofErr w:type="spellStart"/>
      <w:r w:rsidR="00B87273" w:rsidRPr="002E27EB">
        <w:rPr>
          <w:rFonts w:ascii="Arial" w:hAnsi="Arial"/>
          <w:sz w:val="22"/>
          <w:szCs w:val="22"/>
        </w:rPr>
        <w:t>vortioxetine</w:t>
      </w:r>
      <w:proofErr w:type="spellEnd"/>
      <w:r w:rsidR="00B87273" w:rsidRPr="002E27EB">
        <w:rPr>
          <w:rFonts w:ascii="Arial" w:hAnsi="Arial"/>
          <w:sz w:val="22"/>
          <w:szCs w:val="22"/>
        </w:rPr>
        <w:t xml:space="preserve"> as </w:t>
      </w:r>
      <w:r w:rsidR="00760F2D" w:rsidRPr="002E27EB">
        <w:rPr>
          <w:rFonts w:ascii="Arial" w:hAnsi="Arial"/>
          <w:sz w:val="22"/>
          <w:szCs w:val="22"/>
        </w:rPr>
        <w:t>superior</w:t>
      </w:r>
      <w:r w:rsidR="00B87273" w:rsidRPr="002E27EB">
        <w:rPr>
          <w:rFonts w:ascii="Arial" w:hAnsi="Arial"/>
          <w:sz w:val="22"/>
          <w:szCs w:val="22"/>
        </w:rPr>
        <w:t xml:space="preserve"> in terms of comparative effectiveness against the SSRI therapies</w:t>
      </w:r>
      <w:r w:rsidR="00760F2D" w:rsidRPr="002E27EB">
        <w:rPr>
          <w:rFonts w:ascii="Arial" w:hAnsi="Arial"/>
          <w:sz w:val="22"/>
          <w:szCs w:val="22"/>
        </w:rPr>
        <w:t xml:space="preserve"> in some patients (the elderly) and non-inferior if not more favourable than SSRI therapies in terms of comparative safety</w:t>
      </w:r>
      <w:r w:rsidR="00B87273" w:rsidRPr="002E27EB">
        <w:rPr>
          <w:rFonts w:ascii="Arial" w:hAnsi="Arial"/>
          <w:sz w:val="22"/>
          <w:szCs w:val="22"/>
        </w:rPr>
        <w:t xml:space="preserve">. </w:t>
      </w:r>
    </w:p>
    <w:p w:rsidR="00F57A6D" w:rsidRDefault="00F57A6D" w:rsidP="00882085">
      <w:pPr>
        <w:ind w:left="720" w:hanging="720"/>
        <w:jc w:val="both"/>
        <w:rPr>
          <w:rFonts w:ascii="Arial" w:hAnsi="Arial"/>
          <w:sz w:val="22"/>
          <w:szCs w:val="22"/>
        </w:rPr>
      </w:pPr>
    </w:p>
    <w:p w:rsidR="00B11979" w:rsidRPr="00BB7EC3" w:rsidRDefault="00B11979" w:rsidP="00B11979">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7E22A8" w:rsidRPr="00882085" w:rsidRDefault="007E22A8"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2E513D" w:rsidRPr="002E513D" w:rsidRDefault="002E513D" w:rsidP="002E27EB">
      <w:pPr>
        <w:pStyle w:val="ListParagraph"/>
        <w:numPr>
          <w:ilvl w:val="1"/>
          <w:numId w:val="25"/>
        </w:numPr>
        <w:jc w:val="both"/>
        <w:rPr>
          <w:rFonts w:ascii="Arial" w:hAnsi="Arial"/>
          <w:sz w:val="22"/>
          <w:szCs w:val="22"/>
        </w:rPr>
      </w:pPr>
      <w:r>
        <w:rPr>
          <w:rFonts w:ascii="Arial" w:hAnsi="Arial"/>
          <w:sz w:val="22"/>
          <w:szCs w:val="22"/>
        </w:rPr>
        <w:t>The submission presented</w:t>
      </w:r>
      <w:r w:rsidRPr="002E513D">
        <w:rPr>
          <w:rFonts w:ascii="Arial" w:hAnsi="Arial"/>
          <w:sz w:val="22"/>
          <w:szCs w:val="22"/>
        </w:rPr>
        <w:t xml:space="preserve"> a cost-minimisation analysis comparing </w:t>
      </w:r>
      <w:proofErr w:type="spellStart"/>
      <w:r w:rsidRPr="002E513D">
        <w:rPr>
          <w:rFonts w:ascii="Arial" w:hAnsi="Arial"/>
          <w:sz w:val="22"/>
          <w:szCs w:val="22"/>
        </w:rPr>
        <w:t>vortioxetine</w:t>
      </w:r>
      <w:proofErr w:type="spellEnd"/>
      <w:r w:rsidRPr="002E513D">
        <w:rPr>
          <w:rFonts w:ascii="Arial" w:hAnsi="Arial"/>
          <w:sz w:val="22"/>
          <w:szCs w:val="22"/>
        </w:rPr>
        <w:t xml:space="preserve"> with </w:t>
      </w:r>
      <w:proofErr w:type="spellStart"/>
      <w:r w:rsidRPr="002E513D">
        <w:rPr>
          <w:rFonts w:ascii="Arial" w:hAnsi="Arial"/>
          <w:sz w:val="22"/>
          <w:szCs w:val="22"/>
        </w:rPr>
        <w:t>desvenlafaxine</w:t>
      </w:r>
      <w:proofErr w:type="spellEnd"/>
      <w:r w:rsidRPr="002E513D">
        <w:rPr>
          <w:rFonts w:ascii="Arial" w:hAnsi="Arial"/>
          <w:sz w:val="22"/>
          <w:szCs w:val="22"/>
        </w:rPr>
        <w:t xml:space="preserve">. </w:t>
      </w:r>
      <w:r w:rsidR="004C5CBD" w:rsidRPr="004D266B">
        <w:rPr>
          <w:rFonts w:ascii="Arial" w:hAnsi="Arial"/>
          <w:sz w:val="22"/>
          <w:szCs w:val="22"/>
        </w:rPr>
        <w:t xml:space="preserve">The cost minimisation analysis was based on </w:t>
      </w:r>
      <w:r w:rsidR="00BA24A8">
        <w:rPr>
          <w:rFonts w:ascii="Arial" w:hAnsi="Arial"/>
          <w:noProof/>
          <w:color w:val="000000"/>
          <w:sz w:val="22"/>
          <w:szCs w:val="22"/>
          <w:highlight w:val="black"/>
        </w:rPr>
        <w:t>''''''''''''''''''''''''</w:t>
      </w:r>
      <w:r w:rsidR="004C5CBD" w:rsidRPr="004D266B">
        <w:rPr>
          <w:rFonts w:ascii="Arial" w:hAnsi="Arial"/>
          <w:sz w:val="22"/>
          <w:szCs w:val="22"/>
        </w:rPr>
        <w:t xml:space="preserve"> the </w:t>
      </w:r>
      <w:r w:rsidR="00BA24A8">
        <w:rPr>
          <w:rFonts w:ascii="Arial" w:hAnsi="Arial"/>
          <w:noProof/>
          <w:color w:val="000000"/>
          <w:sz w:val="22"/>
          <w:szCs w:val="22"/>
          <w:highlight w:val="black"/>
        </w:rPr>
        <w:t xml:space="preserve">''''''''''''' </w:t>
      </w:r>
      <w:r w:rsidR="004C5CBD" w:rsidRPr="004D266B">
        <w:rPr>
          <w:rFonts w:ascii="Arial" w:hAnsi="Arial"/>
          <w:sz w:val="22"/>
          <w:szCs w:val="22"/>
        </w:rPr>
        <w:t xml:space="preserve">of 10 mg </w:t>
      </w:r>
      <w:proofErr w:type="spellStart"/>
      <w:r w:rsidR="004C5CBD" w:rsidRPr="004D266B">
        <w:rPr>
          <w:rFonts w:ascii="Arial" w:hAnsi="Arial"/>
          <w:sz w:val="22"/>
          <w:szCs w:val="22"/>
        </w:rPr>
        <w:t>vortioxetine</w:t>
      </w:r>
      <w:proofErr w:type="spellEnd"/>
      <w:r w:rsidR="004C5CBD" w:rsidRPr="004D266B">
        <w:rPr>
          <w:rFonts w:ascii="Arial" w:hAnsi="Arial"/>
          <w:sz w:val="22"/>
          <w:szCs w:val="22"/>
        </w:rPr>
        <w:t xml:space="preserve"> and 100 mg </w:t>
      </w:r>
      <w:proofErr w:type="spellStart"/>
      <w:r w:rsidR="004D266B">
        <w:rPr>
          <w:rFonts w:ascii="Arial" w:hAnsi="Arial"/>
          <w:sz w:val="22"/>
          <w:szCs w:val="22"/>
        </w:rPr>
        <w:t>desvenlafaxine</w:t>
      </w:r>
      <w:proofErr w:type="spellEnd"/>
      <w:r w:rsidR="004C5CBD">
        <w:rPr>
          <w:rFonts w:ascii="Arial" w:hAnsi="Arial"/>
          <w:sz w:val="22"/>
          <w:szCs w:val="22"/>
        </w:rPr>
        <w:t xml:space="preserve">. </w:t>
      </w:r>
    </w:p>
    <w:p w:rsidR="002E513D" w:rsidRPr="002E513D" w:rsidRDefault="002E513D" w:rsidP="002E513D">
      <w:pPr>
        <w:pStyle w:val="ListParagraph"/>
        <w:ind w:left="709"/>
        <w:jc w:val="both"/>
        <w:rPr>
          <w:rFonts w:ascii="Arial" w:hAnsi="Arial"/>
          <w:sz w:val="22"/>
          <w:szCs w:val="22"/>
        </w:rPr>
      </w:pPr>
    </w:p>
    <w:p w:rsidR="0075683C" w:rsidRDefault="0075683C" w:rsidP="002E27EB">
      <w:pPr>
        <w:pStyle w:val="ListParagraph"/>
        <w:numPr>
          <w:ilvl w:val="1"/>
          <w:numId w:val="25"/>
        </w:numPr>
        <w:jc w:val="both"/>
        <w:rPr>
          <w:rFonts w:ascii="Arial" w:hAnsi="Arial" w:cs="Arial"/>
          <w:snapToGrid w:val="0"/>
          <w:sz w:val="22"/>
          <w:szCs w:val="20"/>
          <w:lang w:eastAsia="en-US"/>
        </w:rPr>
      </w:pPr>
      <w:r w:rsidRPr="0075683C">
        <w:rPr>
          <w:rFonts w:ascii="Arial" w:hAnsi="Arial" w:cs="Arial"/>
          <w:snapToGrid w:val="0"/>
          <w:sz w:val="22"/>
          <w:szCs w:val="20"/>
          <w:lang w:eastAsia="en-US"/>
        </w:rPr>
        <w:t xml:space="preserve">By cost-minimising </w:t>
      </w:r>
      <w:proofErr w:type="spellStart"/>
      <w:r w:rsidRPr="0075683C">
        <w:rPr>
          <w:rFonts w:ascii="Arial" w:hAnsi="Arial" w:cs="Arial"/>
          <w:snapToGrid w:val="0"/>
          <w:sz w:val="22"/>
          <w:szCs w:val="20"/>
          <w:lang w:eastAsia="en-US"/>
        </w:rPr>
        <w:t>vortioxetine</w:t>
      </w:r>
      <w:proofErr w:type="spellEnd"/>
      <w:r w:rsidRPr="0075683C">
        <w:rPr>
          <w:rFonts w:ascii="Arial" w:hAnsi="Arial" w:cs="Arial"/>
          <w:snapToGrid w:val="0"/>
          <w:sz w:val="22"/>
          <w:szCs w:val="20"/>
          <w:lang w:eastAsia="en-US"/>
        </w:rPr>
        <w:t xml:space="preserve"> to </w:t>
      </w:r>
      <w:proofErr w:type="spellStart"/>
      <w:r w:rsidRPr="0075683C">
        <w:rPr>
          <w:rFonts w:ascii="Arial" w:hAnsi="Arial" w:cs="Arial"/>
          <w:snapToGrid w:val="0"/>
          <w:sz w:val="22"/>
          <w:szCs w:val="20"/>
          <w:lang w:eastAsia="en-US"/>
        </w:rPr>
        <w:t>desvenl</w:t>
      </w:r>
      <w:r>
        <w:rPr>
          <w:rFonts w:ascii="Arial" w:hAnsi="Arial" w:cs="Arial"/>
          <w:snapToGrid w:val="0"/>
          <w:sz w:val="22"/>
          <w:szCs w:val="20"/>
          <w:lang w:eastAsia="en-US"/>
        </w:rPr>
        <w:t>afaxine</w:t>
      </w:r>
      <w:proofErr w:type="spellEnd"/>
      <w:r w:rsidR="00A672F8">
        <w:rPr>
          <w:rFonts w:ascii="Arial" w:hAnsi="Arial" w:cs="Arial"/>
          <w:snapToGrid w:val="0"/>
          <w:sz w:val="22"/>
          <w:szCs w:val="20"/>
          <w:lang w:eastAsia="en-US"/>
        </w:rPr>
        <w:t xml:space="preserve"> alone</w:t>
      </w:r>
      <w:r>
        <w:rPr>
          <w:rFonts w:ascii="Arial" w:hAnsi="Arial" w:cs="Arial"/>
          <w:snapToGrid w:val="0"/>
          <w:sz w:val="22"/>
          <w:szCs w:val="20"/>
          <w:lang w:eastAsia="en-US"/>
        </w:rPr>
        <w:t>, the submission suggested</w:t>
      </w:r>
      <w:r w:rsidRPr="0075683C">
        <w:rPr>
          <w:rFonts w:ascii="Arial" w:hAnsi="Arial" w:cs="Arial"/>
          <w:snapToGrid w:val="0"/>
          <w:sz w:val="22"/>
          <w:szCs w:val="20"/>
          <w:lang w:eastAsia="en-US"/>
        </w:rPr>
        <w:t xml:space="preserve"> t</w:t>
      </w:r>
      <w:r>
        <w:rPr>
          <w:rFonts w:ascii="Arial" w:hAnsi="Arial" w:cs="Arial"/>
          <w:snapToGrid w:val="0"/>
          <w:sz w:val="22"/>
          <w:szCs w:val="20"/>
          <w:lang w:eastAsia="en-US"/>
        </w:rPr>
        <w:t xml:space="preserve">hat the price of </w:t>
      </w:r>
      <w:proofErr w:type="spellStart"/>
      <w:r>
        <w:rPr>
          <w:rFonts w:ascii="Arial" w:hAnsi="Arial" w:cs="Arial"/>
          <w:snapToGrid w:val="0"/>
          <w:sz w:val="22"/>
          <w:szCs w:val="20"/>
          <w:lang w:eastAsia="en-US"/>
        </w:rPr>
        <w:t>vortioxetine</w:t>
      </w:r>
      <w:proofErr w:type="spellEnd"/>
      <w:r>
        <w:rPr>
          <w:rFonts w:ascii="Arial" w:hAnsi="Arial" w:cs="Arial"/>
          <w:snapToGrid w:val="0"/>
          <w:sz w:val="22"/>
          <w:szCs w:val="20"/>
          <w:lang w:eastAsia="en-US"/>
        </w:rPr>
        <w:t xml:space="preserve"> </w:t>
      </w:r>
      <w:r w:rsidR="00A672F8">
        <w:rPr>
          <w:rFonts w:ascii="Arial" w:hAnsi="Arial" w:cs="Arial"/>
          <w:snapToGrid w:val="0"/>
          <w:sz w:val="22"/>
          <w:szCs w:val="20"/>
          <w:lang w:eastAsia="en-US"/>
        </w:rPr>
        <w:t>could be made more commercially viable than a price based on a cost-minimisation listing against venlafaxine or duloxetine which the submission had noted to have been affected by statutory price reductions through generic competition</w:t>
      </w:r>
      <w:r>
        <w:rPr>
          <w:rFonts w:ascii="Arial" w:hAnsi="Arial" w:cs="Arial"/>
          <w:snapToGrid w:val="0"/>
          <w:sz w:val="22"/>
          <w:szCs w:val="20"/>
          <w:lang w:eastAsia="en-US"/>
        </w:rPr>
        <w:t xml:space="preserve">. </w:t>
      </w:r>
      <w:r w:rsidR="00071841">
        <w:rPr>
          <w:rFonts w:ascii="Arial" w:hAnsi="Arial" w:cs="Arial"/>
          <w:snapToGrid w:val="0"/>
          <w:sz w:val="22"/>
          <w:szCs w:val="20"/>
          <w:lang w:eastAsia="en-US"/>
        </w:rPr>
        <w:t>The ESC considered that t</w:t>
      </w:r>
      <w:r>
        <w:rPr>
          <w:rFonts w:ascii="Arial" w:hAnsi="Arial" w:cs="Arial"/>
          <w:snapToGrid w:val="0"/>
          <w:sz w:val="22"/>
          <w:szCs w:val="20"/>
          <w:lang w:eastAsia="en-US"/>
        </w:rPr>
        <w:t>his wa</w:t>
      </w:r>
      <w:r w:rsidRPr="0075683C">
        <w:rPr>
          <w:rFonts w:ascii="Arial" w:hAnsi="Arial" w:cs="Arial"/>
          <w:snapToGrid w:val="0"/>
          <w:sz w:val="22"/>
          <w:szCs w:val="20"/>
          <w:lang w:eastAsia="en-US"/>
        </w:rPr>
        <w:t xml:space="preserve">s not reasonable. The </w:t>
      </w:r>
      <w:r w:rsidR="00A672F8">
        <w:rPr>
          <w:rFonts w:ascii="Arial" w:hAnsi="Arial" w:cs="Arial"/>
          <w:snapToGrid w:val="0"/>
          <w:sz w:val="22"/>
          <w:szCs w:val="20"/>
          <w:lang w:eastAsia="en-US"/>
        </w:rPr>
        <w:t>economic comparison</w:t>
      </w:r>
      <w:r w:rsidRPr="0075683C">
        <w:rPr>
          <w:rFonts w:ascii="Arial" w:hAnsi="Arial" w:cs="Arial"/>
          <w:snapToGrid w:val="0"/>
          <w:sz w:val="22"/>
          <w:szCs w:val="20"/>
          <w:lang w:eastAsia="en-US"/>
        </w:rPr>
        <w:t xml:space="preserve"> should </w:t>
      </w:r>
      <w:r>
        <w:rPr>
          <w:rFonts w:ascii="Arial" w:hAnsi="Arial" w:cs="Arial"/>
          <w:snapToGrid w:val="0"/>
          <w:sz w:val="22"/>
          <w:szCs w:val="20"/>
          <w:lang w:eastAsia="en-US"/>
        </w:rPr>
        <w:t xml:space="preserve">have </w:t>
      </w:r>
      <w:r w:rsidRPr="0075683C">
        <w:rPr>
          <w:rFonts w:ascii="Arial" w:hAnsi="Arial" w:cs="Arial"/>
          <w:snapToGrid w:val="0"/>
          <w:sz w:val="22"/>
          <w:szCs w:val="20"/>
          <w:lang w:eastAsia="en-US"/>
        </w:rPr>
        <w:t>reflect</w:t>
      </w:r>
      <w:r>
        <w:rPr>
          <w:rFonts w:ascii="Arial" w:hAnsi="Arial" w:cs="Arial"/>
          <w:snapToGrid w:val="0"/>
          <w:sz w:val="22"/>
          <w:szCs w:val="20"/>
          <w:lang w:eastAsia="en-US"/>
        </w:rPr>
        <w:t>ed</w:t>
      </w:r>
      <w:r w:rsidRPr="0075683C">
        <w:rPr>
          <w:rFonts w:ascii="Arial" w:hAnsi="Arial" w:cs="Arial"/>
          <w:snapToGrid w:val="0"/>
          <w:sz w:val="22"/>
          <w:szCs w:val="20"/>
          <w:lang w:eastAsia="en-US"/>
        </w:rPr>
        <w:t xml:space="preserve"> the current range of drugs likely to be displaced</w:t>
      </w:r>
      <w:r w:rsidR="00676DDA">
        <w:rPr>
          <w:rFonts w:ascii="Arial" w:hAnsi="Arial" w:cs="Arial"/>
          <w:snapToGrid w:val="0"/>
          <w:sz w:val="22"/>
          <w:szCs w:val="20"/>
          <w:lang w:eastAsia="en-US"/>
        </w:rPr>
        <w:t xml:space="preserve"> by </w:t>
      </w:r>
      <w:proofErr w:type="spellStart"/>
      <w:r w:rsidR="00676DDA">
        <w:rPr>
          <w:rFonts w:ascii="Arial" w:hAnsi="Arial" w:cs="Arial"/>
          <w:snapToGrid w:val="0"/>
          <w:sz w:val="22"/>
          <w:szCs w:val="20"/>
          <w:lang w:eastAsia="en-US"/>
        </w:rPr>
        <w:t>vortioxetine</w:t>
      </w:r>
      <w:proofErr w:type="spellEnd"/>
      <w:r w:rsidRPr="0075683C">
        <w:rPr>
          <w:rFonts w:ascii="Arial" w:hAnsi="Arial" w:cs="Arial"/>
          <w:snapToGrid w:val="0"/>
          <w:sz w:val="22"/>
          <w:szCs w:val="20"/>
          <w:lang w:eastAsia="en-US"/>
        </w:rPr>
        <w:t>.</w:t>
      </w:r>
    </w:p>
    <w:p w:rsidR="0075683C" w:rsidRPr="0075683C" w:rsidRDefault="0075683C" w:rsidP="0075683C">
      <w:pPr>
        <w:pStyle w:val="ListParagraph"/>
        <w:ind w:left="709"/>
        <w:jc w:val="both"/>
        <w:rPr>
          <w:rFonts w:ascii="Arial" w:hAnsi="Arial" w:cs="Arial"/>
          <w:snapToGrid w:val="0"/>
          <w:sz w:val="22"/>
          <w:szCs w:val="20"/>
          <w:lang w:eastAsia="en-US"/>
        </w:rPr>
      </w:pPr>
    </w:p>
    <w:p w:rsidR="004F1234" w:rsidRPr="0075683C" w:rsidRDefault="0075683C" w:rsidP="002E27EB">
      <w:pPr>
        <w:pStyle w:val="ListParagraph"/>
        <w:numPr>
          <w:ilvl w:val="1"/>
          <w:numId w:val="25"/>
        </w:numPr>
        <w:jc w:val="both"/>
        <w:rPr>
          <w:rFonts w:ascii="Arial" w:hAnsi="Arial" w:cs="Arial"/>
          <w:snapToGrid w:val="0"/>
          <w:sz w:val="22"/>
          <w:szCs w:val="20"/>
          <w:lang w:eastAsia="en-US"/>
        </w:rPr>
      </w:pPr>
      <w:r w:rsidRPr="0075683C">
        <w:rPr>
          <w:rFonts w:ascii="Arial" w:hAnsi="Arial" w:cs="Arial"/>
          <w:snapToGrid w:val="0"/>
          <w:sz w:val="22"/>
          <w:szCs w:val="20"/>
          <w:lang w:eastAsia="en-US"/>
        </w:rPr>
        <w:t xml:space="preserve">The ESC </w:t>
      </w:r>
      <w:r>
        <w:rPr>
          <w:rFonts w:ascii="Arial" w:hAnsi="Arial" w:cs="Arial"/>
          <w:snapToGrid w:val="0"/>
          <w:sz w:val="22"/>
          <w:szCs w:val="20"/>
          <w:lang w:eastAsia="en-US"/>
        </w:rPr>
        <w:t>advised</w:t>
      </w:r>
      <w:r w:rsidRPr="0075683C">
        <w:rPr>
          <w:rFonts w:ascii="Arial" w:hAnsi="Arial" w:cs="Arial"/>
          <w:snapToGrid w:val="0"/>
          <w:sz w:val="22"/>
          <w:szCs w:val="20"/>
          <w:lang w:eastAsia="en-US"/>
        </w:rPr>
        <w:t xml:space="preserve"> that the submission should have used a weighted mean</w:t>
      </w:r>
      <w:r w:rsidR="009A1E8F">
        <w:rPr>
          <w:rFonts w:ascii="Arial" w:hAnsi="Arial" w:cs="Arial"/>
          <w:snapToGrid w:val="0"/>
          <w:sz w:val="22"/>
          <w:szCs w:val="20"/>
          <w:lang w:eastAsia="en-US"/>
        </w:rPr>
        <w:t xml:space="preserve"> price of the drugs</w:t>
      </w:r>
      <w:r w:rsidRPr="0075683C">
        <w:rPr>
          <w:rFonts w:ascii="Arial" w:hAnsi="Arial" w:cs="Arial"/>
          <w:snapToGrid w:val="0"/>
          <w:sz w:val="22"/>
          <w:szCs w:val="20"/>
          <w:lang w:eastAsia="en-US"/>
        </w:rPr>
        <w:t xml:space="preserve"> that would actually be displaced by </w:t>
      </w:r>
      <w:proofErr w:type="spellStart"/>
      <w:r w:rsidRPr="0075683C">
        <w:rPr>
          <w:rFonts w:ascii="Arial" w:hAnsi="Arial" w:cs="Arial"/>
          <w:snapToGrid w:val="0"/>
          <w:sz w:val="22"/>
          <w:szCs w:val="20"/>
          <w:lang w:eastAsia="en-US"/>
        </w:rPr>
        <w:t>vortioxetine</w:t>
      </w:r>
      <w:proofErr w:type="spellEnd"/>
      <w:r w:rsidRPr="0075683C">
        <w:rPr>
          <w:rFonts w:ascii="Arial" w:hAnsi="Arial" w:cs="Arial"/>
          <w:snapToGrid w:val="0"/>
          <w:sz w:val="22"/>
          <w:szCs w:val="20"/>
          <w:lang w:eastAsia="en-US"/>
        </w:rPr>
        <w:t xml:space="preserve">. The ESC noted that the evaluation suggested that this could either be done using a weighted mean of SNRIs, </w:t>
      </w:r>
      <w:r w:rsidRPr="0075683C">
        <w:rPr>
          <w:rFonts w:ascii="Arial" w:hAnsi="Arial" w:cs="Arial"/>
          <w:snapToGrid w:val="0"/>
          <w:sz w:val="22"/>
          <w:szCs w:val="20"/>
          <w:lang w:eastAsia="en-US"/>
        </w:rPr>
        <w:lastRenderedPageBreak/>
        <w:t xml:space="preserve">or a weighted mean of all alternative therapies (SSRIs, SNRIs, tricyclic anti-depressants and other anti-depressants). In the former case (i.e. using the SNRI class as the comparator) the submission estimated the weighted mean DPMQ of SNRIs (i.e. venlafaxine, </w:t>
      </w:r>
      <w:proofErr w:type="spellStart"/>
      <w:r w:rsidRPr="0075683C">
        <w:rPr>
          <w:rFonts w:ascii="Arial" w:hAnsi="Arial" w:cs="Arial"/>
          <w:snapToGrid w:val="0"/>
          <w:sz w:val="22"/>
          <w:szCs w:val="20"/>
          <w:lang w:eastAsia="en-US"/>
        </w:rPr>
        <w:t>desvenlafaxine</w:t>
      </w:r>
      <w:proofErr w:type="spellEnd"/>
      <w:r w:rsidRPr="0075683C">
        <w:rPr>
          <w:rFonts w:ascii="Arial" w:hAnsi="Arial" w:cs="Arial"/>
          <w:snapToGrid w:val="0"/>
          <w:sz w:val="22"/>
          <w:szCs w:val="20"/>
          <w:lang w:eastAsia="en-US"/>
        </w:rPr>
        <w:t xml:space="preserve"> and duloxetine) to be $</w:t>
      </w:r>
      <w:r w:rsidR="00BA24A8">
        <w:rPr>
          <w:rFonts w:ascii="Arial" w:hAnsi="Arial" w:cs="Arial"/>
          <w:noProof/>
          <w:snapToGrid w:val="0"/>
          <w:color w:val="000000"/>
          <w:sz w:val="22"/>
          <w:szCs w:val="20"/>
          <w:highlight w:val="black"/>
          <w:lang w:eastAsia="en-US"/>
        </w:rPr>
        <w:t>'''''''''''''</w:t>
      </w:r>
      <w:r w:rsidRPr="0075683C">
        <w:rPr>
          <w:rFonts w:ascii="Arial" w:hAnsi="Arial" w:cs="Arial"/>
          <w:snapToGrid w:val="0"/>
          <w:sz w:val="22"/>
          <w:szCs w:val="20"/>
          <w:lang w:eastAsia="en-US"/>
        </w:rPr>
        <w:t>, rather than the $</w:t>
      </w:r>
      <w:r w:rsidR="00BA24A8">
        <w:rPr>
          <w:rFonts w:ascii="Arial" w:hAnsi="Arial" w:cs="Arial"/>
          <w:noProof/>
          <w:snapToGrid w:val="0"/>
          <w:color w:val="000000"/>
          <w:sz w:val="22"/>
          <w:szCs w:val="20"/>
          <w:highlight w:val="black"/>
          <w:lang w:eastAsia="en-US"/>
        </w:rPr>
        <w:t>'''''''''''''</w:t>
      </w:r>
      <w:r w:rsidRPr="0075683C">
        <w:rPr>
          <w:rFonts w:ascii="Arial" w:hAnsi="Arial" w:cs="Arial"/>
          <w:snapToGrid w:val="0"/>
          <w:sz w:val="22"/>
          <w:szCs w:val="20"/>
          <w:lang w:eastAsia="en-US"/>
        </w:rPr>
        <w:t xml:space="preserve"> assumed in the submission. This represents a price reduction of </w:t>
      </w:r>
      <w:r w:rsidR="00BA24A8">
        <w:rPr>
          <w:rFonts w:ascii="Arial" w:hAnsi="Arial" w:cs="Arial"/>
          <w:noProof/>
          <w:snapToGrid w:val="0"/>
          <w:color w:val="000000"/>
          <w:sz w:val="22"/>
          <w:szCs w:val="20"/>
          <w:highlight w:val="black"/>
          <w:lang w:eastAsia="en-US"/>
        </w:rPr>
        <w:t>''''''''''</w:t>
      </w:r>
      <w:r w:rsidRPr="0075683C">
        <w:rPr>
          <w:rFonts w:ascii="Arial" w:hAnsi="Arial" w:cs="Arial"/>
          <w:snapToGrid w:val="0"/>
          <w:sz w:val="22"/>
          <w:szCs w:val="20"/>
          <w:lang w:eastAsia="en-US"/>
        </w:rPr>
        <w:t>%. For all alternative therapies</w:t>
      </w:r>
      <w:r w:rsidR="009A1E8F">
        <w:rPr>
          <w:rFonts w:ascii="Arial" w:hAnsi="Arial" w:cs="Arial"/>
          <w:snapToGrid w:val="0"/>
          <w:sz w:val="22"/>
          <w:szCs w:val="20"/>
          <w:lang w:eastAsia="en-US"/>
        </w:rPr>
        <w:t>,</w:t>
      </w:r>
      <w:r w:rsidRPr="0075683C">
        <w:rPr>
          <w:rFonts w:ascii="Arial" w:hAnsi="Arial" w:cs="Arial"/>
          <w:snapToGrid w:val="0"/>
          <w:sz w:val="22"/>
          <w:szCs w:val="20"/>
          <w:lang w:eastAsia="en-US"/>
        </w:rPr>
        <w:t xml:space="preserve"> the submission estimated the cost offset to be between </w:t>
      </w:r>
      <w:r w:rsidR="00BA24A8">
        <w:rPr>
          <w:rFonts w:ascii="Arial" w:hAnsi="Arial" w:cs="Arial"/>
          <w:noProof/>
          <w:snapToGrid w:val="0"/>
          <w:color w:val="000000"/>
          <w:sz w:val="22"/>
          <w:szCs w:val="20"/>
          <w:highlight w:val="black"/>
          <w:lang w:eastAsia="en-US"/>
        </w:rPr>
        <w:t>'''''''''''''''''''''''</w:t>
      </w:r>
      <w:r w:rsidRPr="0075683C">
        <w:rPr>
          <w:rFonts w:ascii="Arial" w:hAnsi="Arial" w:cs="Arial"/>
          <w:snapToGrid w:val="0"/>
          <w:sz w:val="22"/>
          <w:szCs w:val="20"/>
          <w:lang w:eastAsia="en-US"/>
        </w:rPr>
        <w:t xml:space="preserve">% of the cost of </w:t>
      </w:r>
      <w:proofErr w:type="spellStart"/>
      <w:r w:rsidRPr="0075683C">
        <w:rPr>
          <w:rFonts w:ascii="Arial" w:hAnsi="Arial" w:cs="Arial"/>
          <w:snapToGrid w:val="0"/>
          <w:sz w:val="22"/>
          <w:szCs w:val="20"/>
          <w:lang w:eastAsia="en-US"/>
        </w:rPr>
        <w:t>vortioxetine</w:t>
      </w:r>
      <w:proofErr w:type="spellEnd"/>
      <w:r w:rsidRPr="0075683C">
        <w:rPr>
          <w:rFonts w:ascii="Arial" w:hAnsi="Arial" w:cs="Arial"/>
          <w:snapToGrid w:val="0"/>
          <w:sz w:val="22"/>
          <w:szCs w:val="20"/>
          <w:lang w:eastAsia="en-US"/>
        </w:rPr>
        <w:t xml:space="preserve"> (with the small degree of variability driven by the changing share of the market for the different classes). These estimates suggested that, to achieve cost-equivalence relative to a weighted mean of all alternative therapies including second and subsequent line drugs, the proposed price of </w:t>
      </w:r>
      <w:proofErr w:type="spellStart"/>
      <w:r w:rsidRPr="0075683C">
        <w:rPr>
          <w:rFonts w:ascii="Arial" w:hAnsi="Arial" w:cs="Arial"/>
          <w:snapToGrid w:val="0"/>
          <w:sz w:val="22"/>
          <w:szCs w:val="20"/>
          <w:lang w:eastAsia="en-US"/>
        </w:rPr>
        <w:t>vortioxetine</w:t>
      </w:r>
      <w:proofErr w:type="spellEnd"/>
      <w:r w:rsidRPr="0075683C">
        <w:rPr>
          <w:rFonts w:ascii="Arial" w:hAnsi="Arial" w:cs="Arial"/>
          <w:snapToGrid w:val="0"/>
          <w:sz w:val="22"/>
          <w:szCs w:val="20"/>
          <w:lang w:eastAsia="en-US"/>
        </w:rPr>
        <w:t xml:space="preserve"> would have to fall by between </w:t>
      </w:r>
      <w:r w:rsidR="00BA24A8">
        <w:rPr>
          <w:rFonts w:ascii="Arial" w:hAnsi="Arial" w:cs="Arial"/>
          <w:noProof/>
          <w:snapToGrid w:val="0"/>
          <w:color w:val="000000"/>
          <w:sz w:val="22"/>
          <w:szCs w:val="20"/>
          <w:highlight w:val="black"/>
          <w:lang w:eastAsia="en-US"/>
        </w:rPr>
        <w:t xml:space="preserve">'''''''''' </w:t>
      </w:r>
      <w:r w:rsidRPr="0007593F">
        <w:rPr>
          <w:rFonts w:ascii="Arial" w:hAnsi="Arial" w:cs="Arial"/>
          <w:snapToGrid w:val="0"/>
          <w:sz w:val="22"/>
          <w:szCs w:val="20"/>
          <w:lang w:eastAsia="en-US"/>
        </w:rPr>
        <w:t xml:space="preserve">and </w:t>
      </w:r>
      <w:r w:rsidR="00BA24A8">
        <w:rPr>
          <w:rFonts w:ascii="Arial" w:hAnsi="Arial" w:cs="Arial"/>
          <w:noProof/>
          <w:snapToGrid w:val="0"/>
          <w:color w:val="000000"/>
          <w:sz w:val="22"/>
          <w:szCs w:val="20"/>
          <w:highlight w:val="black"/>
          <w:lang w:eastAsia="en-US"/>
        </w:rPr>
        <w:t>'''''''''''</w:t>
      </w:r>
      <w:r w:rsidRPr="0075683C">
        <w:rPr>
          <w:rFonts w:ascii="Arial" w:hAnsi="Arial" w:cs="Arial"/>
          <w:snapToGrid w:val="0"/>
          <w:sz w:val="22"/>
          <w:szCs w:val="20"/>
          <w:lang w:eastAsia="en-US"/>
        </w:rPr>
        <w:t xml:space="preserve">%.  The ESC noted that a weighted mean of SSRIs and other anti-depressants (which would include the SNRIs but exclude tricyclics and monoamine oxidase A inhibitors) would likely equate to a price reduction for </w:t>
      </w:r>
      <w:proofErr w:type="spellStart"/>
      <w:r w:rsidRPr="0075683C">
        <w:rPr>
          <w:rFonts w:ascii="Arial" w:hAnsi="Arial" w:cs="Arial"/>
          <w:snapToGrid w:val="0"/>
          <w:sz w:val="22"/>
          <w:szCs w:val="20"/>
          <w:lang w:eastAsia="en-US"/>
        </w:rPr>
        <w:t>vortioxetine</w:t>
      </w:r>
      <w:proofErr w:type="spellEnd"/>
      <w:r w:rsidRPr="0075683C">
        <w:rPr>
          <w:rFonts w:ascii="Arial" w:hAnsi="Arial" w:cs="Arial"/>
          <w:snapToGrid w:val="0"/>
          <w:sz w:val="22"/>
          <w:szCs w:val="20"/>
          <w:lang w:eastAsia="en-US"/>
        </w:rPr>
        <w:t xml:space="preserve"> somewhere between the 2 estimates mentioned above (i.e. SNRIs or ‘all alternative therapies’) due to the low price of tricyclic anti-depressants.</w:t>
      </w:r>
      <w:r>
        <w:rPr>
          <w:rFonts w:ascii="Arial" w:hAnsi="Arial" w:cs="Arial"/>
          <w:snapToGrid w:val="0"/>
          <w:sz w:val="22"/>
          <w:szCs w:val="20"/>
          <w:lang w:eastAsia="en-US"/>
        </w:rPr>
        <w:t xml:space="preserve"> </w:t>
      </w:r>
    </w:p>
    <w:p w:rsidR="0075683C" w:rsidRPr="0075683C" w:rsidRDefault="0075683C" w:rsidP="0075683C">
      <w:pPr>
        <w:jc w:val="both"/>
        <w:rPr>
          <w:rFonts w:ascii="Arial" w:hAnsi="Arial" w:cs="Arial"/>
          <w:i/>
          <w:snapToGrid w:val="0"/>
          <w:sz w:val="22"/>
          <w:szCs w:val="20"/>
          <w:lang w:eastAsia="en-US"/>
        </w:rPr>
      </w:pPr>
    </w:p>
    <w:p w:rsidR="00BB7EC3" w:rsidRPr="0007593F" w:rsidRDefault="008B68E9" w:rsidP="00D254AF">
      <w:pPr>
        <w:pStyle w:val="ListParagraph"/>
        <w:numPr>
          <w:ilvl w:val="1"/>
          <w:numId w:val="25"/>
        </w:numPr>
        <w:jc w:val="both"/>
        <w:rPr>
          <w:rFonts w:ascii="Arial" w:hAnsi="Arial"/>
          <w:color w:val="FF00FF"/>
          <w:sz w:val="22"/>
          <w:szCs w:val="22"/>
        </w:rPr>
      </w:pPr>
      <w:r w:rsidRPr="0007593F">
        <w:rPr>
          <w:rFonts w:ascii="Arial" w:hAnsi="Arial" w:cs="Arial"/>
          <w:snapToGrid w:val="0"/>
          <w:sz w:val="22"/>
          <w:szCs w:val="20"/>
          <w:lang w:eastAsia="en-US"/>
        </w:rPr>
        <w:t xml:space="preserve">The </w:t>
      </w:r>
      <w:proofErr w:type="spellStart"/>
      <w:r w:rsidRPr="0007593F">
        <w:rPr>
          <w:rFonts w:ascii="Arial" w:hAnsi="Arial" w:cs="Arial"/>
          <w:snapToGrid w:val="0"/>
          <w:sz w:val="22"/>
          <w:szCs w:val="20"/>
          <w:lang w:eastAsia="en-US"/>
        </w:rPr>
        <w:t>equi</w:t>
      </w:r>
      <w:proofErr w:type="spellEnd"/>
      <w:r w:rsidRPr="0007593F">
        <w:rPr>
          <w:rFonts w:ascii="Arial" w:hAnsi="Arial" w:cs="Arial"/>
          <w:snapToGrid w:val="0"/>
          <w:sz w:val="22"/>
          <w:szCs w:val="20"/>
          <w:lang w:eastAsia="en-US"/>
        </w:rPr>
        <w:t>-effective doses we</w:t>
      </w:r>
      <w:r w:rsidR="0075683C" w:rsidRPr="0007593F">
        <w:rPr>
          <w:rFonts w:ascii="Arial" w:hAnsi="Arial" w:cs="Arial"/>
          <w:snapToGrid w:val="0"/>
          <w:sz w:val="22"/>
          <w:szCs w:val="20"/>
          <w:lang w:eastAsia="en-US"/>
        </w:rPr>
        <w:t xml:space="preserve">re estimated as </w:t>
      </w:r>
      <w:proofErr w:type="spellStart"/>
      <w:r w:rsidR="0075683C" w:rsidRPr="0007593F">
        <w:rPr>
          <w:rFonts w:ascii="Arial" w:hAnsi="Arial" w:cs="Arial"/>
          <w:snapToGrid w:val="0"/>
          <w:sz w:val="22"/>
          <w:szCs w:val="20"/>
          <w:lang w:eastAsia="en-US"/>
        </w:rPr>
        <w:t>vortioxetine</w:t>
      </w:r>
      <w:proofErr w:type="spellEnd"/>
      <w:r w:rsidR="0075683C" w:rsidRPr="0007593F">
        <w:rPr>
          <w:rFonts w:ascii="Arial" w:hAnsi="Arial" w:cs="Arial"/>
          <w:snapToGrid w:val="0"/>
          <w:sz w:val="22"/>
          <w:szCs w:val="20"/>
          <w:lang w:eastAsia="en-US"/>
        </w:rPr>
        <w:t xml:space="preserve"> 10 mg daily and </w:t>
      </w:r>
      <w:proofErr w:type="spellStart"/>
      <w:r w:rsidR="0075683C" w:rsidRPr="0007593F">
        <w:rPr>
          <w:rFonts w:ascii="Arial" w:hAnsi="Arial" w:cs="Arial"/>
          <w:snapToGrid w:val="0"/>
          <w:sz w:val="22"/>
          <w:szCs w:val="20"/>
          <w:lang w:eastAsia="en-US"/>
        </w:rPr>
        <w:t>desvenlafaxine</w:t>
      </w:r>
      <w:proofErr w:type="spellEnd"/>
      <w:r w:rsidR="0075683C" w:rsidRPr="0007593F">
        <w:rPr>
          <w:rFonts w:ascii="Arial" w:hAnsi="Arial" w:cs="Arial"/>
          <w:snapToGrid w:val="0"/>
          <w:sz w:val="22"/>
          <w:szCs w:val="20"/>
          <w:lang w:eastAsia="en-US"/>
        </w:rPr>
        <w:t xml:space="preserve"> 100 mg </w:t>
      </w:r>
      <w:r w:rsidR="0007593F" w:rsidRPr="0075683C">
        <w:rPr>
          <w:rFonts w:ascii="Arial" w:hAnsi="Arial" w:cs="Arial"/>
          <w:snapToGrid w:val="0"/>
          <w:sz w:val="22"/>
          <w:szCs w:val="20"/>
          <w:lang w:eastAsia="en-US"/>
        </w:rPr>
        <w:t>daily</w:t>
      </w:r>
      <w:r w:rsidR="0007593F">
        <w:rPr>
          <w:rFonts w:ascii="Arial" w:hAnsi="Arial" w:cs="Arial"/>
          <w:snapToGrid w:val="0"/>
          <w:sz w:val="22"/>
          <w:szCs w:val="20"/>
          <w:lang w:eastAsia="en-US"/>
        </w:rPr>
        <w:t>.</w:t>
      </w:r>
    </w:p>
    <w:p w:rsidR="0007593F" w:rsidRPr="0007593F" w:rsidRDefault="0007593F" w:rsidP="0007593F">
      <w:pPr>
        <w:jc w:val="both"/>
        <w:rPr>
          <w:rFonts w:ascii="Arial" w:hAnsi="Arial"/>
          <w:color w:val="FF00FF"/>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75683C" w:rsidRDefault="0075683C" w:rsidP="00011B16">
      <w:pPr>
        <w:rPr>
          <w:snapToGrid w:val="0"/>
          <w:lang w:eastAsia="en-US"/>
        </w:rPr>
      </w:pPr>
      <w:bookmarkStart w:id="1" w:name="_Toc386015346"/>
      <w:bookmarkStart w:id="2" w:name="_Toc387930870"/>
    </w:p>
    <w:p w:rsidR="0075683C" w:rsidRPr="00011B16" w:rsidRDefault="0075683C" w:rsidP="00011B16">
      <w:pPr>
        <w:ind w:left="720" w:hanging="720"/>
        <w:jc w:val="both"/>
        <w:rPr>
          <w:rFonts w:ascii="Arial" w:hAnsi="Arial"/>
          <w:b/>
          <w:i/>
          <w:sz w:val="22"/>
          <w:szCs w:val="22"/>
        </w:rPr>
      </w:pPr>
      <w:r w:rsidRPr="00011B16">
        <w:rPr>
          <w:rFonts w:ascii="Arial" w:hAnsi="Arial"/>
          <w:b/>
          <w:i/>
          <w:sz w:val="22"/>
          <w:szCs w:val="22"/>
        </w:rPr>
        <w:t>Drug cost/patient/year</w:t>
      </w:r>
      <w:bookmarkEnd w:id="1"/>
      <w:bookmarkEnd w:id="2"/>
    </w:p>
    <w:p w:rsidR="0075683C" w:rsidRPr="0075683C" w:rsidRDefault="0075683C" w:rsidP="0075683C">
      <w:pPr>
        <w:jc w:val="both"/>
        <w:rPr>
          <w:rFonts w:ascii="Arial" w:hAnsi="Arial" w:cs="Arial"/>
          <w:snapToGrid w:val="0"/>
          <w:sz w:val="22"/>
          <w:szCs w:val="22"/>
          <w:lang w:eastAsia="en-US"/>
        </w:rPr>
      </w:pPr>
    </w:p>
    <w:p w:rsidR="0075683C" w:rsidRPr="0075683C" w:rsidRDefault="0075683C" w:rsidP="002E27EB">
      <w:pPr>
        <w:pStyle w:val="ListParagraph"/>
        <w:numPr>
          <w:ilvl w:val="1"/>
          <w:numId w:val="25"/>
        </w:numPr>
        <w:jc w:val="both"/>
        <w:rPr>
          <w:rFonts w:ascii="Arial" w:hAnsi="Arial" w:cs="Arial"/>
          <w:snapToGrid w:val="0"/>
          <w:sz w:val="22"/>
          <w:szCs w:val="22"/>
          <w:lang w:eastAsia="en-US"/>
        </w:rPr>
      </w:pPr>
      <w:r w:rsidRPr="0075683C">
        <w:rPr>
          <w:rFonts w:ascii="Arial" w:hAnsi="Arial" w:cs="Arial"/>
          <w:snapToGrid w:val="0"/>
          <w:sz w:val="22"/>
          <w:szCs w:val="22"/>
          <w:lang w:eastAsia="en-US"/>
        </w:rPr>
        <w:t xml:space="preserve">The </w:t>
      </w:r>
      <w:r>
        <w:rPr>
          <w:rFonts w:ascii="Arial" w:hAnsi="Arial" w:cs="Arial"/>
          <w:snapToGrid w:val="0"/>
          <w:sz w:val="22"/>
          <w:szCs w:val="22"/>
          <w:lang w:eastAsia="en-US"/>
        </w:rPr>
        <w:t>drug cost per patient per year wa</w:t>
      </w:r>
      <w:r w:rsidRPr="0075683C">
        <w:rPr>
          <w:rFonts w:ascii="Arial" w:hAnsi="Arial" w:cs="Arial"/>
          <w:snapToGrid w:val="0"/>
          <w:sz w:val="22"/>
          <w:szCs w:val="22"/>
          <w:lang w:eastAsia="en-US"/>
        </w:rPr>
        <w:t>s $</w:t>
      </w:r>
      <w:r w:rsidR="00BA24A8">
        <w:rPr>
          <w:rFonts w:ascii="Arial" w:hAnsi="Arial" w:cs="Arial"/>
          <w:noProof/>
          <w:snapToGrid w:val="0"/>
          <w:color w:val="000000"/>
          <w:sz w:val="22"/>
          <w:szCs w:val="22"/>
          <w:highlight w:val="black"/>
          <w:lang w:eastAsia="en-US"/>
        </w:rPr>
        <w:t>''''''''''''''''''</w:t>
      </w:r>
      <w:r w:rsidRPr="0075683C">
        <w:rPr>
          <w:rFonts w:ascii="Arial" w:hAnsi="Arial" w:cs="Arial"/>
          <w:snapToGrid w:val="0"/>
          <w:sz w:val="22"/>
          <w:szCs w:val="22"/>
          <w:lang w:eastAsia="en-US"/>
        </w:rPr>
        <w:t>. If the comparator is defined as all agents di</w:t>
      </w:r>
      <w:r>
        <w:rPr>
          <w:rFonts w:ascii="Arial" w:hAnsi="Arial" w:cs="Arial"/>
          <w:snapToGrid w:val="0"/>
          <w:sz w:val="22"/>
          <w:szCs w:val="22"/>
          <w:lang w:eastAsia="en-US"/>
        </w:rPr>
        <w:t xml:space="preserve">splaced, the cost/patient/year </w:t>
      </w:r>
      <w:r w:rsidR="009A1E8F">
        <w:rPr>
          <w:rFonts w:ascii="Arial" w:hAnsi="Arial" w:cs="Arial"/>
          <w:snapToGrid w:val="0"/>
          <w:sz w:val="22"/>
          <w:szCs w:val="22"/>
          <w:lang w:eastAsia="en-US"/>
        </w:rPr>
        <w:t>i</w:t>
      </w:r>
      <w:r w:rsidRPr="0075683C">
        <w:rPr>
          <w:rFonts w:ascii="Arial" w:hAnsi="Arial" w:cs="Arial"/>
          <w:snapToGrid w:val="0"/>
          <w:sz w:val="22"/>
          <w:szCs w:val="22"/>
          <w:lang w:eastAsia="en-US"/>
        </w:rPr>
        <w:t>s between $126.44 and $130.39, with the variability caused by different</w:t>
      </w:r>
      <w:r w:rsidR="009A1E8F">
        <w:rPr>
          <w:rFonts w:ascii="Arial" w:hAnsi="Arial" w:cs="Arial"/>
          <w:snapToGrid w:val="0"/>
          <w:sz w:val="22"/>
          <w:szCs w:val="22"/>
          <w:lang w:eastAsia="en-US"/>
        </w:rPr>
        <w:t xml:space="preserve"> market</w:t>
      </w:r>
      <w:r w:rsidRPr="0075683C">
        <w:rPr>
          <w:rFonts w:ascii="Arial" w:hAnsi="Arial" w:cs="Arial"/>
          <w:snapToGrid w:val="0"/>
          <w:sz w:val="22"/>
          <w:szCs w:val="22"/>
          <w:lang w:eastAsia="en-US"/>
        </w:rPr>
        <w:t xml:space="preserve"> growth rates assumed for different classes of drugs.</w:t>
      </w:r>
      <w:r>
        <w:rPr>
          <w:rFonts w:ascii="Arial" w:hAnsi="Arial" w:cs="Arial"/>
          <w:snapToGrid w:val="0"/>
          <w:sz w:val="22"/>
          <w:szCs w:val="22"/>
          <w:lang w:eastAsia="en-US"/>
        </w:rPr>
        <w:t xml:space="preserve"> </w:t>
      </w:r>
    </w:p>
    <w:p w:rsidR="0075683C" w:rsidRPr="00882085" w:rsidRDefault="0075683C" w:rsidP="0075683C">
      <w:pPr>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8C091D" w:rsidRDefault="008C091D" w:rsidP="002E27EB">
      <w:pPr>
        <w:pStyle w:val="ListParagraph"/>
        <w:numPr>
          <w:ilvl w:val="1"/>
          <w:numId w:val="25"/>
        </w:numPr>
        <w:jc w:val="both"/>
        <w:rPr>
          <w:rFonts w:ascii="Arial" w:hAnsi="Arial"/>
          <w:sz w:val="22"/>
          <w:szCs w:val="22"/>
        </w:rPr>
      </w:pPr>
      <w:r>
        <w:rPr>
          <w:rFonts w:ascii="Arial" w:hAnsi="Arial"/>
          <w:sz w:val="22"/>
          <w:szCs w:val="22"/>
        </w:rPr>
        <w:t>The submission wa</w:t>
      </w:r>
      <w:r w:rsidRPr="008C091D">
        <w:rPr>
          <w:rFonts w:ascii="Arial" w:hAnsi="Arial"/>
          <w:sz w:val="22"/>
          <w:szCs w:val="22"/>
        </w:rPr>
        <w:t>s not considered by DUSC</w:t>
      </w:r>
      <w:r>
        <w:rPr>
          <w:rFonts w:ascii="Arial" w:hAnsi="Arial"/>
          <w:sz w:val="22"/>
          <w:szCs w:val="22"/>
        </w:rPr>
        <w:t xml:space="preserve">. </w:t>
      </w:r>
    </w:p>
    <w:p w:rsidR="008C091D" w:rsidRPr="008C091D" w:rsidRDefault="008C091D" w:rsidP="008C091D">
      <w:pPr>
        <w:pStyle w:val="ListParagraph"/>
        <w:ind w:left="709"/>
        <w:jc w:val="both"/>
        <w:rPr>
          <w:rFonts w:ascii="Arial" w:hAnsi="Arial"/>
          <w:sz w:val="22"/>
          <w:szCs w:val="22"/>
        </w:rPr>
      </w:pPr>
    </w:p>
    <w:p w:rsidR="008C091D" w:rsidRPr="008C091D" w:rsidRDefault="008C091D" w:rsidP="002E27EB">
      <w:pPr>
        <w:pStyle w:val="ListParagraph"/>
        <w:numPr>
          <w:ilvl w:val="1"/>
          <w:numId w:val="25"/>
        </w:numPr>
        <w:jc w:val="both"/>
        <w:rPr>
          <w:rFonts w:ascii="Arial" w:hAnsi="Arial"/>
          <w:sz w:val="22"/>
          <w:szCs w:val="22"/>
        </w:rPr>
      </w:pPr>
      <w:r w:rsidRPr="008C091D">
        <w:rPr>
          <w:rFonts w:ascii="Arial" w:hAnsi="Arial"/>
          <w:sz w:val="22"/>
          <w:szCs w:val="22"/>
        </w:rPr>
        <w:t xml:space="preserve">The likely number of </w:t>
      </w:r>
      <w:r>
        <w:rPr>
          <w:rFonts w:ascii="Arial" w:hAnsi="Arial"/>
          <w:sz w:val="22"/>
          <w:szCs w:val="22"/>
        </w:rPr>
        <w:t>prescriptions</w:t>
      </w:r>
      <w:r w:rsidRPr="008C091D">
        <w:rPr>
          <w:rFonts w:ascii="Arial" w:hAnsi="Arial"/>
          <w:sz w:val="22"/>
          <w:szCs w:val="22"/>
        </w:rPr>
        <w:t xml:space="preserve"> per year was estimated in the submission to be </w:t>
      </w:r>
      <w:r>
        <w:rPr>
          <w:rFonts w:ascii="Arial" w:hAnsi="Arial"/>
          <w:sz w:val="22"/>
          <w:szCs w:val="22"/>
        </w:rPr>
        <w:t>1,138,981</w:t>
      </w:r>
      <w:r w:rsidRPr="008C091D">
        <w:rPr>
          <w:rFonts w:ascii="Arial" w:hAnsi="Arial"/>
          <w:sz w:val="22"/>
          <w:szCs w:val="22"/>
        </w:rPr>
        <w:t xml:space="preserve"> in Year 5, at an esti</w:t>
      </w:r>
      <w:r>
        <w:rPr>
          <w:rFonts w:ascii="Arial" w:hAnsi="Arial"/>
          <w:sz w:val="22"/>
          <w:szCs w:val="22"/>
        </w:rPr>
        <w:t xml:space="preserve">mated net cost per year to the PBS </w:t>
      </w:r>
      <w:r w:rsidRPr="008C091D">
        <w:rPr>
          <w:rFonts w:ascii="Arial" w:hAnsi="Arial"/>
          <w:sz w:val="22"/>
          <w:szCs w:val="22"/>
        </w:rPr>
        <w:t xml:space="preserve">of </w:t>
      </w:r>
      <w:r>
        <w:rPr>
          <w:rFonts w:ascii="Arial" w:hAnsi="Arial"/>
          <w:sz w:val="22"/>
          <w:szCs w:val="22"/>
        </w:rPr>
        <w:t>$</w:t>
      </w:r>
      <w:r w:rsidR="00BA24A8">
        <w:rPr>
          <w:rFonts w:ascii="Arial" w:hAnsi="Arial"/>
          <w:noProof/>
          <w:color w:val="000000"/>
          <w:sz w:val="22"/>
          <w:szCs w:val="22"/>
          <w:highlight w:val="black"/>
        </w:rPr>
        <w:t>'''''''''''''''''''''''''''</w:t>
      </w:r>
      <w:r w:rsidRPr="008C091D">
        <w:rPr>
          <w:rFonts w:ascii="Arial" w:hAnsi="Arial"/>
          <w:sz w:val="22"/>
          <w:szCs w:val="22"/>
        </w:rPr>
        <w:t xml:space="preserve"> in Year 5.</w:t>
      </w:r>
      <w:r>
        <w:rPr>
          <w:rFonts w:ascii="Arial" w:hAnsi="Arial"/>
          <w:sz w:val="22"/>
          <w:szCs w:val="22"/>
        </w:rPr>
        <w:t xml:space="preserve"> </w:t>
      </w:r>
      <w:r w:rsidRPr="008C091D">
        <w:rPr>
          <w:rFonts w:ascii="Arial" w:hAnsi="Arial"/>
          <w:sz w:val="22"/>
          <w:szCs w:val="22"/>
        </w:rPr>
        <w:t>The submission’s estimated PBS usage and financial implications are shown in the table below:</w:t>
      </w:r>
      <w:r w:rsidRPr="008C091D">
        <w:rPr>
          <w:rFonts w:ascii="Arial" w:hAnsi="Arial"/>
          <w:b/>
          <w:sz w:val="22"/>
          <w:szCs w:val="22"/>
        </w:rPr>
        <w:t xml:space="preserve"> </w:t>
      </w:r>
    </w:p>
    <w:p w:rsidR="008C091D" w:rsidRDefault="008C091D" w:rsidP="008C091D">
      <w:pPr>
        <w:pStyle w:val="ListParagraph"/>
        <w:ind w:left="709"/>
        <w:jc w:val="both"/>
        <w:rPr>
          <w:rFonts w:ascii="Arial" w:hAnsi="Arial"/>
          <w:b/>
          <w:color w:val="FF00FF"/>
          <w:sz w:val="22"/>
          <w:szCs w:val="22"/>
        </w:rPr>
      </w:pPr>
    </w:p>
    <w:p w:rsidR="008C091D" w:rsidRPr="008C091D" w:rsidRDefault="008C091D" w:rsidP="008A1C83">
      <w:pPr>
        <w:widowControl w:val="0"/>
        <w:ind w:left="709"/>
        <w:jc w:val="both"/>
        <w:rPr>
          <w:rFonts w:ascii="Arial Narrow" w:hAnsi="Arial Narrow" w:cs="Arial"/>
          <w:b/>
          <w:snapToGrid w:val="0"/>
          <w:sz w:val="20"/>
          <w:szCs w:val="16"/>
          <w:lang w:eastAsia="en-US"/>
        </w:rPr>
      </w:pPr>
      <w:r w:rsidRPr="008C091D">
        <w:rPr>
          <w:rFonts w:ascii="Arial Narrow" w:hAnsi="Arial Narrow" w:cs="Arial"/>
          <w:b/>
          <w:snapToGrid w:val="0"/>
          <w:sz w:val="20"/>
          <w:szCs w:val="16"/>
          <w:lang w:eastAsia="en-US"/>
        </w:rPr>
        <w:t>Estimated use and financial implications</w:t>
      </w:r>
      <w:r>
        <w:rPr>
          <w:rFonts w:ascii="Arial Narrow" w:hAnsi="Arial Narrow" w:cs="Arial"/>
          <w:b/>
          <w:snapToGrid w:val="0"/>
          <w:sz w:val="20"/>
          <w:szCs w:val="16"/>
          <w:lang w:eastAsia="en-US"/>
        </w:rPr>
        <w:t xml:space="preserve"> </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9"/>
        <w:gridCol w:w="1279"/>
        <w:gridCol w:w="1280"/>
        <w:gridCol w:w="1279"/>
        <w:gridCol w:w="1279"/>
        <w:gridCol w:w="1262"/>
      </w:tblGrid>
      <w:tr w:rsidR="008C091D" w:rsidRPr="00DF499D" w:rsidTr="008A1C83">
        <w:trPr>
          <w:tblHeader/>
        </w:trPr>
        <w:tc>
          <w:tcPr>
            <w:tcW w:w="1189" w:type="pct"/>
            <w:shd w:val="clear" w:color="auto" w:fill="auto"/>
            <w:vAlign w:val="center"/>
          </w:tcPr>
          <w:p w:rsidR="008C091D" w:rsidRPr="00DF499D" w:rsidRDefault="008C091D" w:rsidP="008C091D">
            <w:pPr>
              <w:widowControl w:val="0"/>
              <w:tabs>
                <w:tab w:val="left" w:pos="142"/>
              </w:tabs>
              <w:rPr>
                <w:rFonts w:ascii="Arial Narrow" w:hAnsi="Arial Narrow" w:cs="Arial"/>
                <w:b/>
                <w:snapToGrid w:val="0"/>
                <w:sz w:val="20"/>
                <w:szCs w:val="20"/>
                <w:lang w:eastAsia="en-US"/>
              </w:rPr>
            </w:pPr>
          </w:p>
        </w:tc>
        <w:tc>
          <w:tcPr>
            <w:tcW w:w="764" w:type="pct"/>
            <w:shd w:val="clear" w:color="auto" w:fill="auto"/>
          </w:tcPr>
          <w:p w:rsidR="008C091D" w:rsidRPr="00DF499D" w:rsidRDefault="008C091D" w:rsidP="008C091D">
            <w:pPr>
              <w:widowControl w:val="0"/>
              <w:jc w:val="center"/>
              <w:rPr>
                <w:rFonts w:ascii="Arial Narrow" w:hAnsi="Arial Narrow" w:cs="Arial"/>
                <w:b/>
                <w:snapToGrid w:val="0"/>
                <w:sz w:val="20"/>
                <w:szCs w:val="20"/>
                <w:lang w:eastAsia="en-US"/>
              </w:rPr>
            </w:pPr>
            <w:r w:rsidRPr="00DF499D">
              <w:rPr>
                <w:rFonts w:ascii="Arial Narrow" w:hAnsi="Arial Narrow" w:cs="Arial"/>
                <w:b/>
                <w:snapToGrid w:val="0"/>
                <w:sz w:val="20"/>
                <w:szCs w:val="20"/>
                <w:lang w:eastAsia="en-US"/>
              </w:rPr>
              <w:t>2014</w:t>
            </w:r>
          </w:p>
        </w:tc>
        <w:tc>
          <w:tcPr>
            <w:tcW w:w="765" w:type="pct"/>
            <w:shd w:val="clear" w:color="auto" w:fill="auto"/>
          </w:tcPr>
          <w:p w:rsidR="008C091D" w:rsidRPr="00DF499D" w:rsidRDefault="008C091D" w:rsidP="008C091D">
            <w:pPr>
              <w:widowControl w:val="0"/>
              <w:jc w:val="center"/>
              <w:rPr>
                <w:rFonts w:ascii="Arial Narrow" w:hAnsi="Arial Narrow" w:cs="Arial"/>
                <w:b/>
                <w:snapToGrid w:val="0"/>
                <w:sz w:val="20"/>
                <w:szCs w:val="20"/>
                <w:lang w:eastAsia="en-US"/>
              </w:rPr>
            </w:pPr>
            <w:r w:rsidRPr="00DF499D">
              <w:rPr>
                <w:rFonts w:ascii="Arial Narrow" w:hAnsi="Arial Narrow" w:cs="Arial"/>
                <w:b/>
                <w:snapToGrid w:val="0"/>
                <w:sz w:val="20"/>
                <w:szCs w:val="20"/>
                <w:lang w:eastAsia="en-US"/>
              </w:rPr>
              <w:t>2015</w:t>
            </w:r>
          </w:p>
        </w:tc>
        <w:tc>
          <w:tcPr>
            <w:tcW w:w="764" w:type="pct"/>
            <w:shd w:val="clear" w:color="auto" w:fill="auto"/>
          </w:tcPr>
          <w:p w:rsidR="008C091D" w:rsidRPr="00DF499D" w:rsidRDefault="008C091D" w:rsidP="008C091D">
            <w:pPr>
              <w:widowControl w:val="0"/>
              <w:jc w:val="center"/>
              <w:rPr>
                <w:rFonts w:ascii="Arial Narrow" w:hAnsi="Arial Narrow" w:cs="Arial"/>
                <w:b/>
                <w:snapToGrid w:val="0"/>
                <w:sz w:val="20"/>
                <w:szCs w:val="20"/>
                <w:lang w:eastAsia="en-US"/>
              </w:rPr>
            </w:pPr>
            <w:r w:rsidRPr="00DF499D">
              <w:rPr>
                <w:rFonts w:ascii="Arial Narrow" w:hAnsi="Arial Narrow" w:cs="Arial"/>
                <w:b/>
                <w:snapToGrid w:val="0"/>
                <w:sz w:val="20"/>
                <w:szCs w:val="20"/>
                <w:lang w:eastAsia="en-US"/>
              </w:rPr>
              <w:t>2016</w:t>
            </w:r>
          </w:p>
        </w:tc>
        <w:tc>
          <w:tcPr>
            <w:tcW w:w="764" w:type="pct"/>
            <w:shd w:val="clear" w:color="auto" w:fill="auto"/>
          </w:tcPr>
          <w:p w:rsidR="008C091D" w:rsidRPr="00DF499D" w:rsidRDefault="008C091D" w:rsidP="008C091D">
            <w:pPr>
              <w:widowControl w:val="0"/>
              <w:jc w:val="center"/>
              <w:rPr>
                <w:rFonts w:ascii="Arial Narrow" w:hAnsi="Arial Narrow" w:cs="Arial"/>
                <w:b/>
                <w:snapToGrid w:val="0"/>
                <w:sz w:val="20"/>
                <w:szCs w:val="20"/>
                <w:lang w:eastAsia="en-US"/>
              </w:rPr>
            </w:pPr>
            <w:r w:rsidRPr="00DF499D">
              <w:rPr>
                <w:rFonts w:ascii="Arial Narrow" w:hAnsi="Arial Narrow" w:cs="Arial"/>
                <w:b/>
                <w:snapToGrid w:val="0"/>
                <w:sz w:val="20"/>
                <w:szCs w:val="20"/>
                <w:lang w:eastAsia="en-US"/>
              </w:rPr>
              <w:t>2017</w:t>
            </w:r>
          </w:p>
        </w:tc>
        <w:tc>
          <w:tcPr>
            <w:tcW w:w="754" w:type="pct"/>
            <w:shd w:val="clear" w:color="auto" w:fill="auto"/>
          </w:tcPr>
          <w:p w:rsidR="008C091D" w:rsidRPr="00DF499D" w:rsidRDefault="008C091D" w:rsidP="008C091D">
            <w:pPr>
              <w:widowControl w:val="0"/>
              <w:jc w:val="center"/>
              <w:rPr>
                <w:rFonts w:ascii="Arial Narrow" w:hAnsi="Arial Narrow" w:cs="Arial"/>
                <w:b/>
                <w:snapToGrid w:val="0"/>
                <w:sz w:val="20"/>
                <w:szCs w:val="20"/>
                <w:lang w:eastAsia="en-US"/>
              </w:rPr>
            </w:pPr>
            <w:r w:rsidRPr="00DF499D">
              <w:rPr>
                <w:rFonts w:ascii="Arial Narrow" w:hAnsi="Arial Narrow" w:cs="Arial"/>
                <w:b/>
                <w:snapToGrid w:val="0"/>
                <w:sz w:val="20"/>
                <w:szCs w:val="20"/>
                <w:lang w:eastAsia="en-US"/>
              </w:rPr>
              <w:t>2018</w:t>
            </w:r>
          </w:p>
        </w:tc>
      </w:tr>
      <w:tr w:rsidR="008C091D" w:rsidRPr="00DF499D" w:rsidTr="008A1C83">
        <w:tc>
          <w:tcPr>
            <w:tcW w:w="5000" w:type="pct"/>
            <w:gridSpan w:val="6"/>
            <w:shd w:val="clear" w:color="auto" w:fill="auto"/>
            <w:vAlign w:val="center"/>
          </w:tcPr>
          <w:p w:rsidR="008C091D" w:rsidRPr="00DF499D" w:rsidRDefault="008C091D" w:rsidP="008C091D">
            <w:pPr>
              <w:widowControl w:val="0"/>
              <w:rPr>
                <w:rFonts w:ascii="Arial Narrow" w:hAnsi="Arial Narrow" w:cs="Arial"/>
                <w:b/>
                <w:bCs/>
                <w:snapToGrid w:val="0"/>
                <w:color w:val="000000"/>
                <w:sz w:val="20"/>
                <w:szCs w:val="20"/>
                <w:lang w:eastAsia="en-US"/>
              </w:rPr>
            </w:pPr>
            <w:r w:rsidRPr="00DF499D">
              <w:rPr>
                <w:rFonts w:ascii="Arial Narrow" w:hAnsi="Arial Narrow" w:cs="Arial"/>
                <w:b/>
                <w:bCs/>
                <w:snapToGrid w:val="0"/>
                <w:color w:val="000000"/>
                <w:sz w:val="20"/>
                <w:szCs w:val="20"/>
                <w:lang w:eastAsia="en-US"/>
              </w:rPr>
              <w:t>Estimated extent of use</w:t>
            </w:r>
          </w:p>
        </w:tc>
      </w:tr>
      <w:tr w:rsidR="008C091D" w:rsidRPr="00DF499D" w:rsidTr="008A1C83">
        <w:tc>
          <w:tcPr>
            <w:tcW w:w="1189" w:type="pct"/>
            <w:shd w:val="clear" w:color="auto" w:fill="auto"/>
          </w:tcPr>
          <w:p w:rsidR="008C091D" w:rsidRPr="00DF499D" w:rsidRDefault="008C091D" w:rsidP="008C091D">
            <w:pPr>
              <w:widowControl w:val="0"/>
              <w:tabs>
                <w:tab w:val="left" w:pos="142"/>
              </w:tabs>
              <w:rPr>
                <w:rFonts w:ascii="Arial Narrow" w:hAnsi="Arial Narrow" w:cs="Arial"/>
                <w:snapToGrid w:val="0"/>
                <w:sz w:val="20"/>
                <w:szCs w:val="20"/>
                <w:lang w:eastAsia="en-US"/>
              </w:rPr>
            </w:pPr>
            <w:r w:rsidRPr="00DF499D">
              <w:rPr>
                <w:rFonts w:ascii="Arial Narrow" w:hAnsi="Arial Narrow" w:cs="Arial"/>
                <w:snapToGrid w:val="0"/>
                <w:sz w:val="20"/>
                <w:szCs w:val="20"/>
                <w:lang w:eastAsia="en-US"/>
              </w:rPr>
              <w:t>Total patient years (all anti-depressant classes)</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800,608</w:t>
            </w:r>
          </w:p>
        </w:tc>
        <w:tc>
          <w:tcPr>
            <w:tcW w:w="765"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838,182</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873,067</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904,444</w:t>
            </w:r>
          </w:p>
        </w:tc>
        <w:tc>
          <w:tcPr>
            <w:tcW w:w="75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932,351</w:t>
            </w:r>
          </w:p>
        </w:tc>
      </w:tr>
      <w:tr w:rsidR="008C091D" w:rsidRPr="00DF499D" w:rsidTr="008A1C83">
        <w:tc>
          <w:tcPr>
            <w:tcW w:w="1189" w:type="pct"/>
            <w:shd w:val="clear" w:color="auto" w:fill="auto"/>
          </w:tcPr>
          <w:p w:rsidR="008C091D" w:rsidRPr="00DF499D" w:rsidRDefault="008C091D" w:rsidP="008C091D">
            <w:pPr>
              <w:widowControl w:val="0"/>
              <w:tabs>
                <w:tab w:val="left" w:pos="142"/>
              </w:tabs>
              <w:rPr>
                <w:rFonts w:ascii="Arial Narrow" w:hAnsi="Arial Narrow" w:cs="Arial"/>
                <w:snapToGrid w:val="0"/>
                <w:sz w:val="20"/>
                <w:szCs w:val="20"/>
                <w:lang w:eastAsia="en-US"/>
              </w:rPr>
            </w:pPr>
            <w:proofErr w:type="spellStart"/>
            <w:r w:rsidRPr="00DF499D">
              <w:rPr>
                <w:rFonts w:ascii="Arial Narrow" w:hAnsi="Arial Narrow" w:cs="Arial"/>
                <w:snapToGrid w:val="0"/>
                <w:sz w:val="20"/>
                <w:szCs w:val="20"/>
                <w:lang w:eastAsia="en-US"/>
              </w:rPr>
              <w:t>Vortioxetine</w:t>
            </w:r>
            <w:proofErr w:type="spellEnd"/>
            <w:r w:rsidRPr="00DF499D">
              <w:rPr>
                <w:rFonts w:ascii="Arial Narrow" w:hAnsi="Arial Narrow" w:cs="Arial"/>
                <w:snapToGrid w:val="0"/>
                <w:sz w:val="20"/>
                <w:szCs w:val="20"/>
                <w:lang w:eastAsia="en-US"/>
              </w:rPr>
              <w:t xml:space="preserve"> uptake</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1.8%</w:t>
            </w:r>
          </w:p>
        </w:tc>
        <w:tc>
          <w:tcPr>
            <w:tcW w:w="765"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4.9%</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6.8%</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8.4%</w:t>
            </w:r>
          </w:p>
        </w:tc>
        <w:tc>
          <w:tcPr>
            <w:tcW w:w="75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8.4%</w:t>
            </w:r>
          </w:p>
        </w:tc>
      </w:tr>
      <w:tr w:rsidR="008C091D" w:rsidRPr="00DF499D" w:rsidTr="008A1C83">
        <w:tc>
          <w:tcPr>
            <w:tcW w:w="1189" w:type="pct"/>
            <w:shd w:val="clear" w:color="auto" w:fill="auto"/>
          </w:tcPr>
          <w:p w:rsidR="008C091D" w:rsidRPr="00DF499D" w:rsidRDefault="008C091D" w:rsidP="008C091D">
            <w:pPr>
              <w:widowControl w:val="0"/>
              <w:tabs>
                <w:tab w:val="left" w:pos="142"/>
              </w:tabs>
              <w:rPr>
                <w:rFonts w:ascii="Arial Narrow" w:hAnsi="Arial Narrow" w:cs="Arial"/>
                <w:snapToGrid w:val="0"/>
                <w:sz w:val="20"/>
                <w:szCs w:val="20"/>
                <w:lang w:eastAsia="en-US"/>
              </w:rPr>
            </w:pPr>
            <w:proofErr w:type="spellStart"/>
            <w:r w:rsidRPr="00DF499D">
              <w:rPr>
                <w:rFonts w:ascii="Arial Narrow" w:hAnsi="Arial Narrow" w:cs="Arial"/>
                <w:snapToGrid w:val="0"/>
                <w:sz w:val="20"/>
                <w:szCs w:val="20"/>
                <w:lang w:eastAsia="en-US"/>
              </w:rPr>
              <w:t>Vortioxetine</w:t>
            </w:r>
            <w:proofErr w:type="spellEnd"/>
            <w:r w:rsidRPr="00DF499D">
              <w:rPr>
                <w:rFonts w:ascii="Arial Narrow" w:hAnsi="Arial Narrow" w:cs="Arial"/>
                <w:snapToGrid w:val="0"/>
                <w:sz w:val="20"/>
                <w:szCs w:val="20"/>
                <w:lang w:eastAsia="en-US"/>
              </w:rPr>
              <w:t xml:space="preserve"> patient years</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14,430</w:t>
            </w:r>
          </w:p>
        </w:tc>
        <w:tc>
          <w:tcPr>
            <w:tcW w:w="765"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40,962</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59,007</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75,634</w:t>
            </w:r>
          </w:p>
        </w:tc>
        <w:tc>
          <w:tcPr>
            <w:tcW w:w="75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87,374</w:t>
            </w:r>
          </w:p>
        </w:tc>
      </w:tr>
      <w:tr w:rsidR="008C091D" w:rsidRPr="00DF499D" w:rsidTr="008A1C83">
        <w:tc>
          <w:tcPr>
            <w:tcW w:w="1189" w:type="pct"/>
            <w:shd w:val="clear" w:color="auto" w:fill="auto"/>
            <w:vAlign w:val="center"/>
          </w:tcPr>
          <w:p w:rsidR="008C091D" w:rsidRPr="00DF499D" w:rsidRDefault="008C091D" w:rsidP="008C091D">
            <w:pPr>
              <w:widowControl w:val="0"/>
              <w:tabs>
                <w:tab w:val="left" w:pos="142"/>
              </w:tabs>
              <w:rPr>
                <w:rFonts w:ascii="Arial Narrow" w:hAnsi="Arial Narrow" w:cs="Arial"/>
                <w:snapToGrid w:val="0"/>
                <w:sz w:val="20"/>
                <w:szCs w:val="20"/>
                <w:lang w:eastAsia="en-US"/>
              </w:rPr>
            </w:pPr>
            <w:r w:rsidRPr="00DF499D">
              <w:rPr>
                <w:rFonts w:ascii="Arial Narrow" w:hAnsi="Arial Narrow" w:cs="Arial"/>
                <w:snapToGrid w:val="0"/>
                <w:sz w:val="20"/>
                <w:szCs w:val="20"/>
                <w:lang w:eastAsia="en-US"/>
              </w:rPr>
              <w:t>Prescriptions</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188,108</w:t>
            </w:r>
          </w:p>
        </w:tc>
        <w:tc>
          <w:tcPr>
            <w:tcW w:w="765"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533,968</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769,202</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985,940</w:t>
            </w:r>
          </w:p>
        </w:tc>
        <w:tc>
          <w:tcPr>
            <w:tcW w:w="75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1,138,981</w:t>
            </w:r>
          </w:p>
        </w:tc>
      </w:tr>
      <w:tr w:rsidR="008C091D" w:rsidRPr="00DF499D" w:rsidTr="008A1C83">
        <w:tc>
          <w:tcPr>
            <w:tcW w:w="5000" w:type="pct"/>
            <w:gridSpan w:val="6"/>
            <w:shd w:val="clear" w:color="auto" w:fill="auto"/>
            <w:vAlign w:val="center"/>
          </w:tcPr>
          <w:p w:rsidR="008C091D" w:rsidRPr="00DF499D" w:rsidRDefault="008C091D" w:rsidP="008C091D">
            <w:pPr>
              <w:widowControl w:val="0"/>
              <w:rPr>
                <w:rFonts w:ascii="Arial Narrow" w:hAnsi="Arial Narrow" w:cs="Arial"/>
                <w:b/>
                <w:bCs/>
                <w:snapToGrid w:val="0"/>
                <w:color w:val="000000"/>
                <w:sz w:val="20"/>
                <w:szCs w:val="20"/>
                <w:lang w:eastAsia="en-US"/>
              </w:rPr>
            </w:pPr>
            <w:r w:rsidRPr="00DF499D">
              <w:rPr>
                <w:rFonts w:ascii="Arial Narrow" w:hAnsi="Arial Narrow" w:cs="Arial"/>
                <w:b/>
                <w:bCs/>
                <w:snapToGrid w:val="0"/>
                <w:color w:val="000000"/>
                <w:sz w:val="20"/>
                <w:szCs w:val="20"/>
                <w:lang w:eastAsia="en-US"/>
              </w:rPr>
              <w:t>Estimated net cost to PBS/RPBS</w:t>
            </w:r>
          </w:p>
        </w:tc>
      </w:tr>
      <w:tr w:rsidR="008C091D" w:rsidRPr="00DF499D" w:rsidTr="008A1C83">
        <w:tc>
          <w:tcPr>
            <w:tcW w:w="1189" w:type="pct"/>
            <w:shd w:val="clear" w:color="auto" w:fill="auto"/>
            <w:vAlign w:val="center"/>
          </w:tcPr>
          <w:p w:rsidR="008C091D" w:rsidRPr="00DF499D" w:rsidRDefault="008C091D" w:rsidP="008C091D">
            <w:pPr>
              <w:widowControl w:val="0"/>
              <w:tabs>
                <w:tab w:val="left" w:pos="142"/>
              </w:tabs>
              <w:rPr>
                <w:rFonts w:ascii="Arial Narrow" w:hAnsi="Arial Narrow" w:cs="Arial"/>
                <w:snapToGrid w:val="0"/>
                <w:sz w:val="20"/>
                <w:szCs w:val="20"/>
                <w:lang w:eastAsia="en-US"/>
              </w:rPr>
            </w:pPr>
            <w:r w:rsidRPr="00DF499D">
              <w:rPr>
                <w:rFonts w:ascii="Arial Narrow" w:hAnsi="Arial Narrow" w:cs="Arial"/>
                <w:snapToGrid w:val="0"/>
                <w:sz w:val="20"/>
                <w:szCs w:val="20"/>
                <w:lang w:eastAsia="en-US"/>
              </w:rPr>
              <w:t>Cost to PBS</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w:t>
            </w:r>
            <w:r w:rsidR="00BA24A8">
              <w:rPr>
                <w:rFonts w:ascii="Arial Narrow" w:hAnsi="Arial Narrow" w:cs="Arial"/>
                <w:noProof/>
                <w:snapToGrid w:val="0"/>
                <w:color w:val="000000"/>
                <w:sz w:val="20"/>
                <w:szCs w:val="20"/>
                <w:highlight w:val="black"/>
                <w:lang w:eastAsia="en-US"/>
              </w:rPr>
              <w:t>''''''''''''''''''''''''</w:t>
            </w:r>
          </w:p>
        </w:tc>
        <w:tc>
          <w:tcPr>
            <w:tcW w:w="765"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w:t>
            </w:r>
            <w:r w:rsidR="00BA24A8">
              <w:rPr>
                <w:rFonts w:ascii="Arial Narrow" w:hAnsi="Arial Narrow" w:cs="Arial"/>
                <w:noProof/>
                <w:snapToGrid w:val="0"/>
                <w:color w:val="000000"/>
                <w:sz w:val="20"/>
                <w:szCs w:val="20"/>
                <w:highlight w:val="black"/>
                <w:lang w:eastAsia="en-US"/>
              </w:rPr>
              <w:t>''''''''''''''''''''''''''</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w:t>
            </w:r>
            <w:r w:rsidR="00BA24A8">
              <w:rPr>
                <w:rFonts w:ascii="Arial Narrow" w:hAnsi="Arial Narrow" w:cs="Arial"/>
                <w:noProof/>
                <w:snapToGrid w:val="0"/>
                <w:color w:val="000000"/>
                <w:sz w:val="20"/>
                <w:szCs w:val="20"/>
                <w:highlight w:val="black"/>
                <w:lang w:eastAsia="en-US"/>
              </w:rPr>
              <w:t>''''''''''''''''''''''''''''</w:t>
            </w:r>
          </w:p>
        </w:tc>
        <w:tc>
          <w:tcPr>
            <w:tcW w:w="76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w:t>
            </w:r>
            <w:r w:rsidR="00BA24A8">
              <w:rPr>
                <w:rFonts w:ascii="Arial Narrow" w:hAnsi="Arial Narrow" w:cs="Arial"/>
                <w:noProof/>
                <w:snapToGrid w:val="0"/>
                <w:color w:val="000000"/>
                <w:sz w:val="20"/>
                <w:szCs w:val="20"/>
                <w:highlight w:val="black"/>
                <w:lang w:eastAsia="en-US"/>
              </w:rPr>
              <w:t>'''''''''''''''''''''''''</w:t>
            </w:r>
          </w:p>
        </w:tc>
        <w:tc>
          <w:tcPr>
            <w:tcW w:w="754" w:type="pct"/>
            <w:shd w:val="clear" w:color="auto" w:fill="auto"/>
          </w:tcPr>
          <w:p w:rsidR="008C091D" w:rsidRPr="00DF499D" w:rsidRDefault="008C091D" w:rsidP="008C091D">
            <w:pPr>
              <w:widowControl w:val="0"/>
              <w:jc w:val="center"/>
              <w:rPr>
                <w:rFonts w:ascii="Arial Narrow" w:hAnsi="Arial Narrow" w:cs="Arial"/>
                <w:bCs/>
                <w:snapToGrid w:val="0"/>
                <w:color w:val="000000"/>
                <w:sz w:val="20"/>
                <w:szCs w:val="20"/>
                <w:lang w:eastAsia="en-US"/>
              </w:rPr>
            </w:pPr>
            <w:r w:rsidRPr="00DF499D">
              <w:rPr>
                <w:rFonts w:ascii="Arial Narrow" w:hAnsi="Arial Narrow" w:cs="Arial"/>
                <w:snapToGrid w:val="0"/>
                <w:sz w:val="20"/>
                <w:szCs w:val="20"/>
                <w:lang w:eastAsia="en-US"/>
              </w:rPr>
              <w:t>$</w:t>
            </w:r>
            <w:r w:rsidR="00BA24A8">
              <w:rPr>
                <w:rFonts w:ascii="Arial Narrow" w:hAnsi="Arial Narrow" w:cs="Arial"/>
                <w:noProof/>
                <w:snapToGrid w:val="0"/>
                <w:color w:val="000000"/>
                <w:sz w:val="20"/>
                <w:szCs w:val="20"/>
                <w:highlight w:val="black"/>
                <w:lang w:eastAsia="en-US"/>
              </w:rPr>
              <w:t>''''''''''''''''''''''''''''</w:t>
            </w:r>
          </w:p>
        </w:tc>
      </w:tr>
      <w:tr w:rsidR="008C091D" w:rsidRPr="00DF499D" w:rsidTr="008A1C83">
        <w:tc>
          <w:tcPr>
            <w:tcW w:w="1189" w:type="pct"/>
            <w:shd w:val="clear" w:color="auto" w:fill="auto"/>
            <w:vAlign w:val="center"/>
          </w:tcPr>
          <w:p w:rsidR="008C091D" w:rsidRPr="00DF499D" w:rsidRDefault="008C091D" w:rsidP="008C091D">
            <w:pPr>
              <w:widowControl w:val="0"/>
              <w:tabs>
                <w:tab w:val="left" w:pos="142"/>
              </w:tabs>
              <w:rPr>
                <w:rFonts w:ascii="Arial Narrow" w:hAnsi="Arial Narrow" w:cs="Arial"/>
                <w:i/>
                <w:snapToGrid w:val="0"/>
                <w:sz w:val="20"/>
                <w:szCs w:val="20"/>
                <w:lang w:eastAsia="en-US"/>
              </w:rPr>
            </w:pPr>
            <w:r w:rsidRPr="00DF499D">
              <w:rPr>
                <w:rFonts w:ascii="Arial Narrow" w:hAnsi="Arial Narrow" w:cs="Arial"/>
                <w:i/>
                <w:snapToGrid w:val="0"/>
                <w:sz w:val="20"/>
                <w:szCs w:val="20"/>
                <w:lang w:eastAsia="en-US"/>
              </w:rPr>
              <w:t>Offset costs from reduced use of other drugs</w:t>
            </w:r>
          </w:p>
        </w:tc>
        <w:tc>
          <w:tcPr>
            <w:tcW w:w="764" w:type="pct"/>
            <w:shd w:val="clear" w:color="auto" w:fill="auto"/>
            <w:vAlign w:val="center"/>
          </w:tcPr>
          <w:p w:rsidR="008C091D" w:rsidRPr="00DF499D" w:rsidRDefault="008C091D" w:rsidP="008C091D">
            <w:pPr>
              <w:widowControl w:val="0"/>
              <w:jc w:val="center"/>
              <w:rPr>
                <w:rFonts w:ascii="Arial Narrow" w:hAnsi="Arial Narrow" w:cs="Arial"/>
                <w:i/>
                <w:snapToGrid w:val="0"/>
                <w:sz w:val="20"/>
                <w:szCs w:val="20"/>
                <w:lang w:eastAsia="en-US"/>
              </w:rPr>
            </w:pPr>
            <w:r w:rsidRPr="00DF499D">
              <w:rPr>
                <w:rFonts w:ascii="Arial Narrow" w:hAnsi="Arial Narrow" w:cs="Arial"/>
                <w:i/>
                <w:snapToGrid w:val="0"/>
                <w:color w:val="00000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65" w:type="pct"/>
            <w:shd w:val="clear" w:color="auto" w:fill="auto"/>
            <w:vAlign w:val="center"/>
          </w:tcPr>
          <w:p w:rsidR="008C091D" w:rsidRPr="00DF499D" w:rsidRDefault="008C091D" w:rsidP="008C091D">
            <w:pPr>
              <w:widowControl w:val="0"/>
              <w:jc w:val="center"/>
              <w:rPr>
                <w:rFonts w:ascii="Arial Narrow" w:hAnsi="Arial Narrow" w:cs="Arial"/>
                <w:i/>
                <w:snapToGrid w:val="0"/>
                <w:sz w:val="20"/>
                <w:szCs w:val="20"/>
                <w:lang w:eastAsia="en-US"/>
              </w:rPr>
            </w:pPr>
            <w:r w:rsidRPr="00DF499D">
              <w:rPr>
                <w:rFonts w:ascii="Arial Narrow" w:hAnsi="Arial Narrow" w:cs="Arial"/>
                <w:i/>
                <w:snapToGrid w:val="0"/>
                <w:color w:val="00000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64" w:type="pct"/>
            <w:shd w:val="clear" w:color="auto" w:fill="auto"/>
            <w:vAlign w:val="center"/>
          </w:tcPr>
          <w:p w:rsidR="008C091D" w:rsidRPr="00DF499D" w:rsidRDefault="008C091D" w:rsidP="008C091D">
            <w:pPr>
              <w:widowControl w:val="0"/>
              <w:jc w:val="center"/>
              <w:rPr>
                <w:rFonts w:ascii="Arial Narrow" w:hAnsi="Arial Narrow" w:cs="Arial"/>
                <w:i/>
                <w:snapToGrid w:val="0"/>
                <w:sz w:val="20"/>
                <w:szCs w:val="20"/>
                <w:lang w:eastAsia="en-US"/>
              </w:rPr>
            </w:pPr>
            <w:r w:rsidRPr="00DF499D">
              <w:rPr>
                <w:rFonts w:ascii="Arial Narrow" w:hAnsi="Arial Narrow" w:cs="Arial"/>
                <w:i/>
                <w:snapToGrid w:val="0"/>
                <w:color w:val="00000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64" w:type="pct"/>
            <w:shd w:val="clear" w:color="auto" w:fill="auto"/>
            <w:vAlign w:val="center"/>
          </w:tcPr>
          <w:p w:rsidR="008C091D" w:rsidRPr="00DF499D" w:rsidRDefault="008C091D" w:rsidP="008C091D">
            <w:pPr>
              <w:widowControl w:val="0"/>
              <w:jc w:val="center"/>
              <w:rPr>
                <w:rFonts w:ascii="Arial Narrow" w:hAnsi="Arial Narrow" w:cs="Arial"/>
                <w:i/>
                <w:snapToGrid w:val="0"/>
                <w:sz w:val="20"/>
                <w:szCs w:val="20"/>
                <w:lang w:eastAsia="en-US"/>
              </w:rPr>
            </w:pPr>
            <w:r w:rsidRPr="00DF499D">
              <w:rPr>
                <w:rFonts w:ascii="Arial Narrow" w:hAnsi="Arial Narrow" w:cs="Arial"/>
                <w:i/>
                <w:snapToGrid w:val="0"/>
                <w:color w:val="00000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54" w:type="pct"/>
            <w:shd w:val="clear" w:color="auto" w:fill="auto"/>
            <w:vAlign w:val="center"/>
          </w:tcPr>
          <w:p w:rsidR="008C091D" w:rsidRPr="00DF499D" w:rsidRDefault="008C091D" w:rsidP="008C091D">
            <w:pPr>
              <w:widowControl w:val="0"/>
              <w:jc w:val="center"/>
              <w:rPr>
                <w:rFonts w:ascii="Arial Narrow" w:hAnsi="Arial Narrow" w:cs="Arial"/>
                <w:i/>
                <w:snapToGrid w:val="0"/>
                <w:sz w:val="20"/>
                <w:szCs w:val="20"/>
                <w:lang w:eastAsia="en-US"/>
              </w:rPr>
            </w:pPr>
            <w:r w:rsidRPr="00DF499D">
              <w:rPr>
                <w:rFonts w:ascii="Arial Narrow" w:hAnsi="Arial Narrow" w:cs="Arial"/>
                <w:i/>
                <w:snapToGrid w:val="0"/>
                <w:color w:val="000000"/>
                <w:sz w:val="20"/>
                <w:szCs w:val="20"/>
                <w:lang w:eastAsia="en-US"/>
              </w:rPr>
              <w:t>$</w:t>
            </w:r>
            <w:r w:rsidR="00BA24A8">
              <w:rPr>
                <w:rFonts w:ascii="Arial Narrow" w:hAnsi="Arial Narrow" w:cs="Arial"/>
                <w:i/>
                <w:noProof/>
                <w:snapToGrid w:val="0"/>
                <w:color w:val="000000"/>
                <w:sz w:val="20"/>
                <w:szCs w:val="20"/>
                <w:highlight w:val="black"/>
                <w:lang w:eastAsia="en-US"/>
              </w:rPr>
              <w:t>'''''''''''''''''''''''''''''</w:t>
            </w:r>
          </w:p>
        </w:tc>
      </w:tr>
      <w:tr w:rsidR="008C091D" w:rsidRPr="00DF499D" w:rsidTr="008A1C83">
        <w:tc>
          <w:tcPr>
            <w:tcW w:w="5000" w:type="pct"/>
            <w:gridSpan w:val="6"/>
            <w:shd w:val="clear" w:color="auto" w:fill="auto"/>
            <w:vAlign w:val="center"/>
          </w:tcPr>
          <w:p w:rsidR="008C091D" w:rsidRPr="00DF499D" w:rsidRDefault="008C091D" w:rsidP="008C091D">
            <w:pPr>
              <w:widowControl w:val="0"/>
              <w:rPr>
                <w:rFonts w:ascii="Arial Narrow" w:hAnsi="Arial Narrow" w:cs="Arial"/>
                <w:b/>
                <w:snapToGrid w:val="0"/>
                <w:color w:val="000000"/>
                <w:sz w:val="20"/>
                <w:szCs w:val="20"/>
                <w:lang w:eastAsia="en-US"/>
              </w:rPr>
            </w:pPr>
            <w:r w:rsidRPr="00DF499D">
              <w:rPr>
                <w:rFonts w:ascii="Arial Narrow" w:hAnsi="Arial Narrow" w:cs="Arial"/>
                <w:b/>
                <w:snapToGrid w:val="0"/>
                <w:color w:val="000000"/>
                <w:sz w:val="20"/>
                <w:szCs w:val="20"/>
                <w:lang w:eastAsia="en-US"/>
              </w:rPr>
              <w:t>Estimated total net cost</w:t>
            </w:r>
          </w:p>
        </w:tc>
      </w:tr>
      <w:tr w:rsidR="008C091D" w:rsidRPr="00DF499D" w:rsidTr="008A1C83">
        <w:tc>
          <w:tcPr>
            <w:tcW w:w="1189" w:type="pct"/>
            <w:shd w:val="clear" w:color="auto" w:fill="auto"/>
            <w:vAlign w:val="center"/>
          </w:tcPr>
          <w:p w:rsidR="008C091D" w:rsidRPr="00DF499D" w:rsidRDefault="008C091D" w:rsidP="008C091D">
            <w:pPr>
              <w:widowControl w:val="0"/>
              <w:tabs>
                <w:tab w:val="left" w:pos="142"/>
              </w:tabs>
              <w:rPr>
                <w:rFonts w:ascii="Arial Narrow" w:hAnsi="Arial Narrow" w:cs="Arial"/>
                <w:snapToGrid w:val="0"/>
                <w:sz w:val="20"/>
                <w:szCs w:val="20"/>
                <w:lang w:eastAsia="en-US"/>
              </w:rPr>
            </w:pPr>
          </w:p>
        </w:tc>
        <w:tc>
          <w:tcPr>
            <w:tcW w:w="764" w:type="pct"/>
            <w:shd w:val="clear" w:color="auto" w:fill="auto"/>
          </w:tcPr>
          <w:p w:rsidR="008C091D" w:rsidRPr="00DF499D" w:rsidRDefault="008C091D" w:rsidP="008C091D">
            <w:pPr>
              <w:widowControl w:val="0"/>
              <w:jc w:val="center"/>
              <w:rPr>
                <w:rFonts w:ascii="Arial Narrow" w:hAnsi="Arial Narrow" w:cs="Arial"/>
                <w:snapToGrid w:val="0"/>
                <w:color w:val="000000"/>
                <w:sz w:val="20"/>
                <w:szCs w:val="20"/>
                <w:lang w:eastAsia="en-US"/>
              </w:rPr>
            </w:pPr>
            <w:r w:rsidRPr="00DF499D">
              <w:rPr>
                <w:rFonts w:ascii="Arial Narrow" w:hAnsi="Arial Narrow" w:cs="Arial"/>
                <w:i/>
                <w:snapToGrid w:val="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65" w:type="pct"/>
            <w:shd w:val="clear" w:color="auto" w:fill="auto"/>
          </w:tcPr>
          <w:p w:rsidR="008C091D" w:rsidRPr="00DF499D" w:rsidRDefault="008C091D" w:rsidP="008C091D">
            <w:pPr>
              <w:widowControl w:val="0"/>
              <w:jc w:val="center"/>
              <w:rPr>
                <w:rFonts w:ascii="Arial Narrow" w:hAnsi="Arial Narrow" w:cs="Arial"/>
                <w:snapToGrid w:val="0"/>
                <w:color w:val="000000"/>
                <w:sz w:val="20"/>
                <w:szCs w:val="20"/>
                <w:lang w:eastAsia="en-US"/>
              </w:rPr>
            </w:pPr>
            <w:r w:rsidRPr="00DF499D">
              <w:rPr>
                <w:rFonts w:ascii="Arial Narrow" w:hAnsi="Arial Narrow" w:cs="Arial"/>
                <w:i/>
                <w:snapToGrid w:val="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64" w:type="pct"/>
            <w:shd w:val="clear" w:color="auto" w:fill="auto"/>
          </w:tcPr>
          <w:p w:rsidR="008C091D" w:rsidRPr="00DF499D" w:rsidRDefault="008C091D" w:rsidP="008C091D">
            <w:pPr>
              <w:widowControl w:val="0"/>
              <w:jc w:val="center"/>
              <w:rPr>
                <w:rFonts w:ascii="Arial Narrow" w:hAnsi="Arial Narrow" w:cs="Arial"/>
                <w:snapToGrid w:val="0"/>
                <w:color w:val="000000"/>
                <w:sz w:val="20"/>
                <w:szCs w:val="20"/>
                <w:lang w:eastAsia="en-US"/>
              </w:rPr>
            </w:pPr>
            <w:r w:rsidRPr="00DF499D">
              <w:rPr>
                <w:rFonts w:ascii="Arial Narrow" w:hAnsi="Arial Narrow" w:cs="Arial"/>
                <w:i/>
                <w:snapToGrid w:val="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64" w:type="pct"/>
            <w:shd w:val="clear" w:color="auto" w:fill="auto"/>
          </w:tcPr>
          <w:p w:rsidR="008C091D" w:rsidRPr="00DF499D" w:rsidRDefault="008C091D" w:rsidP="008C091D">
            <w:pPr>
              <w:widowControl w:val="0"/>
              <w:jc w:val="center"/>
              <w:rPr>
                <w:rFonts w:ascii="Arial Narrow" w:hAnsi="Arial Narrow" w:cs="Arial"/>
                <w:snapToGrid w:val="0"/>
                <w:color w:val="000000"/>
                <w:sz w:val="20"/>
                <w:szCs w:val="20"/>
                <w:lang w:eastAsia="en-US"/>
              </w:rPr>
            </w:pPr>
            <w:r w:rsidRPr="00DF499D">
              <w:rPr>
                <w:rFonts w:ascii="Arial Narrow" w:hAnsi="Arial Narrow" w:cs="Arial"/>
                <w:i/>
                <w:snapToGrid w:val="0"/>
                <w:sz w:val="20"/>
                <w:szCs w:val="20"/>
                <w:lang w:eastAsia="en-US"/>
              </w:rPr>
              <w:t>$</w:t>
            </w:r>
            <w:r w:rsidR="00BA24A8">
              <w:rPr>
                <w:rFonts w:ascii="Arial Narrow" w:hAnsi="Arial Narrow" w:cs="Arial"/>
                <w:i/>
                <w:noProof/>
                <w:snapToGrid w:val="0"/>
                <w:color w:val="000000"/>
                <w:sz w:val="20"/>
                <w:szCs w:val="20"/>
                <w:highlight w:val="black"/>
                <w:lang w:eastAsia="en-US"/>
              </w:rPr>
              <w:t>'''''''''''''''''''''''''</w:t>
            </w:r>
          </w:p>
        </w:tc>
        <w:tc>
          <w:tcPr>
            <w:tcW w:w="754" w:type="pct"/>
            <w:shd w:val="clear" w:color="auto" w:fill="auto"/>
          </w:tcPr>
          <w:p w:rsidR="008C091D" w:rsidRPr="00DF499D" w:rsidRDefault="008C091D" w:rsidP="008C091D">
            <w:pPr>
              <w:widowControl w:val="0"/>
              <w:jc w:val="center"/>
              <w:rPr>
                <w:rFonts w:ascii="Arial Narrow" w:hAnsi="Arial Narrow" w:cs="Arial"/>
                <w:snapToGrid w:val="0"/>
                <w:color w:val="000000"/>
                <w:sz w:val="20"/>
                <w:szCs w:val="20"/>
                <w:lang w:eastAsia="en-US"/>
              </w:rPr>
            </w:pPr>
            <w:r w:rsidRPr="00DF499D">
              <w:rPr>
                <w:rFonts w:ascii="Arial Narrow" w:hAnsi="Arial Narrow" w:cs="Arial"/>
                <w:i/>
                <w:snapToGrid w:val="0"/>
                <w:sz w:val="20"/>
                <w:szCs w:val="20"/>
                <w:lang w:eastAsia="en-US"/>
              </w:rPr>
              <w:t>$</w:t>
            </w:r>
            <w:r w:rsidR="00BA24A8">
              <w:rPr>
                <w:rFonts w:ascii="Arial Narrow" w:hAnsi="Arial Narrow" w:cs="Arial"/>
                <w:i/>
                <w:noProof/>
                <w:snapToGrid w:val="0"/>
                <w:color w:val="000000"/>
                <w:sz w:val="20"/>
                <w:szCs w:val="20"/>
                <w:highlight w:val="black"/>
                <w:lang w:eastAsia="en-US"/>
              </w:rPr>
              <w:t>''''''''''''''''''''''''''''</w:t>
            </w:r>
          </w:p>
        </w:tc>
      </w:tr>
    </w:tbl>
    <w:p w:rsidR="008C091D" w:rsidRPr="008C091D" w:rsidRDefault="008C091D" w:rsidP="008A1C83">
      <w:pPr>
        <w:widowControl w:val="0"/>
        <w:ind w:left="709"/>
        <w:jc w:val="both"/>
        <w:rPr>
          <w:rFonts w:ascii="Arial Narrow" w:hAnsi="Arial Narrow" w:cs="Arial"/>
          <w:snapToGrid w:val="0"/>
          <w:sz w:val="18"/>
          <w:szCs w:val="20"/>
          <w:lang w:eastAsia="en-US"/>
        </w:rPr>
      </w:pPr>
      <w:r w:rsidRPr="008C091D">
        <w:rPr>
          <w:rFonts w:ascii="Arial Narrow" w:hAnsi="Arial Narrow" w:cs="Arial"/>
          <w:snapToGrid w:val="0"/>
          <w:sz w:val="16"/>
          <w:szCs w:val="18"/>
          <w:lang w:eastAsia="en-US"/>
        </w:rPr>
        <w:t xml:space="preserve">Source: </w:t>
      </w:r>
      <w:r w:rsidRPr="008C091D">
        <w:rPr>
          <w:rFonts w:ascii="Arial Narrow" w:hAnsi="Arial Narrow" w:cs="Arial"/>
          <w:snapToGrid w:val="0"/>
          <w:sz w:val="18"/>
          <w:szCs w:val="20"/>
          <w:lang w:eastAsia="en-US"/>
        </w:rPr>
        <w:t xml:space="preserve">Tables 110 and 117 of the submission. </w:t>
      </w:r>
    </w:p>
    <w:p w:rsidR="008C091D" w:rsidRPr="008C091D" w:rsidRDefault="008C091D" w:rsidP="008A1C83">
      <w:pPr>
        <w:widowControl w:val="0"/>
        <w:ind w:left="709"/>
        <w:jc w:val="both"/>
        <w:rPr>
          <w:rFonts w:ascii="Arial Narrow" w:hAnsi="Arial Narrow" w:cs="Arial"/>
          <w:snapToGrid w:val="0"/>
          <w:color w:val="0000FF"/>
          <w:sz w:val="20"/>
          <w:szCs w:val="20"/>
          <w:lang w:eastAsia="en-US"/>
        </w:rPr>
      </w:pPr>
      <w:r w:rsidRPr="008C091D">
        <w:rPr>
          <w:rFonts w:ascii="Arial Narrow" w:hAnsi="Arial Narrow" w:cs="Arial"/>
          <w:snapToGrid w:val="0"/>
          <w:sz w:val="18"/>
          <w:szCs w:val="20"/>
          <w:lang w:eastAsia="en-US"/>
        </w:rPr>
        <w:t xml:space="preserve">Figures in </w:t>
      </w:r>
      <w:r w:rsidRPr="008C091D">
        <w:rPr>
          <w:rFonts w:ascii="Arial Narrow" w:hAnsi="Arial Narrow" w:cs="Arial"/>
          <w:i/>
          <w:snapToGrid w:val="0"/>
          <w:sz w:val="18"/>
          <w:szCs w:val="20"/>
          <w:lang w:eastAsia="en-US"/>
        </w:rPr>
        <w:t>italics</w:t>
      </w:r>
      <w:r w:rsidRPr="008C091D">
        <w:rPr>
          <w:rFonts w:ascii="Arial Narrow" w:hAnsi="Arial Narrow" w:cs="Arial"/>
          <w:snapToGrid w:val="0"/>
          <w:sz w:val="18"/>
          <w:szCs w:val="20"/>
          <w:lang w:eastAsia="en-US"/>
        </w:rPr>
        <w:t xml:space="preserve"> corrected during the evaluation to reflect current list prices for displaced agents</w:t>
      </w:r>
    </w:p>
    <w:p w:rsidR="008C091D" w:rsidRPr="008C091D" w:rsidRDefault="008C091D" w:rsidP="008C091D">
      <w:pPr>
        <w:jc w:val="both"/>
        <w:rPr>
          <w:rFonts w:ascii="Arial" w:hAnsi="Arial"/>
          <w:sz w:val="22"/>
          <w:szCs w:val="22"/>
        </w:rPr>
      </w:pPr>
    </w:p>
    <w:p w:rsidR="008C091D" w:rsidRDefault="008C091D" w:rsidP="002E27EB">
      <w:pPr>
        <w:pStyle w:val="ListParagraph"/>
        <w:numPr>
          <w:ilvl w:val="1"/>
          <w:numId w:val="25"/>
        </w:numPr>
        <w:jc w:val="both"/>
        <w:rPr>
          <w:rFonts w:ascii="Arial" w:hAnsi="Arial"/>
          <w:sz w:val="22"/>
          <w:szCs w:val="22"/>
        </w:rPr>
      </w:pPr>
      <w:r>
        <w:rPr>
          <w:rFonts w:ascii="Arial" w:hAnsi="Arial"/>
          <w:sz w:val="22"/>
          <w:szCs w:val="22"/>
        </w:rPr>
        <w:lastRenderedPageBreak/>
        <w:t>These figures we</w:t>
      </w:r>
      <w:r w:rsidRPr="008C091D">
        <w:rPr>
          <w:rFonts w:ascii="Arial" w:hAnsi="Arial"/>
          <w:sz w:val="22"/>
          <w:szCs w:val="22"/>
        </w:rPr>
        <w:t>re likely to under-estimate the actual financial implication of listing as the submission assum</w:t>
      </w:r>
      <w:r>
        <w:rPr>
          <w:rFonts w:ascii="Arial" w:hAnsi="Arial"/>
          <w:sz w:val="22"/>
          <w:szCs w:val="22"/>
        </w:rPr>
        <w:t>ed</w:t>
      </w:r>
      <w:r w:rsidRPr="008C091D">
        <w:rPr>
          <w:rFonts w:ascii="Arial" w:hAnsi="Arial"/>
          <w:sz w:val="22"/>
          <w:szCs w:val="22"/>
        </w:rPr>
        <w:t xml:space="preserve"> no use in a treatment-naïve population, an unlikely assumption given the differing adverse even</w:t>
      </w:r>
      <w:r w:rsidR="008B68E9">
        <w:rPr>
          <w:rFonts w:ascii="Arial" w:hAnsi="Arial"/>
          <w:sz w:val="22"/>
          <w:szCs w:val="22"/>
        </w:rPr>
        <w:t>t</w:t>
      </w:r>
      <w:r>
        <w:rPr>
          <w:rFonts w:ascii="Arial" w:hAnsi="Arial"/>
          <w:sz w:val="22"/>
          <w:szCs w:val="22"/>
        </w:rPr>
        <w:t xml:space="preserve"> profile</w:t>
      </w:r>
      <w:r w:rsidRPr="008C091D">
        <w:rPr>
          <w:rFonts w:ascii="Arial" w:hAnsi="Arial"/>
          <w:sz w:val="22"/>
          <w:szCs w:val="22"/>
        </w:rPr>
        <w:t xml:space="preserve"> between </w:t>
      </w:r>
      <w:proofErr w:type="spellStart"/>
      <w:r w:rsidRPr="008C091D">
        <w:rPr>
          <w:rFonts w:ascii="Arial" w:hAnsi="Arial"/>
          <w:sz w:val="22"/>
          <w:szCs w:val="22"/>
        </w:rPr>
        <w:t>vortioxetine</w:t>
      </w:r>
      <w:proofErr w:type="spellEnd"/>
      <w:r w:rsidRPr="008C091D">
        <w:rPr>
          <w:rFonts w:ascii="Arial" w:hAnsi="Arial"/>
          <w:sz w:val="22"/>
          <w:szCs w:val="22"/>
        </w:rPr>
        <w:t xml:space="preserve"> and other agents.</w:t>
      </w:r>
    </w:p>
    <w:p w:rsidR="00A908E5" w:rsidRPr="00DF499D" w:rsidRDefault="00A908E5" w:rsidP="00DF499D">
      <w:pPr>
        <w:rPr>
          <w:rFonts w:ascii="Arial" w:hAnsi="Arial"/>
          <w:sz w:val="22"/>
          <w:szCs w:val="22"/>
        </w:rPr>
      </w:pPr>
    </w:p>
    <w:p w:rsidR="00A908E5" w:rsidRPr="00A908E5" w:rsidRDefault="00A908E5" w:rsidP="002E27EB">
      <w:pPr>
        <w:pStyle w:val="ListParagraph"/>
        <w:numPr>
          <w:ilvl w:val="1"/>
          <w:numId w:val="25"/>
        </w:numPr>
        <w:jc w:val="both"/>
        <w:rPr>
          <w:rFonts w:ascii="Arial" w:hAnsi="Arial" w:cs="Arial"/>
          <w:snapToGrid w:val="0"/>
          <w:sz w:val="22"/>
          <w:szCs w:val="22"/>
          <w:lang w:eastAsia="en-US"/>
        </w:rPr>
      </w:pPr>
      <w:r>
        <w:rPr>
          <w:rFonts w:ascii="Arial" w:hAnsi="Arial" w:cs="Arial"/>
          <w:snapToGrid w:val="0"/>
          <w:sz w:val="22"/>
          <w:szCs w:val="20"/>
          <w:lang w:eastAsia="en-US"/>
        </w:rPr>
        <w:t>The sponsor proposed</w:t>
      </w:r>
      <w:r w:rsidRPr="00A908E5">
        <w:rPr>
          <w:rFonts w:ascii="Arial" w:hAnsi="Arial" w:cs="Arial"/>
          <w:snapToGrid w:val="0"/>
          <w:sz w:val="22"/>
          <w:szCs w:val="20"/>
          <w:lang w:eastAsia="en-US"/>
        </w:rPr>
        <w:t xml:space="preserve"> a risk sharing agreement in the case that a</w:t>
      </w:r>
      <w:r>
        <w:rPr>
          <w:rFonts w:ascii="Arial" w:hAnsi="Arial" w:cs="Arial"/>
          <w:snapToGrid w:val="0"/>
          <w:sz w:val="22"/>
          <w:szCs w:val="20"/>
          <w:lang w:eastAsia="en-US"/>
        </w:rPr>
        <w:t xml:space="preserve">n ‘Authority </w:t>
      </w:r>
      <w:proofErr w:type="gramStart"/>
      <w:r>
        <w:rPr>
          <w:rFonts w:ascii="Arial" w:hAnsi="Arial" w:cs="Arial"/>
          <w:snapToGrid w:val="0"/>
          <w:sz w:val="22"/>
          <w:szCs w:val="20"/>
          <w:lang w:eastAsia="en-US"/>
        </w:rPr>
        <w:t>Required</w:t>
      </w:r>
      <w:proofErr w:type="gramEnd"/>
      <w:r>
        <w:rPr>
          <w:rFonts w:ascii="Arial" w:hAnsi="Arial" w:cs="Arial"/>
          <w:snapToGrid w:val="0"/>
          <w:sz w:val="22"/>
          <w:szCs w:val="20"/>
          <w:lang w:eastAsia="en-US"/>
        </w:rPr>
        <w:t>’ listing wa</w:t>
      </w:r>
      <w:r w:rsidRPr="00A908E5">
        <w:rPr>
          <w:rFonts w:ascii="Arial" w:hAnsi="Arial" w:cs="Arial"/>
          <w:snapToGrid w:val="0"/>
          <w:sz w:val="22"/>
          <w:szCs w:val="20"/>
          <w:lang w:eastAsia="en-US"/>
        </w:rPr>
        <w:t>s not considered a</w:t>
      </w:r>
      <w:r>
        <w:rPr>
          <w:rFonts w:ascii="Arial" w:hAnsi="Arial" w:cs="Arial"/>
          <w:snapToGrid w:val="0"/>
          <w:sz w:val="22"/>
          <w:szCs w:val="20"/>
          <w:lang w:eastAsia="en-US"/>
        </w:rPr>
        <w:t>ppropriate. The sponsor proposed</w:t>
      </w:r>
      <w:r w:rsidRPr="00A908E5">
        <w:rPr>
          <w:rFonts w:ascii="Arial" w:hAnsi="Arial" w:cs="Arial"/>
          <w:snapToGrid w:val="0"/>
          <w:sz w:val="22"/>
          <w:szCs w:val="20"/>
          <w:lang w:eastAsia="en-US"/>
        </w:rPr>
        <w:t xml:space="preserve"> an aggregate spending cap to minimise the risk of leakage into those patients who are not intolerant or contraindicated to </w:t>
      </w:r>
      <w:proofErr w:type="spellStart"/>
      <w:r w:rsidRPr="00A908E5">
        <w:rPr>
          <w:rFonts w:ascii="Arial" w:hAnsi="Arial" w:cs="Arial"/>
          <w:snapToGrid w:val="0"/>
          <w:sz w:val="22"/>
          <w:szCs w:val="20"/>
          <w:lang w:eastAsia="en-US"/>
        </w:rPr>
        <w:t>vo</w:t>
      </w:r>
      <w:r>
        <w:rPr>
          <w:rFonts w:ascii="Arial" w:hAnsi="Arial" w:cs="Arial"/>
          <w:snapToGrid w:val="0"/>
          <w:sz w:val="22"/>
          <w:szCs w:val="20"/>
          <w:lang w:eastAsia="en-US"/>
        </w:rPr>
        <w:t>rtioxetine</w:t>
      </w:r>
      <w:proofErr w:type="spellEnd"/>
      <w:r>
        <w:rPr>
          <w:rFonts w:ascii="Arial" w:hAnsi="Arial" w:cs="Arial"/>
          <w:snapToGrid w:val="0"/>
          <w:sz w:val="22"/>
          <w:szCs w:val="20"/>
          <w:lang w:eastAsia="en-US"/>
        </w:rPr>
        <w:t>. The sponsor proposed</w:t>
      </w:r>
      <w:r w:rsidRPr="00A908E5">
        <w:rPr>
          <w:rFonts w:ascii="Arial" w:hAnsi="Arial" w:cs="Arial"/>
          <w:snapToGrid w:val="0"/>
          <w:sz w:val="22"/>
          <w:szCs w:val="20"/>
          <w:lang w:eastAsia="en-US"/>
        </w:rPr>
        <w:t xml:space="preserve"> to rebate the difference between the proposed price and the current generic weighted price of all the SNRI treatments for all spending on </w:t>
      </w:r>
      <w:proofErr w:type="spellStart"/>
      <w:r w:rsidRPr="00A908E5">
        <w:rPr>
          <w:rFonts w:ascii="Arial" w:hAnsi="Arial" w:cs="Arial"/>
          <w:snapToGrid w:val="0"/>
          <w:sz w:val="22"/>
          <w:szCs w:val="20"/>
          <w:lang w:eastAsia="en-US"/>
        </w:rPr>
        <w:t>vortioxetine</w:t>
      </w:r>
      <w:proofErr w:type="spellEnd"/>
      <w:r w:rsidRPr="00A908E5">
        <w:rPr>
          <w:rFonts w:ascii="Arial" w:hAnsi="Arial" w:cs="Arial"/>
          <w:snapToGrid w:val="0"/>
          <w:sz w:val="22"/>
          <w:szCs w:val="20"/>
          <w:lang w:eastAsia="en-US"/>
        </w:rPr>
        <w:t xml:space="preserve"> over this cap.</w:t>
      </w:r>
      <w:r>
        <w:rPr>
          <w:rFonts w:ascii="Arial" w:hAnsi="Arial" w:cs="Arial"/>
          <w:snapToGrid w:val="0"/>
          <w:sz w:val="22"/>
          <w:szCs w:val="22"/>
          <w:lang w:eastAsia="en-US"/>
        </w:rPr>
        <w:t xml:space="preserve"> </w:t>
      </w:r>
    </w:p>
    <w:p w:rsidR="00BB7EC3" w:rsidRPr="00DF499D" w:rsidRDefault="00BB7EC3" w:rsidP="00DF499D">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Pr="00882085" w:rsidRDefault="00CE10C4" w:rsidP="00882085">
      <w:pPr>
        <w:jc w:val="both"/>
        <w:rPr>
          <w:rFonts w:ascii="Arial" w:hAnsi="Arial"/>
          <w:b/>
          <w:sz w:val="22"/>
          <w:szCs w:val="22"/>
        </w:rPr>
      </w:pPr>
    </w:p>
    <w:p w:rsidR="00326E79" w:rsidRPr="00882085" w:rsidRDefault="00A62C1A" w:rsidP="002E27EB">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p>
    <w:p w:rsidR="00BB7EC3" w:rsidRPr="00E02243" w:rsidRDefault="00BB7EC3" w:rsidP="00E02243">
      <w:pPr>
        <w:jc w:val="both"/>
        <w:rPr>
          <w:rFonts w:ascii="Arial" w:hAnsi="Arial"/>
          <w:sz w:val="22"/>
          <w:szCs w:val="22"/>
        </w:rPr>
      </w:pPr>
    </w:p>
    <w:p w:rsidR="00F41E9F" w:rsidRPr="00F41E9F" w:rsidRDefault="00F41E9F" w:rsidP="002E27EB">
      <w:pPr>
        <w:pStyle w:val="ListParagraph"/>
        <w:numPr>
          <w:ilvl w:val="1"/>
          <w:numId w:val="25"/>
        </w:numPr>
        <w:jc w:val="both"/>
        <w:rPr>
          <w:rFonts w:ascii="Arial" w:hAnsi="Arial"/>
          <w:sz w:val="22"/>
          <w:szCs w:val="22"/>
        </w:rPr>
      </w:pPr>
      <w:r w:rsidRPr="00F41E9F">
        <w:rPr>
          <w:rFonts w:ascii="Arial" w:hAnsi="Arial"/>
          <w:sz w:val="22"/>
          <w:szCs w:val="22"/>
        </w:rPr>
        <w:t xml:space="preserve">The PBAC rejected the submission on the basis that the clinical place of </w:t>
      </w:r>
      <w:proofErr w:type="spellStart"/>
      <w:r w:rsidRPr="00F41E9F">
        <w:rPr>
          <w:rFonts w:ascii="Arial" w:hAnsi="Arial"/>
          <w:sz w:val="22"/>
          <w:szCs w:val="22"/>
        </w:rPr>
        <w:t>vortioxetine</w:t>
      </w:r>
      <w:proofErr w:type="spellEnd"/>
      <w:r w:rsidRPr="00F41E9F">
        <w:rPr>
          <w:rFonts w:ascii="Arial" w:hAnsi="Arial"/>
          <w:sz w:val="22"/>
          <w:szCs w:val="22"/>
        </w:rPr>
        <w:t xml:space="preserve"> relative to SSRIs and SNRIs was unclear and that the claim of non-inferiority of </w:t>
      </w:r>
      <w:proofErr w:type="spellStart"/>
      <w:r w:rsidRPr="00F41E9F">
        <w:rPr>
          <w:rFonts w:ascii="Arial" w:hAnsi="Arial"/>
          <w:sz w:val="22"/>
          <w:szCs w:val="22"/>
        </w:rPr>
        <w:t>vortioxetine</w:t>
      </w:r>
      <w:proofErr w:type="spellEnd"/>
      <w:r w:rsidRPr="00F41E9F">
        <w:rPr>
          <w:rFonts w:ascii="Arial" w:hAnsi="Arial"/>
          <w:sz w:val="22"/>
          <w:szCs w:val="22"/>
        </w:rPr>
        <w:t xml:space="preserve"> compared to duloxetine was not adequately supported. Therefore, the cost-minimisation analysis against </w:t>
      </w:r>
      <w:proofErr w:type="spellStart"/>
      <w:r w:rsidRPr="00F41E9F">
        <w:rPr>
          <w:rFonts w:ascii="Arial" w:hAnsi="Arial"/>
          <w:sz w:val="22"/>
          <w:szCs w:val="22"/>
        </w:rPr>
        <w:t>desvenlafaxine</w:t>
      </w:r>
      <w:proofErr w:type="spellEnd"/>
      <w:r w:rsidRPr="00F41E9F">
        <w:rPr>
          <w:rFonts w:ascii="Arial" w:hAnsi="Arial"/>
          <w:sz w:val="22"/>
          <w:szCs w:val="22"/>
        </w:rPr>
        <w:t xml:space="preserve"> alone and the pre-PBAC response’s proposal to list </w:t>
      </w:r>
      <w:proofErr w:type="spellStart"/>
      <w:r w:rsidRPr="00F41E9F">
        <w:rPr>
          <w:rFonts w:ascii="Arial" w:hAnsi="Arial"/>
          <w:sz w:val="22"/>
          <w:szCs w:val="22"/>
        </w:rPr>
        <w:t>vortioxetine</w:t>
      </w:r>
      <w:proofErr w:type="spellEnd"/>
      <w:r w:rsidRPr="00F41E9F">
        <w:rPr>
          <w:rFonts w:ascii="Arial" w:hAnsi="Arial"/>
          <w:sz w:val="22"/>
          <w:szCs w:val="22"/>
        </w:rPr>
        <w:t xml:space="preserve"> on a cost-minimisation basis against a </w:t>
      </w:r>
      <w:r w:rsidR="00BA24A8">
        <w:rPr>
          <w:rFonts w:ascii="Arial" w:hAnsi="Arial"/>
          <w:noProof/>
          <w:color w:val="000000"/>
          <w:sz w:val="22"/>
          <w:szCs w:val="22"/>
          <w:highlight w:val="black"/>
        </w:rPr>
        <w:t>''''''''''''''''''''</w:t>
      </w:r>
      <w:r w:rsidRPr="00F41E9F">
        <w:rPr>
          <w:rFonts w:ascii="Arial" w:hAnsi="Arial"/>
          <w:sz w:val="22"/>
          <w:szCs w:val="22"/>
        </w:rPr>
        <w:t xml:space="preserve"> </w:t>
      </w:r>
      <w:r>
        <w:rPr>
          <w:rFonts w:ascii="Arial" w:hAnsi="Arial"/>
          <w:sz w:val="22"/>
          <w:szCs w:val="22"/>
        </w:rPr>
        <w:t xml:space="preserve">SNRI class, </w:t>
      </w:r>
      <w:r w:rsidR="004D266B" w:rsidRPr="001B498B">
        <w:rPr>
          <w:rFonts w:ascii="Arial" w:hAnsi="Arial"/>
          <w:sz w:val="22"/>
          <w:szCs w:val="22"/>
        </w:rPr>
        <w:t>were</w:t>
      </w:r>
      <w:r>
        <w:rPr>
          <w:rFonts w:ascii="Arial" w:hAnsi="Arial"/>
          <w:sz w:val="22"/>
          <w:szCs w:val="22"/>
        </w:rPr>
        <w:t xml:space="preserve"> not accepted. </w:t>
      </w:r>
      <w:r w:rsidRPr="00F41E9F">
        <w:rPr>
          <w:rFonts w:ascii="Arial" w:hAnsi="Arial"/>
          <w:sz w:val="22"/>
          <w:szCs w:val="22"/>
        </w:rPr>
        <w:t xml:space="preserve">In its consideration of the relevant comparator, the PBAC was of the view that there was insufficient reason to exclude SSRIs from an economic comparison which consequently did not support a cost-minimisation analysis of </w:t>
      </w:r>
      <w:proofErr w:type="spellStart"/>
      <w:r w:rsidRPr="00F41E9F">
        <w:rPr>
          <w:rFonts w:ascii="Arial" w:hAnsi="Arial"/>
          <w:sz w:val="22"/>
          <w:szCs w:val="22"/>
        </w:rPr>
        <w:t>vortioxetine</w:t>
      </w:r>
      <w:proofErr w:type="spellEnd"/>
      <w:r w:rsidRPr="00F41E9F">
        <w:rPr>
          <w:rFonts w:ascii="Arial" w:hAnsi="Arial"/>
          <w:sz w:val="22"/>
          <w:szCs w:val="22"/>
        </w:rPr>
        <w:t xml:space="preserve"> against a </w:t>
      </w:r>
      <w:r w:rsidR="00BA24A8">
        <w:rPr>
          <w:rFonts w:ascii="Arial" w:hAnsi="Arial"/>
          <w:noProof/>
          <w:color w:val="000000"/>
          <w:sz w:val="22"/>
          <w:szCs w:val="22"/>
          <w:highlight w:val="black"/>
        </w:rPr>
        <w:t>'''''''''''''''''''''</w:t>
      </w:r>
      <w:r w:rsidRPr="00F41E9F">
        <w:rPr>
          <w:rFonts w:ascii="Arial" w:hAnsi="Arial"/>
          <w:sz w:val="22"/>
          <w:szCs w:val="22"/>
        </w:rPr>
        <w:t xml:space="preserve"> SNRI class of drugs.</w:t>
      </w:r>
    </w:p>
    <w:p w:rsidR="00F41E9F" w:rsidRDefault="00F41E9F" w:rsidP="00F41E9F">
      <w:pPr>
        <w:pStyle w:val="ListParagraph"/>
        <w:ind w:left="709"/>
        <w:jc w:val="both"/>
        <w:rPr>
          <w:rFonts w:ascii="Arial" w:hAnsi="Arial"/>
          <w:sz w:val="22"/>
          <w:szCs w:val="22"/>
        </w:rPr>
      </w:pPr>
    </w:p>
    <w:p w:rsidR="00100F4C" w:rsidRDefault="00F41E9F" w:rsidP="002E27EB">
      <w:pPr>
        <w:pStyle w:val="ListParagraph"/>
        <w:numPr>
          <w:ilvl w:val="1"/>
          <w:numId w:val="25"/>
        </w:numPr>
        <w:jc w:val="both"/>
        <w:rPr>
          <w:rFonts w:ascii="Arial" w:hAnsi="Arial"/>
          <w:sz w:val="22"/>
          <w:szCs w:val="22"/>
        </w:rPr>
      </w:pPr>
      <w:r>
        <w:rPr>
          <w:rFonts w:ascii="Arial" w:hAnsi="Arial"/>
          <w:sz w:val="22"/>
          <w:szCs w:val="22"/>
        </w:rPr>
        <w:t>T</w:t>
      </w:r>
      <w:r w:rsidR="00847093">
        <w:rPr>
          <w:rFonts w:ascii="Arial" w:hAnsi="Arial"/>
          <w:sz w:val="22"/>
          <w:szCs w:val="22"/>
        </w:rPr>
        <w:t>he PBAC noted the intent of the r</w:t>
      </w:r>
      <w:r w:rsidR="00BB7EC3" w:rsidRPr="00BB7EC3">
        <w:rPr>
          <w:rFonts w:ascii="Arial" w:hAnsi="Arial"/>
          <w:sz w:val="22"/>
          <w:szCs w:val="22"/>
        </w:rPr>
        <w:t xml:space="preserve">equested listing </w:t>
      </w:r>
      <w:r w:rsidR="00847093">
        <w:rPr>
          <w:rFonts w:ascii="Arial" w:hAnsi="Arial"/>
          <w:sz w:val="22"/>
          <w:szCs w:val="22"/>
        </w:rPr>
        <w:t xml:space="preserve">was to limit treatment to patients who had not responded to first line anti-depressant therapy but that interpreted literally, the requested listing would allow patients to receive </w:t>
      </w:r>
      <w:proofErr w:type="spellStart"/>
      <w:r w:rsidR="00847093">
        <w:rPr>
          <w:rFonts w:ascii="Arial" w:hAnsi="Arial"/>
          <w:sz w:val="22"/>
          <w:szCs w:val="22"/>
        </w:rPr>
        <w:t>vortioxetine</w:t>
      </w:r>
      <w:proofErr w:type="spellEnd"/>
      <w:r w:rsidR="00847093">
        <w:rPr>
          <w:rFonts w:ascii="Arial" w:hAnsi="Arial"/>
          <w:sz w:val="22"/>
          <w:szCs w:val="22"/>
        </w:rPr>
        <w:t xml:space="preserve"> after treatment with just one other anti-depressant therapy</w:t>
      </w:r>
      <w:r w:rsidR="00BB7EC3" w:rsidRPr="00BB7EC3">
        <w:rPr>
          <w:rFonts w:ascii="Arial" w:hAnsi="Arial"/>
          <w:sz w:val="22"/>
          <w:szCs w:val="22"/>
        </w:rPr>
        <w:t>.</w:t>
      </w:r>
      <w:r w:rsidR="00847093">
        <w:rPr>
          <w:rFonts w:ascii="Arial" w:hAnsi="Arial"/>
          <w:sz w:val="22"/>
          <w:szCs w:val="22"/>
        </w:rPr>
        <w:t xml:space="preserve">  The PBAC considered that first-line anti-depressant </w:t>
      </w:r>
      <w:r w:rsidR="005631F8">
        <w:rPr>
          <w:rFonts w:ascii="Arial" w:hAnsi="Arial"/>
          <w:sz w:val="22"/>
          <w:szCs w:val="22"/>
        </w:rPr>
        <w:t xml:space="preserve">therapy </w:t>
      </w:r>
      <w:r w:rsidR="00847093">
        <w:rPr>
          <w:rFonts w:ascii="Arial" w:hAnsi="Arial"/>
          <w:sz w:val="22"/>
          <w:szCs w:val="22"/>
        </w:rPr>
        <w:t xml:space="preserve">could </w:t>
      </w:r>
      <w:r w:rsidR="005631F8">
        <w:rPr>
          <w:rFonts w:ascii="Arial" w:hAnsi="Arial"/>
          <w:sz w:val="22"/>
          <w:szCs w:val="22"/>
        </w:rPr>
        <w:t xml:space="preserve">include SSRIs, SNRIs or anti-depressant therapies classed as ‘other’ in the PBS schedule and therefore the requested listing did not </w:t>
      </w:r>
      <w:r w:rsidR="00735BCC">
        <w:rPr>
          <w:rFonts w:ascii="Arial" w:hAnsi="Arial"/>
          <w:sz w:val="22"/>
          <w:szCs w:val="22"/>
        </w:rPr>
        <w:t xml:space="preserve">truly </w:t>
      </w:r>
      <w:r w:rsidR="005631F8">
        <w:rPr>
          <w:rFonts w:ascii="Arial" w:hAnsi="Arial"/>
          <w:sz w:val="22"/>
          <w:szCs w:val="22"/>
        </w:rPr>
        <w:t xml:space="preserve">position </w:t>
      </w:r>
      <w:proofErr w:type="spellStart"/>
      <w:r w:rsidR="005631F8">
        <w:rPr>
          <w:rFonts w:ascii="Arial" w:hAnsi="Arial"/>
          <w:sz w:val="22"/>
          <w:szCs w:val="22"/>
        </w:rPr>
        <w:t>vortioxetine</w:t>
      </w:r>
      <w:proofErr w:type="spellEnd"/>
      <w:r w:rsidR="005631F8">
        <w:rPr>
          <w:rFonts w:ascii="Arial" w:hAnsi="Arial"/>
          <w:sz w:val="22"/>
          <w:szCs w:val="22"/>
        </w:rPr>
        <w:t xml:space="preserve"> as a second-line therapy. </w:t>
      </w:r>
    </w:p>
    <w:p w:rsidR="00100F4C" w:rsidRDefault="00100F4C" w:rsidP="00100F4C">
      <w:pPr>
        <w:pStyle w:val="ListParagraph"/>
        <w:ind w:left="709"/>
        <w:jc w:val="both"/>
        <w:rPr>
          <w:rFonts w:ascii="Arial" w:hAnsi="Arial"/>
          <w:sz w:val="22"/>
          <w:szCs w:val="22"/>
        </w:rPr>
      </w:pPr>
    </w:p>
    <w:p w:rsidR="00C97767" w:rsidRDefault="00100F4C" w:rsidP="002E27EB">
      <w:pPr>
        <w:pStyle w:val="ListParagraph"/>
        <w:numPr>
          <w:ilvl w:val="1"/>
          <w:numId w:val="25"/>
        </w:numPr>
        <w:jc w:val="both"/>
        <w:rPr>
          <w:rFonts w:ascii="Arial" w:hAnsi="Arial"/>
          <w:sz w:val="22"/>
          <w:szCs w:val="22"/>
        </w:rPr>
      </w:pPr>
      <w:r>
        <w:rPr>
          <w:rFonts w:ascii="Arial" w:hAnsi="Arial"/>
          <w:sz w:val="22"/>
          <w:szCs w:val="22"/>
        </w:rPr>
        <w:t xml:space="preserve">The submission’s </w:t>
      </w:r>
      <w:r w:rsidR="00735BCC">
        <w:rPr>
          <w:rFonts w:ascii="Arial" w:hAnsi="Arial"/>
          <w:sz w:val="22"/>
          <w:szCs w:val="22"/>
        </w:rPr>
        <w:t>proposed</w:t>
      </w:r>
      <w:r>
        <w:rPr>
          <w:rFonts w:ascii="Arial" w:hAnsi="Arial"/>
          <w:sz w:val="22"/>
          <w:szCs w:val="22"/>
        </w:rPr>
        <w:t xml:space="preserve"> the more restrictive</w:t>
      </w:r>
      <w:r w:rsidR="005631F8">
        <w:rPr>
          <w:rFonts w:ascii="Arial" w:hAnsi="Arial"/>
          <w:sz w:val="22"/>
          <w:szCs w:val="22"/>
        </w:rPr>
        <w:t xml:space="preserve"> </w:t>
      </w:r>
      <w:r>
        <w:rPr>
          <w:rFonts w:ascii="Arial" w:hAnsi="Arial"/>
          <w:sz w:val="22"/>
          <w:szCs w:val="22"/>
        </w:rPr>
        <w:t>‘</w:t>
      </w:r>
      <w:r w:rsidR="005631F8">
        <w:rPr>
          <w:rFonts w:ascii="Arial" w:hAnsi="Arial"/>
          <w:sz w:val="22"/>
          <w:szCs w:val="22"/>
        </w:rPr>
        <w:t>Authority required</w:t>
      </w:r>
      <w:r>
        <w:rPr>
          <w:rFonts w:ascii="Arial" w:hAnsi="Arial"/>
          <w:sz w:val="22"/>
          <w:szCs w:val="22"/>
        </w:rPr>
        <w:t>’</w:t>
      </w:r>
      <w:r w:rsidR="005631F8">
        <w:rPr>
          <w:rFonts w:ascii="Arial" w:hAnsi="Arial"/>
          <w:sz w:val="22"/>
          <w:szCs w:val="22"/>
        </w:rPr>
        <w:t xml:space="preserve"> listing </w:t>
      </w:r>
      <w:r w:rsidR="00735BCC">
        <w:rPr>
          <w:rFonts w:ascii="Arial" w:hAnsi="Arial"/>
          <w:sz w:val="22"/>
          <w:szCs w:val="22"/>
        </w:rPr>
        <w:t>for</w:t>
      </w:r>
      <w:r w:rsidR="00B73D73">
        <w:rPr>
          <w:rFonts w:ascii="Arial" w:hAnsi="Arial"/>
          <w:sz w:val="22"/>
          <w:szCs w:val="22"/>
        </w:rPr>
        <w:t xml:space="preserve"> patients who have</w:t>
      </w:r>
      <w:r w:rsidR="005631F8">
        <w:rPr>
          <w:rFonts w:ascii="Arial" w:hAnsi="Arial"/>
          <w:sz w:val="22"/>
          <w:szCs w:val="22"/>
        </w:rPr>
        <w:t xml:space="preserve"> failed other anti-depressant therapy </w:t>
      </w:r>
      <w:r w:rsidR="00735BCC">
        <w:rPr>
          <w:rFonts w:ascii="Arial" w:hAnsi="Arial"/>
          <w:sz w:val="22"/>
          <w:szCs w:val="22"/>
        </w:rPr>
        <w:t xml:space="preserve">in order to justify </w:t>
      </w:r>
      <w:r w:rsidR="005631F8">
        <w:rPr>
          <w:rFonts w:ascii="Arial" w:hAnsi="Arial"/>
          <w:sz w:val="22"/>
          <w:szCs w:val="22"/>
        </w:rPr>
        <w:t xml:space="preserve">a higher </w:t>
      </w:r>
      <w:r>
        <w:rPr>
          <w:rFonts w:ascii="Arial" w:hAnsi="Arial"/>
          <w:sz w:val="22"/>
          <w:szCs w:val="22"/>
        </w:rPr>
        <w:t xml:space="preserve">listing </w:t>
      </w:r>
      <w:r w:rsidR="005631F8">
        <w:rPr>
          <w:rFonts w:ascii="Arial" w:hAnsi="Arial"/>
          <w:sz w:val="22"/>
          <w:szCs w:val="22"/>
        </w:rPr>
        <w:t>price compared to existi</w:t>
      </w:r>
      <w:r>
        <w:rPr>
          <w:rFonts w:ascii="Arial" w:hAnsi="Arial"/>
          <w:sz w:val="22"/>
          <w:szCs w:val="22"/>
        </w:rPr>
        <w:t>ng SSRIs and</w:t>
      </w:r>
      <w:r w:rsidR="005631F8">
        <w:rPr>
          <w:rFonts w:ascii="Arial" w:hAnsi="Arial"/>
          <w:sz w:val="22"/>
          <w:szCs w:val="22"/>
        </w:rPr>
        <w:t xml:space="preserve"> SNRIs </w:t>
      </w:r>
      <w:r w:rsidR="00735BCC">
        <w:rPr>
          <w:rFonts w:ascii="Arial" w:hAnsi="Arial"/>
          <w:sz w:val="22"/>
          <w:szCs w:val="22"/>
        </w:rPr>
        <w:t>(</w:t>
      </w:r>
      <w:r>
        <w:rPr>
          <w:rFonts w:ascii="Arial" w:hAnsi="Arial"/>
          <w:sz w:val="22"/>
          <w:szCs w:val="22"/>
        </w:rPr>
        <w:t>including</w:t>
      </w:r>
      <w:r w:rsidR="005631F8">
        <w:rPr>
          <w:rFonts w:ascii="Arial" w:hAnsi="Arial"/>
          <w:sz w:val="22"/>
          <w:szCs w:val="22"/>
        </w:rPr>
        <w:t xml:space="preserve"> ‘other’ </w:t>
      </w:r>
      <w:r>
        <w:rPr>
          <w:rFonts w:ascii="Arial" w:hAnsi="Arial"/>
          <w:sz w:val="22"/>
          <w:szCs w:val="22"/>
        </w:rPr>
        <w:t xml:space="preserve">anti-depressant therapies such as </w:t>
      </w:r>
      <w:r w:rsidR="00B73D73">
        <w:rPr>
          <w:rFonts w:ascii="Arial" w:hAnsi="Arial"/>
          <w:sz w:val="22"/>
          <w:szCs w:val="22"/>
        </w:rPr>
        <w:t>duloxetine</w:t>
      </w:r>
      <w:r w:rsidR="00735BCC">
        <w:rPr>
          <w:rFonts w:ascii="Arial" w:hAnsi="Arial"/>
          <w:sz w:val="22"/>
          <w:szCs w:val="22"/>
        </w:rPr>
        <w:t>)</w:t>
      </w:r>
      <w:r w:rsidR="001A0C5B">
        <w:rPr>
          <w:rFonts w:ascii="Arial" w:hAnsi="Arial"/>
          <w:sz w:val="22"/>
          <w:szCs w:val="22"/>
        </w:rPr>
        <w:t xml:space="preserve">.  The PBAC did not accept to </w:t>
      </w:r>
      <w:r w:rsidR="00CE7014">
        <w:rPr>
          <w:rFonts w:ascii="Arial" w:hAnsi="Arial"/>
          <w:sz w:val="22"/>
          <w:szCs w:val="22"/>
        </w:rPr>
        <w:t xml:space="preserve">use </w:t>
      </w:r>
      <w:r w:rsidR="001A0C5B">
        <w:rPr>
          <w:rFonts w:ascii="Arial" w:hAnsi="Arial"/>
          <w:sz w:val="22"/>
          <w:szCs w:val="22"/>
        </w:rPr>
        <w:t xml:space="preserve">of </w:t>
      </w:r>
      <w:r w:rsidR="00CE7014">
        <w:rPr>
          <w:rFonts w:ascii="Arial" w:hAnsi="Arial"/>
          <w:sz w:val="22"/>
          <w:szCs w:val="22"/>
        </w:rPr>
        <w:t>an Authority required listing</w:t>
      </w:r>
      <w:r w:rsidR="001A0C5B">
        <w:rPr>
          <w:rFonts w:ascii="Arial" w:hAnsi="Arial"/>
          <w:sz w:val="22"/>
          <w:szCs w:val="22"/>
        </w:rPr>
        <w:t xml:space="preserve"> as a mechanism</w:t>
      </w:r>
      <w:r w:rsidR="00CE7014">
        <w:rPr>
          <w:rFonts w:ascii="Arial" w:hAnsi="Arial"/>
          <w:sz w:val="22"/>
          <w:szCs w:val="22"/>
        </w:rPr>
        <w:t xml:space="preserve"> to justify a higher price relative to existing first-line anti-depressant therapies</w:t>
      </w:r>
      <w:r w:rsidR="00735BCC">
        <w:rPr>
          <w:rFonts w:ascii="Arial" w:hAnsi="Arial"/>
          <w:sz w:val="22"/>
          <w:szCs w:val="22"/>
        </w:rPr>
        <w:t xml:space="preserve">.  The </w:t>
      </w:r>
      <w:r w:rsidR="001A0C5B">
        <w:rPr>
          <w:rFonts w:ascii="Arial" w:hAnsi="Arial"/>
          <w:sz w:val="22"/>
          <w:szCs w:val="22"/>
        </w:rPr>
        <w:t xml:space="preserve">PBAC did not </w:t>
      </w:r>
      <w:r w:rsidR="00735BCC">
        <w:rPr>
          <w:rFonts w:ascii="Arial" w:hAnsi="Arial"/>
          <w:sz w:val="22"/>
          <w:szCs w:val="22"/>
        </w:rPr>
        <w:t>agree that</w:t>
      </w:r>
      <w:r w:rsidR="001A0C5B">
        <w:rPr>
          <w:rFonts w:ascii="Arial" w:hAnsi="Arial"/>
          <w:sz w:val="22"/>
          <w:szCs w:val="22"/>
        </w:rPr>
        <w:t xml:space="preserve"> such a listing would adequately limit treatment to a patient population in which </w:t>
      </w:r>
      <w:proofErr w:type="spellStart"/>
      <w:r w:rsidR="001A0C5B">
        <w:rPr>
          <w:rFonts w:ascii="Arial" w:hAnsi="Arial"/>
          <w:sz w:val="22"/>
          <w:szCs w:val="22"/>
        </w:rPr>
        <w:t>vortioxetine</w:t>
      </w:r>
      <w:proofErr w:type="spellEnd"/>
      <w:r w:rsidR="001A0C5B">
        <w:rPr>
          <w:rFonts w:ascii="Arial" w:hAnsi="Arial"/>
          <w:sz w:val="22"/>
          <w:szCs w:val="22"/>
        </w:rPr>
        <w:t xml:space="preserve"> would be most cost-effective.</w:t>
      </w:r>
      <w:r w:rsidR="00735BCC">
        <w:rPr>
          <w:rFonts w:ascii="Arial" w:hAnsi="Arial"/>
          <w:sz w:val="22"/>
          <w:szCs w:val="22"/>
        </w:rPr>
        <w:t xml:space="preserve">  T</w:t>
      </w:r>
      <w:r w:rsidR="00456B75">
        <w:rPr>
          <w:rFonts w:ascii="Arial" w:hAnsi="Arial"/>
          <w:sz w:val="22"/>
          <w:szCs w:val="22"/>
        </w:rPr>
        <w:t xml:space="preserve">he PBAC considered that the requested listing should reflect </w:t>
      </w:r>
      <w:proofErr w:type="spellStart"/>
      <w:r w:rsidR="00456B75">
        <w:rPr>
          <w:rFonts w:ascii="Arial" w:hAnsi="Arial"/>
          <w:sz w:val="22"/>
          <w:szCs w:val="22"/>
        </w:rPr>
        <w:t>vortioxetine’s</w:t>
      </w:r>
      <w:proofErr w:type="spellEnd"/>
      <w:r w:rsidR="00456B75">
        <w:rPr>
          <w:rFonts w:ascii="Arial" w:hAnsi="Arial"/>
          <w:sz w:val="22"/>
          <w:szCs w:val="22"/>
        </w:rPr>
        <w:t xml:space="preserve"> clinical place in therapy.</w:t>
      </w:r>
    </w:p>
    <w:p w:rsidR="00C97767" w:rsidRPr="00C97767" w:rsidRDefault="00C97767" w:rsidP="00C97767">
      <w:pPr>
        <w:pStyle w:val="ListParagraph"/>
        <w:rPr>
          <w:rFonts w:ascii="Arial" w:hAnsi="Arial"/>
          <w:sz w:val="22"/>
          <w:szCs w:val="22"/>
        </w:rPr>
      </w:pPr>
    </w:p>
    <w:p w:rsidR="00735BCC" w:rsidRDefault="00C97767" w:rsidP="002E27EB">
      <w:pPr>
        <w:pStyle w:val="ListParagraph"/>
        <w:numPr>
          <w:ilvl w:val="1"/>
          <w:numId w:val="25"/>
        </w:numPr>
        <w:jc w:val="both"/>
        <w:rPr>
          <w:rFonts w:ascii="Arial" w:hAnsi="Arial"/>
          <w:sz w:val="22"/>
          <w:szCs w:val="22"/>
        </w:rPr>
      </w:pPr>
      <w:r w:rsidRPr="009A36DD">
        <w:rPr>
          <w:rFonts w:ascii="Arial" w:hAnsi="Arial"/>
          <w:sz w:val="22"/>
          <w:szCs w:val="22"/>
        </w:rPr>
        <w:t xml:space="preserve"> </w:t>
      </w:r>
      <w:r w:rsidR="00456B75" w:rsidRPr="009A36DD">
        <w:rPr>
          <w:rFonts w:ascii="Arial" w:hAnsi="Arial"/>
          <w:sz w:val="22"/>
          <w:szCs w:val="22"/>
        </w:rPr>
        <w:t xml:space="preserve">The </w:t>
      </w:r>
      <w:r w:rsidR="00735BCC" w:rsidRPr="009A36DD">
        <w:rPr>
          <w:rFonts w:ascii="Arial" w:hAnsi="Arial"/>
          <w:sz w:val="22"/>
          <w:szCs w:val="22"/>
        </w:rPr>
        <w:t xml:space="preserve">PBAC </w:t>
      </w:r>
      <w:r w:rsidR="00735BCC">
        <w:rPr>
          <w:rFonts w:ascii="Arial" w:hAnsi="Arial"/>
          <w:sz w:val="22"/>
          <w:szCs w:val="22"/>
        </w:rPr>
        <w:t xml:space="preserve">considered that the </w:t>
      </w:r>
      <w:r w:rsidR="00456B75" w:rsidRPr="009A36DD">
        <w:rPr>
          <w:rFonts w:ascii="Arial" w:hAnsi="Arial"/>
          <w:sz w:val="22"/>
          <w:szCs w:val="22"/>
        </w:rPr>
        <w:t>c</w:t>
      </w:r>
      <w:r w:rsidR="00BB7EC3" w:rsidRPr="009A36DD">
        <w:rPr>
          <w:rFonts w:ascii="Arial" w:hAnsi="Arial"/>
          <w:sz w:val="22"/>
          <w:szCs w:val="22"/>
        </w:rPr>
        <w:t>li</w:t>
      </w:r>
      <w:r w:rsidR="00456B75" w:rsidRPr="009A36DD">
        <w:rPr>
          <w:rFonts w:ascii="Arial" w:hAnsi="Arial"/>
          <w:sz w:val="22"/>
          <w:szCs w:val="22"/>
        </w:rPr>
        <w:t xml:space="preserve">nical place of </w:t>
      </w:r>
      <w:proofErr w:type="spellStart"/>
      <w:r w:rsidR="00456B75" w:rsidRPr="009A36DD">
        <w:rPr>
          <w:rFonts w:ascii="Arial" w:hAnsi="Arial"/>
          <w:sz w:val="22"/>
          <w:szCs w:val="22"/>
        </w:rPr>
        <w:t>vortioxetine</w:t>
      </w:r>
      <w:proofErr w:type="spellEnd"/>
      <w:r w:rsidR="00456B75" w:rsidRPr="009A36DD">
        <w:rPr>
          <w:rFonts w:ascii="Arial" w:hAnsi="Arial"/>
          <w:sz w:val="22"/>
          <w:szCs w:val="22"/>
        </w:rPr>
        <w:t xml:space="preserve"> in the treatment of depression was unclear </w:t>
      </w:r>
      <w:r w:rsidR="00E91119" w:rsidRPr="009A36DD">
        <w:rPr>
          <w:rFonts w:ascii="Arial" w:hAnsi="Arial"/>
          <w:sz w:val="22"/>
          <w:szCs w:val="22"/>
        </w:rPr>
        <w:t>for several reasons</w:t>
      </w:r>
      <w:r w:rsidR="007A007B">
        <w:rPr>
          <w:rFonts w:ascii="Arial" w:hAnsi="Arial"/>
          <w:sz w:val="22"/>
          <w:szCs w:val="22"/>
        </w:rPr>
        <w:t>:</w:t>
      </w:r>
      <w:r w:rsidR="00E91119" w:rsidRPr="009A36DD">
        <w:rPr>
          <w:rFonts w:ascii="Arial" w:hAnsi="Arial"/>
          <w:sz w:val="22"/>
          <w:szCs w:val="22"/>
        </w:rPr>
        <w:t xml:space="preserve"> </w:t>
      </w:r>
    </w:p>
    <w:p w:rsidR="00735BCC" w:rsidRDefault="00735BCC" w:rsidP="00690642">
      <w:pPr>
        <w:pStyle w:val="ListParagraph"/>
        <w:numPr>
          <w:ilvl w:val="0"/>
          <w:numId w:val="48"/>
        </w:numPr>
        <w:ind w:left="1134" w:hanging="425"/>
        <w:jc w:val="both"/>
        <w:rPr>
          <w:rFonts w:ascii="Arial" w:hAnsi="Arial"/>
          <w:sz w:val="22"/>
          <w:szCs w:val="22"/>
        </w:rPr>
      </w:pPr>
      <w:proofErr w:type="spellStart"/>
      <w:r>
        <w:rPr>
          <w:rFonts w:ascii="Arial" w:hAnsi="Arial"/>
          <w:sz w:val="22"/>
          <w:szCs w:val="22"/>
        </w:rPr>
        <w:t>V</w:t>
      </w:r>
      <w:r w:rsidR="00E91119" w:rsidRPr="00735BCC">
        <w:rPr>
          <w:rFonts w:ascii="Arial" w:hAnsi="Arial"/>
          <w:sz w:val="22"/>
          <w:szCs w:val="22"/>
        </w:rPr>
        <w:t>ortioxetine</w:t>
      </w:r>
      <w:proofErr w:type="spellEnd"/>
      <w:r w:rsidR="00E91119" w:rsidRPr="00735BCC">
        <w:rPr>
          <w:rFonts w:ascii="Arial" w:hAnsi="Arial"/>
          <w:sz w:val="22"/>
          <w:szCs w:val="22"/>
        </w:rPr>
        <w:t xml:space="preserve"> has only recently been TGA registered</w:t>
      </w:r>
      <w:r w:rsidR="004B2144" w:rsidRPr="00735BCC">
        <w:rPr>
          <w:rFonts w:ascii="Arial" w:hAnsi="Arial"/>
          <w:sz w:val="22"/>
          <w:szCs w:val="22"/>
        </w:rPr>
        <w:t xml:space="preserve"> and therefore </w:t>
      </w:r>
      <w:r w:rsidR="00E91119" w:rsidRPr="00735BCC">
        <w:rPr>
          <w:rFonts w:ascii="Arial" w:hAnsi="Arial"/>
          <w:sz w:val="22"/>
          <w:szCs w:val="22"/>
        </w:rPr>
        <w:t xml:space="preserve">that there is </w:t>
      </w:r>
      <w:r w:rsidR="004B2144" w:rsidRPr="00735BCC">
        <w:rPr>
          <w:rFonts w:ascii="Arial" w:hAnsi="Arial"/>
          <w:sz w:val="22"/>
          <w:szCs w:val="22"/>
        </w:rPr>
        <w:t xml:space="preserve">limited clinical </w:t>
      </w:r>
      <w:r w:rsidR="00E91119" w:rsidRPr="00735BCC">
        <w:rPr>
          <w:rFonts w:ascii="Arial" w:hAnsi="Arial"/>
          <w:sz w:val="22"/>
          <w:szCs w:val="22"/>
        </w:rPr>
        <w:t xml:space="preserve">treatment </w:t>
      </w:r>
      <w:r w:rsidR="004B2144" w:rsidRPr="00735BCC">
        <w:rPr>
          <w:rFonts w:ascii="Arial" w:hAnsi="Arial"/>
          <w:sz w:val="22"/>
          <w:szCs w:val="22"/>
        </w:rPr>
        <w:t>experience</w:t>
      </w:r>
      <w:r w:rsidR="00E91119" w:rsidRPr="00735BCC">
        <w:rPr>
          <w:rFonts w:ascii="Arial" w:hAnsi="Arial"/>
          <w:sz w:val="22"/>
          <w:szCs w:val="22"/>
        </w:rPr>
        <w:t xml:space="preserve"> with </w:t>
      </w:r>
      <w:proofErr w:type="spellStart"/>
      <w:r w:rsidR="00E91119" w:rsidRPr="00735BCC">
        <w:rPr>
          <w:rFonts w:ascii="Arial" w:hAnsi="Arial"/>
          <w:sz w:val="22"/>
          <w:szCs w:val="22"/>
        </w:rPr>
        <w:t>vortioxetine</w:t>
      </w:r>
      <w:proofErr w:type="spellEnd"/>
      <w:r w:rsidR="007A007B">
        <w:rPr>
          <w:rFonts w:ascii="Arial" w:hAnsi="Arial"/>
          <w:sz w:val="22"/>
          <w:szCs w:val="22"/>
        </w:rPr>
        <w:t>;</w:t>
      </w:r>
      <w:r w:rsidR="00E91119" w:rsidRPr="00735BCC">
        <w:rPr>
          <w:rFonts w:ascii="Arial" w:hAnsi="Arial"/>
          <w:sz w:val="22"/>
          <w:szCs w:val="22"/>
        </w:rPr>
        <w:t xml:space="preserve">  </w:t>
      </w:r>
    </w:p>
    <w:p w:rsidR="00735BCC" w:rsidRDefault="00E91119" w:rsidP="00690642">
      <w:pPr>
        <w:pStyle w:val="ListParagraph"/>
        <w:numPr>
          <w:ilvl w:val="0"/>
          <w:numId w:val="48"/>
        </w:numPr>
        <w:ind w:left="1134" w:hanging="425"/>
        <w:jc w:val="both"/>
        <w:rPr>
          <w:rFonts w:ascii="Arial" w:hAnsi="Arial"/>
          <w:sz w:val="22"/>
          <w:szCs w:val="22"/>
        </w:rPr>
      </w:pPr>
      <w:r w:rsidRPr="00735BCC">
        <w:rPr>
          <w:rFonts w:ascii="Arial" w:hAnsi="Arial"/>
          <w:sz w:val="22"/>
          <w:szCs w:val="22"/>
        </w:rPr>
        <w:t xml:space="preserve">The pharmacology of </w:t>
      </w:r>
      <w:proofErr w:type="spellStart"/>
      <w:r w:rsidRPr="00735BCC">
        <w:rPr>
          <w:rFonts w:ascii="Arial" w:hAnsi="Arial"/>
          <w:sz w:val="22"/>
          <w:szCs w:val="22"/>
        </w:rPr>
        <w:t>vortioxetine</w:t>
      </w:r>
      <w:proofErr w:type="spellEnd"/>
      <w:r w:rsidR="004B2144" w:rsidRPr="00735BCC">
        <w:rPr>
          <w:rFonts w:ascii="Arial" w:hAnsi="Arial"/>
          <w:sz w:val="22"/>
          <w:szCs w:val="22"/>
        </w:rPr>
        <w:t xml:space="preserve"> </w:t>
      </w:r>
      <w:r w:rsidRPr="00735BCC">
        <w:rPr>
          <w:rFonts w:ascii="Arial" w:hAnsi="Arial"/>
          <w:sz w:val="22"/>
          <w:szCs w:val="22"/>
        </w:rPr>
        <w:t>was noted to be multimodal and appeared to be predominantly related to serotonin (5-HT) regulation</w:t>
      </w:r>
      <w:r w:rsidR="00735BCC" w:rsidRPr="00735BCC">
        <w:rPr>
          <w:rFonts w:ascii="Arial" w:hAnsi="Arial"/>
          <w:sz w:val="22"/>
          <w:szCs w:val="22"/>
        </w:rPr>
        <w:t>,</w:t>
      </w:r>
      <w:r w:rsidRPr="00735BCC">
        <w:rPr>
          <w:rFonts w:ascii="Arial" w:hAnsi="Arial"/>
          <w:sz w:val="22"/>
          <w:szCs w:val="22"/>
        </w:rPr>
        <w:t xml:space="preserve"> </w:t>
      </w:r>
      <w:r w:rsidR="009513A6" w:rsidRPr="00497CC4">
        <w:rPr>
          <w:rFonts w:ascii="Arial" w:hAnsi="Arial"/>
          <w:sz w:val="22"/>
          <w:szCs w:val="22"/>
        </w:rPr>
        <w:t>which</w:t>
      </w:r>
      <w:r w:rsidRPr="00735BCC">
        <w:rPr>
          <w:rFonts w:ascii="Arial" w:hAnsi="Arial"/>
          <w:sz w:val="22"/>
          <w:szCs w:val="22"/>
        </w:rPr>
        <w:t xml:space="preserve"> suggest</w:t>
      </w:r>
      <w:r w:rsidR="00735BCC" w:rsidRPr="00735BCC">
        <w:rPr>
          <w:rFonts w:ascii="Arial" w:hAnsi="Arial"/>
          <w:sz w:val="22"/>
          <w:szCs w:val="22"/>
        </w:rPr>
        <w:t>ed</w:t>
      </w:r>
      <w:r w:rsidRPr="00735BCC">
        <w:rPr>
          <w:rFonts w:ascii="Arial" w:hAnsi="Arial"/>
          <w:sz w:val="22"/>
          <w:szCs w:val="22"/>
        </w:rPr>
        <w:t xml:space="preserve"> that it could be used in place of existing SSRIs</w:t>
      </w:r>
      <w:r w:rsidR="007A007B">
        <w:rPr>
          <w:rFonts w:ascii="Arial" w:hAnsi="Arial"/>
          <w:sz w:val="22"/>
          <w:szCs w:val="22"/>
        </w:rPr>
        <w:t>;</w:t>
      </w:r>
      <w:r w:rsidRPr="00735BCC">
        <w:rPr>
          <w:rFonts w:ascii="Arial" w:hAnsi="Arial"/>
          <w:sz w:val="22"/>
          <w:szCs w:val="22"/>
        </w:rPr>
        <w:t xml:space="preserve">  </w:t>
      </w:r>
    </w:p>
    <w:p w:rsidR="00735BCC" w:rsidRDefault="00E91119" w:rsidP="00690642">
      <w:pPr>
        <w:pStyle w:val="ListParagraph"/>
        <w:numPr>
          <w:ilvl w:val="0"/>
          <w:numId w:val="48"/>
        </w:numPr>
        <w:ind w:left="1134" w:hanging="425"/>
        <w:jc w:val="both"/>
        <w:rPr>
          <w:rFonts w:ascii="Arial" w:hAnsi="Arial"/>
          <w:sz w:val="22"/>
          <w:szCs w:val="22"/>
        </w:rPr>
      </w:pPr>
      <w:r w:rsidRPr="00735BCC">
        <w:rPr>
          <w:rFonts w:ascii="Arial" w:hAnsi="Arial"/>
          <w:sz w:val="22"/>
          <w:szCs w:val="22"/>
        </w:rPr>
        <w:t xml:space="preserve">In the trials presented in the submission, </w:t>
      </w:r>
      <w:proofErr w:type="spellStart"/>
      <w:r w:rsidRPr="00735BCC">
        <w:rPr>
          <w:rFonts w:ascii="Arial" w:hAnsi="Arial"/>
          <w:sz w:val="22"/>
          <w:szCs w:val="22"/>
        </w:rPr>
        <w:t>vortioxetine</w:t>
      </w:r>
      <w:proofErr w:type="spellEnd"/>
      <w:r w:rsidRPr="00735BCC">
        <w:rPr>
          <w:rFonts w:ascii="Arial" w:hAnsi="Arial"/>
          <w:sz w:val="22"/>
          <w:szCs w:val="22"/>
        </w:rPr>
        <w:t xml:space="preserve"> was not necessarily restricted to use in patients who had not responded to prior anti-depressant therapy</w:t>
      </w:r>
      <w:r w:rsidR="007A007B">
        <w:rPr>
          <w:rFonts w:ascii="Arial" w:hAnsi="Arial"/>
          <w:sz w:val="22"/>
          <w:szCs w:val="22"/>
        </w:rPr>
        <w:t>;</w:t>
      </w:r>
      <w:r w:rsidRPr="00735BCC">
        <w:rPr>
          <w:rFonts w:ascii="Arial" w:hAnsi="Arial"/>
          <w:sz w:val="22"/>
          <w:szCs w:val="22"/>
        </w:rPr>
        <w:t xml:space="preserve"> </w:t>
      </w:r>
      <w:r w:rsidR="007A007B">
        <w:rPr>
          <w:rFonts w:ascii="Arial" w:hAnsi="Arial"/>
          <w:sz w:val="22"/>
          <w:szCs w:val="22"/>
        </w:rPr>
        <w:t>and</w:t>
      </w:r>
    </w:p>
    <w:p w:rsidR="00BB7EC3" w:rsidRPr="00735BCC" w:rsidRDefault="009A1E8F" w:rsidP="00690642">
      <w:pPr>
        <w:pStyle w:val="ListParagraph"/>
        <w:numPr>
          <w:ilvl w:val="0"/>
          <w:numId w:val="48"/>
        </w:numPr>
        <w:ind w:left="1134" w:hanging="425"/>
        <w:jc w:val="both"/>
        <w:rPr>
          <w:rFonts w:ascii="Arial" w:hAnsi="Arial"/>
          <w:sz w:val="22"/>
          <w:szCs w:val="22"/>
        </w:rPr>
      </w:pPr>
      <w:r>
        <w:rPr>
          <w:rFonts w:ascii="Arial" w:hAnsi="Arial"/>
          <w:sz w:val="22"/>
          <w:szCs w:val="22"/>
        </w:rPr>
        <w:lastRenderedPageBreak/>
        <w:t>Given</w:t>
      </w:r>
      <w:r w:rsidR="00E91119" w:rsidRPr="00735BCC">
        <w:rPr>
          <w:rFonts w:ascii="Arial" w:hAnsi="Arial"/>
          <w:sz w:val="22"/>
          <w:szCs w:val="22"/>
        </w:rPr>
        <w:t xml:space="preserve"> the</w:t>
      </w:r>
      <w:r w:rsidR="004B2144" w:rsidRPr="00735BCC">
        <w:rPr>
          <w:rFonts w:ascii="Arial" w:hAnsi="Arial"/>
          <w:sz w:val="22"/>
          <w:szCs w:val="22"/>
        </w:rPr>
        <w:t xml:space="preserve"> high number of </w:t>
      </w:r>
      <w:r w:rsidR="00E91119" w:rsidRPr="00735BCC">
        <w:rPr>
          <w:rFonts w:ascii="Arial" w:hAnsi="Arial"/>
          <w:sz w:val="22"/>
          <w:szCs w:val="22"/>
        </w:rPr>
        <w:t xml:space="preserve">existing PBS-listed </w:t>
      </w:r>
      <w:r w:rsidR="004B2144" w:rsidRPr="00735BCC">
        <w:rPr>
          <w:rFonts w:ascii="Arial" w:hAnsi="Arial"/>
          <w:sz w:val="22"/>
          <w:szCs w:val="22"/>
        </w:rPr>
        <w:t>SSRIs, SNRIs and other anti-depressants currently available on the PBS</w:t>
      </w:r>
      <w:r>
        <w:rPr>
          <w:rFonts w:ascii="Arial" w:hAnsi="Arial"/>
          <w:sz w:val="22"/>
          <w:szCs w:val="22"/>
        </w:rPr>
        <w:t>,</w:t>
      </w:r>
      <w:r w:rsidR="004B2144" w:rsidRPr="00735BCC">
        <w:rPr>
          <w:rFonts w:ascii="Arial" w:hAnsi="Arial"/>
          <w:sz w:val="22"/>
          <w:szCs w:val="22"/>
        </w:rPr>
        <w:t xml:space="preserve"> </w:t>
      </w:r>
      <w:proofErr w:type="spellStart"/>
      <w:r w:rsidR="004B2144" w:rsidRPr="00735BCC">
        <w:rPr>
          <w:rFonts w:ascii="Arial" w:hAnsi="Arial"/>
          <w:sz w:val="22"/>
          <w:szCs w:val="22"/>
        </w:rPr>
        <w:t>vortioxetine</w:t>
      </w:r>
      <w:proofErr w:type="spellEnd"/>
      <w:r w:rsidR="004B2144" w:rsidRPr="00735BCC">
        <w:rPr>
          <w:rFonts w:ascii="Arial" w:hAnsi="Arial"/>
          <w:sz w:val="22"/>
          <w:szCs w:val="22"/>
        </w:rPr>
        <w:t xml:space="preserve"> may </w:t>
      </w:r>
      <w:r>
        <w:rPr>
          <w:rFonts w:ascii="Arial" w:hAnsi="Arial"/>
          <w:sz w:val="22"/>
          <w:szCs w:val="22"/>
        </w:rPr>
        <w:t xml:space="preserve">be </w:t>
      </w:r>
      <w:r w:rsidR="004B2144" w:rsidRPr="00735BCC">
        <w:rPr>
          <w:rFonts w:ascii="Arial" w:hAnsi="Arial"/>
          <w:sz w:val="22"/>
          <w:szCs w:val="22"/>
        </w:rPr>
        <w:t>substitute</w:t>
      </w:r>
      <w:r>
        <w:rPr>
          <w:rFonts w:ascii="Arial" w:hAnsi="Arial"/>
          <w:sz w:val="22"/>
          <w:szCs w:val="22"/>
        </w:rPr>
        <w:t>d</w:t>
      </w:r>
      <w:r w:rsidR="004B2144" w:rsidRPr="00735BCC">
        <w:rPr>
          <w:rFonts w:ascii="Arial" w:hAnsi="Arial"/>
          <w:sz w:val="22"/>
          <w:szCs w:val="22"/>
        </w:rPr>
        <w:t xml:space="preserve"> for SSRIs and not just recently listed therapies such as</w:t>
      </w:r>
      <w:r w:rsidR="00BB7EC3" w:rsidRPr="00735BCC">
        <w:rPr>
          <w:rFonts w:ascii="Arial" w:hAnsi="Arial"/>
          <w:sz w:val="22"/>
          <w:szCs w:val="22"/>
        </w:rPr>
        <w:t xml:space="preserve"> </w:t>
      </w:r>
      <w:proofErr w:type="spellStart"/>
      <w:r w:rsidR="004B2144" w:rsidRPr="00735BCC">
        <w:rPr>
          <w:rFonts w:ascii="Arial" w:hAnsi="Arial"/>
          <w:sz w:val="22"/>
          <w:szCs w:val="22"/>
        </w:rPr>
        <w:t>desvenlafaxine</w:t>
      </w:r>
      <w:proofErr w:type="spellEnd"/>
      <w:r w:rsidR="004B2144" w:rsidRPr="00735BCC">
        <w:rPr>
          <w:rFonts w:ascii="Arial" w:hAnsi="Arial"/>
          <w:sz w:val="22"/>
          <w:szCs w:val="22"/>
        </w:rPr>
        <w:t xml:space="preserve"> and duloxetine.</w:t>
      </w:r>
      <w:r w:rsidR="00570FF9" w:rsidRPr="00735BCC">
        <w:rPr>
          <w:rFonts w:ascii="Arial" w:hAnsi="Arial"/>
          <w:sz w:val="22"/>
          <w:szCs w:val="22"/>
        </w:rPr>
        <w:t xml:space="preserve"> This had implications for the choice of comparator in the economic comparison.</w:t>
      </w:r>
    </w:p>
    <w:p w:rsidR="00BB7EC3" w:rsidRPr="00BB7EC3" w:rsidRDefault="00BB7EC3" w:rsidP="00BB7EC3">
      <w:pPr>
        <w:pStyle w:val="ListParagraph"/>
        <w:rPr>
          <w:rFonts w:ascii="Arial" w:hAnsi="Arial"/>
          <w:sz w:val="22"/>
          <w:szCs w:val="22"/>
        </w:rPr>
      </w:pPr>
    </w:p>
    <w:p w:rsidR="00BB7EC3" w:rsidRDefault="00570FF9" w:rsidP="002E27EB">
      <w:pPr>
        <w:pStyle w:val="ListParagraph"/>
        <w:numPr>
          <w:ilvl w:val="1"/>
          <w:numId w:val="25"/>
        </w:numPr>
        <w:jc w:val="both"/>
        <w:rPr>
          <w:rFonts w:ascii="Arial" w:hAnsi="Arial"/>
          <w:sz w:val="22"/>
          <w:szCs w:val="22"/>
        </w:rPr>
      </w:pPr>
      <w:r>
        <w:rPr>
          <w:rFonts w:ascii="Arial" w:hAnsi="Arial"/>
          <w:sz w:val="22"/>
          <w:szCs w:val="22"/>
        </w:rPr>
        <w:t xml:space="preserve">The </w:t>
      </w:r>
      <w:r w:rsidR="00147E2F">
        <w:rPr>
          <w:rFonts w:ascii="Arial" w:hAnsi="Arial"/>
          <w:sz w:val="22"/>
          <w:szCs w:val="22"/>
        </w:rPr>
        <w:t xml:space="preserve">submission’s </w:t>
      </w:r>
      <w:r>
        <w:rPr>
          <w:rFonts w:ascii="Arial" w:hAnsi="Arial"/>
          <w:sz w:val="22"/>
          <w:szCs w:val="22"/>
        </w:rPr>
        <w:t>nominated</w:t>
      </w:r>
      <w:r w:rsidR="00147E2F">
        <w:rPr>
          <w:rFonts w:ascii="Arial" w:hAnsi="Arial"/>
          <w:sz w:val="22"/>
          <w:szCs w:val="22"/>
        </w:rPr>
        <w:t xml:space="preserve"> comparator of</w:t>
      </w:r>
      <w:r>
        <w:rPr>
          <w:rFonts w:ascii="Arial" w:hAnsi="Arial"/>
          <w:sz w:val="22"/>
          <w:szCs w:val="22"/>
        </w:rPr>
        <w:t xml:space="preserve"> </w:t>
      </w:r>
      <w:r w:rsidR="00147E2F" w:rsidRPr="00147E2F">
        <w:rPr>
          <w:rFonts w:ascii="Arial" w:hAnsi="Arial"/>
          <w:sz w:val="22"/>
          <w:szCs w:val="22"/>
        </w:rPr>
        <w:t xml:space="preserve">SNRIs and SSRIs for the clinical comparison </w:t>
      </w:r>
      <w:r w:rsidR="00735BCC">
        <w:rPr>
          <w:rFonts w:ascii="Arial" w:hAnsi="Arial"/>
          <w:sz w:val="22"/>
          <w:szCs w:val="22"/>
        </w:rPr>
        <w:t xml:space="preserve">was considered appropriate, however the PBAC did not accept </w:t>
      </w:r>
      <w:r w:rsidR="00147E2F" w:rsidRPr="00147E2F">
        <w:rPr>
          <w:rFonts w:ascii="Arial" w:hAnsi="Arial"/>
          <w:sz w:val="22"/>
          <w:szCs w:val="22"/>
        </w:rPr>
        <w:t xml:space="preserve">the use </w:t>
      </w:r>
      <w:r w:rsidR="00C6102E">
        <w:rPr>
          <w:rFonts w:ascii="Arial" w:hAnsi="Arial"/>
          <w:sz w:val="22"/>
          <w:szCs w:val="22"/>
        </w:rPr>
        <w:t xml:space="preserve">of </w:t>
      </w:r>
      <w:r w:rsidR="00735BCC">
        <w:rPr>
          <w:rFonts w:ascii="Arial" w:hAnsi="Arial"/>
          <w:sz w:val="22"/>
          <w:szCs w:val="22"/>
        </w:rPr>
        <w:t xml:space="preserve">the price of </w:t>
      </w:r>
      <w:proofErr w:type="spellStart"/>
      <w:r w:rsidR="00147E2F" w:rsidRPr="00147E2F">
        <w:rPr>
          <w:rFonts w:ascii="Arial" w:hAnsi="Arial"/>
          <w:sz w:val="22"/>
          <w:szCs w:val="22"/>
        </w:rPr>
        <w:t>desvenlafaxine</w:t>
      </w:r>
      <w:proofErr w:type="spellEnd"/>
      <w:r w:rsidR="00147E2F">
        <w:rPr>
          <w:rFonts w:ascii="Arial" w:hAnsi="Arial"/>
          <w:sz w:val="22"/>
          <w:szCs w:val="22"/>
        </w:rPr>
        <w:t xml:space="preserve"> </w:t>
      </w:r>
      <w:r w:rsidR="0062781D">
        <w:rPr>
          <w:rFonts w:ascii="Arial" w:hAnsi="Arial"/>
          <w:sz w:val="22"/>
          <w:szCs w:val="22"/>
        </w:rPr>
        <w:t xml:space="preserve">prior to the effects of statutory price reductions </w:t>
      </w:r>
      <w:r w:rsidR="00C6102E">
        <w:rPr>
          <w:rFonts w:ascii="Arial" w:hAnsi="Arial"/>
          <w:sz w:val="22"/>
          <w:szCs w:val="22"/>
        </w:rPr>
        <w:t xml:space="preserve">to derive a price for </w:t>
      </w:r>
      <w:proofErr w:type="spellStart"/>
      <w:r w:rsidR="00C6102E">
        <w:rPr>
          <w:rFonts w:ascii="Arial" w:hAnsi="Arial"/>
          <w:sz w:val="22"/>
          <w:szCs w:val="22"/>
        </w:rPr>
        <w:t>vortioxetine</w:t>
      </w:r>
      <w:proofErr w:type="spellEnd"/>
      <w:r>
        <w:rPr>
          <w:rFonts w:ascii="Arial" w:hAnsi="Arial"/>
          <w:sz w:val="22"/>
          <w:szCs w:val="22"/>
        </w:rPr>
        <w:t>. The PBAC considered that the comparator</w:t>
      </w:r>
      <w:r w:rsidR="00C6102E">
        <w:rPr>
          <w:rFonts w:ascii="Arial" w:hAnsi="Arial"/>
          <w:sz w:val="22"/>
          <w:szCs w:val="22"/>
        </w:rPr>
        <w:t>, for both the clinical and economic comparison,</w:t>
      </w:r>
      <w:r>
        <w:rPr>
          <w:rFonts w:ascii="Arial" w:hAnsi="Arial"/>
          <w:sz w:val="22"/>
          <w:szCs w:val="22"/>
        </w:rPr>
        <w:t xml:space="preserve"> should be the therapy most likely to be replaced in practice</w:t>
      </w:r>
      <w:r w:rsidR="00BB7EC3" w:rsidRPr="00882085">
        <w:rPr>
          <w:rFonts w:ascii="Arial" w:hAnsi="Arial"/>
          <w:sz w:val="22"/>
          <w:szCs w:val="22"/>
        </w:rPr>
        <w:t xml:space="preserve"> and </w:t>
      </w:r>
      <w:r>
        <w:rPr>
          <w:rFonts w:ascii="Arial" w:hAnsi="Arial"/>
          <w:sz w:val="22"/>
          <w:szCs w:val="22"/>
        </w:rPr>
        <w:t>that this may include SSRIs. The PBAC was of the view that there was in</w:t>
      </w:r>
      <w:r w:rsidRPr="00570FF9">
        <w:rPr>
          <w:rFonts w:ascii="Arial" w:hAnsi="Arial"/>
          <w:sz w:val="22"/>
          <w:szCs w:val="22"/>
        </w:rPr>
        <w:t>sufficient reason to exclude SSRIs from an economic comparison</w:t>
      </w:r>
      <w:r w:rsidR="00147E2F">
        <w:rPr>
          <w:rFonts w:ascii="Arial" w:hAnsi="Arial"/>
          <w:sz w:val="22"/>
          <w:szCs w:val="22"/>
        </w:rPr>
        <w:t xml:space="preserve"> and that unless further </w:t>
      </w:r>
      <w:r w:rsidR="009A1E8F">
        <w:rPr>
          <w:rFonts w:ascii="Arial" w:hAnsi="Arial"/>
          <w:sz w:val="22"/>
          <w:szCs w:val="22"/>
        </w:rPr>
        <w:t>justification</w:t>
      </w:r>
      <w:r w:rsidR="00147E2F">
        <w:rPr>
          <w:rFonts w:ascii="Arial" w:hAnsi="Arial"/>
          <w:sz w:val="22"/>
          <w:szCs w:val="22"/>
        </w:rPr>
        <w:t xml:space="preserve"> for excluding SSRIs from an economic comparison can be </w:t>
      </w:r>
      <w:proofErr w:type="gramStart"/>
      <w:r w:rsidR="00147E2F">
        <w:rPr>
          <w:rFonts w:ascii="Arial" w:hAnsi="Arial"/>
          <w:sz w:val="22"/>
          <w:szCs w:val="22"/>
        </w:rPr>
        <w:t>provided,</w:t>
      </w:r>
      <w:proofErr w:type="gramEnd"/>
      <w:r w:rsidR="00147E2F">
        <w:rPr>
          <w:rFonts w:ascii="Arial" w:hAnsi="Arial"/>
          <w:sz w:val="22"/>
          <w:szCs w:val="22"/>
        </w:rPr>
        <w:t xml:space="preserve"> any assessment of </w:t>
      </w:r>
      <w:proofErr w:type="spellStart"/>
      <w:r w:rsidR="00147E2F">
        <w:rPr>
          <w:rFonts w:ascii="Arial" w:hAnsi="Arial"/>
          <w:sz w:val="22"/>
          <w:szCs w:val="22"/>
        </w:rPr>
        <w:t>vortioxetine’s</w:t>
      </w:r>
      <w:proofErr w:type="spellEnd"/>
      <w:r w:rsidR="00147E2F">
        <w:rPr>
          <w:rFonts w:ascii="Arial" w:hAnsi="Arial"/>
          <w:sz w:val="22"/>
          <w:szCs w:val="22"/>
        </w:rPr>
        <w:t xml:space="preserve"> cost-effectiveness would continue to have SSRIs as a relevant comparator</w:t>
      </w:r>
      <w:r w:rsidR="003B3B76">
        <w:rPr>
          <w:rFonts w:ascii="Arial" w:hAnsi="Arial"/>
          <w:sz w:val="22"/>
          <w:szCs w:val="22"/>
        </w:rPr>
        <w:t xml:space="preserve"> for the economic comparison</w:t>
      </w:r>
      <w:r w:rsidR="00147E2F">
        <w:rPr>
          <w:rFonts w:ascii="Arial" w:hAnsi="Arial"/>
          <w:sz w:val="22"/>
          <w:szCs w:val="22"/>
        </w:rPr>
        <w:t>.</w:t>
      </w:r>
    </w:p>
    <w:p w:rsidR="00BB7EC3" w:rsidRPr="00BB7EC3" w:rsidRDefault="00BB7EC3" w:rsidP="00BB7EC3">
      <w:pPr>
        <w:pStyle w:val="ListParagraph"/>
        <w:rPr>
          <w:rFonts w:ascii="Arial" w:hAnsi="Arial"/>
          <w:sz w:val="22"/>
          <w:szCs w:val="22"/>
        </w:rPr>
      </w:pPr>
    </w:p>
    <w:p w:rsidR="00BB7EC3" w:rsidRDefault="0096237F" w:rsidP="002E27EB">
      <w:pPr>
        <w:pStyle w:val="ListParagraph"/>
        <w:numPr>
          <w:ilvl w:val="1"/>
          <w:numId w:val="25"/>
        </w:numPr>
        <w:jc w:val="both"/>
        <w:rPr>
          <w:rFonts w:ascii="Arial" w:hAnsi="Arial"/>
          <w:sz w:val="22"/>
          <w:szCs w:val="22"/>
        </w:rPr>
      </w:pPr>
      <w:r w:rsidRPr="00547AEC">
        <w:rPr>
          <w:rFonts w:ascii="Arial" w:hAnsi="Arial"/>
          <w:sz w:val="22"/>
          <w:szCs w:val="22"/>
        </w:rPr>
        <w:t>With respect to the c</w:t>
      </w:r>
      <w:r w:rsidR="00BB7EC3" w:rsidRPr="00547AEC">
        <w:rPr>
          <w:rFonts w:ascii="Arial" w:hAnsi="Arial"/>
          <w:sz w:val="22"/>
          <w:szCs w:val="22"/>
        </w:rPr>
        <w:t>linical trials</w:t>
      </w:r>
      <w:r w:rsidRPr="00547AEC">
        <w:rPr>
          <w:rFonts w:ascii="Arial" w:hAnsi="Arial"/>
          <w:sz w:val="22"/>
          <w:szCs w:val="22"/>
        </w:rPr>
        <w:t xml:space="preserve"> presented in the submission, the PBAC noted that </w:t>
      </w:r>
      <w:r w:rsidR="00547AEC" w:rsidRPr="00547AEC">
        <w:rPr>
          <w:rFonts w:ascii="Arial" w:hAnsi="Arial"/>
          <w:sz w:val="22"/>
          <w:szCs w:val="22"/>
        </w:rPr>
        <w:t>the trial inclusion criteria</w:t>
      </w:r>
      <w:r w:rsidR="00547AEC">
        <w:rPr>
          <w:rFonts w:ascii="Arial" w:hAnsi="Arial"/>
          <w:sz w:val="22"/>
          <w:szCs w:val="22"/>
        </w:rPr>
        <w:t xml:space="preserve"> for the direct comparison of </w:t>
      </w:r>
      <w:proofErr w:type="spellStart"/>
      <w:r w:rsidR="00547AEC">
        <w:rPr>
          <w:rFonts w:ascii="Arial" w:hAnsi="Arial"/>
          <w:sz w:val="22"/>
          <w:szCs w:val="22"/>
        </w:rPr>
        <w:t>vortioxetine</w:t>
      </w:r>
      <w:proofErr w:type="spellEnd"/>
      <w:r w:rsidR="00547AEC">
        <w:rPr>
          <w:rFonts w:ascii="Arial" w:hAnsi="Arial"/>
          <w:sz w:val="22"/>
          <w:szCs w:val="22"/>
        </w:rPr>
        <w:t xml:space="preserve"> to SNRI therapies</w:t>
      </w:r>
      <w:r w:rsidR="00547AEC" w:rsidRPr="00547AEC">
        <w:rPr>
          <w:rFonts w:ascii="Arial" w:hAnsi="Arial"/>
          <w:sz w:val="22"/>
          <w:szCs w:val="22"/>
        </w:rPr>
        <w:t xml:space="preserve"> did </w:t>
      </w:r>
      <w:r w:rsidRPr="00547AEC">
        <w:rPr>
          <w:rFonts w:ascii="Arial" w:hAnsi="Arial"/>
          <w:sz w:val="22"/>
          <w:szCs w:val="22"/>
        </w:rPr>
        <w:t>no</w:t>
      </w:r>
      <w:r w:rsidR="00547AEC" w:rsidRPr="00547AEC">
        <w:rPr>
          <w:rFonts w:ascii="Arial" w:hAnsi="Arial"/>
          <w:sz w:val="22"/>
          <w:szCs w:val="22"/>
        </w:rPr>
        <w:t xml:space="preserve">t necessarily limit </w:t>
      </w:r>
      <w:proofErr w:type="spellStart"/>
      <w:r w:rsidR="00547AEC" w:rsidRPr="00547AEC">
        <w:rPr>
          <w:rFonts w:ascii="Arial" w:hAnsi="Arial"/>
          <w:sz w:val="22"/>
          <w:szCs w:val="22"/>
        </w:rPr>
        <w:t>vortioxetine</w:t>
      </w:r>
      <w:proofErr w:type="spellEnd"/>
      <w:r w:rsidR="00547AEC" w:rsidRPr="00547AEC">
        <w:rPr>
          <w:rFonts w:ascii="Arial" w:hAnsi="Arial"/>
          <w:sz w:val="22"/>
          <w:szCs w:val="22"/>
        </w:rPr>
        <w:t xml:space="preserve"> treatment</w:t>
      </w:r>
      <w:r w:rsidRPr="00547AEC">
        <w:rPr>
          <w:rFonts w:ascii="Arial" w:hAnsi="Arial"/>
          <w:sz w:val="22"/>
          <w:szCs w:val="22"/>
        </w:rPr>
        <w:t xml:space="preserve"> to patients who had not responded to prior anti-depressant therapy</w:t>
      </w:r>
      <w:r w:rsidR="00547AEC">
        <w:rPr>
          <w:rFonts w:ascii="Arial" w:hAnsi="Arial"/>
          <w:sz w:val="22"/>
          <w:szCs w:val="22"/>
        </w:rPr>
        <w:t xml:space="preserve"> and therefore did not support the requested listing which attempted to position </w:t>
      </w:r>
      <w:proofErr w:type="spellStart"/>
      <w:r w:rsidR="00547AEC">
        <w:rPr>
          <w:rFonts w:ascii="Arial" w:hAnsi="Arial"/>
          <w:sz w:val="22"/>
          <w:szCs w:val="22"/>
        </w:rPr>
        <w:t>vortioxetine</w:t>
      </w:r>
      <w:proofErr w:type="spellEnd"/>
      <w:r w:rsidR="00547AEC">
        <w:rPr>
          <w:rFonts w:ascii="Arial" w:hAnsi="Arial"/>
          <w:sz w:val="22"/>
          <w:szCs w:val="22"/>
        </w:rPr>
        <w:t xml:space="preserve"> as second-line therapy. The PBAC further noted t</w:t>
      </w:r>
      <w:r w:rsidR="00547AEC" w:rsidRPr="00547AEC">
        <w:rPr>
          <w:rFonts w:ascii="Arial" w:hAnsi="Arial"/>
          <w:sz w:val="22"/>
          <w:szCs w:val="22"/>
        </w:rPr>
        <w:t>here were significant limitations to the indirect comparison</w:t>
      </w:r>
      <w:r w:rsidR="00547AEC">
        <w:rPr>
          <w:rFonts w:ascii="Arial" w:hAnsi="Arial"/>
          <w:sz w:val="22"/>
          <w:szCs w:val="22"/>
        </w:rPr>
        <w:t xml:space="preserve"> of </w:t>
      </w:r>
      <w:proofErr w:type="spellStart"/>
      <w:r w:rsidR="00547AEC">
        <w:rPr>
          <w:rFonts w:ascii="Arial" w:hAnsi="Arial"/>
          <w:sz w:val="22"/>
          <w:szCs w:val="22"/>
        </w:rPr>
        <w:t>vortioxetine</w:t>
      </w:r>
      <w:proofErr w:type="spellEnd"/>
      <w:r w:rsidR="00547AEC">
        <w:rPr>
          <w:rFonts w:ascii="Arial" w:hAnsi="Arial"/>
          <w:sz w:val="22"/>
          <w:szCs w:val="22"/>
        </w:rPr>
        <w:t xml:space="preserve"> to SNRI therapies</w:t>
      </w:r>
      <w:r w:rsidR="00547AEC" w:rsidRPr="00547AEC">
        <w:rPr>
          <w:rFonts w:ascii="Arial" w:hAnsi="Arial"/>
          <w:sz w:val="22"/>
          <w:szCs w:val="22"/>
        </w:rPr>
        <w:t xml:space="preserve"> in terms of exchangeability of the trials, including differences in dates of recruitment, differing inclusion criteria, differing baseline characteristics of the patient populations and differing definitions of outcomes (trial definition of response and remission varied across trials).</w:t>
      </w:r>
      <w:r w:rsidR="00FB5764">
        <w:rPr>
          <w:rFonts w:ascii="Arial" w:hAnsi="Arial"/>
          <w:sz w:val="22"/>
          <w:szCs w:val="22"/>
        </w:rPr>
        <w:t xml:space="preserve"> </w:t>
      </w:r>
    </w:p>
    <w:p w:rsidR="00547AEC" w:rsidRPr="00547AEC" w:rsidRDefault="00547AEC" w:rsidP="00547AEC">
      <w:pPr>
        <w:pStyle w:val="ListParagraph"/>
        <w:ind w:left="709"/>
        <w:jc w:val="both"/>
        <w:rPr>
          <w:rFonts w:ascii="Arial" w:hAnsi="Arial"/>
          <w:sz w:val="22"/>
          <w:szCs w:val="22"/>
        </w:rPr>
      </w:pPr>
    </w:p>
    <w:p w:rsidR="003342AE" w:rsidRDefault="003342AE" w:rsidP="002E27EB">
      <w:pPr>
        <w:pStyle w:val="ListParagraph"/>
        <w:numPr>
          <w:ilvl w:val="1"/>
          <w:numId w:val="25"/>
        </w:numPr>
        <w:jc w:val="both"/>
        <w:rPr>
          <w:rFonts w:ascii="Arial" w:hAnsi="Arial"/>
          <w:sz w:val="22"/>
          <w:szCs w:val="22"/>
        </w:rPr>
      </w:pPr>
      <w:r>
        <w:rPr>
          <w:rFonts w:ascii="Arial" w:hAnsi="Arial"/>
          <w:sz w:val="22"/>
          <w:szCs w:val="22"/>
        </w:rPr>
        <w:t xml:space="preserve">The PBAC did not accept the submission’s clinical claim of non-inferiority of </w:t>
      </w:r>
      <w:proofErr w:type="spellStart"/>
      <w:r>
        <w:rPr>
          <w:rFonts w:ascii="Arial" w:hAnsi="Arial"/>
          <w:sz w:val="22"/>
          <w:szCs w:val="22"/>
        </w:rPr>
        <w:t>vortioxetine</w:t>
      </w:r>
      <w:proofErr w:type="spellEnd"/>
      <w:r>
        <w:rPr>
          <w:rFonts w:ascii="Arial" w:hAnsi="Arial"/>
          <w:sz w:val="22"/>
          <w:szCs w:val="22"/>
        </w:rPr>
        <w:t xml:space="preserve"> to SNRI therapies. </w:t>
      </w:r>
      <w:r w:rsidR="00C77A95">
        <w:rPr>
          <w:rFonts w:ascii="Arial" w:hAnsi="Arial"/>
          <w:sz w:val="22"/>
          <w:szCs w:val="22"/>
        </w:rPr>
        <w:t xml:space="preserve"> </w:t>
      </w:r>
      <w:r w:rsidRPr="003342AE">
        <w:rPr>
          <w:rFonts w:ascii="Arial" w:hAnsi="Arial"/>
          <w:sz w:val="22"/>
          <w:szCs w:val="22"/>
        </w:rPr>
        <w:t xml:space="preserve">Based on the direct comparison of </w:t>
      </w:r>
      <w:proofErr w:type="spellStart"/>
      <w:r w:rsidRPr="003342AE">
        <w:rPr>
          <w:rFonts w:ascii="Arial" w:hAnsi="Arial"/>
          <w:sz w:val="22"/>
          <w:szCs w:val="22"/>
        </w:rPr>
        <w:t>vortioxetine</w:t>
      </w:r>
      <w:proofErr w:type="spellEnd"/>
      <w:r w:rsidRPr="003342AE">
        <w:rPr>
          <w:rFonts w:ascii="Arial" w:hAnsi="Arial"/>
          <w:sz w:val="22"/>
          <w:szCs w:val="22"/>
        </w:rPr>
        <w:t xml:space="preserve"> versus SNRI therapies, </w:t>
      </w:r>
      <w:r>
        <w:rPr>
          <w:rFonts w:ascii="Arial" w:hAnsi="Arial"/>
          <w:sz w:val="22"/>
          <w:szCs w:val="22"/>
        </w:rPr>
        <w:t xml:space="preserve">whilst </w:t>
      </w:r>
      <w:r w:rsidRPr="003342AE">
        <w:rPr>
          <w:rFonts w:ascii="Arial" w:hAnsi="Arial"/>
          <w:sz w:val="22"/>
          <w:szCs w:val="22"/>
        </w:rPr>
        <w:t xml:space="preserve">there were no significant differences between </w:t>
      </w:r>
      <w:proofErr w:type="spellStart"/>
      <w:r w:rsidRPr="003342AE">
        <w:rPr>
          <w:rFonts w:ascii="Arial" w:hAnsi="Arial"/>
          <w:sz w:val="22"/>
          <w:szCs w:val="22"/>
        </w:rPr>
        <w:t>vortioxetine</w:t>
      </w:r>
      <w:proofErr w:type="spellEnd"/>
      <w:r w:rsidRPr="003342AE">
        <w:rPr>
          <w:rFonts w:ascii="Arial" w:hAnsi="Arial"/>
          <w:sz w:val="22"/>
          <w:szCs w:val="22"/>
        </w:rPr>
        <w:t xml:space="preserve"> and venlafaxine on any of the reported outcomes</w:t>
      </w:r>
      <w:r>
        <w:rPr>
          <w:rFonts w:ascii="Arial" w:hAnsi="Arial"/>
          <w:sz w:val="22"/>
          <w:szCs w:val="22"/>
        </w:rPr>
        <w:t xml:space="preserve"> (changes in MADRS, HAM-D17, HAM-D24)</w:t>
      </w:r>
      <w:r w:rsidRPr="003342AE">
        <w:rPr>
          <w:rFonts w:ascii="Arial" w:hAnsi="Arial"/>
          <w:sz w:val="22"/>
          <w:szCs w:val="22"/>
        </w:rPr>
        <w:t xml:space="preserve">, non-inferiority of </w:t>
      </w:r>
      <w:proofErr w:type="spellStart"/>
      <w:r w:rsidRPr="003342AE">
        <w:rPr>
          <w:rFonts w:ascii="Arial" w:hAnsi="Arial"/>
          <w:sz w:val="22"/>
          <w:szCs w:val="22"/>
        </w:rPr>
        <w:t>vortioxetine</w:t>
      </w:r>
      <w:proofErr w:type="spellEnd"/>
      <w:r w:rsidRPr="003342AE">
        <w:rPr>
          <w:rFonts w:ascii="Arial" w:hAnsi="Arial"/>
          <w:sz w:val="22"/>
          <w:szCs w:val="22"/>
        </w:rPr>
        <w:t xml:space="preserve"> to duloxetine wa</w:t>
      </w:r>
      <w:r w:rsidR="00BB07E1">
        <w:rPr>
          <w:rFonts w:ascii="Arial" w:hAnsi="Arial"/>
          <w:sz w:val="22"/>
          <w:szCs w:val="22"/>
        </w:rPr>
        <w:t xml:space="preserve">s not demonstrated. </w:t>
      </w:r>
      <w:r w:rsidRPr="00BB07E1">
        <w:rPr>
          <w:rFonts w:ascii="Arial" w:hAnsi="Arial"/>
          <w:sz w:val="22"/>
          <w:szCs w:val="22"/>
        </w:rPr>
        <w:t xml:space="preserve">Meta-analyses comparing </w:t>
      </w:r>
      <w:proofErr w:type="spellStart"/>
      <w:r w:rsidRPr="00BB07E1">
        <w:rPr>
          <w:rFonts w:ascii="Arial" w:hAnsi="Arial"/>
          <w:sz w:val="22"/>
          <w:szCs w:val="22"/>
        </w:rPr>
        <w:t>vortioxetine</w:t>
      </w:r>
      <w:proofErr w:type="spellEnd"/>
      <w:r w:rsidRPr="00BB07E1">
        <w:rPr>
          <w:rFonts w:ascii="Arial" w:hAnsi="Arial"/>
          <w:sz w:val="22"/>
          <w:szCs w:val="22"/>
        </w:rPr>
        <w:t xml:space="preserve"> with duloxetine in terms of mean baseline change in MADRS, HAM-D17 and HAM-D24 scores favour</w:t>
      </w:r>
      <w:r w:rsidR="00735BCC">
        <w:rPr>
          <w:rFonts w:ascii="Arial" w:hAnsi="Arial"/>
          <w:sz w:val="22"/>
          <w:szCs w:val="22"/>
        </w:rPr>
        <w:t>ed</w:t>
      </w:r>
      <w:r w:rsidRPr="00BB07E1">
        <w:rPr>
          <w:rFonts w:ascii="Arial" w:hAnsi="Arial"/>
          <w:sz w:val="22"/>
          <w:szCs w:val="22"/>
        </w:rPr>
        <w:t xml:space="preserve"> of duloxetine. </w:t>
      </w:r>
    </w:p>
    <w:p w:rsidR="00BB7EC3" w:rsidRPr="00BB7EC3" w:rsidRDefault="00BB7EC3" w:rsidP="00BB7EC3">
      <w:pPr>
        <w:pStyle w:val="ListParagraph"/>
        <w:rPr>
          <w:rFonts w:ascii="Arial" w:hAnsi="Arial"/>
          <w:sz w:val="22"/>
          <w:szCs w:val="22"/>
        </w:rPr>
      </w:pPr>
    </w:p>
    <w:p w:rsidR="00BB07E1" w:rsidRPr="00F87B7A" w:rsidRDefault="00BB07E1" w:rsidP="002E27EB">
      <w:pPr>
        <w:pStyle w:val="ListParagraph"/>
        <w:numPr>
          <w:ilvl w:val="1"/>
          <w:numId w:val="25"/>
        </w:numPr>
        <w:jc w:val="both"/>
        <w:rPr>
          <w:rFonts w:ascii="Arial" w:hAnsi="Arial"/>
          <w:sz w:val="22"/>
          <w:szCs w:val="22"/>
        </w:rPr>
      </w:pPr>
      <w:r>
        <w:rPr>
          <w:rFonts w:ascii="Arial" w:hAnsi="Arial"/>
          <w:sz w:val="22"/>
          <w:szCs w:val="22"/>
        </w:rPr>
        <w:t>The submission’s claim</w:t>
      </w:r>
      <w:r w:rsidRPr="00BB07E1">
        <w:rPr>
          <w:rFonts w:ascii="Arial" w:hAnsi="Arial"/>
          <w:sz w:val="22"/>
          <w:szCs w:val="22"/>
        </w:rPr>
        <w:t xml:space="preserve"> that </w:t>
      </w:r>
      <w:proofErr w:type="spellStart"/>
      <w:r w:rsidRPr="00BB07E1">
        <w:rPr>
          <w:rFonts w:ascii="Arial" w:hAnsi="Arial"/>
          <w:sz w:val="22"/>
          <w:szCs w:val="22"/>
        </w:rPr>
        <w:t>vortioxetine</w:t>
      </w:r>
      <w:proofErr w:type="spellEnd"/>
      <w:r w:rsidRPr="00BB07E1">
        <w:rPr>
          <w:rFonts w:ascii="Arial" w:hAnsi="Arial"/>
          <w:sz w:val="22"/>
          <w:szCs w:val="22"/>
        </w:rPr>
        <w:t xml:space="preserve"> is non-inferior compared to SNRIs in terms of safety was</w:t>
      </w:r>
      <w:r>
        <w:rPr>
          <w:rFonts w:ascii="Arial" w:hAnsi="Arial"/>
          <w:sz w:val="22"/>
          <w:szCs w:val="22"/>
        </w:rPr>
        <w:t xml:space="preserve"> considered to be</w:t>
      </w:r>
      <w:r w:rsidRPr="00BB07E1">
        <w:rPr>
          <w:rFonts w:ascii="Arial" w:hAnsi="Arial"/>
          <w:sz w:val="22"/>
          <w:szCs w:val="22"/>
        </w:rPr>
        <w:t xml:space="preserve"> reasonable. The claim that </w:t>
      </w:r>
      <w:proofErr w:type="spellStart"/>
      <w:r w:rsidRPr="00BB07E1">
        <w:rPr>
          <w:rFonts w:ascii="Arial" w:hAnsi="Arial"/>
          <w:sz w:val="22"/>
          <w:szCs w:val="22"/>
        </w:rPr>
        <w:t>vortioxetine</w:t>
      </w:r>
      <w:proofErr w:type="spellEnd"/>
      <w:r w:rsidRPr="00BB07E1">
        <w:rPr>
          <w:rFonts w:ascii="Arial" w:hAnsi="Arial"/>
          <w:sz w:val="22"/>
          <w:szCs w:val="22"/>
        </w:rPr>
        <w:t xml:space="preserve"> may be more favourable than SNRIs in terms of safety was not clearly demonstrated when comparing higher doses (15 mg - 20 mg) of </w:t>
      </w:r>
      <w:proofErr w:type="spellStart"/>
      <w:r w:rsidRPr="00BB07E1">
        <w:rPr>
          <w:rFonts w:ascii="Arial" w:hAnsi="Arial"/>
          <w:sz w:val="22"/>
          <w:szCs w:val="22"/>
        </w:rPr>
        <w:t>vortioxetine</w:t>
      </w:r>
      <w:proofErr w:type="spellEnd"/>
      <w:r w:rsidRPr="00BB07E1">
        <w:rPr>
          <w:rFonts w:ascii="Arial" w:hAnsi="Arial"/>
          <w:sz w:val="22"/>
          <w:szCs w:val="22"/>
        </w:rPr>
        <w:t xml:space="preserve"> to SNRI therapies (at all doses) by the indirect comparison of total adverse events or withdrawals due to adverse events. </w:t>
      </w:r>
    </w:p>
    <w:p w:rsidR="00F87B7A" w:rsidRPr="00F87B7A" w:rsidRDefault="00F87B7A" w:rsidP="00F87B7A">
      <w:pPr>
        <w:pStyle w:val="ListParagraph"/>
        <w:ind w:left="709"/>
        <w:jc w:val="both"/>
        <w:rPr>
          <w:rFonts w:ascii="Arial" w:hAnsi="Arial"/>
          <w:sz w:val="22"/>
          <w:szCs w:val="22"/>
        </w:rPr>
      </w:pPr>
    </w:p>
    <w:p w:rsidR="00C97767" w:rsidRDefault="00F87B7A" w:rsidP="002E27EB">
      <w:pPr>
        <w:pStyle w:val="ListParagraph"/>
        <w:numPr>
          <w:ilvl w:val="1"/>
          <w:numId w:val="25"/>
        </w:numPr>
        <w:jc w:val="both"/>
        <w:rPr>
          <w:rFonts w:ascii="Arial" w:hAnsi="Arial"/>
          <w:sz w:val="22"/>
          <w:szCs w:val="22"/>
        </w:rPr>
      </w:pPr>
      <w:r>
        <w:rPr>
          <w:rFonts w:ascii="Arial" w:hAnsi="Arial"/>
          <w:sz w:val="22"/>
          <w:szCs w:val="22"/>
        </w:rPr>
        <w:t xml:space="preserve">The submission’s clinical claim that </w:t>
      </w:r>
      <w:proofErr w:type="spellStart"/>
      <w:r>
        <w:rPr>
          <w:rFonts w:ascii="Arial" w:hAnsi="Arial"/>
          <w:sz w:val="22"/>
          <w:szCs w:val="22"/>
        </w:rPr>
        <w:t>vortioxetine</w:t>
      </w:r>
      <w:proofErr w:type="spellEnd"/>
      <w:r>
        <w:rPr>
          <w:rFonts w:ascii="Arial" w:hAnsi="Arial"/>
          <w:sz w:val="22"/>
          <w:szCs w:val="22"/>
        </w:rPr>
        <w:t xml:space="preserve"> i</w:t>
      </w:r>
      <w:r w:rsidRPr="00F87B7A">
        <w:rPr>
          <w:rFonts w:ascii="Arial" w:hAnsi="Arial"/>
          <w:sz w:val="22"/>
          <w:szCs w:val="22"/>
        </w:rPr>
        <w:t xml:space="preserve">s </w:t>
      </w:r>
      <w:r w:rsidR="00760F2D">
        <w:rPr>
          <w:rFonts w:ascii="Arial" w:hAnsi="Arial"/>
          <w:sz w:val="22"/>
          <w:szCs w:val="22"/>
        </w:rPr>
        <w:t>superior</w:t>
      </w:r>
      <w:r w:rsidRPr="00F87B7A">
        <w:rPr>
          <w:rFonts w:ascii="Arial" w:hAnsi="Arial"/>
          <w:sz w:val="22"/>
          <w:szCs w:val="22"/>
        </w:rPr>
        <w:t xml:space="preserve"> in terms of comparative effectiveness against the SSRI therapies</w:t>
      </w:r>
      <w:r w:rsidR="00760F2D">
        <w:rPr>
          <w:rFonts w:ascii="Arial" w:hAnsi="Arial"/>
          <w:sz w:val="22"/>
          <w:szCs w:val="22"/>
        </w:rPr>
        <w:t xml:space="preserve"> in some patients (</w:t>
      </w:r>
      <w:r>
        <w:rPr>
          <w:rFonts w:ascii="Arial" w:hAnsi="Arial"/>
          <w:sz w:val="22"/>
          <w:szCs w:val="22"/>
        </w:rPr>
        <w:t>elderly patients</w:t>
      </w:r>
      <w:r w:rsidR="00760F2D">
        <w:rPr>
          <w:rFonts w:ascii="Arial" w:hAnsi="Arial"/>
          <w:sz w:val="22"/>
          <w:szCs w:val="22"/>
        </w:rPr>
        <w:t>)</w:t>
      </w:r>
      <w:r w:rsidR="00CC524B" w:rsidRPr="00CC524B">
        <w:rPr>
          <w:rFonts w:ascii="Arial" w:hAnsi="Arial" w:cs="Arial"/>
          <w:snapToGrid w:val="0"/>
          <w:sz w:val="22"/>
          <w:szCs w:val="20"/>
          <w:lang w:eastAsia="en-US"/>
        </w:rPr>
        <w:t xml:space="preserve"> </w:t>
      </w:r>
      <w:r w:rsidR="00CC524B" w:rsidRPr="00CC524B">
        <w:rPr>
          <w:rFonts w:ascii="Arial" w:hAnsi="Arial"/>
          <w:sz w:val="22"/>
          <w:szCs w:val="22"/>
        </w:rPr>
        <w:t>and non-inferior if not more favourable than SSRI therapies in terms of comparative safety</w:t>
      </w:r>
      <w:r>
        <w:rPr>
          <w:rFonts w:ascii="Arial" w:hAnsi="Arial"/>
          <w:sz w:val="22"/>
          <w:szCs w:val="22"/>
        </w:rPr>
        <w:t xml:space="preserve">, was not accepted by the PBAC. </w:t>
      </w:r>
      <w:r w:rsidRPr="00F87B7A">
        <w:rPr>
          <w:rFonts w:ascii="Arial" w:hAnsi="Arial"/>
          <w:sz w:val="22"/>
          <w:szCs w:val="22"/>
        </w:rPr>
        <w:t xml:space="preserve">The indirect comparison </w:t>
      </w:r>
      <w:r w:rsidR="00557D2F">
        <w:rPr>
          <w:rFonts w:ascii="Arial" w:hAnsi="Arial"/>
          <w:sz w:val="22"/>
          <w:szCs w:val="22"/>
        </w:rPr>
        <w:t>had</w:t>
      </w:r>
      <w:r w:rsidRPr="00F87B7A">
        <w:rPr>
          <w:rFonts w:ascii="Arial" w:hAnsi="Arial"/>
          <w:sz w:val="22"/>
          <w:szCs w:val="22"/>
        </w:rPr>
        <w:t xml:space="preserve"> significant limitations </w:t>
      </w:r>
      <w:r w:rsidR="00557D2F">
        <w:rPr>
          <w:rFonts w:ascii="Arial" w:hAnsi="Arial"/>
          <w:sz w:val="22"/>
          <w:szCs w:val="22"/>
        </w:rPr>
        <w:t>due to the lack of</w:t>
      </w:r>
      <w:r w:rsidRPr="00F87B7A">
        <w:rPr>
          <w:rFonts w:ascii="Arial" w:hAnsi="Arial"/>
          <w:sz w:val="22"/>
          <w:szCs w:val="22"/>
        </w:rPr>
        <w:t xml:space="preserve"> exchangeability of the trials.</w:t>
      </w:r>
      <w:r>
        <w:rPr>
          <w:rFonts w:ascii="Arial" w:hAnsi="Arial"/>
          <w:sz w:val="22"/>
          <w:szCs w:val="22"/>
        </w:rPr>
        <w:t xml:space="preserve"> </w:t>
      </w:r>
      <w:r w:rsidRPr="00F87B7A">
        <w:rPr>
          <w:rFonts w:ascii="Arial" w:hAnsi="Arial"/>
          <w:sz w:val="22"/>
          <w:szCs w:val="22"/>
        </w:rPr>
        <w:t xml:space="preserve">The indirect analysis conducted in a sub-group of elderly patients only demonstrated superiority of </w:t>
      </w:r>
      <w:proofErr w:type="spellStart"/>
      <w:r w:rsidRPr="00F87B7A">
        <w:rPr>
          <w:rFonts w:ascii="Arial" w:hAnsi="Arial"/>
          <w:sz w:val="22"/>
          <w:szCs w:val="22"/>
        </w:rPr>
        <w:t>vortioxetine</w:t>
      </w:r>
      <w:proofErr w:type="spellEnd"/>
      <w:r w:rsidRPr="00F87B7A">
        <w:rPr>
          <w:rFonts w:ascii="Arial" w:hAnsi="Arial"/>
          <w:sz w:val="22"/>
          <w:szCs w:val="22"/>
        </w:rPr>
        <w:t xml:space="preserve"> compared to the SSRIs in three of the nine reported outcomes. In the remaining six outcomes, there were no statistically significant differences between </w:t>
      </w:r>
      <w:proofErr w:type="spellStart"/>
      <w:r w:rsidRPr="00F87B7A">
        <w:rPr>
          <w:rFonts w:ascii="Arial" w:hAnsi="Arial"/>
          <w:sz w:val="22"/>
          <w:szCs w:val="22"/>
        </w:rPr>
        <w:t>vortioxetine</w:t>
      </w:r>
      <w:proofErr w:type="spellEnd"/>
      <w:r w:rsidRPr="00F87B7A">
        <w:rPr>
          <w:rFonts w:ascii="Arial" w:hAnsi="Arial"/>
          <w:sz w:val="22"/>
          <w:szCs w:val="22"/>
        </w:rPr>
        <w:t xml:space="preserve"> and the SSRIs.</w:t>
      </w:r>
    </w:p>
    <w:p w:rsidR="00C97767" w:rsidRPr="00C97767" w:rsidRDefault="00C97767" w:rsidP="00C97767">
      <w:pPr>
        <w:pStyle w:val="ListParagraph"/>
        <w:rPr>
          <w:rFonts w:ascii="Arial" w:hAnsi="Arial"/>
          <w:sz w:val="22"/>
          <w:szCs w:val="22"/>
        </w:rPr>
      </w:pPr>
    </w:p>
    <w:p w:rsidR="00F87B7A" w:rsidRPr="007E22A8" w:rsidRDefault="00C97767" w:rsidP="002E27EB">
      <w:pPr>
        <w:pStyle w:val="ListParagraph"/>
        <w:numPr>
          <w:ilvl w:val="1"/>
          <w:numId w:val="25"/>
        </w:numPr>
        <w:jc w:val="both"/>
        <w:rPr>
          <w:rFonts w:ascii="Arial" w:hAnsi="Arial"/>
          <w:sz w:val="22"/>
          <w:szCs w:val="22"/>
        </w:rPr>
      </w:pPr>
      <w:r w:rsidRPr="007E22A8">
        <w:rPr>
          <w:rFonts w:ascii="Arial" w:hAnsi="Arial"/>
          <w:sz w:val="22"/>
          <w:szCs w:val="22"/>
        </w:rPr>
        <w:t xml:space="preserve"> </w:t>
      </w:r>
      <w:r w:rsidR="007E22A8" w:rsidRPr="007E22A8">
        <w:rPr>
          <w:rFonts w:ascii="Arial" w:hAnsi="Arial"/>
          <w:sz w:val="22"/>
          <w:szCs w:val="22"/>
        </w:rPr>
        <w:t>Based on the trial evidence presented in the subm</w:t>
      </w:r>
      <w:r w:rsidR="00557D2F">
        <w:rPr>
          <w:rFonts w:ascii="Arial" w:hAnsi="Arial"/>
          <w:sz w:val="22"/>
          <w:szCs w:val="22"/>
        </w:rPr>
        <w:t>ission,</w:t>
      </w:r>
      <w:r w:rsidR="007E22A8">
        <w:rPr>
          <w:rFonts w:ascii="Arial" w:hAnsi="Arial"/>
          <w:sz w:val="22"/>
          <w:szCs w:val="22"/>
        </w:rPr>
        <w:t xml:space="preserve"> </w:t>
      </w:r>
      <w:r w:rsidR="007E22A8" w:rsidRPr="007E22A8">
        <w:rPr>
          <w:rFonts w:ascii="Arial" w:hAnsi="Arial"/>
          <w:sz w:val="22"/>
          <w:szCs w:val="22"/>
        </w:rPr>
        <w:t xml:space="preserve">the PBAC was not satisfied that </w:t>
      </w:r>
      <w:proofErr w:type="spellStart"/>
      <w:r w:rsidR="007E22A8" w:rsidRPr="007E22A8">
        <w:rPr>
          <w:rFonts w:ascii="Arial" w:hAnsi="Arial"/>
          <w:sz w:val="22"/>
          <w:szCs w:val="22"/>
        </w:rPr>
        <w:t>vortioxetine</w:t>
      </w:r>
      <w:proofErr w:type="spellEnd"/>
      <w:r w:rsidR="007E22A8" w:rsidRPr="007E22A8">
        <w:rPr>
          <w:rFonts w:ascii="Arial" w:hAnsi="Arial"/>
          <w:sz w:val="22"/>
          <w:szCs w:val="22"/>
        </w:rPr>
        <w:t xml:space="preserve"> provides a significant improvement in efficacy or reduction of toxicity </w:t>
      </w:r>
      <w:r w:rsidR="007E22A8" w:rsidRPr="007E22A8">
        <w:rPr>
          <w:rFonts w:ascii="Arial" w:hAnsi="Arial"/>
          <w:sz w:val="22"/>
          <w:szCs w:val="22"/>
        </w:rPr>
        <w:lastRenderedPageBreak/>
        <w:t>over venlafaxine, duloxetine, other SNRIs, other SSRI</w:t>
      </w:r>
      <w:r w:rsidR="008E2F76">
        <w:rPr>
          <w:rFonts w:ascii="Arial" w:hAnsi="Arial"/>
          <w:sz w:val="22"/>
          <w:szCs w:val="22"/>
        </w:rPr>
        <w:t>s</w:t>
      </w:r>
      <w:r w:rsidR="007E22A8" w:rsidRPr="007E22A8">
        <w:rPr>
          <w:rFonts w:ascii="Arial" w:hAnsi="Arial"/>
          <w:sz w:val="22"/>
          <w:szCs w:val="22"/>
        </w:rPr>
        <w:t xml:space="preserve"> and anti-depressants classified as ‘other antidepressants’ in the PBS schedule</w:t>
      </w:r>
      <w:r w:rsidR="007E22A8">
        <w:rPr>
          <w:rFonts w:ascii="Arial" w:hAnsi="Arial"/>
          <w:sz w:val="22"/>
          <w:szCs w:val="22"/>
        </w:rPr>
        <w:t xml:space="preserve"> to warrant a price advantage</w:t>
      </w:r>
      <w:r w:rsidR="008E2F76">
        <w:rPr>
          <w:rFonts w:ascii="Arial" w:hAnsi="Arial"/>
          <w:sz w:val="22"/>
          <w:szCs w:val="22"/>
        </w:rPr>
        <w:t>.</w:t>
      </w:r>
      <w:r w:rsidR="008E2F76">
        <w:rPr>
          <w:rFonts w:ascii="Arial" w:hAnsi="Arial"/>
          <w:b/>
          <w:color w:val="FF00FF"/>
          <w:sz w:val="22"/>
          <w:szCs w:val="22"/>
        </w:rPr>
        <w:t xml:space="preserve"> </w:t>
      </w:r>
    </w:p>
    <w:p w:rsidR="00F87B7A" w:rsidRDefault="00F87B7A" w:rsidP="00F87B7A">
      <w:pPr>
        <w:pStyle w:val="ListParagraph"/>
        <w:ind w:left="709"/>
        <w:jc w:val="both"/>
        <w:rPr>
          <w:rFonts w:ascii="Arial" w:hAnsi="Arial"/>
          <w:sz w:val="22"/>
          <w:szCs w:val="22"/>
        </w:rPr>
      </w:pPr>
    </w:p>
    <w:p w:rsidR="00C97767" w:rsidRDefault="008E2F76" w:rsidP="00C97767">
      <w:pPr>
        <w:pStyle w:val="ListParagraph"/>
        <w:numPr>
          <w:ilvl w:val="1"/>
          <w:numId w:val="25"/>
        </w:numPr>
        <w:jc w:val="both"/>
        <w:rPr>
          <w:rFonts w:ascii="Arial" w:hAnsi="Arial"/>
          <w:sz w:val="22"/>
          <w:szCs w:val="22"/>
        </w:rPr>
      </w:pPr>
      <w:r>
        <w:rPr>
          <w:rFonts w:ascii="Arial" w:hAnsi="Arial"/>
          <w:sz w:val="22"/>
          <w:szCs w:val="22"/>
        </w:rPr>
        <w:t xml:space="preserve">The submission’s cost-minimisation analysis of </w:t>
      </w:r>
      <w:proofErr w:type="spellStart"/>
      <w:r>
        <w:rPr>
          <w:rFonts w:ascii="Arial" w:hAnsi="Arial"/>
          <w:sz w:val="22"/>
          <w:szCs w:val="22"/>
        </w:rPr>
        <w:t>vortioxeti</w:t>
      </w:r>
      <w:r w:rsidR="006E39B9">
        <w:rPr>
          <w:rFonts w:ascii="Arial" w:hAnsi="Arial"/>
          <w:sz w:val="22"/>
          <w:szCs w:val="22"/>
        </w:rPr>
        <w:t>ne</w:t>
      </w:r>
      <w:proofErr w:type="spellEnd"/>
      <w:r w:rsidR="006E39B9">
        <w:rPr>
          <w:rFonts w:ascii="Arial" w:hAnsi="Arial"/>
          <w:sz w:val="22"/>
          <w:szCs w:val="22"/>
        </w:rPr>
        <w:t xml:space="preserve"> compared to </w:t>
      </w:r>
      <w:proofErr w:type="spellStart"/>
      <w:r w:rsidR="006E39B9">
        <w:rPr>
          <w:rFonts w:ascii="Arial" w:hAnsi="Arial"/>
          <w:sz w:val="22"/>
          <w:szCs w:val="22"/>
        </w:rPr>
        <w:t>desvenlafaxine</w:t>
      </w:r>
      <w:proofErr w:type="spellEnd"/>
      <w:r w:rsidR="006E39B9">
        <w:rPr>
          <w:rFonts w:ascii="Arial" w:hAnsi="Arial"/>
          <w:sz w:val="22"/>
          <w:szCs w:val="22"/>
        </w:rPr>
        <w:t xml:space="preserve"> and</w:t>
      </w:r>
      <w:r>
        <w:rPr>
          <w:rFonts w:ascii="Arial" w:hAnsi="Arial"/>
          <w:sz w:val="22"/>
          <w:szCs w:val="22"/>
        </w:rPr>
        <w:t xml:space="preserve"> the pre-PBAC response’s proposal to cost-minimise </w:t>
      </w:r>
      <w:proofErr w:type="spellStart"/>
      <w:r>
        <w:rPr>
          <w:rFonts w:ascii="Arial" w:hAnsi="Arial"/>
          <w:sz w:val="22"/>
          <w:szCs w:val="22"/>
        </w:rPr>
        <w:t>vortioxetine</w:t>
      </w:r>
      <w:proofErr w:type="spellEnd"/>
      <w:r>
        <w:rPr>
          <w:rFonts w:ascii="Arial" w:hAnsi="Arial"/>
          <w:sz w:val="22"/>
          <w:szCs w:val="22"/>
        </w:rPr>
        <w:t xml:space="preserve"> against the SN</w:t>
      </w:r>
      <w:r w:rsidR="006E39B9">
        <w:rPr>
          <w:rFonts w:ascii="Arial" w:hAnsi="Arial"/>
          <w:sz w:val="22"/>
          <w:szCs w:val="22"/>
        </w:rPr>
        <w:t xml:space="preserve">RI class of anti-depressants </w:t>
      </w:r>
      <w:r w:rsidR="004D266B">
        <w:rPr>
          <w:rFonts w:ascii="Arial" w:hAnsi="Arial"/>
          <w:sz w:val="22"/>
          <w:szCs w:val="22"/>
        </w:rPr>
        <w:t>were</w:t>
      </w:r>
      <w:r>
        <w:rPr>
          <w:rFonts w:ascii="Arial" w:hAnsi="Arial"/>
          <w:sz w:val="22"/>
          <w:szCs w:val="22"/>
        </w:rPr>
        <w:t xml:space="preserve"> not accepted</w:t>
      </w:r>
      <w:r w:rsidR="00735BCC">
        <w:rPr>
          <w:rFonts w:ascii="Arial" w:hAnsi="Arial"/>
          <w:sz w:val="22"/>
          <w:szCs w:val="22"/>
        </w:rPr>
        <w:t>.  T</w:t>
      </w:r>
      <w:r>
        <w:rPr>
          <w:rFonts w:ascii="Arial" w:hAnsi="Arial"/>
          <w:sz w:val="22"/>
          <w:szCs w:val="22"/>
        </w:rPr>
        <w:t>he PBAC was not satisfied that SSRIs could be excluded from the economic comparison</w:t>
      </w:r>
      <w:r w:rsidR="00735BCC">
        <w:rPr>
          <w:rFonts w:ascii="Arial" w:hAnsi="Arial"/>
          <w:sz w:val="22"/>
          <w:szCs w:val="22"/>
        </w:rPr>
        <w:t>, and considered that</w:t>
      </w:r>
      <w:r w:rsidR="006129D3">
        <w:rPr>
          <w:rFonts w:ascii="Arial" w:hAnsi="Arial"/>
          <w:sz w:val="22"/>
          <w:szCs w:val="22"/>
        </w:rPr>
        <w:t xml:space="preserve"> the non-inferiority of </w:t>
      </w:r>
      <w:proofErr w:type="spellStart"/>
      <w:r w:rsidR="006129D3">
        <w:rPr>
          <w:rFonts w:ascii="Arial" w:hAnsi="Arial"/>
          <w:sz w:val="22"/>
          <w:szCs w:val="22"/>
        </w:rPr>
        <w:t>vortioxetine</w:t>
      </w:r>
      <w:proofErr w:type="spellEnd"/>
      <w:r w:rsidR="006129D3">
        <w:rPr>
          <w:rFonts w:ascii="Arial" w:hAnsi="Arial"/>
          <w:sz w:val="22"/>
          <w:szCs w:val="22"/>
        </w:rPr>
        <w:t xml:space="preserve"> compared to the class of SNRIs had not been established</w:t>
      </w:r>
      <w:r w:rsidR="00735BCC">
        <w:rPr>
          <w:rFonts w:ascii="Arial" w:hAnsi="Arial"/>
          <w:sz w:val="22"/>
          <w:szCs w:val="22"/>
        </w:rPr>
        <w:t>, noting that</w:t>
      </w:r>
      <w:r w:rsidR="006129D3">
        <w:rPr>
          <w:rFonts w:ascii="Arial" w:hAnsi="Arial"/>
          <w:sz w:val="22"/>
          <w:szCs w:val="22"/>
        </w:rPr>
        <w:t xml:space="preserve"> trial results indicated that </w:t>
      </w:r>
      <w:proofErr w:type="spellStart"/>
      <w:r w:rsidR="006129D3">
        <w:rPr>
          <w:rFonts w:ascii="Arial" w:hAnsi="Arial"/>
          <w:sz w:val="22"/>
          <w:szCs w:val="22"/>
        </w:rPr>
        <w:t>vortioxetine</w:t>
      </w:r>
      <w:proofErr w:type="spellEnd"/>
      <w:r w:rsidR="006129D3">
        <w:rPr>
          <w:rFonts w:ascii="Arial" w:hAnsi="Arial"/>
          <w:sz w:val="22"/>
          <w:szCs w:val="22"/>
        </w:rPr>
        <w:t xml:space="preserve"> may be inferior to duloxetine</w:t>
      </w:r>
      <w:r w:rsidR="006E39B9">
        <w:rPr>
          <w:rFonts w:ascii="Arial" w:hAnsi="Arial"/>
          <w:sz w:val="22"/>
          <w:szCs w:val="22"/>
        </w:rPr>
        <w:t>.</w:t>
      </w:r>
    </w:p>
    <w:p w:rsidR="00BB7EC3" w:rsidRPr="00C97767" w:rsidRDefault="008E2F76" w:rsidP="00C97767">
      <w:pPr>
        <w:jc w:val="both"/>
        <w:rPr>
          <w:rFonts w:ascii="Arial" w:hAnsi="Arial"/>
          <w:sz w:val="22"/>
          <w:szCs w:val="22"/>
        </w:rPr>
      </w:pPr>
      <w:r w:rsidRPr="00C97767">
        <w:rPr>
          <w:rFonts w:ascii="Arial" w:hAnsi="Arial"/>
          <w:sz w:val="22"/>
          <w:szCs w:val="22"/>
        </w:rPr>
        <w:t xml:space="preserve"> </w:t>
      </w:r>
    </w:p>
    <w:p w:rsidR="00BB7EC3" w:rsidRDefault="006129D3" w:rsidP="002E27EB">
      <w:pPr>
        <w:pStyle w:val="ListParagraph"/>
        <w:numPr>
          <w:ilvl w:val="1"/>
          <w:numId w:val="25"/>
        </w:numPr>
        <w:jc w:val="both"/>
        <w:rPr>
          <w:rFonts w:ascii="Arial" w:hAnsi="Arial"/>
          <w:sz w:val="22"/>
          <w:szCs w:val="22"/>
        </w:rPr>
      </w:pPr>
      <w:r>
        <w:rPr>
          <w:rFonts w:ascii="Arial" w:hAnsi="Arial"/>
          <w:sz w:val="22"/>
          <w:szCs w:val="22"/>
        </w:rPr>
        <w:t xml:space="preserve">The PBAC considered that </w:t>
      </w:r>
      <w:r w:rsidR="00D02628">
        <w:rPr>
          <w:rFonts w:ascii="Arial" w:hAnsi="Arial"/>
          <w:sz w:val="22"/>
          <w:szCs w:val="22"/>
        </w:rPr>
        <w:t xml:space="preserve">the submission’s estimated use of </w:t>
      </w:r>
      <w:proofErr w:type="spellStart"/>
      <w:r w:rsidR="00D02628">
        <w:rPr>
          <w:rFonts w:ascii="Arial" w:hAnsi="Arial"/>
          <w:sz w:val="22"/>
          <w:szCs w:val="22"/>
        </w:rPr>
        <w:t>vortioxetine</w:t>
      </w:r>
      <w:proofErr w:type="spellEnd"/>
      <w:r w:rsidR="00D02628">
        <w:rPr>
          <w:rFonts w:ascii="Arial" w:hAnsi="Arial"/>
          <w:sz w:val="22"/>
          <w:szCs w:val="22"/>
        </w:rPr>
        <w:t xml:space="preserve"> may have been underestimated </w:t>
      </w:r>
      <w:r>
        <w:rPr>
          <w:rFonts w:ascii="Arial" w:hAnsi="Arial"/>
          <w:sz w:val="22"/>
          <w:szCs w:val="22"/>
        </w:rPr>
        <w:t xml:space="preserve">since the clinical place of </w:t>
      </w:r>
      <w:proofErr w:type="spellStart"/>
      <w:r>
        <w:rPr>
          <w:rFonts w:ascii="Arial" w:hAnsi="Arial"/>
          <w:sz w:val="22"/>
          <w:szCs w:val="22"/>
        </w:rPr>
        <w:t>vortioxetine</w:t>
      </w:r>
      <w:proofErr w:type="spellEnd"/>
      <w:r>
        <w:rPr>
          <w:rFonts w:ascii="Arial" w:hAnsi="Arial"/>
          <w:sz w:val="22"/>
          <w:szCs w:val="22"/>
        </w:rPr>
        <w:t xml:space="preserve"> </w:t>
      </w:r>
      <w:r w:rsidR="00D02628">
        <w:rPr>
          <w:rFonts w:ascii="Arial" w:hAnsi="Arial"/>
          <w:sz w:val="22"/>
          <w:szCs w:val="22"/>
        </w:rPr>
        <w:t>in the treatment of depression was unclear</w:t>
      </w:r>
      <w:r w:rsidR="00320B58">
        <w:rPr>
          <w:rFonts w:ascii="Arial" w:hAnsi="Arial"/>
          <w:sz w:val="22"/>
          <w:szCs w:val="22"/>
        </w:rPr>
        <w:t>.  The</w:t>
      </w:r>
      <w:r w:rsidR="00D02628">
        <w:rPr>
          <w:rFonts w:ascii="Arial" w:hAnsi="Arial"/>
          <w:sz w:val="22"/>
          <w:szCs w:val="22"/>
        </w:rPr>
        <w:t xml:space="preserve"> PBAC could not exclude the potential for </w:t>
      </w:r>
      <w:proofErr w:type="spellStart"/>
      <w:r w:rsidR="00D02628">
        <w:rPr>
          <w:rFonts w:ascii="Arial" w:hAnsi="Arial"/>
          <w:sz w:val="22"/>
          <w:szCs w:val="22"/>
        </w:rPr>
        <w:t>vortioxetine</w:t>
      </w:r>
      <w:proofErr w:type="spellEnd"/>
      <w:r w:rsidR="00D02628">
        <w:rPr>
          <w:rFonts w:ascii="Arial" w:hAnsi="Arial"/>
          <w:sz w:val="22"/>
          <w:szCs w:val="22"/>
        </w:rPr>
        <w:t xml:space="preserve"> to be prescribed in place of SSRIs as first-line therapy</w:t>
      </w:r>
      <w:r w:rsidR="00710C73">
        <w:rPr>
          <w:rFonts w:ascii="Arial" w:hAnsi="Arial"/>
          <w:sz w:val="22"/>
          <w:szCs w:val="22"/>
        </w:rPr>
        <w:t xml:space="preserve">. The PBAC noted the reduced price offered in the pre-PBAC response and considered that the submission’s estimated financial implications would be lower than originally </w:t>
      </w:r>
      <w:proofErr w:type="gramStart"/>
      <w:r w:rsidR="00710C73">
        <w:rPr>
          <w:rFonts w:ascii="Arial" w:hAnsi="Arial"/>
          <w:sz w:val="22"/>
          <w:szCs w:val="22"/>
        </w:rPr>
        <w:t>estimated</w:t>
      </w:r>
      <w:r w:rsidR="004D266B" w:rsidRPr="004D266B">
        <w:rPr>
          <w:rStyle w:val="CommentReference"/>
        </w:rPr>
        <w:t xml:space="preserve"> </w:t>
      </w:r>
      <w:r w:rsidR="004D266B">
        <w:rPr>
          <w:rFonts w:ascii="Arial" w:hAnsi="Arial"/>
          <w:sz w:val="22"/>
          <w:szCs w:val="22"/>
        </w:rPr>
        <w:t>.</w:t>
      </w:r>
      <w:proofErr w:type="gramEnd"/>
    </w:p>
    <w:p w:rsidR="00FA6055" w:rsidRPr="00D469B2" w:rsidRDefault="00FA6055" w:rsidP="00D469B2">
      <w:pPr>
        <w:jc w:val="both"/>
        <w:rPr>
          <w:rFonts w:ascii="Arial" w:hAnsi="Arial"/>
          <w:sz w:val="22"/>
          <w:szCs w:val="22"/>
        </w:rPr>
      </w:pPr>
    </w:p>
    <w:p w:rsidR="00C97767" w:rsidRDefault="00710C73" w:rsidP="002E27EB">
      <w:pPr>
        <w:pStyle w:val="ListParagraph"/>
        <w:numPr>
          <w:ilvl w:val="1"/>
          <w:numId w:val="25"/>
        </w:numPr>
        <w:jc w:val="both"/>
        <w:rPr>
          <w:rFonts w:ascii="Arial" w:hAnsi="Arial"/>
          <w:sz w:val="22"/>
          <w:szCs w:val="22"/>
        </w:rPr>
      </w:pPr>
      <w:r>
        <w:rPr>
          <w:rFonts w:ascii="Arial" w:hAnsi="Arial"/>
          <w:sz w:val="22"/>
          <w:szCs w:val="22"/>
        </w:rPr>
        <w:t xml:space="preserve">The PBAC considered that </w:t>
      </w:r>
      <w:r w:rsidR="00320B58">
        <w:rPr>
          <w:rFonts w:ascii="Arial" w:hAnsi="Arial"/>
          <w:sz w:val="22"/>
          <w:szCs w:val="22"/>
        </w:rPr>
        <w:t>any</w:t>
      </w:r>
      <w:r>
        <w:rPr>
          <w:rFonts w:ascii="Arial" w:hAnsi="Arial"/>
          <w:sz w:val="22"/>
          <w:szCs w:val="22"/>
        </w:rPr>
        <w:t xml:space="preserve"> resubmission should take the form of a major submission and provide further clarity on the expected clinical place of </w:t>
      </w:r>
      <w:proofErr w:type="spellStart"/>
      <w:r>
        <w:rPr>
          <w:rFonts w:ascii="Arial" w:hAnsi="Arial"/>
          <w:sz w:val="22"/>
          <w:szCs w:val="22"/>
        </w:rPr>
        <w:t>vortioxetine</w:t>
      </w:r>
      <w:proofErr w:type="spellEnd"/>
      <w:r>
        <w:rPr>
          <w:rFonts w:ascii="Arial" w:hAnsi="Arial"/>
          <w:sz w:val="22"/>
          <w:szCs w:val="22"/>
        </w:rPr>
        <w:t xml:space="preserve"> in the treatment of depression</w:t>
      </w:r>
      <w:r w:rsidR="009C3EB0">
        <w:rPr>
          <w:rFonts w:ascii="Arial" w:hAnsi="Arial"/>
          <w:sz w:val="22"/>
          <w:szCs w:val="22"/>
        </w:rPr>
        <w:t xml:space="preserve"> and a clinical need for </w:t>
      </w:r>
      <w:proofErr w:type="spellStart"/>
      <w:r w:rsidR="009C3EB0">
        <w:rPr>
          <w:rFonts w:ascii="Arial" w:hAnsi="Arial"/>
          <w:sz w:val="22"/>
          <w:szCs w:val="22"/>
        </w:rPr>
        <w:t>vortioxetine</w:t>
      </w:r>
      <w:proofErr w:type="spellEnd"/>
      <w:r w:rsidR="009C3EB0">
        <w:rPr>
          <w:rFonts w:ascii="Arial" w:hAnsi="Arial"/>
          <w:sz w:val="22"/>
          <w:szCs w:val="22"/>
        </w:rPr>
        <w:t xml:space="preserve"> therapy</w:t>
      </w:r>
      <w:r w:rsidR="00B43E90" w:rsidRPr="00882085">
        <w:rPr>
          <w:rFonts w:ascii="Arial" w:hAnsi="Arial"/>
          <w:sz w:val="22"/>
          <w:szCs w:val="22"/>
        </w:rPr>
        <w:t>.</w:t>
      </w:r>
      <w:r w:rsidR="00BB7EC3">
        <w:rPr>
          <w:rFonts w:ascii="Arial" w:hAnsi="Arial"/>
          <w:sz w:val="22"/>
          <w:szCs w:val="22"/>
        </w:rPr>
        <w:t xml:space="preserve">  </w:t>
      </w:r>
      <w:r w:rsidR="000323D6">
        <w:rPr>
          <w:rFonts w:ascii="Arial" w:hAnsi="Arial"/>
          <w:sz w:val="22"/>
          <w:szCs w:val="22"/>
        </w:rPr>
        <w:t>Any resubmission should also provide further adequate justification for the chosen comparator</w:t>
      </w:r>
      <w:r w:rsidR="00320B58">
        <w:rPr>
          <w:rFonts w:ascii="Arial" w:hAnsi="Arial"/>
          <w:sz w:val="22"/>
          <w:szCs w:val="22"/>
        </w:rPr>
        <w:t xml:space="preserve">, </w:t>
      </w:r>
      <w:r w:rsidR="000323D6">
        <w:rPr>
          <w:rFonts w:ascii="Arial" w:hAnsi="Arial"/>
          <w:sz w:val="22"/>
          <w:szCs w:val="22"/>
        </w:rPr>
        <w:t>particular</w:t>
      </w:r>
      <w:r w:rsidR="00320B58">
        <w:rPr>
          <w:rFonts w:ascii="Arial" w:hAnsi="Arial"/>
          <w:sz w:val="22"/>
          <w:szCs w:val="22"/>
        </w:rPr>
        <w:t>ly</w:t>
      </w:r>
      <w:r w:rsidR="000323D6">
        <w:rPr>
          <w:rFonts w:ascii="Arial" w:hAnsi="Arial"/>
          <w:sz w:val="22"/>
          <w:szCs w:val="22"/>
        </w:rPr>
        <w:t xml:space="preserve"> for inclusion or exclusion of SSRIs from the economic comparison</w:t>
      </w:r>
      <w:r w:rsidR="00320B58">
        <w:rPr>
          <w:rFonts w:ascii="Arial" w:hAnsi="Arial"/>
          <w:sz w:val="22"/>
          <w:szCs w:val="22"/>
        </w:rPr>
        <w:t>.</w:t>
      </w:r>
    </w:p>
    <w:p w:rsidR="00C97767" w:rsidRPr="00C97767" w:rsidRDefault="00C97767" w:rsidP="00C97767">
      <w:pPr>
        <w:pStyle w:val="ListParagraph"/>
        <w:rPr>
          <w:rFonts w:ascii="Arial" w:hAnsi="Arial"/>
          <w:sz w:val="22"/>
          <w:szCs w:val="22"/>
        </w:rPr>
      </w:pPr>
    </w:p>
    <w:p w:rsidR="00DF26A7" w:rsidRDefault="00C97767" w:rsidP="002E27EB">
      <w:pPr>
        <w:pStyle w:val="ListParagraph"/>
        <w:numPr>
          <w:ilvl w:val="1"/>
          <w:numId w:val="25"/>
        </w:numPr>
        <w:jc w:val="both"/>
        <w:rPr>
          <w:rFonts w:ascii="Arial" w:hAnsi="Arial"/>
          <w:sz w:val="22"/>
          <w:szCs w:val="22"/>
        </w:rPr>
      </w:pPr>
      <w:r>
        <w:rPr>
          <w:rFonts w:ascii="Arial" w:hAnsi="Arial"/>
          <w:sz w:val="22"/>
          <w:szCs w:val="22"/>
        </w:rPr>
        <w:t xml:space="preserve"> </w:t>
      </w:r>
      <w:r w:rsidR="00BB7EC3">
        <w:rPr>
          <w:rFonts w:ascii="Arial" w:hAnsi="Arial"/>
          <w:sz w:val="22"/>
          <w:szCs w:val="22"/>
        </w:rPr>
        <w:t>The PBAC noted</w:t>
      </w:r>
      <w:r w:rsidR="00A908E5">
        <w:rPr>
          <w:rFonts w:ascii="Arial" w:hAnsi="Arial"/>
          <w:sz w:val="22"/>
          <w:szCs w:val="22"/>
        </w:rPr>
        <w:t xml:space="preserve"> that this submission is </w:t>
      </w:r>
      <w:r w:rsidR="00B43E90" w:rsidRPr="00882085">
        <w:rPr>
          <w:rFonts w:ascii="Arial" w:hAnsi="Arial"/>
          <w:sz w:val="22"/>
          <w:szCs w:val="22"/>
        </w:rPr>
        <w:t>eligibl</w:t>
      </w:r>
      <w:r w:rsidR="00BB7EC3">
        <w:rPr>
          <w:rFonts w:ascii="Arial" w:hAnsi="Arial"/>
          <w:sz w:val="22"/>
          <w:szCs w:val="22"/>
        </w:rPr>
        <w:t>e</w:t>
      </w:r>
      <w:r w:rsidR="00B43E90" w:rsidRPr="00882085">
        <w:rPr>
          <w:rFonts w:ascii="Arial" w:hAnsi="Arial"/>
          <w:sz w:val="22"/>
          <w:szCs w:val="22"/>
        </w:rPr>
        <w:t xml:space="preserve"> for </w:t>
      </w:r>
      <w:r w:rsidR="00BB7EC3">
        <w:rPr>
          <w:rFonts w:ascii="Arial" w:hAnsi="Arial"/>
          <w:sz w:val="22"/>
          <w:szCs w:val="22"/>
        </w:rPr>
        <w:t xml:space="preserve">an </w:t>
      </w:r>
      <w:r w:rsidR="00B43E90" w:rsidRPr="00882085">
        <w:rPr>
          <w:rFonts w:ascii="Arial" w:hAnsi="Arial"/>
          <w:sz w:val="22"/>
          <w:szCs w:val="22"/>
        </w:rPr>
        <w:t>Independent Review.</w:t>
      </w:r>
      <w:r w:rsidR="00BB7EC3">
        <w:rPr>
          <w:rFonts w:ascii="Arial" w:hAnsi="Arial"/>
          <w:sz w:val="22"/>
          <w:szCs w:val="22"/>
        </w:rPr>
        <w:t xml:space="preserve"> </w:t>
      </w:r>
    </w:p>
    <w:p w:rsidR="00A908E5" w:rsidRPr="00882085" w:rsidRDefault="00A908E5" w:rsidP="00A908E5">
      <w:pPr>
        <w:pStyle w:val="ListParagraph"/>
        <w:ind w:left="709"/>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Rejected </w:t>
      </w:r>
    </w:p>
    <w:p w:rsidR="00BB7EC3" w:rsidRDefault="00BB7EC3" w:rsidP="00882085">
      <w:pPr>
        <w:jc w:val="both"/>
        <w:rPr>
          <w:rFonts w:ascii="Arial" w:hAnsi="Arial"/>
          <w:sz w:val="22"/>
          <w:szCs w:val="22"/>
        </w:rPr>
      </w:pPr>
    </w:p>
    <w:p w:rsidR="005B6DB6" w:rsidRDefault="005B6DB6" w:rsidP="005B6DB6">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5B6DB6" w:rsidRPr="00D4420F" w:rsidRDefault="005B6DB6" w:rsidP="005B6DB6">
      <w:pPr>
        <w:pStyle w:val="ListParagraph"/>
        <w:jc w:val="both"/>
        <w:rPr>
          <w:rFonts w:ascii="Arial" w:hAnsi="Arial" w:cs="Arial"/>
          <w:b/>
          <w:sz w:val="22"/>
        </w:rPr>
      </w:pPr>
    </w:p>
    <w:p w:rsidR="005B6DB6" w:rsidRPr="00D4420F" w:rsidRDefault="005B6DB6" w:rsidP="005B6DB6">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B6DB6" w:rsidRPr="00D4420F" w:rsidRDefault="005B6DB6" w:rsidP="005B6DB6">
      <w:pPr>
        <w:jc w:val="both"/>
        <w:rPr>
          <w:rFonts w:ascii="Arial" w:hAnsi="Arial" w:cs="Arial"/>
          <w:sz w:val="22"/>
        </w:rPr>
      </w:pPr>
    </w:p>
    <w:p w:rsidR="005B6DB6" w:rsidRPr="00D4420F" w:rsidRDefault="005B6DB6" w:rsidP="005B6DB6">
      <w:pPr>
        <w:pStyle w:val="ListParagraph"/>
        <w:numPr>
          <w:ilvl w:val="0"/>
          <w:numId w:val="25"/>
        </w:numPr>
        <w:jc w:val="both"/>
        <w:rPr>
          <w:rFonts w:ascii="Arial" w:hAnsi="Arial" w:cs="Arial"/>
          <w:b/>
          <w:sz w:val="22"/>
        </w:rPr>
      </w:pPr>
      <w:r w:rsidRPr="00D4420F">
        <w:rPr>
          <w:rFonts w:ascii="Arial" w:hAnsi="Arial" w:cs="Arial"/>
          <w:b/>
          <w:sz w:val="22"/>
        </w:rPr>
        <w:t>Sponsor’s Comment</w:t>
      </w:r>
    </w:p>
    <w:p w:rsidR="002E27EB" w:rsidRDefault="002E27EB" w:rsidP="00882085">
      <w:pPr>
        <w:jc w:val="both"/>
        <w:rPr>
          <w:rFonts w:ascii="Arial" w:hAnsi="Arial"/>
          <w:sz w:val="22"/>
          <w:szCs w:val="22"/>
        </w:rPr>
      </w:pPr>
    </w:p>
    <w:p w:rsidR="00E302A7" w:rsidRDefault="00E302A7" w:rsidP="00E302A7">
      <w:pPr>
        <w:ind w:left="709"/>
        <w:rPr>
          <w:rFonts w:ascii="Arial" w:hAnsi="Arial" w:cs="Arial"/>
          <w:sz w:val="22"/>
          <w:szCs w:val="22"/>
        </w:rPr>
      </w:pPr>
      <w:proofErr w:type="spellStart"/>
      <w:r>
        <w:rPr>
          <w:rFonts w:ascii="Arial" w:hAnsi="Arial" w:cs="Arial"/>
          <w:sz w:val="22"/>
          <w:szCs w:val="22"/>
        </w:rPr>
        <w:t>Lundbeck</w:t>
      </w:r>
      <w:proofErr w:type="spellEnd"/>
      <w:r>
        <w:rPr>
          <w:rFonts w:ascii="Arial" w:hAnsi="Arial" w:cs="Arial"/>
          <w:sz w:val="22"/>
          <w:szCs w:val="22"/>
        </w:rPr>
        <w:t xml:space="preserve"> disagrees with the decision and believes there is a clear place for </w:t>
      </w:r>
      <w:proofErr w:type="spellStart"/>
      <w:r>
        <w:rPr>
          <w:rFonts w:ascii="Arial" w:hAnsi="Arial" w:cs="Arial"/>
          <w:sz w:val="22"/>
          <w:szCs w:val="22"/>
        </w:rPr>
        <w:t>Brintellix</w:t>
      </w:r>
      <w:proofErr w:type="spellEnd"/>
      <w:r>
        <w:rPr>
          <w:rFonts w:ascii="Arial" w:hAnsi="Arial" w:cs="Arial"/>
          <w:sz w:val="22"/>
          <w:szCs w:val="22"/>
        </w:rPr>
        <w:t xml:space="preserve"> in the clinical management of depression, especially where current treatments remain insufficient to improve depressed patients’ quality of life. No new antidepressant has been listed on the PBS in more than five years, with six PBS submissions rejected in the last four years. </w:t>
      </w:r>
    </w:p>
    <w:p w:rsidR="00E302A7" w:rsidRDefault="00E302A7" w:rsidP="00E302A7">
      <w:pPr>
        <w:ind w:left="709"/>
        <w:rPr>
          <w:rFonts w:ascii="Arial" w:hAnsi="Arial" w:cs="Arial"/>
          <w:sz w:val="22"/>
          <w:szCs w:val="22"/>
        </w:rPr>
      </w:pPr>
    </w:p>
    <w:p w:rsidR="00E302A7" w:rsidRDefault="00E302A7" w:rsidP="00E302A7">
      <w:pPr>
        <w:pStyle w:val="Default"/>
        <w:spacing w:after="60"/>
        <w:ind w:left="709"/>
        <w:jc w:val="both"/>
        <w:rPr>
          <w:sz w:val="22"/>
          <w:szCs w:val="22"/>
        </w:rPr>
      </w:pPr>
      <w:r>
        <w:rPr>
          <w:sz w:val="22"/>
          <w:szCs w:val="22"/>
        </w:rPr>
        <w:t>T</w:t>
      </w:r>
      <w:r w:rsidRPr="00BC0D23">
        <w:rPr>
          <w:sz w:val="22"/>
          <w:szCs w:val="22"/>
        </w:rPr>
        <w:t>here is precedent in other therapeutic areas where therapies have been granted a second, third or later line</w:t>
      </w:r>
      <w:r>
        <w:rPr>
          <w:sz w:val="22"/>
          <w:szCs w:val="22"/>
        </w:rPr>
        <w:t xml:space="preserve"> PBS</w:t>
      </w:r>
      <w:r w:rsidRPr="00BC0D23">
        <w:rPr>
          <w:sz w:val="22"/>
          <w:szCs w:val="22"/>
        </w:rPr>
        <w:t xml:space="preserve"> listing despite the supporting clinical evidence being from </w:t>
      </w:r>
      <w:r>
        <w:rPr>
          <w:sz w:val="22"/>
          <w:szCs w:val="22"/>
        </w:rPr>
        <w:t xml:space="preserve">patient </w:t>
      </w:r>
      <w:r w:rsidRPr="00BC0D23">
        <w:rPr>
          <w:sz w:val="22"/>
          <w:szCs w:val="22"/>
        </w:rPr>
        <w:t xml:space="preserve">populations with treatment histories not necessarily </w:t>
      </w:r>
      <w:r>
        <w:rPr>
          <w:sz w:val="22"/>
          <w:szCs w:val="22"/>
        </w:rPr>
        <w:t xml:space="preserve">consistent with such a listing. </w:t>
      </w:r>
      <w:proofErr w:type="spellStart"/>
      <w:r>
        <w:rPr>
          <w:sz w:val="22"/>
          <w:szCs w:val="22"/>
        </w:rPr>
        <w:t>Lundbeck</w:t>
      </w:r>
      <w:proofErr w:type="spellEnd"/>
      <w:r>
        <w:rPr>
          <w:sz w:val="22"/>
          <w:szCs w:val="22"/>
        </w:rPr>
        <w:t xml:space="preserve"> acknowledges that the proposed restricted listing to patients with insufficient response to initial antidepressant therapy </w:t>
      </w:r>
      <w:r w:rsidRPr="003C1DCA">
        <w:rPr>
          <w:sz w:val="22"/>
          <w:szCs w:val="22"/>
        </w:rPr>
        <w:t>is narrower than</w:t>
      </w:r>
      <w:r>
        <w:rPr>
          <w:sz w:val="22"/>
          <w:szCs w:val="22"/>
        </w:rPr>
        <w:t xml:space="preserve"> TGA-approved indication. Data supporting the efficacy of </w:t>
      </w:r>
      <w:proofErr w:type="spellStart"/>
      <w:r>
        <w:rPr>
          <w:sz w:val="22"/>
          <w:szCs w:val="22"/>
        </w:rPr>
        <w:t>vortioxetine</w:t>
      </w:r>
      <w:proofErr w:type="spellEnd"/>
      <w:r>
        <w:rPr>
          <w:sz w:val="22"/>
          <w:szCs w:val="22"/>
        </w:rPr>
        <w:t xml:space="preserve"> in the target population were presented in the submission.</w:t>
      </w:r>
    </w:p>
    <w:p w:rsidR="002C5FCD" w:rsidRDefault="002C5FCD" w:rsidP="002C5FCD">
      <w:pPr>
        <w:pStyle w:val="Default"/>
        <w:spacing w:after="60"/>
        <w:ind w:left="709"/>
        <w:jc w:val="both"/>
        <w:rPr>
          <w:sz w:val="22"/>
          <w:szCs w:val="22"/>
        </w:rPr>
      </w:pPr>
      <w:proofErr w:type="spellStart"/>
      <w:r>
        <w:rPr>
          <w:sz w:val="22"/>
          <w:szCs w:val="22"/>
        </w:rPr>
        <w:lastRenderedPageBreak/>
        <w:t>Lundbeck</w:t>
      </w:r>
      <w:proofErr w:type="spellEnd"/>
      <w:r>
        <w:rPr>
          <w:sz w:val="22"/>
          <w:szCs w:val="22"/>
        </w:rPr>
        <w:t xml:space="preserve"> would like to clarify that, in contrast to Section</w:t>
      </w:r>
      <w:r w:rsidR="00F70682">
        <w:rPr>
          <w:sz w:val="22"/>
          <w:szCs w:val="22"/>
        </w:rPr>
        <w:t xml:space="preserve"> 6</w:t>
      </w:r>
      <w:r>
        <w:rPr>
          <w:sz w:val="22"/>
          <w:szCs w:val="22"/>
        </w:rPr>
        <w:t xml:space="preserve">.18 above, the submission’s clinical claim for </w:t>
      </w:r>
      <w:proofErr w:type="spellStart"/>
      <w:r>
        <w:rPr>
          <w:sz w:val="22"/>
          <w:szCs w:val="22"/>
        </w:rPr>
        <w:t>vortioxetine</w:t>
      </w:r>
      <w:proofErr w:type="spellEnd"/>
      <w:r>
        <w:rPr>
          <w:sz w:val="22"/>
          <w:szCs w:val="22"/>
        </w:rPr>
        <w:t xml:space="preserve"> was in fact one of non-inferior efficacy against the SSRI therapies, with superior efficacy in a subgroup of elderly patients.</w:t>
      </w:r>
    </w:p>
    <w:p w:rsidR="002C5FCD" w:rsidRDefault="002C5FCD" w:rsidP="002C5FCD">
      <w:pPr>
        <w:pStyle w:val="Default"/>
        <w:spacing w:after="60"/>
        <w:ind w:left="709"/>
        <w:jc w:val="both"/>
        <w:rPr>
          <w:sz w:val="22"/>
          <w:szCs w:val="22"/>
        </w:rPr>
      </w:pPr>
    </w:p>
    <w:p w:rsidR="00E302A7" w:rsidRDefault="00E302A7" w:rsidP="001E4F27">
      <w:pPr>
        <w:ind w:left="709"/>
        <w:jc w:val="both"/>
        <w:rPr>
          <w:rFonts w:ascii="Arial" w:hAnsi="Arial" w:cs="Arial"/>
          <w:sz w:val="22"/>
          <w:szCs w:val="22"/>
        </w:rPr>
      </w:pPr>
      <w:proofErr w:type="spellStart"/>
      <w:r>
        <w:rPr>
          <w:rFonts w:ascii="Arial" w:hAnsi="Arial" w:cs="Arial"/>
          <w:sz w:val="22"/>
          <w:szCs w:val="22"/>
        </w:rPr>
        <w:t>Lundbeck</w:t>
      </w:r>
      <w:proofErr w:type="spellEnd"/>
      <w:r>
        <w:rPr>
          <w:rFonts w:ascii="Arial" w:hAnsi="Arial" w:cs="Arial"/>
          <w:sz w:val="22"/>
          <w:szCs w:val="22"/>
        </w:rPr>
        <w:t xml:space="preserve"> would also like to clarify that a</w:t>
      </w:r>
      <w:r w:rsidRPr="00994D1E">
        <w:rPr>
          <w:rFonts w:ascii="Arial" w:hAnsi="Arial" w:cs="Arial"/>
          <w:sz w:val="22"/>
          <w:szCs w:val="22"/>
        </w:rPr>
        <w:t xml:space="preserve">lthough </w:t>
      </w:r>
      <w:proofErr w:type="spellStart"/>
      <w:r w:rsidRPr="00994D1E">
        <w:rPr>
          <w:rFonts w:ascii="Arial" w:hAnsi="Arial" w:cs="Arial"/>
          <w:sz w:val="22"/>
          <w:szCs w:val="22"/>
        </w:rPr>
        <w:t>vortioxetine’s</w:t>
      </w:r>
      <w:proofErr w:type="spellEnd"/>
      <w:r w:rsidRPr="00994D1E">
        <w:rPr>
          <w:rFonts w:ascii="Arial" w:hAnsi="Arial" w:cs="Arial"/>
          <w:sz w:val="22"/>
          <w:szCs w:val="22"/>
        </w:rPr>
        <w:t xml:space="preserve"> pharmacology appears to be predominantly related to 5-HT regulation, the functional consequences on neurotransmission are significantly different from those observed with the SSRIs. </w:t>
      </w:r>
      <w:proofErr w:type="spellStart"/>
      <w:r w:rsidRPr="00994D1E">
        <w:rPr>
          <w:rFonts w:ascii="Arial" w:hAnsi="Arial" w:cs="Arial"/>
          <w:sz w:val="22"/>
          <w:szCs w:val="22"/>
        </w:rPr>
        <w:t>Vortioxetine</w:t>
      </w:r>
      <w:proofErr w:type="spellEnd"/>
      <w:r w:rsidRPr="00994D1E">
        <w:rPr>
          <w:rFonts w:ascii="Arial" w:hAnsi="Arial" w:cs="Arial"/>
          <w:sz w:val="22"/>
          <w:szCs w:val="22"/>
        </w:rPr>
        <w:t xml:space="preserve"> increases serotonergic, noradrenergic, dopaminergic, cholinergic and </w:t>
      </w:r>
      <w:proofErr w:type="spellStart"/>
      <w:r w:rsidRPr="00994D1E">
        <w:rPr>
          <w:rFonts w:ascii="Arial" w:hAnsi="Arial" w:cs="Arial"/>
          <w:sz w:val="22"/>
          <w:szCs w:val="22"/>
        </w:rPr>
        <w:t>glutamatergic</w:t>
      </w:r>
      <w:proofErr w:type="spellEnd"/>
      <w:r w:rsidRPr="00994D1E">
        <w:rPr>
          <w:rFonts w:ascii="Arial" w:hAnsi="Arial" w:cs="Arial"/>
          <w:sz w:val="22"/>
          <w:szCs w:val="22"/>
        </w:rPr>
        <w:t xml:space="preserve"> neurotransmission in brain structures associated with </w:t>
      </w:r>
      <w:r>
        <w:rPr>
          <w:rFonts w:ascii="Arial" w:hAnsi="Arial" w:cs="Arial"/>
          <w:sz w:val="22"/>
          <w:szCs w:val="22"/>
        </w:rPr>
        <w:t>major depression, e</w:t>
      </w:r>
      <w:r w:rsidRPr="00994D1E">
        <w:rPr>
          <w:rFonts w:ascii="Arial" w:hAnsi="Arial" w:cs="Arial"/>
          <w:sz w:val="22"/>
          <w:szCs w:val="22"/>
        </w:rPr>
        <w:t>ffects likely derive</w:t>
      </w:r>
      <w:r>
        <w:rPr>
          <w:rFonts w:ascii="Arial" w:hAnsi="Arial" w:cs="Arial"/>
          <w:sz w:val="22"/>
          <w:szCs w:val="22"/>
        </w:rPr>
        <w:t>d</w:t>
      </w:r>
      <w:r w:rsidRPr="00994D1E">
        <w:rPr>
          <w:rFonts w:ascii="Arial" w:hAnsi="Arial" w:cs="Arial"/>
          <w:sz w:val="22"/>
          <w:szCs w:val="22"/>
        </w:rPr>
        <w:t xml:space="preserve"> from its interaction with 5-HT-receptor-mediated negative feedback mechanisms controlling neuronal activity. </w:t>
      </w:r>
    </w:p>
    <w:p w:rsidR="00E302A7" w:rsidRDefault="00E302A7" w:rsidP="00E302A7">
      <w:pPr>
        <w:ind w:left="709" w:firstLine="709"/>
        <w:rPr>
          <w:rFonts w:ascii="Arial" w:hAnsi="Arial" w:cs="Arial"/>
          <w:sz w:val="22"/>
          <w:szCs w:val="22"/>
        </w:rPr>
      </w:pPr>
    </w:p>
    <w:p w:rsidR="00E302A7" w:rsidRDefault="00E302A7" w:rsidP="001E4F27">
      <w:pPr>
        <w:ind w:left="709"/>
        <w:rPr>
          <w:rFonts w:ascii="Arial" w:hAnsi="Arial" w:cs="Arial"/>
          <w:sz w:val="22"/>
          <w:szCs w:val="22"/>
        </w:rPr>
      </w:pPr>
      <w:r>
        <w:rPr>
          <w:rFonts w:ascii="Arial" w:hAnsi="Arial" w:cs="Arial"/>
          <w:sz w:val="22"/>
          <w:szCs w:val="22"/>
        </w:rPr>
        <w:t xml:space="preserve">Regarding the direct clinical comparisons presented in the submission, </w:t>
      </w:r>
      <w:proofErr w:type="spellStart"/>
      <w:r>
        <w:rPr>
          <w:rFonts w:ascii="Arial" w:hAnsi="Arial" w:cs="Arial"/>
          <w:sz w:val="22"/>
          <w:szCs w:val="22"/>
        </w:rPr>
        <w:t>Lundbeck</w:t>
      </w:r>
      <w:proofErr w:type="spellEnd"/>
      <w:r>
        <w:rPr>
          <w:rFonts w:ascii="Arial" w:hAnsi="Arial" w:cs="Arial"/>
          <w:sz w:val="22"/>
          <w:szCs w:val="22"/>
        </w:rPr>
        <w:t xml:space="preserve"> refers to the European Medicine’s Agency EPAR for </w:t>
      </w:r>
      <w:proofErr w:type="spellStart"/>
      <w:r>
        <w:rPr>
          <w:rFonts w:ascii="Arial" w:hAnsi="Arial" w:cs="Arial"/>
          <w:sz w:val="22"/>
          <w:szCs w:val="22"/>
        </w:rPr>
        <w:t>vortioxetine</w:t>
      </w:r>
      <w:proofErr w:type="spellEnd"/>
      <w:r>
        <w:rPr>
          <w:rFonts w:ascii="Arial" w:hAnsi="Arial" w:cs="Arial"/>
          <w:sz w:val="22"/>
          <w:szCs w:val="22"/>
        </w:rPr>
        <w:t xml:space="preserve"> (available from: </w:t>
      </w:r>
      <w:r w:rsidRPr="0072395D">
        <w:rPr>
          <w:rFonts w:ascii="Arial" w:hAnsi="Arial" w:cs="Arial"/>
          <w:sz w:val="22"/>
          <w:szCs w:val="22"/>
        </w:rPr>
        <w:t>http://www.ema.europa.eu/docs/en_GB/document_library/EPAR_-_Public_assessment_report/human/002717/WC500159447.pdf</w:t>
      </w:r>
      <w:r>
        <w:rPr>
          <w:rFonts w:ascii="Arial" w:hAnsi="Arial" w:cs="Arial"/>
          <w:sz w:val="22"/>
          <w:szCs w:val="22"/>
        </w:rPr>
        <w:t xml:space="preserve">) which confirms that studies presented in the direct comparisons (with the exception of 13926A) were neither designed nor powered to show a treatment difference between </w:t>
      </w:r>
      <w:proofErr w:type="spellStart"/>
      <w:r>
        <w:rPr>
          <w:rFonts w:ascii="Arial" w:hAnsi="Arial" w:cs="Arial"/>
          <w:sz w:val="22"/>
          <w:szCs w:val="22"/>
        </w:rPr>
        <w:t>vortioxetine</w:t>
      </w:r>
      <w:proofErr w:type="spellEnd"/>
      <w:r>
        <w:rPr>
          <w:rFonts w:ascii="Arial" w:hAnsi="Arial" w:cs="Arial"/>
          <w:sz w:val="22"/>
          <w:szCs w:val="22"/>
        </w:rPr>
        <w:t xml:space="preserve"> and the active references venlafaxine and duloxetine. In each case, the active reference was included as internal control and the exclusion of non-responders and the inclusion of previous responders in the active reference arm could have introduced a bias in favour of the efficacy of the active reference, so differences in efficacy of </w:t>
      </w:r>
      <w:proofErr w:type="spellStart"/>
      <w:r>
        <w:rPr>
          <w:rFonts w:ascii="Arial" w:hAnsi="Arial" w:cs="Arial"/>
          <w:sz w:val="22"/>
          <w:szCs w:val="22"/>
        </w:rPr>
        <w:t>vortioxetine</w:t>
      </w:r>
      <w:proofErr w:type="spellEnd"/>
      <w:r>
        <w:rPr>
          <w:rFonts w:ascii="Arial" w:hAnsi="Arial" w:cs="Arial"/>
          <w:sz w:val="22"/>
          <w:szCs w:val="22"/>
        </w:rPr>
        <w:t xml:space="preserve"> versus the active reference cannot be inferred on the basis of these studies. These comparisons were provided </w:t>
      </w:r>
      <w:r w:rsidR="00622C43">
        <w:rPr>
          <w:rFonts w:ascii="Arial" w:hAnsi="Arial" w:cs="Arial"/>
          <w:sz w:val="22"/>
          <w:szCs w:val="22"/>
        </w:rPr>
        <w:t xml:space="preserve">to </w:t>
      </w:r>
      <w:r>
        <w:rPr>
          <w:rFonts w:ascii="Arial" w:hAnsi="Arial" w:cs="Arial"/>
          <w:sz w:val="22"/>
          <w:szCs w:val="22"/>
        </w:rPr>
        <w:t xml:space="preserve">comply with PBAC guidelines; however, the data should be viewed in the context of its limited use to assess the relative effect of </w:t>
      </w:r>
      <w:proofErr w:type="spellStart"/>
      <w:r>
        <w:rPr>
          <w:rFonts w:ascii="Arial" w:hAnsi="Arial" w:cs="Arial"/>
          <w:sz w:val="22"/>
          <w:szCs w:val="22"/>
        </w:rPr>
        <w:t>vortioxetine</w:t>
      </w:r>
      <w:proofErr w:type="spellEnd"/>
      <w:r>
        <w:rPr>
          <w:rFonts w:ascii="Arial" w:hAnsi="Arial" w:cs="Arial"/>
          <w:sz w:val="22"/>
          <w:szCs w:val="22"/>
        </w:rPr>
        <w:t xml:space="preserve"> versus these comparators due to this bias. Indirect comparisons were presented to provide more information and represent the entire body of evidence for all medications. The indirect comparisons were completed in accordance with PBAC guidelines. Heterogeneity across trials is inherent in any meta-analysis and the evaluation has acknowledged that the approach taken by the submission to include all trials rather than split the trials was justified and reasonable.</w:t>
      </w:r>
    </w:p>
    <w:p w:rsidR="00E302A7" w:rsidRDefault="00E302A7" w:rsidP="00E302A7">
      <w:pPr>
        <w:ind w:left="709" w:firstLine="709"/>
        <w:rPr>
          <w:rFonts w:ascii="Arial" w:hAnsi="Arial" w:cs="Arial"/>
          <w:sz w:val="22"/>
          <w:szCs w:val="22"/>
        </w:rPr>
      </w:pPr>
    </w:p>
    <w:p w:rsidR="00E302A7" w:rsidRDefault="00E302A7" w:rsidP="001E4F27">
      <w:pPr>
        <w:ind w:left="709"/>
        <w:rPr>
          <w:rFonts w:ascii="Arial" w:hAnsi="Arial" w:cs="Arial"/>
          <w:sz w:val="22"/>
          <w:szCs w:val="22"/>
        </w:rPr>
      </w:pPr>
      <w:proofErr w:type="spellStart"/>
      <w:r>
        <w:rPr>
          <w:rFonts w:ascii="Arial" w:hAnsi="Arial" w:cs="Arial"/>
          <w:sz w:val="22"/>
          <w:szCs w:val="22"/>
        </w:rPr>
        <w:t>Lundbeck</w:t>
      </w:r>
      <w:proofErr w:type="spellEnd"/>
      <w:r>
        <w:rPr>
          <w:rFonts w:ascii="Arial" w:hAnsi="Arial" w:cs="Arial"/>
          <w:sz w:val="22"/>
          <w:szCs w:val="22"/>
        </w:rPr>
        <w:t xml:space="preserve"> regrets that beyond efficacy parameters, the PBAC evaluation of the clinical benefit does not reflect the improved safety and tolerability of </w:t>
      </w:r>
      <w:proofErr w:type="spellStart"/>
      <w:r>
        <w:rPr>
          <w:rFonts w:ascii="Arial" w:hAnsi="Arial" w:cs="Arial"/>
          <w:sz w:val="22"/>
          <w:szCs w:val="22"/>
        </w:rPr>
        <w:t>Brintellix</w:t>
      </w:r>
      <w:proofErr w:type="spellEnd"/>
      <w:r>
        <w:rPr>
          <w:rFonts w:ascii="Arial" w:hAnsi="Arial" w:cs="Arial"/>
          <w:sz w:val="22"/>
          <w:szCs w:val="22"/>
        </w:rPr>
        <w:t xml:space="preserve"> which are also key drivers of patient’s quality of life and ultimately treatment compliance. </w:t>
      </w:r>
    </w:p>
    <w:p w:rsidR="00E302A7" w:rsidRDefault="00E302A7" w:rsidP="00E302A7">
      <w:pPr>
        <w:ind w:left="709" w:firstLine="709"/>
        <w:jc w:val="both"/>
      </w:pPr>
    </w:p>
    <w:p w:rsidR="00E302A7" w:rsidRDefault="00E302A7" w:rsidP="00C97767">
      <w:pPr>
        <w:ind w:left="709"/>
        <w:rPr>
          <w:rFonts w:ascii="Arial" w:hAnsi="Arial" w:cs="Arial"/>
          <w:sz w:val="22"/>
          <w:szCs w:val="22"/>
        </w:rPr>
      </w:pPr>
      <w:r>
        <w:rPr>
          <w:rFonts w:ascii="Arial" w:hAnsi="Arial" w:cs="Arial"/>
          <w:sz w:val="22"/>
          <w:szCs w:val="22"/>
        </w:rPr>
        <w:t xml:space="preserve">Given the significant burden depression continues to place on one in four Australians, access to innovative new treatment options is needed. </w:t>
      </w:r>
      <w:proofErr w:type="spellStart"/>
      <w:r>
        <w:rPr>
          <w:rFonts w:ascii="Arial" w:hAnsi="Arial" w:cs="Arial"/>
          <w:sz w:val="22"/>
          <w:szCs w:val="22"/>
        </w:rPr>
        <w:t>Lundbeck</w:t>
      </w:r>
      <w:proofErr w:type="spellEnd"/>
      <w:r>
        <w:rPr>
          <w:rFonts w:ascii="Arial" w:hAnsi="Arial" w:cs="Arial"/>
          <w:sz w:val="22"/>
          <w:szCs w:val="22"/>
        </w:rPr>
        <w:t xml:space="preserve"> will remain dedicated to demonstrating the value of </w:t>
      </w:r>
      <w:proofErr w:type="spellStart"/>
      <w:r>
        <w:rPr>
          <w:rFonts w:ascii="Arial" w:hAnsi="Arial" w:cs="Arial"/>
          <w:sz w:val="22"/>
          <w:szCs w:val="22"/>
        </w:rPr>
        <w:t>Brintellix</w:t>
      </w:r>
      <w:proofErr w:type="spellEnd"/>
      <w:r>
        <w:rPr>
          <w:rFonts w:ascii="Arial" w:hAnsi="Arial" w:cs="Arial"/>
          <w:sz w:val="22"/>
          <w:szCs w:val="22"/>
        </w:rPr>
        <w:t xml:space="preserve"> and will explore alternative options for bringing </w:t>
      </w:r>
      <w:proofErr w:type="spellStart"/>
      <w:r>
        <w:rPr>
          <w:rFonts w:ascii="Arial" w:hAnsi="Arial" w:cs="Arial"/>
          <w:sz w:val="22"/>
          <w:szCs w:val="22"/>
        </w:rPr>
        <w:t>Brintellix</w:t>
      </w:r>
      <w:proofErr w:type="spellEnd"/>
      <w:r>
        <w:rPr>
          <w:rFonts w:ascii="Arial" w:hAnsi="Arial" w:cs="Arial"/>
          <w:sz w:val="22"/>
          <w:szCs w:val="22"/>
        </w:rPr>
        <w:t xml:space="preserve"> to Australian patients.</w:t>
      </w:r>
      <w:r w:rsidR="00C97767">
        <w:rPr>
          <w:rFonts w:ascii="Arial" w:hAnsi="Arial" w:cs="Arial"/>
          <w:sz w:val="22"/>
          <w:szCs w:val="22"/>
        </w:rPr>
        <w:t xml:space="preserve"> </w:t>
      </w:r>
    </w:p>
    <w:p w:rsidR="00E302A7" w:rsidRDefault="00E302A7" w:rsidP="00E302A7">
      <w:pPr>
        <w:ind w:left="709"/>
        <w:jc w:val="both"/>
        <w:rPr>
          <w:rFonts w:ascii="Arial" w:hAnsi="Arial"/>
          <w:sz w:val="22"/>
          <w:szCs w:val="22"/>
        </w:rPr>
      </w:pPr>
    </w:p>
    <w:sectPr w:rsidR="00E302A7" w:rsidSect="007D560F">
      <w:headerReference w:type="even" r:id="rId9"/>
      <w:headerReference w:type="default" r:id="rId10"/>
      <w:footerReference w:type="even" r:id="rId11"/>
      <w:footerReference w:type="default" r:id="rId12"/>
      <w:headerReference w:type="first" r:id="rId13"/>
      <w:footerReference w:type="first" r:id="rId14"/>
      <w:pgSz w:w="11906" w:h="16838" w:code="9"/>
      <w:pgMar w:top="1440" w:right="1416"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DADCD8" w15:done="0"/>
  <w15:commentEx w15:paraId="28572668" w15:done="0"/>
  <w15:commentEx w15:paraId="09B2F6D8" w15:done="0"/>
  <w15:commentEx w15:paraId="720C4A86" w15:done="0"/>
  <w15:commentEx w15:paraId="1187327A" w15:done="0"/>
  <w15:commentEx w15:paraId="7E9F97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352" w:rsidRDefault="00CE4352">
      <w:r>
        <w:separator/>
      </w:r>
    </w:p>
  </w:endnote>
  <w:endnote w:type="continuationSeparator" w:id="0">
    <w:p w:rsidR="00CE4352" w:rsidRDefault="00CE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007"/>
      <w:gridCol w:w="1252"/>
      <w:gridCol w:w="4007"/>
    </w:tblGrid>
    <w:tr w:rsidR="003B5300" w:rsidTr="005A3173">
      <w:trPr>
        <w:trHeight w:val="151"/>
      </w:trPr>
      <w:tc>
        <w:tcPr>
          <w:tcW w:w="2250" w:type="pct"/>
          <w:tcBorders>
            <w:top w:val="nil"/>
            <w:left w:val="nil"/>
            <w:bottom w:val="single" w:sz="4" w:space="0" w:color="4F81BD"/>
            <w:right w:val="nil"/>
          </w:tcBorders>
        </w:tcPr>
        <w:p w:rsidR="003B5300" w:rsidRPr="005A3173" w:rsidRDefault="003B53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5300" w:rsidRPr="005A3173" w:rsidRDefault="003B53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5300" w:rsidRPr="005A3173" w:rsidRDefault="003B5300" w:rsidP="005A3173">
          <w:pPr>
            <w:pStyle w:val="Header"/>
            <w:spacing w:line="276" w:lineRule="auto"/>
            <w:rPr>
              <w:rFonts w:ascii="Calibri" w:eastAsia="MS Gothic" w:hAnsi="Calibri"/>
              <w:b/>
              <w:bCs/>
              <w:color w:val="4F81BD"/>
            </w:rPr>
          </w:pPr>
        </w:p>
      </w:tc>
    </w:tr>
    <w:tr w:rsidR="003B5300" w:rsidTr="005A3173">
      <w:trPr>
        <w:trHeight w:val="150"/>
      </w:trPr>
      <w:tc>
        <w:tcPr>
          <w:tcW w:w="2250" w:type="pct"/>
          <w:tcBorders>
            <w:top w:val="single" w:sz="4" w:space="0" w:color="4F81BD"/>
            <w:left w:val="nil"/>
            <w:bottom w:val="nil"/>
            <w:right w:val="nil"/>
          </w:tcBorders>
        </w:tcPr>
        <w:p w:rsidR="003B5300" w:rsidRPr="005A3173" w:rsidRDefault="003B5300" w:rsidP="005A3173">
          <w:pPr>
            <w:pStyle w:val="Header"/>
            <w:spacing w:line="276" w:lineRule="auto"/>
            <w:rPr>
              <w:rFonts w:ascii="Calibri" w:eastAsia="MS Gothic" w:hAnsi="Calibri"/>
              <w:b/>
              <w:bCs/>
              <w:color w:val="4F81BD"/>
            </w:rPr>
          </w:pPr>
        </w:p>
      </w:tc>
      <w:tc>
        <w:tcPr>
          <w:tcW w:w="0" w:type="auto"/>
          <w:vMerge/>
          <w:vAlign w:val="center"/>
          <w:hideMark/>
        </w:tcPr>
        <w:p w:rsidR="003B5300" w:rsidRPr="005A3173" w:rsidRDefault="003B53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5300" w:rsidRPr="005A3173" w:rsidRDefault="003B5300" w:rsidP="005A3173">
          <w:pPr>
            <w:pStyle w:val="Header"/>
            <w:spacing w:line="276" w:lineRule="auto"/>
            <w:rPr>
              <w:rFonts w:ascii="Calibri" w:eastAsia="MS Gothic" w:hAnsi="Calibri"/>
              <w:b/>
              <w:bCs/>
              <w:color w:val="4F81BD"/>
            </w:rPr>
          </w:pPr>
        </w:p>
      </w:tc>
    </w:tr>
  </w:tbl>
  <w:p w:rsidR="003B5300" w:rsidRDefault="003B530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5300" w:rsidRDefault="003B5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3B5300" w:rsidRDefault="003B5300">
        <w:pPr>
          <w:pStyle w:val="Footer"/>
          <w:jc w:val="center"/>
        </w:pPr>
      </w:p>
      <w:p w:rsidR="003B5300" w:rsidRPr="00651169" w:rsidRDefault="003B5300">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CF3A76">
          <w:rPr>
            <w:rFonts w:ascii="Arial" w:hAnsi="Arial" w:cs="Arial"/>
            <w:noProof/>
            <w:sz w:val="20"/>
            <w:szCs w:val="20"/>
          </w:rPr>
          <w:t>9</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4007"/>
      <w:gridCol w:w="1252"/>
      <w:gridCol w:w="4007"/>
    </w:tblGrid>
    <w:tr w:rsidR="003B5300" w:rsidTr="005A3173">
      <w:trPr>
        <w:trHeight w:val="151"/>
      </w:trPr>
      <w:tc>
        <w:tcPr>
          <w:tcW w:w="2250" w:type="pct"/>
          <w:tcBorders>
            <w:top w:val="nil"/>
            <w:left w:val="nil"/>
            <w:bottom w:val="single" w:sz="4" w:space="0" w:color="4F81BD"/>
            <w:right w:val="nil"/>
          </w:tcBorders>
        </w:tcPr>
        <w:p w:rsidR="003B5300" w:rsidRPr="005A3173" w:rsidRDefault="003B53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5300" w:rsidRPr="005A3173" w:rsidRDefault="003B53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5300" w:rsidRPr="005A3173" w:rsidRDefault="003B5300" w:rsidP="005A3173">
          <w:pPr>
            <w:pStyle w:val="Header"/>
            <w:spacing w:line="276" w:lineRule="auto"/>
            <w:rPr>
              <w:rFonts w:ascii="Calibri" w:eastAsia="MS Gothic" w:hAnsi="Calibri"/>
              <w:b/>
              <w:bCs/>
              <w:color w:val="4F81BD"/>
            </w:rPr>
          </w:pPr>
        </w:p>
      </w:tc>
    </w:tr>
    <w:tr w:rsidR="003B5300" w:rsidTr="005A3173">
      <w:trPr>
        <w:trHeight w:val="150"/>
      </w:trPr>
      <w:tc>
        <w:tcPr>
          <w:tcW w:w="2250" w:type="pct"/>
          <w:tcBorders>
            <w:top w:val="single" w:sz="4" w:space="0" w:color="4F81BD"/>
            <w:left w:val="nil"/>
            <w:bottom w:val="nil"/>
            <w:right w:val="nil"/>
          </w:tcBorders>
        </w:tcPr>
        <w:p w:rsidR="003B5300" w:rsidRPr="005A3173" w:rsidRDefault="003B5300" w:rsidP="005A3173">
          <w:pPr>
            <w:pStyle w:val="Header"/>
            <w:spacing w:line="276" w:lineRule="auto"/>
            <w:rPr>
              <w:rFonts w:ascii="Calibri" w:eastAsia="MS Gothic" w:hAnsi="Calibri"/>
              <w:b/>
              <w:bCs/>
              <w:color w:val="4F81BD"/>
            </w:rPr>
          </w:pPr>
        </w:p>
      </w:tc>
      <w:tc>
        <w:tcPr>
          <w:tcW w:w="0" w:type="auto"/>
          <w:vMerge/>
          <w:vAlign w:val="center"/>
          <w:hideMark/>
        </w:tcPr>
        <w:p w:rsidR="003B5300" w:rsidRPr="005A3173" w:rsidRDefault="003B53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5300" w:rsidRPr="005A3173" w:rsidRDefault="003B530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4007"/>
      <w:gridCol w:w="1252"/>
      <w:gridCol w:w="4007"/>
    </w:tblGrid>
    <w:tr w:rsidR="003B5300" w:rsidTr="005A3173">
      <w:trPr>
        <w:trHeight w:val="151"/>
      </w:trPr>
      <w:tc>
        <w:tcPr>
          <w:tcW w:w="2250" w:type="pct"/>
          <w:tcBorders>
            <w:top w:val="nil"/>
            <w:left w:val="nil"/>
            <w:bottom w:val="single" w:sz="4" w:space="0" w:color="4F81BD"/>
            <w:right w:val="nil"/>
          </w:tcBorders>
        </w:tcPr>
        <w:p w:rsidR="003B5300" w:rsidRPr="005A3173" w:rsidRDefault="003B53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5300" w:rsidRPr="005A3173" w:rsidRDefault="003B53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5300" w:rsidRPr="005A3173" w:rsidRDefault="003B5300" w:rsidP="005A3173">
          <w:pPr>
            <w:pStyle w:val="Header"/>
            <w:spacing w:line="276" w:lineRule="auto"/>
            <w:rPr>
              <w:rFonts w:ascii="Calibri" w:eastAsia="MS Gothic" w:hAnsi="Calibri"/>
              <w:b/>
              <w:bCs/>
              <w:color w:val="4F81BD"/>
            </w:rPr>
          </w:pPr>
        </w:p>
      </w:tc>
    </w:tr>
    <w:tr w:rsidR="003B5300" w:rsidTr="005A3173">
      <w:trPr>
        <w:trHeight w:val="150"/>
      </w:trPr>
      <w:tc>
        <w:tcPr>
          <w:tcW w:w="2250" w:type="pct"/>
          <w:tcBorders>
            <w:top w:val="single" w:sz="4" w:space="0" w:color="4F81BD"/>
            <w:left w:val="nil"/>
            <w:bottom w:val="nil"/>
            <w:right w:val="nil"/>
          </w:tcBorders>
        </w:tcPr>
        <w:p w:rsidR="003B5300" w:rsidRPr="005A3173" w:rsidRDefault="003B5300" w:rsidP="005A3173">
          <w:pPr>
            <w:pStyle w:val="Header"/>
            <w:spacing w:line="276" w:lineRule="auto"/>
            <w:rPr>
              <w:rFonts w:ascii="Calibri" w:eastAsia="MS Gothic" w:hAnsi="Calibri"/>
              <w:b/>
              <w:bCs/>
              <w:color w:val="4F81BD"/>
            </w:rPr>
          </w:pPr>
        </w:p>
      </w:tc>
      <w:tc>
        <w:tcPr>
          <w:tcW w:w="0" w:type="auto"/>
          <w:vMerge/>
          <w:vAlign w:val="center"/>
          <w:hideMark/>
        </w:tcPr>
        <w:p w:rsidR="003B5300" w:rsidRPr="005A3173" w:rsidRDefault="003B53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5300" w:rsidRPr="005A3173" w:rsidRDefault="003B5300" w:rsidP="005A3173">
          <w:pPr>
            <w:pStyle w:val="Header"/>
            <w:spacing w:line="276" w:lineRule="auto"/>
            <w:rPr>
              <w:rFonts w:ascii="Calibri" w:eastAsia="MS Gothic" w:hAnsi="Calibri"/>
              <w:b/>
              <w:bCs/>
              <w:color w:val="4F81BD"/>
            </w:rPr>
          </w:pPr>
        </w:p>
      </w:tc>
    </w:tr>
  </w:tbl>
  <w:p w:rsidR="003B5300" w:rsidRPr="007C0F57" w:rsidRDefault="003B530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B5300" w:rsidRPr="007C0F57" w:rsidRDefault="003B5300"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352" w:rsidRDefault="00CE4352">
      <w:r>
        <w:separator/>
      </w:r>
    </w:p>
  </w:footnote>
  <w:footnote w:type="continuationSeparator" w:id="0">
    <w:p w:rsidR="00CE4352" w:rsidRDefault="00CE4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50"/>
      <w:gridCol w:w="1252"/>
      <w:gridCol w:w="3847"/>
    </w:tblGrid>
    <w:tr w:rsidR="003B5300" w:rsidRPr="008E0D90" w:rsidTr="00A06225">
      <w:trPr>
        <w:trHeight w:val="151"/>
      </w:trPr>
      <w:tc>
        <w:tcPr>
          <w:tcW w:w="2389" w:type="pct"/>
          <w:tcBorders>
            <w:top w:val="nil"/>
            <w:left w:val="nil"/>
            <w:bottom w:val="single" w:sz="4" w:space="0" w:color="4F81BD"/>
            <w:right w:val="nil"/>
          </w:tcBorders>
        </w:tcPr>
        <w:p w:rsidR="003B5300" w:rsidRPr="00A06225" w:rsidRDefault="003B5300">
          <w:pPr>
            <w:pStyle w:val="Header"/>
            <w:spacing w:line="276" w:lineRule="auto"/>
            <w:rPr>
              <w:rFonts w:ascii="Cambria" w:eastAsia="MS Gothic" w:hAnsi="Cambria"/>
              <w:b/>
              <w:bCs/>
              <w:color w:val="4F81BD"/>
            </w:rPr>
          </w:pPr>
        </w:p>
      </w:tc>
      <w:tc>
        <w:tcPr>
          <w:tcW w:w="333" w:type="pct"/>
          <w:vMerge w:val="restart"/>
          <w:noWrap/>
          <w:vAlign w:val="center"/>
          <w:hideMark/>
        </w:tcPr>
        <w:p w:rsidR="003B5300" w:rsidRPr="00A06225" w:rsidRDefault="003B530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B5300" w:rsidRPr="00A06225" w:rsidRDefault="003B5300">
          <w:pPr>
            <w:pStyle w:val="Header"/>
            <w:spacing w:line="276" w:lineRule="auto"/>
            <w:rPr>
              <w:rFonts w:ascii="Cambria" w:eastAsia="MS Gothic" w:hAnsi="Cambria"/>
              <w:b/>
              <w:bCs/>
              <w:color w:val="4F81BD"/>
            </w:rPr>
          </w:pPr>
        </w:p>
      </w:tc>
    </w:tr>
    <w:tr w:rsidR="003B5300" w:rsidRPr="008E0D90" w:rsidTr="00A06225">
      <w:trPr>
        <w:trHeight w:val="150"/>
      </w:trPr>
      <w:tc>
        <w:tcPr>
          <w:tcW w:w="2389" w:type="pct"/>
          <w:tcBorders>
            <w:top w:val="single" w:sz="4" w:space="0" w:color="4F81BD"/>
            <w:left w:val="nil"/>
            <w:bottom w:val="nil"/>
            <w:right w:val="nil"/>
          </w:tcBorders>
        </w:tcPr>
        <w:p w:rsidR="003B5300" w:rsidRPr="00A06225" w:rsidRDefault="003B5300">
          <w:pPr>
            <w:pStyle w:val="Header"/>
            <w:spacing w:line="276" w:lineRule="auto"/>
            <w:rPr>
              <w:rFonts w:ascii="Cambria" w:eastAsia="MS Gothic" w:hAnsi="Cambria"/>
              <w:b/>
              <w:bCs/>
              <w:color w:val="4F81BD"/>
            </w:rPr>
          </w:pPr>
        </w:p>
      </w:tc>
      <w:tc>
        <w:tcPr>
          <w:tcW w:w="0" w:type="auto"/>
          <w:vMerge/>
          <w:vAlign w:val="center"/>
          <w:hideMark/>
        </w:tcPr>
        <w:p w:rsidR="003B5300" w:rsidRPr="00A06225" w:rsidRDefault="003B5300">
          <w:pPr>
            <w:rPr>
              <w:rFonts w:ascii="Cambria" w:hAnsi="Cambria"/>
              <w:color w:val="4F81BD"/>
              <w:sz w:val="22"/>
              <w:szCs w:val="22"/>
            </w:rPr>
          </w:pPr>
        </w:p>
      </w:tc>
      <w:tc>
        <w:tcPr>
          <w:tcW w:w="2278" w:type="pct"/>
          <w:tcBorders>
            <w:top w:val="single" w:sz="4" w:space="0" w:color="4F81BD"/>
            <w:left w:val="nil"/>
            <w:bottom w:val="nil"/>
            <w:right w:val="nil"/>
          </w:tcBorders>
        </w:tcPr>
        <w:p w:rsidR="003B5300" w:rsidRPr="00A06225" w:rsidRDefault="003B5300">
          <w:pPr>
            <w:pStyle w:val="Header"/>
            <w:spacing w:line="276" w:lineRule="auto"/>
            <w:rPr>
              <w:rFonts w:ascii="Cambria" w:eastAsia="MS Gothic" w:hAnsi="Cambria"/>
              <w:b/>
              <w:bCs/>
              <w:color w:val="4F81BD"/>
            </w:rPr>
          </w:pPr>
        </w:p>
      </w:tc>
    </w:tr>
  </w:tbl>
  <w:p w:rsidR="003B5300" w:rsidRDefault="003B5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0" w:rsidRPr="00DF217D" w:rsidRDefault="003B5300" w:rsidP="005B6DB6">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3B5300" w:rsidRPr="00DF217D" w:rsidRDefault="003B5300" w:rsidP="00A06225">
    <w:pPr>
      <w:pStyle w:val="Header"/>
      <w:rPr>
        <w:rFonts w:ascii="Arial" w:hAnsi="Arial" w:cs="Arial"/>
        <w:i/>
        <w:color w:val="808080"/>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300" w:rsidRDefault="003B5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2B67EDF"/>
    <w:multiLevelType w:val="hybridMultilevel"/>
    <w:tmpl w:val="0546A9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1BF4F18"/>
    <w:multiLevelType w:val="hybridMultilevel"/>
    <w:tmpl w:val="372035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382E8C"/>
    <w:multiLevelType w:val="multilevel"/>
    <w:tmpl w:val="0E5A025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8D170E3"/>
    <w:multiLevelType w:val="hybridMultilevel"/>
    <w:tmpl w:val="3C1667DA"/>
    <w:lvl w:ilvl="0" w:tplc="8DD46D6C">
      <w:start w:val="1"/>
      <w:numFmt w:val="decimal"/>
      <w:lvlText w:val="5.%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17D1794"/>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D015D40"/>
    <w:multiLevelType w:val="hybridMultilevel"/>
    <w:tmpl w:val="4D6EF67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7FB76FE"/>
    <w:multiLevelType w:val="hybridMultilevel"/>
    <w:tmpl w:val="6E94C5E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9BC5196"/>
    <w:multiLevelType w:val="multilevel"/>
    <w:tmpl w:val="6FF692C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3603F5"/>
    <w:multiLevelType w:val="hybridMultilevel"/>
    <w:tmpl w:val="FFA4C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1854587"/>
    <w:multiLevelType w:val="multilevel"/>
    <w:tmpl w:val="146CB422"/>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508069A"/>
    <w:multiLevelType w:val="hybridMultilevel"/>
    <w:tmpl w:val="EE20DED0"/>
    <w:lvl w:ilvl="0" w:tplc="9238E6A0">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nsid w:val="784D033C"/>
    <w:multiLevelType w:val="multilevel"/>
    <w:tmpl w:val="BF2437E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8"/>
  </w:num>
  <w:num w:numId="2">
    <w:abstractNumId w:val="36"/>
  </w:num>
  <w:num w:numId="3">
    <w:abstractNumId w:val="21"/>
  </w:num>
  <w:num w:numId="4">
    <w:abstractNumId w:val="0"/>
  </w:num>
  <w:num w:numId="5">
    <w:abstractNumId w:val="4"/>
  </w:num>
  <w:num w:numId="6">
    <w:abstractNumId w:val="19"/>
  </w:num>
  <w:num w:numId="7">
    <w:abstractNumId w:val="16"/>
  </w:num>
  <w:num w:numId="8">
    <w:abstractNumId w:val="3"/>
  </w:num>
  <w:num w:numId="9">
    <w:abstractNumId w:val="7"/>
  </w:num>
  <w:num w:numId="10">
    <w:abstractNumId w:val="34"/>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29"/>
  </w:num>
  <w:num w:numId="16">
    <w:abstractNumId w:val="25"/>
  </w:num>
  <w:num w:numId="17">
    <w:abstractNumId w:val="41"/>
  </w:num>
  <w:num w:numId="18">
    <w:abstractNumId w:val="12"/>
  </w:num>
  <w:num w:numId="19">
    <w:abstractNumId w:val="18"/>
  </w:num>
  <w:num w:numId="20">
    <w:abstractNumId w:val="2"/>
  </w:num>
  <w:num w:numId="21">
    <w:abstractNumId w:val="32"/>
  </w:num>
  <w:num w:numId="22">
    <w:abstractNumId w:val="35"/>
  </w:num>
  <w:num w:numId="23">
    <w:abstractNumId w:val="44"/>
  </w:num>
  <w:num w:numId="24">
    <w:abstractNumId w:val="15"/>
  </w:num>
  <w:num w:numId="25">
    <w:abstractNumId w:val="43"/>
  </w:num>
  <w:num w:numId="26">
    <w:abstractNumId w:val="31"/>
  </w:num>
  <w:num w:numId="27">
    <w:abstractNumId w:val="10"/>
  </w:num>
  <w:num w:numId="28">
    <w:abstractNumId w:val="5"/>
  </w:num>
  <w:num w:numId="29">
    <w:abstractNumId w:val="27"/>
  </w:num>
  <w:num w:numId="30">
    <w:abstractNumId w:val="1"/>
  </w:num>
  <w:num w:numId="31">
    <w:abstractNumId w:val="28"/>
  </w:num>
  <w:num w:numId="32">
    <w:abstractNumId w:val="40"/>
  </w:num>
  <w:num w:numId="33">
    <w:abstractNumId w:val="26"/>
  </w:num>
  <w:num w:numId="34">
    <w:abstractNumId w:val="46"/>
  </w:num>
  <w:num w:numId="35">
    <w:abstractNumId w:val="9"/>
  </w:num>
  <w:num w:numId="36">
    <w:abstractNumId w:val="23"/>
  </w:num>
  <w:num w:numId="37">
    <w:abstractNumId w:val="14"/>
  </w:num>
  <w:num w:numId="38">
    <w:abstractNumId w:val="38"/>
  </w:num>
  <w:num w:numId="39">
    <w:abstractNumId w:val="17"/>
  </w:num>
  <w:num w:numId="40">
    <w:abstractNumId w:val="6"/>
  </w:num>
  <w:num w:numId="41">
    <w:abstractNumId w:val="20"/>
  </w:num>
  <w:num w:numId="42">
    <w:abstractNumId w:val="11"/>
  </w:num>
  <w:num w:numId="43">
    <w:abstractNumId w:val="45"/>
  </w:num>
  <w:num w:numId="44">
    <w:abstractNumId w:val="42"/>
  </w:num>
  <w:num w:numId="45">
    <w:abstractNumId w:val="39"/>
  </w:num>
  <w:num w:numId="46">
    <w:abstractNumId w:val="30"/>
  </w:num>
  <w:num w:numId="47">
    <w:abstractNumId w:val="24"/>
  </w:num>
  <w:num w:numId="48">
    <w:abstractNumId w:val="3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1B16"/>
    <w:rsid w:val="00017C54"/>
    <w:rsid w:val="0002464A"/>
    <w:rsid w:val="000268A0"/>
    <w:rsid w:val="0003106B"/>
    <w:rsid w:val="000323D6"/>
    <w:rsid w:val="000421A1"/>
    <w:rsid w:val="0004240E"/>
    <w:rsid w:val="00045E26"/>
    <w:rsid w:val="0004729D"/>
    <w:rsid w:val="000514B5"/>
    <w:rsid w:val="00060B0F"/>
    <w:rsid w:val="00060E64"/>
    <w:rsid w:val="00071841"/>
    <w:rsid w:val="0007593F"/>
    <w:rsid w:val="000969AD"/>
    <w:rsid w:val="000A780A"/>
    <w:rsid w:val="000B558D"/>
    <w:rsid w:val="000B6397"/>
    <w:rsid w:val="000C6996"/>
    <w:rsid w:val="000D23BA"/>
    <w:rsid w:val="000E681E"/>
    <w:rsid w:val="000F4E6A"/>
    <w:rsid w:val="00100F4C"/>
    <w:rsid w:val="00105366"/>
    <w:rsid w:val="001107BF"/>
    <w:rsid w:val="0012417C"/>
    <w:rsid w:val="00142395"/>
    <w:rsid w:val="00142714"/>
    <w:rsid w:val="001452ED"/>
    <w:rsid w:val="00147E2F"/>
    <w:rsid w:val="001830CE"/>
    <w:rsid w:val="00196307"/>
    <w:rsid w:val="001A0C5B"/>
    <w:rsid w:val="001A3E87"/>
    <w:rsid w:val="001A777B"/>
    <w:rsid w:val="001B017F"/>
    <w:rsid w:val="001B5129"/>
    <w:rsid w:val="001C1195"/>
    <w:rsid w:val="001E4F27"/>
    <w:rsid w:val="002115A2"/>
    <w:rsid w:val="00271BA1"/>
    <w:rsid w:val="00277505"/>
    <w:rsid w:val="0029458F"/>
    <w:rsid w:val="00295418"/>
    <w:rsid w:val="002A4960"/>
    <w:rsid w:val="002A60CC"/>
    <w:rsid w:val="002A6AB8"/>
    <w:rsid w:val="002B1AE6"/>
    <w:rsid w:val="002B30F8"/>
    <w:rsid w:val="002C212F"/>
    <w:rsid w:val="002C5FCD"/>
    <w:rsid w:val="002E27EB"/>
    <w:rsid w:val="002E3763"/>
    <w:rsid w:val="002E513D"/>
    <w:rsid w:val="00310B5C"/>
    <w:rsid w:val="003152CD"/>
    <w:rsid w:val="00320B58"/>
    <w:rsid w:val="00326E79"/>
    <w:rsid w:val="003342AE"/>
    <w:rsid w:val="003367EF"/>
    <w:rsid w:val="00341AE4"/>
    <w:rsid w:val="0036182B"/>
    <w:rsid w:val="00363E20"/>
    <w:rsid w:val="003670CB"/>
    <w:rsid w:val="0037278A"/>
    <w:rsid w:val="00380D1C"/>
    <w:rsid w:val="00384856"/>
    <w:rsid w:val="003A05A4"/>
    <w:rsid w:val="003A4DD8"/>
    <w:rsid w:val="003A5B4A"/>
    <w:rsid w:val="003B23C5"/>
    <w:rsid w:val="003B2A75"/>
    <w:rsid w:val="003B3B76"/>
    <w:rsid w:val="003B5300"/>
    <w:rsid w:val="003D3714"/>
    <w:rsid w:val="003D4AC4"/>
    <w:rsid w:val="003D63B7"/>
    <w:rsid w:val="003E468B"/>
    <w:rsid w:val="003F5C8C"/>
    <w:rsid w:val="0040653E"/>
    <w:rsid w:val="0042646E"/>
    <w:rsid w:val="004422AA"/>
    <w:rsid w:val="00453AD9"/>
    <w:rsid w:val="00456B75"/>
    <w:rsid w:val="004645B3"/>
    <w:rsid w:val="00466ADA"/>
    <w:rsid w:val="00473C74"/>
    <w:rsid w:val="00480C9C"/>
    <w:rsid w:val="004A0F83"/>
    <w:rsid w:val="004B2144"/>
    <w:rsid w:val="004B5640"/>
    <w:rsid w:val="004C1BD7"/>
    <w:rsid w:val="004C5CBD"/>
    <w:rsid w:val="004C691D"/>
    <w:rsid w:val="004D266B"/>
    <w:rsid w:val="004E692D"/>
    <w:rsid w:val="004F1234"/>
    <w:rsid w:val="00514CD7"/>
    <w:rsid w:val="005229C4"/>
    <w:rsid w:val="00523F77"/>
    <w:rsid w:val="00534E2E"/>
    <w:rsid w:val="00543654"/>
    <w:rsid w:val="00544552"/>
    <w:rsid w:val="00547AEC"/>
    <w:rsid w:val="00557D2F"/>
    <w:rsid w:val="005631F8"/>
    <w:rsid w:val="0056652B"/>
    <w:rsid w:val="00570FF9"/>
    <w:rsid w:val="00581932"/>
    <w:rsid w:val="005A3173"/>
    <w:rsid w:val="005A3223"/>
    <w:rsid w:val="005A3DA3"/>
    <w:rsid w:val="005A52C4"/>
    <w:rsid w:val="005B55BC"/>
    <w:rsid w:val="005B6DB6"/>
    <w:rsid w:val="005D03AB"/>
    <w:rsid w:val="005D13B0"/>
    <w:rsid w:val="005D31C4"/>
    <w:rsid w:val="005D5017"/>
    <w:rsid w:val="00601A91"/>
    <w:rsid w:val="00602BA3"/>
    <w:rsid w:val="006129D3"/>
    <w:rsid w:val="00614159"/>
    <w:rsid w:val="00617C00"/>
    <w:rsid w:val="006220C6"/>
    <w:rsid w:val="00622C43"/>
    <w:rsid w:val="006263BF"/>
    <w:rsid w:val="0062781D"/>
    <w:rsid w:val="00630A2C"/>
    <w:rsid w:val="0064748C"/>
    <w:rsid w:val="00651169"/>
    <w:rsid w:val="00653D69"/>
    <w:rsid w:val="00670A76"/>
    <w:rsid w:val="006711AA"/>
    <w:rsid w:val="00675622"/>
    <w:rsid w:val="00676DDA"/>
    <w:rsid w:val="006844FD"/>
    <w:rsid w:val="00690642"/>
    <w:rsid w:val="006906DB"/>
    <w:rsid w:val="006A12A5"/>
    <w:rsid w:val="006B0D94"/>
    <w:rsid w:val="006B3F74"/>
    <w:rsid w:val="006B485D"/>
    <w:rsid w:val="006B66D2"/>
    <w:rsid w:val="006D44A9"/>
    <w:rsid w:val="006D6EC7"/>
    <w:rsid w:val="006E39B9"/>
    <w:rsid w:val="006E7080"/>
    <w:rsid w:val="006F2268"/>
    <w:rsid w:val="006F5125"/>
    <w:rsid w:val="00710C73"/>
    <w:rsid w:val="007174BB"/>
    <w:rsid w:val="00735BCC"/>
    <w:rsid w:val="00750C1F"/>
    <w:rsid w:val="00754409"/>
    <w:rsid w:val="0075683C"/>
    <w:rsid w:val="00760F2D"/>
    <w:rsid w:val="0077082C"/>
    <w:rsid w:val="007753C2"/>
    <w:rsid w:val="00780073"/>
    <w:rsid w:val="007838B8"/>
    <w:rsid w:val="007A007B"/>
    <w:rsid w:val="007A220A"/>
    <w:rsid w:val="007B5CA6"/>
    <w:rsid w:val="007C0F57"/>
    <w:rsid w:val="007C40B6"/>
    <w:rsid w:val="007C729F"/>
    <w:rsid w:val="007D560F"/>
    <w:rsid w:val="007E1D28"/>
    <w:rsid w:val="007E22A8"/>
    <w:rsid w:val="007F2641"/>
    <w:rsid w:val="008065B9"/>
    <w:rsid w:val="00806796"/>
    <w:rsid w:val="00813299"/>
    <w:rsid w:val="00813D97"/>
    <w:rsid w:val="00826B61"/>
    <w:rsid w:val="00847093"/>
    <w:rsid w:val="00863E68"/>
    <w:rsid w:val="00882085"/>
    <w:rsid w:val="00883188"/>
    <w:rsid w:val="00897D58"/>
    <w:rsid w:val="008A1C83"/>
    <w:rsid w:val="008A4937"/>
    <w:rsid w:val="008B68E9"/>
    <w:rsid w:val="008C091D"/>
    <w:rsid w:val="008D3C82"/>
    <w:rsid w:val="008D447E"/>
    <w:rsid w:val="008E2F76"/>
    <w:rsid w:val="008E3680"/>
    <w:rsid w:val="008E5870"/>
    <w:rsid w:val="008F1434"/>
    <w:rsid w:val="008F7355"/>
    <w:rsid w:val="00930937"/>
    <w:rsid w:val="00942160"/>
    <w:rsid w:val="009513A6"/>
    <w:rsid w:val="00956931"/>
    <w:rsid w:val="009602C5"/>
    <w:rsid w:val="0096237F"/>
    <w:rsid w:val="00974C21"/>
    <w:rsid w:val="00987A77"/>
    <w:rsid w:val="00993D9D"/>
    <w:rsid w:val="00993E70"/>
    <w:rsid w:val="009A1E8F"/>
    <w:rsid w:val="009A36DD"/>
    <w:rsid w:val="009A60A9"/>
    <w:rsid w:val="009A743C"/>
    <w:rsid w:val="009C03E2"/>
    <w:rsid w:val="009C3252"/>
    <w:rsid w:val="009C3EB0"/>
    <w:rsid w:val="009C703C"/>
    <w:rsid w:val="009D3CAA"/>
    <w:rsid w:val="009F5B65"/>
    <w:rsid w:val="00A019E3"/>
    <w:rsid w:val="00A03017"/>
    <w:rsid w:val="00A06195"/>
    <w:rsid w:val="00A06225"/>
    <w:rsid w:val="00A15265"/>
    <w:rsid w:val="00A37C8D"/>
    <w:rsid w:val="00A42B83"/>
    <w:rsid w:val="00A472A4"/>
    <w:rsid w:val="00A5239D"/>
    <w:rsid w:val="00A5273B"/>
    <w:rsid w:val="00A53A9D"/>
    <w:rsid w:val="00A62C1A"/>
    <w:rsid w:val="00A6426D"/>
    <w:rsid w:val="00A672F8"/>
    <w:rsid w:val="00A70622"/>
    <w:rsid w:val="00A70977"/>
    <w:rsid w:val="00A8246D"/>
    <w:rsid w:val="00A8390C"/>
    <w:rsid w:val="00A8667F"/>
    <w:rsid w:val="00A908E5"/>
    <w:rsid w:val="00AA4D1C"/>
    <w:rsid w:val="00AB2204"/>
    <w:rsid w:val="00AC5206"/>
    <w:rsid w:val="00AC6879"/>
    <w:rsid w:val="00AE11A5"/>
    <w:rsid w:val="00AF68CC"/>
    <w:rsid w:val="00B11979"/>
    <w:rsid w:val="00B205AA"/>
    <w:rsid w:val="00B25F75"/>
    <w:rsid w:val="00B43E90"/>
    <w:rsid w:val="00B56118"/>
    <w:rsid w:val="00B64DC4"/>
    <w:rsid w:val="00B73D73"/>
    <w:rsid w:val="00B853EC"/>
    <w:rsid w:val="00B87273"/>
    <w:rsid w:val="00B87AD5"/>
    <w:rsid w:val="00BA24A8"/>
    <w:rsid w:val="00BB07E1"/>
    <w:rsid w:val="00BB69F5"/>
    <w:rsid w:val="00BB7EC3"/>
    <w:rsid w:val="00BC4B9A"/>
    <w:rsid w:val="00BF0F51"/>
    <w:rsid w:val="00BF4CB6"/>
    <w:rsid w:val="00C12768"/>
    <w:rsid w:val="00C35996"/>
    <w:rsid w:val="00C45B9E"/>
    <w:rsid w:val="00C5063D"/>
    <w:rsid w:val="00C5342C"/>
    <w:rsid w:val="00C609A7"/>
    <w:rsid w:val="00C6102E"/>
    <w:rsid w:val="00C6256A"/>
    <w:rsid w:val="00C77A95"/>
    <w:rsid w:val="00C91449"/>
    <w:rsid w:val="00C92D10"/>
    <w:rsid w:val="00C97767"/>
    <w:rsid w:val="00CA4842"/>
    <w:rsid w:val="00CC524B"/>
    <w:rsid w:val="00CE10C4"/>
    <w:rsid w:val="00CE27B5"/>
    <w:rsid w:val="00CE4352"/>
    <w:rsid w:val="00CE6459"/>
    <w:rsid w:val="00CE7014"/>
    <w:rsid w:val="00CF3A76"/>
    <w:rsid w:val="00D02628"/>
    <w:rsid w:val="00D0321E"/>
    <w:rsid w:val="00D254AF"/>
    <w:rsid w:val="00D3280C"/>
    <w:rsid w:val="00D3406A"/>
    <w:rsid w:val="00D37E02"/>
    <w:rsid w:val="00D469B2"/>
    <w:rsid w:val="00D741EB"/>
    <w:rsid w:val="00D91271"/>
    <w:rsid w:val="00DA40A0"/>
    <w:rsid w:val="00DA4BAC"/>
    <w:rsid w:val="00DB32FF"/>
    <w:rsid w:val="00DD42FD"/>
    <w:rsid w:val="00DE0492"/>
    <w:rsid w:val="00DE4F4F"/>
    <w:rsid w:val="00DE6D27"/>
    <w:rsid w:val="00DF217D"/>
    <w:rsid w:val="00DF26A7"/>
    <w:rsid w:val="00DF499D"/>
    <w:rsid w:val="00E00B5D"/>
    <w:rsid w:val="00E02243"/>
    <w:rsid w:val="00E05F7F"/>
    <w:rsid w:val="00E16910"/>
    <w:rsid w:val="00E24B5F"/>
    <w:rsid w:val="00E302A7"/>
    <w:rsid w:val="00E527A5"/>
    <w:rsid w:val="00E65E54"/>
    <w:rsid w:val="00E80155"/>
    <w:rsid w:val="00E81195"/>
    <w:rsid w:val="00E848C0"/>
    <w:rsid w:val="00E85279"/>
    <w:rsid w:val="00E91119"/>
    <w:rsid w:val="00E91B96"/>
    <w:rsid w:val="00E941A1"/>
    <w:rsid w:val="00E95CE3"/>
    <w:rsid w:val="00EA2825"/>
    <w:rsid w:val="00EA6434"/>
    <w:rsid w:val="00EB5088"/>
    <w:rsid w:val="00EC646A"/>
    <w:rsid w:val="00ED1644"/>
    <w:rsid w:val="00F035D7"/>
    <w:rsid w:val="00F050BD"/>
    <w:rsid w:val="00F05657"/>
    <w:rsid w:val="00F056D4"/>
    <w:rsid w:val="00F060EB"/>
    <w:rsid w:val="00F1132A"/>
    <w:rsid w:val="00F17DEB"/>
    <w:rsid w:val="00F25578"/>
    <w:rsid w:val="00F258E5"/>
    <w:rsid w:val="00F300BC"/>
    <w:rsid w:val="00F3334E"/>
    <w:rsid w:val="00F41E9F"/>
    <w:rsid w:val="00F50EC4"/>
    <w:rsid w:val="00F57A6D"/>
    <w:rsid w:val="00F638CC"/>
    <w:rsid w:val="00F70682"/>
    <w:rsid w:val="00F77F60"/>
    <w:rsid w:val="00F8247A"/>
    <w:rsid w:val="00F87B7A"/>
    <w:rsid w:val="00FA0653"/>
    <w:rsid w:val="00FA5883"/>
    <w:rsid w:val="00FA6055"/>
    <w:rsid w:val="00FA7C85"/>
    <w:rsid w:val="00FB322F"/>
    <w:rsid w:val="00FB442F"/>
    <w:rsid w:val="00FB5764"/>
    <w:rsid w:val="00FC1217"/>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A05A4"/>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BodytextChar">
    <w:name w:val="Body text Char"/>
    <w:link w:val="BodyText1"/>
    <w:locked/>
    <w:rsid w:val="006B3F74"/>
    <w:rPr>
      <w:rFonts w:ascii="Arial" w:hAnsi="Arial"/>
      <w:sz w:val="22"/>
    </w:rPr>
  </w:style>
  <w:style w:type="paragraph" w:customStyle="1" w:styleId="BodyText1">
    <w:name w:val="Body Text1"/>
    <w:basedOn w:val="Normal"/>
    <w:link w:val="BodytextChar"/>
    <w:qFormat/>
    <w:rsid w:val="006B3F74"/>
    <w:pPr>
      <w:spacing w:after="240" w:line="360" w:lineRule="auto"/>
    </w:pPr>
    <w:rPr>
      <w:rFonts w:ascii="Arial" w:hAnsi="Arial"/>
      <w:sz w:val="22"/>
      <w:szCs w:val="20"/>
    </w:rPr>
  </w:style>
  <w:style w:type="paragraph" w:customStyle="1" w:styleId="Default">
    <w:name w:val="Default"/>
    <w:rsid w:val="00E302A7"/>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A05A4"/>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BodytextChar">
    <w:name w:val="Body text Char"/>
    <w:link w:val="BodyText1"/>
    <w:locked/>
    <w:rsid w:val="006B3F74"/>
    <w:rPr>
      <w:rFonts w:ascii="Arial" w:hAnsi="Arial"/>
      <w:sz w:val="22"/>
    </w:rPr>
  </w:style>
  <w:style w:type="paragraph" w:customStyle="1" w:styleId="BodyText1">
    <w:name w:val="Body Text1"/>
    <w:basedOn w:val="Normal"/>
    <w:link w:val="BodytextChar"/>
    <w:qFormat/>
    <w:rsid w:val="006B3F74"/>
    <w:pPr>
      <w:spacing w:after="240" w:line="360" w:lineRule="auto"/>
    </w:pPr>
    <w:rPr>
      <w:rFonts w:ascii="Arial" w:hAnsi="Arial"/>
      <w:sz w:val="22"/>
      <w:szCs w:val="20"/>
    </w:rPr>
  </w:style>
  <w:style w:type="paragraph" w:customStyle="1" w:styleId="Default">
    <w:name w:val="Default"/>
    <w:rsid w:val="00E302A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5826</Words>
  <Characters>34681</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2014-11-12T06:14:00Z</dcterms:created>
  <dcterms:modified xsi:type="dcterms:W3CDTF">2014-11-12T21:34:00Z</dcterms:modified>
</cp:coreProperties>
</file>