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4D" w:rsidRDefault="001972F4" w:rsidP="00EA46BB">
      <w:pPr>
        <w:pStyle w:val="Heading1"/>
      </w:pPr>
      <w:r>
        <w:t>5</w:t>
      </w:r>
      <w:r w:rsidR="0004240E" w:rsidRPr="006D6EC7">
        <w:t>.</w:t>
      </w:r>
      <w:r>
        <w:t>19</w:t>
      </w:r>
      <w:r w:rsidR="007C0F57" w:rsidRPr="006D6EC7">
        <w:tab/>
      </w:r>
      <w:r>
        <w:t>VEDOLIZUMAB</w:t>
      </w:r>
      <w:r w:rsidR="0004240E" w:rsidRPr="006D6EC7">
        <w:t xml:space="preserve">, </w:t>
      </w:r>
      <w:r>
        <w:t>injection</w:t>
      </w:r>
      <w:r w:rsidR="0004240E" w:rsidRPr="006D6EC7">
        <w:t xml:space="preserve">, </w:t>
      </w:r>
      <w:r>
        <w:t>1 x 300 mg vial</w:t>
      </w:r>
      <w:r w:rsidR="0004240E" w:rsidRPr="006D6EC7">
        <w:t xml:space="preserve">, </w:t>
      </w:r>
    </w:p>
    <w:p w:rsidR="00D3280C" w:rsidRPr="006D6EC7" w:rsidRDefault="008061BE" w:rsidP="00EA46BB">
      <w:pPr>
        <w:pStyle w:val="Heading1"/>
      </w:pPr>
      <w:proofErr w:type="spellStart"/>
      <w:proofErr w:type="gramStart"/>
      <w:r>
        <w:t>E</w:t>
      </w:r>
      <w:r w:rsidR="001972F4">
        <w:t>ntyvio</w:t>
      </w:r>
      <w:proofErr w:type="spellEnd"/>
      <w:r w:rsidR="0004240E" w:rsidRPr="006D6EC7">
        <w:rPr>
          <w:vertAlign w:val="superscript"/>
        </w:rPr>
        <w:t>®</w:t>
      </w:r>
      <w:r w:rsidR="0004240E" w:rsidRPr="006D6EC7">
        <w:t xml:space="preserve">, </w:t>
      </w:r>
      <w:r w:rsidR="001972F4">
        <w:t>Takeda Pharmaceuticals Australia Pty Ltd</w:t>
      </w:r>
      <w:r w:rsidR="0004240E" w:rsidRPr="006D6EC7">
        <w:t>.</w:t>
      </w:r>
      <w:proofErr w:type="gramEnd"/>
    </w:p>
    <w:p w:rsidR="00CE10C4" w:rsidRDefault="00CE10C4" w:rsidP="00A5273B">
      <w:pPr>
        <w:rPr>
          <w:rFonts w:ascii="Arial" w:hAnsi="Arial"/>
          <w:b/>
        </w:rPr>
      </w:pPr>
    </w:p>
    <w:p w:rsidR="008D447E" w:rsidRPr="006D6EC7" w:rsidRDefault="008D447E" w:rsidP="00A5273B">
      <w:pPr>
        <w:rPr>
          <w:rFonts w:ascii="Arial" w:hAnsi="Arial"/>
          <w:b/>
        </w:rPr>
      </w:pPr>
    </w:p>
    <w:p w:rsidR="00CE10C4" w:rsidRPr="00E573DC" w:rsidRDefault="00CE10C4" w:rsidP="004E7A4D">
      <w:pPr>
        <w:pStyle w:val="ListParagraph"/>
        <w:numPr>
          <w:ilvl w:val="0"/>
          <w:numId w:val="1"/>
        </w:numPr>
        <w:jc w:val="both"/>
        <w:rPr>
          <w:rFonts w:ascii="Arial" w:hAnsi="Arial"/>
          <w:b/>
          <w:sz w:val="22"/>
          <w:szCs w:val="22"/>
        </w:rPr>
      </w:pPr>
      <w:r w:rsidRPr="00E573DC">
        <w:rPr>
          <w:rFonts w:ascii="Arial" w:hAnsi="Arial"/>
          <w:b/>
          <w:sz w:val="22"/>
          <w:szCs w:val="22"/>
        </w:rPr>
        <w:t xml:space="preserve">Purpose of </w:t>
      </w:r>
      <w:r w:rsidR="0004240E" w:rsidRPr="00E573DC">
        <w:rPr>
          <w:rFonts w:ascii="Arial" w:hAnsi="Arial"/>
          <w:b/>
          <w:sz w:val="22"/>
          <w:szCs w:val="22"/>
        </w:rPr>
        <w:t>Application</w:t>
      </w:r>
    </w:p>
    <w:p w:rsidR="006A12A5" w:rsidRPr="00E573DC" w:rsidRDefault="006A12A5" w:rsidP="00882085">
      <w:pPr>
        <w:jc w:val="both"/>
        <w:rPr>
          <w:rFonts w:ascii="Arial" w:hAnsi="Arial"/>
          <w:sz w:val="22"/>
          <w:szCs w:val="22"/>
        </w:rPr>
      </w:pPr>
    </w:p>
    <w:p w:rsidR="00E16910" w:rsidRPr="00882085" w:rsidRDefault="0069246B" w:rsidP="00984601">
      <w:pPr>
        <w:pStyle w:val="ListParagraph"/>
        <w:numPr>
          <w:ilvl w:val="1"/>
          <w:numId w:val="1"/>
        </w:numPr>
        <w:jc w:val="both"/>
        <w:rPr>
          <w:rFonts w:ascii="Arial" w:hAnsi="Arial"/>
          <w:sz w:val="22"/>
          <w:szCs w:val="22"/>
        </w:rPr>
      </w:pPr>
      <w:r w:rsidRPr="00E573DC">
        <w:rPr>
          <w:rFonts w:ascii="Arial" w:hAnsi="Arial"/>
          <w:sz w:val="22"/>
          <w:szCs w:val="22"/>
        </w:rPr>
        <w:t xml:space="preserve">The major submission </w:t>
      </w:r>
      <w:r w:rsidR="009F1D23">
        <w:rPr>
          <w:rFonts w:ascii="Arial" w:hAnsi="Arial"/>
          <w:sz w:val="22"/>
          <w:szCs w:val="22"/>
        </w:rPr>
        <w:t>sought</w:t>
      </w:r>
      <w:r w:rsidRPr="00E573DC">
        <w:rPr>
          <w:rFonts w:ascii="Arial" w:hAnsi="Arial"/>
          <w:sz w:val="22"/>
          <w:szCs w:val="22"/>
        </w:rPr>
        <w:t xml:space="preserve"> a Section 100 (Highly Specialised Drugs Program) Authority </w:t>
      </w:r>
      <w:proofErr w:type="gramStart"/>
      <w:r w:rsidRPr="00E573DC">
        <w:rPr>
          <w:rFonts w:ascii="Arial" w:hAnsi="Arial"/>
          <w:sz w:val="22"/>
          <w:szCs w:val="22"/>
        </w:rPr>
        <w:t>Required</w:t>
      </w:r>
      <w:proofErr w:type="gramEnd"/>
      <w:r w:rsidRPr="00E573DC">
        <w:rPr>
          <w:rFonts w:ascii="Arial" w:hAnsi="Arial"/>
          <w:sz w:val="22"/>
          <w:szCs w:val="22"/>
        </w:rPr>
        <w:t xml:space="preserve"> listing for the treatment of moderate to severe ulcerative colitis.</w:t>
      </w:r>
      <w:r w:rsidRPr="0069246B">
        <w:rPr>
          <w:rFonts w:ascii="Arial" w:hAnsi="Arial"/>
          <w:sz w:val="22"/>
          <w:szCs w:val="22"/>
        </w:rPr>
        <w:t xml:space="preserve"> </w:t>
      </w:r>
    </w:p>
    <w:p w:rsidR="006A12A5" w:rsidRPr="00882085" w:rsidRDefault="006A12A5" w:rsidP="00882085">
      <w:pPr>
        <w:jc w:val="both"/>
        <w:rPr>
          <w:rFonts w:ascii="Arial" w:hAnsi="Arial"/>
          <w:b/>
          <w:sz w:val="22"/>
          <w:szCs w:val="22"/>
        </w:rPr>
      </w:pPr>
    </w:p>
    <w:p w:rsidR="00614159" w:rsidRPr="00882085" w:rsidRDefault="006A12A5" w:rsidP="00984601">
      <w:pPr>
        <w:pStyle w:val="ListParagraph"/>
        <w:numPr>
          <w:ilvl w:val="0"/>
          <w:numId w:val="1"/>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2B1AE6" w:rsidRPr="00882085" w:rsidRDefault="00BC6F2F" w:rsidP="00984601">
      <w:pPr>
        <w:pStyle w:val="ListParagraph"/>
        <w:numPr>
          <w:ilvl w:val="1"/>
          <w:numId w:val="1"/>
        </w:numPr>
        <w:jc w:val="both"/>
        <w:rPr>
          <w:rFonts w:ascii="Arial" w:hAnsi="Arial"/>
          <w:sz w:val="22"/>
          <w:szCs w:val="22"/>
        </w:rPr>
      </w:pPr>
      <w:r>
        <w:rPr>
          <w:rFonts w:ascii="Arial" w:hAnsi="Arial"/>
          <w:sz w:val="22"/>
          <w:szCs w:val="22"/>
        </w:rPr>
        <w:t>The submission sought the following listing:</w:t>
      </w:r>
      <w:r w:rsidR="00E16910" w:rsidRPr="00882085">
        <w:rPr>
          <w:rFonts w:ascii="Arial" w:hAnsi="Arial"/>
          <w:sz w:val="22"/>
          <w:szCs w:val="22"/>
        </w:rPr>
        <w:t xml:space="preserve"> </w:t>
      </w:r>
    </w:p>
    <w:p w:rsidR="00E16910" w:rsidRDefault="00E16910" w:rsidP="00882085">
      <w:pPr>
        <w:pStyle w:val="ListParagraph"/>
        <w:jc w:val="both"/>
        <w:rPr>
          <w:rFonts w:ascii="Arial" w:hAnsi="Arial"/>
          <w:sz w:val="22"/>
          <w:szCs w:val="22"/>
        </w:rPr>
      </w:pPr>
    </w:p>
    <w:tbl>
      <w:tblPr>
        <w:tblW w:w="8482" w:type="dxa"/>
        <w:tblInd w:w="817" w:type="dxa"/>
        <w:tblLayout w:type="fixed"/>
        <w:tblLook w:val="0000" w:firstRow="0" w:lastRow="0" w:firstColumn="0" w:lastColumn="0" w:noHBand="0" w:noVBand="0"/>
        <w:tblDescription w:val="Requested listing"/>
      </w:tblPr>
      <w:tblGrid>
        <w:gridCol w:w="3539"/>
        <w:gridCol w:w="634"/>
        <w:gridCol w:w="950"/>
        <w:gridCol w:w="1742"/>
        <w:gridCol w:w="1617"/>
      </w:tblGrid>
      <w:tr w:rsidR="00F30E2D" w:rsidRPr="003E2188" w:rsidTr="00F30E2D">
        <w:trPr>
          <w:cantSplit/>
          <w:trHeight w:val="454"/>
        </w:trPr>
        <w:tc>
          <w:tcPr>
            <w:tcW w:w="3539" w:type="dxa"/>
            <w:tcBorders>
              <w:top w:val="single" w:sz="4" w:space="0" w:color="auto"/>
              <w:left w:val="single" w:sz="4" w:space="0" w:color="auto"/>
              <w:bottom w:val="single" w:sz="4" w:space="0" w:color="auto"/>
              <w:right w:val="single" w:sz="4" w:space="0" w:color="auto"/>
            </w:tcBorders>
          </w:tcPr>
          <w:p w:rsidR="00F30E2D" w:rsidRPr="003E2188" w:rsidRDefault="00F30E2D" w:rsidP="0023595E">
            <w:pPr>
              <w:keepNext/>
              <w:ind w:left="-108"/>
              <w:jc w:val="both"/>
              <w:rPr>
                <w:rFonts w:ascii="Arial Narrow" w:hAnsi="Arial Narrow" w:cs="Arial"/>
                <w:sz w:val="20"/>
                <w:szCs w:val="20"/>
              </w:rPr>
            </w:pPr>
            <w:r w:rsidRPr="003E2188">
              <w:rPr>
                <w:rFonts w:ascii="Arial Narrow" w:hAnsi="Arial Narrow" w:cs="Arial"/>
                <w:sz w:val="20"/>
                <w:szCs w:val="20"/>
              </w:rPr>
              <w:t>Name, Restriction,</w:t>
            </w:r>
          </w:p>
          <w:p w:rsidR="00F30E2D" w:rsidRPr="003E2188" w:rsidRDefault="00F30E2D" w:rsidP="0023595E">
            <w:pPr>
              <w:keepNext/>
              <w:ind w:left="-108"/>
              <w:jc w:val="both"/>
              <w:rPr>
                <w:rFonts w:ascii="Arial Narrow" w:hAnsi="Arial Narrow" w:cs="Arial"/>
                <w:sz w:val="20"/>
                <w:szCs w:val="20"/>
              </w:rPr>
            </w:pPr>
            <w:r w:rsidRPr="003E2188">
              <w:rPr>
                <w:rFonts w:ascii="Arial Narrow" w:hAnsi="Arial Narrow" w:cs="Arial"/>
                <w:sz w:val="20"/>
                <w:szCs w:val="20"/>
              </w:rPr>
              <w:t>Manner of administration and form</w:t>
            </w:r>
          </w:p>
        </w:tc>
        <w:tc>
          <w:tcPr>
            <w:tcW w:w="634" w:type="dxa"/>
            <w:tcBorders>
              <w:top w:val="single" w:sz="4" w:space="0" w:color="auto"/>
              <w:left w:val="single" w:sz="4" w:space="0" w:color="auto"/>
              <w:bottom w:val="single" w:sz="4" w:space="0" w:color="auto"/>
              <w:right w:val="single" w:sz="4" w:space="0" w:color="auto"/>
            </w:tcBorders>
          </w:tcPr>
          <w:p w:rsidR="00F30E2D" w:rsidRPr="003E2188" w:rsidRDefault="00F30E2D" w:rsidP="0023595E">
            <w:pPr>
              <w:keepNext/>
              <w:ind w:left="-108"/>
              <w:jc w:val="both"/>
              <w:rPr>
                <w:rFonts w:ascii="Arial Narrow" w:hAnsi="Arial Narrow" w:cs="Arial"/>
                <w:sz w:val="20"/>
                <w:szCs w:val="20"/>
              </w:rPr>
            </w:pPr>
            <w:r w:rsidRPr="003E2188">
              <w:rPr>
                <w:rFonts w:ascii="Arial Narrow" w:hAnsi="Arial Narrow" w:cs="Arial"/>
                <w:sz w:val="20"/>
                <w:szCs w:val="20"/>
              </w:rPr>
              <w:t>Max.</w:t>
            </w:r>
          </w:p>
          <w:p w:rsidR="00F30E2D" w:rsidRPr="003E2188" w:rsidRDefault="00F30E2D" w:rsidP="0023595E">
            <w:pPr>
              <w:keepNext/>
              <w:ind w:left="-108"/>
              <w:jc w:val="both"/>
              <w:rPr>
                <w:rFonts w:ascii="Arial Narrow" w:hAnsi="Arial Narrow" w:cs="Arial"/>
                <w:sz w:val="20"/>
                <w:szCs w:val="20"/>
              </w:rPr>
            </w:pPr>
            <w:proofErr w:type="spellStart"/>
            <w:r w:rsidRPr="003E2188">
              <w:rPr>
                <w:rFonts w:ascii="Arial Narrow" w:hAnsi="Arial Narrow" w:cs="Arial"/>
                <w:sz w:val="20"/>
                <w:szCs w:val="20"/>
              </w:rPr>
              <w:t>Qty</w:t>
            </w:r>
            <w:proofErr w:type="spellEnd"/>
          </w:p>
        </w:tc>
        <w:tc>
          <w:tcPr>
            <w:tcW w:w="950" w:type="dxa"/>
            <w:tcBorders>
              <w:top w:val="single" w:sz="4" w:space="0" w:color="auto"/>
              <w:left w:val="single" w:sz="4" w:space="0" w:color="auto"/>
              <w:bottom w:val="single" w:sz="4" w:space="0" w:color="auto"/>
              <w:right w:val="single" w:sz="4" w:space="0" w:color="auto"/>
            </w:tcBorders>
          </w:tcPr>
          <w:p w:rsidR="00F30E2D" w:rsidRPr="003E2188" w:rsidRDefault="00F30E2D" w:rsidP="0023595E">
            <w:pPr>
              <w:keepNext/>
              <w:ind w:left="-108"/>
              <w:jc w:val="both"/>
              <w:rPr>
                <w:rFonts w:ascii="Arial Narrow" w:hAnsi="Arial Narrow" w:cs="Arial"/>
                <w:sz w:val="20"/>
                <w:szCs w:val="20"/>
              </w:rPr>
            </w:pPr>
            <w:r w:rsidRPr="003E2188">
              <w:rPr>
                <w:rFonts w:ascii="Arial Narrow" w:hAnsi="Arial Narrow" w:cs="Arial"/>
                <w:sz w:val="20"/>
                <w:szCs w:val="20"/>
              </w:rPr>
              <w:t>№.of</w:t>
            </w:r>
          </w:p>
          <w:p w:rsidR="00F30E2D" w:rsidRPr="003E2188" w:rsidRDefault="00F30E2D" w:rsidP="0023595E">
            <w:pPr>
              <w:keepNext/>
              <w:ind w:left="-108"/>
              <w:jc w:val="both"/>
              <w:rPr>
                <w:rFonts w:ascii="Arial Narrow" w:hAnsi="Arial Narrow" w:cs="Arial"/>
                <w:sz w:val="20"/>
                <w:szCs w:val="20"/>
              </w:rPr>
            </w:pPr>
            <w:proofErr w:type="spellStart"/>
            <w:r w:rsidRPr="003E2188">
              <w:rPr>
                <w:rFonts w:ascii="Arial Narrow" w:hAnsi="Arial Narrow" w:cs="Arial"/>
                <w:sz w:val="20"/>
                <w:szCs w:val="20"/>
              </w:rPr>
              <w:t>Rpts</w:t>
            </w:r>
            <w:proofErr w:type="spellEnd"/>
          </w:p>
        </w:tc>
        <w:tc>
          <w:tcPr>
            <w:tcW w:w="3359" w:type="dxa"/>
            <w:gridSpan w:val="2"/>
            <w:tcBorders>
              <w:top w:val="single" w:sz="4" w:space="0" w:color="auto"/>
              <w:left w:val="single" w:sz="4" w:space="0" w:color="auto"/>
              <w:bottom w:val="single" w:sz="4" w:space="0" w:color="auto"/>
              <w:right w:val="single" w:sz="4" w:space="0" w:color="auto"/>
            </w:tcBorders>
          </w:tcPr>
          <w:p w:rsidR="00F30E2D" w:rsidRPr="003E2188" w:rsidRDefault="00F30E2D" w:rsidP="003E2188">
            <w:pPr>
              <w:keepNext/>
              <w:rPr>
                <w:rFonts w:ascii="Arial Narrow" w:hAnsi="Arial Narrow" w:cs="Arial"/>
                <w:sz w:val="20"/>
                <w:szCs w:val="20"/>
                <w:lang w:val="fr-FR"/>
              </w:rPr>
            </w:pPr>
            <w:r w:rsidRPr="003E2188">
              <w:rPr>
                <w:rFonts w:ascii="Arial Narrow" w:hAnsi="Arial Narrow" w:cs="Arial"/>
                <w:sz w:val="20"/>
                <w:szCs w:val="20"/>
              </w:rPr>
              <w:t>Proprietary Name and Manufacturer</w:t>
            </w:r>
          </w:p>
        </w:tc>
      </w:tr>
      <w:tr w:rsidR="00F30E2D" w:rsidRPr="003E2188" w:rsidTr="00F30E2D">
        <w:trPr>
          <w:cantSplit/>
          <w:trHeight w:val="557"/>
        </w:trPr>
        <w:tc>
          <w:tcPr>
            <w:tcW w:w="3539" w:type="dxa"/>
            <w:tcBorders>
              <w:left w:val="single" w:sz="4" w:space="0" w:color="auto"/>
              <w:right w:val="single" w:sz="4" w:space="0" w:color="auto"/>
            </w:tcBorders>
          </w:tcPr>
          <w:p w:rsidR="00F30E2D" w:rsidRPr="003E2188" w:rsidRDefault="00F30E2D" w:rsidP="0023595E">
            <w:pPr>
              <w:keepNext/>
              <w:ind w:left="-108"/>
              <w:jc w:val="both"/>
              <w:rPr>
                <w:rFonts w:ascii="Arial Narrow" w:hAnsi="Arial Narrow" w:cs="Arial"/>
                <w:sz w:val="20"/>
                <w:szCs w:val="20"/>
              </w:rPr>
            </w:pPr>
            <w:r w:rsidRPr="003E2188">
              <w:rPr>
                <w:rFonts w:ascii="Arial Narrow" w:hAnsi="Arial Narrow" w:cs="Arial"/>
                <w:smallCaps/>
                <w:sz w:val="20"/>
                <w:szCs w:val="20"/>
              </w:rPr>
              <w:t>VEDOLIZUMAB</w:t>
            </w:r>
          </w:p>
          <w:p w:rsidR="00F30E2D" w:rsidRPr="003E2188" w:rsidRDefault="00F30E2D" w:rsidP="0023595E">
            <w:pPr>
              <w:keepNext/>
              <w:ind w:left="-108"/>
              <w:jc w:val="both"/>
              <w:rPr>
                <w:rFonts w:ascii="Arial Narrow" w:hAnsi="Arial Narrow" w:cs="Arial"/>
                <w:sz w:val="20"/>
                <w:szCs w:val="20"/>
              </w:rPr>
            </w:pPr>
          </w:p>
          <w:p w:rsidR="00F30E2D" w:rsidRPr="003E2188" w:rsidRDefault="00F30E2D" w:rsidP="0023595E">
            <w:pPr>
              <w:keepNext/>
              <w:ind w:left="-108"/>
              <w:jc w:val="both"/>
              <w:rPr>
                <w:rFonts w:ascii="Arial Narrow" w:hAnsi="Arial Narrow" w:cs="Arial"/>
                <w:sz w:val="20"/>
                <w:szCs w:val="20"/>
              </w:rPr>
            </w:pPr>
            <w:proofErr w:type="spellStart"/>
            <w:r w:rsidRPr="003E2188">
              <w:rPr>
                <w:rFonts w:ascii="Arial Narrow" w:hAnsi="Arial Narrow" w:cs="Arial"/>
                <w:sz w:val="20"/>
                <w:szCs w:val="20"/>
              </w:rPr>
              <w:t>vedolizumab</w:t>
            </w:r>
            <w:proofErr w:type="spellEnd"/>
            <w:r w:rsidRPr="003E2188">
              <w:rPr>
                <w:rFonts w:ascii="Arial Narrow" w:hAnsi="Arial Narrow" w:cs="Arial"/>
                <w:sz w:val="20"/>
                <w:szCs w:val="20"/>
              </w:rPr>
              <w:t xml:space="preserve"> 300 mg injection, powder for infusion, 1 x 300 mg vial</w:t>
            </w:r>
          </w:p>
        </w:tc>
        <w:tc>
          <w:tcPr>
            <w:tcW w:w="634" w:type="dxa"/>
            <w:tcBorders>
              <w:top w:val="single" w:sz="4" w:space="0" w:color="auto"/>
              <w:left w:val="single" w:sz="4" w:space="0" w:color="auto"/>
              <w:bottom w:val="single" w:sz="4" w:space="0" w:color="auto"/>
              <w:right w:val="single" w:sz="4" w:space="0" w:color="auto"/>
            </w:tcBorders>
          </w:tcPr>
          <w:p w:rsidR="00F30E2D" w:rsidRPr="003E2188" w:rsidRDefault="00F30E2D" w:rsidP="0023595E">
            <w:pPr>
              <w:keepNext/>
              <w:ind w:left="-108"/>
              <w:jc w:val="both"/>
              <w:rPr>
                <w:rFonts w:ascii="Arial Narrow" w:hAnsi="Arial Narrow" w:cs="Arial"/>
                <w:sz w:val="20"/>
                <w:szCs w:val="20"/>
              </w:rPr>
            </w:pPr>
          </w:p>
          <w:p w:rsidR="00F30E2D" w:rsidRPr="003E2188" w:rsidRDefault="00F30E2D" w:rsidP="0023595E">
            <w:pPr>
              <w:keepNext/>
              <w:ind w:left="-108"/>
              <w:jc w:val="both"/>
              <w:rPr>
                <w:rFonts w:ascii="Arial Narrow" w:hAnsi="Arial Narrow" w:cs="Arial"/>
                <w:sz w:val="20"/>
                <w:szCs w:val="20"/>
              </w:rPr>
            </w:pPr>
          </w:p>
          <w:p w:rsidR="00F30E2D" w:rsidRPr="003E2188" w:rsidRDefault="00F30E2D" w:rsidP="0023595E">
            <w:pPr>
              <w:keepNext/>
              <w:ind w:left="-108"/>
              <w:jc w:val="both"/>
              <w:rPr>
                <w:rFonts w:ascii="Arial Narrow" w:hAnsi="Arial Narrow" w:cs="Arial"/>
                <w:sz w:val="20"/>
                <w:szCs w:val="20"/>
              </w:rPr>
            </w:pPr>
            <w:r w:rsidRPr="003E2188">
              <w:rPr>
                <w:rFonts w:ascii="Arial Narrow" w:hAnsi="Arial Narrow" w:cs="Arial"/>
                <w:sz w:val="20"/>
                <w:szCs w:val="20"/>
              </w:rPr>
              <w:t>1</w:t>
            </w:r>
          </w:p>
        </w:tc>
        <w:tc>
          <w:tcPr>
            <w:tcW w:w="950" w:type="dxa"/>
            <w:tcBorders>
              <w:top w:val="single" w:sz="4" w:space="0" w:color="auto"/>
              <w:left w:val="single" w:sz="4" w:space="0" w:color="auto"/>
              <w:bottom w:val="single" w:sz="4" w:space="0" w:color="auto"/>
              <w:right w:val="single" w:sz="4" w:space="0" w:color="auto"/>
            </w:tcBorders>
          </w:tcPr>
          <w:p w:rsidR="00F30E2D" w:rsidRPr="003E2188" w:rsidRDefault="00F30E2D" w:rsidP="0023595E">
            <w:pPr>
              <w:keepNext/>
              <w:ind w:left="-108"/>
              <w:jc w:val="both"/>
              <w:rPr>
                <w:rFonts w:ascii="Arial Narrow" w:hAnsi="Arial Narrow" w:cs="Arial"/>
                <w:sz w:val="20"/>
                <w:szCs w:val="20"/>
              </w:rPr>
            </w:pPr>
          </w:p>
          <w:p w:rsidR="00F30E2D" w:rsidRPr="003E2188" w:rsidRDefault="00F30E2D" w:rsidP="0023595E">
            <w:pPr>
              <w:keepNext/>
              <w:ind w:left="-108"/>
              <w:jc w:val="both"/>
              <w:rPr>
                <w:rFonts w:ascii="Arial Narrow" w:hAnsi="Arial Narrow" w:cs="Arial"/>
                <w:sz w:val="20"/>
                <w:szCs w:val="20"/>
              </w:rPr>
            </w:pPr>
          </w:p>
          <w:p w:rsidR="00F30E2D" w:rsidRPr="003E2188" w:rsidRDefault="00F30E2D" w:rsidP="0023595E">
            <w:pPr>
              <w:keepNext/>
              <w:ind w:left="-108"/>
              <w:jc w:val="both"/>
              <w:rPr>
                <w:rFonts w:ascii="Arial Narrow" w:hAnsi="Arial Narrow" w:cs="Arial"/>
                <w:sz w:val="20"/>
                <w:szCs w:val="20"/>
              </w:rPr>
            </w:pPr>
            <w:r w:rsidRPr="003E2188">
              <w:rPr>
                <w:rFonts w:ascii="Arial Narrow" w:hAnsi="Arial Narrow" w:cs="Arial"/>
                <w:sz w:val="20"/>
                <w:szCs w:val="20"/>
              </w:rPr>
              <w:t>0</w:t>
            </w:r>
          </w:p>
        </w:tc>
        <w:tc>
          <w:tcPr>
            <w:tcW w:w="1742" w:type="dxa"/>
            <w:tcBorders>
              <w:top w:val="single" w:sz="4" w:space="0" w:color="auto"/>
              <w:left w:val="single" w:sz="4" w:space="0" w:color="auto"/>
              <w:bottom w:val="single" w:sz="4" w:space="0" w:color="auto"/>
              <w:right w:val="single" w:sz="4" w:space="0" w:color="auto"/>
            </w:tcBorders>
          </w:tcPr>
          <w:p w:rsidR="00F30E2D" w:rsidRPr="003E2188" w:rsidRDefault="00F30E2D" w:rsidP="0023595E">
            <w:pPr>
              <w:keepNext/>
              <w:jc w:val="both"/>
              <w:rPr>
                <w:rFonts w:ascii="Arial Narrow" w:hAnsi="Arial Narrow" w:cs="Arial"/>
                <w:sz w:val="20"/>
                <w:szCs w:val="20"/>
              </w:rPr>
            </w:pPr>
          </w:p>
          <w:p w:rsidR="00F30E2D" w:rsidRPr="003E2188" w:rsidRDefault="00F30E2D" w:rsidP="0023595E">
            <w:pPr>
              <w:keepNext/>
              <w:jc w:val="both"/>
              <w:rPr>
                <w:rFonts w:ascii="Arial Narrow" w:hAnsi="Arial Narrow" w:cs="Arial"/>
                <w:sz w:val="20"/>
                <w:szCs w:val="20"/>
              </w:rPr>
            </w:pPr>
          </w:p>
          <w:p w:rsidR="00F30E2D" w:rsidRPr="003E2188" w:rsidRDefault="00F30E2D" w:rsidP="0023595E">
            <w:pPr>
              <w:keepNext/>
              <w:jc w:val="both"/>
              <w:rPr>
                <w:rFonts w:ascii="Arial Narrow" w:hAnsi="Arial Narrow" w:cs="Arial"/>
                <w:sz w:val="20"/>
                <w:szCs w:val="20"/>
              </w:rPr>
            </w:pPr>
            <w:proofErr w:type="spellStart"/>
            <w:r w:rsidRPr="003E2188">
              <w:rPr>
                <w:rFonts w:ascii="Arial Narrow" w:hAnsi="Arial Narrow" w:cs="Arial"/>
                <w:sz w:val="20"/>
                <w:szCs w:val="20"/>
              </w:rPr>
              <w:t>Entyvio</w:t>
            </w:r>
            <w:proofErr w:type="spellEnd"/>
          </w:p>
        </w:tc>
        <w:tc>
          <w:tcPr>
            <w:tcW w:w="1617" w:type="dxa"/>
            <w:tcBorders>
              <w:top w:val="single" w:sz="4" w:space="0" w:color="auto"/>
              <w:left w:val="single" w:sz="4" w:space="0" w:color="auto"/>
              <w:bottom w:val="single" w:sz="4" w:space="0" w:color="auto"/>
              <w:right w:val="single" w:sz="4" w:space="0" w:color="auto"/>
            </w:tcBorders>
          </w:tcPr>
          <w:p w:rsidR="00F30E2D" w:rsidRPr="003E2188" w:rsidRDefault="00F30E2D" w:rsidP="0023595E">
            <w:pPr>
              <w:keepNext/>
              <w:jc w:val="both"/>
              <w:rPr>
                <w:rFonts w:ascii="Arial Narrow" w:hAnsi="Arial Narrow" w:cs="Arial"/>
                <w:sz w:val="20"/>
                <w:szCs w:val="20"/>
              </w:rPr>
            </w:pPr>
          </w:p>
          <w:p w:rsidR="00F30E2D" w:rsidRPr="003E2188" w:rsidRDefault="00F30E2D" w:rsidP="0023595E">
            <w:pPr>
              <w:keepNext/>
              <w:jc w:val="both"/>
              <w:rPr>
                <w:rFonts w:ascii="Arial Narrow" w:hAnsi="Arial Narrow" w:cs="Arial"/>
                <w:sz w:val="20"/>
                <w:szCs w:val="20"/>
              </w:rPr>
            </w:pPr>
          </w:p>
          <w:p w:rsidR="00F30E2D" w:rsidRPr="003E2188" w:rsidRDefault="00F30E2D" w:rsidP="0023595E">
            <w:pPr>
              <w:keepNext/>
              <w:jc w:val="both"/>
              <w:rPr>
                <w:rFonts w:ascii="Arial Narrow" w:hAnsi="Arial Narrow" w:cs="Arial"/>
                <w:sz w:val="20"/>
                <w:szCs w:val="20"/>
              </w:rPr>
            </w:pPr>
            <w:r w:rsidRPr="003E2188">
              <w:rPr>
                <w:rFonts w:ascii="Arial Narrow" w:hAnsi="Arial Narrow" w:cs="Arial"/>
                <w:sz w:val="20"/>
                <w:szCs w:val="20"/>
              </w:rPr>
              <w:t>TK</w:t>
            </w:r>
          </w:p>
        </w:tc>
      </w:tr>
    </w:tbl>
    <w:p w:rsidR="00EC7F36" w:rsidRPr="00AC22E5" w:rsidRDefault="00EC7F36" w:rsidP="00AC22E5">
      <w:pPr>
        <w:jc w:val="both"/>
        <w:rPr>
          <w:rFonts w:ascii="Arial" w:hAnsi="Arial"/>
          <w:sz w:val="22"/>
          <w:szCs w:val="22"/>
        </w:rPr>
      </w:pP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b/>
          <w:sz w:val="20"/>
          <w:szCs w:val="20"/>
        </w:rPr>
      </w:pPr>
      <w:r w:rsidRPr="003E2188">
        <w:rPr>
          <w:rFonts w:ascii="Arial Narrow" w:hAnsi="Arial Narrow"/>
          <w:b/>
          <w:sz w:val="20"/>
          <w:szCs w:val="20"/>
        </w:rPr>
        <w:t>Section 100 Highly Specialised Drug Public and Private (abridged version)</w:t>
      </w:r>
    </w:p>
    <w:p w:rsidR="00AC22E5" w:rsidRPr="00A2751B"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b/>
          <w:sz w:val="20"/>
          <w:szCs w:val="20"/>
          <w:u w:val="single"/>
        </w:rPr>
      </w:pPr>
      <w:r w:rsidRPr="00A2751B">
        <w:rPr>
          <w:rFonts w:ascii="Arial Narrow" w:hAnsi="Arial Narrow"/>
          <w:b/>
          <w:sz w:val="20"/>
          <w:szCs w:val="20"/>
          <w:u w:val="single"/>
        </w:rPr>
        <w:t>Authority Required</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u w:val="single"/>
        </w:rPr>
      </w:pPr>
      <w:r w:rsidRPr="003E2188">
        <w:rPr>
          <w:rFonts w:ascii="Arial Narrow" w:hAnsi="Arial Narrow"/>
          <w:sz w:val="20"/>
          <w:szCs w:val="20"/>
          <w:u w:val="single"/>
        </w:rPr>
        <w:t xml:space="preserve">Initial </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 xml:space="preserve">Initial treatment of moderate to severe ulcerative colitis in a patient assessed by </w:t>
      </w:r>
      <w:r w:rsidRPr="003E2188">
        <w:rPr>
          <w:rFonts w:ascii="Arial Narrow" w:hAnsi="Arial Narrow"/>
          <w:sz w:val="20"/>
          <w:szCs w:val="20"/>
          <w:u w:val="single"/>
        </w:rPr>
        <w:t>complete Mayo</w:t>
      </w:r>
      <w:r w:rsidRPr="003E2188">
        <w:rPr>
          <w:rFonts w:ascii="Arial Narrow" w:hAnsi="Arial Narrow"/>
          <w:sz w:val="20"/>
          <w:szCs w:val="20"/>
        </w:rPr>
        <w:t xml:space="preserve"> score who satisfies the following criteria:</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 xml:space="preserve">(a) </w:t>
      </w:r>
      <w:proofErr w:type="gramStart"/>
      <w:r w:rsidRPr="003E2188">
        <w:rPr>
          <w:rFonts w:ascii="Arial Narrow" w:hAnsi="Arial Narrow"/>
          <w:sz w:val="20"/>
          <w:szCs w:val="20"/>
        </w:rPr>
        <w:t>has</w:t>
      </w:r>
      <w:proofErr w:type="gramEnd"/>
      <w:r w:rsidRPr="003E2188">
        <w:rPr>
          <w:rFonts w:ascii="Arial Narrow" w:hAnsi="Arial Narrow"/>
          <w:sz w:val="20"/>
          <w:szCs w:val="20"/>
        </w:rPr>
        <w:t xml:space="preserve"> confirmed ulcerative colitis, defined by standard clinical, endoscopic and/or imaging features, including histological evidence; and </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 xml:space="preserve">(b) </w:t>
      </w:r>
      <w:proofErr w:type="gramStart"/>
      <w:r w:rsidRPr="003E2188">
        <w:rPr>
          <w:rFonts w:ascii="Arial Narrow" w:hAnsi="Arial Narrow"/>
          <w:sz w:val="20"/>
          <w:szCs w:val="20"/>
        </w:rPr>
        <w:t>has</w:t>
      </w:r>
      <w:proofErr w:type="gramEnd"/>
      <w:r w:rsidRPr="003E2188">
        <w:rPr>
          <w:rFonts w:ascii="Arial Narrow" w:hAnsi="Arial Narrow"/>
          <w:sz w:val="20"/>
          <w:szCs w:val="20"/>
        </w:rPr>
        <w:t xml:space="preserve"> signed a patient acknowledgement; and </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(c) Has failed to achieve an adequate response to prior systemic therapy to at least one of the following agents:</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w:t>
      </w:r>
      <w:proofErr w:type="spellStart"/>
      <w:r w:rsidRPr="003E2188">
        <w:rPr>
          <w:rFonts w:ascii="Arial Narrow" w:hAnsi="Arial Narrow"/>
          <w:sz w:val="20"/>
          <w:szCs w:val="20"/>
        </w:rPr>
        <w:t>i</w:t>
      </w:r>
      <w:proofErr w:type="spellEnd"/>
      <w:r w:rsidRPr="003E2188">
        <w:rPr>
          <w:rFonts w:ascii="Arial Narrow" w:hAnsi="Arial Narrow"/>
          <w:sz w:val="20"/>
          <w:szCs w:val="20"/>
        </w:rPr>
        <w:t>) Corticosteroids:</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 xml:space="preserve">(ii) </w:t>
      </w:r>
      <w:proofErr w:type="spellStart"/>
      <w:r w:rsidRPr="003E2188">
        <w:rPr>
          <w:rFonts w:ascii="Arial Narrow" w:hAnsi="Arial Narrow"/>
          <w:sz w:val="20"/>
          <w:szCs w:val="20"/>
        </w:rPr>
        <w:t>Immunomodulators</w:t>
      </w:r>
      <w:proofErr w:type="spellEnd"/>
      <w:r w:rsidRPr="003E2188">
        <w:rPr>
          <w:rFonts w:ascii="Arial Narrow" w:hAnsi="Arial Narrow"/>
          <w:sz w:val="20"/>
          <w:szCs w:val="20"/>
        </w:rPr>
        <w:t>:</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 xml:space="preserve">The following initiation criterion indicates failure to achieve an adequate response and must be demonstrated in all patients at the time of the application: </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 xml:space="preserve">(a) </w:t>
      </w:r>
      <w:proofErr w:type="gramStart"/>
      <w:r w:rsidRPr="003E2188">
        <w:rPr>
          <w:rFonts w:ascii="Arial Narrow" w:hAnsi="Arial Narrow"/>
          <w:sz w:val="20"/>
          <w:szCs w:val="20"/>
        </w:rPr>
        <w:t>have</w:t>
      </w:r>
      <w:proofErr w:type="gramEnd"/>
      <w:r w:rsidRPr="003E2188">
        <w:rPr>
          <w:rFonts w:ascii="Arial Narrow" w:hAnsi="Arial Narrow"/>
          <w:sz w:val="20"/>
          <w:szCs w:val="20"/>
        </w:rPr>
        <w:t xml:space="preserve"> a severity of disease activity which results in a </w:t>
      </w:r>
      <w:r w:rsidRPr="003E2188">
        <w:rPr>
          <w:rFonts w:ascii="Arial Narrow" w:hAnsi="Arial Narrow"/>
          <w:sz w:val="20"/>
          <w:szCs w:val="20"/>
          <w:u w:val="single"/>
        </w:rPr>
        <w:t>complete Mayo</w:t>
      </w:r>
      <w:r w:rsidRPr="003E2188">
        <w:rPr>
          <w:rFonts w:ascii="Arial Narrow" w:hAnsi="Arial Narrow"/>
          <w:sz w:val="20"/>
          <w:szCs w:val="20"/>
        </w:rPr>
        <w:t xml:space="preserve"> score of 6 to 12 with an endoscopic </w:t>
      </w:r>
      <w:proofErr w:type="spellStart"/>
      <w:r w:rsidRPr="003E2188">
        <w:rPr>
          <w:rFonts w:ascii="Arial Narrow" w:hAnsi="Arial Narrow"/>
          <w:sz w:val="20"/>
          <w:szCs w:val="20"/>
        </w:rPr>
        <w:t>subscore</w:t>
      </w:r>
      <w:proofErr w:type="spellEnd"/>
      <w:r w:rsidRPr="003E2188">
        <w:rPr>
          <w:rFonts w:ascii="Arial Narrow" w:hAnsi="Arial Narrow"/>
          <w:sz w:val="20"/>
          <w:szCs w:val="20"/>
        </w:rPr>
        <w:t xml:space="preserve"> ≥ 2.</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u w:val="single"/>
        </w:rPr>
      </w:pPr>
      <w:r w:rsidRPr="003E2188">
        <w:rPr>
          <w:rFonts w:ascii="Arial Narrow" w:hAnsi="Arial Narrow"/>
          <w:sz w:val="20"/>
          <w:szCs w:val="20"/>
          <w:u w:val="single"/>
        </w:rPr>
        <w:t>Continuation criteria</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b/>
          <w:sz w:val="20"/>
          <w:szCs w:val="20"/>
        </w:rPr>
      </w:pPr>
      <w:r w:rsidRPr="003E2188">
        <w:rPr>
          <w:rFonts w:ascii="Arial Narrow" w:hAnsi="Arial Narrow"/>
          <w:b/>
          <w:sz w:val="20"/>
          <w:szCs w:val="20"/>
        </w:rPr>
        <w:t>Option 1:</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 xml:space="preserve">Continuing treatment of ulcerative colitis in a patient assessed by </w:t>
      </w:r>
      <w:r w:rsidRPr="003E2188">
        <w:rPr>
          <w:rFonts w:ascii="Arial Narrow" w:hAnsi="Arial Narrow"/>
          <w:sz w:val="20"/>
          <w:szCs w:val="20"/>
          <w:u w:val="single"/>
        </w:rPr>
        <w:t>complete Mayo</w:t>
      </w:r>
      <w:r w:rsidRPr="003E2188">
        <w:rPr>
          <w:rFonts w:ascii="Arial Narrow" w:hAnsi="Arial Narrow"/>
          <w:sz w:val="20"/>
          <w:szCs w:val="20"/>
        </w:rPr>
        <w:t xml:space="preserve"> score:</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 xml:space="preserve">(a) </w:t>
      </w:r>
      <w:proofErr w:type="gramStart"/>
      <w:r w:rsidRPr="003E2188">
        <w:rPr>
          <w:rFonts w:ascii="Arial Narrow" w:hAnsi="Arial Narrow"/>
          <w:sz w:val="20"/>
          <w:szCs w:val="20"/>
        </w:rPr>
        <w:t>has</w:t>
      </w:r>
      <w:proofErr w:type="gramEnd"/>
      <w:r w:rsidRPr="003E2188">
        <w:rPr>
          <w:rFonts w:ascii="Arial Narrow" w:hAnsi="Arial Narrow"/>
          <w:sz w:val="20"/>
          <w:szCs w:val="20"/>
        </w:rPr>
        <w:t xml:space="preserve"> a documented history of moderate to severe ulcerative colitis; and</w:t>
      </w:r>
    </w:p>
    <w:p w:rsidR="00AC22E5"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E2188">
        <w:rPr>
          <w:rFonts w:ascii="Arial Narrow" w:hAnsi="Arial Narrow"/>
          <w:sz w:val="20"/>
          <w:szCs w:val="20"/>
        </w:rPr>
        <w:t xml:space="preserve">(b) </w:t>
      </w:r>
      <w:proofErr w:type="gramStart"/>
      <w:r w:rsidRPr="003E2188">
        <w:rPr>
          <w:rFonts w:ascii="Arial Narrow" w:hAnsi="Arial Narrow"/>
          <w:sz w:val="20"/>
          <w:szCs w:val="20"/>
        </w:rPr>
        <w:t>has</w:t>
      </w:r>
      <w:proofErr w:type="gramEnd"/>
      <w:r w:rsidRPr="003E2188">
        <w:rPr>
          <w:rFonts w:ascii="Arial Narrow" w:hAnsi="Arial Narrow"/>
          <w:sz w:val="20"/>
          <w:szCs w:val="20"/>
        </w:rPr>
        <w:t xml:space="preserve"> demonstrated or sustained an adequate response to treatment with </w:t>
      </w:r>
      <w:proofErr w:type="spellStart"/>
      <w:r w:rsidRPr="003E2188">
        <w:rPr>
          <w:rFonts w:ascii="Arial Narrow" w:hAnsi="Arial Narrow"/>
          <w:sz w:val="20"/>
          <w:szCs w:val="20"/>
        </w:rPr>
        <w:t>vedolizumab</w:t>
      </w:r>
      <w:proofErr w:type="spellEnd"/>
      <w:r w:rsidRPr="003E2188">
        <w:rPr>
          <w:rFonts w:ascii="Arial Narrow" w:hAnsi="Arial Narrow"/>
          <w:sz w:val="20"/>
          <w:szCs w:val="20"/>
        </w:rPr>
        <w:t>.</w:t>
      </w:r>
    </w:p>
    <w:p w:rsidR="0032606A" w:rsidRDefault="0032606A"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2606A">
        <w:rPr>
          <w:rFonts w:ascii="Arial Narrow" w:hAnsi="Arial Narrow"/>
          <w:sz w:val="20"/>
          <w:szCs w:val="20"/>
        </w:rPr>
        <w:t xml:space="preserve">An adequate response to </w:t>
      </w:r>
      <w:proofErr w:type="spellStart"/>
      <w:r w:rsidRPr="0032606A">
        <w:rPr>
          <w:rFonts w:ascii="Arial Narrow" w:hAnsi="Arial Narrow"/>
          <w:sz w:val="20"/>
          <w:szCs w:val="20"/>
        </w:rPr>
        <w:t>vedolizumab</w:t>
      </w:r>
      <w:proofErr w:type="spellEnd"/>
      <w:r w:rsidRPr="0032606A">
        <w:rPr>
          <w:rFonts w:ascii="Arial Narrow" w:hAnsi="Arial Narrow"/>
          <w:sz w:val="20"/>
          <w:szCs w:val="20"/>
        </w:rPr>
        <w:t xml:space="preserve"> treatment is defined as a reduction in complete Mayo score of ≥ 3 points and ≥ 30% from baseline with an accompanying decrease in rectal bleeding </w:t>
      </w:r>
      <w:proofErr w:type="spellStart"/>
      <w:r w:rsidRPr="0032606A">
        <w:rPr>
          <w:rFonts w:ascii="Arial Narrow" w:hAnsi="Arial Narrow"/>
          <w:sz w:val="20"/>
          <w:szCs w:val="20"/>
        </w:rPr>
        <w:t>subscore</w:t>
      </w:r>
      <w:proofErr w:type="spellEnd"/>
      <w:r w:rsidRPr="0032606A">
        <w:rPr>
          <w:rFonts w:ascii="Arial Narrow" w:hAnsi="Arial Narrow"/>
          <w:sz w:val="20"/>
          <w:szCs w:val="20"/>
        </w:rPr>
        <w:t xml:space="preserve"> of ≥ 1 point or absolute rectal bleeding </w:t>
      </w:r>
      <w:proofErr w:type="spellStart"/>
      <w:r w:rsidRPr="0032606A">
        <w:rPr>
          <w:rFonts w:ascii="Arial Narrow" w:hAnsi="Arial Narrow"/>
          <w:sz w:val="20"/>
          <w:szCs w:val="20"/>
        </w:rPr>
        <w:t>subscore</w:t>
      </w:r>
      <w:proofErr w:type="spellEnd"/>
      <w:r w:rsidRPr="0032606A">
        <w:rPr>
          <w:rFonts w:ascii="Arial Narrow" w:hAnsi="Arial Narrow"/>
          <w:sz w:val="20"/>
          <w:szCs w:val="20"/>
        </w:rPr>
        <w:t xml:space="preserve"> of ≤ 1 point.</w:t>
      </w: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2606A">
        <w:rPr>
          <w:rFonts w:ascii="Arial Narrow" w:hAnsi="Arial Narrow"/>
          <w:sz w:val="20"/>
          <w:szCs w:val="20"/>
        </w:rPr>
        <w:t xml:space="preserve">For the first application, a complete Mayo score assessment of the patient's response must be made up to 6 weeks after the first dose (following a maximum of 2 induction doses of </w:t>
      </w:r>
      <w:proofErr w:type="spellStart"/>
      <w:r w:rsidRPr="0032606A">
        <w:rPr>
          <w:rFonts w:ascii="Arial Narrow" w:hAnsi="Arial Narrow"/>
          <w:sz w:val="20"/>
          <w:szCs w:val="20"/>
        </w:rPr>
        <w:t>vedolizumab</w:t>
      </w:r>
      <w:proofErr w:type="spellEnd"/>
      <w:r w:rsidRPr="0032606A">
        <w:rPr>
          <w:rFonts w:ascii="Arial Narrow" w:hAnsi="Arial Narrow"/>
          <w:sz w:val="20"/>
          <w:szCs w:val="20"/>
        </w:rPr>
        <w:t>).</w:t>
      </w: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2606A">
        <w:rPr>
          <w:rFonts w:ascii="Arial Narrow" w:hAnsi="Arial Narrow"/>
          <w:sz w:val="20"/>
          <w:szCs w:val="20"/>
        </w:rPr>
        <w:t xml:space="preserve">Patients are eligible to receive continuing </w:t>
      </w:r>
      <w:proofErr w:type="spellStart"/>
      <w:r w:rsidRPr="0032606A">
        <w:rPr>
          <w:rFonts w:ascii="Arial Narrow" w:hAnsi="Arial Narrow"/>
          <w:sz w:val="20"/>
          <w:szCs w:val="20"/>
        </w:rPr>
        <w:t>vedolizumab</w:t>
      </w:r>
      <w:proofErr w:type="spellEnd"/>
      <w:r w:rsidRPr="0032606A">
        <w:rPr>
          <w:rFonts w:ascii="Arial Narrow" w:hAnsi="Arial Narrow"/>
          <w:sz w:val="20"/>
          <w:szCs w:val="20"/>
        </w:rPr>
        <w:t xml:space="preserve"> treatment in courses of up to 24 weeks providing they continue to sustain the response.</w:t>
      </w: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b/>
          <w:sz w:val="20"/>
          <w:szCs w:val="20"/>
        </w:rPr>
      </w:pPr>
      <w:r w:rsidRPr="0032606A">
        <w:rPr>
          <w:rFonts w:ascii="Arial Narrow" w:hAnsi="Arial Narrow"/>
          <w:b/>
          <w:sz w:val="20"/>
          <w:szCs w:val="20"/>
        </w:rPr>
        <w:t>Option 2:</w:t>
      </w: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2606A">
        <w:rPr>
          <w:rFonts w:ascii="Arial Narrow" w:hAnsi="Arial Narrow"/>
          <w:sz w:val="20"/>
          <w:szCs w:val="20"/>
        </w:rPr>
        <w:t>Continuing treatment of ulcerative colitis in a patient assessed by partial Mayo score:</w:t>
      </w: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2606A">
        <w:rPr>
          <w:rFonts w:ascii="Arial Narrow" w:hAnsi="Arial Narrow"/>
          <w:sz w:val="20"/>
          <w:szCs w:val="20"/>
        </w:rPr>
        <w:t xml:space="preserve">(a) </w:t>
      </w:r>
      <w:proofErr w:type="gramStart"/>
      <w:r w:rsidRPr="0032606A">
        <w:rPr>
          <w:rFonts w:ascii="Arial Narrow" w:hAnsi="Arial Narrow"/>
          <w:sz w:val="20"/>
          <w:szCs w:val="20"/>
        </w:rPr>
        <w:t>has</w:t>
      </w:r>
      <w:proofErr w:type="gramEnd"/>
      <w:r w:rsidRPr="0032606A">
        <w:rPr>
          <w:rFonts w:ascii="Arial Narrow" w:hAnsi="Arial Narrow"/>
          <w:sz w:val="20"/>
          <w:szCs w:val="20"/>
        </w:rPr>
        <w:t xml:space="preserve"> a documented history of moderate to severe ulcerative colitis; and</w:t>
      </w: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2606A">
        <w:rPr>
          <w:rFonts w:ascii="Arial Narrow" w:hAnsi="Arial Narrow"/>
          <w:sz w:val="20"/>
          <w:szCs w:val="20"/>
        </w:rPr>
        <w:lastRenderedPageBreak/>
        <w:t xml:space="preserve">(b) </w:t>
      </w:r>
      <w:proofErr w:type="gramStart"/>
      <w:r w:rsidRPr="0032606A">
        <w:rPr>
          <w:rFonts w:ascii="Arial Narrow" w:hAnsi="Arial Narrow"/>
          <w:sz w:val="20"/>
          <w:szCs w:val="20"/>
        </w:rPr>
        <w:t>has</w:t>
      </w:r>
      <w:proofErr w:type="gramEnd"/>
      <w:r w:rsidRPr="0032606A">
        <w:rPr>
          <w:rFonts w:ascii="Arial Narrow" w:hAnsi="Arial Narrow"/>
          <w:sz w:val="20"/>
          <w:szCs w:val="20"/>
        </w:rPr>
        <w:t xml:space="preserve"> demonstrated or sustained an adequate response to treatment with </w:t>
      </w:r>
      <w:proofErr w:type="spellStart"/>
      <w:r w:rsidRPr="0032606A">
        <w:rPr>
          <w:rFonts w:ascii="Arial Narrow" w:hAnsi="Arial Narrow"/>
          <w:sz w:val="20"/>
          <w:szCs w:val="20"/>
        </w:rPr>
        <w:t>vedolizumab</w:t>
      </w:r>
      <w:proofErr w:type="spellEnd"/>
      <w:r w:rsidRPr="0032606A">
        <w:rPr>
          <w:rFonts w:ascii="Arial Narrow" w:hAnsi="Arial Narrow"/>
          <w:sz w:val="20"/>
          <w:szCs w:val="20"/>
        </w:rPr>
        <w:t>.</w:t>
      </w: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2606A">
        <w:rPr>
          <w:rFonts w:ascii="Arial Narrow" w:hAnsi="Arial Narrow"/>
          <w:sz w:val="20"/>
          <w:szCs w:val="20"/>
        </w:rPr>
        <w:t xml:space="preserve">An adequate response to </w:t>
      </w:r>
      <w:proofErr w:type="spellStart"/>
      <w:r w:rsidRPr="0032606A">
        <w:rPr>
          <w:rFonts w:ascii="Arial Narrow" w:hAnsi="Arial Narrow"/>
          <w:sz w:val="20"/>
          <w:szCs w:val="20"/>
        </w:rPr>
        <w:t>vedolizumab</w:t>
      </w:r>
      <w:proofErr w:type="spellEnd"/>
      <w:r w:rsidRPr="0032606A">
        <w:rPr>
          <w:rFonts w:ascii="Arial Narrow" w:hAnsi="Arial Narrow"/>
          <w:sz w:val="20"/>
          <w:szCs w:val="20"/>
        </w:rPr>
        <w:t xml:space="preserve"> treatment is defined as a partial Mayo score of ≥ 2 points and ≥ 25% from baseline with an accompanying decrease in rectal bleeding </w:t>
      </w:r>
      <w:proofErr w:type="spellStart"/>
      <w:r w:rsidRPr="0032606A">
        <w:rPr>
          <w:rFonts w:ascii="Arial Narrow" w:hAnsi="Arial Narrow"/>
          <w:sz w:val="20"/>
          <w:szCs w:val="20"/>
        </w:rPr>
        <w:t>subscore</w:t>
      </w:r>
      <w:proofErr w:type="spellEnd"/>
      <w:r w:rsidRPr="0032606A">
        <w:rPr>
          <w:rFonts w:ascii="Arial Narrow" w:hAnsi="Arial Narrow"/>
          <w:sz w:val="20"/>
          <w:szCs w:val="20"/>
        </w:rPr>
        <w:t xml:space="preserve"> of ≥ 1 point or absolute rectal bleeding </w:t>
      </w:r>
      <w:proofErr w:type="spellStart"/>
      <w:r w:rsidRPr="0032606A">
        <w:rPr>
          <w:rFonts w:ascii="Arial Narrow" w:hAnsi="Arial Narrow"/>
          <w:sz w:val="20"/>
          <w:szCs w:val="20"/>
        </w:rPr>
        <w:t>subscore</w:t>
      </w:r>
      <w:proofErr w:type="spellEnd"/>
      <w:r w:rsidRPr="0032606A">
        <w:rPr>
          <w:rFonts w:ascii="Arial Narrow" w:hAnsi="Arial Narrow"/>
          <w:sz w:val="20"/>
          <w:szCs w:val="20"/>
        </w:rPr>
        <w:t xml:space="preserve"> of ≤ 1 point.</w:t>
      </w: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2606A">
        <w:rPr>
          <w:rFonts w:ascii="Arial Narrow" w:hAnsi="Arial Narrow"/>
          <w:sz w:val="20"/>
          <w:szCs w:val="20"/>
        </w:rPr>
        <w:t xml:space="preserve">For the first application, a partial Mayo score assessment of the patient's response must be made up to 10 weeks after the first dose (following a maximum of 3 induction doses of </w:t>
      </w:r>
      <w:proofErr w:type="spellStart"/>
      <w:r w:rsidRPr="0032606A">
        <w:rPr>
          <w:rFonts w:ascii="Arial Narrow" w:hAnsi="Arial Narrow"/>
          <w:sz w:val="20"/>
          <w:szCs w:val="20"/>
        </w:rPr>
        <w:t>vedolizumab</w:t>
      </w:r>
      <w:proofErr w:type="spellEnd"/>
      <w:r w:rsidRPr="0032606A">
        <w:rPr>
          <w:rFonts w:ascii="Arial Narrow" w:hAnsi="Arial Narrow"/>
          <w:sz w:val="20"/>
          <w:szCs w:val="20"/>
        </w:rPr>
        <w:t>).</w:t>
      </w:r>
    </w:p>
    <w:p w:rsidR="0032606A" w:rsidRPr="0032606A"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32606A" w:rsidRPr="003E2188" w:rsidRDefault="0032606A" w:rsidP="0032606A">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r w:rsidRPr="0032606A">
        <w:rPr>
          <w:rFonts w:ascii="Arial Narrow" w:hAnsi="Arial Narrow"/>
          <w:sz w:val="20"/>
          <w:szCs w:val="20"/>
        </w:rPr>
        <w:t xml:space="preserve">Patients are eligible to receive continuing </w:t>
      </w:r>
      <w:proofErr w:type="spellStart"/>
      <w:r w:rsidRPr="0032606A">
        <w:rPr>
          <w:rFonts w:ascii="Arial Narrow" w:hAnsi="Arial Narrow"/>
          <w:sz w:val="20"/>
          <w:szCs w:val="20"/>
        </w:rPr>
        <w:t>vedolizumab</w:t>
      </w:r>
      <w:proofErr w:type="spellEnd"/>
      <w:r w:rsidRPr="0032606A">
        <w:rPr>
          <w:rFonts w:ascii="Arial Narrow" w:hAnsi="Arial Narrow"/>
          <w:sz w:val="20"/>
          <w:szCs w:val="20"/>
        </w:rPr>
        <w:t xml:space="preserve"> treatment in courses of up to 24 weeks providing they continue to sustain the response.</w:t>
      </w:r>
    </w:p>
    <w:p w:rsidR="00AC22E5" w:rsidRPr="003E2188" w:rsidRDefault="00AC22E5" w:rsidP="004E7A4D">
      <w:pPr>
        <w:pStyle w:val="ListParagraph"/>
        <w:pBdr>
          <w:top w:val="single" w:sz="4" w:space="1" w:color="auto"/>
          <w:left w:val="single" w:sz="4" w:space="0" w:color="auto"/>
          <w:bottom w:val="single" w:sz="4" w:space="1" w:color="auto"/>
          <w:right w:val="single" w:sz="4" w:space="4" w:color="auto"/>
        </w:pBdr>
        <w:jc w:val="both"/>
        <w:rPr>
          <w:rFonts w:ascii="Arial Narrow" w:hAnsi="Arial Narrow"/>
          <w:sz w:val="20"/>
          <w:szCs w:val="20"/>
        </w:rPr>
      </w:pPr>
    </w:p>
    <w:p w:rsidR="00EC7F36" w:rsidRPr="00E573DC" w:rsidRDefault="00EC7F36" w:rsidP="00882085">
      <w:pPr>
        <w:pStyle w:val="ListParagraph"/>
        <w:jc w:val="both"/>
        <w:rPr>
          <w:rFonts w:ascii="Arial" w:hAnsi="Arial"/>
          <w:sz w:val="22"/>
          <w:szCs w:val="22"/>
        </w:rPr>
      </w:pPr>
    </w:p>
    <w:p w:rsidR="00614159" w:rsidRDefault="00614159"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882085">
      <w:pPr>
        <w:jc w:val="both"/>
        <w:rPr>
          <w:rFonts w:ascii="Arial" w:hAnsi="Arial"/>
          <w:b/>
          <w:sz w:val="22"/>
          <w:szCs w:val="22"/>
        </w:rPr>
      </w:pPr>
    </w:p>
    <w:p w:rsidR="00CE10C4" w:rsidRPr="00882085" w:rsidRDefault="00CE10C4" w:rsidP="00984601">
      <w:pPr>
        <w:pStyle w:val="ListParagraph"/>
        <w:numPr>
          <w:ilvl w:val="0"/>
          <w:numId w:val="1"/>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3350F7" w:rsidRPr="00E573DC" w:rsidRDefault="00B2771B" w:rsidP="003350F7">
      <w:pPr>
        <w:pStyle w:val="ListParagraph"/>
        <w:numPr>
          <w:ilvl w:val="1"/>
          <w:numId w:val="1"/>
        </w:numPr>
        <w:jc w:val="both"/>
        <w:rPr>
          <w:rFonts w:ascii="Arial" w:hAnsi="Arial"/>
          <w:sz w:val="22"/>
          <w:szCs w:val="22"/>
        </w:rPr>
      </w:pPr>
      <w:r w:rsidRPr="00E573DC">
        <w:rPr>
          <w:rFonts w:ascii="Arial" w:hAnsi="Arial"/>
          <w:sz w:val="22"/>
          <w:szCs w:val="22"/>
        </w:rPr>
        <w:t xml:space="preserve">The submission </w:t>
      </w:r>
      <w:r w:rsidR="003350F7" w:rsidRPr="00E573DC">
        <w:rPr>
          <w:rFonts w:ascii="Arial" w:hAnsi="Arial"/>
          <w:sz w:val="22"/>
          <w:szCs w:val="22"/>
        </w:rPr>
        <w:t xml:space="preserve">was </w:t>
      </w:r>
      <w:r w:rsidRPr="00E573DC">
        <w:rPr>
          <w:rFonts w:ascii="Arial" w:hAnsi="Arial"/>
          <w:sz w:val="22"/>
          <w:szCs w:val="22"/>
        </w:rPr>
        <w:t>made</w:t>
      </w:r>
      <w:r w:rsidR="003350F7" w:rsidRPr="00E573DC">
        <w:rPr>
          <w:rFonts w:ascii="Arial" w:hAnsi="Arial"/>
          <w:sz w:val="22"/>
          <w:szCs w:val="22"/>
        </w:rPr>
        <w:t xml:space="preserve"> under </w:t>
      </w:r>
      <w:r w:rsidR="009F1D23">
        <w:rPr>
          <w:rFonts w:ascii="Arial" w:hAnsi="Arial"/>
          <w:sz w:val="22"/>
          <w:szCs w:val="22"/>
        </w:rPr>
        <w:t>TGA/PBAC p</w:t>
      </w:r>
      <w:r w:rsidR="003350F7" w:rsidRPr="00E573DC">
        <w:rPr>
          <w:rFonts w:ascii="Arial" w:hAnsi="Arial"/>
          <w:sz w:val="22"/>
          <w:szCs w:val="22"/>
        </w:rPr>
        <w:t xml:space="preserve">arallel </w:t>
      </w:r>
      <w:r w:rsidR="009F1D23">
        <w:rPr>
          <w:rFonts w:ascii="Arial" w:hAnsi="Arial"/>
          <w:sz w:val="22"/>
          <w:szCs w:val="22"/>
        </w:rPr>
        <w:t>p</w:t>
      </w:r>
      <w:r w:rsidRPr="00E573DC">
        <w:rPr>
          <w:rFonts w:ascii="Arial" w:hAnsi="Arial"/>
          <w:sz w:val="22"/>
          <w:szCs w:val="22"/>
        </w:rPr>
        <w:t>rocess</w:t>
      </w:r>
      <w:r w:rsidR="009F1D23">
        <w:rPr>
          <w:rFonts w:ascii="Arial" w:hAnsi="Arial"/>
          <w:sz w:val="22"/>
          <w:szCs w:val="22"/>
        </w:rPr>
        <w:t xml:space="preserve"> provisions</w:t>
      </w:r>
      <w:r w:rsidR="003350F7" w:rsidRPr="00E573DC">
        <w:rPr>
          <w:rFonts w:ascii="Arial" w:hAnsi="Arial"/>
          <w:sz w:val="22"/>
          <w:szCs w:val="22"/>
        </w:rPr>
        <w:t>. At the time of PBAC considerat</w:t>
      </w:r>
      <w:r w:rsidR="00221AC2" w:rsidRPr="00E573DC">
        <w:rPr>
          <w:rFonts w:ascii="Arial" w:hAnsi="Arial"/>
          <w:sz w:val="22"/>
          <w:szCs w:val="22"/>
        </w:rPr>
        <w:t xml:space="preserve">ion, </w:t>
      </w:r>
      <w:proofErr w:type="spellStart"/>
      <w:r w:rsidR="00221AC2" w:rsidRPr="00E573DC">
        <w:rPr>
          <w:rFonts w:ascii="Arial" w:hAnsi="Arial"/>
          <w:sz w:val="22"/>
          <w:szCs w:val="22"/>
        </w:rPr>
        <w:t>vedolizumab</w:t>
      </w:r>
      <w:proofErr w:type="spellEnd"/>
      <w:r w:rsidR="00221AC2" w:rsidRPr="00E573DC">
        <w:rPr>
          <w:rFonts w:ascii="Arial" w:hAnsi="Arial"/>
          <w:sz w:val="22"/>
          <w:szCs w:val="22"/>
        </w:rPr>
        <w:t xml:space="preserve"> had been approved by the Advisory Committee on Prescription Medicines (ACPM) in June 2014.  The ratified ACPM outcome was received on 16 June 2014.</w:t>
      </w:r>
    </w:p>
    <w:p w:rsidR="00221AC2" w:rsidRPr="00E573DC" w:rsidRDefault="00221AC2" w:rsidP="00221AC2">
      <w:pPr>
        <w:pStyle w:val="ListParagraph"/>
        <w:jc w:val="both"/>
        <w:rPr>
          <w:rFonts w:ascii="Arial" w:hAnsi="Arial"/>
          <w:sz w:val="22"/>
          <w:szCs w:val="22"/>
        </w:rPr>
      </w:pPr>
    </w:p>
    <w:p w:rsidR="00326E79" w:rsidRPr="00E573DC" w:rsidRDefault="00BC6F2F" w:rsidP="00984601">
      <w:pPr>
        <w:pStyle w:val="ListParagraph"/>
        <w:numPr>
          <w:ilvl w:val="1"/>
          <w:numId w:val="1"/>
        </w:numPr>
        <w:jc w:val="both"/>
        <w:rPr>
          <w:rFonts w:ascii="Arial" w:hAnsi="Arial"/>
          <w:sz w:val="22"/>
          <w:szCs w:val="22"/>
        </w:rPr>
      </w:pPr>
      <w:r w:rsidRPr="00E573DC">
        <w:rPr>
          <w:rFonts w:ascii="Arial" w:hAnsi="Arial"/>
          <w:sz w:val="22"/>
          <w:szCs w:val="22"/>
        </w:rPr>
        <w:t>T</w:t>
      </w:r>
      <w:r w:rsidR="006B063A" w:rsidRPr="00E573DC">
        <w:rPr>
          <w:rFonts w:ascii="Arial" w:hAnsi="Arial"/>
          <w:sz w:val="22"/>
          <w:szCs w:val="22"/>
        </w:rPr>
        <w:t>he PBAC had</w:t>
      </w:r>
      <w:r w:rsidRPr="00E573DC">
        <w:rPr>
          <w:rFonts w:ascii="Arial" w:hAnsi="Arial"/>
          <w:sz w:val="22"/>
          <w:szCs w:val="22"/>
        </w:rPr>
        <w:t xml:space="preserve"> not previously considered </w:t>
      </w:r>
      <w:proofErr w:type="spellStart"/>
      <w:r w:rsidRPr="00E573DC">
        <w:rPr>
          <w:rFonts w:ascii="Arial" w:hAnsi="Arial"/>
          <w:sz w:val="22"/>
          <w:szCs w:val="22"/>
        </w:rPr>
        <w:t>vedolizumab</w:t>
      </w:r>
      <w:proofErr w:type="spellEnd"/>
      <w:r w:rsidRPr="00E573DC">
        <w:rPr>
          <w:rFonts w:ascii="Arial" w:hAnsi="Arial"/>
          <w:sz w:val="22"/>
          <w:szCs w:val="22"/>
        </w:rPr>
        <w:t xml:space="preserve">. </w:t>
      </w:r>
    </w:p>
    <w:p w:rsidR="006A12A5" w:rsidRPr="00882085" w:rsidRDefault="006A12A5" w:rsidP="00882085">
      <w:pPr>
        <w:pStyle w:val="ListParagraph"/>
        <w:jc w:val="both"/>
        <w:rPr>
          <w:rFonts w:ascii="Arial" w:hAnsi="Arial"/>
          <w:sz w:val="22"/>
          <w:szCs w:val="22"/>
        </w:rPr>
      </w:pPr>
    </w:p>
    <w:p w:rsidR="00BB7EC3" w:rsidRPr="00882085" w:rsidRDefault="00BB7EC3" w:rsidP="00882085">
      <w:pPr>
        <w:jc w:val="both"/>
        <w:rPr>
          <w:rFonts w:ascii="Arial" w:hAnsi="Arial"/>
          <w:b/>
          <w:sz w:val="22"/>
          <w:szCs w:val="22"/>
        </w:rPr>
      </w:pPr>
    </w:p>
    <w:p w:rsidR="00CE10C4" w:rsidRPr="00882085" w:rsidRDefault="00CE10C4" w:rsidP="00984601">
      <w:pPr>
        <w:pStyle w:val="ListParagraph"/>
        <w:numPr>
          <w:ilvl w:val="0"/>
          <w:numId w:val="1"/>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9B0E76" w:rsidRPr="00E573DC" w:rsidRDefault="009B0E76" w:rsidP="00984601">
      <w:pPr>
        <w:pStyle w:val="ListParagraph"/>
        <w:numPr>
          <w:ilvl w:val="1"/>
          <w:numId w:val="1"/>
        </w:numPr>
        <w:jc w:val="both"/>
        <w:rPr>
          <w:rFonts w:ascii="Arial" w:hAnsi="Arial"/>
          <w:sz w:val="22"/>
          <w:szCs w:val="22"/>
        </w:rPr>
      </w:pPr>
      <w:r w:rsidRPr="00E573DC">
        <w:rPr>
          <w:rFonts w:ascii="Arial" w:hAnsi="Arial"/>
          <w:sz w:val="22"/>
          <w:szCs w:val="22"/>
        </w:rPr>
        <w:t xml:space="preserve">The clinical management algorithm for the intended use of </w:t>
      </w:r>
      <w:proofErr w:type="spellStart"/>
      <w:r w:rsidRPr="00E573DC">
        <w:rPr>
          <w:rFonts w:ascii="Arial" w:hAnsi="Arial"/>
          <w:sz w:val="22"/>
          <w:szCs w:val="22"/>
        </w:rPr>
        <w:t>vedolizumab</w:t>
      </w:r>
      <w:proofErr w:type="spellEnd"/>
      <w:r w:rsidRPr="00E573DC">
        <w:rPr>
          <w:rFonts w:ascii="Arial" w:hAnsi="Arial"/>
          <w:sz w:val="22"/>
          <w:szCs w:val="22"/>
        </w:rPr>
        <w:t xml:space="preserve"> and for current practice is presented below. The clinical management</w:t>
      </w:r>
      <w:r w:rsidR="009F1D23">
        <w:rPr>
          <w:rFonts w:ascii="Arial" w:hAnsi="Arial"/>
          <w:sz w:val="22"/>
          <w:szCs w:val="22"/>
        </w:rPr>
        <w:t xml:space="preserve"> algorithm wa</w:t>
      </w:r>
      <w:r w:rsidRPr="00E573DC">
        <w:rPr>
          <w:rFonts w:ascii="Arial" w:hAnsi="Arial"/>
          <w:sz w:val="22"/>
          <w:szCs w:val="22"/>
        </w:rPr>
        <w:t>s based on guidelines from the Gastroenterological Society of Australia for general practitioners and physicians (2013) and the Therapeut</w:t>
      </w:r>
      <w:r w:rsidR="009F1D23">
        <w:rPr>
          <w:rFonts w:ascii="Arial" w:hAnsi="Arial"/>
          <w:sz w:val="22"/>
          <w:szCs w:val="22"/>
        </w:rPr>
        <w:t>ic Guidelines (2011) and concurred</w:t>
      </w:r>
      <w:r w:rsidRPr="00E573DC">
        <w:rPr>
          <w:rFonts w:ascii="Arial" w:hAnsi="Arial"/>
          <w:sz w:val="22"/>
          <w:szCs w:val="22"/>
        </w:rPr>
        <w:t xml:space="preserve"> with the management algorithm of the main comparator.</w:t>
      </w:r>
      <w:r w:rsidR="00B36BE8" w:rsidRPr="00E573DC">
        <w:rPr>
          <w:rFonts w:ascii="Arial" w:hAnsi="Arial"/>
          <w:sz w:val="22"/>
          <w:szCs w:val="22"/>
        </w:rPr>
        <w:t xml:space="preserve"> </w:t>
      </w:r>
    </w:p>
    <w:p w:rsidR="009B0E76" w:rsidRDefault="009B0E76" w:rsidP="009B0E76">
      <w:pPr>
        <w:pStyle w:val="ListParagraph"/>
        <w:jc w:val="both"/>
        <w:rPr>
          <w:rFonts w:ascii="Arial" w:hAnsi="Arial"/>
          <w:sz w:val="22"/>
          <w:szCs w:val="22"/>
        </w:rPr>
      </w:pPr>
    </w:p>
    <w:p w:rsidR="009B0E76" w:rsidRDefault="009B0E76" w:rsidP="009B0E76">
      <w:pPr>
        <w:pStyle w:val="ListParagraph"/>
        <w:jc w:val="both"/>
        <w:rPr>
          <w:rFonts w:ascii="Arial" w:hAnsi="Arial"/>
          <w:sz w:val="22"/>
          <w:szCs w:val="22"/>
        </w:rPr>
      </w:pPr>
      <w:r>
        <w:rPr>
          <w:noProof/>
        </w:rPr>
        <w:drawing>
          <wp:inline distT="0" distB="0" distL="0" distR="0" wp14:anchorId="20C356F4" wp14:editId="00EBA51D">
            <wp:extent cx="3386937" cy="2267712"/>
            <wp:effectExtent l="0" t="0" r="0" b="0"/>
            <wp:docPr id="1" name="Picture 1" descr="4 Clinical place for the proposed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1995" cy="2271098"/>
                    </a:xfrm>
                    <a:prstGeom prst="rect">
                      <a:avLst/>
                    </a:prstGeom>
                    <a:noFill/>
                  </pic:spPr>
                </pic:pic>
              </a:graphicData>
            </a:graphic>
          </wp:inline>
        </w:drawing>
      </w:r>
    </w:p>
    <w:p w:rsidR="009B0E76" w:rsidRPr="009B0E76" w:rsidRDefault="009B0E76" w:rsidP="009B0E76">
      <w:pPr>
        <w:jc w:val="both"/>
        <w:rPr>
          <w:rFonts w:ascii="Arial" w:hAnsi="Arial"/>
          <w:sz w:val="22"/>
          <w:szCs w:val="22"/>
        </w:rPr>
      </w:pPr>
    </w:p>
    <w:p w:rsidR="009B0E76" w:rsidRPr="009B0E76" w:rsidRDefault="009B0E76" w:rsidP="009B0E76">
      <w:pPr>
        <w:pStyle w:val="ListParagraph"/>
        <w:rPr>
          <w:rFonts w:ascii="Arial" w:hAnsi="Arial"/>
          <w:sz w:val="18"/>
          <w:szCs w:val="18"/>
        </w:rPr>
      </w:pPr>
      <w:r w:rsidRPr="009B0E76">
        <w:rPr>
          <w:rFonts w:ascii="Arial" w:hAnsi="Arial"/>
          <w:sz w:val="18"/>
          <w:szCs w:val="18"/>
        </w:rPr>
        <w:t>Source: Figure A.5-1, p24 of the submission</w:t>
      </w:r>
    </w:p>
    <w:p w:rsidR="009B0E76" w:rsidRPr="009B0E76" w:rsidRDefault="009B0E76" w:rsidP="009B0E76">
      <w:pPr>
        <w:pStyle w:val="ListParagraph"/>
        <w:rPr>
          <w:rFonts w:ascii="Arial" w:hAnsi="Arial"/>
          <w:sz w:val="18"/>
          <w:szCs w:val="18"/>
        </w:rPr>
      </w:pPr>
      <w:r w:rsidRPr="009B0E76">
        <w:rPr>
          <w:rFonts w:ascii="Arial" w:hAnsi="Arial"/>
          <w:sz w:val="18"/>
          <w:szCs w:val="18"/>
        </w:rPr>
        <w:t>5-ASAs = 5-aminosalicylic acid</w:t>
      </w:r>
    </w:p>
    <w:p w:rsidR="000147BD" w:rsidRPr="009F1782" w:rsidRDefault="000147BD" w:rsidP="009F1782">
      <w:pPr>
        <w:jc w:val="both"/>
        <w:rPr>
          <w:rFonts w:ascii="Arial" w:hAnsi="Arial"/>
          <w:i/>
          <w:sz w:val="22"/>
          <w:szCs w:val="22"/>
          <w:highlight w:val="lightGray"/>
        </w:rPr>
      </w:pPr>
    </w:p>
    <w:p w:rsidR="00510A84" w:rsidRPr="00E573DC" w:rsidRDefault="00510A84" w:rsidP="00984601">
      <w:pPr>
        <w:pStyle w:val="ListParagraph"/>
        <w:numPr>
          <w:ilvl w:val="1"/>
          <w:numId w:val="1"/>
        </w:numPr>
        <w:jc w:val="both"/>
        <w:rPr>
          <w:rFonts w:ascii="Arial" w:hAnsi="Arial"/>
          <w:sz w:val="22"/>
          <w:szCs w:val="22"/>
        </w:rPr>
      </w:pPr>
      <w:r w:rsidRPr="00E573DC">
        <w:rPr>
          <w:rFonts w:ascii="Arial" w:hAnsi="Arial"/>
          <w:sz w:val="22"/>
          <w:szCs w:val="22"/>
        </w:rPr>
        <w:t xml:space="preserve">The ESC noted that there is limited clinical experience with </w:t>
      </w:r>
      <w:proofErr w:type="spellStart"/>
      <w:r w:rsidRPr="00E573DC">
        <w:rPr>
          <w:rFonts w:ascii="Arial" w:hAnsi="Arial"/>
          <w:sz w:val="22"/>
          <w:szCs w:val="22"/>
        </w:rPr>
        <w:t>vedolizumab</w:t>
      </w:r>
      <w:proofErr w:type="spellEnd"/>
      <w:r w:rsidRPr="00E573DC">
        <w:rPr>
          <w:rFonts w:ascii="Arial" w:hAnsi="Arial"/>
          <w:sz w:val="22"/>
          <w:szCs w:val="22"/>
        </w:rPr>
        <w:t xml:space="preserve"> in Australia as </w:t>
      </w:r>
      <w:proofErr w:type="spellStart"/>
      <w:r w:rsidRPr="00E573DC">
        <w:rPr>
          <w:rFonts w:ascii="Arial" w:hAnsi="Arial"/>
          <w:sz w:val="22"/>
          <w:szCs w:val="22"/>
        </w:rPr>
        <w:t>vedolizumab</w:t>
      </w:r>
      <w:proofErr w:type="spellEnd"/>
      <w:r w:rsidRPr="00E573DC">
        <w:rPr>
          <w:rFonts w:ascii="Arial" w:hAnsi="Arial"/>
          <w:sz w:val="22"/>
          <w:szCs w:val="22"/>
        </w:rPr>
        <w:t xml:space="preserve"> was yet to gain TGA registration at th</w:t>
      </w:r>
      <w:r w:rsidR="009F1D23">
        <w:rPr>
          <w:rFonts w:ascii="Arial" w:hAnsi="Arial"/>
          <w:sz w:val="22"/>
          <w:szCs w:val="22"/>
        </w:rPr>
        <w:t>e time of submission lodgement.</w:t>
      </w:r>
      <w:r w:rsidRPr="00E573DC">
        <w:rPr>
          <w:rFonts w:ascii="Arial" w:hAnsi="Arial"/>
          <w:sz w:val="22"/>
          <w:szCs w:val="22"/>
        </w:rPr>
        <w:t xml:space="preserve"> </w:t>
      </w:r>
      <w:r w:rsidR="007E0BD8">
        <w:rPr>
          <w:rFonts w:ascii="Arial" w:hAnsi="Arial"/>
          <w:sz w:val="22"/>
          <w:szCs w:val="22"/>
        </w:rPr>
        <w:t>Since</w:t>
      </w:r>
      <w:r w:rsidRPr="00E573DC">
        <w:rPr>
          <w:rFonts w:ascii="Arial" w:hAnsi="Arial"/>
          <w:sz w:val="22"/>
          <w:szCs w:val="22"/>
        </w:rPr>
        <w:t xml:space="preserve"> </w:t>
      </w:r>
      <w:proofErr w:type="spellStart"/>
      <w:r w:rsidRPr="00E573DC">
        <w:rPr>
          <w:rFonts w:ascii="Arial" w:hAnsi="Arial"/>
          <w:sz w:val="22"/>
          <w:szCs w:val="22"/>
        </w:rPr>
        <w:t>vedolizumab</w:t>
      </w:r>
      <w:proofErr w:type="spellEnd"/>
      <w:r w:rsidRPr="00E573DC">
        <w:rPr>
          <w:rFonts w:ascii="Arial" w:hAnsi="Arial"/>
          <w:sz w:val="22"/>
          <w:szCs w:val="22"/>
        </w:rPr>
        <w:t xml:space="preserve"> </w:t>
      </w:r>
      <w:r w:rsidR="007E0BD8">
        <w:rPr>
          <w:rFonts w:ascii="Arial" w:hAnsi="Arial"/>
          <w:sz w:val="22"/>
          <w:szCs w:val="22"/>
        </w:rPr>
        <w:t>is</w:t>
      </w:r>
      <w:r w:rsidRPr="00E573DC">
        <w:rPr>
          <w:rFonts w:ascii="Arial" w:hAnsi="Arial"/>
          <w:sz w:val="22"/>
          <w:szCs w:val="22"/>
        </w:rPr>
        <w:t xml:space="preserve"> in the same pharmacological class as </w:t>
      </w:r>
      <w:proofErr w:type="spellStart"/>
      <w:r w:rsidRPr="00E573DC">
        <w:rPr>
          <w:rFonts w:ascii="Arial" w:hAnsi="Arial"/>
          <w:sz w:val="22"/>
          <w:szCs w:val="22"/>
        </w:rPr>
        <w:t>natalizumab</w:t>
      </w:r>
      <w:proofErr w:type="spellEnd"/>
      <w:r w:rsidRPr="00E573DC">
        <w:rPr>
          <w:rFonts w:ascii="Arial" w:hAnsi="Arial"/>
          <w:sz w:val="22"/>
          <w:szCs w:val="22"/>
        </w:rPr>
        <w:t xml:space="preserve">, </w:t>
      </w:r>
      <w:r w:rsidR="007E0BD8">
        <w:rPr>
          <w:rFonts w:ascii="Arial" w:hAnsi="Arial"/>
          <w:sz w:val="22"/>
          <w:szCs w:val="22"/>
        </w:rPr>
        <w:t xml:space="preserve">the PBAC was concerned that </w:t>
      </w:r>
      <w:proofErr w:type="spellStart"/>
      <w:r w:rsidRPr="00E573DC">
        <w:rPr>
          <w:rFonts w:ascii="Arial" w:hAnsi="Arial"/>
          <w:sz w:val="22"/>
          <w:szCs w:val="22"/>
        </w:rPr>
        <w:t>vedolizumab</w:t>
      </w:r>
      <w:proofErr w:type="spellEnd"/>
      <w:r w:rsidRPr="00E573DC">
        <w:rPr>
          <w:rFonts w:ascii="Arial" w:hAnsi="Arial"/>
          <w:sz w:val="22"/>
          <w:szCs w:val="22"/>
        </w:rPr>
        <w:t xml:space="preserve"> may have </w:t>
      </w:r>
      <w:r w:rsidR="007E0BD8">
        <w:rPr>
          <w:rFonts w:ascii="Arial" w:hAnsi="Arial"/>
          <w:sz w:val="22"/>
          <w:szCs w:val="22"/>
        </w:rPr>
        <w:t>a</w:t>
      </w:r>
      <w:r w:rsidRPr="00E573DC">
        <w:rPr>
          <w:rFonts w:ascii="Arial" w:hAnsi="Arial"/>
          <w:sz w:val="22"/>
          <w:szCs w:val="22"/>
        </w:rPr>
        <w:t xml:space="preserve"> theoretical potential to be </w:t>
      </w:r>
      <w:r w:rsidRPr="00E573DC">
        <w:rPr>
          <w:rFonts w:ascii="Arial" w:hAnsi="Arial"/>
          <w:sz w:val="22"/>
          <w:szCs w:val="22"/>
        </w:rPr>
        <w:lastRenderedPageBreak/>
        <w:t xml:space="preserve">associated with an increased risk of </w:t>
      </w:r>
      <w:r w:rsidR="009F1D23" w:rsidRPr="009F1D23">
        <w:rPr>
          <w:rFonts w:ascii="Arial" w:hAnsi="Arial"/>
          <w:sz w:val="22"/>
          <w:szCs w:val="22"/>
        </w:rPr>
        <w:t xml:space="preserve">progressive multifocal </w:t>
      </w:r>
      <w:proofErr w:type="spellStart"/>
      <w:r w:rsidR="009F1D23" w:rsidRPr="009F1D23">
        <w:rPr>
          <w:rFonts w:ascii="Arial" w:hAnsi="Arial"/>
          <w:sz w:val="22"/>
          <w:szCs w:val="22"/>
        </w:rPr>
        <w:t>leukoencephalopathy</w:t>
      </w:r>
      <w:proofErr w:type="spellEnd"/>
      <w:r w:rsidR="009F1D23" w:rsidRPr="009F1D23">
        <w:rPr>
          <w:rFonts w:ascii="Arial" w:hAnsi="Arial"/>
          <w:sz w:val="22"/>
          <w:szCs w:val="22"/>
        </w:rPr>
        <w:t xml:space="preserve"> </w:t>
      </w:r>
      <w:r w:rsidR="009F1D23">
        <w:rPr>
          <w:rFonts w:ascii="Arial" w:hAnsi="Arial"/>
          <w:sz w:val="22"/>
          <w:szCs w:val="22"/>
        </w:rPr>
        <w:t>(</w:t>
      </w:r>
      <w:r w:rsidRPr="00E573DC">
        <w:rPr>
          <w:rFonts w:ascii="Arial" w:hAnsi="Arial"/>
          <w:sz w:val="22"/>
          <w:szCs w:val="22"/>
        </w:rPr>
        <w:t>PML</w:t>
      </w:r>
      <w:r w:rsidR="009F1D23">
        <w:rPr>
          <w:rFonts w:ascii="Arial" w:hAnsi="Arial"/>
          <w:sz w:val="22"/>
          <w:szCs w:val="22"/>
        </w:rPr>
        <w:t>)</w:t>
      </w:r>
      <w:r w:rsidRPr="00E573DC">
        <w:rPr>
          <w:rFonts w:ascii="Arial" w:hAnsi="Arial"/>
          <w:sz w:val="22"/>
          <w:szCs w:val="22"/>
        </w:rPr>
        <w:t>. The</w:t>
      </w:r>
      <w:r w:rsidR="007E0BD8">
        <w:rPr>
          <w:rFonts w:ascii="Arial" w:hAnsi="Arial"/>
          <w:sz w:val="22"/>
          <w:szCs w:val="22"/>
        </w:rPr>
        <w:t xml:space="preserve"> PBAC</w:t>
      </w:r>
      <w:r w:rsidRPr="00E573DC">
        <w:rPr>
          <w:rFonts w:ascii="Arial" w:hAnsi="Arial"/>
          <w:sz w:val="22"/>
          <w:szCs w:val="22"/>
        </w:rPr>
        <w:t xml:space="preserve"> </w:t>
      </w:r>
      <w:r w:rsidR="007E0BD8">
        <w:rPr>
          <w:rFonts w:ascii="Arial" w:hAnsi="Arial"/>
          <w:sz w:val="22"/>
          <w:szCs w:val="22"/>
        </w:rPr>
        <w:t>considered</w:t>
      </w:r>
      <w:r w:rsidRPr="00E573DC">
        <w:rPr>
          <w:rFonts w:ascii="Arial" w:hAnsi="Arial"/>
          <w:sz w:val="22"/>
          <w:szCs w:val="22"/>
        </w:rPr>
        <w:t xml:space="preserve"> that due to the limited clinical experience with </w:t>
      </w:r>
      <w:proofErr w:type="spellStart"/>
      <w:r w:rsidRPr="00E573DC">
        <w:rPr>
          <w:rFonts w:ascii="Arial" w:hAnsi="Arial"/>
          <w:sz w:val="22"/>
          <w:szCs w:val="22"/>
        </w:rPr>
        <w:t>vedolizumab</w:t>
      </w:r>
      <w:proofErr w:type="spellEnd"/>
      <w:r w:rsidRPr="00E573DC">
        <w:rPr>
          <w:rFonts w:ascii="Arial" w:hAnsi="Arial"/>
          <w:sz w:val="22"/>
          <w:szCs w:val="22"/>
        </w:rPr>
        <w:t xml:space="preserve">, its clinical position relative to existing anti-TNF alpha drugs is unclear at this stage but may be possibly behind (i.e. </w:t>
      </w:r>
      <w:proofErr w:type="spellStart"/>
      <w:r w:rsidRPr="00E573DC">
        <w:rPr>
          <w:rFonts w:ascii="Arial" w:hAnsi="Arial"/>
          <w:sz w:val="22"/>
          <w:szCs w:val="22"/>
        </w:rPr>
        <w:t>vedolizumab’s</w:t>
      </w:r>
      <w:proofErr w:type="spellEnd"/>
      <w:r w:rsidRPr="00E573DC">
        <w:rPr>
          <w:rFonts w:ascii="Arial" w:hAnsi="Arial"/>
          <w:sz w:val="22"/>
          <w:szCs w:val="22"/>
        </w:rPr>
        <w:t xml:space="preserve"> use may be reserved for patients who do not initially respond to an anti-TNF alpha drug) these drugs if they were also PBS-listed for ulcerative colitis and therefore could influence the choice of comparator. </w:t>
      </w:r>
    </w:p>
    <w:p w:rsidR="00510A84" w:rsidRPr="00510A84" w:rsidRDefault="00510A84" w:rsidP="00510A84">
      <w:pPr>
        <w:pStyle w:val="ListParagrap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882085">
      <w:pPr>
        <w:pStyle w:val="Header"/>
        <w:tabs>
          <w:tab w:val="clear" w:pos="4153"/>
          <w:tab w:val="clear" w:pos="8306"/>
        </w:tabs>
        <w:jc w:val="both"/>
        <w:rPr>
          <w:rFonts w:ascii="Arial" w:hAnsi="Arial"/>
          <w:sz w:val="22"/>
          <w:szCs w:val="22"/>
        </w:rPr>
      </w:pPr>
    </w:p>
    <w:p w:rsidR="005A3173" w:rsidRPr="00882085" w:rsidRDefault="005A3173" w:rsidP="00984601">
      <w:pPr>
        <w:pStyle w:val="Header"/>
        <w:numPr>
          <w:ilvl w:val="0"/>
          <w:numId w:val="1"/>
        </w:numPr>
        <w:tabs>
          <w:tab w:val="clear" w:pos="4153"/>
          <w:tab w:val="clear" w:pos="8306"/>
        </w:tabs>
        <w:jc w:val="both"/>
        <w:rPr>
          <w:rFonts w:ascii="Arial" w:hAnsi="Arial"/>
          <w:b/>
          <w:sz w:val="22"/>
          <w:szCs w:val="22"/>
        </w:rPr>
      </w:pPr>
      <w:r w:rsidRPr="00882085">
        <w:rPr>
          <w:rFonts w:ascii="Arial" w:hAnsi="Arial"/>
          <w:b/>
          <w:sz w:val="22"/>
          <w:szCs w:val="22"/>
        </w:rPr>
        <w:t>Comparator</w:t>
      </w:r>
      <w:r w:rsidR="00A671DC">
        <w:rPr>
          <w:rFonts w:ascii="Arial" w:hAnsi="Arial"/>
          <w:b/>
          <w:sz w:val="22"/>
          <w:szCs w:val="22"/>
        </w:rPr>
        <w:t xml:space="preserve"> </w:t>
      </w:r>
    </w:p>
    <w:p w:rsidR="005A3173" w:rsidRPr="00882085" w:rsidRDefault="005A3173" w:rsidP="00882085">
      <w:pPr>
        <w:pStyle w:val="Header"/>
        <w:tabs>
          <w:tab w:val="clear" w:pos="4153"/>
          <w:tab w:val="clear" w:pos="8306"/>
        </w:tabs>
        <w:jc w:val="both"/>
        <w:rPr>
          <w:rFonts w:ascii="Arial" w:hAnsi="Arial"/>
          <w:b/>
          <w:sz w:val="22"/>
          <w:szCs w:val="22"/>
        </w:rPr>
      </w:pPr>
    </w:p>
    <w:p w:rsidR="00070175" w:rsidRPr="00E573DC" w:rsidRDefault="00070175" w:rsidP="00984601">
      <w:pPr>
        <w:pStyle w:val="ListParagraph"/>
        <w:numPr>
          <w:ilvl w:val="1"/>
          <w:numId w:val="1"/>
        </w:numPr>
        <w:jc w:val="both"/>
        <w:rPr>
          <w:rFonts w:ascii="Arial" w:hAnsi="Arial"/>
          <w:sz w:val="22"/>
          <w:szCs w:val="22"/>
        </w:rPr>
      </w:pPr>
      <w:r w:rsidRPr="00E573DC">
        <w:rPr>
          <w:rFonts w:ascii="Arial" w:hAnsi="Arial"/>
          <w:sz w:val="22"/>
          <w:szCs w:val="22"/>
        </w:rPr>
        <w:t>The submission nominated standard of care, comprising 5-</w:t>
      </w:r>
      <w:r w:rsidR="009F1D23">
        <w:rPr>
          <w:rFonts w:ascii="Arial" w:hAnsi="Arial"/>
          <w:sz w:val="22"/>
          <w:szCs w:val="22"/>
        </w:rPr>
        <w:t>aminosalicylates</w:t>
      </w:r>
      <w:r w:rsidRPr="00E573DC">
        <w:rPr>
          <w:rFonts w:ascii="Arial" w:hAnsi="Arial"/>
          <w:sz w:val="22"/>
          <w:szCs w:val="22"/>
        </w:rPr>
        <w:t xml:space="preserve">, corticosteroids and </w:t>
      </w:r>
      <w:proofErr w:type="spellStart"/>
      <w:r w:rsidRPr="00E573DC">
        <w:rPr>
          <w:rFonts w:ascii="Arial" w:hAnsi="Arial"/>
          <w:sz w:val="22"/>
          <w:szCs w:val="22"/>
        </w:rPr>
        <w:t>immunomodulators</w:t>
      </w:r>
      <w:proofErr w:type="spellEnd"/>
      <w:r w:rsidRPr="00E573DC">
        <w:rPr>
          <w:rFonts w:ascii="Arial" w:hAnsi="Arial"/>
          <w:sz w:val="22"/>
          <w:szCs w:val="22"/>
        </w:rPr>
        <w:t xml:space="preserve"> as the main</w:t>
      </w:r>
      <w:r w:rsidR="009F1D23">
        <w:rPr>
          <w:rFonts w:ascii="Arial" w:hAnsi="Arial"/>
          <w:sz w:val="22"/>
          <w:szCs w:val="22"/>
        </w:rPr>
        <w:t xml:space="preserve"> comparator.  The main argument</w:t>
      </w:r>
      <w:r w:rsidRPr="00E573DC">
        <w:rPr>
          <w:rFonts w:ascii="Arial" w:hAnsi="Arial"/>
          <w:sz w:val="22"/>
          <w:szCs w:val="22"/>
        </w:rPr>
        <w:t xml:space="preserve"> provided</w:t>
      </w:r>
      <w:r w:rsidR="009F1D23">
        <w:rPr>
          <w:rFonts w:ascii="Arial" w:hAnsi="Arial"/>
          <w:sz w:val="22"/>
          <w:szCs w:val="22"/>
        </w:rPr>
        <w:t xml:space="preserve"> in support of this nomination w</w:t>
      </w:r>
      <w:r w:rsidR="00482348">
        <w:rPr>
          <w:rFonts w:ascii="Arial" w:hAnsi="Arial"/>
          <w:sz w:val="22"/>
          <w:szCs w:val="22"/>
        </w:rPr>
        <w:t>as</w:t>
      </w:r>
      <w:r w:rsidRPr="00E573DC">
        <w:rPr>
          <w:rFonts w:ascii="Arial" w:hAnsi="Arial"/>
          <w:sz w:val="22"/>
          <w:szCs w:val="22"/>
        </w:rPr>
        <w:t xml:space="preserve"> that this reflects baseline therapy in the clinical trial and is supported by current Australian clinical practice guidelines. </w:t>
      </w:r>
    </w:p>
    <w:p w:rsidR="00070175" w:rsidRPr="00E573DC" w:rsidRDefault="00070175" w:rsidP="00070175">
      <w:pPr>
        <w:pStyle w:val="ListParagraph"/>
        <w:jc w:val="both"/>
        <w:rPr>
          <w:rFonts w:ascii="Arial" w:hAnsi="Arial"/>
          <w:sz w:val="22"/>
          <w:szCs w:val="22"/>
        </w:rPr>
      </w:pPr>
    </w:p>
    <w:p w:rsidR="00070175" w:rsidRPr="00E573DC" w:rsidRDefault="00070175" w:rsidP="00984601">
      <w:pPr>
        <w:pStyle w:val="ListParagraph"/>
        <w:numPr>
          <w:ilvl w:val="1"/>
          <w:numId w:val="1"/>
        </w:numPr>
        <w:jc w:val="both"/>
        <w:rPr>
          <w:rFonts w:ascii="Arial" w:hAnsi="Arial"/>
          <w:sz w:val="22"/>
          <w:szCs w:val="22"/>
        </w:rPr>
      </w:pPr>
      <w:r w:rsidRPr="00E573DC">
        <w:rPr>
          <w:rFonts w:ascii="Arial" w:hAnsi="Arial"/>
          <w:sz w:val="22"/>
          <w:szCs w:val="22"/>
        </w:rPr>
        <w:t>The submission present</w:t>
      </w:r>
      <w:r w:rsidR="009F1D23">
        <w:rPr>
          <w:rFonts w:ascii="Arial" w:hAnsi="Arial"/>
          <w:sz w:val="22"/>
          <w:szCs w:val="22"/>
        </w:rPr>
        <w:t>ed</w:t>
      </w:r>
      <w:r w:rsidRPr="00E573DC">
        <w:rPr>
          <w:rFonts w:ascii="Arial" w:hAnsi="Arial"/>
          <w:sz w:val="22"/>
          <w:szCs w:val="22"/>
        </w:rPr>
        <w:t xml:space="preserve"> two supplementary comparisons </w:t>
      </w:r>
      <w:r w:rsidR="009F1782" w:rsidRPr="00E573DC">
        <w:rPr>
          <w:rFonts w:ascii="Arial" w:hAnsi="Arial"/>
          <w:sz w:val="22"/>
          <w:szCs w:val="22"/>
        </w:rPr>
        <w:t xml:space="preserve">against </w:t>
      </w:r>
      <w:proofErr w:type="spellStart"/>
      <w:r w:rsidR="009F1782" w:rsidRPr="00E573DC">
        <w:rPr>
          <w:rFonts w:ascii="Arial" w:hAnsi="Arial"/>
          <w:sz w:val="22"/>
          <w:szCs w:val="22"/>
        </w:rPr>
        <w:t>adalimumab</w:t>
      </w:r>
      <w:proofErr w:type="spellEnd"/>
      <w:r w:rsidR="009F1782" w:rsidRPr="00E573DC">
        <w:rPr>
          <w:rFonts w:ascii="Arial" w:hAnsi="Arial"/>
          <w:sz w:val="22"/>
          <w:szCs w:val="22"/>
        </w:rPr>
        <w:t xml:space="preserve"> and infliximab </w:t>
      </w:r>
      <w:r w:rsidRPr="00E573DC">
        <w:rPr>
          <w:rFonts w:ascii="Arial" w:hAnsi="Arial"/>
          <w:sz w:val="22"/>
          <w:szCs w:val="22"/>
        </w:rPr>
        <w:t>for clinical efficacy, but not for cost-effectiveness</w:t>
      </w:r>
      <w:r w:rsidR="009F1782" w:rsidRPr="00E573DC">
        <w:rPr>
          <w:rFonts w:ascii="Arial" w:hAnsi="Arial"/>
          <w:sz w:val="22"/>
          <w:szCs w:val="22"/>
        </w:rPr>
        <w:t>.</w:t>
      </w:r>
    </w:p>
    <w:p w:rsidR="00070175" w:rsidRPr="00E573DC" w:rsidRDefault="00070175" w:rsidP="009F1782">
      <w:pPr>
        <w:rPr>
          <w:rFonts w:ascii="Arial" w:hAnsi="Arial"/>
          <w:sz w:val="22"/>
          <w:szCs w:val="22"/>
        </w:rPr>
      </w:pPr>
    </w:p>
    <w:p w:rsidR="00510A84" w:rsidRPr="00E573DC" w:rsidRDefault="00510A84" w:rsidP="00984601">
      <w:pPr>
        <w:pStyle w:val="ListParagraph"/>
        <w:numPr>
          <w:ilvl w:val="1"/>
          <w:numId w:val="1"/>
        </w:numPr>
        <w:jc w:val="both"/>
        <w:rPr>
          <w:rFonts w:ascii="Arial" w:hAnsi="Arial"/>
          <w:color w:val="FF0000"/>
          <w:sz w:val="22"/>
          <w:szCs w:val="22"/>
        </w:rPr>
      </w:pPr>
      <w:r w:rsidRPr="00E573DC">
        <w:rPr>
          <w:rFonts w:ascii="Arial" w:hAnsi="Arial"/>
          <w:sz w:val="22"/>
          <w:szCs w:val="22"/>
        </w:rPr>
        <w:t xml:space="preserve">Notwithstanding the ESC’s comments on </w:t>
      </w:r>
      <w:proofErr w:type="spellStart"/>
      <w:r w:rsidRPr="00E573DC">
        <w:rPr>
          <w:rFonts w:ascii="Arial" w:hAnsi="Arial"/>
          <w:sz w:val="22"/>
          <w:szCs w:val="22"/>
        </w:rPr>
        <w:t>vedolizumab’s</w:t>
      </w:r>
      <w:proofErr w:type="spellEnd"/>
      <w:r w:rsidRPr="00E573DC">
        <w:rPr>
          <w:rFonts w:ascii="Arial" w:hAnsi="Arial"/>
          <w:sz w:val="22"/>
          <w:szCs w:val="22"/>
        </w:rPr>
        <w:t xml:space="preserve"> place in clinical practice, </w:t>
      </w:r>
      <w:r w:rsidR="002A7ABE" w:rsidRPr="00E573DC">
        <w:rPr>
          <w:rFonts w:ascii="Arial" w:hAnsi="Arial"/>
          <w:sz w:val="22"/>
          <w:szCs w:val="22"/>
        </w:rPr>
        <w:t xml:space="preserve">the ESC advised that </w:t>
      </w:r>
      <w:r w:rsidRPr="00E573DC">
        <w:rPr>
          <w:rFonts w:ascii="Arial" w:hAnsi="Arial"/>
          <w:sz w:val="22"/>
          <w:szCs w:val="22"/>
        </w:rPr>
        <w:t xml:space="preserve">this </w:t>
      </w:r>
      <w:r w:rsidR="002A7ABE" w:rsidRPr="00E573DC">
        <w:rPr>
          <w:rFonts w:ascii="Arial" w:hAnsi="Arial"/>
          <w:sz w:val="22"/>
          <w:szCs w:val="22"/>
        </w:rPr>
        <w:t>wa</w:t>
      </w:r>
      <w:r w:rsidRPr="00E573DC">
        <w:rPr>
          <w:rFonts w:ascii="Arial" w:hAnsi="Arial"/>
          <w:sz w:val="22"/>
          <w:szCs w:val="22"/>
        </w:rPr>
        <w:t xml:space="preserve">s the appropriate comparator </w:t>
      </w:r>
      <w:r w:rsidR="002A7ABE" w:rsidRPr="00E573DC">
        <w:rPr>
          <w:rFonts w:ascii="Arial" w:hAnsi="Arial"/>
          <w:sz w:val="22"/>
          <w:szCs w:val="22"/>
        </w:rPr>
        <w:t xml:space="preserve">on the assumption </w:t>
      </w:r>
      <w:r w:rsidRPr="00E573DC">
        <w:rPr>
          <w:rFonts w:ascii="Arial" w:hAnsi="Arial"/>
          <w:sz w:val="22"/>
          <w:szCs w:val="22"/>
        </w:rPr>
        <w:t xml:space="preserve">that </w:t>
      </w:r>
      <w:proofErr w:type="spellStart"/>
      <w:r w:rsidRPr="00E573DC">
        <w:rPr>
          <w:rFonts w:ascii="Arial" w:hAnsi="Arial"/>
          <w:sz w:val="22"/>
          <w:szCs w:val="22"/>
        </w:rPr>
        <w:t>adalimumab</w:t>
      </w:r>
      <w:proofErr w:type="spellEnd"/>
      <w:r w:rsidRPr="00E573DC">
        <w:rPr>
          <w:rFonts w:ascii="Arial" w:hAnsi="Arial"/>
          <w:sz w:val="22"/>
          <w:szCs w:val="22"/>
        </w:rPr>
        <w:t xml:space="preserve"> and infliximab are not PBS listed for ulcerative colitis. </w:t>
      </w:r>
    </w:p>
    <w:p w:rsidR="00BB7EC3" w:rsidRPr="00142AF9" w:rsidRDefault="00BB7EC3" w:rsidP="00142AF9">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26A7" w:rsidRPr="008D447E" w:rsidRDefault="00C35996" w:rsidP="008D447E">
      <w:pPr>
        <w:pStyle w:val="ListParagraph"/>
        <w:jc w:val="both"/>
        <w:rPr>
          <w:rFonts w:ascii="Arial" w:hAnsi="Arial"/>
          <w:sz w:val="22"/>
          <w:szCs w:val="22"/>
        </w:rPr>
      </w:pPr>
      <w:r w:rsidRPr="00882085">
        <w:rPr>
          <w:rFonts w:ascii="Arial" w:hAnsi="Arial"/>
          <w:sz w:val="22"/>
          <w:szCs w:val="22"/>
        </w:rPr>
        <w:tab/>
      </w:r>
    </w:p>
    <w:p w:rsidR="000B558D" w:rsidRPr="00882085" w:rsidRDefault="00A0139E" w:rsidP="004E7A4D">
      <w:pPr>
        <w:pStyle w:val="Header"/>
        <w:numPr>
          <w:ilvl w:val="0"/>
          <w:numId w:val="1"/>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882085" w:rsidRDefault="00BB7EC3" w:rsidP="00BB7EC3">
      <w:pPr>
        <w:ind w:left="709"/>
        <w:jc w:val="both"/>
        <w:rPr>
          <w:rFonts w:ascii="Arial" w:hAnsi="Arial"/>
          <w:b/>
          <w:sz w:val="22"/>
          <w:szCs w:val="22"/>
        </w:rPr>
      </w:pPr>
    </w:p>
    <w:p w:rsidR="00BB7EC3" w:rsidRDefault="00BB7EC3" w:rsidP="004E7A4D">
      <w:pPr>
        <w:pStyle w:val="ListParagraph"/>
        <w:numPr>
          <w:ilvl w:val="1"/>
          <w:numId w:val="1"/>
        </w:numPr>
        <w:jc w:val="both"/>
        <w:rPr>
          <w:rFonts w:ascii="Arial" w:hAnsi="Arial"/>
          <w:sz w:val="22"/>
          <w:szCs w:val="22"/>
        </w:rPr>
      </w:pPr>
      <w:r>
        <w:rPr>
          <w:rFonts w:ascii="Arial" w:hAnsi="Arial"/>
          <w:sz w:val="22"/>
          <w:szCs w:val="22"/>
        </w:rPr>
        <w:t>There was no hearing for this item.</w:t>
      </w:r>
    </w:p>
    <w:p w:rsidR="00BB7EC3" w:rsidRDefault="00BB7EC3" w:rsidP="00BB7EC3">
      <w:pPr>
        <w:pStyle w:val="ListParagraph"/>
        <w:ind w:left="709"/>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Consumer comments</w:t>
      </w:r>
    </w:p>
    <w:p w:rsidR="00BB7EC3" w:rsidRDefault="00BB7EC3" w:rsidP="00BB7EC3">
      <w:pPr>
        <w:pStyle w:val="ListParagraph"/>
        <w:ind w:left="709"/>
        <w:jc w:val="both"/>
        <w:rPr>
          <w:rFonts w:ascii="Arial" w:hAnsi="Arial"/>
          <w:sz w:val="22"/>
          <w:szCs w:val="22"/>
        </w:rPr>
      </w:pPr>
    </w:p>
    <w:p w:rsidR="00F83BAE" w:rsidRPr="000F45B7" w:rsidRDefault="00BB7EC3" w:rsidP="004E7A4D">
      <w:pPr>
        <w:pStyle w:val="ListParagraph"/>
        <w:numPr>
          <w:ilvl w:val="1"/>
          <w:numId w:val="1"/>
        </w:numPr>
        <w:jc w:val="both"/>
        <w:rPr>
          <w:rFonts w:ascii="Arial" w:hAnsi="Arial"/>
          <w:sz w:val="22"/>
          <w:szCs w:val="22"/>
        </w:rPr>
      </w:pPr>
      <w:r w:rsidRPr="000F45B7">
        <w:rPr>
          <w:rFonts w:ascii="Arial" w:hAnsi="Arial"/>
          <w:sz w:val="22"/>
          <w:szCs w:val="22"/>
        </w:rPr>
        <w:t>The PBAC noted and welcom</w:t>
      </w:r>
      <w:r w:rsidR="00F83BAE" w:rsidRPr="000F45B7">
        <w:rPr>
          <w:rFonts w:ascii="Arial" w:hAnsi="Arial"/>
          <w:sz w:val="22"/>
          <w:szCs w:val="22"/>
        </w:rPr>
        <w:t>ed the input from individuals (2) and health care professionals (2</w:t>
      </w:r>
      <w:r w:rsidRPr="000F45B7">
        <w:rPr>
          <w:rFonts w:ascii="Arial" w:hAnsi="Arial"/>
          <w:sz w:val="22"/>
          <w:szCs w:val="22"/>
        </w:rPr>
        <w:t>) via the Consumer Comments facility on the PBS website.  The comments described a rang</w:t>
      </w:r>
      <w:r w:rsidR="00F83BAE" w:rsidRPr="000F45B7">
        <w:rPr>
          <w:rFonts w:ascii="Arial" w:hAnsi="Arial"/>
          <w:sz w:val="22"/>
          <w:szCs w:val="22"/>
        </w:rPr>
        <w:t xml:space="preserve">e of improvements in quality of life with </w:t>
      </w:r>
      <w:proofErr w:type="spellStart"/>
      <w:r w:rsidR="00F83BAE" w:rsidRPr="000F45B7">
        <w:rPr>
          <w:rFonts w:ascii="Arial" w:hAnsi="Arial"/>
          <w:sz w:val="22"/>
          <w:szCs w:val="22"/>
        </w:rPr>
        <w:t>vedolizumab</w:t>
      </w:r>
      <w:proofErr w:type="spellEnd"/>
      <w:r w:rsidRPr="000F45B7">
        <w:rPr>
          <w:rFonts w:ascii="Arial" w:hAnsi="Arial"/>
          <w:sz w:val="22"/>
          <w:szCs w:val="22"/>
        </w:rPr>
        <w:t xml:space="preserve"> including the </w:t>
      </w:r>
      <w:r w:rsidR="00F83BAE" w:rsidRPr="000F45B7">
        <w:rPr>
          <w:rFonts w:ascii="Arial" w:hAnsi="Arial"/>
          <w:sz w:val="22"/>
          <w:szCs w:val="22"/>
        </w:rPr>
        <w:t xml:space="preserve">following: </w:t>
      </w:r>
    </w:p>
    <w:p w:rsidR="00F83BAE" w:rsidRPr="000F45B7" w:rsidRDefault="00F83BAE" w:rsidP="00984601">
      <w:pPr>
        <w:pStyle w:val="ListParagraph"/>
        <w:numPr>
          <w:ilvl w:val="0"/>
          <w:numId w:val="15"/>
        </w:numPr>
        <w:ind w:left="993" w:hanging="284"/>
        <w:jc w:val="both"/>
        <w:rPr>
          <w:rFonts w:ascii="Arial" w:hAnsi="Arial"/>
          <w:sz w:val="22"/>
          <w:szCs w:val="22"/>
        </w:rPr>
      </w:pPr>
      <w:r w:rsidRPr="000F45B7">
        <w:rPr>
          <w:rFonts w:ascii="Arial" w:hAnsi="Arial"/>
          <w:sz w:val="22"/>
          <w:szCs w:val="22"/>
        </w:rPr>
        <w:t xml:space="preserve">Achieving and maintaining remission from disease without the use of corticosteroids: </w:t>
      </w:r>
    </w:p>
    <w:p w:rsidR="00F83BAE" w:rsidRPr="000F45B7" w:rsidRDefault="00F83BAE" w:rsidP="00984601">
      <w:pPr>
        <w:pStyle w:val="ListParagraph"/>
        <w:numPr>
          <w:ilvl w:val="0"/>
          <w:numId w:val="15"/>
        </w:numPr>
        <w:ind w:left="993" w:hanging="284"/>
        <w:jc w:val="both"/>
        <w:rPr>
          <w:rFonts w:ascii="Arial" w:hAnsi="Arial"/>
          <w:sz w:val="22"/>
          <w:szCs w:val="22"/>
        </w:rPr>
      </w:pPr>
      <w:r w:rsidRPr="000F45B7">
        <w:rPr>
          <w:rFonts w:ascii="Arial" w:hAnsi="Arial"/>
          <w:sz w:val="22"/>
          <w:szCs w:val="22"/>
        </w:rPr>
        <w:t>Facilitate an improved social life and increased capacity to perform productive work</w:t>
      </w:r>
    </w:p>
    <w:p w:rsidR="00F83BAE" w:rsidRPr="000F45B7" w:rsidRDefault="00F83BAE" w:rsidP="00984601">
      <w:pPr>
        <w:pStyle w:val="ListParagraph"/>
        <w:numPr>
          <w:ilvl w:val="0"/>
          <w:numId w:val="15"/>
        </w:numPr>
        <w:ind w:left="993" w:hanging="284"/>
        <w:jc w:val="both"/>
        <w:rPr>
          <w:rFonts w:ascii="Arial" w:hAnsi="Arial"/>
          <w:sz w:val="22"/>
          <w:szCs w:val="22"/>
        </w:rPr>
      </w:pPr>
      <w:r w:rsidRPr="000F45B7">
        <w:rPr>
          <w:rFonts w:ascii="Arial" w:hAnsi="Arial"/>
          <w:sz w:val="22"/>
          <w:szCs w:val="22"/>
        </w:rPr>
        <w:t>Prevent or delay the need for surgery:</w:t>
      </w:r>
    </w:p>
    <w:p w:rsidR="00F83BAE" w:rsidRPr="000F45B7" w:rsidRDefault="00F83BAE" w:rsidP="00984601">
      <w:pPr>
        <w:pStyle w:val="ListParagraph"/>
        <w:numPr>
          <w:ilvl w:val="0"/>
          <w:numId w:val="15"/>
        </w:numPr>
        <w:ind w:left="993" w:hanging="284"/>
        <w:jc w:val="both"/>
        <w:rPr>
          <w:rFonts w:ascii="Arial" w:hAnsi="Arial"/>
          <w:sz w:val="22"/>
          <w:szCs w:val="22"/>
        </w:rPr>
      </w:pPr>
      <w:r w:rsidRPr="000F45B7">
        <w:rPr>
          <w:rFonts w:ascii="Arial" w:hAnsi="Arial"/>
          <w:sz w:val="22"/>
          <w:szCs w:val="22"/>
        </w:rPr>
        <w:t>Have a positive impact on not only physical wellbeing, but also psychosocial wellbeing;</w:t>
      </w:r>
    </w:p>
    <w:p w:rsidR="00F83BAE" w:rsidRPr="000F45B7" w:rsidRDefault="00F83BAE" w:rsidP="00984601">
      <w:pPr>
        <w:pStyle w:val="ListParagraph"/>
        <w:numPr>
          <w:ilvl w:val="0"/>
          <w:numId w:val="15"/>
        </w:numPr>
        <w:ind w:left="993" w:hanging="284"/>
        <w:jc w:val="both"/>
        <w:rPr>
          <w:rFonts w:ascii="Arial" w:hAnsi="Arial"/>
          <w:sz w:val="22"/>
          <w:szCs w:val="22"/>
        </w:rPr>
      </w:pPr>
      <w:r w:rsidRPr="000F45B7">
        <w:rPr>
          <w:rFonts w:ascii="Arial" w:hAnsi="Arial"/>
          <w:sz w:val="22"/>
          <w:szCs w:val="22"/>
        </w:rPr>
        <w:t>Reducing fatigue;</w:t>
      </w:r>
    </w:p>
    <w:p w:rsidR="00F83BAE" w:rsidRPr="000F45B7" w:rsidRDefault="00F83BAE" w:rsidP="00984601">
      <w:pPr>
        <w:pStyle w:val="ListParagraph"/>
        <w:numPr>
          <w:ilvl w:val="0"/>
          <w:numId w:val="15"/>
        </w:numPr>
        <w:ind w:left="993" w:hanging="284"/>
        <w:jc w:val="both"/>
        <w:rPr>
          <w:rFonts w:ascii="Arial" w:hAnsi="Arial"/>
          <w:sz w:val="22"/>
          <w:szCs w:val="22"/>
        </w:rPr>
      </w:pPr>
      <w:r w:rsidRPr="000F45B7">
        <w:rPr>
          <w:rFonts w:ascii="Arial" w:hAnsi="Arial"/>
          <w:sz w:val="22"/>
          <w:szCs w:val="22"/>
        </w:rPr>
        <w:t>Reduction in healthcare costs;</w:t>
      </w:r>
    </w:p>
    <w:p w:rsidR="00F83BAE" w:rsidRPr="000F45B7" w:rsidRDefault="00F83BAE" w:rsidP="00984601">
      <w:pPr>
        <w:pStyle w:val="ListParagraph"/>
        <w:numPr>
          <w:ilvl w:val="0"/>
          <w:numId w:val="15"/>
        </w:numPr>
        <w:ind w:left="993" w:hanging="284"/>
        <w:jc w:val="both"/>
        <w:rPr>
          <w:rFonts w:ascii="Arial" w:hAnsi="Arial"/>
          <w:sz w:val="22"/>
          <w:szCs w:val="22"/>
        </w:rPr>
      </w:pPr>
      <w:r w:rsidRPr="000F45B7">
        <w:rPr>
          <w:rFonts w:ascii="Arial" w:hAnsi="Arial"/>
          <w:sz w:val="22"/>
          <w:szCs w:val="22"/>
        </w:rPr>
        <w:t>Increase the availability of treatments; and</w:t>
      </w:r>
    </w:p>
    <w:p w:rsidR="00BB7EC3" w:rsidRPr="000F45B7" w:rsidRDefault="00F83BAE" w:rsidP="00984601">
      <w:pPr>
        <w:pStyle w:val="ListParagraph"/>
        <w:numPr>
          <w:ilvl w:val="0"/>
          <w:numId w:val="15"/>
        </w:numPr>
        <w:ind w:left="993" w:hanging="284"/>
        <w:jc w:val="both"/>
        <w:rPr>
          <w:rFonts w:ascii="Arial" w:hAnsi="Arial"/>
          <w:sz w:val="22"/>
          <w:szCs w:val="22"/>
        </w:rPr>
      </w:pPr>
      <w:r w:rsidRPr="000F45B7">
        <w:rPr>
          <w:rFonts w:ascii="Arial" w:hAnsi="Arial"/>
          <w:sz w:val="22"/>
          <w:szCs w:val="22"/>
        </w:rPr>
        <w:t>Improve equity in access when compared to treatment</w:t>
      </w:r>
      <w:r w:rsidR="000F45B7" w:rsidRPr="000F45B7">
        <w:rPr>
          <w:rFonts w:ascii="Arial" w:hAnsi="Arial"/>
          <w:sz w:val="22"/>
          <w:szCs w:val="22"/>
        </w:rPr>
        <w:t xml:space="preserve"> availability in other countries.</w:t>
      </w:r>
    </w:p>
    <w:p w:rsidR="002B1AE6" w:rsidRDefault="002B1AE6"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b/>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E77361" w:rsidRPr="00E573DC" w:rsidRDefault="009F1D23" w:rsidP="004E7A4D">
      <w:pPr>
        <w:pStyle w:val="ListParagraph"/>
        <w:numPr>
          <w:ilvl w:val="1"/>
          <w:numId w:val="1"/>
        </w:numPr>
        <w:jc w:val="both"/>
        <w:rPr>
          <w:rFonts w:ascii="Arial" w:hAnsi="Arial"/>
          <w:sz w:val="22"/>
          <w:szCs w:val="22"/>
        </w:rPr>
      </w:pPr>
      <w:r>
        <w:rPr>
          <w:rFonts w:ascii="Arial" w:hAnsi="Arial"/>
          <w:sz w:val="22"/>
          <w:szCs w:val="22"/>
        </w:rPr>
        <w:t>The submission wa</w:t>
      </w:r>
      <w:r w:rsidR="000147BD" w:rsidRPr="00E573DC">
        <w:rPr>
          <w:rFonts w:ascii="Arial" w:hAnsi="Arial"/>
          <w:sz w:val="22"/>
          <w:szCs w:val="22"/>
        </w:rPr>
        <w:t xml:space="preserve">s based on one head-to-head randomised trial comparing </w:t>
      </w:r>
      <w:proofErr w:type="spellStart"/>
      <w:r w:rsidR="000147BD" w:rsidRPr="00E573DC">
        <w:rPr>
          <w:rFonts w:ascii="Arial" w:hAnsi="Arial"/>
          <w:sz w:val="22"/>
          <w:szCs w:val="22"/>
        </w:rPr>
        <w:t>vedolizumab</w:t>
      </w:r>
      <w:proofErr w:type="spellEnd"/>
      <w:r w:rsidR="000147BD" w:rsidRPr="00E573DC">
        <w:rPr>
          <w:rFonts w:ascii="Arial" w:hAnsi="Arial"/>
          <w:sz w:val="22"/>
          <w:szCs w:val="22"/>
        </w:rPr>
        <w:t xml:space="preserve"> to placebo: GEMINI I.</w:t>
      </w:r>
      <w:r w:rsidR="009F1782" w:rsidRPr="00E573DC">
        <w:rPr>
          <w:rFonts w:ascii="Arial" w:hAnsi="Arial"/>
          <w:sz w:val="22"/>
          <w:szCs w:val="22"/>
        </w:rPr>
        <w:t xml:space="preserve"> </w:t>
      </w:r>
      <w:r w:rsidR="00E77361" w:rsidRPr="00E573DC">
        <w:rPr>
          <w:rFonts w:ascii="Arial" w:hAnsi="Arial"/>
          <w:sz w:val="22"/>
          <w:szCs w:val="22"/>
        </w:rPr>
        <w:t xml:space="preserve">The full list of all the direct randomised trials identified in the literature search is presented below. </w:t>
      </w:r>
    </w:p>
    <w:p w:rsidR="00A671DC" w:rsidRPr="00E573DC" w:rsidRDefault="00A671DC" w:rsidP="00E77361">
      <w:pPr>
        <w:ind w:left="709"/>
        <w:jc w:val="both"/>
        <w:rPr>
          <w:rFonts w:ascii="Arial" w:hAnsi="Arial"/>
          <w:sz w:val="22"/>
          <w:szCs w:val="22"/>
        </w:rPr>
      </w:pPr>
    </w:p>
    <w:p w:rsidR="00E77361" w:rsidRPr="00E573DC" w:rsidRDefault="00E77361" w:rsidP="00E77361">
      <w:pPr>
        <w:ind w:left="709"/>
        <w:jc w:val="both"/>
        <w:rPr>
          <w:rFonts w:ascii="Arial" w:hAnsi="Arial"/>
          <w:sz w:val="22"/>
          <w:szCs w:val="22"/>
        </w:rPr>
      </w:pPr>
      <w:r w:rsidRPr="00E573DC">
        <w:rPr>
          <w:rFonts w:ascii="Arial Narrow" w:hAnsi="Arial Narrow" w:cs="Arial"/>
          <w:b/>
          <w:snapToGrid w:val="0"/>
          <w:sz w:val="20"/>
          <w:szCs w:val="16"/>
          <w:lang w:eastAsia="en-US"/>
        </w:rPr>
        <w:t xml:space="preserve">Trials and associated reports presented in the submission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submission "/>
      </w:tblPr>
      <w:tblGrid>
        <w:gridCol w:w="849"/>
        <w:gridCol w:w="5601"/>
        <w:gridCol w:w="1919"/>
      </w:tblGrid>
      <w:tr w:rsidR="00CA29D1" w:rsidRPr="00E573DC" w:rsidTr="00CA29D1">
        <w:trPr>
          <w:cantSplit/>
          <w:tblHeader/>
        </w:trPr>
        <w:tc>
          <w:tcPr>
            <w:tcW w:w="849" w:type="dxa"/>
          </w:tcPr>
          <w:p w:rsidR="00CA29D1" w:rsidRPr="00E573DC" w:rsidRDefault="00CA29D1" w:rsidP="000147BD">
            <w:pPr>
              <w:keepNext/>
              <w:widowControl w:val="0"/>
              <w:rPr>
                <w:rFonts w:ascii="Arial Narrow" w:hAnsi="Arial Narrow" w:cs="Arial"/>
                <w:b/>
                <w:snapToGrid w:val="0"/>
                <w:sz w:val="20"/>
                <w:szCs w:val="20"/>
                <w:lang w:eastAsia="en-US"/>
              </w:rPr>
            </w:pPr>
            <w:r w:rsidRPr="00E573DC">
              <w:rPr>
                <w:rFonts w:ascii="Arial Narrow" w:hAnsi="Arial Narrow" w:cs="Arial"/>
                <w:b/>
                <w:snapToGrid w:val="0"/>
                <w:sz w:val="20"/>
                <w:szCs w:val="20"/>
                <w:lang w:eastAsia="en-US"/>
              </w:rPr>
              <w:t>Trial ID/First author</w:t>
            </w:r>
          </w:p>
        </w:tc>
        <w:tc>
          <w:tcPr>
            <w:tcW w:w="0" w:type="auto"/>
          </w:tcPr>
          <w:p w:rsidR="00CA29D1" w:rsidRPr="00E573DC" w:rsidRDefault="00CA29D1" w:rsidP="000147BD">
            <w:pPr>
              <w:keepNext/>
              <w:widowControl w:val="0"/>
              <w:jc w:val="center"/>
              <w:rPr>
                <w:rFonts w:ascii="Arial Narrow" w:hAnsi="Arial Narrow" w:cs="Arial"/>
                <w:b/>
                <w:snapToGrid w:val="0"/>
                <w:sz w:val="20"/>
                <w:szCs w:val="20"/>
                <w:lang w:eastAsia="en-US"/>
              </w:rPr>
            </w:pPr>
            <w:r w:rsidRPr="00E573DC">
              <w:rPr>
                <w:rFonts w:ascii="Arial Narrow" w:hAnsi="Arial Narrow" w:cs="Arial"/>
                <w:b/>
                <w:snapToGrid w:val="0"/>
                <w:sz w:val="20"/>
                <w:szCs w:val="20"/>
                <w:lang w:eastAsia="en-US"/>
              </w:rPr>
              <w:t>Protocol title/ Publication title</w:t>
            </w:r>
          </w:p>
        </w:tc>
        <w:tc>
          <w:tcPr>
            <w:tcW w:w="0" w:type="auto"/>
          </w:tcPr>
          <w:p w:rsidR="00CA29D1" w:rsidRPr="00E573DC" w:rsidRDefault="00CA29D1" w:rsidP="000147BD">
            <w:pPr>
              <w:keepNext/>
              <w:widowControl w:val="0"/>
              <w:jc w:val="center"/>
              <w:rPr>
                <w:rFonts w:ascii="Arial Narrow" w:hAnsi="Arial Narrow" w:cs="Arial"/>
                <w:b/>
                <w:snapToGrid w:val="0"/>
                <w:sz w:val="20"/>
                <w:szCs w:val="20"/>
                <w:lang w:eastAsia="en-US"/>
              </w:rPr>
            </w:pPr>
            <w:r w:rsidRPr="00E573DC">
              <w:rPr>
                <w:rFonts w:ascii="Arial Narrow" w:hAnsi="Arial Narrow" w:cs="Arial"/>
                <w:b/>
                <w:snapToGrid w:val="0"/>
                <w:sz w:val="20"/>
                <w:szCs w:val="20"/>
                <w:lang w:eastAsia="en-US"/>
              </w:rPr>
              <w:t>Publication citation</w:t>
            </w:r>
          </w:p>
        </w:tc>
      </w:tr>
      <w:tr w:rsidR="00CA29D1" w:rsidRPr="00E573DC" w:rsidTr="00523903">
        <w:trPr>
          <w:cantSplit/>
        </w:trPr>
        <w:tc>
          <w:tcPr>
            <w:tcW w:w="8070" w:type="dxa"/>
            <w:gridSpan w:val="3"/>
            <w:tcBorders>
              <w:bottom w:val="single" w:sz="4" w:space="0" w:color="auto"/>
            </w:tcBorders>
          </w:tcPr>
          <w:p w:rsidR="00CA29D1" w:rsidRPr="00E573DC" w:rsidRDefault="00CA29D1" w:rsidP="000147BD">
            <w:pPr>
              <w:keepNext/>
              <w:widowControl w:val="0"/>
              <w:rPr>
                <w:rFonts w:ascii="Arial Narrow" w:hAnsi="Arial Narrow" w:cs="Arial"/>
                <w:b/>
                <w:snapToGrid w:val="0"/>
                <w:sz w:val="20"/>
                <w:szCs w:val="20"/>
                <w:lang w:eastAsia="en-US"/>
              </w:rPr>
            </w:pPr>
            <w:r w:rsidRPr="00E573DC">
              <w:rPr>
                <w:rFonts w:ascii="Arial Narrow" w:hAnsi="Arial Narrow" w:cs="Arial"/>
                <w:b/>
                <w:snapToGrid w:val="0"/>
                <w:sz w:val="20"/>
                <w:szCs w:val="20"/>
                <w:lang w:eastAsia="en-US"/>
              </w:rPr>
              <w:t xml:space="preserve">Direct randomised trial - </w:t>
            </w:r>
            <w:proofErr w:type="spellStart"/>
            <w:r w:rsidRPr="00E573DC">
              <w:rPr>
                <w:rFonts w:ascii="Arial Narrow" w:hAnsi="Arial Narrow" w:cs="Arial"/>
                <w:b/>
                <w:snapToGrid w:val="0"/>
                <w:sz w:val="20"/>
                <w:szCs w:val="20"/>
                <w:lang w:eastAsia="en-US"/>
              </w:rPr>
              <w:t>Vedolizumab</w:t>
            </w:r>
            <w:proofErr w:type="spellEnd"/>
          </w:p>
        </w:tc>
      </w:tr>
      <w:tr w:rsidR="00CA29D1" w:rsidRPr="00E573DC" w:rsidTr="00523903">
        <w:trPr>
          <w:cantSplit/>
          <w:trHeight w:val="954"/>
        </w:trPr>
        <w:tc>
          <w:tcPr>
            <w:tcW w:w="849" w:type="dxa"/>
            <w:tcBorders>
              <w:bottom w:val="nil"/>
            </w:tcBorders>
          </w:tcPr>
          <w:p w:rsidR="00CA29D1" w:rsidRPr="00E573DC" w:rsidRDefault="00CA29D1" w:rsidP="000147BD">
            <w:pPr>
              <w:keepNext/>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GEMINI I</w:t>
            </w:r>
          </w:p>
        </w:tc>
        <w:tc>
          <w:tcPr>
            <w:tcW w:w="0" w:type="auto"/>
            <w:tcBorders>
              <w:bottom w:val="nil"/>
            </w:tcBorders>
          </w:tcPr>
          <w:p w:rsidR="00CA29D1" w:rsidRPr="00E573DC" w:rsidRDefault="00CA29D1" w:rsidP="00CA29D1">
            <w:pPr>
              <w:keepNext/>
              <w:widowControl w:val="0"/>
              <w:jc w:val="both"/>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A Phase 3, Randomized, Placebo-Controlled, Blinded, </w:t>
            </w:r>
            <w:proofErr w:type="spellStart"/>
            <w:r w:rsidRPr="00E573DC">
              <w:rPr>
                <w:rFonts w:ascii="Arial Narrow" w:hAnsi="Arial Narrow" w:cs="Arial"/>
                <w:snapToGrid w:val="0"/>
                <w:sz w:val="20"/>
                <w:szCs w:val="20"/>
                <w:lang w:eastAsia="en-US"/>
              </w:rPr>
              <w:t>Multicenter</w:t>
            </w:r>
            <w:proofErr w:type="spellEnd"/>
            <w:r w:rsidRPr="00E573DC">
              <w:rPr>
                <w:rFonts w:ascii="Arial Narrow" w:hAnsi="Arial Narrow" w:cs="Arial"/>
                <w:snapToGrid w:val="0"/>
                <w:sz w:val="20"/>
                <w:szCs w:val="20"/>
                <w:lang w:eastAsia="en-US"/>
              </w:rPr>
              <w:t xml:space="preserve"> Study of the Induction and Maintenance of Clinical Response and Remission by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(MLN0002) in Patients with Moderate to Severe Ulcerative Colitis</w:t>
            </w:r>
          </w:p>
          <w:p w:rsidR="00CA29D1" w:rsidRPr="00E573DC" w:rsidRDefault="00CA29D1" w:rsidP="00CA29D1">
            <w:pPr>
              <w:keepNext/>
              <w:widowControl w:val="0"/>
              <w:jc w:val="both"/>
              <w:rPr>
                <w:rFonts w:ascii="Arial Narrow" w:hAnsi="Arial Narrow" w:cs="Arial"/>
                <w:snapToGrid w:val="0"/>
                <w:sz w:val="20"/>
                <w:szCs w:val="20"/>
                <w:lang w:eastAsia="en-US"/>
              </w:rPr>
            </w:pPr>
          </w:p>
        </w:tc>
        <w:tc>
          <w:tcPr>
            <w:tcW w:w="0" w:type="auto"/>
            <w:tcBorders>
              <w:bottom w:val="nil"/>
            </w:tcBorders>
          </w:tcPr>
          <w:p w:rsidR="00CA29D1" w:rsidRPr="00E573DC" w:rsidRDefault="00CA29D1" w:rsidP="000147BD">
            <w:pPr>
              <w:keepNext/>
              <w:widowControl w:val="0"/>
              <w:jc w:val="both"/>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2012</w:t>
            </w:r>
          </w:p>
          <w:p w:rsidR="00CA29D1" w:rsidRPr="00E573DC" w:rsidRDefault="00CA29D1" w:rsidP="000147BD">
            <w:pPr>
              <w:keepNext/>
              <w:widowControl w:val="0"/>
              <w:jc w:val="both"/>
              <w:rPr>
                <w:rFonts w:ascii="Arial Narrow" w:hAnsi="Arial Narrow" w:cs="Arial"/>
                <w:b/>
                <w:snapToGrid w:val="0"/>
                <w:sz w:val="20"/>
                <w:szCs w:val="20"/>
                <w:lang w:eastAsia="en-US"/>
              </w:rPr>
            </w:pPr>
          </w:p>
        </w:tc>
      </w:tr>
      <w:tr w:rsidR="00CA29D1" w:rsidRPr="00E573DC" w:rsidTr="00523903">
        <w:trPr>
          <w:cantSplit/>
        </w:trPr>
        <w:tc>
          <w:tcPr>
            <w:tcW w:w="849" w:type="dxa"/>
            <w:tcBorders>
              <w:top w:val="nil"/>
            </w:tcBorders>
          </w:tcPr>
          <w:p w:rsidR="00CA29D1" w:rsidRPr="00E573DC" w:rsidRDefault="00CA29D1" w:rsidP="000147BD">
            <w:pPr>
              <w:keepNext/>
              <w:widowControl w:val="0"/>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Feagan</w:t>
            </w:r>
            <w:proofErr w:type="spellEnd"/>
            <w:r w:rsidRPr="00E573DC">
              <w:rPr>
                <w:rFonts w:ascii="Arial Narrow" w:hAnsi="Arial Narrow" w:cs="Arial"/>
                <w:snapToGrid w:val="0"/>
                <w:sz w:val="20"/>
                <w:szCs w:val="20"/>
                <w:lang w:eastAsia="en-US"/>
              </w:rPr>
              <w:t>, B. G.</w:t>
            </w:r>
          </w:p>
        </w:tc>
        <w:tc>
          <w:tcPr>
            <w:tcW w:w="0" w:type="auto"/>
            <w:tcBorders>
              <w:top w:val="nil"/>
            </w:tcBorders>
          </w:tcPr>
          <w:p w:rsidR="00CA29D1" w:rsidRPr="00E573DC" w:rsidRDefault="00CA29D1" w:rsidP="000147BD">
            <w:pPr>
              <w:keepNext/>
              <w:widowControl w:val="0"/>
              <w:jc w:val="both"/>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as induction and maintenance therapy for ulcerative colitis.</w:t>
            </w:r>
          </w:p>
        </w:tc>
        <w:tc>
          <w:tcPr>
            <w:tcW w:w="0" w:type="auto"/>
            <w:tcBorders>
              <w:top w:val="nil"/>
            </w:tcBorders>
          </w:tcPr>
          <w:p w:rsidR="00CA29D1" w:rsidRPr="00E573DC" w:rsidRDefault="00CA29D1" w:rsidP="000147BD">
            <w:pPr>
              <w:keepNext/>
              <w:widowControl w:val="0"/>
              <w:jc w:val="both"/>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NEJM 2013; 369 (8): 699-710</w:t>
            </w:r>
          </w:p>
        </w:tc>
      </w:tr>
      <w:tr w:rsidR="00CA29D1" w:rsidRPr="00E573DC" w:rsidTr="00E77361">
        <w:trPr>
          <w:cantSplit/>
        </w:trPr>
        <w:tc>
          <w:tcPr>
            <w:tcW w:w="8070" w:type="dxa"/>
            <w:gridSpan w:val="3"/>
          </w:tcPr>
          <w:p w:rsidR="00CA29D1" w:rsidRPr="00E573DC" w:rsidRDefault="00CA29D1" w:rsidP="000147BD">
            <w:pPr>
              <w:widowControl w:val="0"/>
              <w:rPr>
                <w:rFonts w:ascii="Arial Narrow" w:hAnsi="Arial Narrow" w:cs="Arial"/>
                <w:b/>
                <w:snapToGrid w:val="0"/>
                <w:sz w:val="20"/>
                <w:szCs w:val="20"/>
                <w:lang w:eastAsia="en-US"/>
              </w:rPr>
            </w:pPr>
            <w:r w:rsidRPr="00E573DC">
              <w:rPr>
                <w:rFonts w:ascii="Arial Narrow" w:hAnsi="Arial Narrow" w:cs="Arial"/>
                <w:b/>
                <w:snapToGrid w:val="0"/>
                <w:sz w:val="20"/>
                <w:szCs w:val="20"/>
                <w:lang w:eastAsia="en-US"/>
              </w:rPr>
              <w:t xml:space="preserve">Randomised trials - </w:t>
            </w:r>
            <w:proofErr w:type="spellStart"/>
            <w:r w:rsidRPr="00E573DC">
              <w:rPr>
                <w:rFonts w:ascii="Arial Narrow" w:hAnsi="Arial Narrow" w:cs="Arial"/>
                <w:b/>
                <w:snapToGrid w:val="0"/>
                <w:sz w:val="20"/>
                <w:szCs w:val="20"/>
                <w:lang w:eastAsia="en-US"/>
              </w:rPr>
              <w:t>adalimumab</w:t>
            </w:r>
            <w:proofErr w:type="spellEnd"/>
          </w:p>
        </w:tc>
      </w:tr>
      <w:tr w:rsidR="00CA29D1" w:rsidRPr="00E573DC" w:rsidTr="00CA29D1">
        <w:trPr>
          <w:cantSplit/>
        </w:trPr>
        <w:tc>
          <w:tcPr>
            <w:tcW w:w="849" w:type="dxa"/>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ULTRA 1</w:t>
            </w:r>
          </w:p>
        </w:tc>
        <w:tc>
          <w:tcPr>
            <w:tcW w:w="0" w:type="auto"/>
          </w:tcPr>
          <w:p w:rsidR="00CA29D1" w:rsidRPr="00E573DC" w:rsidRDefault="00CA29D1" w:rsidP="000147BD">
            <w:pPr>
              <w:tabs>
                <w:tab w:val="left" w:pos="416"/>
                <w:tab w:val="left" w:pos="582"/>
              </w:tabs>
              <w:contextualSpacing/>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Reinisch</w:t>
            </w:r>
            <w:proofErr w:type="spellEnd"/>
            <w:r w:rsidRPr="00E573DC">
              <w:rPr>
                <w:rFonts w:ascii="Arial Narrow" w:hAnsi="Arial Narrow" w:cs="Arial"/>
                <w:snapToGrid w:val="0"/>
                <w:sz w:val="20"/>
                <w:szCs w:val="20"/>
                <w:lang w:eastAsia="en-US"/>
              </w:rPr>
              <w:t xml:space="preserve">, W., </w:t>
            </w:r>
            <w:proofErr w:type="spellStart"/>
            <w:r w:rsidRPr="00E573DC">
              <w:rPr>
                <w:rFonts w:ascii="Arial Narrow" w:hAnsi="Arial Narrow" w:cs="Arial"/>
                <w:snapToGrid w:val="0"/>
                <w:sz w:val="20"/>
                <w:szCs w:val="20"/>
                <w:lang w:eastAsia="en-US"/>
              </w:rPr>
              <w:t>Sandborn</w:t>
            </w:r>
            <w:proofErr w:type="spellEnd"/>
            <w:r w:rsidRPr="00E573DC">
              <w:rPr>
                <w:rFonts w:ascii="Arial Narrow" w:hAnsi="Arial Narrow" w:cs="Arial"/>
                <w:snapToGrid w:val="0"/>
                <w:sz w:val="20"/>
                <w:szCs w:val="20"/>
                <w:lang w:eastAsia="en-US"/>
              </w:rPr>
              <w:t xml:space="preserve">, W. J., </w:t>
            </w:r>
            <w:proofErr w:type="spellStart"/>
            <w:r w:rsidRPr="00E573DC">
              <w:rPr>
                <w:rFonts w:ascii="Arial Narrow" w:hAnsi="Arial Narrow" w:cs="Arial"/>
                <w:snapToGrid w:val="0"/>
                <w:sz w:val="20"/>
                <w:szCs w:val="20"/>
                <w:lang w:eastAsia="en-US"/>
              </w:rPr>
              <w:t>Hommes</w:t>
            </w:r>
            <w:proofErr w:type="spellEnd"/>
            <w:r w:rsidRPr="00E573DC">
              <w:rPr>
                <w:rFonts w:ascii="Arial Narrow" w:hAnsi="Arial Narrow" w:cs="Arial"/>
                <w:snapToGrid w:val="0"/>
                <w:sz w:val="20"/>
                <w:szCs w:val="20"/>
                <w:lang w:eastAsia="en-US"/>
              </w:rPr>
              <w:t xml:space="preserve">, D. W.,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w:t>
            </w:r>
            <w:proofErr w:type="spellStart"/>
            <w:r w:rsidRPr="00E573DC">
              <w:rPr>
                <w:rFonts w:ascii="Arial Narrow" w:hAnsi="Arial Narrow" w:cs="Arial"/>
                <w:snapToGrid w:val="0"/>
                <w:sz w:val="20"/>
                <w:szCs w:val="20"/>
                <w:lang w:eastAsia="en-US"/>
              </w:rPr>
              <w:t>Adalimumab</w:t>
            </w:r>
            <w:proofErr w:type="spellEnd"/>
            <w:r w:rsidRPr="00E573DC">
              <w:rPr>
                <w:rFonts w:ascii="Arial Narrow" w:hAnsi="Arial Narrow" w:cs="Arial"/>
                <w:snapToGrid w:val="0"/>
                <w:sz w:val="20"/>
                <w:szCs w:val="20"/>
                <w:lang w:eastAsia="en-US"/>
              </w:rPr>
              <w:t xml:space="preserve"> for induction of clinical remission in moderately to severely active ulcerative colitis: Results of a randomised controlled trial. </w:t>
            </w:r>
          </w:p>
        </w:tc>
        <w:tc>
          <w:tcPr>
            <w:tcW w:w="0" w:type="auto"/>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Gut 2011; 60 (6): 780-787</w:t>
            </w:r>
          </w:p>
        </w:tc>
      </w:tr>
      <w:tr w:rsidR="00CA29D1" w:rsidRPr="00E573DC" w:rsidTr="00CA29D1">
        <w:trPr>
          <w:cantSplit/>
        </w:trPr>
        <w:tc>
          <w:tcPr>
            <w:tcW w:w="849" w:type="dxa"/>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ULTRA 2</w:t>
            </w:r>
          </w:p>
        </w:tc>
        <w:tc>
          <w:tcPr>
            <w:tcW w:w="0" w:type="auto"/>
          </w:tcPr>
          <w:p w:rsidR="00CA29D1" w:rsidRPr="00E573DC" w:rsidRDefault="00CA29D1" w:rsidP="000147BD">
            <w:pPr>
              <w:tabs>
                <w:tab w:val="left" w:pos="416"/>
                <w:tab w:val="left" w:pos="582"/>
              </w:tabs>
              <w:contextualSpacing/>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Sandborn</w:t>
            </w:r>
            <w:proofErr w:type="spellEnd"/>
            <w:r w:rsidRPr="00E573DC">
              <w:rPr>
                <w:rFonts w:ascii="Arial Narrow" w:hAnsi="Arial Narrow" w:cs="Arial"/>
                <w:snapToGrid w:val="0"/>
                <w:sz w:val="20"/>
                <w:szCs w:val="20"/>
                <w:lang w:eastAsia="en-US"/>
              </w:rPr>
              <w:t xml:space="preserve">, W. J., Van </w:t>
            </w:r>
            <w:proofErr w:type="spellStart"/>
            <w:r w:rsidRPr="00E573DC">
              <w:rPr>
                <w:rFonts w:ascii="Arial Narrow" w:hAnsi="Arial Narrow" w:cs="Arial"/>
                <w:snapToGrid w:val="0"/>
                <w:sz w:val="20"/>
                <w:szCs w:val="20"/>
                <w:lang w:eastAsia="en-US"/>
              </w:rPr>
              <w:t>Assche</w:t>
            </w:r>
            <w:proofErr w:type="spellEnd"/>
            <w:r w:rsidRPr="00E573DC">
              <w:rPr>
                <w:rFonts w:ascii="Arial Narrow" w:hAnsi="Arial Narrow" w:cs="Arial"/>
                <w:snapToGrid w:val="0"/>
                <w:sz w:val="20"/>
                <w:szCs w:val="20"/>
                <w:lang w:eastAsia="en-US"/>
              </w:rPr>
              <w:t xml:space="preserve">, G., </w:t>
            </w:r>
            <w:proofErr w:type="spellStart"/>
            <w:r w:rsidRPr="00E573DC">
              <w:rPr>
                <w:rFonts w:ascii="Arial Narrow" w:hAnsi="Arial Narrow" w:cs="Arial"/>
                <w:snapToGrid w:val="0"/>
                <w:sz w:val="20"/>
                <w:szCs w:val="20"/>
                <w:lang w:eastAsia="en-US"/>
              </w:rPr>
              <w:t>Reinisch</w:t>
            </w:r>
            <w:proofErr w:type="spellEnd"/>
            <w:r w:rsidRPr="00E573DC">
              <w:rPr>
                <w:rFonts w:ascii="Arial Narrow" w:hAnsi="Arial Narrow" w:cs="Arial"/>
                <w:snapToGrid w:val="0"/>
                <w:sz w:val="20"/>
                <w:szCs w:val="20"/>
                <w:lang w:eastAsia="en-US"/>
              </w:rPr>
              <w:t xml:space="preserve">, W.,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w:t>
            </w:r>
            <w:proofErr w:type="spellStart"/>
            <w:r w:rsidRPr="00E573DC">
              <w:rPr>
                <w:rFonts w:ascii="Arial Narrow" w:hAnsi="Arial Narrow" w:cs="Arial"/>
                <w:snapToGrid w:val="0"/>
                <w:sz w:val="20"/>
                <w:szCs w:val="20"/>
                <w:lang w:eastAsia="en-US"/>
              </w:rPr>
              <w:t>Adalimumab</w:t>
            </w:r>
            <w:proofErr w:type="spellEnd"/>
            <w:r w:rsidRPr="00E573DC">
              <w:rPr>
                <w:rFonts w:ascii="Arial Narrow" w:hAnsi="Arial Narrow" w:cs="Arial"/>
                <w:snapToGrid w:val="0"/>
                <w:sz w:val="20"/>
                <w:szCs w:val="20"/>
                <w:lang w:eastAsia="en-US"/>
              </w:rPr>
              <w:t xml:space="preserve"> induces and maintains clinical remission in patients with moderate-to-severe ulcerative colitis </w:t>
            </w:r>
          </w:p>
        </w:tc>
        <w:tc>
          <w:tcPr>
            <w:tcW w:w="0" w:type="auto"/>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Gastroenterology 2012; 142 (2): 257-265</w:t>
            </w:r>
          </w:p>
        </w:tc>
      </w:tr>
      <w:tr w:rsidR="00CA29D1" w:rsidRPr="00E573DC" w:rsidTr="00CA29D1">
        <w:trPr>
          <w:cantSplit/>
        </w:trPr>
        <w:tc>
          <w:tcPr>
            <w:tcW w:w="849" w:type="dxa"/>
          </w:tcPr>
          <w:p w:rsidR="00CA29D1" w:rsidRPr="00E573DC" w:rsidRDefault="00CA29D1" w:rsidP="000147BD">
            <w:pPr>
              <w:widowControl w:val="0"/>
              <w:rPr>
                <w:rFonts w:ascii="Arial Narrow" w:hAnsi="Arial Narrow" w:cs="Arial"/>
                <w:i/>
                <w:snapToGrid w:val="0"/>
                <w:sz w:val="20"/>
                <w:szCs w:val="20"/>
                <w:lang w:eastAsia="en-US"/>
              </w:rPr>
            </w:pPr>
            <w:r w:rsidRPr="00E573DC">
              <w:rPr>
                <w:rFonts w:ascii="Arial Narrow" w:hAnsi="Arial Narrow" w:cs="Arial"/>
                <w:i/>
                <w:snapToGrid w:val="0"/>
                <w:sz w:val="20"/>
                <w:szCs w:val="20"/>
                <w:lang w:eastAsia="en-US"/>
              </w:rPr>
              <w:t>Suzuki</w:t>
            </w:r>
          </w:p>
        </w:tc>
        <w:tc>
          <w:tcPr>
            <w:tcW w:w="0" w:type="auto"/>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A Multi-Centre, Randomized, Double-Blind, Placebo-controlled Study of </w:t>
            </w:r>
            <w:proofErr w:type="spellStart"/>
            <w:r w:rsidRPr="00E573DC">
              <w:rPr>
                <w:rFonts w:ascii="Arial Narrow" w:hAnsi="Arial Narrow" w:cs="Arial"/>
                <w:snapToGrid w:val="0"/>
                <w:sz w:val="20"/>
                <w:szCs w:val="20"/>
                <w:lang w:eastAsia="en-US"/>
              </w:rPr>
              <w:t>Adalimumab</w:t>
            </w:r>
            <w:proofErr w:type="spellEnd"/>
            <w:r w:rsidRPr="00E573DC">
              <w:rPr>
                <w:rFonts w:ascii="Arial Narrow" w:hAnsi="Arial Narrow" w:cs="Arial"/>
                <w:snapToGrid w:val="0"/>
                <w:sz w:val="20"/>
                <w:szCs w:val="20"/>
                <w:lang w:eastAsia="en-US"/>
              </w:rPr>
              <w:t xml:space="preserve"> in Japanese Subjects With Moderately to Severely Active Ulcerative Colitis. NCT00853099</w:t>
            </w: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b/>
                <w:i/>
                <w:snapToGrid w:val="0"/>
                <w:sz w:val="20"/>
                <w:szCs w:val="20"/>
                <w:lang w:eastAsia="en-US"/>
              </w:rPr>
            </w:pPr>
            <w:r w:rsidRPr="00E573DC">
              <w:rPr>
                <w:rFonts w:ascii="Arial Narrow" w:hAnsi="Arial Narrow" w:cs="Arial"/>
                <w:i/>
                <w:snapToGrid w:val="0"/>
                <w:sz w:val="20"/>
                <w:szCs w:val="20"/>
                <w:lang w:eastAsia="en-US"/>
              </w:rPr>
              <w:t xml:space="preserve">Suzuki Y, </w:t>
            </w:r>
            <w:proofErr w:type="spellStart"/>
            <w:r w:rsidRPr="00E573DC">
              <w:rPr>
                <w:rFonts w:ascii="Arial Narrow" w:hAnsi="Arial Narrow" w:cs="Arial"/>
                <w:i/>
                <w:snapToGrid w:val="0"/>
                <w:sz w:val="20"/>
                <w:szCs w:val="20"/>
                <w:lang w:eastAsia="en-US"/>
              </w:rPr>
              <w:t>Motoya</w:t>
            </w:r>
            <w:proofErr w:type="spellEnd"/>
            <w:r w:rsidRPr="00E573DC">
              <w:rPr>
                <w:rFonts w:ascii="Arial Narrow" w:hAnsi="Arial Narrow" w:cs="Arial"/>
                <w:i/>
                <w:snapToGrid w:val="0"/>
                <w:sz w:val="20"/>
                <w:szCs w:val="20"/>
                <w:lang w:eastAsia="en-US"/>
              </w:rPr>
              <w:t xml:space="preserve"> S, </w:t>
            </w:r>
            <w:proofErr w:type="spellStart"/>
            <w:r w:rsidRPr="00E573DC">
              <w:rPr>
                <w:rFonts w:ascii="Arial Narrow" w:hAnsi="Arial Narrow" w:cs="Arial"/>
                <w:i/>
                <w:snapToGrid w:val="0"/>
                <w:sz w:val="20"/>
                <w:szCs w:val="20"/>
                <w:lang w:eastAsia="en-US"/>
              </w:rPr>
              <w:t>Hanai</w:t>
            </w:r>
            <w:proofErr w:type="spellEnd"/>
            <w:r w:rsidRPr="00E573DC">
              <w:rPr>
                <w:rFonts w:ascii="Arial Narrow" w:hAnsi="Arial Narrow" w:cs="Arial"/>
                <w:i/>
                <w:snapToGrid w:val="0"/>
                <w:sz w:val="20"/>
                <w:szCs w:val="20"/>
                <w:lang w:eastAsia="en-US"/>
              </w:rPr>
              <w:t xml:space="preserve"> H, et al.</w:t>
            </w:r>
            <w:r w:rsidRPr="00E573DC">
              <w:rPr>
                <w:rFonts w:ascii="Arial" w:hAnsi="Arial" w:cs="Arial"/>
                <w:i/>
                <w:snapToGrid w:val="0"/>
                <w:sz w:val="22"/>
                <w:szCs w:val="20"/>
                <w:lang w:eastAsia="en-US"/>
              </w:rPr>
              <w:t xml:space="preserve"> </w:t>
            </w:r>
            <w:r w:rsidRPr="00E573DC">
              <w:rPr>
                <w:rFonts w:ascii="Arial Narrow" w:hAnsi="Arial Narrow" w:cs="Arial"/>
                <w:i/>
                <w:snapToGrid w:val="0"/>
                <w:sz w:val="20"/>
                <w:szCs w:val="20"/>
                <w:lang w:eastAsia="en-US"/>
              </w:rPr>
              <w:t xml:space="preserve">Efficacy and safety of </w:t>
            </w:r>
            <w:proofErr w:type="spellStart"/>
            <w:r w:rsidRPr="00E573DC">
              <w:rPr>
                <w:rFonts w:ascii="Arial Narrow" w:hAnsi="Arial Narrow" w:cs="Arial"/>
                <w:i/>
                <w:snapToGrid w:val="0"/>
                <w:sz w:val="20"/>
                <w:szCs w:val="20"/>
                <w:lang w:eastAsia="en-US"/>
              </w:rPr>
              <w:t>adalimumab</w:t>
            </w:r>
            <w:proofErr w:type="spellEnd"/>
            <w:r w:rsidRPr="00E573DC">
              <w:rPr>
                <w:rFonts w:ascii="Arial Narrow" w:hAnsi="Arial Narrow" w:cs="Arial"/>
                <w:i/>
                <w:snapToGrid w:val="0"/>
                <w:sz w:val="20"/>
                <w:szCs w:val="20"/>
                <w:lang w:eastAsia="en-US"/>
              </w:rPr>
              <w:t xml:space="preserve"> in Japanese patients with moderately to severely active ulcerative colitis.</w:t>
            </w:r>
          </w:p>
        </w:tc>
        <w:tc>
          <w:tcPr>
            <w:tcW w:w="0" w:type="auto"/>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Study results from US NIH ClinicalTrials.gov. </w:t>
            </w: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i/>
                <w:snapToGrid w:val="0"/>
                <w:sz w:val="20"/>
                <w:szCs w:val="20"/>
                <w:lang w:eastAsia="en-US"/>
              </w:rPr>
            </w:pPr>
            <w:r w:rsidRPr="00E573DC">
              <w:rPr>
                <w:rFonts w:ascii="Arial Narrow" w:hAnsi="Arial Narrow" w:cs="Arial"/>
                <w:i/>
                <w:snapToGrid w:val="0"/>
                <w:sz w:val="20"/>
                <w:szCs w:val="20"/>
                <w:lang w:eastAsia="en-US"/>
              </w:rPr>
              <w:t xml:space="preserve">J </w:t>
            </w:r>
            <w:proofErr w:type="spellStart"/>
            <w:r w:rsidRPr="00E573DC">
              <w:rPr>
                <w:rFonts w:ascii="Arial Narrow" w:hAnsi="Arial Narrow" w:cs="Arial"/>
                <w:i/>
                <w:snapToGrid w:val="0"/>
                <w:sz w:val="20"/>
                <w:szCs w:val="20"/>
                <w:lang w:eastAsia="en-US"/>
              </w:rPr>
              <w:t>Gastroenterol</w:t>
            </w:r>
            <w:proofErr w:type="spellEnd"/>
            <w:r w:rsidRPr="00E573DC">
              <w:rPr>
                <w:rFonts w:ascii="Arial Narrow" w:hAnsi="Arial Narrow" w:cs="Arial"/>
                <w:i/>
                <w:snapToGrid w:val="0"/>
                <w:sz w:val="20"/>
                <w:szCs w:val="20"/>
                <w:lang w:eastAsia="en-US"/>
              </w:rPr>
              <w:t>. 2014</w:t>
            </w:r>
            <w:proofErr w:type="gramStart"/>
            <w:r w:rsidRPr="00E573DC">
              <w:rPr>
                <w:rFonts w:ascii="Arial Narrow" w:hAnsi="Arial Narrow" w:cs="Arial"/>
                <w:i/>
                <w:snapToGrid w:val="0"/>
                <w:sz w:val="20"/>
                <w:szCs w:val="20"/>
                <w:lang w:eastAsia="en-US"/>
              </w:rPr>
              <w:t>;49</w:t>
            </w:r>
            <w:proofErr w:type="gramEnd"/>
            <w:r w:rsidRPr="00E573DC">
              <w:rPr>
                <w:rFonts w:ascii="Arial Narrow" w:hAnsi="Arial Narrow" w:cs="Arial"/>
                <w:i/>
                <w:snapToGrid w:val="0"/>
                <w:sz w:val="20"/>
                <w:szCs w:val="20"/>
                <w:lang w:eastAsia="en-US"/>
              </w:rPr>
              <w:t xml:space="preserve">(2):283-94. </w:t>
            </w:r>
          </w:p>
        </w:tc>
      </w:tr>
      <w:tr w:rsidR="00CA29D1" w:rsidRPr="00E573DC" w:rsidTr="00E77361">
        <w:trPr>
          <w:cantSplit/>
        </w:trPr>
        <w:tc>
          <w:tcPr>
            <w:tcW w:w="8070" w:type="dxa"/>
            <w:gridSpan w:val="3"/>
          </w:tcPr>
          <w:p w:rsidR="00CA29D1" w:rsidRPr="00E573DC" w:rsidRDefault="00CA29D1" w:rsidP="000147BD">
            <w:pPr>
              <w:widowControl w:val="0"/>
              <w:rPr>
                <w:rFonts w:ascii="Arial Narrow" w:hAnsi="Arial Narrow" w:cs="Arial"/>
                <w:b/>
                <w:snapToGrid w:val="0"/>
                <w:sz w:val="20"/>
                <w:szCs w:val="20"/>
                <w:lang w:eastAsia="en-US"/>
              </w:rPr>
            </w:pPr>
            <w:r w:rsidRPr="00E573DC">
              <w:rPr>
                <w:rFonts w:ascii="Arial Narrow" w:hAnsi="Arial Narrow" w:cs="Arial"/>
                <w:b/>
                <w:snapToGrid w:val="0"/>
                <w:sz w:val="20"/>
                <w:szCs w:val="20"/>
                <w:lang w:eastAsia="en-US"/>
              </w:rPr>
              <w:t xml:space="preserve">Randomised trials – infliximab </w:t>
            </w:r>
          </w:p>
        </w:tc>
      </w:tr>
      <w:tr w:rsidR="00CA29D1" w:rsidRPr="00E573DC" w:rsidTr="00CA29D1">
        <w:trPr>
          <w:cantSplit/>
        </w:trPr>
        <w:tc>
          <w:tcPr>
            <w:tcW w:w="849" w:type="dxa"/>
          </w:tcPr>
          <w:p w:rsidR="00CA29D1" w:rsidRPr="00E573DC" w:rsidRDefault="00CA29D1" w:rsidP="000147BD">
            <w:pPr>
              <w:widowControl w:val="0"/>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Probert</w:t>
            </w:r>
            <w:proofErr w:type="spellEnd"/>
            <w:r w:rsidRPr="00E573DC">
              <w:rPr>
                <w:rFonts w:ascii="Arial Narrow" w:hAnsi="Arial Narrow" w:cs="Arial"/>
                <w:snapToGrid w:val="0"/>
                <w:sz w:val="20"/>
                <w:szCs w:val="20"/>
                <w:lang w:eastAsia="en-US"/>
              </w:rPr>
              <w:t xml:space="preserve"> </w:t>
            </w:r>
          </w:p>
        </w:tc>
        <w:tc>
          <w:tcPr>
            <w:tcW w:w="0" w:type="auto"/>
          </w:tcPr>
          <w:p w:rsidR="00CA29D1" w:rsidRPr="00E573DC" w:rsidRDefault="00CA29D1" w:rsidP="000147BD">
            <w:pPr>
              <w:widowControl w:val="0"/>
              <w:rPr>
                <w:rFonts w:ascii="Arial Narrow" w:hAnsi="Arial Narrow" w:cs="Arial"/>
                <w:b/>
                <w:snapToGrid w:val="0"/>
                <w:sz w:val="20"/>
                <w:szCs w:val="20"/>
                <w:lang w:eastAsia="en-US"/>
              </w:rPr>
            </w:pPr>
            <w:proofErr w:type="spellStart"/>
            <w:r w:rsidRPr="00E573DC">
              <w:rPr>
                <w:rFonts w:ascii="Arial Narrow" w:hAnsi="Arial Narrow" w:cs="Arial"/>
                <w:snapToGrid w:val="0"/>
                <w:sz w:val="20"/>
                <w:szCs w:val="20"/>
                <w:lang w:eastAsia="en-US"/>
              </w:rPr>
              <w:t>Probert</w:t>
            </w:r>
            <w:proofErr w:type="spellEnd"/>
            <w:r w:rsidRPr="00E573DC">
              <w:rPr>
                <w:rFonts w:ascii="Arial Narrow" w:hAnsi="Arial Narrow" w:cs="Arial"/>
                <w:snapToGrid w:val="0"/>
                <w:sz w:val="20"/>
                <w:szCs w:val="20"/>
                <w:lang w:eastAsia="en-US"/>
              </w:rPr>
              <w:t xml:space="preserve">, C. S. J., Hearing, S. D., Schreiber, S.,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Infliximab in moderately severe glucocorticoid resistant ulcerative colitis: A randomised controlled trial. </w:t>
            </w:r>
          </w:p>
        </w:tc>
        <w:tc>
          <w:tcPr>
            <w:tcW w:w="0" w:type="auto"/>
          </w:tcPr>
          <w:p w:rsidR="00CA29D1" w:rsidRPr="00E573DC" w:rsidRDefault="00CA29D1" w:rsidP="000147BD">
            <w:pPr>
              <w:widowControl w:val="0"/>
              <w:rPr>
                <w:rFonts w:ascii="Arial Narrow" w:hAnsi="Arial Narrow" w:cs="Arial"/>
                <w:b/>
                <w:snapToGrid w:val="0"/>
                <w:sz w:val="20"/>
                <w:szCs w:val="20"/>
                <w:lang w:eastAsia="en-US"/>
              </w:rPr>
            </w:pPr>
            <w:r w:rsidRPr="00E573DC">
              <w:rPr>
                <w:rFonts w:ascii="Arial Narrow" w:hAnsi="Arial Narrow" w:cs="Arial"/>
                <w:snapToGrid w:val="0"/>
                <w:sz w:val="20"/>
                <w:szCs w:val="20"/>
                <w:lang w:eastAsia="en-US"/>
              </w:rPr>
              <w:t>Gut 2003; 52 (7): 998-1002</w:t>
            </w:r>
          </w:p>
        </w:tc>
      </w:tr>
      <w:tr w:rsidR="00CA29D1" w:rsidRPr="00E573DC" w:rsidTr="00CA29D1">
        <w:trPr>
          <w:cantSplit/>
        </w:trPr>
        <w:tc>
          <w:tcPr>
            <w:tcW w:w="849" w:type="dxa"/>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ACT 1/ACT 2</w:t>
            </w:r>
          </w:p>
        </w:tc>
        <w:tc>
          <w:tcPr>
            <w:tcW w:w="0" w:type="auto"/>
          </w:tcPr>
          <w:p w:rsidR="00CA29D1" w:rsidRPr="00E573DC" w:rsidRDefault="00CA29D1" w:rsidP="000147BD">
            <w:pPr>
              <w:contextualSpacing/>
              <w:rPr>
                <w:rFonts w:ascii="Arial Narrow" w:hAnsi="Arial Narrow" w:cs="Arial"/>
                <w:b/>
                <w:snapToGrid w:val="0"/>
                <w:sz w:val="20"/>
                <w:szCs w:val="20"/>
                <w:lang w:eastAsia="en-US"/>
              </w:rPr>
            </w:pPr>
            <w:proofErr w:type="spellStart"/>
            <w:r w:rsidRPr="00E573DC">
              <w:rPr>
                <w:rFonts w:ascii="Arial Narrow" w:hAnsi="Arial Narrow" w:cs="Arial"/>
                <w:snapToGrid w:val="0"/>
                <w:sz w:val="20"/>
                <w:szCs w:val="20"/>
                <w:lang w:eastAsia="en-US"/>
              </w:rPr>
              <w:t>Rutgeerts</w:t>
            </w:r>
            <w:proofErr w:type="spellEnd"/>
            <w:r w:rsidRPr="00E573DC">
              <w:rPr>
                <w:rFonts w:ascii="Arial Narrow" w:hAnsi="Arial Narrow" w:cs="Arial"/>
                <w:snapToGrid w:val="0"/>
                <w:sz w:val="20"/>
                <w:szCs w:val="20"/>
                <w:lang w:eastAsia="en-US"/>
              </w:rPr>
              <w:t xml:space="preserve">, P., </w:t>
            </w:r>
            <w:proofErr w:type="spellStart"/>
            <w:r w:rsidRPr="00E573DC">
              <w:rPr>
                <w:rFonts w:ascii="Arial Narrow" w:hAnsi="Arial Narrow" w:cs="Arial"/>
                <w:snapToGrid w:val="0"/>
                <w:sz w:val="20"/>
                <w:szCs w:val="20"/>
                <w:lang w:eastAsia="en-US"/>
              </w:rPr>
              <w:t>Sandborn</w:t>
            </w:r>
            <w:proofErr w:type="spellEnd"/>
            <w:r w:rsidRPr="00E573DC">
              <w:rPr>
                <w:rFonts w:ascii="Arial Narrow" w:hAnsi="Arial Narrow" w:cs="Arial"/>
                <w:snapToGrid w:val="0"/>
                <w:sz w:val="20"/>
                <w:szCs w:val="20"/>
                <w:lang w:eastAsia="en-US"/>
              </w:rPr>
              <w:t xml:space="preserve">, W. J., </w:t>
            </w:r>
            <w:proofErr w:type="spellStart"/>
            <w:r w:rsidRPr="00E573DC">
              <w:rPr>
                <w:rFonts w:ascii="Arial Narrow" w:hAnsi="Arial Narrow" w:cs="Arial"/>
                <w:snapToGrid w:val="0"/>
                <w:sz w:val="20"/>
                <w:szCs w:val="20"/>
                <w:lang w:eastAsia="en-US"/>
              </w:rPr>
              <w:t>Feagan</w:t>
            </w:r>
            <w:proofErr w:type="spellEnd"/>
            <w:r w:rsidRPr="00E573DC">
              <w:rPr>
                <w:rFonts w:ascii="Arial Narrow" w:hAnsi="Arial Narrow" w:cs="Arial"/>
                <w:snapToGrid w:val="0"/>
                <w:sz w:val="20"/>
                <w:szCs w:val="20"/>
                <w:lang w:eastAsia="en-US"/>
              </w:rPr>
              <w:t xml:space="preserve">, B. G.,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Infliximab for induction and maintenance therapy for ulcerative colitis </w:t>
            </w:r>
          </w:p>
        </w:tc>
        <w:tc>
          <w:tcPr>
            <w:tcW w:w="0" w:type="auto"/>
          </w:tcPr>
          <w:p w:rsidR="00CA29D1" w:rsidRPr="00E573DC" w:rsidRDefault="00CA29D1" w:rsidP="000147BD">
            <w:pPr>
              <w:widowControl w:val="0"/>
              <w:rPr>
                <w:rFonts w:ascii="Arial Narrow" w:hAnsi="Arial Narrow" w:cs="Arial"/>
                <w:b/>
                <w:snapToGrid w:val="0"/>
                <w:sz w:val="20"/>
                <w:szCs w:val="20"/>
                <w:lang w:eastAsia="en-US"/>
              </w:rPr>
            </w:pPr>
            <w:r w:rsidRPr="00E573DC">
              <w:rPr>
                <w:rFonts w:ascii="Arial Narrow" w:hAnsi="Arial Narrow" w:cs="Arial"/>
                <w:snapToGrid w:val="0"/>
                <w:sz w:val="20"/>
                <w:szCs w:val="20"/>
                <w:lang w:eastAsia="en-US"/>
              </w:rPr>
              <w:t>NEJM 2005; 353 (23): 2462-2476</w:t>
            </w:r>
          </w:p>
        </w:tc>
      </w:tr>
      <w:tr w:rsidR="00CA29D1" w:rsidRPr="00E573DC" w:rsidTr="00CA29D1">
        <w:trPr>
          <w:cantSplit/>
        </w:trPr>
        <w:tc>
          <w:tcPr>
            <w:tcW w:w="849" w:type="dxa"/>
          </w:tcPr>
          <w:p w:rsidR="00CA29D1" w:rsidRPr="00E573DC" w:rsidRDefault="00CA29D1" w:rsidP="000147BD">
            <w:pPr>
              <w:widowControl w:val="0"/>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Jarnerot</w:t>
            </w:r>
            <w:proofErr w:type="spellEnd"/>
          </w:p>
        </w:tc>
        <w:tc>
          <w:tcPr>
            <w:tcW w:w="0" w:type="auto"/>
          </w:tcPr>
          <w:p w:rsidR="00CA29D1" w:rsidRPr="00E573DC" w:rsidRDefault="00CA29D1" w:rsidP="000147BD">
            <w:pPr>
              <w:contextualSpacing/>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Jarnerot</w:t>
            </w:r>
            <w:proofErr w:type="spellEnd"/>
            <w:r w:rsidRPr="00E573DC">
              <w:rPr>
                <w:rFonts w:ascii="Arial Narrow" w:hAnsi="Arial Narrow" w:cs="Arial"/>
                <w:snapToGrid w:val="0"/>
                <w:sz w:val="20"/>
                <w:szCs w:val="20"/>
                <w:lang w:eastAsia="en-US"/>
              </w:rPr>
              <w:t xml:space="preserve">, G., </w:t>
            </w:r>
            <w:proofErr w:type="spellStart"/>
            <w:r w:rsidRPr="00E573DC">
              <w:rPr>
                <w:rFonts w:ascii="Arial Narrow" w:hAnsi="Arial Narrow" w:cs="Arial"/>
                <w:snapToGrid w:val="0"/>
                <w:sz w:val="20"/>
                <w:szCs w:val="20"/>
                <w:lang w:eastAsia="en-US"/>
              </w:rPr>
              <w:t>Hertervig</w:t>
            </w:r>
            <w:proofErr w:type="spellEnd"/>
            <w:r w:rsidRPr="00E573DC">
              <w:rPr>
                <w:rFonts w:ascii="Arial Narrow" w:hAnsi="Arial Narrow" w:cs="Arial"/>
                <w:snapToGrid w:val="0"/>
                <w:sz w:val="20"/>
                <w:szCs w:val="20"/>
                <w:lang w:eastAsia="en-US"/>
              </w:rPr>
              <w:t xml:space="preserve">, E., </w:t>
            </w:r>
            <w:proofErr w:type="spellStart"/>
            <w:r w:rsidRPr="00E573DC">
              <w:rPr>
                <w:rFonts w:ascii="Arial Narrow" w:hAnsi="Arial Narrow" w:cs="Arial"/>
                <w:snapToGrid w:val="0"/>
                <w:sz w:val="20"/>
                <w:szCs w:val="20"/>
                <w:lang w:eastAsia="en-US"/>
              </w:rPr>
              <w:t>Friis-Liby</w:t>
            </w:r>
            <w:proofErr w:type="spellEnd"/>
            <w:r w:rsidRPr="00E573DC">
              <w:rPr>
                <w:rFonts w:ascii="Arial Narrow" w:hAnsi="Arial Narrow" w:cs="Arial"/>
                <w:snapToGrid w:val="0"/>
                <w:sz w:val="20"/>
                <w:szCs w:val="20"/>
                <w:lang w:eastAsia="en-US"/>
              </w:rPr>
              <w:t xml:space="preserve">, I.,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Infliximab as rescue therapy in severe to moderately severe ulcerative colitis: A randomized, placebo-controlled study. </w:t>
            </w:r>
          </w:p>
          <w:p w:rsidR="00CA29D1" w:rsidRPr="00E573DC" w:rsidRDefault="00CA29D1" w:rsidP="000147BD">
            <w:pPr>
              <w:contextualSpacing/>
              <w:rPr>
                <w:rFonts w:ascii="Arial Narrow" w:hAnsi="Arial Narrow" w:cs="Arial"/>
                <w:snapToGrid w:val="0"/>
                <w:sz w:val="20"/>
                <w:szCs w:val="20"/>
                <w:lang w:eastAsia="en-US"/>
              </w:rPr>
            </w:pPr>
          </w:p>
          <w:p w:rsidR="00CA29D1" w:rsidRPr="00E573DC" w:rsidRDefault="00CA29D1" w:rsidP="000147BD">
            <w:pPr>
              <w:contextualSpacing/>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Gustavsson</w:t>
            </w:r>
            <w:proofErr w:type="spellEnd"/>
            <w:r w:rsidRPr="00E573DC">
              <w:rPr>
                <w:rFonts w:ascii="Arial Narrow" w:hAnsi="Arial Narrow" w:cs="Arial"/>
                <w:snapToGrid w:val="0"/>
                <w:sz w:val="20"/>
                <w:szCs w:val="20"/>
                <w:lang w:eastAsia="en-US"/>
              </w:rPr>
              <w:t xml:space="preserve">, A., </w:t>
            </w:r>
            <w:proofErr w:type="spellStart"/>
            <w:r w:rsidRPr="00E573DC">
              <w:rPr>
                <w:rFonts w:ascii="Arial Narrow" w:hAnsi="Arial Narrow" w:cs="Arial"/>
                <w:snapToGrid w:val="0"/>
                <w:sz w:val="20"/>
                <w:szCs w:val="20"/>
                <w:lang w:eastAsia="en-US"/>
              </w:rPr>
              <w:t>Jarnerot</w:t>
            </w:r>
            <w:proofErr w:type="spellEnd"/>
            <w:r w:rsidRPr="00E573DC">
              <w:rPr>
                <w:rFonts w:ascii="Arial Narrow" w:hAnsi="Arial Narrow" w:cs="Arial"/>
                <w:snapToGrid w:val="0"/>
                <w:sz w:val="20"/>
                <w:szCs w:val="20"/>
                <w:lang w:eastAsia="en-US"/>
              </w:rPr>
              <w:t xml:space="preserve">, G., </w:t>
            </w:r>
            <w:proofErr w:type="spellStart"/>
            <w:r w:rsidRPr="00E573DC">
              <w:rPr>
                <w:rFonts w:ascii="Arial Narrow" w:hAnsi="Arial Narrow" w:cs="Arial"/>
                <w:snapToGrid w:val="0"/>
                <w:sz w:val="20"/>
                <w:szCs w:val="20"/>
                <w:lang w:eastAsia="en-US"/>
              </w:rPr>
              <w:t>Hertervig</w:t>
            </w:r>
            <w:proofErr w:type="spellEnd"/>
            <w:r w:rsidRPr="00E573DC">
              <w:rPr>
                <w:rFonts w:ascii="Arial Narrow" w:hAnsi="Arial Narrow" w:cs="Arial"/>
                <w:snapToGrid w:val="0"/>
                <w:sz w:val="20"/>
                <w:szCs w:val="20"/>
                <w:lang w:eastAsia="en-US"/>
              </w:rPr>
              <w:t xml:space="preserve">, E.,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Clinical trial: Colectomy after rescue therapy in ulcerative colitis - 3-year follow-up of the Swedish-Danish controlled infliximab study </w:t>
            </w:r>
          </w:p>
        </w:tc>
        <w:tc>
          <w:tcPr>
            <w:tcW w:w="0" w:type="auto"/>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Gastroenterology 2005; 128 (7): 1805-1811 </w:t>
            </w: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Aliment </w:t>
            </w:r>
            <w:proofErr w:type="spellStart"/>
            <w:r w:rsidRPr="00E573DC">
              <w:rPr>
                <w:rFonts w:ascii="Arial Narrow" w:hAnsi="Arial Narrow" w:cs="Arial"/>
                <w:snapToGrid w:val="0"/>
                <w:sz w:val="20"/>
                <w:szCs w:val="20"/>
                <w:lang w:eastAsia="en-US"/>
              </w:rPr>
              <w:t>Pharmacol</w:t>
            </w:r>
            <w:proofErr w:type="spellEnd"/>
            <w:r w:rsidRPr="00E573DC">
              <w:rPr>
                <w:rFonts w:ascii="Arial Narrow" w:hAnsi="Arial Narrow" w:cs="Arial"/>
                <w:snapToGrid w:val="0"/>
                <w:sz w:val="20"/>
                <w:szCs w:val="20"/>
                <w:lang w:eastAsia="en-US"/>
              </w:rPr>
              <w:t xml:space="preserve"> </w:t>
            </w:r>
            <w:proofErr w:type="spellStart"/>
            <w:r w:rsidRPr="00E573DC">
              <w:rPr>
                <w:rFonts w:ascii="Arial Narrow" w:hAnsi="Arial Narrow" w:cs="Arial"/>
                <w:snapToGrid w:val="0"/>
                <w:sz w:val="20"/>
                <w:szCs w:val="20"/>
                <w:lang w:eastAsia="en-US"/>
              </w:rPr>
              <w:t>Ther</w:t>
            </w:r>
            <w:proofErr w:type="spellEnd"/>
            <w:r w:rsidRPr="00E573DC">
              <w:rPr>
                <w:rFonts w:ascii="Arial Narrow" w:hAnsi="Arial Narrow" w:cs="Arial"/>
                <w:snapToGrid w:val="0"/>
                <w:sz w:val="20"/>
                <w:szCs w:val="20"/>
                <w:lang w:eastAsia="en-US"/>
              </w:rPr>
              <w:t>. 2010; 32 (8): 984-989</w:t>
            </w:r>
          </w:p>
        </w:tc>
      </w:tr>
      <w:tr w:rsidR="00CA29D1" w:rsidRPr="00E573DC" w:rsidTr="00CA29D1">
        <w:trPr>
          <w:cantSplit/>
        </w:trPr>
        <w:tc>
          <w:tcPr>
            <w:tcW w:w="849" w:type="dxa"/>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Sands</w:t>
            </w:r>
          </w:p>
        </w:tc>
        <w:tc>
          <w:tcPr>
            <w:tcW w:w="0" w:type="auto"/>
          </w:tcPr>
          <w:p w:rsidR="00CA29D1" w:rsidRPr="00E573DC" w:rsidRDefault="00CA29D1" w:rsidP="000147BD">
            <w:pPr>
              <w:contextualSpacing/>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Sands, B.E., Tremaine, W., </w:t>
            </w:r>
            <w:proofErr w:type="spellStart"/>
            <w:r w:rsidRPr="00E573DC">
              <w:rPr>
                <w:rFonts w:ascii="Arial Narrow" w:hAnsi="Arial Narrow" w:cs="Arial"/>
                <w:snapToGrid w:val="0"/>
                <w:sz w:val="20"/>
                <w:szCs w:val="20"/>
                <w:lang w:eastAsia="en-US"/>
              </w:rPr>
              <w:t>Sandborn</w:t>
            </w:r>
            <w:proofErr w:type="spellEnd"/>
            <w:r w:rsidRPr="00E573DC">
              <w:rPr>
                <w:rFonts w:ascii="Arial Narrow" w:hAnsi="Arial Narrow" w:cs="Arial"/>
                <w:snapToGrid w:val="0"/>
                <w:sz w:val="20"/>
                <w:szCs w:val="20"/>
                <w:lang w:eastAsia="en-US"/>
              </w:rPr>
              <w:t xml:space="preserve">, W.J.,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Infliximab in the treatment of severe, steroid-refractory ulcerative colitis: A pilot study. </w:t>
            </w:r>
          </w:p>
        </w:tc>
        <w:tc>
          <w:tcPr>
            <w:tcW w:w="0" w:type="auto"/>
          </w:tcPr>
          <w:p w:rsidR="00CA29D1" w:rsidRPr="00E573DC" w:rsidRDefault="00CA29D1" w:rsidP="000147BD">
            <w:pPr>
              <w:widowControl w:val="0"/>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Inflamm</w:t>
            </w:r>
            <w:proofErr w:type="spellEnd"/>
            <w:r w:rsidRPr="00E573DC">
              <w:rPr>
                <w:rFonts w:ascii="Arial Narrow" w:hAnsi="Arial Narrow" w:cs="Arial"/>
                <w:snapToGrid w:val="0"/>
                <w:sz w:val="20"/>
                <w:szCs w:val="20"/>
                <w:lang w:eastAsia="en-US"/>
              </w:rPr>
              <w:t xml:space="preserve"> Bowel Dis 2001; 7 (2): 83-88</w:t>
            </w:r>
          </w:p>
        </w:tc>
      </w:tr>
      <w:tr w:rsidR="00CA29D1" w:rsidRPr="00E573DC" w:rsidTr="00CA29D1">
        <w:trPr>
          <w:cantSplit/>
        </w:trPr>
        <w:tc>
          <w:tcPr>
            <w:tcW w:w="849" w:type="dxa"/>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lastRenderedPageBreak/>
              <w:t>UC SUCCESS</w:t>
            </w:r>
          </w:p>
        </w:tc>
        <w:tc>
          <w:tcPr>
            <w:tcW w:w="0" w:type="auto"/>
          </w:tcPr>
          <w:p w:rsidR="00CA29D1" w:rsidRPr="00E573DC" w:rsidRDefault="00CA29D1" w:rsidP="000147BD">
            <w:pPr>
              <w:contextualSpacing/>
              <w:rPr>
                <w:rFonts w:ascii="Arial Narrow" w:hAnsi="Arial Narrow" w:cs="Arial"/>
                <w:i/>
                <w:snapToGrid w:val="0"/>
                <w:sz w:val="20"/>
                <w:szCs w:val="20"/>
                <w:lang w:eastAsia="en-US"/>
              </w:rPr>
            </w:pPr>
            <w:proofErr w:type="spellStart"/>
            <w:r w:rsidRPr="00E573DC">
              <w:rPr>
                <w:rFonts w:ascii="Arial Narrow" w:hAnsi="Arial Narrow" w:cs="Arial"/>
                <w:i/>
                <w:snapToGrid w:val="0"/>
                <w:sz w:val="20"/>
                <w:szCs w:val="20"/>
                <w:lang w:eastAsia="en-US"/>
              </w:rPr>
              <w:t>Panaccione</w:t>
            </w:r>
            <w:proofErr w:type="spellEnd"/>
            <w:r w:rsidRPr="00E573DC">
              <w:rPr>
                <w:rFonts w:ascii="Arial Narrow" w:hAnsi="Arial Narrow" w:cs="Arial"/>
                <w:i/>
                <w:snapToGrid w:val="0"/>
                <w:sz w:val="20"/>
                <w:szCs w:val="20"/>
                <w:lang w:eastAsia="en-US"/>
              </w:rPr>
              <w:t xml:space="preserve"> R, Ghosh S, Middleton S, et al.</w:t>
            </w:r>
            <w:r w:rsidRPr="00E573DC">
              <w:rPr>
                <w:rFonts w:ascii="Arial" w:hAnsi="Arial" w:cs="Arial"/>
                <w:i/>
                <w:snapToGrid w:val="0"/>
                <w:sz w:val="20"/>
                <w:szCs w:val="20"/>
                <w:lang w:eastAsia="en-US"/>
              </w:rPr>
              <w:t xml:space="preserve"> </w:t>
            </w:r>
            <w:r w:rsidRPr="00E573DC">
              <w:rPr>
                <w:rFonts w:ascii="Arial Narrow" w:hAnsi="Arial Narrow" w:cs="Arial"/>
                <w:i/>
                <w:snapToGrid w:val="0"/>
                <w:sz w:val="20"/>
                <w:szCs w:val="20"/>
                <w:lang w:eastAsia="en-US"/>
              </w:rPr>
              <w:t>Combination therapy with infliximab and azathioprine is superior to monotherapy with either agent in ulcerative colitis.</w:t>
            </w:r>
          </w:p>
          <w:p w:rsidR="00CA29D1" w:rsidRPr="00E573DC" w:rsidRDefault="00CA29D1" w:rsidP="000147BD">
            <w:pPr>
              <w:ind w:left="360"/>
              <w:contextualSpacing/>
              <w:rPr>
                <w:rFonts w:ascii="Arial Narrow" w:hAnsi="Arial Narrow" w:cs="Arial"/>
                <w:snapToGrid w:val="0"/>
                <w:sz w:val="20"/>
                <w:szCs w:val="20"/>
                <w:lang w:eastAsia="en-US"/>
              </w:rPr>
            </w:pPr>
          </w:p>
          <w:p w:rsidR="00CA29D1" w:rsidRPr="00E573DC" w:rsidRDefault="00CA29D1" w:rsidP="000147BD">
            <w:pPr>
              <w:contextualSpacing/>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Panaccione</w:t>
            </w:r>
            <w:proofErr w:type="spellEnd"/>
            <w:r w:rsidRPr="00E573DC">
              <w:rPr>
                <w:rFonts w:ascii="Arial Narrow" w:hAnsi="Arial Narrow" w:cs="Arial"/>
                <w:snapToGrid w:val="0"/>
                <w:sz w:val="20"/>
                <w:szCs w:val="20"/>
                <w:lang w:eastAsia="en-US"/>
              </w:rPr>
              <w:t xml:space="preserve">, R., Ghosh, S., Middleton, S.,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Infliximab, azathioprine, or infliximab + azathioprine for treatment of moderate to severe ulcerative colitis: The UC SUCCESS trial. </w:t>
            </w:r>
          </w:p>
          <w:p w:rsidR="00CA29D1" w:rsidRPr="00E573DC" w:rsidRDefault="00CA29D1" w:rsidP="000147BD">
            <w:pPr>
              <w:contextualSpacing/>
              <w:rPr>
                <w:rFonts w:ascii="Arial Narrow" w:hAnsi="Arial Narrow" w:cs="Arial"/>
                <w:snapToGrid w:val="0"/>
                <w:sz w:val="20"/>
                <w:szCs w:val="20"/>
                <w:lang w:eastAsia="en-US"/>
              </w:rPr>
            </w:pPr>
          </w:p>
          <w:p w:rsidR="00CA29D1" w:rsidRPr="00E573DC" w:rsidRDefault="00CA29D1" w:rsidP="000147BD">
            <w:pPr>
              <w:contextualSpacing/>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Panccione</w:t>
            </w:r>
            <w:proofErr w:type="spellEnd"/>
            <w:r w:rsidRPr="00E573DC">
              <w:rPr>
                <w:rFonts w:ascii="Arial Narrow" w:hAnsi="Arial Narrow" w:cs="Arial"/>
                <w:snapToGrid w:val="0"/>
                <w:sz w:val="20"/>
                <w:szCs w:val="20"/>
                <w:lang w:eastAsia="en-US"/>
              </w:rPr>
              <w:t xml:space="preserve">, R., Ghosh, S., Middleton, S.,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Infliximab, azathioprine, or infliximab + azathioprine for treatment of moderate to severe ulcerative colitis: The UC success trial </w:t>
            </w:r>
          </w:p>
          <w:p w:rsidR="00CA29D1" w:rsidRPr="00E573DC" w:rsidRDefault="00CA29D1" w:rsidP="000147BD">
            <w:pPr>
              <w:contextualSpacing/>
              <w:rPr>
                <w:rFonts w:ascii="Arial Narrow" w:hAnsi="Arial Narrow" w:cs="Arial"/>
                <w:snapToGrid w:val="0"/>
                <w:sz w:val="20"/>
                <w:szCs w:val="20"/>
                <w:lang w:eastAsia="en-US"/>
              </w:rPr>
            </w:pPr>
          </w:p>
          <w:p w:rsidR="00CA29D1" w:rsidRPr="00E573DC" w:rsidRDefault="00CA29D1" w:rsidP="000147BD">
            <w:pPr>
              <w:contextualSpacing/>
              <w:rPr>
                <w:rFonts w:ascii="Arial Narrow" w:hAnsi="Arial Narrow" w:cs="Arial"/>
                <w:snapToGrid w:val="0"/>
                <w:sz w:val="20"/>
                <w:szCs w:val="20"/>
                <w:lang w:eastAsia="en-US"/>
              </w:rPr>
            </w:pPr>
            <w:proofErr w:type="spellStart"/>
            <w:r w:rsidRPr="00E573DC">
              <w:rPr>
                <w:rFonts w:ascii="Arial Narrow" w:hAnsi="Arial Narrow" w:cs="Arial"/>
                <w:snapToGrid w:val="0"/>
                <w:sz w:val="20"/>
                <w:szCs w:val="20"/>
                <w:lang w:eastAsia="en-US"/>
              </w:rPr>
              <w:t>Panaccione</w:t>
            </w:r>
            <w:proofErr w:type="spellEnd"/>
            <w:r w:rsidRPr="00E573DC">
              <w:rPr>
                <w:rFonts w:ascii="Arial Narrow" w:hAnsi="Arial Narrow" w:cs="Arial"/>
                <w:snapToGrid w:val="0"/>
                <w:sz w:val="20"/>
                <w:szCs w:val="20"/>
                <w:lang w:eastAsia="en-US"/>
              </w:rPr>
              <w:t xml:space="preserve">, R., Ghosh, S., Middleton, S., </w:t>
            </w:r>
            <w:r w:rsidRPr="00E573DC">
              <w:rPr>
                <w:rFonts w:ascii="Arial Narrow" w:hAnsi="Arial Narrow" w:cs="Arial"/>
                <w:i/>
                <w:snapToGrid w:val="0"/>
                <w:sz w:val="20"/>
                <w:szCs w:val="20"/>
                <w:lang w:eastAsia="en-US"/>
              </w:rPr>
              <w:t>et al</w:t>
            </w:r>
            <w:r w:rsidRPr="00E573DC">
              <w:rPr>
                <w:rFonts w:ascii="Arial Narrow" w:hAnsi="Arial Narrow" w:cs="Arial"/>
                <w:snapToGrid w:val="0"/>
                <w:sz w:val="20"/>
                <w:szCs w:val="20"/>
                <w:lang w:eastAsia="en-US"/>
              </w:rPr>
              <w:t xml:space="preserve">. Improvement in patient quality of life during treatment with infliximab, azathioprine, or combination </w:t>
            </w:r>
            <w:proofErr w:type="spellStart"/>
            <w:r w:rsidRPr="00E573DC">
              <w:rPr>
                <w:rFonts w:ascii="Arial Narrow" w:hAnsi="Arial Narrow" w:cs="Arial"/>
                <w:snapToGrid w:val="0"/>
                <w:sz w:val="20"/>
                <w:szCs w:val="20"/>
                <w:lang w:eastAsia="en-US"/>
              </w:rPr>
              <w:t>infliximab+azathioprine</w:t>
            </w:r>
            <w:proofErr w:type="spellEnd"/>
            <w:r w:rsidRPr="00E573DC">
              <w:rPr>
                <w:rFonts w:ascii="Arial Narrow" w:hAnsi="Arial Narrow" w:cs="Arial"/>
                <w:snapToGrid w:val="0"/>
                <w:sz w:val="20"/>
                <w:szCs w:val="20"/>
                <w:lang w:eastAsia="en-US"/>
              </w:rPr>
              <w:t xml:space="preserve"> for moderate-to-severe ulcerative colitis </w:t>
            </w:r>
          </w:p>
        </w:tc>
        <w:tc>
          <w:tcPr>
            <w:tcW w:w="0" w:type="auto"/>
          </w:tcPr>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i/>
                <w:snapToGrid w:val="0"/>
                <w:sz w:val="20"/>
                <w:szCs w:val="20"/>
                <w:lang w:eastAsia="en-US"/>
              </w:rPr>
              <w:t>Gastroenterology. 2014 146(2):392-400.e3.</w:t>
            </w:r>
            <w:r w:rsidRPr="00E573DC">
              <w:rPr>
                <w:rFonts w:ascii="Arial Narrow" w:hAnsi="Arial Narrow" w:cs="Arial"/>
                <w:snapToGrid w:val="0"/>
                <w:sz w:val="20"/>
                <w:szCs w:val="20"/>
                <w:lang w:eastAsia="en-US"/>
              </w:rPr>
              <w:t xml:space="preserve"> </w:t>
            </w: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J </w:t>
            </w:r>
            <w:proofErr w:type="spellStart"/>
            <w:r w:rsidRPr="00E573DC">
              <w:rPr>
                <w:rFonts w:ascii="Arial Narrow" w:hAnsi="Arial Narrow" w:cs="Arial"/>
                <w:snapToGrid w:val="0"/>
                <w:sz w:val="20"/>
                <w:szCs w:val="20"/>
                <w:lang w:eastAsia="en-US"/>
              </w:rPr>
              <w:t>Crohns</w:t>
            </w:r>
            <w:proofErr w:type="spellEnd"/>
            <w:r w:rsidRPr="00E573DC">
              <w:rPr>
                <w:rFonts w:ascii="Arial Narrow" w:hAnsi="Arial Narrow" w:cs="Arial"/>
                <w:snapToGrid w:val="0"/>
                <w:sz w:val="20"/>
                <w:szCs w:val="20"/>
                <w:lang w:eastAsia="en-US"/>
              </w:rPr>
              <w:t xml:space="preserve"> Colitis 2011; 5 (1): S8 </w:t>
            </w: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Gastroenterology 2011; 140 (5): S134 </w:t>
            </w: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snapToGrid w:val="0"/>
                <w:sz w:val="20"/>
                <w:szCs w:val="20"/>
                <w:lang w:eastAsia="en-US"/>
              </w:rPr>
            </w:pPr>
          </w:p>
          <w:p w:rsidR="00CA29D1" w:rsidRPr="00E573DC" w:rsidRDefault="00CA29D1" w:rsidP="000147BD">
            <w:pPr>
              <w:widowControl w:val="0"/>
              <w:rPr>
                <w:rFonts w:ascii="Arial Narrow" w:hAnsi="Arial Narrow" w:cs="Arial"/>
                <w:i/>
                <w:snapToGrid w:val="0"/>
                <w:sz w:val="20"/>
                <w:szCs w:val="20"/>
                <w:lang w:eastAsia="en-US"/>
              </w:rPr>
            </w:pPr>
            <w:r w:rsidRPr="00E573DC">
              <w:rPr>
                <w:rFonts w:ascii="Arial Narrow" w:hAnsi="Arial Narrow" w:cs="Arial"/>
                <w:snapToGrid w:val="0"/>
                <w:sz w:val="20"/>
                <w:szCs w:val="20"/>
                <w:lang w:eastAsia="en-US"/>
              </w:rPr>
              <w:t xml:space="preserve">Am J </w:t>
            </w:r>
            <w:proofErr w:type="spellStart"/>
            <w:r w:rsidRPr="00E573DC">
              <w:rPr>
                <w:rFonts w:ascii="Arial Narrow" w:hAnsi="Arial Narrow" w:cs="Arial"/>
                <w:snapToGrid w:val="0"/>
                <w:sz w:val="20"/>
                <w:szCs w:val="20"/>
                <w:lang w:eastAsia="en-US"/>
              </w:rPr>
              <w:t>Gastroenterol</w:t>
            </w:r>
            <w:proofErr w:type="spellEnd"/>
            <w:r w:rsidRPr="00E573DC">
              <w:rPr>
                <w:rFonts w:ascii="Arial Narrow" w:hAnsi="Arial Narrow" w:cs="Arial"/>
                <w:snapToGrid w:val="0"/>
                <w:sz w:val="20"/>
                <w:szCs w:val="20"/>
                <w:lang w:eastAsia="en-US"/>
              </w:rPr>
              <w:t xml:space="preserve"> 2013; 108): S544-S545</w:t>
            </w:r>
          </w:p>
        </w:tc>
      </w:tr>
    </w:tbl>
    <w:p w:rsidR="00A671DC" w:rsidRPr="00E573DC" w:rsidRDefault="00A671DC" w:rsidP="00A671DC">
      <w:pPr>
        <w:pStyle w:val="ListParagraph"/>
        <w:ind w:left="709"/>
        <w:jc w:val="both"/>
        <w:rPr>
          <w:rFonts w:ascii="Arial" w:hAnsi="Arial"/>
          <w:sz w:val="22"/>
          <w:szCs w:val="22"/>
        </w:rPr>
      </w:pPr>
    </w:p>
    <w:p w:rsidR="00A671DC" w:rsidRPr="00E573DC" w:rsidRDefault="00A671DC" w:rsidP="00A671DC">
      <w:pPr>
        <w:pStyle w:val="ListParagraph"/>
        <w:ind w:left="709"/>
        <w:jc w:val="both"/>
        <w:rPr>
          <w:rFonts w:ascii="Arial" w:hAnsi="Arial"/>
          <w:sz w:val="22"/>
          <w:szCs w:val="22"/>
        </w:rPr>
      </w:pPr>
    </w:p>
    <w:p w:rsidR="00510A84" w:rsidRPr="00E573DC" w:rsidRDefault="00510A84" w:rsidP="00984601">
      <w:pPr>
        <w:pStyle w:val="ListParagraph"/>
        <w:numPr>
          <w:ilvl w:val="1"/>
          <w:numId w:val="2"/>
        </w:numPr>
        <w:ind w:left="709" w:hanging="709"/>
        <w:jc w:val="both"/>
        <w:rPr>
          <w:rFonts w:ascii="Arial" w:hAnsi="Arial"/>
          <w:sz w:val="22"/>
          <w:szCs w:val="22"/>
        </w:rPr>
      </w:pPr>
      <w:r w:rsidRPr="00E573DC">
        <w:rPr>
          <w:rFonts w:ascii="Arial" w:hAnsi="Arial"/>
          <w:sz w:val="22"/>
          <w:szCs w:val="22"/>
        </w:rPr>
        <w:t xml:space="preserve">In GEMINI I, for the induction phase results data were derived from cohort 1 (n=374) where patients were randomised to </w:t>
      </w:r>
      <w:proofErr w:type="spellStart"/>
      <w:r w:rsidRPr="00E573DC">
        <w:rPr>
          <w:rFonts w:ascii="Arial" w:hAnsi="Arial"/>
          <w:sz w:val="22"/>
          <w:szCs w:val="22"/>
        </w:rPr>
        <w:t>vedolizumab</w:t>
      </w:r>
      <w:proofErr w:type="spellEnd"/>
      <w:r w:rsidRPr="00E573DC">
        <w:rPr>
          <w:rFonts w:ascii="Arial" w:hAnsi="Arial"/>
          <w:sz w:val="22"/>
          <w:szCs w:val="22"/>
        </w:rPr>
        <w:t xml:space="preserve"> or placebo. Cohort 2 (n=521) received open label </w:t>
      </w:r>
      <w:proofErr w:type="spellStart"/>
      <w:r w:rsidRPr="00E573DC">
        <w:rPr>
          <w:rFonts w:ascii="Arial" w:hAnsi="Arial"/>
          <w:sz w:val="22"/>
          <w:szCs w:val="22"/>
        </w:rPr>
        <w:t>vedolizumab</w:t>
      </w:r>
      <w:proofErr w:type="spellEnd"/>
      <w:r w:rsidRPr="00E573DC">
        <w:rPr>
          <w:rFonts w:ascii="Arial" w:hAnsi="Arial"/>
          <w:sz w:val="22"/>
          <w:szCs w:val="22"/>
        </w:rPr>
        <w:t xml:space="preserve"> treatment at week 0 and week 2. For the maintenance phase, patients who were treated with </w:t>
      </w:r>
      <w:proofErr w:type="spellStart"/>
      <w:r w:rsidRPr="00E573DC">
        <w:rPr>
          <w:rFonts w:ascii="Arial" w:hAnsi="Arial"/>
          <w:sz w:val="22"/>
          <w:szCs w:val="22"/>
        </w:rPr>
        <w:t>vedolizumab</w:t>
      </w:r>
      <w:proofErr w:type="spellEnd"/>
      <w:r w:rsidRPr="00E573DC">
        <w:rPr>
          <w:rFonts w:ascii="Arial" w:hAnsi="Arial"/>
          <w:sz w:val="22"/>
          <w:szCs w:val="22"/>
        </w:rPr>
        <w:t xml:space="preserve"> from either cohort 1 (randomised group) or cohort 2 (open-label induction treatment) </w:t>
      </w:r>
      <w:r w:rsidRPr="00E573DC">
        <w:rPr>
          <w:rFonts w:ascii="Arial" w:hAnsi="Arial"/>
          <w:sz w:val="22"/>
          <w:szCs w:val="22"/>
          <w:u w:val="single"/>
        </w:rPr>
        <w:t>and</w:t>
      </w:r>
      <w:r w:rsidRPr="00E573DC">
        <w:rPr>
          <w:rFonts w:ascii="Arial" w:hAnsi="Arial"/>
          <w:sz w:val="22"/>
          <w:szCs w:val="22"/>
        </w:rPr>
        <w:t xml:space="preserve"> responded to treatment were randomised (n=373) to either placebo, or </w:t>
      </w:r>
      <w:proofErr w:type="spellStart"/>
      <w:r w:rsidRPr="00E573DC">
        <w:rPr>
          <w:rFonts w:ascii="Arial" w:hAnsi="Arial"/>
          <w:sz w:val="22"/>
          <w:szCs w:val="22"/>
        </w:rPr>
        <w:t>vedolizumab</w:t>
      </w:r>
      <w:proofErr w:type="spellEnd"/>
      <w:r w:rsidRPr="00E573DC">
        <w:rPr>
          <w:rFonts w:ascii="Arial" w:hAnsi="Arial"/>
          <w:sz w:val="22"/>
          <w:szCs w:val="22"/>
        </w:rPr>
        <w:t xml:space="preserve"> every four weeks or </w:t>
      </w:r>
      <w:proofErr w:type="spellStart"/>
      <w:r w:rsidRPr="00E573DC">
        <w:rPr>
          <w:rFonts w:ascii="Arial" w:hAnsi="Arial"/>
          <w:sz w:val="22"/>
          <w:szCs w:val="22"/>
        </w:rPr>
        <w:t>vedolizumab</w:t>
      </w:r>
      <w:proofErr w:type="spellEnd"/>
      <w:r w:rsidRPr="00E573DC">
        <w:rPr>
          <w:rFonts w:ascii="Arial" w:hAnsi="Arial"/>
          <w:sz w:val="22"/>
          <w:szCs w:val="22"/>
        </w:rPr>
        <w:t xml:space="preserve"> every eight weeks. For the safety analyses, all patients were included (n=895). </w:t>
      </w:r>
    </w:p>
    <w:p w:rsidR="000B558D" w:rsidRDefault="000B558D"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effectiveness</w:t>
      </w:r>
    </w:p>
    <w:p w:rsidR="008A0F9F" w:rsidRDefault="008A0F9F" w:rsidP="00882085">
      <w:pPr>
        <w:jc w:val="both"/>
        <w:rPr>
          <w:rFonts w:ascii="Arial" w:hAnsi="Arial"/>
          <w:sz w:val="22"/>
          <w:szCs w:val="22"/>
          <w:u w:val="single"/>
        </w:rPr>
      </w:pPr>
    </w:p>
    <w:p w:rsidR="005A3173" w:rsidRDefault="008A0F9F" w:rsidP="00882085">
      <w:pPr>
        <w:jc w:val="both"/>
        <w:rPr>
          <w:rFonts w:ascii="Arial" w:hAnsi="Arial"/>
          <w:sz w:val="22"/>
          <w:szCs w:val="22"/>
          <w:u w:val="single"/>
        </w:rPr>
      </w:pPr>
      <w:proofErr w:type="spellStart"/>
      <w:r w:rsidRPr="0023595E">
        <w:rPr>
          <w:rFonts w:ascii="Arial" w:hAnsi="Arial"/>
          <w:sz w:val="22"/>
          <w:szCs w:val="22"/>
          <w:u w:val="single"/>
        </w:rPr>
        <w:t>Vedolizumab</w:t>
      </w:r>
      <w:proofErr w:type="spellEnd"/>
      <w:r w:rsidRPr="0023595E">
        <w:rPr>
          <w:rFonts w:ascii="Arial" w:hAnsi="Arial"/>
          <w:sz w:val="22"/>
          <w:szCs w:val="22"/>
          <w:u w:val="single"/>
        </w:rPr>
        <w:t xml:space="preserve"> vs. placebo</w:t>
      </w:r>
    </w:p>
    <w:p w:rsidR="008A0F9F" w:rsidRPr="00882085" w:rsidRDefault="008A0F9F" w:rsidP="00882085">
      <w:pPr>
        <w:jc w:val="both"/>
        <w:rPr>
          <w:rFonts w:ascii="Arial" w:hAnsi="Arial"/>
          <w:sz w:val="22"/>
          <w:szCs w:val="22"/>
        </w:rPr>
      </w:pPr>
    </w:p>
    <w:p w:rsidR="00007134" w:rsidRPr="00E573DC" w:rsidRDefault="00007134" w:rsidP="00984601">
      <w:pPr>
        <w:pStyle w:val="ListParagraph"/>
        <w:numPr>
          <w:ilvl w:val="1"/>
          <w:numId w:val="2"/>
        </w:numPr>
        <w:ind w:left="709" w:hanging="709"/>
        <w:jc w:val="both"/>
        <w:rPr>
          <w:rFonts w:ascii="Arial" w:hAnsi="Arial"/>
          <w:sz w:val="22"/>
          <w:szCs w:val="22"/>
        </w:rPr>
      </w:pPr>
      <w:r w:rsidRPr="00E573DC">
        <w:rPr>
          <w:rFonts w:ascii="Arial" w:hAnsi="Arial"/>
          <w:sz w:val="22"/>
          <w:szCs w:val="22"/>
        </w:rPr>
        <w:t xml:space="preserve">At week 6, more patients treated with </w:t>
      </w:r>
      <w:proofErr w:type="spellStart"/>
      <w:r w:rsidRPr="00E573DC">
        <w:rPr>
          <w:rFonts w:ascii="Arial" w:hAnsi="Arial"/>
          <w:sz w:val="22"/>
          <w:szCs w:val="22"/>
        </w:rPr>
        <w:t>vedolizumab</w:t>
      </w:r>
      <w:proofErr w:type="spellEnd"/>
      <w:r w:rsidRPr="00E573DC">
        <w:rPr>
          <w:rFonts w:ascii="Arial" w:hAnsi="Arial"/>
          <w:sz w:val="22"/>
          <w:szCs w:val="22"/>
        </w:rPr>
        <w:t xml:space="preserve"> achieved a response or remission (using the full Mayo score) compared to patients treated with placebo. The number needed to treat at six weeks was 5 (95% CI: 3 to 8) for clinical response and 9 (95% CI: 6 to 19) for clinical remission. Of those patients who achieved a clinical response with </w:t>
      </w:r>
      <w:proofErr w:type="spellStart"/>
      <w:r w:rsidRPr="00E573DC">
        <w:rPr>
          <w:rFonts w:ascii="Arial" w:hAnsi="Arial"/>
          <w:sz w:val="22"/>
          <w:szCs w:val="22"/>
        </w:rPr>
        <w:t>vedolizumab</w:t>
      </w:r>
      <w:proofErr w:type="spellEnd"/>
      <w:r w:rsidRPr="00E573DC">
        <w:rPr>
          <w:rFonts w:ascii="Arial" w:hAnsi="Arial"/>
          <w:sz w:val="22"/>
          <w:szCs w:val="22"/>
        </w:rPr>
        <w:t xml:space="preserve"> at week 6, more patients treated with </w:t>
      </w:r>
      <w:proofErr w:type="spellStart"/>
      <w:r w:rsidRPr="00E573DC">
        <w:rPr>
          <w:rFonts w:ascii="Arial" w:hAnsi="Arial"/>
          <w:sz w:val="22"/>
          <w:szCs w:val="22"/>
        </w:rPr>
        <w:t>vedolizumab</w:t>
      </w:r>
      <w:proofErr w:type="spellEnd"/>
      <w:r w:rsidRPr="00E573DC">
        <w:rPr>
          <w:rFonts w:ascii="Arial" w:hAnsi="Arial"/>
          <w:sz w:val="22"/>
          <w:szCs w:val="22"/>
        </w:rPr>
        <w:t xml:space="preserve"> had durable clinical response at week 6 and 52 (NNT: 3; 95% CI: 2 to 5), clinical remission at week 52 </w:t>
      </w:r>
      <w:r w:rsidRPr="00E573DC">
        <w:rPr>
          <w:rFonts w:ascii="Arial" w:hAnsi="Arial"/>
          <w:i/>
          <w:sz w:val="22"/>
          <w:szCs w:val="22"/>
        </w:rPr>
        <w:t>(</w:t>
      </w:r>
      <w:r w:rsidRPr="00E573DC">
        <w:rPr>
          <w:rFonts w:ascii="Arial" w:hAnsi="Arial"/>
          <w:sz w:val="22"/>
          <w:szCs w:val="22"/>
        </w:rPr>
        <w:t>NNT: 4; 95% CI: 3 to 7) or durable clin</w:t>
      </w:r>
      <w:r w:rsidR="00752422">
        <w:rPr>
          <w:rFonts w:ascii="Arial" w:hAnsi="Arial"/>
          <w:sz w:val="22"/>
          <w:szCs w:val="22"/>
        </w:rPr>
        <w:t>ical remission at week 6 and 52 </w:t>
      </w:r>
      <w:r w:rsidRPr="00E573DC">
        <w:rPr>
          <w:rFonts w:ascii="Arial" w:hAnsi="Arial"/>
          <w:sz w:val="22"/>
          <w:szCs w:val="22"/>
        </w:rPr>
        <w:t xml:space="preserve">(NNT 9; 95% CI: 5 to 32). The table </w:t>
      </w:r>
      <w:r w:rsidR="00B97225" w:rsidRPr="00E573DC">
        <w:rPr>
          <w:rFonts w:ascii="Arial" w:hAnsi="Arial"/>
          <w:sz w:val="22"/>
          <w:szCs w:val="22"/>
        </w:rPr>
        <w:t>in the benefits/harms section</w:t>
      </w:r>
      <w:r w:rsidRPr="00E573DC">
        <w:rPr>
          <w:rFonts w:ascii="Arial" w:hAnsi="Arial"/>
          <w:sz w:val="22"/>
          <w:szCs w:val="22"/>
        </w:rPr>
        <w:t xml:space="preserve"> summarises the main results from the GEMINI I trial.</w:t>
      </w:r>
    </w:p>
    <w:p w:rsidR="00B97225" w:rsidRPr="00E573DC" w:rsidRDefault="00B97225" w:rsidP="00B97225">
      <w:pPr>
        <w:jc w:val="both"/>
        <w:rPr>
          <w:rFonts w:ascii="Arial" w:hAnsi="Arial"/>
          <w:b/>
          <w:i/>
          <w:sz w:val="22"/>
          <w:szCs w:val="22"/>
        </w:rPr>
      </w:pPr>
    </w:p>
    <w:p w:rsidR="0023595E" w:rsidRPr="00E573DC" w:rsidRDefault="00007134" w:rsidP="004E7A4D">
      <w:pPr>
        <w:pStyle w:val="ListParagraph"/>
        <w:numPr>
          <w:ilvl w:val="1"/>
          <w:numId w:val="1"/>
        </w:numPr>
        <w:jc w:val="both"/>
        <w:rPr>
          <w:rFonts w:ascii="Arial" w:hAnsi="Arial"/>
          <w:sz w:val="22"/>
          <w:szCs w:val="22"/>
        </w:rPr>
      </w:pPr>
      <w:r w:rsidRPr="00E573DC">
        <w:rPr>
          <w:rFonts w:ascii="Arial" w:hAnsi="Arial"/>
          <w:sz w:val="22"/>
          <w:szCs w:val="22"/>
        </w:rPr>
        <w:t xml:space="preserve">The ESC agreed with the evaluation that as the benefit of </w:t>
      </w:r>
      <w:proofErr w:type="spellStart"/>
      <w:r w:rsidRPr="00E573DC">
        <w:rPr>
          <w:rFonts w:ascii="Arial" w:hAnsi="Arial"/>
          <w:sz w:val="22"/>
          <w:szCs w:val="22"/>
        </w:rPr>
        <w:t>vedolizumab</w:t>
      </w:r>
      <w:proofErr w:type="spellEnd"/>
      <w:r w:rsidRPr="00E573DC">
        <w:rPr>
          <w:rFonts w:ascii="Arial" w:hAnsi="Arial"/>
          <w:sz w:val="22"/>
          <w:szCs w:val="22"/>
        </w:rPr>
        <w:t xml:space="preserve"> at the maintenance phase is for those patients who responded to initial </w:t>
      </w:r>
      <w:proofErr w:type="spellStart"/>
      <w:r w:rsidRPr="00E573DC">
        <w:rPr>
          <w:rFonts w:ascii="Arial" w:hAnsi="Arial"/>
          <w:sz w:val="22"/>
          <w:szCs w:val="22"/>
        </w:rPr>
        <w:t>vedolizumab</w:t>
      </w:r>
      <w:proofErr w:type="spellEnd"/>
      <w:r w:rsidRPr="00E573DC">
        <w:rPr>
          <w:rFonts w:ascii="Arial" w:hAnsi="Arial"/>
          <w:sz w:val="22"/>
          <w:szCs w:val="22"/>
        </w:rPr>
        <w:t xml:space="preserve"> patients, the response and remission rates were potentially overestimated for the </w:t>
      </w:r>
      <w:proofErr w:type="spellStart"/>
      <w:r w:rsidRPr="00E573DC">
        <w:rPr>
          <w:rFonts w:ascii="Arial" w:hAnsi="Arial"/>
          <w:sz w:val="22"/>
          <w:szCs w:val="22"/>
        </w:rPr>
        <w:t>vedolizumab</w:t>
      </w:r>
      <w:proofErr w:type="spellEnd"/>
      <w:r w:rsidRPr="00E573DC">
        <w:rPr>
          <w:rFonts w:ascii="Arial" w:hAnsi="Arial"/>
          <w:sz w:val="22"/>
          <w:szCs w:val="22"/>
        </w:rPr>
        <w:t xml:space="preserve"> and placebo arms.</w:t>
      </w:r>
    </w:p>
    <w:p w:rsidR="00EF0CEA" w:rsidRPr="00E573DC" w:rsidRDefault="00EF0CEA" w:rsidP="00EF0CEA">
      <w:pPr>
        <w:pStyle w:val="ListParagraph"/>
        <w:rPr>
          <w:rFonts w:ascii="Arial" w:hAnsi="Arial"/>
          <w:i/>
          <w:sz w:val="22"/>
          <w:szCs w:val="22"/>
        </w:rPr>
      </w:pPr>
    </w:p>
    <w:p w:rsidR="00540100" w:rsidRPr="00E573DC" w:rsidRDefault="00EF0CEA" w:rsidP="004E7A4D">
      <w:pPr>
        <w:pStyle w:val="ListParagraph"/>
        <w:numPr>
          <w:ilvl w:val="1"/>
          <w:numId w:val="1"/>
        </w:numPr>
        <w:jc w:val="both"/>
        <w:rPr>
          <w:rFonts w:ascii="Arial" w:hAnsi="Arial"/>
          <w:sz w:val="22"/>
          <w:szCs w:val="22"/>
        </w:rPr>
      </w:pPr>
      <w:r w:rsidRPr="00E573DC">
        <w:rPr>
          <w:rFonts w:ascii="Arial" w:hAnsi="Arial"/>
          <w:sz w:val="22"/>
          <w:szCs w:val="22"/>
        </w:rPr>
        <w:t xml:space="preserve">The trial design of GEMINI I precluded the assessment of comparative efficacy and safety beyond 6 weeks, as only patients who responded to </w:t>
      </w:r>
      <w:proofErr w:type="spellStart"/>
      <w:r w:rsidRPr="00E573DC">
        <w:rPr>
          <w:rFonts w:ascii="Arial" w:hAnsi="Arial"/>
          <w:sz w:val="22"/>
          <w:szCs w:val="22"/>
        </w:rPr>
        <w:t>vedolizumab</w:t>
      </w:r>
      <w:proofErr w:type="spellEnd"/>
      <w:r w:rsidRPr="00E573DC">
        <w:rPr>
          <w:rFonts w:ascii="Arial" w:hAnsi="Arial"/>
          <w:sz w:val="22"/>
          <w:szCs w:val="22"/>
        </w:rPr>
        <w:t xml:space="preserve"> induction therapy were randomised for maintenance therapy. This mean</w:t>
      </w:r>
      <w:r w:rsidR="00752422">
        <w:rPr>
          <w:rFonts w:ascii="Arial" w:hAnsi="Arial"/>
          <w:sz w:val="22"/>
          <w:szCs w:val="22"/>
        </w:rPr>
        <w:t>t</w:t>
      </w:r>
      <w:r w:rsidRPr="00E573DC">
        <w:rPr>
          <w:rFonts w:ascii="Arial" w:hAnsi="Arial"/>
          <w:sz w:val="22"/>
          <w:szCs w:val="22"/>
        </w:rPr>
        <w:t xml:space="preserve"> the outcomes reported at week 6 come from different patient groups </w:t>
      </w:r>
      <w:r w:rsidR="00D601F0">
        <w:rPr>
          <w:rFonts w:ascii="Arial" w:hAnsi="Arial"/>
          <w:sz w:val="22"/>
          <w:szCs w:val="22"/>
        </w:rPr>
        <w:t>to</w:t>
      </w:r>
      <w:r w:rsidRPr="00E573DC">
        <w:rPr>
          <w:rFonts w:ascii="Arial" w:hAnsi="Arial"/>
          <w:sz w:val="22"/>
          <w:szCs w:val="22"/>
        </w:rPr>
        <w:t xml:space="preserve"> those reported at week 52. Notably, both  the ‘placebo’ and </w:t>
      </w:r>
      <w:proofErr w:type="spellStart"/>
      <w:r w:rsidRPr="00E573DC">
        <w:rPr>
          <w:rFonts w:ascii="Arial" w:hAnsi="Arial"/>
          <w:sz w:val="22"/>
          <w:szCs w:val="22"/>
        </w:rPr>
        <w:t>vedolizumab</w:t>
      </w:r>
      <w:proofErr w:type="spellEnd"/>
      <w:r w:rsidRPr="00E573DC">
        <w:rPr>
          <w:rFonts w:ascii="Arial" w:hAnsi="Arial"/>
          <w:sz w:val="22"/>
          <w:szCs w:val="22"/>
        </w:rPr>
        <w:t xml:space="preserve"> groups reported at week 52 had been classified as ‘responders’ at week 6 to two doses of </w:t>
      </w:r>
      <w:proofErr w:type="spellStart"/>
      <w:r w:rsidRPr="00E573DC">
        <w:rPr>
          <w:rFonts w:ascii="Arial" w:hAnsi="Arial"/>
          <w:sz w:val="22"/>
          <w:szCs w:val="22"/>
        </w:rPr>
        <w:t>vedolizumab</w:t>
      </w:r>
      <w:proofErr w:type="spellEnd"/>
      <w:r w:rsidRPr="00E573DC">
        <w:rPr>
          <w:rFonts w:ascii="Arial" w:hAnsi="Arial"/>
          <w:sz w:val="22"/>
          <w:szCs w:val="22"/>
        </w:rPr>
        <w:t xml:space="preserve"> received at weeks 0 </w:t>
      </w:r>
      <w:r w:rsidRPr="00E573DC">
        <w:rPr>
          <w:rFonts w:ascii="Arial" w:hAnsi="Arial"/>
          <w:sz w:val="22"/>
          <w:szCs w:val="22"/>
        </w:rPr>
        <w:lastRenderedPageBreak/>
        <w:t xml:space="preserve">and 2. This </w:t>
      </w:r>
      <w:r w:rsidR="00E87D72">
        <w:rPr>
          <w:rFonts w:ascii="Arial" w:hAnsi="Arial"/>
          <w:sz w:val="22"/>
          <w:szCs w:val="22"/>
        </w:rPr>
        <w:t xml:space="preserve">potentially </w:t>
      </w:r>
      <w:r w:rsidRPr="00E573DC">
        <w:rPr>
          <w:rFonts w:ascii="Arial" w:hAnsi="Arial"/>
          <w:sz w:val="22"/>
          <w:szCs w:val="22"/>
        </w:rPr>
        <w:t>favour</w:t>
      </w:r>
      <w:r w:rsidR="008378DE">
        <w:rPr>
          <w:rFonts w:ascii="Arial" w:hAnsi="Arial"/>
          <w:sz w:val="22"/>
          <w:szCs w:val="22"/>
        </w:rPr>
        <w:t>ed</w:t>
      </w:r>
      <w:r w:rsidRPr="00E573DC">
        <w:rPr>
          <w:rFonts w:ascii="Arial" w:hAnsi="Arial"/>
          <w:sz w:val="22"/>
          <w:szCs w:val="22"/>
        </w:rPr>
        <w:t xml:space="preserve"> </w:t>
      </w:r>
      <w:proofErr w:type="spellStart"/>
      <w:r w:rsidRPr="00E573DC">
        <w:rPr>
          <w:rFonts w:ascii="Arial" w:hAnsi="Arial"/>
          <w:sz w:val="22"/>
          <w:szCs w:val="22"/>
        </w:rPr>
        <w:t>vedolizumab</w:t>
      </w:r>
      <w:proofErr w:type="spellEnd"/>
      <w:r w:rsidRPr="00E573DC">
        <w:rPr>
          <w:rFonts w:ascii="Arial" w:hAnsi="Arial"/>
          <w:sz w:val="22"/>
          <w:szCs w:val="22"/>
        </w:rPr>
        <w:t xml:space="preserve"> with respect to predicting health status at 52 weeks.</w:t>
      </w:r>
    </w:p>
    <w:p w:rsidR="00540100" w:rsidRPr="00E573DC" w:rsidRDefault="00540100" w:rsidP="00A45A14">
      <w:pPr>
        <w:ind w:left="709"/>
        <w:jc w:val="both"/>
        <w:rPr>
          <w:rFonts w:ascii="Arial" w:hAnsi="Arial"/>
          <w:sz w:val="22"/>
          <w:szCs w:val="22"/>
        </w:rPr>
      </w:pPr>
    </w:p>
    <w:p w:rsidR="00502036" w:rsidRPr="00482348" w:rsidRDefault="00EF0CEA" w:rsidP="004E7A4D">
      <w:pPr>
        <w:pStyle w:val="ListParagraph"/>
        <w:numPr>
          <w:ilvl w:val="1"/>
          <w:numId w:val="1"/>
        </w:numPr>
        <w:jc w:val="both"/>
        <w:rPr>
          <w:rFonts w:ascii="Arial" w:hAnsi="Arial"/>
          <w:sz w:val="22"/>
          <w:szCs w:val="22"/>
        </w:rPr>
      </w:pPr>
      <w:r w:rsidRPr="00E573DC">
        <w:rPr>
          <w:rFonts w:ascii="Arial" w:hAnsi="Arial"/>
          <w:sz w:val="22"/>
          <w:szCs w:val="22"/>
        </w:rPr>
        <w:t xml:space="preserve">Follow-up data on the outcomes of the ‘true’ placebo group as well as the </w:t>
      </w:r>
      <w:proofErr w:type="spellStart"/>
      <w:r w:rsidRPr="00E573DC">
        <w:rPr>
          <w:rFonts w:ascii="Arial" w:hAnsi="Arial"/>
          <w:sz w:val="22"/>
          <w:szCs w:val="22"/>
        </w:rPr>
        <w:t>vedolizumab</w:t>
      </w:r>
      <w:proofErr w:type="spellEnd"/>
      <w:r w:rsidRPr="00E573DC">
        <w:rPr>
          <w:rFonts w:ascii="Arial" w:hAnsi="Arial"/>
          <w:sz w:val="22"/>
          <w:szCs w:val="22"/>
        </w:rPr>
        <w:t xml:space="preserve"> non-responders at week 52 were not provided in the submission or clinical trial report. Whilst not directly informing the reported main outcome, </w:t>
      </w:r>
      <w:r w:rsidR="00E61173">
        <w:rPr>
          <w:rFonts w:ascii="Arial" w:hAnsi="Arial"/>
          <w:sz w:val="22"/>
          <w:szCs w:val="22"/>
        </w:rPr>
        <w:t>these</w:t>
      </w:r>
      <w:r w:rsidRPr="00E573DC">
        <w:rPr>
          <w:rFonts w:ascii="Arial" w:hAnsi="Arial"/>
          <w:sz w:val="22"/>
          <w:szCs w:val="22"/>
        </w:rPr>
        <w:t xml:space="preserve"> data may</w:t>
      </w:r>
      <w:r w:rsidR="008378DE">
        <w:rPr>
          <w:rFonts w:ascii="Arial" w:hAnsi="Arial"/>
          <w:sz w:val="22"/>
          <w:szCs w:val="22"/>
        </w:rPr>
        <w:t xml:space="preserve"> have</w:t>
      </w:r>
      <w:r w:rsidRPr="00E573DC">
        <w:rPr>
          <w:rFonts w:ascii="Arial" w:hAnsi="Arial"/>
          <w:sz w:val="22"/>
          <w:szCs w:val="22"/>
        </w:rPr>
        <w:t xml:space="preserve"> provide</w:t>
      </w:r>
      <w:r w:rsidR="008378DE">
        <w:rPr>
          <w:rFonts w:ascii="Arial" w:hAnsi="Arial"/>
          <w:sz w:val="22"/>
          <w:szCs w:val="22"/>
        </w:rPr>
        <w:t>d</w:t>
      </w:r>
      <w:r w:rsidRPr="00E573DC">
        <w:rPr>
          <w:rFonts w:ascii="Arial" w:hAnsi="Arial"/>
          <w:sz w:val="22"/>
          <w:szCs w:val="22"/>
        </w:rPr>
        <w:t xml:space="preserve"> better approximations of both efficacy and safety for use in both the clinical and economic analyses undertaken. </w:t>
      </w:r>
      <w:r w:rsidR="00E87D72" w:rsidRPr="00E573DC">
        <w:rPr>
          <w:rFonts w:ascii="Arial" w:hAnsi="Arial"/>
          <w:sz w:val="22"/>
          <w:szCs w:val="22"/>
        </w:rPr>
        <w:t>In response to the</w:t>
      </w:r>
      <w:r w:rsidR="00E87D72">
        <w:rPr>
          <w:rFonts w:ascii="Arial" w:hAnsi="Arial"/>
          <w:sz w:val="22"/>
          <w:szCs w:val="22"/>
        </w:rPr>
        <w:t xml:space="preserve"> evaluation’s observation of an</w:t>
      </w:r>
      <w:r w:rsidR="00E87D72" w:rsidRPr="00E573DC">
        <w:rPr>
          <w:rFonts w:ascii="Arial" w:hAnsi="Arial"/>
          <w:sz w:val="22"/>
          <w:szCs w:val="22"/>
        </w:rPr>
        <w:t xml:space="preserve"> absence of a ‘true’ placebo arm, the </w:t>
      </w:r>
      <w:r w:rsidR="00E61173">
        <w:rPr>
          <w:rFonts w:ascii="Arial" w:hAnsi="Arial"/>
          <w:sz w:val="22"/>
          <w:szCs w:val="22"/>
        </w:rPr>
        <w:t>sponsor’s Pre-Sub-Committee Response</w:t>
      </w:r>
      <w:r w:rsidR="00E61173" w:rsidRPr="00E573DC">
        <w:rPr>
          <w:rFonts w:ascii="Arial" w:hAnsi="Arial"/>
          <w:sz w:val="22"/>
          <w:szCs w:val="22"/>
        </w:rPr>
        <w:t xml:space="preserve"> </w:t>
      </w:r>
      <w:r w:rsidR="00E61173">
        <w:rPr>
          <w:rFonts w:ascii="Arial" w:hAnsi="Arial"/>
          <w:sz w:val="22"/>
          <w:szCs w:val="22"/>
        </w:rPr>
        <w:t>(</w:t>
      </w:r>
      <w:r w:rsidR="00E87D72" w:rsidRPr="00E573DC">
        <w:rPr>
          <w:rFonts w:ascii="Arial" w:hAnsi="Arial"/>
          <w:sz w:val="22"/>
          <w:szCs w:val="22"/>
        </w:rPr>
        <w:t>PSCR</w:t>
      </w:r>
      <w:r w:rsidR="00E61173">
        <w:rPr>
          <w:rFonts w:ascii="Arial" w:hAnsi="Arial"/>
          <w:sz w:val="22"/>
          <w:szCs w:val="22"/>
        </w:rPr>
        <w:t>)</w:t>
      </w:r>
      <w:r w:rsidR="00E87D72" w:rsidRPr="00E573DC">
        <w:rPr>
          <w:rFonts w:ascii="Arial" w:hAnsi="Arial"/>
          <w:sz w:val="22"/>
          <w:szCs w:val="22"/>
        </w:rPr>
        <w:t xml:space="preserve"> provided additional </w:t>
      </w:r>
      <w:r w:rsidR="00482348">
        <w:rPr>
          <w:rFonts w:ascii="Arial" w:hAnsi="Arial"/>
          <w:sz w:val="22"/>
          <w:szCs w:val="22"/>
        </w:rPr>
        <w:t xml:space="preserve">new comparative </w:t>
      </w:r>
      <w:r w:rsidR="00E87D72" w:rsidRPr="00E573DC">
        <w:rPr>
          <w:rFonts w:ascii="Arial" w:hAnsi="Arial"/>
          <w:sz w:val="22"/>
          <w:szCs w:val="22"/>
        </w:rPr>
        <w:t xml:space="preserve">data on patients who had been randomised to either 6 weeks induction treatment with </w:t>
      </w:r>
      <w:proofErr w:type="spellStart"/>
      <w:r w:rsidR="00E87D72" w:rsidRPr="00E573DC">
        <w:rPr>
          <w:rFonts w:ascii="Arial" w:hAnsi="Arial"/>
          <w:sz w:val="22"/>
          <w:szCs w:val="22"/>
        </w:rPr>
        <w:t>vedolizumab</w:t>
      </w:r>
      <w:proofErr w:type="spellEnd"/>
      <w:r w:rsidR="00E87D72" w:rsidRPr="00E573DC">
        <w:rPr>
          <w:rFonts w:ascii="Arial" w:hAnsi="Arial"/>
          <w:sz w:val="22"/>
          <w:szCs w:val="22"/>
        </w:rPr>
        <w:t xml:space="preserve"> or placebo</w:t>
      </w:r>
      <w:r w:rsidR="00482348">
        <w:rPr>
          <w:rFonts w:ascii="Arial" w:hAnsi="Arial"/>
          <w:sz w:val="22"/>
          <w:szCs w:val="22"/>
        </w:rPr>
        <w:t xml:space="preserve"> and who had not responded to 6 weeks of </w:t>
      </w:r>
      <w:proofErr w:type="spellStart"/>
      <w:r w:rsidR="00482348">
        <w:rPr>
          <w:rFonts w:ascii="Arial" w:hAnsi="Arial"/>
          <w:sz w:val="22"/>
          <w:szCs w:val="22"/>
        </w:rPr>
        <w:t>vedolizumab</w:t>
      </w:r>
      <w:proofErr w:type="spellEnd"/>
      <w:r w:rsidR="00482348">
        <w:rPr>
          <w:rFonts w:ascii="Arial" w:hAnsi="Arial"/>
          <w:sz w:val="22"/>
          <w:szCs w:val="22"/>
        </w:rPr>
        <w:t xml:space="preserve"> treatment. </w:t>
      </w:r>
      <w:r w:rsidR="00E87D72" w:rsidRPr="00482348">
        <w:rPr>
          <w:rFonts w:ascii="Arial" w:hAnsi="Arial"/>
          <w:sz w:val="22"/>
          <w:szCs w:val="22"/>
        </w:rPr>
        <w:t>The PSCR (p.3) contended</w:t>
      </w:r>
      <w:r w:rsidR="00482348">
        <w:rPr>
          <w:rFonts w:ascii="Arial" w:hAnsi="Arial"/>
          <w:sz w:val="22"/>
          <w:szCs w:val="22"/>
        </w:rPr>
        <w:t xml:space="preserve"> that this new data supported the claim</w:t>
      </w:r>
      <w:r w:rsidR="00E87D72" w:rsidRPr="00482348">
        <w:rPr>
          <w:rFonts w:ascii="Arial" w:hAnsi="Arial"/>
          <w:sz w:val="22"/>
          <w:szCs w:val="22"/>
        </w:rPr>
        <w:t xml:space="preserve"> that the efficacy of 52 weeks of placebo treatment is lower than that</w:t>
      </w:r>
      <w:r w:rsidR="00482348">
        <w:rPr>
          <w:rFonts w:ascii="Arial" w:hAnsi="Arial"/>
          <w:sz w:val="22"/>
          <w:szCs w:val="22"/>
        </w:rPr>
        <w:t xml:space="preserve"> originally</w:t>
      </w:r>
      <w:r w:rsidR="00E87D72" w:rsidRPr="00482348">
        <w:rPr>
          <w:rFonts w:ascii="Arial" w:hAnsi="Arial"/>
          <w:sz w:val="22"/>
          <w:szCs w:val="22"/>
        </w:rPr>
        <w:t xml:space="preserve"> estimated in the submis</w:t>
      </w:r>
      <w:r w:rsidR="00502036" w:rsidRPr="00482348">
        <w:rPr>
          <w:rFonts w:ascii="Arial" w:hAnsi="Arial"/>
          <w:sz w:val="22"/>
          <w:szCs w:val="22"/>
        </w:rPr>
        <w:t xml:space="preserve">sion and that this </w:t>
      </w:r>
      <w:r w:rsidR="00482348">
        <w:rPr>
          <w:rFonts w:ascii="Arial" w:hAnsi="Arial"/>
          <w:sz w:val="22"/>
          <w:szCs w:val="22"/>
        </w:rPr>
        <w:t xml:space="preserve">new </w:t>
      </w:r>
      <w:r w:rsidR="00502036" w:rsidRPr="00482348">
        <w:rPr>
          <w:rFonts w:ascii="Arial" w:hAnsi="Arial"/>
          <w:sz w:val="22"/>
          <w:szCs w:val="22"/>
        </w:rPr>
        <w:t>data supported</w:t>
      </w:r>
      <w:r w:rsidR="00E87D72" w:rsidRPr="00482348">
        <w:rPr>
          <w:rFonts w:ascii="Arial" w:hAnsi="Arial"/>
          <w:sz w:val="22"/>
          <w:szCs w:val="22"/>
        </w:rPr>
        <w:t xml:space="preserve"> the </w:t>
      </w:r>
      <w:r w:rsidR="00482348">
        <w:rPr>
          <w:rFonts w:ascii="Arial" w:hAnsi="Arial"/>
          <w:sz w:val="22"/>
          <w:szCs w:val="22"/>
        </w:rPr>
        <w:t>contention</w:t>
      </w:r>
      <w:r w:rsidR="00E87D72" w:rsidRPr="00482348">
        <w:rPr>
          <w:rFonts w:ascii="Arial" w:hAnsi="Arial"/>
          <w:sz w:val="22"/>
          <w:szCs w:val="22"/>
        </w:rPr>
        <w:t xml:space="preserve"> that the base case estimate of </w:t>
      </w:r>
      <w:proofErr w:type="spellStart"/>
      <w:r w:rsidR="00E87D72" w:rsidRPr="00482348">
        <w:rPr>
          <w:rFonts w:ascii="Arial" w:hAnsi="Arial"/>
          <w:sz w:val="22"/>
          <w:szCs w:val="22"/>
        </w:rPr>
        <w:t>ve</w:t>
      </w:r>
      <w:r w:rsidR="00482348">
        <w:rPr>
          <w:rFonts w:ascii="Arial" w:hAnsi="Arial"/>
          <w:sz w:val="22"/>
          <w:szCs w:val="22"/>
        </w:rPr>
        <w:t>dolizumab’s</w:t>
      </w:r>
      <w:proofErr w:type="spellEnd"/>
      <w:r w:rsidR="00482348">
        <w:rPr>
          <w:rFonts w:ascii="Arial" w:hAnsi="Arial"/>
          <w:sz w:val="22"/>
          <w:szCs w:val="22"/>
        </w:rPr>
        <w:t xml:space="preserve"> cost-effectiveness wa</w:t>
      </w:r>
      <w:r w:rsidR="00E87D72" w:rsidRPr="00482348">
        <w:rPr>
          <w:rFonts w:ascii="Arial" w:hAnsi="Arial"/>
          <w:sz w:val="22"/>
          <w:szCs w:val="22"/>
        </w:rPr>
        <w:t xml:space="preserve">s underestimated.  The ESC noted that </w:t>
      </w:r>
      <w:r w:rsidR="00502036" w:rsidRPr="00482348">
        <w:rPr>
          <w:rFonts w:ascii="Arial" w:hAnsi="Arial"/>
          <w:sz w:val="22"/>
          <w:szCs w:val="22"/>
        </w:rPr>
        <w:t>new</w:t>
      </w:r>
      <w:r w:rsidR="00E87D72" w:rsidRPr="00482348">
        <w:rPr>
          <w:rFonts w:ascii="Arial" w:hAnsi="Arial"/>
          <w:sz w:val="22"/>
          <w:szCs w:val="22"/>
        </w:rPr>
        <w:t xml:space="preserve"> data </w:t>
      </w:r>
      <w:r w:rsidR="00482348">
        <w:rPr>
          <w:rFonts w:ascii="Arial" w:hAnsi="Arial"/>
          <w:sz w:val="22"/>
          <w:szCs w:val="22"/>
        </w:rPr>
        <w:t>provided in PSCRs a</w:t>
      </w:r>
      <w:r w:rsidR="00502036" w:rsidRPr="00482348">
        <w:rPr>
          <w:rFonts w:ascii="Arial" w:hAnsi="Arial"/>
          <w:sz w:val="22"/>
          <w:szCs w:val="22"/>
        </w:rPr>
        <w:t>re not</w:t>
      </w:r>
      <w:r w:rsidR="00E87D72" w:rsidRPr="00482348">
        <w:rPr>
          <w:rFonts w:ascii="Arial" w:hAnsi="Arial"/>
          <w:sz w:val="22"/>
          <w:szCs w:val="22"/>
        </w:rPr>
        <w:t xml:space="preserve"> formally </w:t>
      </w:r>
      <w:r w:rsidR="00502036" w:rsidRPr="00482348">
        <w:rPr>
          <w:rFonts w:ascii="Arial" w:hAnsi="Arial"/>
          <w:sz w:val="22"/>
          <w:szCs w:val="22"/>
        </w:rPr>
        <w:t>evaluated.  The ESC acknowledged</w:t>
      </w:r>
      <w:r w:rsidR="00E87D72" w:rsidRPr="00482348">
        <w:rPr>
          <w:rFonts w:ascii="Arial" w:hAnsi="Arial"/>
          <w:sz w:val="22"/>
          <w:szCs w:val="22"/>
        </w:rPr>
        <w:t xml:space="preserve"> that the PSCR’s contention of an underestimate of the base-case cost-effectiven</w:t>
      </w:r>
      <w:r w:rsidR="00502036" w:rsidRPr="00482348">
        <w:rPr>
          <w:rFonts w:ascii="Arial" w:hAnsi="Arial"/>
          <w:sz w:val="22"/>
          <w:szCs w:val="22"/>
        </w:rPr>
        <w:t>ess ratio wa</w:t>
      </w:r>
      <w:r w:rsidR="00E87D72" w:rsidRPr="00482348">
        <w:rPr>
          <w:rFonts w:ascii="Arial" w:hAnsi="Arial"/>
          <w:sz w:val="22"/>
          <w:szCs w:val="22"/>
        </w:rPr>
        <w:t>s plausible but considered that the magnitude of an</w:t>
      </w:r>
      <w:r w:rsidR="00502036" w:rsidRPr="00482348">
        <w:rPr>
          <w:rFonts w:ascii="Arial" w:hAnsi="Arial"/>
          <w:sz w:val="22"/>
          <w:szCs w:val="22"/>
        </w:rPr>
        <w:t>y underestimate wa</w:t>
      </w:r>
      <w:r w:rsidR="00E87D72" w:rsidRPr="00482348">
        <w:rPr>
          <w:rFonts w:ascii="Arial" w:hAnsi="Arial"/>
          <w:sz w:val="22"/>
          <w:szCs w:val="22"/>
        </w:rPr>
        <w:t>s likely to be low</w:t>
      </w:r>
      <w:r w:rsidR="00502036" w:rsidRPr="00482348">
        <w:rPr>
          <w:rFonts w:ascii="Arial" w:hAnsi="Arial"/>
          <w:sz w:val="22"/>
          <w:szCs w:val="22"/>
        </w:rPr>
        <w:t>.</w:t>
      </w:r>
    </w:p>
    <w:p w:rsidR="00245F6B" w:rsidRPr="00245F6B" w:rsidRDefault="00245F6B" w:rsidP="00245F6B">
      <w:pPr>
        <w:jc w:val="both"/>
        <w:rPr>
          <w:rFonts w:ascii="Arial" w:hAnsi="Arial"/>
          <w:color w:val="FF0000"/>
          <w:sz w:val="22"/>
          <w:szCs w:val="22"/>
        </w:rPr>
      </w:pPr>
    </w:p>
    <w:p w:rsidR="00245F6B" w:rsidRPr="00245F6B" w:rsidRDefault="00245F6B" w:rsidP="00245F6B">
      <w:pPr>
        <w:widowControl w:val="0"/>
        <w:jc w:val="both"/>
        <w:rPr>
          <w:rFonts w:ascii="Arial" w:hAnsi="Arial" w:cs="Arial"/>
          <w:snapToGrid w:val="0"/>
          <w:sz w:val="22"/>
          <w:szCs w:val="20"/>
          <w:u w:val="single"/>
          <w:lang w:eastAsia="en-US"/>
        </w:rPr>
      </w:pPr>
      <w:proofErr w:type="spellStart"/>
      <w:r w:rsidRPr="00245F6B">
        <w:rPr>
          <w:rFonts w:ascii="Arial" w:hAnsi="Arial" w:cs="Arial"/>
          <w:snapToGrid w:val="0"/>
          <w:sz w:val="22"/>
          <w:szCs w:val="20"/>
          <w:u w:val="single"/>
          <w:lang w:eastAsia="en-US"/>
        </w:rPr>
        <w:t>Vedolizumab</w:t>
      </w:r>
      <w:proofErr w:type="spellEnd"/>
      <w:r w:rsidRPr="00245F6B">
        <w:rPr>
          <w:rFonts w:ascii="Arial" w:hAnsi="Arial" w:cs="Arial"/>
          <w:snapToGrid w:val="0"/>
          <w:sz w:val="22"/>
          <w:szCs w:val="20"/>
          <w:u w:val="single"/>
          <w:lang w:eastAsia="en-US"/>
        </w:rPr>
        <w:t xml:space="preserve"> vs. </w:t>
      </w:r>
      <w:proofErr w:type="spellStart"/>
      <w:r w:rsidRPr="00245F6B">
        <w:rPr>
          <w:rFonts w:ascii="Arial" w:hAnsi="Arial" w:cs="Arial"/>
          <w:snapToGrid w:val="0"/>
          <w:sz w:val="22"/>
          <w:szCs w:val="20"/>
          <w:u w:val="single"/>
          <w:lang w:eastAsia="en-US"/>
        </w:rPr>
        <w:t>adalimumab</w:t>
      </w:r>
      <w:proofErr w:type="spellEnd"/>
    </w:p>
    <w:p w:rsidR="00245F6B" w:rsidRDefault="00245F6B" w:rsidP="00245F6B">
      <w:pPr>
        <w:jc w:val="both"/>
        <w:rPr>
          <w:rFonts w:ascii="Arial" w:hAnsi="Arial"/>
          <w:color w:val="FF0000"/>
          <w:sz w:val="22"/>
          <w:szCs w:val="22"/>
        </w:rPr>
      </w:pPr>
    </w:p>
    <w:p w:rsidR="00245F6B" w:rsidRPr="00E573DC" w:rsidRDefault="00245F6B" w:rsidP="004E7A4D">
      <w:pPr>
        <w:pStyle w:val="ListParagraph"/>
        <w:numPr>
          <w:ilvl w:val="1"/>
          <w:numId w:val="1"/>
        </w:numPr>
        <w:jc w:val="both"/>
        <w:rPr>
          <w:rFonts w:ascii="Arial" w:hAnsi="Arial"/>
          <w:sz w:val="22"/>
          <w:szCs w:val="22"/>
        </w:rPr>
      </w:pPr>
      <w:r w:rsidRPr="00E573DC">
        <w:rPr>
          <w:rFonts w:ascii="Arial" w:hAnsi="Arial"/>
          <w:sz w:val="22"/>
          <w:szCs w:val="22"/>
        </w:rPr>
        <w:t>The submission consider</w:t>
      </w:r>
      <w:r w:rsidR="00752422">
        <w:rPr>
          <w:rFonts w:ascii="Arial" w:hAnsi="Arial"/>
          <w:sz w:val="22"/>
          <w:szCs w:val="22"/>
        </w:rPr>
        <w:t>ed</w:t>
      </w:r>
      <w:r w:rsidRPr="00E573DC">
        <w:rPr>
          <w:rFonts w:ascii="Arial" w:hAnsi="Arial"/>
          <w:sz w:val="22"/>
          <w:szCs w:val="22"/>
        </w:rPr>
        <w:t xml:space="preserve"> that </w:t>
      </w:r>
      <w:proofErr w:type="spellStart"/>
      <w:r w:rsidRPr="00E573DC">
        <w:rPr>
          <w:rFonts w:ascii="Arial" w:hAnsi="Arial"/>
          <w:sz w:val="22"/>
          <w:szCs w:val="22"/>
        </w:rPr>
        <w:t>vedolizumab</w:t>
      </w:r>
      <w:proofErr w:type="spellEnd"/>
      <w:r w:rsidRPr="00E573DC">
        <w:rPr>
          <w:rFonts w:ascii="Arial" w:hAnsi="Arial"/>
          <w:sz w:val="22"/>
          <w:szCs w:val="22"/>
        </w:rPr>
        <w:t xml:space="preserve"> is not statistically significantly different </w:t>
      </w:r>
      <w:r w:rsidR="00D601F0">
        <w:rPr>
          <w:rFonts w:ascii="Arial" w:hAnsi="Arial"/>
          <w:sz w:val="22"/>
          <w:szCs w:val="22"/>
        </w:rPr>
        <w:t>to</w:t>
      </w:r>
      <w:r w:rsidRPr="00E573DC">
        <w:rPr>
          <w:rFonts w:ascii="Arial" w:hAnsi="Arial"/>
          <w:sz w:val="22"/>
          <w:szCs w:val="22"/>
        </w:rPr>
        <w:t xml:space="preserve"> </w:t>
      </w:r>
      <w:proofErr w:type="spellStart"/>
      <w:r w:rsidRPr="00E573DC">
        <w:rPr>
          <w:rFonts w:ascii="Arial" w:hAnsi="Arial"/>
          <w:sz w:val="22"/>
          <w:szCs w:val="22"/>
        </w:rPr>
        <w:t>adalimumab</w:t>
      </w:r>
      <w:proofErr w:type="spellEnd"/>
      <w:r w:rsidRPr="00E573DC">
        <w:rPr>
          <w:rFonts w:ascii="Arial" w:hAnsi="Arial"/>
          <w:sz w:val="22"/>
          <w:szCs w:val="22"/>
        </w:rPr>
        <w:t xml:space="preserve"> for induction and maintenance therapy for the key outcomes of clinical response and clinical remission. For the indirect comparison, the 95% confidence intervals around the relative risk for the five relevant outcomes </w:t>
      </w:r>
      <w:r w:rsidR="00D601F0">
        <w:rPr>
          <w:rFonts w:ascii="Arial" w:hAnsi="Arial"/>
          <w:sz w:val="22"/>
          <w:szCs w:val="22"/>
        </w:rPr>
        <w:t>included the null</w:t>
      </w:r>
      <w:r w:rsidRPr="00E573DC">
        <w:rPr>
          <w:rFonts w:ascii="Arial" w:hAnsi="Arial"/>
          <w:sz w:val="22"/>
          <w:szCs w:val="22"/>
        </w:rPr>
        <w:t xml:space="preserve">. </w:t>
      </w:r>
    </w:p>
    <w:p w:rsidR="00245F6B" w:rsidRPr="00E573DC" w:rsidRDefault="00245F6B" w:rsidP="00245F6B">
      <w:pPr>
        <w:jc w:val="both"/>
        <w:rPr>
          <w:rFonts w:ascii="Arial" w:hAnsi="Arial"/>
          <w:i/>
          <w:color w:val="FF0000"/>
          <w:sz w:val="22"/>
          <w:szCs w:val="22"/>
        </w:rPr>
      </w:pPr>
    </w:p>
    <w:p w:rsidR="00245F6B" w:rsidRPr="00E573DC" w:rsidRDefault="00245F6B" w:rsidP="004E7A4D">
      <w:pPr>
        <w:pStyle w:val="ListParagraph"/>
        <w:numPr>
          <w:ilvl w:val="1"/>
          <w:numId w:val="1"/>
        </w:numPr>
        <w:jc w:val="both"/>
        <w:rPr>
          <w:rFonts w:ascii="Arial" w:hAnsi="Arial"/>
          <w:sz w:val="22"/>
          <w:szCs w:val="22"/>
        </w:rPr>
      </w:pPr>
      <w:r w:rsidRPr="00E573DC">
        <w:rPr>
          <w:rFonts w:ascii="Arial" w:hAnsi="Arial"/>
          <w:sz w:val="22"/>
          <w:szCs w:val="22"/>
        </w:rPr>
        <w:t>The ESC considered that for the week 6-8 results, the results of the indirect comparison should be interpreted with caution because the response and remission rate in the placebo arms appear</w:t>
      </w:r>
      <w:r w:rsidR="00752422">
        <w:rPr>
          <w:rFonts w:ascii="Arial" w:hAnsi="Arial"/>
          <w:sz w:val="22"/>
          <w:szCs w:val="22"/>
        </w:rPr>
        <w:t>ed</w:t>
      </w:r>
      <w:r w:rsidRPr="00E573DC">
        <w:rPr>
          <w:rFonts w:ascii="Arial" w:hAnsi="Arial"/>
          <w:sz w:val="22"/>
          <w:szCs w:val="22"/>
        </w:rPr>
        <w:t xml:space="preserve"> quite different. Of the placebo treated patients, 26% in the </w:t>
      </w:r>
      <w:proofErr w:type="spellStart"/>
      <w:r w:rsidRPr="00E573DC">
        <w:rPr>
          <w:rFonts w:ascii="Arial" w:hAnsi="Arial"/>
          <w:sz w:val="22"/>
          <w:szCs w:val="22"/>
        </w:rPr>
        <w:t>vedolizumab</w:t>
      </w:r>
      <w:proofErr w:type="spellEnd"/>
      <w:r w:rsidRPr="00E573DC">
        <w:rPr>
          <w:rFonts w:ascii="Arial" w:hAnsi="Arial"/>
          <w:sz w:val="22"/>
          <w:szCs w:val="22"/>
        </w:rPr>
        <w:t xml:space="preserve"> and </w:t>
      </w:r>
      <w:r w:rsidR="007369A6">
        <w:rPr>
          <w:rFonts w:ascii="Arial" w:hAnsi="Arial"/>
          <w:noProof/>
          <w:color w:val="000000"/>
          <w:sz w:val="22"/>
          <w:szCs w:val="22"/>
          <w:highlight w:val="black"/>
        </w:rPr>
        <w:t>''''''</w:t>
      </w:r>
      <w:r w:rsidRPr="00F30E2D">
        <w:rPr>
          <w:rFonts w:ascii="Arial" w:hAnsi="Arial"/>
          <w:sz w:val="22"/>
          <w:szCs w:val="22"/>
        </w:rPr>
        <w:t>%</w:t>
      </w:r>
      <w:r w:rsidRPr="00E573DC">
        <w:rPr>
          <w:rFonts w:ascii="Arial" w:hAnsi="Arial"/>
          <w:sz w:val="22"/>
          <w:szCs w:val="22"/>
        </w:rPr>
        <w:t xml:space="preserve"> in the </w:t>
      </w:r>
      <w:proofErr w:type="spellStart"/>
      <w:r w:rsidRPr="00E573DC">
        <w:rPr>
          <w:rFonts w:ascii="Arial" w:hAnsi="Arial"/>
          <w:sz w:val="22"/>
          <w:szCs w:val="22"/>
        </w:rPr>
        <w:t>adalimumab</w:t>
      </w:r>
      <w:proofErr w:type="spellEnd"/>
      <w:r w:rsidRPr="00E573DC">
        <w:rPr>
          <w:rFonts w:ascii="Arial" w:hAnsi="Arial"/>
          <w:sz w:val="22"/>
          <w:szCs w:val="22"/>
        </w:rPr>
        <w:t xml:space="preserve"> trials had a clinical response whilst 5% in the </w:t>
      </w:r>
      <w:proofErr w:type="spellStart"/>
      <w:r w:rsidRPr="00E573DC">
        <w:rPr>
          <w:rFonts w:ascii="Arial" w:hAnsi="Arial"/>
          <w:sz w:val="22"/>
          <w:szCs w:val="22"/>
        </w:rPr>
        <w:t>vedolizumab</w:t>
      </w:r>
      <w:proofErr w:type="spellEnd"/>
      <w:r w:rsidRPr="00E573DC">
        <w:rPr>
          <w:rFonts w:ascii="Arial" w:hAnsi="Arial"/>
          <w:sz w:val="22"/>
          <w:szCs w:val="22"/>
        </w:rPr>
        <w:t xml:space="preserve"> and </w:t>
      </w:r>
      <w:r w:rsidR="007369A6">
        <w:rPr>
          <w:rFonts w:ascii="Arial" w:hAnsi="Arial"/>
          <w:noProof/>
          <w:color w:val="000000"/>
          <w:sz w:val="22"/>
          <w:szCs w:val="22"/>
          <w:highlight w:val="black"/>
        </w:rPr>
        <w:t>''''''</w:t>
      </w:r>
      <w:r w:rsidRPr="00F30E2D">
        <w:rPr>
          <w:rFonts w:ascii="Arial" w:hAnsi="Arial"/>
          <w:sz w:val="22"/>
          <w:szCs w:val="22"/>
        </w:rPr>
        <w:t>%</w:t>
      </w:r>
      <w:r w:rsidRPr="00E573DC">
        <w:rPr>
          <w:rFonts w:ascii="Arial" w:hAnsi="Arial"/>
          <w:sz w:val="22"/>
          <w:szCs w:val="22"/>
        </w:rPr>
        <w:t xml:space="preserve"> in the </w:t>
      </w:r>
      <w:proofErr w:type="spellStart"/>
      <w:r w:rsidRPr="00E573DC">
        <w:rPr>
          <w:rFonts w:ascii="Arial" w:hAnsi="Arial"/>
          <w:sz w:val="22"/>
          <w:szCs w:val="22"/>
        </w:rPr>
        <w:t>adalimumab</w:t>
      </w:r>
      <w:proofErr w:type="spellEnd"/>
      <w:r w:rsidRPr="00E573DC">
        <w:rPr>
          <w:rFonts w:ascii="Arial" w:hAnsi="Arial"/>
          <w:sz w:val="22"/>
          <w:szCs w:val="22"/>
        </w:rPr>
        <w:t xml:space="preserve"> trials had clinical remission. This may </w:t>
      </w:r>
      <w:r w:rsidR="00752422">
        <w:rPr>
          <w:rFonts w:ascii="Arial" w:hAnsi="Arial"/>
          <w:sz w:val="22"/>
          <w:szCs w:val="22"/>
        </w:rPr>
        <w:t xml:space="preserve">have </w:t>
      </w:r>
      <w:r w:rsidRPr="00E573DC">
        <w:rPr>
          <w:rFonts w:ascii="Arial" w:hAnsi="Arial"/>
          <w:sz w:val="22"/>
          <w:szCs w:val="22"/>
        </w:rPr>
        <w:t>indicate</w:t>
      </w:r>
      <w:r w:rsidR="00752422">
        <w:rPr>
          <w:rFonts w:ascii="Arial" w:hAnsi="Arial"/>
          <w:sz w:val="22"/>
          <w:szCs w:val="22"/>
        </w:rPr>
        <w:t>d</w:t>
      </w:r>
      <w:r w:rsidRPr="00E573DC">
        <w:rPr>
          <w:rFonts w:ascii="Arial" w:hAnsi="Arial"/>
          <w:sz w:val="22"/>
          <w:szCs w:val="22"/>
        </w:rPr>
        <w:t xml:space="preserve"> heterogeneity between the patients included in the </w:t>
      </w:r>
      <w:proofErr w:type="spellStart"/>
      <w:r w:rsidRPr="00E573DC">
        <w:rPr>
          <w:rFonts w:ascii="Arial" w:hAnsi="Arial"/>
          <w:sz w:val="22"/>
          <w:szCs w:val="22"/>
        </w:rPr>
        <w:t>vedolizumab</w:t>
      </w:r>
      <w:proofErr w:type="spellEnd"/>
      <w:r w:rsidRPr="00E573DC">
        <w:rPr>
          <w:rFonts w:ascii="Arial" w:hAnsi="Arial"/>
          <w:sz w:val="22"/>
          <w:szCs w:val="22"/>
        </w:rPr>
        <w:t xml:space="preserve"> and </w:t>
      </w:r>
      <w:proofErr w:type="spellStart"/>
      <w:r w:rsidRPr="00E573DC">
        <w:rPr>
          <w:rFonts w:ascii="Arial" w:hAnsi="Arial"/>
          <w:sz w:val="22"/>
          <w:szCs w:val="22"/>
        </w:rPr>
        <w:t>adalimumab</w:t>
      </w:r>
      <w:proofErr w:type="spellEnd"/>
      <w:r w:rsidRPr="00E573DC">
        <w:rPr>
          <w:rFonts w:ascii="Arial" w:hAnsi="Arial"/>
          <w:sz w:val="22"/>
          <w:szCs w:val="22"/>
        </w:rPr>
        <w:t xml:space="preserve"> trials.</w:t>
      </w:r>
    </w:p>
    <w:p w:rsidR="00FC5D54" w:rsidRPr="00E573DC" w:rsidRDefault="00FC5D54" w:rsidP="00FC5D54">
      <w:pPr>
        <w:jc w:val="both"/>
        <w:rPr>
          <w:rFonts w:ascii="Arial" w:hAnsi="Arial"/>
          <w:sz w:val="22"/>
          <w:szCs w:val="22"/>
        </w:rPr>
      </w:pPr>
    </w:p>
    <w:p w:rsidR="00245F6B" w:rsidRPr="00E573DC" w:rsidRDefault="00245F6B" w:rsidP="004E7A4D">
      <w:pPr>
        <w:pStyle w:val="ListParagraph"/>
        <w:numPr>
          <w:ilvl w:val="1"/>
          <w:numId w:val="1"/>
        </w:numPr>
        <w:jc w:val="both"/>
        <w:rPr>
          <w:rFonts w:ascii="Arial" w:hAnsi="Arial"/>
          <w:sz w:val="22"/>
          <w:szCs w:val="22"/>
        </w:rPr>
      </w:pPr>
      <w:r w:rsidRPr="00E573DC">
        <w:rPr>
          <w:rFonts w:ascii="Arial" w:hAnsi="Arial"/>
          <w:sz w:val="22"/>
          <w:szCs w:val="22"/>
        </w:rPr>
        <w:t xml:space="preserve">The ESC also agreed with the evaluation that for the 52 week results, a comparison of the outcomes from the </w:t>
      </w:r>
      <w:proofErr w:type="spellStart"/>
      <w:r w:rsidRPr="00E573DC">
        <w:rPr>
          <w:rFonts w:ascii="Arial" w:hAnsi="Arial"/>
          <w:sz w:val="22"/>
          <w:szCs w:val="22"/>
        </w:rPr>
        <w:t>vedolizumab</w:t>
      </w:r>
      <w:proofErr w:type="spellEnd"/>
      <w:r w:rsidRPr="00E573DC">
        <w:rPr>
          <w:rFonts w:ascii="Arial" w:hAnsi="Arial"/>
          <w:sz w:val="22"/>
          <w:szCs w:val="22"/>
        </w:rPr>
        <w:t xml:space="preserve"> trial to the outcomes of the </w:t>
      </w:r>
      <w:proofErr w:type="spellStart"/>
      <w:r w:rsidRPr="00E573DC">
        <w:rPr>
          <w:rFonts w:ascii="Arial" w:hAnsi="Arial"/>
          <w:sz w:val="22"/>
          <w:szCs w:val="22"/>
        </w:rPr>
        <w:t>adalimumab</w:t>
      </w:r>
      <w:proofErr w:type="spellEnd"/>
      <w:r w:rsidRPr="00E573DC">
        <w:rPr>
          <w:rFonts w:ascii="Arial" w:hAnsi="Arial"/>
          <w:sz w:val="22"/>
          <w:szCs w:val="22"/>
        </w:rPr>
        <w:t xml:space="preserve"> trials </w:t>
      </w:r>
      <w:r w:rsidR="00752422">
        <w:rPr>
          <w:rFonts w:ascii="Arial" w:hAnsi="Arial"/>
          <w:sz w:val="22"/>
          <w:szCs w:val="22"/>
        </w:rPr>
        <w:t>wa</w:t>
      </w:r>
      <w:r w:rsidRPr="00E573DC">
        <w:rPr>
          <w:rFonts w:ascii="Arial" w:hAnsi="Arial"/>
          <w:sz w:val="22"/>
          <w:szCs w:val="22"/>
        </w:rPr>
        <w:t xml:space="preserve">s difficult. In the </w:t>
      </w:r>
      <w:proofErr w:type="spellStart"/>
      <w:r w:rsidRPr="00E573DC">
        <w:rPr>
          <w:rFonts w:ascii="Arial" w:hAnsi="Arial"/>
          <w:sz w:val="22"/>
          <w:szCs w:val="22"/>
        </w:rPr>
        <w:t>adalimumab</w:t>
      </w:r>
      <w:proofErr w:type="spellEnd"/>
      <w:r w:rsidRPr="00E573DC">
        <w:rPr>
          <w:rFonts w:ascii="Arial" w:hAnsi="Arial"/>
          <w:sz w:val="22"/>
          <w:szCs w:val="22"/>
        </w:rPr>
        <w:t xml:space="preserve"> trials, all randomised patients at week 0 were included in the analysis while patients in GEMINI I were required to have a response at week 6 to be eligible for the maintenance phase. </w:t>
      </w:r>
    </w:p>
    <w:p w:rsidR="00245F6B" w:rsidRPr="009079DF" w:rsidRDefault="00245F6B" w:rsidP="00AA0A5F">
      <w:pPr>
        <w:jc w:val="both"/>
        <w:rPr>
          <w:rFonts w:ascii="Arial" w:hAnsi="Arial"/>
          <w:color w:val="FF0000"/>
          <w:sz w:val="22"/>
          <w:szCs w:val="22"/>
        </w:rPr>
      </w:pPr>
    </w:p>
    <w:p w:rsidR="00AA0A5F" w:rsidRPr="00AA0A5F" w:rsidRDefault="00AA0A5F" w:rsidP="00AA0A5F">
      <w:pPr>
        <w:widowControl w:val="0"/>
        <w:jc w:val="both"/>
        <w:rPr>
          <w:rFonts w:ascii="Arial" w:hAnsi="Arial" w:cs="Arial"/>
          <w:snapToGrid w:val="0"/>
          <w:sz w:val="22"/>
          <w:szCs w:val="20"/>
          <w:u w:val="single"/>
          <w:lang w:eastAsia="en-US"/>
        </w:rPr>
      </w:pPr>
      <w:proofErr w:type="spellStart"/>
      <w:r w:rsidRPr="00AA0A5F">
        <w:rPr>
          <w:rFonts w:ascii="Arial" w:hAnsi="Arial" w:cs="Arial"/>
          <w:snapToGrid w:val="0"/>
          <w:sz w:val="22"/>
          <w:szCs w:val="20"/>
          <w:u w:val="single"/>
          <w:lang w:eastAsia="en-US"/>
        </w:rPr>
        <w:t>Vedolizumab</w:t>
      </w:r>
      <w:proofErr w:type="spellEnd"/>
      <w:r w:rsidRPr="00AA0A5F">
        <w:rPr>
          <w:rFonts w:ascii="Arial" w:hAnsi="Arial" w:cs="Arial"/>
          <w:snapToGrid w:val="0"/>
          <w:sz w:val="22"/>
          <w:szCs w:val="20"/>
          <w:u w:val="single"/>
          <w:lang w:eastAsia="en-US"/>
        </w:rPr>
        <w:t xml:space="preserve"> vs. infliximab</w:t>
      </w:r>
    </w:p>
    <w:p w:rsidR="00AA0A5F" w:rsidRDefault="00AA0A5F" w:rsidP="00AA0A5F">
      <w:pPr>
        <w:jc w:val="both"/>
        <w:rPr>
          <w:rFonts w:ascii="Arial" w:hAnsi="Arial"/>
          <w:color w:val="FF0000"/>
          <w:sz w:val="22"/>
          <w:szCs w:val="22"/>
        </w:rPr>
      </w:pPr>
    </w:p>
    <w:p w:rsidR="00AA0A5F" w:rsidRPr="00E573DC" w:rsidRDefault="00AA0A5F" w:rsidP="004E7A4D">
      <w:pPr>
        <w:pStyle w:val="ListParagraph"/>
        <w:numPr>
          <w:ilvl w:val="1"/>
          <w:numId w:val="1"/>
        </w:numPr>
        <w:jc w:val="both"/>
        <w:rPr>
          <w:rFonts w:ascii="Arial" w:hAnsi="Arial"/>
          <w:sz w:val="22"/>
          <w:szCs w:val="22"/>
        </w:rPr>
      </w:pPr>
      <w:r w:rsidRPr="00E573DC">
        <w:rPr>
          <w:rFonts w:ascii="Arial" w:hAnsi="Arial"/>
          <w:sz w:val="22"/>
          <w:szCs w:val="22"/>
        </w:rPr>
        <w:t xml:space="preserve">Both </w:t>
      </w:r>
      <w:proofErr w:type="spellStart"/>
      <w:r w:rsidRPr="00E573DC">
        <w:rPr>
          <w:rFonts w:ascii="Arial" w:hAnsi="Arial"/>
          <w:sz w:val="22"/>
          <w:szCs w:val="22"/>
        </w:rPr>
        <w:t>vedolizumab</w:t>
      </w:r>
      <w:proofErr w:type="spellEnd"/>
      <w:r w:rsidRPr="00E573DC">
        <w:rPr>
          <w:rFonts w:ascii="Arial" w:hAnsi="Arial"/>
          <w:sz w:val="22"/>
          <w:szCs w:val="22"/>
        </w:rPr>
        <w:t xml:space="preserve"> and infliximab show</w:t>
      </w:r>
      <w:r w:rsidR="00752422">
        <w:rPr>
          <w:rFonts w:ascii="Arial" w:hAnsi="Arial"/>
          <w:sz w:val="22"/>
          <w:szCs w:val="22"/>
        </w:rPr>
        <w:t>ed</w:t>
      </w:r>
      <w:r w:rsidRPr="00E573DC">
        <w:rPr>
          <w:rFonts w:ascii="Arial" w:hAnsi="Arial"/>
          <w:sz w:val="22"/>
          <w:szCs w:val="22"/>
        </w:rPr>
        <w:t xml:space="preserve"> statistically significant better response and</w:t>
      </w:r>
      <w:r w:rsidR="00752422">
        <w:rPr>
          <w:rFonts w:ascii="Arial" w:hAnsi="Arial"/>
          <w:sz w:val="22"/>
          <w:szCs w:val="22"/>
        </w:rPr>
        <w:t xml:space="preserve"> remission at week 6-8 and 52</w:t>
      </w:r>
      <w:r w:rsidRPr="00E573DC">
        <w:rPr>
          <w:rFonts w:ascii="Arial" w:hAnsi="Arial"/>
          <w:sz w:val="22"/>
          <w:szCs w:val="22"/>
        </w:rPr>
        <w:t xml:space="preserve"> compared to placebo. The indirect comparison d</w:t>
      </w:r>
      <w:r w:rsidR="00752422">
        <w:rPr>
          <w:rFonts w:ascii="Arial" w:hAnsi="Arial"/>
          <w:sz w:val="22"/>
          <w:szCs w:val="22"/>
        </w:rPr>
        <w:t>id</w:t>
      </w:r>
      <w:r w:rsidRPr="00E573DC">
        <w:rPr>
          <w:rFonts w:ascii="Arial" w:hAnsi="Arial"/>
          <w:sz w:val="22"/>
          <w:szCs w:val="22"/>
        </w:rPr>
        <w:t xml:space="preserve"> not result in statistically significant differences for any of the included outcomes. </w:t>
      </w:r>
    </w:p>
    <w:p w:rsidR="00AA0A5F" w:rsidRPr="00E573DC" w:rsidRDefault="00AA0A5F" w:rsidP="00AA0A5F">
      <w:pPr>
        <w:widowControl w:val="0"/>
        <w:jc w:val="both"/>
        <w:rPr>
          <w:rFonts w:ascii="Arial" w:hAnsi="Arial" w:cs="Arial"/>
          <w:snapToGrid w:val="0"/>
          <w:sz w:val="22"/>
          <w:szCs w:val="20"/>
          <w:lang w:eastAsia="en-US"/>
        </w:rPr>
      </w:pPr>
    </w:p>
    <w:p w:rsidR="00AA0A5F" w:rsidRPr="00E573DC" w:rsidRDefault="00AA0A5F" w:rsidP="004E7A4D">
      <w:pPr>
        <w:pStyle w:val="ListParagraph"/>
        <w:numPr>
          <w:ilvl w:val="1"/>
          <w:numId w:val="1"/>
        </w:numPr>
        <w:jc w:val="both"/>
        <w:rPr>
          <w:rFonts w:ascii="Arial" w:hAnsi="Arial"/>
          <w:sz w:val="22"/>
          <w:szCs w:val="22"/>
        </w:rPr>
      </w:pPr>
      <w:r w:rsidRPr="00E573DC">
        <w:rPr>
          <w:rFonts w:ascii="Arial" w:hAnsi="Arial"/>
          <w:sz w:val="22"/>
          <w:szCs w:val="22"/>
        </w:rPr>
        <w:t xml:space="preserve">The ESC </w:t>
      </w:r>
      <w:r w:rsidR="00752422">
        <w:rPr>
          <w:rFonts w:ascii="Arial" w:hAnsi="Arial"/>
          <w:sz w:val="22"/>
          <w:szCs w:val="22"/>
        </w:rPr>
        <w:t>advised</w:t>
      </w:r>
      <w:r w:rsidRPr="00E573DC">
        <w:rPr>
          <w:rFonts w:ascii="Arial" w:hAnsi="Arial"/>
          <w:sz w:val="22"/>
          <w:szCs w:val="22"/>
        </w:rPr>
        <w:t xml:space="preserve"> that the analyses provided by the submission should be interpreted with caution, as the analyses included the exploratory subgroup of patients who were TNFα antagonist naïve. However, the ESC noted that using results based on the ITT Population of the GEMINI I trial d</w:t>
      </w:r>
      <w:r w:rsidR="00752422">
        <w:rPr>
          <w:rFonts w:ascii="Arial" w:hAnsi="Arial"/>
          <w:sz w:val="22"/>
          <w:szCs w:val="22"/>
        </w:rPr>
        <w:t>id</w:t>
      </w:r>
      <w:r w:rsidRPr="00E573DC">
        <w:rPr>
          <w:rFonts w:ascii="Arial" w:hAnsi="Arial"/>
          <w:sz w:val="22"/>
          <w:szCs w:val="22"/>
        </w:rPr>
        <w:t xml:space="preserve"> not result in differences in the overall conclusions (i.e. </w:t>
      </w:r>
      <w:proofErr w:type="spellStart"/>
      <w:r w:rsidRPr="00E573DC">
        <w:rPr>
          <w:rFonts w:ascii="Arial" w:hAnsi="Arial"/>
          <w:sz w:val="22"/>
          <w:szCs w:val="22"/>
        </w:rPr>
        <w:t>vedolizumab</w:t>
      </w:r>
      <w:proofErr w:type="spellEnd"/>
      <w:r w:rsidRPr="00E573DC">
        <w:rPr>
          <w:rFonts w:ascii="Arial" w:hAnsi="Arial"/>
          <w:sz w:val="22"/>
          <w:szCs w:val="22"/>
        </w:rPr>
        <w:t xml:space="preserve"> is statistically significant better than placebo and not statistically significant different from infliximab, using placebo as the common comparator). </w:t>
      </w:r>
    </w:p>
    <w:p w:rsidR="00AA0A5F" w:rsidRPr="00E573DC" w:rsidRDefault="00AA0A5F" w:rsidP="00AA0A5F">
      <w:pPr>
        <w:pStyle w:val="ListParagraph"/>
        <w:rPr>
          <w:rFonts w:ascii="Arial" w:hAnsi="Arial"/>
          <w:sz w:val="22"/>
          <w:szCs w:val="22"/>
        </w:rPr>
      </w:pPr>
    </w:p>
    <w:p w:rsidR="00AA0A5F" w:rsidRPr="00E573DC" w:rsidRDefault="00AA0A5F" w:rsidP="004E7A4D">
      <w:pPr>
        <w:pStyle w:val="ListParagraph"/>
        <w:numPr>
          <w:ilvl w:val="1"/>
          <w:numId w:val="1"/>
        </w:numPr>
        <w:jc w:val="both"/>
        <w:rPr>
          <w:rFonts w:ascii="Arial" w:hAnsi="Arial"/>
          <w:sz w:val="22"/>
          <w:szCs w:val="22"/>
        </w:rPr>
      </w:pPr>
      <w:r w:rsidRPr="00E573DC">
        <w:rPr>
          <w:rFonts w:ascii="Arial" w:hAnsi="Arial"/>
          <w:sz w:val="22"/>
          <w:szCs w:val="22"/>
        </w:rPr>
        <w:lastRenderedPageBreak/>
        <w:t>The ESC further considered that the results of the indirect comparison should be interpreted with caution because:</w:t>
      </w:r>
    </w:p>
    <w:p w:rsidR="00AA0A5F" w:rsidRPr="00E573DC" w:rsidRDefault="008F5562" w:rsidP="008F5562">
      <w:pPr>
        <w:pStyle w:val="ListParagraph"/>
        <w:numPr>
          <w:ilvl w:val="0"/>
          <w:numId w:val="20"/>
        </w:numPr>
        <w:ind w:left="993" w:hanging="284"/>
        <w:jc w:val="both"/>
        <w:rPr>
          <w:rFonts w:ascii="Arial" w:hAnsi="Arial"/>
          <w:sz w:val="22"/>
          <w:szCs w:val="22"/>
        </w:rPr>
      </w:pPr>
      <w:r>
        <w:rPr>
          <w:rFonts w:ascii="Arial" w:hAnsi="Arial"/>
          <w:sz w:val="22"/>
          <w:szCs w:val="22"/>
        </w:rPr>
        <w:t>As noted above, i</w:t>
      </w:r>
      <w:r w:rsidR="00AA0A5F" w:rsidRPr="00E573DC">
        <w:rPr>
          <w:rFonts w:ascii="Arial" w:hAnsi="Arial"/>
          <w:sz w:val="22"/>
          <w:szCs w:val="22"/>
        </w:rPr>
        <w:t xml:space="preserve">n GEMINI I, patients were randomised for the maintenance trial only if the patient had a response with </w:t>
      </w:r>
      <w:proofErr w:type="spellStart"/>
      <w:r w:rsidR="00AA0A5F" w:rsidRPr="00E573DC">
        <w:rPr>
          <w:rFonts w:ascii="Arial" w:hAnsi="Arial"/>
          <w:sz w:val="22"/>
          <w:szCs w:val="22"/>
        </w:rPr>
        <w:t>vedolizumab</w:t>
      </w:r>
      <w:proofErr w:type="spellEnd"/>
      <w:r w:rsidR="00AA0A5F" w:rsidRPr="00E573DC">
        <w:rPr>
          <w:rFonts w:ascii="Arial" w:hAnsi="Arial"/>
          <w:sz w:val="22"/>
          <w:szCs w:val="22"/>
        </w:rPr>
        <w:t xml:space="preserve"> at </w:t>
      </w:r>
      <w:r>
        <w:rPr>
          <w:rFonts w:ascii="Arial" w:hAnsi="Arial"/>
          <w:sz w:val="22"/>
          <w:szCs w:val="22"/>
        </w:rPr>
        <w:t>week 6, while i</w:t>
      </w:r>
      <w:r w:rsidR="00AA0A5F" w:rsidRPr="00E573DC">
        <w:rPr>
          <w:rFonts w:ascii="Arial" w:hAnsi="Arial"/>
          <w:sz w:val="22"/>
          <w:szCs w:val="22"/>
        </w:rPr>
        <w:t>n the infliximab trial (ACT 1)</w:t>
      </w:r>
      <w:r>
        <w:rPr>
          <w:rFonts w:ascii="Arial" w:hAnsi="Arial"/>
          <w:sz w:val="22"/>
          <w:szCs w:val="22"/>
        </w:rPr>
        <w:t>,</w:t>
      </w:r>
      <w:r w:rsidR="00AA0A5F" w:rsidRPr="00E573DC">
        <w:rPr>
          <w:rFonts w:ascii="Arial" w:hAnsi="Arial"/>
          <w:sz w:val="22"/>
          <w:szCs w:val="22"/>
        </w:rPr>
        <w:t xml:space="preserve"> patients were randomised to receive induction and maintenance at week 0. </w:t>
      </w:r>
    </w:p>
    <w:p w:rsidR="00AA0A5F" w:rsidRPr="00E573DC" w:rsidRDefault="00AA0A5F" w:rsidP="008F5562">
      <w:pPr>
        <w:pStyle w:val="ListParagraph"/>
        <w:numPr>
          <w:ilvl w:val="0"/>
          <w:numId w:val="20"/>
        </w:numPr>
        <w:ind w:left="993" w:hanging="284"/>
        <w:jc w:val="both"/>
        <w:rPr>
          <w:rFonts w:ascii="Arial" w:hAnsi="Arial"/>
          <w:sz w:val="22"/>
          <w:szCs w:val="22"/>
        </w:rPr>
      </w:pPr>
      <w:r w:rsidRPr="00E573DC">
        <w:rPr>
          <w:rFonts w:ascii="Arial" w:hAnsi="Arial"/>
          <w:sz w:val="22"/>
          <w:szCs w:val="22"/>
        </w:rPr>
        <w:t>For the results at week 8, the resp</w:t>
      </w:r>
      <w:r w:rsidR="008F5562">
        <w:rPr>
          <w:rFonts w:ascii="Arial" w:hAnsi="Arial"/>
          <w:sz w:val="22"/>
          <w:szCs w:val="22"/>
        </w:rPr>
        <w:t>onse rates in the placebo arms we</w:t>
      </w:r>
      <w:r w:rsidRPr="00E573DC">
        <w:rPr>
          <w:rFonts w:ascii="Arial" w:hAnsi="Arial"/>
          <w:sz w:val="22"/>
          <w:szCs w:val="22"/>
        </w:rPr>
        <w:t xml:space="preserve">re lower in the </w:t>
      </w:r>
      <w:proofErr w:type="spellStart"/>
      <w:r w:rsidRPr="00E573DC">
        <w:rPr>
          <w:rFonts w:ascii="Arial" w:hAnsi="Arial"/>
          <w:sz w:val="22"/>
          <w:szCs w:val="22"/>
        </w:rPr>
        <w:t>vedolizumab</w:t>
      </w:r>
      <w:proofErr w:type="spellEnd"/>
      <w:r w:rsidRPr="00E573DC">
        <w:rPr>
          <w:rFonts w:ascii="Arial" w:hAnsi="Arial"/>
          <w:sz w:val="22"/>
          <w:szCs w:val="22"/>
        </w:rPr>
        <w:t xml:space="preserve"> trial (both ITT and TNFα-antagonist naïve)</w:t>
      </w:r>
      <w:proofErr w:type="gramStart"/>
      <w:r w:rsidRPr="00E573DC">
        <w:rPr>
          <w:rFonts w:ascii="Arial" w:hAnsi="Arial"/>
          <w:sz w:val="22"/>
          <w:szCs w:val="22"/>
        </w:rPr>
        <w:t>,</w:t>
      </w:r>
      <w:proofErr w:type="gramEnd"/>
      <w:r w:rsidRPr="00E573DC">
        <w:rPr>
          <w:rFonts w:ascii="Arial" w:hAnsi="Arial"/>
          <w:sz w:val="22"/>
          <w:szCs w:val="22"/>
        </w:rPr>
        <w:t xml:space="preserve"> therefore indicating the exchangeability of the trials may not </w:t>
      </w:r>
      <w:r w:rsidR="007E0BD8">
        <w:rPr>
          <w:rFonts w:ascii="Arial" w:hAnsi="Arial"/>
          <w:sz w:val="22"/>
          <w:szCs w:val="22"/>
        </w:rPr>
        <w:t>have been</w:t>
      </w:r>
      <w:r w:rsidRPr="00E573DC">
        <w:rPr>
          <w:rFonts w:ascii="Arial" w:hAnsi="Arial"/>
          <w:sz w:val="22"/>
          <w:szCs w:val="22"/>
        </w:rPr>
        <w:t xml:space="preserve"> ideal</w:t>
      </w:r>
      <w:r w:rsidR="008F5562">
        <w:rPr>
          <w:rFonts w:ascii="Arial" w:hAnsi="Arial"/>
          <w:sz w:val="22"/>
          <w:szCs w:val="22"/>
        </w:rPr>
        <w:t>.</w:t>
      </w:r>
    </w:p>
    <w:p w:rsidR="00DF26A7" w:rsidRDefault="00DF26A7"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245F6B" w:rsidRDefault="00245F6B"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Default="005A3173" w:rsidP="00882085">
      <w:pPr>
        <w:ind w:left="720" w:hanging="720"/>
        <w:jc w:val="both"/>
        <w:rPr>
          <w:rFonts w:ascii="Arial" w:hAnsi="Arial"/>
          <w:sz w:val="22"/>
          <w:szCs w:val="22"/>
        </w:rPr>
      </w:pPr>
    </w:p>
    <w:p w:rsidR="008A0F9F" w:rsidRPr="00E573DC" w:rsidRDefault="008A0F9F" w:rsidP="008A0F9F">
      <w:pPr>
        <w:jc w:val="both"/>
        <w:rPr>
          <w:rFonts w:ascii="Arial" w:hAnsi="Arial"/>
          <w:sz w:val="22"/>
          <w:szCs w:val="22"/>
          <w:u w:val="single"/>
        </w:rPr>
      </w:pPr>
      <w:proofErr w:type="spellStart"/>
      <w:r w:rsidRPr="00E573DC">
        <w:rPr>
          <w:rFonts w:ascii="Arial" w:hAnsi="Arial"/>
          <w:sz w:val="22"/>
          <w:szCs w:val="22"/>
          <w:u w:val="single"/>
        </w:rPr>
        <w:t>Vedolizumab</w:t>
      </w:r>
      <w:proofErr w:type="spellEnd"/>
      <w:r w:rsidRPr="00E573DC">
        <w:rPr>
          <w:rFonts w:ascii="Arial" w:hAnsi="Arial"/>
          <w:sz w:val="22"/>
          <w:szCs w:val="22"/>
          <w:u w:val="single"/>
        </w:rPr>
        <w:t xml:space="preserve"> vs. placebo</w:t>
      </w:r>
    </w:p>
    <w:p w:rsidR="008A0F9F" w:rsidRPr="00E573DC" w:rsidRDefault="008A0F9F" w:rsidP="00882085">
      <w:pPr>
        <w:ind w:left="720" w:hanging="720"/>
        <w:jc w:val="both"/>
        <w:rPr>
          <w:rFonts w:ascii="Arial" w:hAnsi="Arial"/>
          <w:sz w:val="22"/>
          <w:szCs w:val="22"/>
        </w:rPr>
      </w:pPr>
    </w:p>
    <w:p w:rsidR="0023595E" w:rsidRPr="00E573DC" w:rsidRDefault="0023595E" w:rsidP="004E7A4D">
      <w:pPr>
        <w:pStyle w:val="ListParagraph"/>
        <w:numPr>
          <w:ilvl w:val="1"/>
          <w:numId w:val="1"/>
        </w:numPr>
        <w:jc w:val="both"/>
        <w:rPr>
          <w:rFonts w:ascii="Arial" w:hAnsi="Arial"/>
          <w:sz w:val="22"/>
          <w:szCs w:val="22"/>
        </w:rPr>
      </w:pPr>
      <w:r w:rsidRPr="00E573DC">
        <w:rPr>
          <w:rFonts w:ascii="Arial" w:hAnsi="Arial"/>
          <w:sz w:val="22"/>
          <w:szCs w:val="22"/>
        </w:rPr>
        <w:t xml:space="preserve">The most common AEs for maintenance phase were exacerbations of ulcerative colitis, headache, </w:t>
      </w:r>
      <w:proofErr w:type="spellStart"/>
      <w:r w:rsidRPr="00E573DC">
        <w:rPr>
          <w:rFonts w:ascii="Arial" w:hAnsi="Arial"/>
          <w:sz w:val="22"/>
          <w:szCs w:val="22"/>
        </w:rPr>
        <w:t>nasopharyngitis</w:t>
      </w:r>
      <w:proofErr w:type="spellEnd"/>
      <w:r w:rsidRPr="00E573DC">
        <w:rPr>
          <w:rFonts w:ascii="Arial" w:hAnsi="Arial"/>
          <w:sz w:val="22"/>
          <w:szCs w:val="22"/>
        </w:rPr>
        <w:t>, arthralgia and upper respiratory tract infection. The submission state</w:t>
      </w:r>
      <w:r w:rsidR="007E0BD8">
        <w:rPr>
          <w:rFonts w:ascii="Arial" w:hAnsi="Arial"/>
          <w:sz w:val="22"/>
          <w:szCs w:val="22"/>
        </w:rPr>
        <w:t>d</w:t>
      </w:r>
      <w:r w:rsidRPr="00E573DC">
        <w:rPr>
          <w:rFonts w:ascii="Arial" w:hAnsi="Arial"/>
          <w:sz w:val="22"/>
          <w:szCs w:val="22"/>
        </w:rPr>
        <w:t xml:space="preserve"> that there were no differences for the most common adverse events between the placebo and </w:t>
      </w:r>
      <w:proofErr w:type="spellStart"/>
      <w:r w:rsidRPr="00E573DC">
        <w:rPr>
          <w:rFonts w:ascii="Arial" w:hAnsi="Arial"/>
          <w:sz w:val="22"/>
          <w:szCs w:val="22"/>
        </w:rPr>
        <w:t>vedolizumab</w:t>
      </w:r>
      <w:proofErr w:type="spellEnd"/>
      <w:r w:rsidRPr="00E573DC">
        <w:rPr>
          <w:rFonts w:ascii="Arial" w:hAnsi="Arial"/>
          <w:sz w:val="22"/>
          <w:szCs w:val="22"/>
        </w:rPr>
        <w:t xml:space="preserve"> groups, apart from ulcerative colitis. The safety </w:t>
      </w:r>
      <w:r w:rsidR="007E0BD8">
        <w:rPr>
          <w:rFonts w:ascii="Arial" w:hAnsi="Arial"/>
          <w:sz w:val="22"/>
          <w:szCs w:val="22"/>
        </w:rPr>
        <w:t>analyses in the GEMINI I trial we</w:t>
      </w:r>
      <w:r w:rsidRPr="00E573DC">
        <w:rPr>
          <w:rFonts w:ascii="Arial" w:hAnsi="Arial"/>
          <w:sz w:val="22"/>
          <w:szCs w:val="22"/>
        </w:rPr>
        <w:t xml:space="preserve">re not based on patients randomised to either placebo or </w:t>
      </w:r>
      <w:proofErr w:type="spellStart"/>
      <w:r w:rsidRPr="00E573DC">
        <w:rPr>
          <w:rFonts w:ascii="Arial" w:hAnsi="Arial"/>
          <w:sz w:val="22"/>
          <w:szCs w:val="22"/>
        </w:rPr>
        <w:t>vedolizumab</w:t>
      </w:r>
      <w:proofErr w:type="spellEnd"/>
      <w:r w:rsidR="007E0BD8">
        <w:rPr>
          <w:rFonts w:ascii="Arial" w:hAnsi="Arial"/>
          <w:sz w:val="22"/>
          <w:szCs w:val="22"/>
        </w:rPr>
        <w:t xml:space="preserve"> at week 0</w:t>
      </w:r>
      <w:r w:rsidRPr="00E573DC">
        <w:rPr>
          <w:rFonts w:ascii="Arial" w:hAnsi="Arial"/>
          <w:sz w:val="22"/>
          <w:szCs w:val="22"/>
        </w:rPr>
        <w:t xml:space="preserve"> and then followed for 52 weeks, due to the trial design.  </w:t>
      </w:r>
    </w:p>
    <w:p w:rsidR="00534CB4" w:rsidRPr="00E573DC" w:rsidRDefault="00534CB4" w:rsidP="00534CB4">
      <w:pPr>
        <w:pStyle w:val="ListParagraph"/>
        <w:ind w:left="709"/>
        <w:jc w:val="both"/>
        <w:rPr>
          <w:rFonts w:ascii="Arial" w:hAnsi="Arial"/>
          <w:sz w:val="22"/>
          <w:szCs w:val="22"/>
        </w:rPr>
      </w:pPr>
    </w:p>
    <w:p w:rsidR="00534CB4" w:rsidRPr="00E573DC" w:rsidRDefault="007E0BD8" w:rsidP="004E7A4D">
      <w:pPr>
        <w:pStyle w:val="ListParagraph"/>
        <w:numPr>
          <w:ilvl w:val="1"/>
          <w:numId w:val="1"/>
        </w:numPr>
        <w:jc w:val="both"/>
        <w:rPr>
          <w:rFonts w:ascii="Arial" w:hAnsi="Arial"/>
          <w:sz w:val="22"/>
          <w:szCs w:val="22"/>
        </w:rPr>
      </w:pPr>
      <w:r>
        <w:rPr>
          <w:rFonts w:ascii="Arial" w:hAnsi="Arial"/>
          <w:sz w:val="22"/>
          <w:szCs w:val="22"/>
        </w:rPr>
        <w:t xml:space="preserve">As noted under </w:t>
      </w:r>
      <w:r w:rsidR="00E87D72">
        <w:rPr>
          <w:rFonts w:ascii="Arial" w:hAnsi="Arial"/>
          <w:sz w:val="22"/>
          <w:szCs w:val="22"/>
        </w:rPr>
        <w:t>‘4. Clinical place of the proposed therapy’, s</w:t>
      </w:r>
      <w:r>
        <w:rPr>
          <w:rFonts w:ascii="Arial" w:hAnsi="Arial"/>
          <w:sz w:val="22"/>
          <w:szCs w:val="22"/>
        </w:rPr>
        <w:t xml:space="preserve">ince </w:t>
      </w:r>
      <w:proofErr w:type="spellStart"/>
      <w:r>
        <w:rPr>
          <w:rFonts w:ascii="Arial" w:hAnsi="Arial"/>
          <w:sz w:val="22"/>
          <w:szCs w:val="22"/>
        </w:rPr>
        <w:t>v</w:t>
      </w:r>
      <w:r w:rsidR="00534CB4" w:rsidRPr="00E573DC">
        <w:rPr>
          <w:rFonts w:ascii="Arial" w:hAnsi="Arial"/>
          <w:sz w:val="22"/>
          <w:szCs w:val="22"/>
        </w:rPr>
        <w:t>edolizumab</w:t>
      </w:r>
      <w:proofErr w:type="spellEnd"/>
      <w:r w:rsidR="00534CB4" w:rsidRPr="00E573DC">
        <w:rPr>
          <w:rFonts w:ascii="Arial" w:hAnsi="Arial"/>
          <w:sz w:val="22"/>
          <w:szCs w:val="22"/>
        </w:rPr>
        <w:t xml:space="preserve"> is in the same pharmacological class as </w:t>
      </w:r>
      <w:proofErr w:type="spellStart"/>
      <w:r w:rsidR="00534CB4" w:rsidRPr="00E573DC">
        <w:rPr>
          <w:rFonts w:ascii="Arial" w:hAnsi="Arial"/>
          <w:sz w:val="22"/>
          <w:szCs w:val="22"/>
        </w:rPr>
        <w:t>natalizumab</w:t>
      </w:r>
      <w:proofErr w:type="spellEnd"/>
      <w:r>
        <w:rPr>
          <w:rFonts w:ascii="Arial" w:hAnsi="Arial"/>
          <w:sz w:val="22"/>
          <w:szCs w:val="22"/>
        </w:rPr>
        <w:t>,</w:t>
      </w:r>
      <w:r w:rsidR="00534CB4" w:rsidRPr="00E573DC">
        <w:rPr>
          <w:rFonts w:ascii="Arial" w:hAnsi="Arial"/>
          <w:sz w:val="22"/>
          <w:szCs w:val="22"/>
        </w:rPr>
        <w:t xml:space="preserve"> </w:t>
      </w:r>
      <w:r>
        <w:rPr>
          <w:rFonts w:ascii="Arial" w:hAnsi="Arial"/>
          <w:sz w:val="22"/>
          <w:szCs w:val="22"/>
        </w:rPr>
        <w:t xml:space="preserve">the PBAC was concerned that </w:t>
      </w:r>
      <w:proofErr w:type="spellStart"/>
      <w:r>
        <w:rPr>
          <w:rFonts w:ascii="Arial" w:hAnsi="Arial"/>
          <w:sz w:val="22"/>
          <w:szCs w:val="22"/>
        </w:rPr>
        <w:t>vedolizumab</w:t>
      </w:r>
      <w:proofErr w:type="spellEnd"/>
      <w:r>
        <w:rPr>
          <w:rFonts w:ascii="Arial" w:hAnsi="Arial"/>
          <w:sz w:val="22"/>
          <w:szCs w:val="22"/>
        </w:rPr>
        <w:t xml:space="preserve"> </w:t>
      </w:r>
      <w:r w:rsidR="00534CB4" w:rsidRPr="00E573DC">
        <w:rPr>
          <w:rFonts w:ascii="Arial" w:hAnsi="Arial"/>
          <w:sz w:val="22"/>
          <w:szCs w:val="22"/>
        </w:rPr>
        <w:t xml:space="preserve">may have </w:t>
      </w:r>
      <w:r>
        <w:rPr>
          <w:rFonts w:ascii="Arial" w:hAnsi="Arial"/>
          <w:sz w:val="22"/>
          <w:szCs w:val="22"/>
        </w:rPr>
        <w:t>a</w:t>
      </w:r>
      <w:r w:rsidR="00534CB4" w:rsidRPr="00E573DC">
        <w:rPr>
          <w:rFonts w:ascii="Arial" w:hAnsi="Arial"/>
          <w:sz w:val="22"/>
          <w:szCs w:val="22"/>
        </w:rPr>
        <w:t xml:space="preserve"> theoretical potential to be associated with an increased risk of PML. The PSCR (p.4) noted that “To date no cases of PML have been reported, despite over 3,700 patient years of exposure in the program.”  However, </w:t>
      </w:r>
      <w:r>
        <w:rPr>
          <w:rFonts w:ascii="Arial" w:hAnsi="Arial"/>
          <w:sz w:val="22"/>
          <w:szCs w:val="22"/>
        </w:rPr>
        <w:t>it was</w:t>
      </w:r>
      <w:r w:rsidR="00534CB4" w:rsidRPr="00E573DC">
        <w:rPr>
          <w:rFonts w:ascii="Arial" w:hAnsi="Arial"/>
          <w:sz w:val="22"/>
          <w:szCs w:val="22"/>
        </w:rPr>
        <w:t xml:space="preserve"> noted that patients were excluded from the key trial (GEMINI I) or extension study (C13008) if they were potentially at risk of PML and that such careful screening may not occur to the same extent in practice by gastroenterologists as compared to neurologists treating multiple-sclerosis patients with </w:t>
      </w:r>
      <w:proofErr w:type="spellStart"/>
      <w:r w:rsidR="00534CB4" w:rsidRPr="00E573DC">
        <w:rPr>
          <w:rFonts w:ascii="Arial" w:hAnsi="Arial"/>
          <w:sz w:val="22"/>
          <w:szCs w:val="22"/>
        </w:rPr>
        <w:t>natalizumab</w:t>
      </w:r>
      <w:proofErr w:type="spellEnd"/>
      <w:r w:rsidR="00534CB4" w:rsidRPr="00E573DC">
        <w:rPr>
          <w:rFonts w:ascii="Arial" w:hAnsi="Arial"/>
          <w:sz w:val="22"/>
          <w:szCs w:val="22"/>
        </w:rPr>
        <w:t>.</w:t>
      </w:r>
    </w:p>
    <w:p w:rsidR="00245F6B" w:rsidRDefault="00245F6B" w:rsidP="00245F6B">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82085" w:rsidRDefault="00882085" w:rsidP="00882085">
      <w:pPr>
        <w:jc w:val="both"/>
        <w:rPr>
          <w:rFonts w:ascii="Arial" w:hAnsi="Arial"/>
          <w:b/>
          <w:i/>
          <w:sz w:val="22"/>
          <w:szCs w:val="22"/>
        </w:rPr>
      </w:pPr>
    </w:p>
    <w:p w:rsidR="00B97225" w:rsidRDefault="00B97225" w:rsidP="00B97225">
      <w:pPr>
        <w:jc w:val="both"/>
        <w:rPr>
          <w:rFonts w:ascii="Arial" w:hAnsi="Arial"/>
          <w:b/>
          <w:i/>
          <w:sz w:val="22"/>
          <w:szCs w:val="22"/>
        </w:rPr>
      </w:pPr>
      <w:r w:rsidRPr="00B97225">
        <w:rPr>
          <w:rFonts w:ascii="Arial" w:hAnsi="Arial"/>
          <w:b/>
          <w:i/>
          <w:sz w:val="22"/>
          <w:szCs w:val="22"/>
        </w:rPr>
        <w:t>Benefits/Harms</w:t>
      </w:r>
    </w:p>
    <w:p w:rsidR="000B2AD3" w:rsidRDefault="000B2AD3">
      <w:pPr>
        <w:rPr>
          <w:rFonts w:ascii="Arial" w:hAnsi="Arial"/>
          <w:sz w:val="22"/>
          <w:szCs w:val="22"/>
          <w:u w:val="single"/>
        </w:rPr>
      </w:pPr>
    </w:p>
    <w:p w:rsidR="00245F6B" w:rsidRDefault="00245F6B" w:rsidP="00245F6B">
      <w:pPr>
        <w:jc w:val="both"/>
        <w:rPr>
          <w:rFonts w:ascii="Arial" w:hAnsi="Arial"/>
          <w:sz w:val="22"/>
          <w:szCs w:val="22"/>
          <w:u w:val="single"/>
        </w:rPr>
      </w:pPr>
      <w:proofErr w:type="spellStart"/>
      <w:r w:rsidRPr="0023595E">
        <w:rPr>
          <w:rFonts w:ascii="Arial" w:hAnsi="Arial"/>
          <w:sz w:val="22"/>
          <w:szCs w:val="22"/>
          <w:u w:val="single"/>
        </w:rPr>
        <w:t>Vedolizumab</w:t>
      </w:r>
      <w:proofErr w:type="spellEnd"/>
      <w:r w:rsidRPr="0023595E">
        <w:rPr>
          <w:rFonts w:ascii="Arial" w:hAnsi="Arial"/>
          <w:sz w:val="22"/>
          <w:szCs w:val="22"/>
          <w:u w:val="single"/>
        </w:rPr>
        <w:t xml:space="preserve"> vs. placebo</w:t>
      </w:r>
    </w:p>
    <w:p w:rsidR="00245F6B" w:rsidRDefault="00245F6B" w:rsidP="00245F6B">
      <w:pPr>
        <w:jc w:val="both"/>
        <w:rPr>
          <w:rFonts w:ascii="Arial" w:hAnsi="Arial"/>
          <w:sz w:val="22"/>
          <w:szCs w:val="22"/>
          <w:u w:val="single"/>
        </w:rPr>
      </w:pPr>
    </w:p>
    <w:p w:rsidR="00245F6B" w:rsidRPr="00E573DC" w:rsidRDefault="00245F6B" w:rsidP="004E7A4D">
      <w:pPr>
        <w:pStyle w:val="ListParagraph"/>
        <w:numPr>
          <w:ilvl w:val="1"/>
          <w:numId w:val="1"/>
        </w:numPr>
        <w:jc w:val="both"/>
        <w:rPr>
          <w:rFonts w:ascii="Arial" w:hAnsi="Arial"/>
          <w:sz w:val="22"/>
          <w:szCs w:val="22"/>
        </w:rPr>
      </w:pPr>
      <w:r w:rsidRPr="00E573DC">
        <w:rPr>
          <w:rFonts w:ascii="Arial" w:hAnsi="Arial"/>
          <w:sz w:val="22"/>
          <w:szCs w:val="22"/>
        </w:rPr>
        <w:t xml:space="preserve">A summary of the comparative benefits and harms for </w:t>
      </w:r>
      <w:proofErr w:type="spellStart"/>
      <w:r w:rsidRPr="00E573DC">
        <w:rPr>
          <w:rFonts w:ascii="Arial" w:hAnsi="Arial"/>
          <w:sz w:val="22"/>
          <w:szCs w:val="22"/>
        </w:rPr>
        <w:t>vedolizumab</w:t>
      </w:r>
      <w:proofErr w:type="spellEnd"/>
      <w:r w:rsidRPr="00E573DC">
        <w:rPr>
          <w:rFonts w:ascii="Arial" w:hAnsi="Arial"/>
          <w:sz w:val="22"/>
          <w:szCs w:val="22"/>
        </w:rPr>
        <w:t xml:space="preserve"> versus placebo is presented in the table below.</w:t>
      </w:r>
    </w:p>
    <w:p w:rsidR="00245F6B" w:rsidRPr="00E573DC" w:rsidRDefault="00245F6B" w:rsidP="00245F6B">
      <w:pPr>
        <w:jc w:val="both"/>
        <w:rPr>
          <w:rFonts w:ascii="Arial" w:hAnsi="Arial"/>
          <w:b/>
          <w:i/>
          <w:sz w:val="22"/>
          <w:szCs w:val="22"/>
        </w:rPr>
      </w:pPr>
    </w:p>
    <w:p w:rsidR="00245F6B" w:rsidRPr="00E573DC" w:rsidRDefault="00245F6B" w:rsidP="00245F6B">
      <w:pPr>
        <w:pStyle w:val="ListParagraph"/>
        <w:ind w:left="709"/>
        <w:jc w:val="both"/>
        <w:rPr>
          <w:rFonts w:ascii="Arial" w:hAnsi="Arial"/>
          <w:sz w:val="22"/>
          <w:szCs w:val="22"/>
        </w:rPr>
      </w:pPr>
      <w:r w:rsidRPr="00E573DC">
        <w:rPr>
          <w:rFonts w:ascii="Arial Narrow" w:hAnsi="Arial Narrow" w:cs="Arial"/>
          <w:b/>
          <w:snapToGrid w:val="0"/>
          <w:sz w:val="20"/>
          <w:szCs w:val="16"/>
          <w:lang w:eastAsia="en-US"/>
        </w:rPr>
        <w:t xml:space="preserve">Summary of comparative benefits and harms for </w:t>
      </w:r>
      <w:proofErr w:type="spellStart"/>
      <w:r w:rsidRPr="00E573DC">
        <w:rPr>
          <w:rFonts w:ascii="Arial Narrow" w:hAnsi="Arial Narrow" w:cs="Arial"/>
          <w:b/>
          <w:snapToGrid w:val="0"/>
          <w:sz w:val="20"/>
          <w:szCs w:val="16"/>
          <w:lang w:eastAsia="en-US"/>
        </w:rPr>
        <w:t>vedolizumab</w:t>
      </w:r>
      <w:proofErr w:type="spellEnd"/>
      <w:r w:rsidRPr="00E573DC">
        <w:rPr>
          <w:rFonts w:ascii="Arial Narrow" w:hAnsi="Arial Narrow" w:cs="Arial"/>
          <w:b/>
          <w:snapToGrid w:val="0"/>
          <w:sz w:val="20"/>
          <w:szCs w:val="16"/>
          <w:lang w:eastAsia="en-US"/>
        </w:rPr>
        <w:t xml:space="preserve"> and PBO in GEMINI I</w:t>
      </w:r>
    </w:p>
    <w:tbl>
      <w:tblPr>
        <w:tblStyle w:val="TableGrid"/>
        <w:tblW w:w="4594" w:type="pct"/>
        <w:tblInd w:w="737" w:type="dxa"/>
        <w:tblCellMar>
          <w:left w:w="28" w:type="dxa"/>
          <w:right w:w="28" w:type="dxa"/>
        </w:tblCellMar>
        <w:tblLook w:val="04A0" w:firstRow="1" w:lastRow="0" w:firstColumn="1" w:lastColumn="0" w:noHBand="0" w:noVBand="1"/>
        <w:tblDescription w:val="Summary of comparative benefits and harms for vedolizumab and PBO in GEMINI I"/>
      </w:tblPr>
      <w:tblGrid>
        <w:gridCol w:w="1657"/>
        <w:gridCol w:w="835"/>
        <w:gridCol w:w="1034"/>
        <w:gridCol w:w="1312"/>
        <w:gridCol w:w="1133"/>
        <w:gridCol w:w="1034"/>
        <w:gridCol w:w="1362"/>
      </w:tblGrid>
      <w:tr w:rsidR="00245F6B" w:rsidRPr="00E573DC" w:rsidTr="001A5809">
        <w:trPr>
          <w:trHeight w:val="20"/>
          <w:tblHeader/>
        </w:trPr>
        <w:tc>
          <w:tcPr>
            <w:tcW w:w="990" w:type="pct"/>
            <w:vMerge w:val="restart"/>
            <w:shd w:val="clear" w:color="auto" w:fill="auto"/>
            <w:vAlign w:val="center"/>
          </w:tcPr>
          <w:p w:rsidR="00245F6B" w:rsidRPr="00E573DC" w:rsidRDefault="00245F6B" w:rsidP="00540100">
            <w:pPr>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Trial</w:t>
            </w:r>
          </w:p>
        </w:tc>
        <w:tc>
          <w:tcPr>
            <w:tcW w:w="499" w:type="pct"/>
            <w:vMerge w:val="restart"/>
            <w:vAlign w:val="center"/>
          </w:tcPr>
          <w:p w:rsidR="00245F6B" w:rsidRPr="00E573DC" w:rsidRDefault="00245F6B" w:rsidP="00540100">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VED</w:t>
            </w:r>
          </w:p>
        </w:tc>
        <w:tc>
          <w:tcPr>
            <w:tcW w:w="618" w:type="pct"/>
            <w:vMerge w:val="restart"/>
            <w:vAlign w:val="center"/>
          </w:tcPr>
          <w:p w:rsidR="00245F6B" w:rsidRPr="00E573DC" w:rsidRDefault="00245F6B" w:rsidP="00540100">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PBO</w:t>
            </w:r>
          </w:p>
        </w:tc>
        <w:tc>
          <w:tcPr>
            <w:tcW w:w="784" w:type="pct"/>
            <w:vMerge w:val="restart"/>
            <w:vAlign w:val="center"/>
          </w:tcPr>
          <w:p w:rsidR="00245F6B" w:rsidRPr="00E573DC" w:rsidRDefault="00245F6B" w:rsidP="00540100">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RR</w:t>
            </w:r>
          </w:p>
          <w:p w:rsidR="00245F6B" w:rsidRPr="00E573DC" w:rsidRDefault="00245F6B" w:rsidP="00540100">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c>
          <w:tcPr>
            <w:tcW w:w="1295" w:type="pct"/>
            <w:gridSpan w:val="2"/>
            <w:vAlign w:val="center"/>
          </w:tcPr>
          <w:p w:rsidR="00245F6B" w:rsidRPr="00E573DC" w:rsidRDefault="00245F6B" w:rsidP="00540100">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 xml:space="preserve">Event rate/100 patients* </w:t>
            </w:r>
          </w:p>
        </w:tc>
        <w:tc>
          <w:tcPr>
            <w:tcW w:w="814" w:type="pct"/>
            <w:vMerge w:val="restart"/>
            <w:vAlign w:val="center"/>
          </w:tcPr>
          <w:p w:rsidR="00245F6B" w:rsidRPr="00E573DC" w:rsidRDefault="00245F6B" w:rsidP="00540100">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RD</w:t>
            </w:r>
          </w:p>
          <w:p w:rsidR="00245F6B" w:rsidRPr="00E573DC" w:rsidRDefault="00245F6B" w:rsidP="00540100">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r>
      <w:tr w:rsidR="00245F6B" w:rsidRPr="00E573DC" w:rsidTr="001A5809">
        <w:trPr>
          <w:trHeight w:val="20"/>
          <w:tblHeader/>
        </w:trPr>
        <w:tc>
          <w:tcPr>
            <w:tcW w:w="990" w:type="pct"/>
            <w:vMerge/>
            <w:shd w:val="clear" w:color="auto" w:fill="auto"/>
            <w:vAlign w:val="center"/>
          </w:tcPr>
          <w:p w:rsidR="00245F6B" w:rsidRPr="008378DE" w:rsidRDefault="00245F6B" w:rsidP="00540100">
            <w:pPr>
              <w:widowControl w:val="0"/>
              <w:jc w:val="both"/>
              <w:rPr>
                <w:rFonts w:ascii="Arial Narrow" w:hAnsi="Arial Narrow" w:cs="Arial"/>
                <w:b/>
                <w:snapToGrid w:val="0"/>
                <w:color w:val="000000"/>
                <w:sz w:val="20"/>
                <w:szCs w:val="18"/>
                <w:lang w:eastAsia="en-US"/>
              </w:rPr>
            </w:pPr>
          </w:p>
        </w:tc>
        <w:tc>
          <w:tcPr>
            <w:tcW w:w="499" w:type="pct"/>
            <w:vMerge/>
            <w:vAlign w:val="center"/>
          </w:tcPr>
          <w:p w:rsidR="00245F6B" w:rsidRPr="008378DE" w:rsidRDefault="00245F6B" w:rsidP="00540100">
            <w:pPr>
              <w:widowControl w:val="0"/>
              <w:jc w:val="center"/>
              <w:rPr>
                <w:rFonts w:ascii="Arial Narrow" w:hAnsi="Arial Narrow" w:cs="Arial"/>
                <w:b/>
                <w:snapToGrid w:val="0"/>
                <w:color w:val="000000"/>
                <w:sz w:val="20"/>
                <w:szCs w:val="18"/>
                <w:lang w:eastAsia="en-US"/>
              </w:rPr>
            </w:pPr>
          </w:p>
        </w:tc>
        <w:tc>
          <w:tcPr>
            <w:tcW w:w="618" w:type="pct"/>
            <w:vMerge/>
            <w:vAlign w:val="center"/>
          </w:tcPr>
          <w:p w:rsidR="00245F6B" w:rsidRPr="008378DE" w:rsidRDefault="00245F6B" w:rsidP="00540100">
            <w:pPr>
              <w:widowControl w:val="0"/>
              <w:jc w:val="center"/>
              <w:rPr>
                <w:rFonts w:ascii="Arial Narrow" w:hAnsi="Arial Narrow" w:cs="Arial"/>
                <w:b/>
                <w:snapToGrid w:val="0"/>
                <w:color w:val="000000"/>
                <w:sz w:val="20"/>
                <w:szCs w:val="18"/>
                <w:lang w:eastAsia="en-US"/>
              </w:rPr>
            </w:pPr>
          </w:p>
        </w:tc>
        <w:tc>
          <w:tcPr>
            <w:tcW w:w="784" w:type="pct"/>
            <w:vMerge/>
            <w:vAlign w:val="center"/>
          </w:tcPr>
          <w:p w:rsidR="00245F6B" w:rsidRPr="008378DE" w:rsidRDefault="00245F6B" w:rsidP="00540100">
            <w:pPr>
              <w:widowControl w:val="0"/>
              <w:jc w:val="center"/>
              <w:rPr>
                <w:rFonts w:ascii="Arial Narrow" w:hAnsi="Arial Narrow" w:cs="Arial"/>
                <w:b/>
                <w:snapToGrid w:val="0"/>
                <w:color w:val="000000"/>
                <w:sz w:val="20"/>
                <w:szCs w:val="18"/>
                <w:lang w:eastAsia="en-US"/>
              </w:rPr>
            </w:pPr>
          </w:p>
        </w:tc>
        <w:tc>
          <w:tcPr>
            <w:tcW w:w="677" w:type="pct"/>
            <w:vAlign w:val="center"/>
          </w:tcPr>
          <w:p w:rsidR="00245F6B" w:rsidRPr="008378DE" w:rsidRDefault="00245F6B" w:rsidP="00540100">
            <w:pPr>
              <w:widowControl w:val="0"/>
              <w:jc w:val="center"/>
              <w:rPr>
                <w:rFonts w:ascii="Arial Narrow" w:hAnsi="Arial Narrow" w:cs="Arial"/>
                <w:b/>
                <w:snapToGrid w:val="0"/>
                <w:color w:val="000000"/>
                <w:sz w:val="20"/>
                <w:szCs w:val="18"/>
                <w:lang w:eastAsia="en-US"/>
              </w:rPr>
            </w:pPr>
            <w:r w:rsidRPr="008378DE">
              <w:rPr>
                <w:rFonts w:ascii="Arial Narrow" w:hAnsi="Arial Narrow" w:cs="Arial"/>
                <w:b/>
                <w:snapToGrid w:val="0"/>
                <w:color w:val="000000"/>
                <w:sz w:val="20"/>
                <w:szCs w:val="18"/>
                <w:lang w:eastAsia="en-US"/>
              </w:rPr>
              <w:t>VED</w:t>
            </w:r>
          </w:p>
        </w:tc>
        <w:tc>
          <w:tcPr>
            <w:tcW w:w="618" w:type="pct"/>
            <w:vAlign w:val="center"/>
          </w:tcPr>
          <w:p w:rsidR="00245F6B" w:rsidRPr="008378DE" w:rsidRDefault="00245F6B" w:rsidP="00540100">
            <w:pPr>
              <w:widowControl w:val="0"/>
              <w:jc w:val="center"/>
              <w:rPr>
                <w:rFonts w:ascii="Arial Narrow" w:hAnsi="Arial Narrow" w:cs="Arial"/>
                <w:b/>
                <w:snapToGrid w:val="0"/>
                <w:color w:val="000000"/>
                <w:sz w:val="20"/>
                <w:szCs w:val="18"/>
                <w:lang w:eastAsia="en-US"/>
              </w:rPr>
            </w:pPr>
            <w:r w:rsidRPr="008378DE">
              <w:rPr>
                <w:rFonts w:ascii="Arial Narrow" w:hAnsi="Arial Narrow" w:cs="Arial"/>
                <w:b/>
                <w:snapToGrid w:val="0"/>
                <w:color w:val="000000"/>
                <w:sz w:val="20"/>
                <w:szCs w:val="18"/>
                <w:lang w:eastAsia="en-US"/>
              </w:rPr>
              <w:t>PBO</w:t>
            </w:r>
          </w:p>
        </w:tc>
        <w:tc>
          <w:tcPr>
            <w:tcW w:w="814" w:type="pct"/>
            <w:vMerge/>
            <w:vAlign w:val="center"/>
          </w:tcPr>
          <w:p w:rsidR="00245F6B" w:rsidRPr="008378DE" w:rsidRDefault="00245F6B" w:rsidP="00540100">
            <w:pPr>
              <w:widowControl w:val="0"/>
              <w:jc w:val="center"/>
              <w:rPr>
                <w:rFonts w:ascii="Arial Narrow" w:hAnsi="Arial Narrow" w:cs="Arial"/>
                <w:b/>
                <w:snapToGrid w:val="0"/>
                <w:color w:val="000000"/>
                <w:sz w:val="20"/>
                <w:szCs w:val="18"/>
                <w:lang w:eastAsia="en-US"/>
              </w:rPr>
            </w:pPr>
          </w:p>
        </w:tc>
      </w:tr>
      <w:tr w:rsidR="00245F6B" w:rsidRPr="00E573DC" w:rsidTr="00540100">
        <w:trPr>
          <w:trHeight w:val="20"/>
        </w:trPr>
        <w:tc>
          <w:tcPr>
            <w:tcW w:w="5000" w:type="pct"/>
            <w:gridSpan w:val="7"/>
            <w:shd w:val="clear" w:color="auto" w:fill="auto"/>
            <w:vAlign w:val="center"/>
          </w:tcPr>
          <w:p w:rsidR="00245F6B" w:rsidRPr="00E573DC" w:rsidRDefault="00245F6B" w:rsidP="00540100">
            <w:pPr>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Benefits</w:t>
            </w:r>
          </w:p>
        </w:tc>
      </w:tr>
      <w:tr w:rsidR="00245F6B" w:rsidRPr="00E573DC" w:rsidTr="00540100">
        <w:trPr>
          <w:trHeight w:val="20"/>
        </w:trPr>
        <w:tc>
          <w:tcPr>
            <w:tcW w:w="5000" w:type="pct"/>
            <w:gridSpan w:val="7"/>
            <w:shd w:val="clear" w:color="auto" w:fill="auto"/>
            <w:vAlign w:val="center"/>
          </w:tcPr>
          <w:p w:rsidR="00245F6B" w:rsidRPr="00E573DC" w:rsidRDefault="00245F6B" w:rsidP="00540100">
            <w:pPr>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Week 6 results – induction population (patients randomised at week 0)</w:t>
            </w:r>
          </w:p>
        </w:tc>
      </w:tr>
      <w:tr w:rsidR="00245F6B" w:rsidRPr="00E573DC" w:rsidTr="001A5809">
        <w:trPr>
          <w:trHeight w:val="20"/>
        </w:trPr>
        <w:tc>
          <w:tcPr>
            <w:tcW w:w="990" w:type="pct"/>
            <w:shd w:val="clear" w:color="auto" w:fill="auto"/>
            <w:vAlign w:val="center"/>
          </w:tcPr>
          <w:p w:rsidR="00245F6B" w:rsidRPr="00E573DC" w:rsidRDefault="00245F6B" w:rsidP="00540100">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Response</w:t>
            </w:r>
          </w:p>
        </w:tc>
        <w:tc>
          <w:tcPr>
            <w:tcW w:w="499"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106/225</w:t>
            </w:r>
          </w:p>
        </w:tc>
        <w:tc>
          <w:tcPr>
            <w:tcW w:w="618"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38/149</w:t>
            </w:r>
          </w:p>
        </w:tc>
        <w:tc>
          <w:tcPr>
            <w:tcW w:w="784" w:type="pct"/>
            <w:vAlign w:val="center"/>
          </w:tcPr>
          <w:p w:rsidR="00245F6B" w:rsidRPr="007369A6" w:rsidRDefault="007369A6" w:rsidP="00540100">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 '''''''</w:t>
            </w:r>
          </w:p>
        </w:tc>
        <w:tc>
          <w:tcPr>
            <w:tcW w:w="677"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47</w:t>
            </w:r>
          </w:p>
        </w:tc>
        <w:tc>
          <w:tcPr>
            <w:tcW w:w="618"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26</w:t>
            </w:r>
          </w:p>
        </w:tc>
        <w:tc>
          <w:tcPr>
            <w:tcW w:w="814" w:type="pct"/>
            <w:vAlign w:val="center"/>
          </w:tcPr>
          <w:p w:rsidR="00245F6B" w:rsidRPr="007369A6" w:rsidRDefault="007369A6" w:rsidP="00540100">
            <w:pPr>
              <w:widowControl w:val="0"/>
              <w:jc w:val="center"/>
              <w:rPr>
                <w:rFonts w:ascii="Arial Narrow" w:hAnsi="Arial Narrow" w:cs="Arial"/>
                <w:snapToGrid w:val="0"/>
                <w:color w:val="000000"/>
                <w:sz w:val="20"/>
                <w:szCs w:val="18"/>
                <w:highlight w:val="black"/>
                <w:lang w:eastAsia="en-US"/>
              </w:rPr>
            </w:pPr>
            <w:r>
              <w:rPr>
                <w:rFonts w:ascii="Arial Narrow" w:hAnsi="Arial Narrow" w:cs="Arial"/>
                <w:b/>
                <w:noProof/>
                <w:snapToGrid w:val="0"/>
                <w:color w:val="000000"/>
                <w:sz w:val="20"/>
                <w:szCs w:val="20"/>
                <w:highlight w:val="black"/>
                <w:lang w:eastAsia="en-US"/>
              </w:rPr>
              <w:t>'''''''' '''''''''' '''''''''''</w:t>
            </w:r>
          </w:p>
        </w:tc>
      </w:tr>
      <w:tr w:rsidR="00245F6B" w:rsidRPr="00E573DC" w:rsidTr="001A5809">
        <w:trPr>
          <w:trHeight w:val="20"/>
        </w:trPr>
        <w:tc>
          <w:tcPr>
            <w:tcW w:w="990" w:type="pct"/>
            <w:shd w:val="clear" w:color="auto" w:fill="auto"/>
            <w:vAlign w:val="center"/>
          </w:tcPr>
          <w:p w:rsidR="00245F6B" w:rsidRPr="00E573DC" w:rsidRDefault="00245F6B" w:rsidP="00540100">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Remission</w:t>
            </w:r>
          </w:p>
        </w:tc>
        <w:tc>
          <w:tcPr>
            <w:tcW w:w="499"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38/225</w:t>
            </w:r>
          </w:p>
        </w:tc>
        <w:tc>
          <w:tcPr>
            <w:tcW w:w="618"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8/149</w:t>
            </w:r>
          </w:p>
        </w:tc>
        <w:tc>
          <w:tcPr>
            <w:tcW w:w="784" w:type="pct"/>
            <w:vAlign w:val="center"/>
          </w:tcPr>
          <w:p w:rsidR="00245F6B" w:rsidRPr="007369A6" w:rsidRDefault="007369A6" w:rsidP="00540100">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 ''''''''</w:t>
            </w:r>
          </w:p>
        </w:tc>
        <w:tc>
          <w:tcPr>
            <w:tcW w:w="677"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17</w:t>
            </w:r>
          </w:p>
        </w:tc>
        <w:tc>
          <w:tcPr>
            <w:tcW w:w="618" w:type="pct"/>
            <w:vAlign w:val="center"/>
          </w:tcPr>
          <w:p w:rsidR="00245F6B" w:rsidRPr="00E573DC" w:rsidRDefault="00FE0675"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8</w:t>
            </w:r>
          </w:p>
        </w:tc>
        <w:tc>
          <w:tcPr>
            <w:tcW w:w="814" w:type="pct"/>
            <w:vAlign w:val="center"/>
          </w:tcPr>
          <w:p w:rsidR="00245F6B" w:rsidRPr="007369A6" w:rsidRDefault="007369A6" w:rsidP="00540100">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 ''''''''''</w:t>
            </w:r>
          </w:p>
        </w:tc>
      </w:tr>
      <w:tr w:rsidR="00245F6B" w:rsidRPr="00E573DC" w:rsidTr="00540100">
        <w:trPr>
          <w:trHeight w:val="20"/>
        </w:trPr>
        <w:tc>
          <w:tcPr>
            <w:tcW w:w="5000" w:type="pct"/>
            <w:gridSpan w:val="7"/>
            <w:shd w:val="clear" w:color="auto" w:fill="auto"/>
            <w:vAlign w:val="center"/>
          </w:tcPr>
          <w:p w:rsidR="00245F6B" w:rsidRPr="00E573DC" w:rsidRDefault="00245F6B" w:rsidP="00540100">
            <w:pPr>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Week 52 results</w:t>
            </w:r>
            <w:r w:rsidRPr="00E573DC">
              <w:rPr>
                <w:rFonts w:ascii="Arial Narrow" w:hAnsi="Arial Narrow" w:cs="Arial"/>
                <w:b/>
                <w:snapToGrid w:val="0"/>
                <w:color w:val="000000"/>
                <w:sz w:val="20"/>
                <w:szCs w:val="18"/>
                <w:vertAlign w:val="superscript"/>
                <w:lang w:eastAsia="en-US"/>
              </w:rPr>
              <w:t xml:space="preserve"> </w:t>
            </w:r>
            <w:r w:rsidRPr="00E573DC">
              <w:rPr>
                <w:rFonts w:ascii="Arial Narrow" w:hAnsi="Arial Narrow" w:cs="Arial"/>
                <w:b/>
                <w:snapToGrid w:val="0"/>
                <w:color w:val="000000"/>
                <w:sz w:val="20"/>
                <w:szCs w:val="18"/>
                <w:lang w:eastAsia="en-US"/>
              </w:rPr>
              <w:t xml:space="preserve"> – maintenance population (patients who responded to OL or DB </w:t>
            </w:r>
            <w:proofErr w:type="spellStart"/>
            <w:r w:rsidRPr="00E573DC">
              <w:rPr>
                <w:rFonts w:ascii="Arial Narrow" w:hAnsi="Arial Narrow" w:cs="Arial"/>
                <w:b/>
                <w:snapToGrid w:val="0"/>
                <w:color w:val="000000"/>
                <w:sz w:val="20"/>
                <w:szCs w:val="18"/>
                <w:lang w:eastAsia="en-US"/>
              </w:rPr>
              <w:t>vedolizumab</w:t>
            </w:r>
            <w:proofErr w:type="spellEnd"/>
            <w:r w:rsidRPr="00E573DC">
              <w:rPr>
                <w:rFonts w:ascii="Arial Narrow" w:hAnsi="Arial Narrow" w:cs="Arial"/>
                <w:b/>
                <w:snapToGrid w:val="0"/>
                <w:color w:val="000000"/>
                <w:sz w:val="20"/>
                <w:szCs w:val="18"/>
                <w:lang w:eastAsia="en-US"/>
              </w:rPr>
              <w:t xml:space="preserve"> induction)</w:t>
            </w:r>
          </w:p>
        </w:tc>
      </w:tr>
      <w:tr w:rsidR="00245F6B" w:rsidRPr="00E573DC" w:rsidTr="001A5809">
        <w:trPr>
          <w:trHeight w:val="20"/>
        </w:trPr>
        <w:tc>
          <w:tcPr>
            <w:tcW w:w="990" w:type="pct"/>
            <w:shd w:val="clear" w:color="auto" w:fill="auto"/>
            <w:vAlign w:val="center"/>
          </w:tcPr>
          <w:p w:rsidR="00245F6B" w:rsidRPr="00E573DC" w:rsidRDefault="00245F6B" w:rsidP="00540100">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Remission</w:t>
            </w:r>
          </w:p>
        </w:tc>
        <w:tc>
          <w:tcPr>
            <w:tcW w:w="499"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51/122</w:t>
            </w:r>
          </w:p>
        </w:tc>
        <w:tc>
          <w:tcPr>
            <w:tcW w:w="618"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20/126</w:t>
            </w:r>
          </w:p>
        </w:tc>
        <w:tc>
          <w:tcPr>
            <w:tcW w:w="784" w:type="pct"/>
            <w:vAlign w:val="center"/>
          </w:tcPr>
          <w:p w:rsidR="00245F6B" w:rsidRPr="007369A6" w:rsidRDefault="007369A6" w:rsidP="00540100">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677"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42 </w:t>
            </w:r>
          </w:p>
        </w:tc>
        <w:tc>
          <w:tcPr>
            <w:tcW w:w="618"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16 </w:t>
            </w:r>
          </w:p>
        </w:tc>
        <w:tc>
          <w:tcPr>
            <w:tcW w:w="814" w:type="pct"/>
            <w:vAlign w:val="center"/>
          </w:tcPr>
          <w:p w:rsidR="00245F6B" w:rsidRPr="007369A6" w:rsidRDefault="007369A6" w:rsidP="00540100">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r>
      <w:tr w:rsidR="00245F6B" w:rsidRPr="00E573DC" w:rsidTr="001A5809">
        <w:trPr>
          <w:trHeight w:val="20"/>
        </w:trPr>
        <w:tc>
          <w:tcPr>
            <w:tcW w:w="990" w:type="pct"/>
            <w:shd w:val="clear" w:color="auto" w:fill="auto"/>
            <w:vAlign w:val="center"/>
          </w:tcPr>
          <w:p w:rsidR="00245F6B" w:rsidRPr="00E573DC" w:rsidRDefault="00245F6B" w:rsidP="00540100">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Durable response (</w:t>
            </w:r>
            <w:proofErr w:type="spellStart"/>
            <w:r w:rsidRPr="00E573DC">
              <w:rPr>
                <w:rFonts w:ascii="Arial Narrow" w:hAnsi="Arial Narrow" w:cs="Arial"/>
                <w:snapToGrid w:val="0"/>
                <w:color w:val="000000"/>
                <w:sz w:val="20"/>
                <w:szCs w:val="18"/>
                <w:lang w:eastAsia="en-US"/>
              </w:rPr>
              <w:t>wk</w:t>
            </w:r>
            <w:proofErr w:type="spellEnd"/>
            <w:r w:rsidRPr="00E573DC">
              <w:rPr>
                <w:rFonts w:ascii="Arial Narrow" w:hAnsi="Arial Narrow" w:cs="Arial"/>
                <w:snapToGrid w:val="0"/>
                <w:color w:val="000000"/>
                <w:sz w:val="20"/>
                <w:szCs w:val="18"/>
                <w:lang w:eastAsia="en-US"/>
              </w:rPr>
              <w:t xml:space="preserve"> 6 + 52)</w:t>
            </w:r>
          </w:p>
        </w:tc>
        <w:tc>
          <w:tcPr>
            <w:tcW w:w="499"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69/122</w:t>
            </w:r>
          </w:p>
        </w:tc>
        <w:tc>
          <w:tcPr>
            <w:tcW w:w="618"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30/126</w:t>
            </w:r>
          </w:p>
        </w:tc>
        <w:tc>
          <w:tcPr>
            <w:tcW w:w="784" w:type="pct"/>
            <w:vAlign w:val="center"/>
          </w:tcPr>
          <w:p w:rsidR="00245F6B" w:rsidRPr="007369A6" w:rsidRDefault="007369A6" w:rsidP="00540100">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677"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57 </w:t>
            </w:r>
          </w:p>
        </w:tc>
        <w:tc>
          <w:tcPr>
            <w:tcW w:w="618"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24 </w:t>
            </w:r>
          </w:p>
        </w:tc>
        <w:tc>
          <w:tcPr>
            <w:tcW w:w="814" w:type="pct"/>
            <w:vAlign w:val="center"/>
          </w:tcPr>
          <w:p w:rsidR="00245F6B" w:rsidRPr="007369A6" w:rsidRDefault="007369A6" w:rsidP="00540100">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r>
      <w:tr w:rsidR="00245F6B" w:rsidRPr="00E573DC" w:rsidTr="001A5809">
        <w:trPr>
          <w:trHeight w:val="20"/>
        </w:trPr>
        <w:tc>
          <w:tcPr>
            <w:tcW w:w="990" w:type="pct"/>
            <w:shd w:val="clear" w:color="auto" w:fill="auto"/>
            <w:vAlign w:val="center"/>
          </w:tcPr>
          <w:p w:rsidR="001A5809" w:rsidRPr="00E573DC" w:rsidRDefault="00245F6B" w:rsidP="00540100">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Durable remission </w:t>
            </w:r>
            <w:r w:rsidRPr="00E573DC">
              <w:rPr>
                <w:rFonts w:ascii="Arial Narrow" w:hAnsi="Arial Narrow" w:cs="Arial"/>
                <w:snapToGrid w:val="0"/>
                <w:color w:val="000000"/>
                <w:sz w:val="20"/>
                <w:szCs w:val="18"/>
                <w:lang w:eastAsia="en-US"/>
              </w:rPr>
              <w:lastRenderedPageBreak/>
              <w:t>(</w:t>
            </w:r>
            <w:proofErr w:type="spellStart"/>
            <w:r w:rsidRPr="00E573DC">
              <w:rPr>
                <w:rFonts w:ascii="Arial Narrow" w:hAnsi="Arial Narrow" w:cs="Arial"/>
                <w:snapToGrid w:val="0"/>
                <w:color w:val="000000"/>
                <w:sz w:val="20"/>
                <w:szCs w:val="18"/>
                <w:lang w:eastAsia="en-US"/>
              </w:rPr>
              <w:t>wk</w:t>
            </w:r>
            <w:proofErr w:type="spellEnd"/>
            <w:r w:rsidRPr="00E573DC">
              <w:rPr>
                <w:rFonts w:ascii="Arial Narrow" w:hAnsi="Arial Narrow" w:cs="Arial"/>
                <w:snapToGrid w:val="0"/>
                <w:color w:val="000000"/>
                <w:sz w:val="20"/>
                <w:szCs w:val="18"/>
                <w:lang w:eastAsia="en-US"/>
              </w:rPr>
              <w:t xml:space="preserve"> 6 + 52)</w:t>
            </w:r>
          </w:p>
        </w:tc>
        <w:tc>
          <w:tcPr>
            <w:tcW w:w="499"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lastRenderedPageBreak/>
              <w:t>25/122</w:t>
            </w:r>
          </w:p>
        </w:tc>
        <w:tc>
          <w:tcPr>
            <w:tcW w:w="618"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11/126</w:t>
            </w:r>
          </w:p>
        </w:tc>
        <w:tc>
          <w:tcPr>
            <w:tcW w:w="784" w:type="pct"/>
            <w:vAlign w:val="center"/>
          </w:tcPr>
          <w:p w:rsidR="00245F6B" w:rsidRPr="007369A6" w:rsidRDefault="007369A6" w:rsidP="00540100">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677"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21 </w:t>
            </w:r>
          </w:p>
        </w:tc>
        <w:tc>
          <w:tcPr>
            <w:tcW w:w="618" w:type="pct"/>
            <w:vAlign w:val="center"/>
          </w:tcPr>
          <w:p w:rsidR="00245F6B" w:rsidRPr="00E573DC" w:rsidRDefault="00245F6B" w:rsidP="00540100">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9</w:t>
            </w:r>
          </w:p>
        </w:tc>
        <w:tc>
          <w:tcPr>
            <w:tcW w:w="814" w:type="pct"/>
            <w:vAlign w:val="center"/>
          </w:tcPr>
          <w:p w:rsidR="00245F6B" w:rsidRPr="007369A6" w:rsidRDefault="007369A6" w:rsidP="00540100">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r>
    </w:tbl>
    <w:p w:rsidR="001A5809" w:rsidRDefault="001A5809" w:rsidP="00245F6B">
      <w:pPr>
        <w:pStyle w:val="TableFooter"/>
        <w:ind w:firstLine="720"/>
      </w:pPr>
    </w:p>
    <w:tbl>
      <w:tblPr>
        <w:tblStyle w:val="TableGrid"/>
        <w:tblW w:w="4594" w:type="pct"/>
        <w:tblInd w:w="737" w:type="dxa"/>
        <w:tblCellMar>
          <w:left w:w="28" w:type="dxa"/>
          <w:right w:w="28" w:type="dxa"/>
        </w:tblCellMar>
        <w:tblLook w:val="04A0" w:firstRow="1" w:lastRow="0" w:firstColumn="1" w:lastColumn="0" w:noHBand="0" w:noVBand="1"/>
        <w:tblDescription w:val="Summary of comparative benefits and harms for vedolizumab and PBO in GEMINI I"/>
      </w:tblPr>
      <w:tblGrid>
        <w:gridCol w:w="1657"/>
        <w:gridCol w:w="835"/>
        <w:gridCol w:w="1034"/>
        <w:gridCol w:w="1312"/>
        <w:gridCol w:w="1133"/>
        <w:gridCol w:w="1034"/>
        <w:gridCol w:w="1362"/>
      </w:tblGrid>
      <w:tr w:rsidR="001A5809" w:rsidRPr="001A5809" w:rsidTr="00EE1721">
        <w:trPr>
          <w:trHeight w:val="20"/>
          <w:tblHeader/>
        </w:trPr>
        <w:tc>
          <w:tcPr>
            <w:tcW w:w="5000" w:type="pct"/>
            <w:gridSpan w:val="7"/>
            <w:tcBorders>
              <w:top w:val="double" w:sz="4" w:space="0" w:color="auto"/>
            </w:tcBorders>
            <w:shd w:val="clear" w:color="auto" w:fill="auto"/>
            <w:vAlign w:val="center"/>
          </w:tcPr>
          <w:p w:rsidR="001A5809" w:rsidRPr="007369A6" w:rsidRDefault="007369A6" w:rsidP="00F30E2D">
            <w:pPr>
              <w:widowControl w:val="0"/>
              <w:jc w:val="both"/>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 ''''' ''''''''''''' ''' '''''''''''''''''''''''' ''''''''''''''''''''''' '''''''''''''''''''' '''''''' ''''''''''''''''''''' ''''' '''''' '''' '''''' ''''''''''''''''''''''''''' '''''''''''''''''''''</w:t>
            </w:r>
          </w:p>
        </w:tc>
      </w:tr>
      <w:tr w:rsidR="001A5809" w:rsidRPr="001A5809" w:rsidTr="00F30E2D">
        <w:trPr>
          <w:trHeight w:val="20"/>
        </w:trPr>
        <w:tc>
          <w:tcPr>
            <w:tcW w:w="990" w:type="pct"/>
            <w:vMerge w:val="restart"/>
            <w:shd w:val="clear" w:color="auto" w:fill="auto"/>
            <w:vAlign w:val="center"/>
          </w:tcPr>
          <w:p w:rsidR="001A5809" w:rsidRPr="007369A6" w:rsidRDefault="001A5809" w:rsidP="00F30E2D">
            <w:pPr>
              <w:widowControl w:val="0"/>
              <w:jc w:val="both"/>
              <w:rPr>
                <w:rFonts w:ascii="Arial Narrow" w:hAnsi="Arial Narrow" w:cs="Arial"/>
                <w:b/>
                <w:snapToGrid w:val="0"/>
                <w:color w:val="000000"/>
                <w:sz w:val="20"/>
                <w:szCs w:val="18"/>
                <w:lang w:eastAsia="en-US"/>
              </w:rPr>
            </w:pPr>
          </w:p>
        </w:tc>
        <w:tc>
          <w:tcPr>
            <w:tcW w:w="499" w:type="pct"/>
            <w:vMerge w:val="restart"/>
            <w:vAlign w:val="center"/>
          </w:tcPr>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tc>
        <w:tc>
          <w:tcPr>
            <w:tcW w:w="618" w:type="pct"/>
            <w:vMerge w:val="restart"/>
            <w:vAlign w:val="center"/>
          </w:tcPr>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tc>
        <w:tc>
          <w:tcPr>
            <w:tcW w:w="784" w:type="pct"/>
            <w:vMerge w:val="restart"/>
            <w:vAlign w:val="center"/>
          </w:tcPr>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w:t>
            </w:r>
          </w:p>
        </w:tc>
        <w:tc>
          <w:tcPr>
            <w:tcW w:w="1295" w:type="pct"/>
            <w:gridSpan w:val="2"/>
            <w:vAlign w:val="center"/>
          </w:tcPr>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 ''''''''''''''''' ''</w:t>
            </w:r>
          </w:p>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xml:space="preserve">''''' ''''''''''''' </w:t>
            </w:r>
          </w:p>
        </w:tc>
        <w:tc>
          <w:tcPr>
            <w:tcW w:w="815" w:type="pct"/>
            <w:vMerge w:val="restart"/>
            <w:vAlign w:val="center"/>
          </w:tcPr>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w:t>
            </w:r>
          </w:p>
        </w:tc>
      </w:tr>
      <w:tr w:rsidR="001A5809" w:rsidRPr="001A5809" w:rsidTr="00F30E2D">
        <w:trPr>
          <w:trHeight w:val="20"/>
        </w:trPr>
        <w:tc>
          <w:tcPr>
            <w:tcW w:w="990" w:type="pct"/>
            <w:vMerge/>
            <w:shd w:val="clear" w:color="auto" w:fill="auto"/>
            <w:vAlign w:val="center"/>
          </w:tcPr>
          <w:p w:rsidR="001A5809" w:rsidRPr="007369A6" w:rsidRDefault="001A5809" w:rsidP="00F30E2D">
            <w:pPr>
              <w:widowControl w:val="0"/>
              <w:jc w:val="both"/>
              <w:rPr>
                <w:rFonts w:ascii="Arial Narrow" w:hAnsi="Arial Narrow" w:cs="Arial"/>
                <w:b/>
                <w:snapToGrid w:val="0"/>
                <w:color w:val="000000"/>
                <w:sz w:val="20"/>
                <w:szCs w:val="18"/>
                <w:lang w:eastAsia="en-US"/>
              </w:rPr>
            </w:pPr>
          </w:p>
        </w:tc>
        <w:tc>
          <w:tcPr>
            <w:tcW w:w="499" w:type="pct"/>
            <w:vMerge/>
            <w:vAlign w:val="center"/>
          </w:tcPr>
          <w:p w:rsidR="001A5809" w:rsidRPr="007369A6" w:rsidRDefault="001A5809" w:rsidP="00F30E2D">
            <w:pPr>
              <w:widowControl w:val="0"/>
              <w:jc w:val="center"/>
              <w:rPr>
                <w:rFonts w:ascii="Arial Narrow" w:hAnsi="Arial Narrow" w:cs="Arial"/>
                <w:b/>
                <w:snapToGrid w:val="0"/>
                <w:color w:val="000000"/>
                <w:sz w:val="20"/>
                <w:szCs w:val="18"/>
                <w:lang w:eastAsia="en-US"/>
              </w:rPr>
            </w:pPr>
          </w:p>
        </w:tc>
        <w:tc>
          <w:tcPr>
            <w:tcW w:w="618" w:type="pct"/>
            <w:vMerge/>
            <w:vAlign w:val="center"/>
          </w:tcPr>
          <w:p w:rsidR="001A5809" w:rsidRPr="007369A6" w:rsidRDefault="001A5809" w:rsidP="00F30E2D">
            <w:pPr>
              <w:widowControl w:val="0"/>
              <w:jc w:val="center"/>
              <w:rPr>
                <w:rFonts w:ascii="Arial Narrow" w:hAnsi="Arial Narrow" w:cs="Arial"/>
                <w:b/>
                <w:snapToGrid w:val="0"/>
                <w:color w:val="000000"/>
                <w:sz w:val="20"/>
                <w:szCs w:val="18"/>
                <w:lang w:eastAsia="en-US"/>
              </w:rPr>
            </w:pPr>
          </w:p>
        </w:tc>
        <w:tc>
          <w:tcPr>
            <w:tcW w:w="784" w:type="pct"/>
            <w:vMerge/>
            <w:vAlign w:val="center"/>
          </w:tcPr>
          <w:p w:rsidR="001A5809" w:rsidRPr="007369A6" w:rsidRDefault="001A5809" w:rsidP="00F30E2D">
            <w:pPr>
              <w:widowControl w:val="0"/>
              <w:jc w:val="center"/>
              <w:rPr>
                <w:rFonts w:ascii="Arial Narrow" w:hAnsi="Arial Narrow" w:cs="Arial"/>
                <w:b/>
                <w:snapToGrid w:val="0"/>
                <w:color w:val="000000"/>
                <w:sz w:val="20"/>
                <w:szCs w:val="18"/>
                <w:lang w:eastAsia="en-US"/>
              </w:rPr>
            </w:pPr>
          </w:p>
        </w:tc>
        <w:tc>
          <w:tcPr>
            <w:tcW w:w="677" w:type="pct"/>
            <w:vAlign w:val="center"/>
          </w:tcPr>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tc>
        <w:tc>
          <w:tcPr>
            <w:tcW w:w="618" w:type="pct"/>
            <w:vAlign w:val="center"/>
          </w:tcPr>
          <w:p w:rsidR="001A5809"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tc>
        <w:tc>
          <w:tcPr>
            <w:tcW w:w="815" w:type="pct"/>
            <w:vMerge/>
            <w:vAlign w:val="center"/>
          </w:tcPr>
          <w:p w:rsidR="001A5809" w:rsidRPr="007369A6" w:rsidRDefault="001A5809" w:rsidP="00F30E2D">
            <w:pPr>
              <w:widowControl w:val="0"/>
              <w:jc w:val="center"/>
              <w:rPr>
                <w:rFonts w:ascii="Arial Narrow" w:hAnsi="Arial Narrow" w:cs="Arial"/>
                <w:b/>
                <w:snapToGrid w:val="0"/>
                <w:color w:val="000000"/>
                <w:sz w:val="20"/>
                <w:szCs w:val="18"/>
                <w:lang w:eastAsia="en-US"/>
              </w:rPr>
            </w:pPr>
          </w:p>
        </w:tc>
      </w:tr>
      <w:tr w:rsidR="001A5809" w:rsidRPr="001A5809" w:rsidTr="00F30E2D">
        <w:trPr>
          <w:trHeight w:val="20"/>
        </w:trPr>
        <w:tc>
          <w:tcPr>
            <w:tcW w:w="990" w:type="pct"/>
            <w:shd w:val="clear" w:color="auto" w:fill="auto"/>
            <w:vAlign w:val="center"/>
          </w:tcPr>
          <w:p w:rsidR="001A5809" w:rsidRPr="007369A6" w:rsidRDefault="007369A6" w:rsidP="00F30E2D">
            <w:pPr>
              <w:widowControl w:val="0"/>
              <w:jc w:val="both"/>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w:t>
            </w:r>
          </w:p>
        </w:tc>
        <w:tc>
          <w:tcPr>
            <w:tcW w:w="499"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18"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784"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20"/>
                <w:highlight w:val="black"/>
                <w:lang w:eastAsia="en-US"/>
              </w:rPr>
              <w:t>'''''''''' ''''''''''''' '''''''''''</w:t>
            </w:r>
          </w:p>
        </w:tc>
        <w:tc>
          <w:tcPr>
            <w:tcW w:w="677"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18"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815"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 ''''''''''</w:t>
            </w:r>
          </w:p>
        </w:tc>
      </w:tr>
      <w:tr w:rsidR="001A5809" w:rsidRPr="001A5809" w:rsidTr="00F30E2D">
        <w:trPr>
          <w:trHeight w:val="20"/>
        </w:trPr>
        <w:tc>
          <w:tcPr>
            <w:tcW w:w="990" w:type="pct"/>
            <w:shd w:val="clear" w:color="auto" w:fill="auto"/>
            <w:vAlign w:val="center"/>
          </w:tcPr>
          <w:p w:rsidR="001A5809" w:rsidRPr="007369A6" w:rsidRDefault="007369A6" w:rsidP="00F30E2D">
            <w:pPr>
              <w:widowControl w:val="0"/>
              <w:jc w:val="both"/>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99"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18"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784"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20"/>
                <w:highlight w:val="black"/>
                <w:lang w:eastAsia="en-US"/>
              </w:rPr>
              <w:t>'''''''''' '''''''''''''' '''''''''''''</w:t>
            </w:r>
          </w:p>
        </w:tc>
        <w:tc>
          <w:tcPr>
            <w:tcW w:w="677"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18"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815"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 '''''''''</w:t>
            </w:r>
          </w:p>
        </w:tc>
      </w:tr>
      <w:tr w:rsidR="001A5809" w:rsidRPr="001A5809" w:rsidTr="00F30E2D">
        <w:trPr>
          <w:trHeight w:val="20"/>
        </w:trPr>
        <w:tc>
          <w:tcPr>
            <w:tcW w:w="990" w:type="pct"/>
            <w:shd w:val="clear" w:color="auto" w:fill="auto"/>
            <w:vAlign w:val="center"/>
          </w:tcPr>
          <w:p w:rsidR="001A5809" w:rsidRPr="007369A6" w:rsidRDefault="007369A6" w:rsidP="00F30E2D">
            <w:pPr>
              <w:widowControl w:val="0"/>
              <w:jc w:val="both"/>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w:t>
            </w:r>
          </w:p>
        </w:tc>
        <w:tc>
          <w:tcPr>
            <w:tcW w:w="499"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18"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784"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20"/>
                <w:highlight w:val="black"/>
                <w:lang w:eastAsia="en-US"/>
              </w:rPr>
              <w:t>'''''''''' ''''''''''''' ''''''''''''</w:t>
            </w:r>
          </w:p>
        </w:tc>
        <w:tc>
          <w:tcPr>
            <w:tcW w:w="677"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18"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815" w:type="pct"/>
            <w:vAlign w:val="center"/>
          </w:tcPr>
          <w:p w:rsidR="001A5809"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 ''''''''''''</w:t>
            </w:r>
          </w:p>
        </w:tc>
      </w:tr>
    </w:tbl>
    <w:p w:rsidR="001A5809" w:rsidRDefault="001A5809" w:rsidP="00245F6B">
      <w:pPr>
        <w:pStyle w:val="TableFooter"/>
        <w:ind w:firstLine="720"/>
      </w:pPr>
    </w:p>
    <w:p w:rsidR="00245F6B" w:rsidRPr="00E573DC" w:rsidRDefault="00245F6B" w:rsidP="00245F6B">
      <w:pPr>
        <w:pStyle w:val="TableFooter"/>
        <w:ind w:firstLine="720"/>
      </w:pPr>
      <w:r w:rsidRPr="00E573DC">
        <w:t>* For duration provided in the table, i.e. 6 weeks and 52 weeks</w:t>
      </w:r>
    </w:p>
    <w:p w:rsidR="00245F6B" w:rsidRPr="00E573DC" w:rsidRDefault="00245F6B" w:rsidP="00245F6B">
      <w:pPr>
        <w:pStyle w:val="TableFooter"/>
        <w:ind w:left="709"/>
      </w:pPr>
      <w:r w:rsidRPr="00E573DC">
        <w:t xml:space="preserve">PBO = placebo; VED = </w:t>
      </w:r>
      <w:proofErr w:type="spellStart"/>
      <w:r w:rsidRPr="00E573DC">
        <w:t>vedolizumab</w:t>
      </w:r>
      <w:proofErr w:type="spellEnd"/>
      <w:r w:rsidRPr="00E573DC">
        <w:t xml:space="preserve">; RD = risk difference; RR = relative risk; CI = confidence interval; AE = adverse event; SAE = serious adverse event; </w:t>
      </w:r>
      <w:proofErr w:type="spellStart"/>
      <w:r w:rsidRPr="00E573DC">
        <w:t>wk</w:t>
      </w:r>
      <w:proofErr w:type="spellEnd"/>
      <w:r w:rsidRPr="00E573DC">
        <w:t xml:space="preserve"> = week; </w:t>
      </w:r>
    </w:p>
    <w:p w:rsidR="00B97225" w:rsidRPr="00E573DC" w:rsidRDefault="00B97225" w:rsidP="00E54269">
      <w:pPr>
        <w:tabs>
          <w:tab w:val="left" w:pos="1470"/>
        </w:tabs>
        <w:jc w:val="both"/>
        <w:rPr>
          <w:rFonts w:ascii="Arial" w:hAnsi="Arial"/>
          <w:b/>
          <w:i/>
          <w:sz w:val="22"/>
          <w:szCs w:val="22"/>
        </w:rPr>
      </w:pPr>
    </w:p>
    <w:p w:rsidR="00245F6B" w:rsidRPr="00E573DC" w:rsidRDefault="00245F6B" w:rsidP="004E7A4D">
      <w:pPr>
        <w:pStyle w:val="ListParagraph"/>
        <w:numPr>
          <w:ilvl w:val="1"/>
          <w:numId w:val="1"/>
        </w:numPr>
        <w:jc w:val="both"/>
        <w:rPr>
          <w:rFonts w:ascii="Arial" w:hAnsi="Arial"/>
          <w:sz w:val="22"/>
          <w:szCs w:val="22"/>
        </w:rPr>
      </w:pPr>
      <w:r w:rsidRPr="00E573DC">
        <w:rPr>
          <w:rFonts w:ascii="Arial" w:hAnsi="Arial"/>
          <w:sz w:val="22"/>
          <w:szCs w:val="22"/>
        </w:rPr>
        <w:t xml:space="preserve">On the basis of direct evidence presented by the submission, for every 100 patients treated with </w:t>
      </w:r>
      <w:proofErr w:type="spellStart"/>
      <w:r w:rsidRPr="00E573DC">
        <w:rPr>
          <w:rFonts w:ascii="Arial" w:hAnsi="Arial"/>
          <w:sz w:val="22"/>
          <w:szCs w:val="22"/>
        </w:rPr>
        <w:t>vedolizumab</w:t>
      </w:r>
      <w:proofErr w:type="spellEnd"/>
      <w:r w:rsidRPr="00E573DC">
        <w:rPr>
          <w:rFonts w:ascii="Arial" w:hAnsi="Arial"/>
          <w:sz w:val="22"/>
          <w:szCs w:val="22"/>
        </w:rPr>
        <w:t xml:space="preserve"> in comparison to placebo:</w:t>
      </w:r>
    </w:p>
    <w:p w:rsidR="00245F6B" w:rsidRPr="001A5809" w:rsidRDefault="00245F6B" w:rsidP="001A5809">
      <w:pPr>
        <w:pStyle w:val="ListParagraph"/>
        <w:numPr>
          <w:ilvl w:val="0"/>
          <w:numId w:val="10"/>
        </w:numPr>
        <w:ind w:left="1134" w:hanging="425"/>
        <w:jc w:val="both"/>
        <w:rPr>
          <w:rFonts w:ascii="Arial" w:hAnsi="Arial" w:cs="Arial"/>
          <w:sz w:val="22"/>
          <w:szCs w:val="22"/>
        </w:rPr>
      </w:pPr>
      <w:r w:rsidRPr="00E573DC">
        <w:rPr>
          <w:rFonts w:ascii="Arial" w:hAnsi="Arial" w:cs="Arial"/>
          <w:sz w:val="22"/>
          <w:szCs w:val="22"/>
        </w:rPr>
        <w:t>Approximately 22 additional patients would have clinical response;</w:t>
      </w:r>
      <w:r w:rsidR="001A5809">
        <w:rPr>
          <w:rFonts w:ascii="Arial" w:hAnsi="Arial" w:cs="Arial"/>
          <w:sz w:val="22"/>
          <w:szCs w:val="22"/>
        </w:rPr>
        <w:t xml:space="preserve"> </w:t>
      </w:r>
    </w:p>
    <w:p w:rsidR="00245F6B" w:rsidRPr="00E573DC" w:rsidRDefault="00245F6B" w:rsidP="00245F6B">
      <w:pPr>
        <w:pStyle w:val="ListParagraph"/>
        <w:numPr>
          <w:ilvl w:val="0"/>
          <w:numId w:val="10"/>
        </w:numPr>
        <w:ind w:left="1134" w:hanging="425"/>
        <w:jc w:val="both"/>
        <w:rPr>
          <w:rFonts w:ascii="Arial" w:hAnsi="Arial" w:cs="Arial"/>
          <w:sz w:val="22"/>
          <w:szCs w:val="22"/>
        </w:rPr>
      </w:pPr>
      <w:r w:rsidRPr="00E573DC">
        <w:rPr>
          <w:rFonts w:ascii="Arial" w:hAnsi="Arial" w:cs="Arial"/>
          <w:sz w:val="22"/>
          <w:szCs w:val="22"/>
        </w:rPr>
        <w:t>Approximately 12 additional patient</w:t>
      </w:r>
      <w:r w:rsidR="00E87D72">
        <w:rPr>
          <w:rFonts w:ascii="Arial" w:hAnsi="Arial" w:cs="Arial"/>
          <w:sz w:val="22"/>
          <w:szCs w:val="22"/>
        </w:rPr>
        <w:t>s would have clinical remission; and</w:t>
      </w:r>
    </w:p>
    <w:p w:rsidR="00245F6B" w:rsidRPr="008378DE" w:rsidRDefault="00245F6B" w:rsidP="00245F6B">
      <w:pPr>
        <w:pStyle w:val="ListParagraph"/>
        <w:numPr>
          <w:ilvl w:val="0"/>
          <w:numId w:val="10"/>
        </w:numPr>
        <w:ind w:left="1134" w:hanging="425"/>
        <w:jc w:val="both"/>
        <w:rPr>
          <w:rFonts w:ascii="Arial" w:hAnsi="Arial" w:cs="Arial"/>
          <w:sz w:val="22"/>
          <w:szCs w:val="22"/>
        </w:rPr>
      </w:pPr>
      <w:r w:rsidRPr="008378DE">
        <w:rPr>
          <w:rFonts w:ascii="Arial" w:hAnsi="Arial" w:cs="Arial"/>
          <w:sz w:val="22"/>
          <w:szCs w:val="22"/>
        </w:rPr>
        <w:t>There is potentially no difference in the number of patients</w:t>
      </w:r>
      <w:r w:rsidR="00E87D72">
        <w:rPr>
          <w:rFonts w:ascii="Arial" w:hAnsi="Arial" w:cs="Arial"/>
          <w:sz w:val="22"/>
          <w:szCs w:val="22"/>
        </w:rPr>
        <w:t xml:space="preserve"> experiencing any adverse event.</w:t>
      </w:r>
    </w:p>
    <w:p w:rsidR="00245F6B" w:rsidRPr="008378DE" w:rsidRDefault="00245F6B" w:rsidP="00882085">
      <w:pPr>
        <w:jc w:val="both"/>
        <w:rPr>
          <w:rFonts w:ascii="Arial" w:hAnsi="Arial"/>
          <w:b/>
          <w:i/>
          <w:sz w:val="22"/>
          <w:szCs w:val="22"/>
        </w:rPr>
      </w:pPr>
    </w:p>
    <w:p w:rsidR="00AA0A5F" w:rsidRPr="00F84EBB" w:rsidRDefault="00AA0A5F" w:rsidP="00AA0A5F">
      <w:pPr>
        <w:widowControl w:val="0"/>
        <w:jc w:val="both"/>
        <w:rPr>
          <w:rFonts w:ascii="Arial" w:hAnsi="Arial" w:cs="Arial"/>
          <w:snapToGrid w:val="0"/>
          <w:sz w:val="22"/>
          <w:szCs w:val="20"/>
          <w:u w:val="single"/>
          <w:lang w:eastAsia="en-US"/>
        </w:rPr>
      </w:pPr>
      <w:proofErr w:type="spellStart"/>
      <w:r w:rsidRPr="00F84EBB">
        <w:rPr>
          <w:rFonts w:ascii="Arial" w:hAnsi="Arial" w:cs="Arial"/>
          <w:snapToGrid w:val="0"/>
          <w:sz w:val="22"/>
          <w:szCs w:val="20"/>
          <w:u w:val="single"/>
          <w:lang w:eastAsia="en-US"/>
        </w:rPr>
        <w:t>Vedolizumab</w:t>
      </w:r>
      <w:proofErr w:type="spellEnd"/>
      <w:r w:rsidRPr="00F84EBB">
        <w:rPr>
          <w:rFonts w:ascii="Arial" w:hAnsi="Arial" w:cs="Arial"/>
          <w:snapToGrid w:val="0"/>
          <w:sz w:val="22"/>
          <w:szCs w:val="20"/>
          <w:u w:val="single"/>
          <w:lang w:eastAsia="en-US"/>
        </w:rPr>
        <w:t xml:space="preserve"> vs. </w:t>
      </w:r>
      <w:proofErr w:type="spellStart"/>
      <w:r w:rsidRPr="00F84EBB">
        <w:rPr>
          <w:rFonts w:ascii="Arial" w:hAnsi="Arial" w:cs="Arial"/>
          <w:snapToGrid w:val="0"/>
          <w:sz w:val="22"/>
          <w:szCs w:val="20"/>
          <w:u w:val="single"/>
          <w:lang w:eastAsia="en-US"/>
        </w:rPr>
        <w:t>adalimumab</w:t>
      </w:r>
      <w:proofErr w:type="spellEnd"/>
    </w:p>
    <w:p w:rsidR="00B97225" w:rsidRPr="00F84EBB" w:rsidRDefault="00B97225" w:rsidP="00882085">
      <w:pPr>
        <w:jc w:val="both"/>
        <w:rPr>
          <w:rFonts w:ascii="Arial" w:hAnsi="Arial"/>
          <w:b/>
          <w:i/>
          <w:sz w:val="22"/>
          <w:szCs w:val="22"/>
        </w:rPr>
      </w:pPr>
    </w:p>
    <w:p w:rsidR="00AA0A5F" w:rsidRPr="00F84EBB" w:rsidRDefault="00AA0A5F" w:rsidP="004E7A4D">
      <w:pPr>
        <w:pStyle w:val="ListParagraph"/>
        <w:numPr>
          <w:ilvl w:val="1"/>
          <w:numId w:val="1"/>
        </w:numPr>
        <w:jc w:val="both"/>
        <w:rPr>
          <w:rFonts w:ascii="Arial" w:hAnsi="Arial"/>
          <w:sz w:val="22"/>
          <w:szCs w:val="22"/>
        </w:rPr>
      </w:pPr>
      <w:r w:rsidRPr="00F84EBB">
        <w:rPr>
          <w:rFonts w:ascii="Arial" w:hAnsi="Arial"/>
          <w:sz w:val="22"/>
          <w:szCs w:val="22"/>
        </w:rPr>
        <w:t xml:space="preserve">The table below summarises the results of the indirect comparison to </w:t>
      </w:r>
      <w:proofErr w:type="spellStart"/>
      <w:r w:rsidRPr="00F84EBB">
        <w:rPr>
          <w:rFonts w:ascii="Arial" w:hAnsi="Arial"/>
          <w:sz w:val="22"/>
          <w:szCs w:val="22"/>
        </w:rPr>
        <w:t>adalimumab</w:t>
      </w:r>
      <w:proofErr w:type="spellEnd"/>
      <w:r w:rsidRPr="00F84EBB">
        <w:rPr>
          <w:rFonts w:ascii="Arial" w:hAnsi="Arial"/>
          <w:sz w:val="22"/>
          <w:szCs w:val="22"/>
        </w:rPr>
        <w:t>.</w:t>
      </w:r>
    </w:p>
    <w:p w:rsidR="00AA0A5F" w:rsidRPr="00F84EBB" w:rsidRDefault="00AA0A5F" w:rsidP="00AA0A5F">
      <w:pPr>
        <w:jc w:val="both"/>
        <w:rPr>
          <w:rFonts w:ascii="Arial" w:hAnsi="Arial"/>
          <w:sz w:val="22"/>
          <w:szCs w:val="22"/>
        </w:rPr>
      </w:pPr>
    </w:p>
    <w:p w:rsidR="00AA0A5F" w:rsidRPr="00F84EBB" w:rsidRDefault="00AA0A5F" w:rsidP="003835A7">
      <w:pPr>
        <w:ind w:firstLine="709"/>
        <w:jc w:val="both"/>
        <w:rPr>
          <w:rFonts w:ascii="Arial" w:hAnsi="Arial"/>
          <w:sz w:val="22"/>
          <w:szCs w:val="22"/>
        </w:rPr>
      </w:pPr>
      <w:r w:rsidRPr="00F84EBB">
        <w:rPr>
          <w:rFonts w:ascii="Arial Narrow" w:hAnsi="Arial Narrow" w:cs="Arial"/>
          <w:b/>
          <w:snapToGrid w:val="0"/>
          <w:sz w:val="20"/>
          <w:szCs w:val="16"/>
          <w:lang w:eastAsia="en-US"/>
        </w:rPr>
        <w:t xml:space="preserve">Indirect comparison summary of comparative benefits and harms for </w:t>
      </w:r>
      <w:proofErr w:type="spellStart"/>
      <w:r w:rsidRPr="00F84EBB">
        <w:rPr>
          <w:rFonts w:ascii="Arial Narrow" w:hAnsi="Arial Narrow" w:cs="Arial"/>
          <w:b/>
          <w:snapToGrid w:val="0"/>
          <w:sz w:val="20"/>
          <w:szCs w:val="16"/>
          <w:lang w:eastAsia="en-US"/>
        </w:rPr>
        <w:t>vedolizumab</w:t>
      </w:r>
      <w:proofErr w:type="spellEnd"/>
      <w:r w:rsidRPr="00F84EBB">
        <w:rPr>
          <w:rFonts w:ascii="Arial Narrow" w:hAnsi="Arial Narrow" w:cs="Arial"/>
          <w:b/>
          <w:snapToGrid w:val="0"/>
          <w:sz w:val="20"/>
          <w:szCs w:val="16"/>
          <w:lang w:eastAsia="en-US"/>
        </w:rPr>
        <w:t xml:space="preserve"> and</w:t>
      </w:r>
      <w:r w:rsidR="009079DF" w:rsidRPr="00F84EBB">
        <w:rPr>
          <w:rFonts w:ascii="Arial Narrow" w:hAnsi="Arial Narrow" w:cs="Arial"/>
          <w:b/>
          <w:snapToGrid w:val="0"/>
          <w:sz w:val="20"/>
          <w:szCs w:val="16"/>
          <w:lang w:eastAsia="en-US"/>
        </w:rPr>
        <w:t xml:space="preserve"> </w:t>
      </w:r>
      <w:proofErr w:type="spellStart"/>
      <w:r w:rsidR="009079DF" w:rsidRPr="00F84EBB">
        <w:rPr>
          <w:rFonts w:ascii="Arial Narrow" w:hAnsi="Arial Narrow" w:cs="Arial"/>
          <w:b/>
          <w:snapToGrid w:val="0"/>
          <w:sz w:val="20"/>
          <w:szCs w:val="16"/>
          <w:lang w:eastAsia="en-US"/>
        </w:rPr>
        <w:t>adalimumab</w:t>
      </w:r>
      <w:proofErr w:type="spellEnd"/>
    </w:p>
    <w:tbl>
      <w:tblPr>
        <w:tblStyle w:val="TableGrid"/>
        <w:tblW w:w="4594" w:type="pct"/>
        <w:tblInd w:w="737" w:type="dxa"/>
        <w:tblCellMar>
          <w:left w:w="28" w:type="dxa"/>
          <w:right w:w="28" w:type="dxa"/>
        </w:tblCellMar>
        <w:tblLook w:val="04A0" w:firstRow="1" w:lastRow="0" w:firstColumn="1" w:lastColumn="0" w:noHBand="0" w:noVBand="1"/>
        <w:tblDescription w:val="Indirect comparison summary of comparative benefits and harms for vedolizumab and adalimumab"/>
      </w:tblPr>
      <w:tblGrid>
        <w:gridCol w:w="640"/>
        <w:gridCol w:w="827"/>
        <w:gridCol w:w="827"/>
        <w:gridCol w:w="847"/>
        <w:gridCol w:w="2333"/>
        <w:gridCol w:w="788"/>
        <w:gridCol w:w="211"/>
        <w:gridCol w:w="413"/>
        <w:gridCol w:w="659"/>
        <w:gridCol w:w="822"/>
      </w:tblGrid>
      <w:tr w:rsidR="00AA0A5F" w:rsidRPr="00E573DC" w:rsidTr="00FE0675">
        <w:trPr>
          <w:trHeight w:val="150"/>
          <w:tblHeader/>
        </w:trPr>
        <w:tc>
          <w:tcPr>
            <w:tcW w:w="382" w:type="pct"/>
            <w:vMerge w:val="restart"/>
            <w:shd w:val="clear" w:color="auto" w:fill="auto"/>
            <w:vAlign w:val="center"/>
          </w:tcPr>
          <w:p w:rsidR="00AA0A5F" w:rsidRPr="00F84EBB" w:rsidRDefault="00AA0A5F" w:rsidP="00AA0A5F">
            <w:pPr>
              <w:keepNext/>
              <w:widowControl w:val="0"/>
              <w:jc w:val="both"/>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Trial</w:t>
            </w:r>
          </w:p>
        </w:tc>
        <w:tc>
          <w:tcPr>
            <w:tcW w:w="495" w:type="pct"/>
            <w:vMerge w:val="restart"/>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VED</w:t>
            </w:r>
          </w:p>
        </w:tc>
        <w:tc>
          <w:tcPr>
            <w:tcW w:w="1000" w:type="pct"/>
            <w:gridSpan w:val="2"/>
            <w:vMerge w:val="restart"/>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roofErr w:type="spellStart"/>
            <w:r w:rsidRPr="00F84EBB">
              <w:rPr>
                <w:rFonts w:ascii="Arial Narrow" w:hAnsi="Arial Narrow" w:cs="Arial"/>
                <w:b/>
                <w:snapToGrid w:val="0"/>
                <w:color w:val="000000"/>
                <w:sz w:val="20"/>
                <w:szCs w:val="18"/>
                <w:lang w:eastAsia="en-US"/>
              </w:rPr>
              <w:t>Adalimumab</w:t>
            </w:r>
            <w:proofErr w:type="spellEnd"/>
          </w:p>
        </w:tc>
        <w:tc>
          <w:tcPr>
            <w:tcW w:w="1394" w:type="pct"/>
            <w:vMerge w:val="restart"/>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RR</w:t>
            </w:r>
          </w:p>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(95% CI)</w:t>
            </w:r>
          </w:p>
        </w:tc>
        <w:tc>
          <w:tcPr>
            <w:tcW w:w="1236" w:type="pct"/>
            <w:gridSpan w:val="4"/>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 xml:space="preserve">Event rate/100 patients* </w:t>
            </w:r>
          </w:p>
        </w:tc>
        <w:tc>
          <w:tcPr>
            <w:tcW w:w="491" w:type="pct"/>
            <w:vMerge w:val="restart"/>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RD</w:t>
            </w:r>
          </w:p>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(95% CI)</w:t>
            </w:r>
          </w:p>
        </w:tc>
      </w:tr>
      <w:tr w:rsidR="00AA0A5F" w:rsidRPr="00E573DC" w:rsidTr="00FE0675">
        <w:trPr>
          <w:trHeight w:val="315"/>
          <w:tblHeader/>
        </w:trPr>
        <w:tc>
          <w:tcPr>
            <w:tcW w:w="382" w:type="pct"/>
            <w:vMerge/>
            <w:shd w:val="clear" w:color="auto" w:fill="auto"/>
            <w:vAlign w:val="center"/>
          </w:tcPr>
          <w:p w:rsidR="00AA0A5F" w:rsidRPr="00F84EBB" w:rsidRDefault="00AA0A5F" w:rsidP="00AA0A5F">
            <w:pPr>
              <w:keepNext/>
              <w:widowControl w:val="0"/>
              <w:jc w:val="both"/>
              <w:rPr>
                <w:rFonts w:ascii="Arial Narrow" w:hAnsi="Arial Narrow" w:cs="Arial"/>
                <w:b/>
                <w:snapToGrid w:val="0"/>
                <w:color w:val="000000"/>
                <w:sz w:val="20"/>
                <w:szCs w:val="18"/>
                <w:lang w:eastAsia="en-US"/>
              </w:rPr>
            </w:pPr>
          </w:p>
        </w:tc>
        <w:tc>
          <w:tcPr>
            <w:tcW w:w="495" w:type="pct"/>
            <w:vMerge/>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
        </w:tc>
        <w:tc>
          <w:tcPr>
            <w:tcW w:w="1000" w:type="pct"/>
            <w:gridSpan w:val="2"/>
            <w:vMerge/>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
        </w:tc>
        <w:tc>
          <w:tcPr>
            <w:tcW w:w="1394" w:type="pct"/>
            <w:vMerge/>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
        </w:tc>
        <w:tc>
          <w:tcPr>
            <w:tcW w:w="471" w:type="pct"/>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VED</w:t>
            </w:r>
          </w:p>
        </w:tc>
        <w:tc>
          <w:tcPr>
            <w:tcW w:w="766" w:type="pct"/>
            <w:gridSpan w:val="3"/>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roofErr w:type="spellStart"/>
            <w:r w:rsidRPr="00F84EBB">
              <w:rPr>
                <w:rFonts w:ascii="Arial Narrow" w:hAnsi="Arial Narrow" w:cs="Arial"/>
                <w:b/>
                <w:snapToGrid w:val="0"/>
                <w:color w:val="000000"/>
                <w:sz w:val="20"/>
                <w:szCs w:val="18"/>
                <w:lang w:eastAsia="en-US"/>
              </w:rPr>
              <w:t>Adalimumab</w:t>
            </w:r>
            <w:proofErr w:type="spellEnd"/>
          </w:p>
        </w:tc>
        <w:tc>
          <w:tcPr>
            <w:tcW w:w="491" w:type="pct"/>
            <w:vMerge/>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
        </w:tc>
      </w:tr>
      <w:tr w:rsidR="00AA0A5F" w:rsidRPr="00E573DC" w:rsidTr="003835A7">
        <w:tc>
          <w:tcPr>
            <w:tcW w:w="5000" w:type="pct"/>
            <w:gridSpan w:val="10"/>
            <w:shd w:val="clear" w:color="auto" w:fill="auto"/>
            <w:vAlign w:val="center"/>
          </w:tcPr>
          <w:p w:rsidR="00AA0A5F" w:rsidRPr="00E573DC" w:rsidRDefault="00AA0A5F" w:rsidP="00AA0A5F">
            <w:pPr>
              <w:keepNext/>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Benefits</w:t>
            </w:r>
          </w:p>
        </w:tc>
      </w:tr>
      <w:tr w:rsidR="00AA0A5F" w:rsidRPr="00E573DC" w:rsidTr="003835A7">
        <w:tc>
          <w:tcPr>
            <w:tcW w:w="5000" w:type="pct"/>
            <w:gridSpan w:val="10"/>
            <w:tcBorders>
              <w:top w:val="double" w:sz="4" w:space="0" w:color="auto"/>
            </w:tcBorders>
            <w:shd w:val="clear" w:color="auto" w:fill="auto"/>
            <w:vAlign w:val="center"/>
          </w:tcPr>
          <w:p w:rsidR="00AA0A5F" w:rsidRPr="00E573DC" w:rsidRDefault="00AA0A5F" w:rsidP="00AA0A5F">
            <w:pPr>
              <w:keepNext/>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 xml:space="preserve">Indirect comparison – </w:t>
            </w:r>
            <w:proofErr w:type="spellStart"/>
            <w:r w:rsidRPr="00E573DC">
              <w:rPr>
                <w:rFonts w:ascii="Arial Narrow" w:hAnsi="Arial Narrow" w:cs="Arial"/>
                <w:b/>
                <w:snapToGrid w:val="0"/>
                <w:color w:val="000000"/>
                <w:sz w:val="20"/>
                <w:szCs w:val="18"/>
                <w:lang w:eastAsia="en-US"/>
              </w:rPr>
              <w:t>vedolizumab</w:t>
            </w:r>
            <w:proofErr w:type="spellEnd"/>
            <w:r w:rsidRPr="00E573DC">
              <w:rPr>
                <w:rFonts w:ascii="Arial Narrow" w:hAnsi="Arial Narrow" w:cs="Arial"/>
                <w:b/>
                <w:snapToGrid w:val="0"/>
                <w:color w:val="000000"/>
                <w:sz w:val="20"/>
                <w:szCs w:val="18"/>
                <w:lang w:eastAsia="en-US"/>
              </w:rPr>
              <w:t xml:space="preserve"> vs. </w:t>
            </w:r>
            <w:proofErr w:type="spellStart"/>
            <w:r w:rsidRPr="00E573DC">
              <w:rPr>
                <w:rFonts w:ascii="Arial Narrow" w:hAnsi="Arial Narrow" w:cs="Arial"/>
                <w:b/>
                <w:snapToGrid w:val="0"/>
                <w:color w:val="000000"/>
                <w:sz w:val="20"/>
                <w:szCs w:val="18"/>
                <w:lang w:eastAsia="en-US"/>
              </w:rPr>
              <w:t>adalimumab</w:t>
            </w:r>
            <w:proofErr w:type="spellEnd"/>
          </w:p>
        </w:tc>
      </w:tr>
      <w:tr w:rsidR="00AA0A5F" w:rsidRPr="00E573DC" w:rsidTr="00FE0675">
        <w:trPr>
          <w:trHeight w:val="105"/>
        </w:trPr>
        <w:tc>
          <w:tcPr>
            <w:tcW w:w="382" w:type="pct"/>
            <w:vMerge w:val="restart"/>
            <w:shd w:val="clear" w:color="auto" w:fill="auto"/>
            <w:vAlign w:val="center"/>
          </w:tcPr>
          <w:p w:rsidR="00AA0A5F" w:rsidRPr="00E573DC" w:rsidRDefault="00AA0A5F" w:rsidP="00AA0A5F">
            <w:pPr>
              <w:keepNext/>
              <w:widowControl w:val="0"/>
              <w:jc w:val="both"/>
              <w:rPr>
                <w:rFonts w:ascii="Arial Narrow" w:hAnsi="Arial Narrow" w:cs="Arial"/>
                <w:snapToGrid w:val="0"/>
                <w:color w:val="000000"/>
                <w:sz w:val="20"/>
                <w:szCs w:val="18"/>
                <w:lang w:eastAsia="en-US"/>
              </w:rPr>
            </w:pPr>
          </w:p>
        </w:tc>
        <w:tc>
          <w:tcPr>
            <w:tcW w:w="495" w:type="pct"/>
            <w:vMerge w:val="restart"/>
            <w:vAlign w:val="center"/>
          </w:tcPr>
          <w:p w:rsidR="00AA0A5F" w:rsidRPr="00E573DC" w:rsidRDefault="00AA0A5F" w:rsidP="00AA0A5F">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VED</w:t>
            </w:r>
          </w:p>
        </w:tc>
        <w:tc>
          <w:tcPr>
            <w:tcW w:w="495" w:type="pct"/>
            <w:vMerge w:val="restart"/>
            <w:vAlign w:val="center"/>
          </w:tcPr>
          <w:p w:rsidR="00AA0A5F" w:rsidRPr="00E573DC" w:rsidRDefault="00AA0A5F" w:rsidP="00AA0A5F">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PBO</w:t>
            </w:r>
          </w:p>
        </w:tc>
        <w:tc>
          <w:tcPr>
            <w:tcW w:w="505" w:type="pct"/>
            <w:vMerge w:val="restart"/>
            <w:vAlign w:val="center"/>
          </w:tcPr>
          <w:p w:rsidR="00AA0A5F" w:rsidRPr="00E573DC" w:rsidRDefault="00AA0A5F" w:rsidP="00AA0A5F">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ADA</w:t>
            </w:r>
          </w:p>
        </w:tc>
        <w:tc>
          <w:tcPr>
            <w:tcW w:w="1394" w:type="pct"/>
            <w:vMerge w:val="restart"/>
            <w:vAlign w:val="center"/>
          </w:tcPr>
          <w:p w:rsidR="00AA0A5F" w:rsidRPr="00E573DC" w:rsidRDefault="00AA0A5F" w:rsidP="00AA0A5F">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RR</w:t>
            </w:r>
          </w:p>
          <w:p w:rsidR="00AA0A5F" w:rsidRPr="00E573DC" w:rsidRDefault="00AA0A5F" w:rsidP="00AA0A5F">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c>
          <w:tcPr>
            <w:tcW w:w="1236" w:type="pct"/>
            <w:gridSpan w:val="4"/>
            <w:vAlign w:val="center"/>
          </w:tcPr>
          <w:p w:rsidR="00AA0A5F" w:rsidRPr="00E573DC" w:rsidRDefault="00AA0A5F" w:rsidP="00AA0A5F">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 xml:space="preserve">Event rate/100 patients/duration* </w:t>
            </w:r>
          </w:p>
        </w:tc>
        <w:tc>
          <w:tcPr>
            <w:tcW w:w="491" w:type="pct"/>
            <w:vMerge w:val="restart"/>
            <w:vAlign w:val="center"/>
          </w:tcPr>
          <w:p w:rsidR="00AA0A5F" w:rsidRPr="00E573DC" w:rsidRDefault="00AA0A5F" w:rsidP="00AA0A5F">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RD</w:t>
            </w:r>
          </w:p>
          <w:p w:rsidR="00AA0A5F" w:rsidRPr="00E573DC" w:rsidRDefault="00AA0A5F" w:rsidP="00AA0A5F">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r>
      <w:tr w:rsidR="00AA0A5F" w:rsidRPr="00E573DC" w:rsidTr="00FE0675">
        <w:trPr>
          <w:trHeight w:val="70"/>
        </w:trPr>
        <w:tc>
          <w:tcPr>
            <w:tcW w:w="382" w:type="pct"/>
            <w:vMerge/>
            <w:shd w:val="clear" w:color="auto" w:fill="auto"/>
            <w:vAlign w:val="center"/>
          </w:tcPr>
          <w:p w:rsidR="00AA0A5F" w:rsidRPr="00F84EBB" w:rsidRDefault="00AA0A5F" w:rsidP="00AA0A5F">
            <w:pPr>
              <w:keepNext/>
              <w:widowControl w:val="0"/>
              <w:jc w:val="both"/>
              <w:rPr>
                <w:rFonts w:ascii="Arial Narrow" w:hAnsi="Arial Narrow" w:cs="Arial"/>
                <w:snapToGrid w:val="0"/>
                <w:color w:val="000000"/>
                <w:sz w:val="20"/>
                <w:szCs w:val="18"/>
                <w:lang w:eastAsia="en-US"/>
              </w:rPr>
            </w:pPr>
          </w:p>
        </w:tc>
        <w:tc>
          <w:tcPr>
            <w:tcW w:w="495" w:type="pct"/>
            <w:vMerge/>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
        </w:tc>
        <w:tc>
          <w:tcPr>
            <w:tcW w:w="495" w:type="pct"/>
            <w:vMerge/>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
        </w:tc>
        <w:tc>
          <w:tcPr>
            <w:tcW w:w="505" w:type="pct"/>
            <w:vMerge/>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
        </w:tc>
        <w:tc>
          <w:tcPr>
            <w:tcW w:w="1394" w:type="pct"/>
            <w:vMerge/>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
        </w:tc>
        <w:tc>
          <w:tcPr>
            <w:tcW w:w="597" w:type="pct"/>
            <w:gridSpan w:val="2"/>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VED</w:t>
            </w:r>
          </w:p>
        </w:tc>
        <w:tc>
          <w:tcPr>
            <w:tcW w:w="246" w:type="pct"/>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PBO</w:t>
            </w:r>
          </w:p>
        </w:tc>
        <w:tc>
          <w:tcPr>
            <w:tcW w:w="393" w:type="pct"/>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ADA</w:t>
            </w:r>
          </w:p>
        </w:tc>
        <w:tc>
          <w:tcPr>
            <w:tcW w:w="491" w:type="pct"/>
            <w:vMerge/>
            <w:vAlign w:val="center"/>
          </w:tcPr>
          <w:p w:rsidR="00AA0A5F" w:rsidRPr="00F84EBB" w:rsidRDefault="00AA0A5F" w:rsidP="00AA0A5F">
            <w:pPr>
              <w:keepNext/>
              <w:widowControl w:val="0"/>
              <w:jc w:val="center"/>
              <w:rPr>
                <w:rFonts w:ascii="Arial Narrow" w:hAnsi="Arial Narrow" w:cs="Arial"/>
                <w:b/>
                <w:snapToGrid w:val="0"/>
                <w:color w:val="000000"/>
                <w:sz w:val="20"/>
                <w:szCs w:val="18"/>
                <w:lang w:eastAsia="en-US"/>
              </w:rPr>
            </w:pPr>
          </w:p>
        </w:tc>
      </w:tr>
      <w:tr w:rsidR="00AA0A5F" w:rsidRPr="00E573DC" w:rsidTr="003835A7">
        <w:tc>
          <w:tcPr>
            <w:tcW w:w="5000" w:type="pct"/>
            <w:gridSpan w:val="10"/>
            <w:shd w:val="clear" w:color="auto" w:fill="auto"/>
            <w:vAlign w:val="center"/>
          </w:tcPr>
          <w:p w:rsidR="00AA0A5F" w:rsidRPr="00E573DC" w:rsidRDefault="00AA0A5F" w:rsidP="00AA0A5F">
            <w:pPr>
              <w:keepNext/>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Clinical response week 6-8</w:t>
            </w:r>
          </w:p>
        </w:tc>
      </w:tr>
      <w:tr w:rsidR="00AA0A5F" w:rsidRPr="00E573DC" w:rsidTr="00FE0675">
        <w:tc>
          <w:tcPr>
            <w:tcW w:w="382" w:type="pct"/>
            <w:shd w:val="clear" w:color="auto" w:fill="auto"/>
            <w:vAlign w:val="center"/>
          </w:tcPr>
          <w:p w:rsidR="00AA0A5F" w:rsidRPr="00E573DC" w:rsidRDefault="00AA0A5F" w:rsidP="00AA0A5F">
            <w:pPr>
              <w:keepNext/>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GEMINI I</w:t>
            </w:r>
          </w:p>
        </w:tc>
        <w:tc>
          <w:tcPr>
            <w:tcW w:w="495" w:type="pct"/>
            <w:vAlign w:val="center"/>
          </w:tcPr>
          <w:p w:rsidR="00AA0A5F" w:rsidRPr="00E573DC" w:rsidRDefault="00AA0A5F" w:rsidP="00AA0A5F">
            <w:pPr>
              <w:keepNext/>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106/225  </w:t>
            </w:r>
          </w:p>
        </w:tc>
        <w:tc>
          <w:tcPr>
            <w:tcW w:w="495" w:type="pct"/>
            <w:vAlign w:val="center"/>
          </w:tcPr>
          <w:p w:rsidR="00AA0A5F" w:rsidRPr="00E573DC" w:rsidRDefault="00AA0A5F" w:rsidP="00AA0A5F">
            <w:pPr>
              <w:keepNext/>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38/149 </w:t>
            </w:r>
          </w:p>
        </w:tc>
        <w:tc>
          <w:tcPr>
            <w:tcW w:w="505" w:type="pct"/>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w:t>
            </w:r>
          </w:p>
        </w:tc>
        <w:tc>
          <w:tcPr>
            <w:tcW w:w="1394" w:type="pct"/>
            <w:vAlign w:val="center"/>
          </w:tcPr>
          <w:p w:rsidR="00AA0A5F" w:rsidRPr="007369A6" w:rsidRDefault="007369A6" w:rsidP="00AA0A5F">
            <w:pPr>
              <w:keepNext/>
              <w:widowControl w:val="0"/>
              <w:jc w:val="center"/>
              <w:rPr>
                <w:rFonts w:ascii="Arial Narrow" w:hAnsi="Arial Narrow" w:cs="Arial"/>
                <w:snapToGrid w:val="0"/>
                <w:sz w:val="20"/>
                <w:szCs w:val="18"/>
                <w:highlight w:val="black"/>
                <w:lang w:eastAsia="en-US"/>
              </w:rPr>
            </w:pPr>
            <w:r>
              <w:rPr>
                <w:rFonts w:ascii="Arial Narrow" w:hAnsi="Arial Narrow" w:cs="Arial"/>
                <w:b/>
                <w:noProof/>
                <w:snapToGrid w:val="0"/>
                <w:color w:val="000000"/>
                <w:sz w:val="20"/>
                <w:szCs w:val="20"/>
                <w:highlight w:val="black"/>
                <w:lang w:eastAsia="en-US"/>
              </w:rPr>
              <w:t>''''''''' ''''''''''' ''''''''''</w:t>
            </w:r>
          </w:p>
        </w:tc>
        <w:tc>
          <w:tcPr>
            <w:tcW w:w="597" w:type="pct"/>
            <w:gridSpan w:val="2"/>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47</w:t>
            </w:r>
          </w:p>
        </w:tc>
        <w:tc>
          <w:tcPr>
            <w:tcW w:w="246" w:type="pct"/>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26</w:t>
            </w:r>
          </w:p>
        </w:tc>
        <w:tc>
          <w:tcPr>
            <w:tcW w:w="393" w:type="pct"/>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p>
        </w:tc>
        <w:tc>
          <w:tcPr>
            <w:tcW w:w="491" w:type="pct"/>
            <w:vMerge w:val="restart"/>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Not Performed</w:t>
            </w:r>
          </w:p>
        </w:tc>
      </w:tr>
      <w:tr w:rsidR="00AA0A5F" w:rsidRPr="00E573DC" w:rsidTr="00FE0675">
        <w:tc>
          <w:tcPr>
            <w:tcW w:w="382" w:type="pct"/>
            <w:shd w:val="clear" w:color="auto" w:fill="auto"/>
            <w:vAlign w:val="center"/>
          </w:tcPr>
          <w:p w:rsidR="00AA0A5F" w:rsidRPr="00E573DC" w:rsidRDefault="00AA0A5F" w:rsidP="00AA0A5F">
            <w:pPr>
              <w:keepNext/>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ADA meta</w:t>
            </w:r>
          </w:p>
        </w:tc>
        <w:tc>
          <w:tcPr>
            <w:tcW w:w="495" w:type="pct"/>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p>
        </w:tc>
        <w:tc>
          <w:tcPr>
            <w:tcW w:w="495" w:type="pct"/>
            <w:vAlign w:val="center"/>
          </w:tcPr>
          <w:p w:rsidR="00AA0A5F" w:rsidRPr="007369A6" w:rsidRDefault="007369A6" w:rsidP="00AA0A5F">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r w:rsidR="00AA0A5F" w:rsidRPr="007369A6">
              <w:rPr>
                <w:rFonts w:ascii="Arial Narrow" w:hAnsi="Arial Narrow" w:cs="Arial"/>
                <w:snapToGrid w:val="0"/>
                <w:color w:val="000000"/>
                <w:sz w:val="20"/>
                <w:szCs w:val="18"/>
                <w:highlight w:val="black"/>
                <w:lang w:eastAsia="en-US"/>
              </w:rPr>
              <w:t xml:space="preserve"> </w:t>
            </w:r>
          </w:p>
        </w:tc>
        <w:tc>
          <w:tcPr>
            <w:tcW w:w="505" w:type="pct"/>
            <w:vAlign w:val="center"/>
          </w:tcPr>
          <w:p w:rsidR="00AA0A5F" w:rsidRPr="007369A6" w:rsidRDefault="007369A6" w:rsidP="00AA0A5F">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xml:space="preserve">'''''''''''''''''''' </w:t>
            </w:r>
          </w:p>
        </w:tc>
        <w:tc>
          <w:tcPr>
            <w:tcW w:w="1394" w:type="pct"/>
            <w:vAlign w:val="center"/>
          </w:tcPr>
          <w:p w:rsidR="00AA0A5F" w:rsidRPr="007369A6" w:rsidRDefault="007369A6" w:rsidP="00AA0A5F">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b/>
                <w:bCs/>
                <w:noProof/>
                <w:snapToGrid w:val="0"/>
                <w:color w:val="000000"/>
                <w:sz w:val="20"/>
                <w:szCs w:val="20"/>
                <w:highlight w:val="black"/>
                <w:lang w:eastAsia="en-US"/>
              </w:rPr>
              <w:t>'''''''' '''''''''' '''''''''''</w:t>
            </w:r>
          </w:p>
        </w:tc>
        <w:tc>
          <w:tcPr>
            <w:tcW w:w="597" w:type="pct"/>
            <w:gridSpan w:val="2"/>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p>
        </w:tc>
        <w:tc>
          <w:tcPr>
            <w:tcW w:w="246" w:type="pct"/>
            <w:vAlign w:val="center"/>
          </w:tcPr>
          <w:p w:rsidR="00AA0A5F" w:rsidRPr="007369A6" w:rsidRDefault="007369A6" w:rsidP="00AA0A5F">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393" w:type="pct"/>
            <w:vAlign w:val="center"/>
          </w:tcPr>
          <w:p w:rsidR="00AA0A5F" w:rsidRPr="007369A6" w:rsidRDefault="007369A6" w:rsidP="00AA0A5F">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91" w:type="pct"/>
            <w:vMerge/>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p>
        </w:tc>
      </w:tr>
      <w:tr w:rsidR="00AA0A5F" w:rsidRPr="00E573DC" w:rsidTr="00FE0675">
        <w:tc>
          <w:tcPr>
            <w:tcW w:w="1878" w:type="pct"/>
            <w:gridSpan w:val="4"/>
            <w:tcBorders>
              <w:bottom w:val="single" w:sz="4" w:space="0" w:color="auto"/>
            </w:tcBorders>
            <w:shd w:val="clear" w:color="auto" w:fill="auto"/>
            <w:vAlign w:val="center"/>
          </w:tcPr>
          <w:p w:rsidR="00AA0A5F" w:rsidRPr="00E573DC" w:rsidRDefault="00AA0A5F" w:rsidP="00AA0A5F">
            <w:pPr>
              <w:keepNext/>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Indirect comparison: VED vs. ADA</w:t>
            </w:r>
          </w:p>
        </w:tc>
        <w:tc>
          <w:tcPr>
            <w:tcW w:w="1394" w:type="pct"/>
            <w:tcBorders>
              <w:bottom w:val="single" w:sz="4" w:space="0" w:color="auto"/>
            </w:tcBorders>
            <w:vAlign w:val="center"/>
          </w:tcPr>
          <w:p w:rsidR="00AA0A5F" w:rsidRPr="007369A6" w:rsidRDefault="007369A6" w:rsidP="00AA0A5F">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 '''''''''''</w:t>
            </w:r>
          </w:p>
        </w:tc>
        <w:tc>
          <w:tcPr>
            <w:tcW w:w="1236" w:type="pct"/>
            <w:gridSpan w:val="4"/>
            <w:tcBorders>
              <w:bottom w:val="single" w:sz="4" w:space="0" w:color="auto"/>
            </w:tcBorders>
            <w:shd w:val="clear" w:color="auto" w:fill="auto"/>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w:t>
            </w:r>
          </w:p>
        </w:tc>
        <w:tc>
          <w:tcPr>
            <w:tcW w:w="491" w:type="pct"/>
            <w:vMerge/>
            <w:tcBorders>
              <w:bottom w:val="single" w:sz="4" w:space="0" w:color="auto"/>
            </w:tcBorders>
            <w:vAlign w:val="center"/>
          </w:tcPr>
          <w:p w:rsidR="00AA0A5F" w:rsidRPr="00E573DC" w:rsidRDefault="00AA0A5F" w:rsidP="00AA0A5F">
            <w:pPr>
              <w:keepNext/>
              <w:widowControl w:val="0"/>
              <w:jc w:val="center"/>
              <w:rPr>
                <w:rFonts w:ascii="Arial Narrow" w:hAnsi="Arial Narrow" w:cs="Arial"/>
                <w:snapToGrid w:val="0"/>
                <w:color w:val="000000"/>
                <w:sz w:val="20"/>
                <w:szCs w:val="18"/>
                <w:lang w:eastAsia="en-US"/>
              </w:rPr>
            </w:pPr>
          </w:p>
        </w:tc>
      </w:tr>
      <w:tr w:rsidR="00AA0A5F" w:rsidRPr="00E573DC" w:rsidTr="003835A7">
        <w:tc>
          <w:tcPr>
            <w:tcW w:w="5000" w:type="pct"/>
            <w:gridSpan w:val="10"/>
            <w:tcBorders>
              <w:top w:val="single" w:sz="4" w:space="0" w:color="auto"/>
              <w:bottom w:val="single" w:sz="4" w:space="0" w:color="auto"/>
            </w:tcBorders>
            <w:shd w:val="clear" w:color="auto" w:fill="auto"/>
            <w:vAlign w:val="center"/>
          </w:tcPr>
          <w:p w:rsidR="00AA0A5F" w:rsidRPr="00E573DC" w:rsidRDefault="00AA0A5F" w:rsidP="00AA0A5F">
            <w:pPr>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Clinical remission week 6-8</w:t>
            </w:r>
          </w:p>
        </w:tc>
      </w:tr>
      <w:tr w:rsidR="00AA0A5F" w:rsidRPr="00E573DC" w:rsidTr="00FE0675">
        <w:tc>
          <w:tcPr>
            <w:tcW w:w="382" w:type="pct"/>
            <w:tcBorders>
              <w:top w:val="single" w:sz="4" w:space="0" w:color="auto"/>
            </w:tcBorders>
            <w:shd w:val="clear" w:color="auto" w:fill="auto"/>
            <w:vAlign w:val="center"/>
          </w:tcPr>
          <w:p w:rsidR="00AA0A5F" w:rsidRPr="00E573DC" w:rsidRDefault="00AA0A5F" w:rsidP="00AA0A5F">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GEMINI I</w:t>
            </w:r>
          </w:p>
        </w:tc>
        <w:tc>
          <w:tcPr>
            <w:tcW w:w="495" w:type="pct"/>
            <w:tcBorders>
              <w:top w:val="single" w:sz="4" w:space="0" w:color="auto"/>
            </w:tcBorders>
            <w:vAlign w:val="center"/>
          </w:tcPr>
          <w:p w:rsidR="00AA0A5F" w:rsidRPr="00E573DC" w:rsidRDefault="00AA0A5F" w:rsidP="00AA0A5F">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38/225 </w:t>
            </w:r>
          </w:p>
        </w:tc>
        <w:tc>
          <w:tcPr>
            <w:tcW w:w="495" w:type="pct"/>
            <w:tcBorders>
              <w:top w:val="single" w:sz="4" w:space="0" w:color="auto"/>
            </w:tcBorders>
            <w:vAlign w:val="center"/>
          </w:tcPr>
          <w:p w:rsidR="00AA0A5F" w:rsidRPr="00E573DC" w:rsidRDefault="00AA0A5F" w:rsidP="00AA0A5F">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8/149 </w:t>
            </w:r>
          </w:p>
        </w:tc>
        <w:tc>
          <w:tcPr>
            <w:tcW w:w="505" w:type="pct"/>
            <w:tcBorders>
              <w:top w:val="single" w:sz="4" w:space="0" w:color="auto"/>
            </w:tcBorders>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c>
          <w:tcPr>
            <w:tcW w:w="1394" w:type="pct"/>
            <w:tcBorders>
              <w:top w:val="single" w:sz="4" w:space="0" w:color="auto"/>
            </w:tcBorders>
            <w:vAlign w:val="center"/>
          </w:tcPr>
          <w:p w:rsidR="00AA0A5F" w:rsidRPr="007369A6" w:rsidRDefault="007369A6" w:rsidP="00AA0A5F">
            <w:pPr>
              <w:widowControl w:val="0"/>
              <w:jc w:val="center"/>
              <w:rPr>
                <w:rFonts w:ascii="Arial Narrow" w:hAnsi="Arial Narrow" w:cs="Arial"/>
                <w:snapToGrid w:val="0"/>
                <w:sz w:val="20"/>
                <w:szCs w:val="18"/>
                <w:highlight w:val="black"/>
                <w:lang w:eastAsia="en-US"/>
              </w:rPr>
            </w:pPr>
            <w:r>
              <w:rPr>
                <w:rFonts w:ascii="Arial Narrow" w:hAnsi="Arial Narrow" w:cs="Arial"/>
                <w:b/>
                <w:noProof/>
                <w:snapToGrid w:val="0"/>
                <w:color w:val="000000"/>
                <w:sz w:val="20"/>
                <w:szCs w:val="20"/>
                <w:highlight w:val="black"/>
                <w:lang w:eastAsia="en-US"/>
              </w:rPr>
              <w:t>''''''''' ''''''''''' '''''''''''</w:t>
            </w:r>
          </w:p>
        </w:tc>
        <w:tc>
          <w:tcPr>
            <w:tcW w:w="597" w:type="pct"/>
            <w:gridSpan w:val="2"/>
            <w:tcBorders>
              <w:top w:val="single" w:sz="4" w:space="0" w:color="auto"/>
            </w:tcBorders>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17</w:t>
            </w:r>
          </w:p>
        </w:tc>
        <w:tc>
          <w:tcPr>
            <w:tcW w:w="246" w:type="pct"/>
            <w:tcBorders>
              <w:top w:val="single" w:sz="4" w:space="0" w:color="auto"/>
            </w:tcBorders>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5</w:t>
            </w:r>
          </w:p>
        </w:tc>
        <w:tc>
          <w:tcPr>
            <w:tcW w:w="393" w:type="pct"/>
            <w:tcBorders>
              <w:top w:val="single" w:sz="4" w:space="0" w:color="auto"/>
            </w:tcBorders>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c>
          <w:tcPr>
            <w:tcW w:w="491" w:type="pct"/>
            <w:vMerge w:val="restart"/>
            <w:tcBorders>
              <w:top w:val="single" w:sz="4" w:space="0" w:color="auto"/>
            </w:tcBorders>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Not Performed</w:t>
            </w:r>
          </w:p>
        </w:tc>
      </w:tr>
      <w:tr w:rsidR="00AA0A5F" w:rsidRPr="00E573DC" w:rsidTr="00FE0675">
        <w:tc>
          <w:tcPr>
            <w:tcW w:w="382" w:type="pct"/>
            <w:shd w:val="clear" w:color="auto" w:fill="auto"/>
            <w:vAlign w:val="center"/>
          </w:tcPr>
          <w:p w:rsidR="00AA0A5F" w:rsidRPr="00E573DC" w:rsidRDefault="00AA0A5F" w:rsidP="00AA0A5F">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ADA meta</w:t>
            </w:r>
          </w:p>
        </w:tc>
        <w:tc>
          <w:tcPr>
            <w:tcW w:w="495" w:type="pct"/>
            <w:vAlign w:val="center"/>
          </w:tcPr>
          <w:p w:rsidR="00AA0A5F" w:rsidRPr="00E573DC" w:rsidRDefault="00AA0A5F" w:rsidP="00AA0A5F">
            <w:pPr>
              <w:widowControl w:val="0"/>
              <w:jc w:val="center"/>
              <w:rPr>
                <w:rFonts w:ascii="Arial Narrow" w:hAnsi="Arial Narrow" w:cs="Arial"/>
                <w:snapToGrid w:val="0"/>
                <w:sz w:val="20"/>
                <w:szCs w:val="20"/>
                <w:lang w:eastAsia="en-US"/>
              </w:rPr>
            </w:pPr>
          </w:p>
        </w:tc>
        <w:tc>
          <w:tcPr>
            <w:tcW w:w="495" w:type="pct"/>
            <w:vAlign w:val="center"/>
          </w:tcPr>
          <w:p w:rsidR="00AA0A5F" w:rsidRPr="007369A6" w:rsidRDefault="007369A6" w:rsidP="00AA0A5F">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05" w:type="pct"/>
            <w:vAlign w:val="center"/>
          </w:tcPr>
          <w:p w:rsidR="00AA0A5F" w:rsidRPr="007369A6" w:rsidRDefault="007369A6" w:rsidP="00AA0A5F">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1394" w:type="pct"/>
            <w:vAlign w:val="center"/>
          </w:tcPr>
          <w:p w:rsidR="00AA0A5F" w:rsidRPr="007369A6" w:rsidRDefault="007369A6" w:rsidP="00AA0A5F">
            <w:pPr>
              <w:widowControl w:val="0"/>
              <w:jc w:val="center"/>
              <w:rPr>
                <w:rFonts w:ascii="Arial Narrow" w:hAnsi="Arial Narrow" w:cs="Arial"/>
                <w:b/>
                <w:snapToGrid w:val="0"/>
                <w:sz w:val="20"/>
                <w:szCs w:val="20"/>
                <w:highlight w:val="black"/>
                <w:lang w:eastAsia="en-US"/>
              </w:rPr>
            </w:pPr>
            <w:r>
              <w:rPr>
                <w:rFonts w:ascii="Arial Narrow" w:hAnsi="Arial Narrow" w:cs="Arial"/>
                <w:b/>
                <w:bCs/>
                <w:noProof/>
                <w:snapToGrid w:val="0"/>
                <w:color w:val="000000"/>
                <w:sz w:val="20"/>
                <w:szCs w:val="20"/>
                <w:highlight w:val="black"/>
                <w:lang w:eastAsia="en-US"/>
              </w:rPr>
              <w:t>'''''''' ''''''''''' '''''''''</w:t>
            </w:r>
          </w:p>
        </w:tc>
        <w:tc>
          <w:tcPr>
            <w:tcW w:w="597" w:type="pct"/>
            <w:gridSpan w:val="2"/>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c>
          <w:tcPr>
            <w:tcW w:w="246" w:type="pct"/>
            <w:vAlign w:val="center"/>
          </w:tcPr>
          <w:p w:rsidR="00AA0A5F" w:rsidRPr="007369A6" w:rsidRDefault="007369A6" w:rsidP="00AA0A5F">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393" w:type="pct"/>
            <w:vAlign w:val="center"/>
          </w:tcPr>
          <w:p w:rsidR="00AA0A5F" w:rsidRPr="007369A6" w:rsidRDefault="007369A6" w:rsidP="00AA0A5F">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91" w:type="pct"/>
            <w:vMerge/>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r>
      <w:tr w:rsidR="00AA0A5F" w:rsidRPr="00E573DC" w:rsidTr="00FE0675">
        <w:tc>
          <w:tcPr>
            <w:tcW w:w="1878" w:type="pct"/>
            <w:gridSpan w:val="4"/>
            <w:shd w:val="clear" w:color="auto" w:fill="auto"/>
            <w:vAlign w:val="center"/>
          </w:tcPr>
          <w:p w:rsidR="00AA0A5F" w:rsidRPr="00E573DC" w:rsidRDefault="00AA0A5F" w:rsidP="00AA0A5F">
            <w:pPr>
              <w:widowControl w:val="0"/>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Indirect comparison: VED vs. ADA </w:t>
            </w:r>
          </w:p>
        </w:tc>
        <w:tc>
          <w:tcPr>
            <w:tcW w:w="1394" w:type="pct"/>
            <w:vAlign w:val="center"/>
          </w:tcPr>
          <w:p w:rsidR="00AA0A5F" w:rsidRPr="007369A6" w:rsidRDefault="007369A6" w:rsidP="00AA0A5F">
            <w:pPr>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236" w:type="pct"/>
            <w:gridSpan w:val="4"/>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c>
          <w:tcPr>
            <w:tcW w:w="491" w:type="pct"/>
            <w:vMerge/>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r>
      <w:tr w:rsidR="00AA0A5F" w:rsidRPr="00E573DC" w:rsidTr="003835A7">
        <w:tc>
          <w:tcPr>
            <w:tcW w:w="5000" w:type="pct"/>
            <w:gridSpan w:val="10"/>
            <w:shd w:val="clear" w:color="auto" w:fill="auto"/>
            <w:vAlign w:val="center"/>
          </w:tcPr>
          <w:p w:rsidR="00AA0A5F" w:rsidRPr="00E573DC" w:rsidRDefault="00AA0A5F" w:rsidP="00AA0A5F">
            <w:pPr>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Clinical remission week 52</w:t>
            </w:r>
          </w:p>
        </w:tc>
      </w:tr>
      <w:tr w:rsidR="00AA0A5F" w:rsidRPr="00E573DC" w:rsidTr="00FE0675">
        <w:tc>
          <w:tcPr>
            <w:tcW w:w="382" w:type="pct"/>
            <w:shd w:val="clear" w:color="auto" w:fill="auto"/>
            <w:vAlign w:val="center"/>
          </w:tcPr>
          <w:p w:rsidR="00AA0A5F" w:rsidRPr="00E573DC" w:rsidRDefault="00AA0A5F" w:rsidP="00AA0A5F">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GEMINI I</w:t>
            </w:r>
          </w:p>
        </w:tc>
        <w:tc>
          <w:tcPr>
            <w:tcW w:w="495" w:type="pct"/>
            <w:vAlign w:val="center"/>
          </w:tcPr>
          <w:p w:rsidR="00AA0A5F" w:rsidRPr="00E573DC" w:rsidRDefault="00AA0A5F" w:rsidP="00AA0A5F">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51/122</w:t>
            </w:r>
          </w:p>
        </w:tc>
        <w:tc>
          <w:tcPr>
            <w:tcW w:w="495" w:type="pct"/>
            <w:vAlign w:val="center"/>
          </w:tcPr>
          <w:p w:rsidR="00AA0A5F" w:rsidRPr="00E573DC" w:rsidRDefault="00AA0A5F" w:rsidP="00AA0A5F">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20/126</w:t>
            </w:r>
          </w:p>
        </w:tc>
        <w:tc>
          <w:tcPr>
            <w:tcW w:w="505" w:type="pct"/>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c>
          <w:tcPr>
            <w:tcW w:w="1394" w:type="pct"/>
            <w:vAlign w:val="center"/>
          </w:tcPr>
          <w:p w:rsidR="00AA0A5F" w:rsidRPr="007369A6" w:rsidRDefault="007369A6" w:rsidP="00AA0A5F">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471" w:type="pct"/>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42 </w:t>
            </w:r>
          </w:p>
        </w:tc>
        <w:tc>
          <w:tcPr>
            <w:tcW w:w="372" w:type="pct"/>
            <w:gridSpan w:val="2"/>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16</w:t>
            </w:r>
          </w:p>
        </w:tc>
        <w:tc>
          <w:tcPr>
            <w:tcW w:w="393" w:type="pct"/>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c>
          <w:tcPr>
            <w:tcW w:w="491" w:type="pct"/>
            <w:vMerge w:val="restart"/>
            <w:vAlign w:val="center"/>
          </w:tcPr>
          <w:p w:rsidR="00AA0A5F" w:rsidRPr="00E573DC" w:rsidRDefault="00AA0A5F" w:rsidP="00AA0A5F">
            <w:pPr>
              <w:widowControl w:val="0"/>
              <w:jc w:val="center"/>
              <w:rPr>
                <w:rFonts w:ascii="Arial Narrow" w:hAnsi="Arial Narrow" w:cs="Arial"/>
                <w:b/>
                <w:snapToGrid w:val="0"/>
                <w:color w:val="000000"/>
                <w:sz w:val="20"/>
                <w:szCs w:val="18"/>
                <w:lang w:eastAsia="en-US"/>
              </w:rPr>
            </w:pPr>
            <w:r w:rsidRPr="00E573DC">
              <w:rPr>
                <w:rFonts w:ascii="Arial Narrow" w:hAnsi="Arial Narrow" w:cs="Arial"/>
                <w:snapToGrid w:val="0"/>
                <w:color w:val="000000"/>
                <w:sz w:val="20"/>
                <w:szCs w:val="18"/>
                <w:lang w:eastAsia="en-US"/>
              </w:rPr>
              <w:t>Not Performed</w:t>
            </w:r>
          </w:p>
        </w:tc>
      </w:tr>
      <w:tr w:rsidR="00FE0675" w:rsidRPr="00E573DC" w:rsidTr="00FE0675">
        <w:tc>
          <w:tcPr>
            <w:tcW w:w="382" w:type="pct"/>
            <w:shd w:val="clear" w:color="auto" w:fill="auto"/>
            <w:vAlign w:val="center"/>
          </w:tcPr>
          <w:p w:rsidR="00FE0675" w:rsidRPr="00E573DC" w:rsidRDefault="00FE0675" w:rsidP="00AA0A5F">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ULTRA 2</w:t>
            </w:r>
          </w:p>
        </w:tc>
        <w:tc>
          <w:tcPr>
            <w:tcW w:w="495" w:type="pct"/>
            <w:vAlign w:val="center"/>
          </w:tcPr>
          <w:p w:rsidR="00FE0675" w:rsidRPr="00E573DC" w:rsidRDefault="00FE0675" w:rsidP="00AA0A5F">
            <w:pPr>
              <w:widowControl w:val="0"/>
              <w:jc w:val="center"/>
              <w:rPr>
                <w:rFonts w:ascii="Arial Narrow" w:hAnsi="Arial Narrow" w:cs="Arial"/>
                <w:snapToGrid w:val="0"/>
                <w:sz w:val="20"/>
                <w:szCs w:val="20"/>
                <w:lang w:eastAsia="en-US"/>
              </w:rPr>
            </w:pPr>
          </w:p>
        </w:tc>
        <w:tc>
          <w:tcPr>
            <w:tcW w:w="495" w:type="pct"/>
            <w:vAlign w:val="center"/>
          </w:tcPr>
          <w:p w:rsidR="00FE0675" w:rsidRPr="00755465" w:rsidRDefault="00FE0675" w:rsidP="00F30E2D">
            <w:pPr>
              <w:widowControl w:val="0"/>
              <w:jc w:val="center"/>
              <w:rPr>
                <w:rFonts w:ascii="Arial Narrow" w:hAnsi="Arial Narrow" w:cs="Arial"/>
                <w:snapToGrid w:val="0"/>
                <w:sz w:val="20"/>
                <w:szCs w:val="20"/>
                <w:lang w:eastAsia="en-US"/>
              </w:rPr>
            </w:pPr>
            <w:r w:rsidRPr="00755465">
              <w:rPr>
                <w:rFonts w:ascii="Arial Narrow" w:hAnsi="Arial Narrow" w:cs="Arial"/>
                <w:snapToGrid w:val="0"/>
                <w:sz w:val="20"/>
                <w:szCs w:val="20"/>
                <w:lang w:eastAsia="en-US"/>
              </w:rPr>
              <w:t>28/342</w:t>
            </w:r>
          </w:p>
        </w:tc>
        <w:tc>
          <w:tcPr>
            <w:tcW w:w="505" w:type="pct"/>
            <w:vAlign w:val="center"/>
          </w:tcPr>
          <w:p w:rsidR="00FE0675" w:rsidRPr="00755465" w:rsidRDefault="00FE0675" w:rsidP="00F30E2D">
            <w:pPr>
              <w:widowControl w:val="0"/>
              <w:jc w:val="center"/>
              <w:rPr>
                <w:rFonts w:ascii="Arial Narrow" w:hAnsi="Arial Narrow" w:cs="Arial"/>
                <w:snapToGrid w:val="0"/>
                <w:color w:val="000000"/>
                <w:sz w:val="20"/>
                <w:szCs w:val="18"/>
                <w:lang w:eastAsia="en-US"/>
              </w:rPr>
            </w:pPr>
            <w:r w:rsidRPr="00755465">
              <w:rPr>
                <w:rFonts w:ascii="Arial Narrow" w:hAnsi="Arial Narrow" w:cs="Arial"/>
                <w:snapToGrid w:val="0"/>
                <w:color w:val="000000"/>
                <w:sz w:val="20"/>
                <w:szCs w:val="18"/>
                <w:lang w:eastAsia="en-US"/>
              </w:rPr>
              <w:t>61/338</w:t>
            </w:r>
          </w:p>
        </w:tc>
        <w:tc>
          <w:tcPr>
            <w:tcW w:w="1394" w:type="pct"/>
            <w:vAlign w:val="center"/>
          </w:tcPr>
          <w:p w:rsidR="00FE0675" w:rsidRPr="007369A6" w:rsidRDefault="007369A6" w:rsidP="00AA0A5F">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471" w:type="pct"/>
            <w:vAlign w:val="center"/>
          </w:tcPr>
          <w:p w:rsidR="00FE0675" w:rsidRPr="00E573DC" w:rsidRDefault="00FE0675" w:rsidP="00AA0A5F">
            <w:pPr>
              <w:widowControl w:val="0"/>
              <w:jc w:val="center"/>
              <w:rPr>
                <w:rFonts w:ascii="Arial Narrow" w:hAnsi="Arial Narrow" w:cs="Arial"/>
                <w:snapToGrid w:val="0"/>
                <w:color w:val="000000"/>
                <w:sz w:val="20"/>
                <w:szCs w:val="18"/>
                <w:lang w:eastAsia="en-US"/>
              </w:rPr>
            </w:pPr>
          </w:p>
        </w:tc>
        <w:tc>
          <w:tcPr>
            <w:tcW w:w="372" w:type="pct"/>
            <w:gridSpan w:val="2"/>
            <w:vAlign w:val="center"/>
          </w:tcPr>
          <w:p w:rsidR="00FE0675" w:rsidRPr="00E573DC" w:rsidRDefault="00FE0675" w:rsidP="00AA0A5F">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8</w:t>
            </w:r>
          </w:p>
        </w:tc>
        <w:tc>
          <w:tcPr>
            <w:tcW w:w="393" w:type="pct"/>
            <w:vAlign w:val="center"/>
          </w:tcPr>
          <w:p w:rsidR="00FE0675" w:rsidRPr="00E573DC" w:rsidRDefault="00FE0675" w:rsidP="00AA0A5F">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18</w:t>
            </w:r>
          </w:p>
        </w:tc>
        <w:tc>
          <w:tcPr>
            <w:tcW w:w="491" w:type="pct"/>
            <w:vMerge/>
            <w:vAlign w:val="center"/>
          </w:tcPr>
          <w:p w:rsidR="00FE0675" w:rsidRPr="00E573DC" w:rsidRDefault="00FE0675" w:rsidP="00AA0A5F">
            <w:pPr>
              <w:widowControl w:val="0"/>
              <w:jc w:val="center"/>
              <w:rPr>
                <w:rFonts w:ascii="Arial Narrow" w:hAnsi="Arial Narrow" w:cs="Arial"/>
                <w:snapToGrid w:val="0"/>
                <w:color w:val="000000"/>
                <w:sz w:val="20"/>
                <w:szCs w:val="18"/>
                <w:lang w:eastAsia="en-US"/>
              </w:rPr>
            </w:pPr>
          </w:p>
        </w:tc>
      </w:tr>
      <w:tr w:rsidR="00AA0A5F" w:rsidRPr="00E573DC" w:rsidTr="00FE0675">
        <w:tc>
          <w:tcPr>
            <w:tcW w:w="1878" w:type="pct"/>
            <w:gridSpan w:val="4"/>
            <w:shd w:val="clear" w:color="auto" w:fill="auto"/>
            <w:vAlign w:val="center"/>
          </w:tcPr>
          <w:p w:rsidR="00AA0A5F" w:rsidRPr="00E573DC" w:rsidRDefault="00AA0A5F" w:rsidP="00AA0A5F">
            <w:pPr>
              <w:widowControl w:val="0"/>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Indirect comparison: VED vs. ADA</w:t>
            </w:r>
          </w:p>
        </w:tc>
        <w:tc>
          <w:tcPr>
            <w:tcW w:w="1394" w:type="pct"/>
            <w:vAlign w:val="center"/>
          </w:tcPr>
          <w:p w:rsidR="00AA0A5F" w:rsidRPr="007369A6" w:rsidRDefault="007369A6" w:rsidP="00AA0A5F">
            <w:pPr>
              <w:widowControl w:val="0"/>
              <w:jc w:val="center"/>
              <w:rPr>
                <w:rFonts w:ascii="Arial Narrow" w:hAnsi="Arial Narrow" w:cs="Arial"/>
                <w:b/>
                <w:snapToGrid w:val="0"/>
                <w:sz w:val="20"/>
                <w:szCs w:val="20"/>
                <w:highlight w:val="black"/>
                <w:lang w:eastAsia="en-US"/>
              </w:rPr>
            </w:pPr>
            <w:r>
              <w:rPr>
                <w:rFonts w:ascii="Arial Narrow" w:hAnsi="Arial Narrow" w:cs="Arial Narrow"/>
                <w:noProof/>
                <w:snapToGrid w:val="0"/>
                <w:color w:val="000000"/>
                <w:sz w:val="20"/>
                <w:szCs w:val="20"/>
                <w:highlight w:val="black"/>
                <w:lang w:eastAsia="en-US"/>
              </w:rPr>
              <w:t>''''''''''' '''''''''''' ''''''''''''</w:t>
            </w:r>
          </w:p>
        </w:tc>
        <w:tc>
          <w:tcPr>
            <w:tcW w:w="1236" w:type="pct"/>
            <w:gridSpan w:val="4"/>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c>
          <w:tcPr>
            <w:tcW w:w="491" w:type="pct"/>
            <w:vMerge/>
            <w:vAlign w:val="center"/>
          </w:tcPr>
          <w:p w:rsidR="00AA0A5F" w:rsidRPr="00E573DC" w:rsidRDefault="00AA0A5F" w:rsidP="00AA0A5F">
            <w:pPr>
              <w:widowControl w:val="0"/>
              <w:jc w:val="center"/>
              <w:rPr>
                <w:rFonts w:ascii="Arial Narrow" w:hAnsi="Arial Narrow" w:cs="Arial"/>
                <w:snapToGrid w:val="0"/>
                <w:color w:val="000000"/>
                <w:sz w:val="20"/>
                <w:szCs w:val="18"/>
                <w:lang w:eastAsia="en-US"/>
              </w:rPr>
            </w:pPr>
          </w:p>
        </w:tc>
      </w:tr>
    </w:tbl>
    <w:p w:rsidR="00AA0A5F" w:rsidRDefault="00AA0A5F" w:rsidP="00882085">
      <w:pPr>
        <w:jc w:val="both"/>
        <w:rPr>
          <w:rFonts w:ascii="Arial" w:hAnsi="Arial"/>
          <w:b/>
          <w:i/>
          <w:sz w:val="22"/>
          <w:szCs w:val="22"/>
        </w:rPr>
      </w:pPr>
    </w:p>
    <w:p w:rsidR="009D769A" w:rsidRDefault="009D769A" w:rsidP="00882085">
      <w:pPr>
        <w:jc w:val="both"/>
        <w:rPr>
          <w:rFonts w:ascii="Arial" w:hAnsi="Arial"/>
          <w:b/>
          <w:i/>
          <w:sz w:val="22"/>
          <w:szCs w:val="22"/>
        </w:rPr>
      </w:pPr>
    </w:p>
    <w:tbl>
      <w:tblPr>
        <w:tblStyle w:val="TableGrid"/>
        <w:tblW w:w="4594" w:type="pct"/>
        <w:tblInd w:w="737" w:type="dxa"/>
        <w:tblCellMar>
          <w:left w:w="28" w:type="dxa"/>
          <w:right w:w="28" w:type="dxa"/>
        </w:tblCellMar>
        <w:tblLook w:val="04A0" w:firstRow="1" w:lastRow="0" w:firstColumn="1" w:lastColumn="0" w:noHBand="0" w:noVBand="1"/>
        <w:tblDescription w:val="Indirect comparison summary of comparative benefits and harms for vedolizumab and adalimumab"/>
      </w:tblPr>
      <w:tblGrid>
        <w:gridCol w:w="591"/>
        <w:gridCol w:w="842"/>
        <w:gridCol w:w="843"/>
        <w:gridCol w:w="855"/>
        <w:gridCol w:w="2344"/>
        <w:gridCol w:w="799"/>
        <w:gridCol w:w="652"/>
        <w:gridCol w:w="661"/>
        <w:gridCol w:w="780"/>
      </w:tblGrid>
      <w:tr w:rsidR="009D769A" w:rsidRPr="009D769A" w:rsidTr="00EE1721">
        <w:trPr>
          <w:tblHeader/>
        </w:trPr>
        <w:tc>
          <w:tcPr>
            <w:tcW w:w="5000" w:type="pct"/>
            <w:gridSpan w:val="9"/>
            <w:tcBorders>
              <w:top w:val="double" w:sz="4" w:space="0" w:color="auto"/>
            </w:tcBorders>
            <w:shd w:val="clear" w:color="auto" w:fill="auto"/>
            <w:vAlign w:val="center"/>
          </w:tcPr>
          <w:p w:rsidR="009D769A" w:rsidRPr="007369A6" w:rsidRDefault="009D769A" w:rsidP="00F30E2D">
            <w:pPr>
              <w:widowControl w:val="0"/>
              <w:jc w:val="both"/>
              <w:rPr>
                <w:rFonts w:ascii="Arial Narrow" w:hAnsi="Arial Narrow" w:cs="Arial"/>
                <w:b/>
                <w:snapToGrid w:val="0"/>
                <w:color w:val="000000"/>
                <w:sz w:val="20"/>
                <w:szCs w:val="18"/>
                <w:lang w:eastAsia="en-US"/>
              </w:rPr>
            </w:pPr>
            <w:bookmarkStart w:id="0" w:name="_GoBack" w:colFirst="0" w:colLast="1"/>
            <w:r w:rsidRPr="00F30E2D">
              <w:rPr>
                <w:rFonts w:ascii="Arial Narrow" w:hAnsi="Arial Narrow" w:cs="Arial"/>
                <w:b/>
                <w:snapToGrid w:val="0"/>
                <w:color w:val="000000"/>
                <w:sz w:val="20"/>
                <w:szCs w:val="18"/>
                <w:lang w:eastAsia="en-US"/>
              </w:rPr>
              <w:t xml:space="preserve">Harms </w:t>
            </w:r>
          </w:p>
        </w:tc>
      </w:tr>
      <w:bookmarkEnd w:id="0"/>
      <w:tr w:rsidR="009D769A" w:rsidRPr="009D769A" w:rsidTr="00F30E2D">
        <w:tc>
          <w:tcPr>
            <w:tcW w:w="5000" w:type="pct"/>
            <w:gridSpan w:val="9"/>
            <w:tcBorders>
              <w:top w:val="double" w:sz="4" w:space="0" w:color="auto"/>
            </w:tcBorders>
            <w:shd w:val="clear" w:color="auto" w:fill="auto"/>
            <w:vAlign w:val="center"/>
          </w:tcPr>
          <w:p w:rsidR="009D769A" w:rsidRPr="007369A6" w:rsidRDefault="007369A6" w:rsidP="00F30E2D">
            <w:pPr>
              <w:widowControl w:val="0"/>
              <w:jc w:val="both"/>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lastRenderedPageBreak/>
              <w:t>'''''''''''''''' '''''''''''''''''''''''' ''' ''''''''''''''''''''''''' ''''''' ''''''''''''''''''''''''''' '''''''''' ''''''</w:t>
            </w:r>
          </w:p>
        </w:tc>
      </w:tr>
      <w:tr w:rsidR="009D769A" w:rsidRPr="009D769A" w:rsidTr="00F30E2D">
        <w:trPr>
          <w:trHeight w:val="105"/>
        </w:trPr>
        <w:tc>
          <w:tcPr>
            <w:tcW w:w="80" w:type="pct"/>
            <w:shd w:val="clear" w:color="auto" w:fill="auto"/>
            <w:vAlign w:val="center"/>
          </w:tcPr>
          <w:p w:rsidR="009D769A" w:rsidRPr="007369A6" w:rsidRDefault="009D769A" w:rsidP="00F30E2D">
            <w:pPr>
              <w:widowControl w:val="0"/>
              <w:jc w:val="both"/>
              <w:rPr>
                <w:rFonts w:ascii="Arial Narrow" w:hAnsi="Arial Narrow" w:cs="Arial"/>
                <w:snapToGrid w:val="0"/>
                <w:color w:val="000000"/>
                <w:sz w:val="20"/>
                <w:szCs w:val="18"/>
                <w:lang w:eastAsia="en-US"/>
              </w:rPr>
            </w:pPr>
          </w:p>
        </w:tc>
        <w:tc>
          <w:tcPr>
            <w:tcW w:w="539" w:type="pct"/>
            <w:vAlign w:val="center"/>
          </w:tcPr>
          <w:p w:rsidR="009D769A"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tc>
        <w:tc>
          <w:tcPr>
            <w:tcW w:w="539" w:type="pct"/>
            <w:vAlign w:val="center"/>
          </w:tcPr>
          <w:p w:rsidR="009D769A"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tc>
        <w:tc>
          <w:tcPr>
            <w:tcW w:w="546" w:type="pct"/>
            <w:vAlign w:val="center"/>
          </w:tcPr>
          <w:p w:rsidR="009D769A"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tc>
        <w:tc>
          <w:tcPr>
            <w:tcW w:w="1436" w:type="pct"/>
            <w:vAlign w:val="center"/>
          </w:tcPr>
          <w:p w:rsidR="009D769A"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w:t>
            </w:r>
          </w:p>
        </w:tc>
        <w:tc>
          <w:tcPr>
            <w:tcW w:w="1368" w:type="pct"/>
            <w:gridSpan w:val="3"/>
            <w:vAlign w:val="center"/>
          </w:tcPr>
          <w:p w:rsidR="009D769A"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xml:space="preserve">''''''''''''' '''''''''''''''' ''''''''''''''''''''''''''''''''' </w:t>
            </w:r>
          </w:p>
        </w:tc>
        <w:tc>
          <w:tcPr>
            <w:tcW w:w="493" w:type="pct"/>
            <w:vAlign w:val="center"/>
          </w:tcPr>
          <w:p w:rsidR="009D769A" w:rsidRPr="007369A6" w:rsidRDefault="007369A6" w:rsidP="00F30E2D">
            <w:pPr>
              <w:widowControl w:val="0"/>
              <w:jc w:val="center"/>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w:t>
            </w:r>
          </w:p>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w:t>
            </w:r>
          </w:p>
        </w:tc>
      </w:tr>
      <w:tr w:rsidR="009D769A" w:rsidRPr="009D769A" w:rsidTr="00F30E2D">
        <w:tc>
          <w:tcPr>
            <w:tcW w:w="5000" w:type="pct"/>
            <w:gridSpan w:val="9"/>
            <w:shd w:val="clear" w:color="auto" w:fill="auto"/>
            <w:vAlign w:val="center"/>
          </w:tcPr>
          <w:p w:rsidR="009D769A" w:rsidRPr="007369A6" w:rsidRDefault="007369A6" w:rsidP="00F30E2D">
            <w:pPr>
              <w:widowControl w:val="0"/>
              <w:rPr>
                <w:rFonts w:ascii="Arial Narrow" w:hAnsi="Arial Narrow" w:cs="Arial"/>
                <w:b/>
                <w:snapToGrid w:val="0"/>
                <w:color w:val="000000"/>
                <w:sz w:val="20"/>
                <w:szCs w:val="18"/>
                <w:highlight w:val="black"/>
                <w:lang w:eastAsia="en-US"/>
              </w:rPr>
            </w:pPr>
            <w:r>
              <w:rPr>
                <w:rFonts w:ascii="Arial Narrow" w:hAnsi="Arial Narrow" w:cs="Arial"/>
                <w:b/>
                <w:noProof/>
                <w:snapToGrid w:val="0"/>
                <w:color w:val="000000"/>
                <w:sz w:val="20"/>
                <w:szCs w:val="18"/>
                <w:highlight w:val="black"/>
                <w:lang w:eastAsia="en-US"/>
              </w:rPr>
              <w:t>'''''''''''''''' '''''''''''''''</w:t>
            </w:r>
          </w:p>
        </w:tc>
      </w:tr>
      <w:tr w:rsidR="009D769A" w:rsidRPr="009D769A" w:rsidTr="00F30E2D">
        <w:tc>
          <w:tcPr>
            <w:tcW w:w="80" w:type="pct"/>
            <w:shd w:val="clear" w:color="auto" w:fill="auto"/>
            <w:vAlign w:val="center"/>
          </w:tcPr>
          <w:p w:rsidR="009D769A" w:rsidRPr="007369A6" w:rsidRDefault="007369A6" w:rsidP="00F30E2D">
            <w:pPr>
              <w:widowControl w:val="0"/>
              <w:jc w:val="both"/>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w:t>
            </w:r>
          </w:p>
        </w:tc>
        <w:tc>
          <w:tcPr>
            <w:tcW w:w="539" w:type="pct"/>
          </w:tcPr>
          <w:p w:rsidR="009D769A" w:rsidRPr="007369A6" w:rsidRDefault="007369A6" w:rsidP="00F30E2D">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xml:space="preserve">'''''''''''''''''''' </w:t>
            </w:r>
          </w:p>
        </w:tc>
        <w:tc>
          <w:tcPr>
            <w:tcW w:w="539" w:type="pct"/>
          </w:tcPr>
          <w:p w:rsidR="009D769A" w:rsidRPr="007369A6" w:rsidRDefault="007369A6" w:rsidP="00F30E2D">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xml:space="preserve">''''''''''''''''''''' </w:t>
            </w:r>
          </w:p>
        </w:tc>
        <w:tc>
          <w:tcPr>
            <w:tcW w:w="546" w:type="pct"/>
            <w:vAlign w:val="center"/>
          </w:tcPr>
          <w:p w:rsidR="009D769A" w:rsidRPr="007369A6" w:rsidRDefault="009D769A" w:rsidP="00F30E2D">
            <w:pPr>
              <w:widowControl w:val="0"/>
              <w:jc w:val="center"/>
              <w:rPr>
                <w:rFonts w:ascii="Arial Narrow" w:hAnsi="Arial Narrow" w:cs="Arial"/>
                <w:snapToGrid w:val="0"/>
                <w:color w:val="000000"/>
                <w:sz w:val="20"/>
                <w:szCs w:val="18"/>
                <w:lang w:eastAsia="en-US"/>
              </w:rPr>
            </w:pPr>
          </w:p>
        </w:tc>
        <w:tc>
          <w:tcPr>
            <w:tcW w:w="1436" w:type="pct"/>
            <w:vAlign w:val="center"/>
          </w:tcPr>
          <w:p w:rsidR="009D769A" w:rsidRPr="007369A6" w:rsidRDefault="007369A6" w:rsidP="00F30E2D">
            <w:pPr>
              <w:widowControl w:val="0"/>
              <w:jc w:val="center"/>
              <w:rPr>
                <w:rFonts w:ascii="Arial Narrow" w:hAnsi="Arial Narrow" w:cs="Arial"/>
                <w:snapToGrid w:val="0"/>
                <w:sz w:val="20"/>
                <w:szCs w:val="18"/>
                <w:highlight w:val="black"/>
                <w:lang w:eastAsia="en-US"/>
              </w:rPr>
            </w:pPr>
            <w:r>
              <w:rPr>
                <w:rFonts w:ascii="Arial Narrow" w:hAnsi="Arial Narrow" w:cs="Arial"/>
                <w:noProof/>
                <w:snapToGrid w:val="0"/>
                <w:color w:val="000000"/>
                <w:sz w:val="20"/>
                <w:szCs w:val="20"/>
                <w:highlight w:val="black"/>
                <w:lang w:eastAsia="en-US"/>
              </w:rPr>
              <w:t>'''''''''''' '''''''''''''''' ''''''''''''''</w:t>
            </w:r>
          </w:p>
        </w:tc>
        <w:tc>
          <w:tcPr>
            <w:tcW w:w="513" w:type="pct"/>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25" w:type="pct"/>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30" w:type="pct"/>
            <w:vAlign w:val="center"/>
          </w:tcPr>
          <w:p w:rsidR="009D769A" w:rsidRPr="007369A6" w:rsidRDefault="009D769A" w:rsidP="00F30E2D">
            <w:pPr>
              <w:widowControl w:val="0"/>
              <w:jc w:val="center"/>
              <w:rPr>
                <w:rFonts w:ascii="Arial Narrow" w:hAnsi="Arial Narrow" w:cs="Arial"/>
                <w:snapToGrid w:val="0"/>
                <w:color w:val="000000"/>
                <w:sz w:val="20"/>
                <w:szCs w:val="18"/>
                <w:lang w:eastAsia="en-US"/>
              </w:rPr>
            </w:pPr>
          </w:p>
        </w:tc>
        <w:tc>
          <w:tcPr>
            <w:tcW w:w="493" w:type="pct"/>
            <w:vMerge w:val="restart"/>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w:t>
            </w:r>
          </w:p>
        </w:tc>
      </w:tr>
      <w:tr w:rsidR="009D769A" w:rsidRPr="009D769A" w:rsidTr="00F30E2D">
        <w:tc>
          <w:tcPr>
            <w:tcW w:w="80" w:type="pct"/>
            <w:shd w:val="clear" w:color="auto" w:fill="auto"/>
            <w:vAlign w:val="center"/>
          </w:tcPr>
          <w:p w:rsidR="009D769A" w:rsidRPr="007369A6" w:rsidRDefault="007369A6" w:rsidP="00F30E2D">
            <w:pPr>
              <w:widowControl w:val="0"/>
              <w:jc w:val="both"/>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w:t>
            </w:r>
          </w:p>
        </w:tc>
        <w:tc>
          <w:tcPr>
            <w:tcW w:w="539" w:type="pct"/>
            <w:vAlign w:val="center"/>
          </w:tcPr>
          <w:p w:rsidR="009D769A" w:rsidRPr="007369A6" w:rsidRDefault="009D769A" w:rsidP="00F30E2D">
            <w:pPr>
              <w:widowControl w:val="0"/>
              <w:jc w:val="center"/>
              <w:rPr>
                <w:rFonts w:ascii="Arial Narrow" w:hAnsi="Arial Narrow" w:cs="Arial"/>
                <w:snapToGrid w:val="0"/>
                <w:color w:val="000000"/>
                <w:sz w:val="20"/>
                <w:szCs w:val="18"/>
                <w:lang w:eastAsia="en-US"/>
              </w:rPr>
            </w:pPr>
          </w:p>
        </w:tc>
        <w:tc>
          <w:tcPr>
            <w:tcW w:w="539" w:type="pct"/>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546" w:type="pct"/>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1436" w:type="pct"/>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20"/>
                <w:highlight w:val="black"/>
                <w:lang w:eastAsia="en-US"/>
              </w:rPr>
              <w:t>'''''''''' '''''''''''' '''''''''''</w:t>
            </w:r>
          </w:p>
        </w:tc>
        <w:tc>
          <w:tcPr>
            <w:tcW w:w="513" w:type="pct"/>
            <w:vAlign w:val="center"/>
          </w:tcPr>
          <w:p w:rsidR="009D769A" w:rsidRPr="007369A6" w:rsidRDefault="009D769A" w:rsidP="00F30E2D">
            <w:pPr>
              <w:widowControl w:val="0"/>
              <w:jc w:val="center"/>
              <w:rPr>
                <w:rFonts w:ascii="Arial Narrow" w:hAnsi="Arial Narrow" w:cs="Arial"/>
                <w:snapToGrid w:val="0"/>
                <w:color w:val="000000"/>
                <w:sz w:val="20"/>
                <w:szCs w:val="18"/>
                <w:lang w:eastAsia="en-US"/>
              </w:rPr>
            </w:pPr>
          </w:p>
        </w:tc>
        <w:tc>
          <w:tcPr>
            <w:tcW w:w="425" w:type="pct"/>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30" w:type="pct"/>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93" w:type="pct"/>
            <w:vMerge/>
            <w:vAlign w:val="center"/>
          </w:tcPr>
          <w:p w:rsidR="009D769A" w:rsidRPr="007369A6" w:rsidRDefault="009D769A" w:rsidP="00F30E2D">
            <w:pPr>
              <w:widowControl w:val="0"/>
              <w:jc w:val="center"/>
              <w:rPr>
                <w:rFonts w:ascii="Arial Narrow" w:hAnsi="Arial Narrow" w:cs="Arial"/>
                <w:snapToGrid w:val="0"/>
                <w:color w:val="000000"/>
                <w:sz w:val="20"/>
                <w:szCs w:val="18"/>
                <w:lang w:eastAsia="en-US"/>
              </w:rPr>
            </w:pPr>
          </w:p>
        </w:tc>
      </w:tr>
      <w:tr w:rsidR="009D769A" w:rsidRPr="009D769A" w:rsidTr="00F30E2D">
        <w:tc>
          <w:tcPr>
            <w:tcW w:w="1704" w:type="pct"/>
            <w:gridSpan w:val="4"/>
            <w:tcBorders>
              <w:bottom w:val="single" w:sz="4" w:space="0" w:color="auto"/>
            </w:tcBorders>
            <w:shd w:val="clear" w:color="auto" w:fill="auto"/>
            <w:vAlign w:val="center"/>
          </w:tcPr>
          <w:p w:rsidR="009D769A" w:rsidRPr="007369A6" w:rsidRDefault="007369A6" w:rsidP="00F30E2D">
            <w:pPr>
              <w:widowControl w:val="0"/>
              <w:jc w:val="both"/>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 ''''''''''' ''''''' ''''''''''''</w:t>
            </w:r>
          </w:p>
        </w:tc>
        <w:tc>
          <w:tcPr>
            <w:tcW w:w="1436" w:type="pct"/>
            <w:tcBorders>
              <w:bottom w:val="single" w:sz="4" w:space="0" w:color="auto"/>
            </w:tcBorders>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20"/>
                <w:highlight w:val="black"/>
                <w:lang w:eastAsia="en-US"/>
              </w:rPr>
              <w:t>''''''''''' ''''''''''''' '''''''''''''</w:t>
            </w:r>
          </w:p>
        </w:tc>
        <w:tc>
          <w:tcPr>
            <w:tcW w:w="1368" w:type="pct"/>
            <w:gridSpan w:val="3"/>
            <w:tcBorders>
              <w:bottom w:val="single" w:sz="4" w:space="0" w:color="auto"/>
            </w:tcBorders>
            <w:shd w:val="clear" w:color="auto" w:fill="auto"/>
            <w:vAlign w:val="center"/>
          </w:tcPr>
          <w:p w:rsidR="009D769A" w:rsidRPr="007369A6" w:rsidRDefault="007369A6" w:rsidP="00F30E2D">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93" w:type="pct"/>
            <w:vMerge/>
            <w:tcBorders>
              <w:bottom w:val="single" w:sz="4" w:space="0" w:color="auto"/>
            </w:tcBorders>
            <w:vAlign w:val="center"/>
          </w:tcPr>
          <w:p w:rsidR="009D769A" w:rsidRPr="007369A6" w:rsidRDefault="009D769A" w:rsidP="00F30E2D">
            <w:pPr>
              <w:widowControl w:val="0"/>
              <w:jc w:val="center"/>
              <w:rPr>
                <w:rFonts w:ascii="Arial Narrow" w:hAnsi="Arial Narrow" w:cs="Arial"/>
                <w:snapToGrid w:val="0"/>
                <w:color w:val="000000"/>
                <w:sz w:val="20"/>
                <w:szCs w:val="18"/>
                <w:lang w:eastAsia="en-US"/>
              </w:rPr>
            </w:pPr>
          </w:p>
        </w:tc>
      </w:tr>
    </w:tbl>
    <w:p w:rsidR="009D769A" w:rsidRPr="00E573DC" w:rsidRDefault="009D769A" w:rsidP="009D769A">
      <w:pPr>
        <w:pStyle w:val="TableFooter"/>
        <w:ind w:left="709"/>
        <w:jc w:val="left"/>
      </w:pPr>
      <w:r w:rsidRPr="00E573DC">
        <w:t xml:space="preserve">* Duration of exposure as presented in the Table.  PBO = placebo; VED = </w:t>
      </w:r>
      <w:proofErr w:type="spellStart"/>
      <w:r w:rsidRPr="00E573DC">
        <w:t>vedolizumab</w:t>
      </w:r>
      <w:proofErr w:type="spellEnd"/>
      <w:r w:rsidRPr="00E573DC">
        <w:t xml:space="preserve">; ADA = </w:t>
      </w:r>
      <w:proofErr w:type="spellStart"/>
      <w:r w:rsidRPr="00E573DC">
        <w:t>adalimumab</w:t>
      </w:r>
      <w:proofErr w:type="spellEnd"/>
      <w:r w:rsidRPr="00E573DC">
        <w:t xml:space="preserve">; RD = risk difference; RR = relative risk; CI = confidence interval; </w:t>
      </w:r>
      <w:proofErr w:type="gramStart"/>
      <w:r w:rsidRPr="00E573DC">
        <w:t>meta</w:t>
      </w:r>
      <w:proofErr w:type="gramEnd"/>
      <w:r w:rsidRPr="00E573DC">
        <w:t xml:space="preserve"> = meta-analysis. Source: Compiled during the evaluation. ADA meta-analysis at 8 weeks includes ULTRA 1, ULTRA 2 and Suzuki 2014, the ADA meta-analysis at week 52 includes ULTRA 2 and Suzuki 2014.</w:t>
      </w:r>
    </w:p>
    <w:p w:rsidR="009D769A" w:rsidRPr="00E573DC" w:rsidRDefault="009D769A" w:rsidP="00882085">
      <w:pPr>
        <w:jc w:val="both"/>
        <w:rPr>
          <w:rFonts w:ascii="Arial" w:hAnsi="Arial"/>
          <w:b/>
          <w:i/>
          <w:sz w:val="22"/>
          <w:szCs w:val="22"/>
        </w:rPr>
      </w:pPr>
    </w:p>
    <w:p w:rsidR="004912E2" w:rsidRDefault="00AA0A5F" w:rsidP="004E7A4D">
      <w:pPr>
        <w:pStyle w:val="ListParagraph"/>
        <w:numPr>
          <w:ilvl w:val="1"/>
          <w:numId w:val="1"/>
        </w:numPr>
        <w:jc w:val="both"/>
        <w:rPr>
          <w:rFonts w:ascii="Arial" w:hAnsi="Arial"/>
          <w:sz w:val="22"/>
          <w:szCs w:val="22"/>
        </w:rPr>
      </w:pPr>
      <w:r w:rsidRPr="004912E2">
        <w:rPr>
          <w:rFonts w:ascii="Arial" w:hAnsi="Arial"/>
          <w:sz w:val="22"/>
          <w:szCs w:val="22"/>
        </w:rPr>
        <w:t xml:space="preserve">On the basis of the indirect comparison evidence presented by the submission for every 100 patients treated with </w:t>
      </w:r>
      <w:proofErr w:type="spellStart"/>
      <w:r w:rsidRPr="004912E2">
        <w:rPr>
          <w:rFonts w:ascii="Arial" w:hAnsi="Arial"/>
          <w:sz w:val="22"/>
          <w:szCs w:val="22"/>
        </w:rPr>
        <w:t>vedolizumab</w:t>
      </w:r>
      <w:proofErr w:type="spellEnd"/>
      <w:r w:rsidRPr="004912E2">
        <w:rPr>
          <w:rFonts w:ascii="Arial" w:hAnsi="Arial"/>
          <w:sz w:val="22"/>
          <w:szCs w:val="22"/>
        </w:rPr>
        <w:t xml:space="preserve"> in comparison to </w:t>
      </w:r>
      <w:proofErr w:type="spellStart"/>
      <w:r w:rsidRPr="004912E2">
        <w:rPr>
          <w:rFonts w:ascii="Arial" w:hAnsi="Arial"/>
          <w:sz w:val="22"/>
          <w:szCs w:val="22"/>
        </w:rPr>
        <w:t>adalimumab</w:t>
      </w:r>
      <w:proofErr w:type="spellEnd"/>
      <w:r w:rsidRPr="004912E2">
        <w:rPr>
          <w:rFonts w:ascii="Arial" w:hAnsi="Arial"/>
          <w:sz w:val="22"/>
          <w:szCs w:val="22"/>
        </w:rPr>
        <w:t xml:space="preserve"> for a maximum duration of 52 weeks, approximately the same number of patients would have clinical remission</w:t>
      </w:r>
      <w:r w:rsidR="004912E2">
        <w:rPr>
          <w:rFonts w:ascii="Arial" w:hAnsi="Arial"/>
          <w:sz w:val="22"/>
          <w:szCs w:val="22"/>
        </w:rPr>
        <w:t xml:space="preserve"> and adverse events.</w:t>
      </w:r>
    </w:p>
    <w:p w:rsidR="00AA0A5F" w:rsidRPr="004912E2" w:rsidRDefault="00AA0A5F" w:rsidP="00F84EBB">
      <w:pPr>
        <w:pStyle w:val="ListParagraph"/>
        <w:ind w:left="709"/>
        <w:jc w:val="both"/>
        <w:rPr>
          <w:rFonts w:ascii="Arial" w:hAnsi="Arial"/>
          <w:b/>
          <w:i/>
          <w:sz w:val="22"/>
          <w:szCs w:val="22"/>
        </w:rPr>
      </w:pPr>
    </w:p>
    <w:p w:rsidR="00723777" w:rsidRPr="00E573DC" w:rsidRDefault="00723777" w:rsidP="00723777">
      <w:pPr>
        <w:widowControl w:val="0"/>
        <w:jc w:val="both"/>
        <w:rPr>
          <w:rFonts w:ascii="Arial" w:hAnsi="Arial" w:cs="Arial"/>
          <w:snapToGrid w:val="0"/>
          <w:sz w:val="22"/>
          <w:szCs w:val="20"/>
          <w:u w:val="single"/>
          <w:lang w:eastAsia="en-US"/>
        </w:rPr>
      </w:pPr>
      <w:proofErr w:type="spellStart"/>
      <w:r w:rsidRPr="00E573DC">
        <w:rPr>
          <w:rFonts w:ascii="Arial" w:hAnsi="Arial" w:cs="Arial"/>
          <w:snapToGrid w:val="0"/>
          <w:sz w:val="22"/>
          <w:szCs w:val="20"/>
          <w:u w:val="single"/>
          <w:lang w:eastAsia="en-US"/>
        </w:rPr>
        <w:t>Vedolizumab</w:t>
      </w:r>
      <w:proofErr w:type="spellEnd"/>
      <w:r w:rsidRPr="00E573DC">
        <w:rPr>
          <w:rFonts w:ascii="Arial" w:hAnsi="Arial" w:cs="Arial"/>
          <w:snapToGrid w:val="0"/>
          <w:sz w:val="22"/>
          <w:szCs w:val="20"/>
          <w:u w:val="single"/>
          <w:lang w:eastAsia="en-US"/>
        </w:rPr>
        <w:t xml:space="preserve"> vs. infliximab</w:t>
      </w:r>
    </w:p>
    <w:p w:rsidR="00AA0A5F" w:rsidRPr="00E573DC" w:rsidRDefault="00AA0A5F" w:rsidP="00882085">
      <w:pPr>
        <w:jc w:val="both"/>
        <w:rPr>
          <w:rFonts w:ascii="Arial" w:hAnsi="Arial"/>
          <w:b/>
          <w:i/>
          <w:sz w:val="22"/>
          <w:szCs w:val="22"/>
        </w:rPr>
      </w:pPr>
    </w:p>
    <w:p w:rsidR="00723777" w:rsidRPr="00E573DC" w:rsidRDefault="00723777" w:rsidP="004E7A4D">
      <w:pPr>
        <w:pStyle w:val="ListParagraph"/>
        <w:numPr>
          <w:ilvl w:val="1"/>
          <w:numId w:val="1"/>
        </w:numPr>
        <w:jc w:val="both"/>
        <w:rPr>
          <w:rFonts w:ascii="Arial" w:hAnsi="Arial"/>
          <w:sz w:val="22"/>
          <w:szCs w:val="22"/>
        </w:rPr>
      </w:pPr>
      <w:r w:rsidRPr="00E573DC">
        <w:rPr>
          <w:rFonts w:ascii="Arial" w:hAnsi="Arial"/>
          <w:sz w:val="22"/>
          <w:szCs w:val="22"/>
        </w:rPr>
        <w:t>The table below summarises the results of the indirect comparison to infliximab</w:t>
      </w:r>
      <w:r w:rsidR="00E54269" w:rsidRPr="00E573DC">
        <w:rPr>
          <w:rFonts w:ascii="Arial" w:hAnsi="Arial"/>
          <w:sz w:val="22"/>
          <w:szCs w:val="22"/>
        </w:rPr>
        <w:t>.</w:t>
      </w:r>
    </w:p>
    <w:p w:rsidR="00723777" w:rsidRPr="00E573DC" w:rsidRDefault="00723777" w:rsidP="00723777">
      <w:pPr>
        <w:pStyle w:val="ListParagraph"/>
        <w:ind w:left="709"/>
        <w:jc w:val="both"/>
        <w:rPr>
          <w:rFonts w:ascii="Arial" w:hAnsi="Arial"/>
          <w:sz w:val="22"/>
          <w:szCs w:val="22"/>
        </w:rPr>
      </w:pPr>
    </w:p>
    <w:p w:rsidR="00723777" w:rsidRPr="00E573DC" w:rsidRDefault="00723777" w:rsidP="003835A7">
      <w:pPr>
        <w:ind w:firstLine="709"/>
        <w:jc w:val="both"/>
        <w:rPr>
          <w:rFonts w:ascii="Arial" w:hAnsi="Arial"/>
          <w:b/>
          <w:i/>
          <w:sz w:val="22"/>
          <w:szCs w:val="22"/>
        </w:rPr>
      </w:pPr>
      <w:r w:rsidRPr="00E573DC">
        <w:rPr>
          <w:rFonts w:ascii="Arial Narrow" w:hAnsi="Arial Narrow" w:cs="Arial"/>
          <w:b/>
          <w:snapToGrid w:val="0"/>
          <w:sz w:val="20"/>
          <w:szCs w:val="16"/>
          <w:lang w:eastAsia="en-US"/>
        </w:rPr>
        <w:t xml:space="preserve">Indirect comparison summary of comparative benefits and harms for </w:t>
      </w:r>
      <w:proofErr w:type="spellStart"/>
      <w:r w:rsidRPr="00E573DC">
        <w:rPr>
          <w:rFonts w:ascii="Arial Narrow" w:hAnsi="Arial Narrow" w:cs="Arial"/>
          <w:b/>
          <w:snapToGrid w:val="0"/>
          <w:sz w:val="20"/>
          <w:szCs w:val="16"/>
          <w:lang w:eastAsia="en-US"/>
        </w:rPr>
        <w:t>vedolizumab</w:t>
      </w:r>
      <w:proofErr w:type="spellEnd"/>
      <w:r w:rsidRPr="00E573DC">
        <w:rPr>
          <w:rFonts w:ascii="Arial Narrow" w:hAnsi="Arial Narrow" w:cs="Arial"/>
          <w:b/>
          <w:snapToGrid w:val="0"/>
          <w:sz w:val="20"/>
          <w:szCs w:val="16"/>
          <w:lang w:eastAsia="en-US"/>
        </w:rPr>
        <w:t xml:space="preserve"> and infliximab</w:t>
      </w:r>
    </w:p>
    <w:tbl>
      <w:tblPr>
        <w:tblStyle w:val="TableGrid"/>
        <w:tblW w:w="4594" w:type="pct"/>
        <w:tblInd w:w="737" w:type="dxa"/>
        <w:tblCellMar>
          <w:left w:w="28" w:type="dxa"/>
          <w:right w:w="28" w:type="dxa"/>
        </w:tblCellMar>
        <w:tblLook w:val="04A0" w:firstRow="1" w:lastRow="0" w:firstColumn="1" w:lastColumn="0" w:noHBand="0" w:noVBand="1"/>
        <w:tblDescription w:val="Indirect comparison summary of comparative benefits and harms for vedolizumab and infliximab"/>
      </w:tblPr>
      <w:tblGrid>
        <w:gridCol w:w="640"/>
        <w:gridCol w:w="844"/>
        <w:gridCol w:w="132"/>
        <w:gridCol w:w="661"/>
        <w:gridCol w:w="856"/>
        <w:gridCol w:w="2345"/>
        <w:gridCol w:w="800"/>
        <w:gridCol w:w="224"/>
        <w:gridCol w:w="413"/>
        <w:gridCol w:w="630"/>
        <w:gridCol w:w="822"/>
      </w:tblGrid>
      <w:tr w:rsidR="00723777" w:rsidRPr="00E573DC" w:rsidTr="003835A7">
        <w:trPr>
          <w:trHeight w:val="150"/>
          <w:tblHeader/>
        </w:trPr>
        <w:tc>
          <w:tcPr>
            <w:tcW w:w="80" w:type="pct"/>
            <w:vMerge w:val="restart"/>
            <w:shd w:val="clear" w:color="auto" w:fill="auto"/>
            <w:vAlign w:val="center"/>
          </w:tcPr>
          <w:p w:rsidR="00723777" w:rsidRPr="00E573DC" w:rsidRDefault="00723777" w:rsidP="00723777">
            <w:pPr>
              <w:keepNext/>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Trial</w:t>
            </w:r>
          </w:p>
        </w:tc>
        <w:tc>
          <w:tcPr>
            <w:tcW w:w="648" w:type="pct"/>
            <w:gridSpan w:val="2"/>
            <w:vMerge w:val="restart"/>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VED</w:t>
            </w:r>
          </w:p>
        </w:tc>
        <w:tc>
          <w:tcPr>
            <w:tcW w:w="975" w:type="pct"/>
            <w:gridSpan w:val="2"/>
            <w:vMerge w:val="restart"/>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Comparator</w:t>
            </w:r>
          </w:p>
        </w:tc>
        <w:tc>
          <w:tcPr>
            <w:tcW w:w="1436" w:type="pct"/>
            <w:vMerge w:val="restart"/>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RR</w:t>
            </w:r>
          </w:p>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c>
          <w:tcPr>
            <w:tcW w:w="1368" w:type="pct"/>
            <w:gridSpan w:val="4"/>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 xml:space="preserve">Event rate/100 patients* </w:t>
            </w:r>
          </w:p>
        </w:tc>
        <w:tc>
          <w:tcPr>
            <w:tcW w:w="493" w:type="pct"/>
            <w:vMerge w:val="restart"/>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RD</w:t>
            </w:r>
          </w:p>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r>
      <w:tr w:rsidR="00723777" w:rsidRPr="00E573DC" w:rsidTr="003835A7">
        <w:trPr>
          <w:trHeight w:val="315"/>
          <w:tblHeader/>
        </w:trPr>
        <w:tc>
          <w:tcPr>
            <w:tcW w:w="80" w:type="pct"/>
            <w:vMerge/>
            <w:shd w:val="clear" w:color="auto" w:fill="auto"/>
            <w:vAlign w:val="center"/>
          </w:tcPr>
          <w:p w:rsidR="00723777" w:rsidRPr="00F84EBB" w:rsidRDefault="00723777" w:rsidP="00723777">
            <w:pPr>
              <w:keepNext/>
              <w:widowControl w:val="0"/>
              <w:jc w:val="both"/>
              <w:rPr>
                <w:rFonts w:ascii="Arial Narrow" w:hAnsi="Arial Narrow" w:cs="Arial"/>
                <w:b/>
                <w:snapToGrid w:val="0"/>
                <w:color w:val="000000"/>
                <w:sz w:val="20"/>
                <w:szCs w:val="18"/>
                <w:lang w:eastAsia="en-US"/>
              </w:rPr>
            </w:pPr>
          </w:p>
        </w:tc>
        <w:tc>
          <w:tcPr>
            <w:tcW w:w="648" w:type="pct"/>
            <w:gridSpan w:val="2"/>
            <w:vMerge/>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p>
        </w:tc>
        <w:tc>
          <w:tcPr>
            <w:tcW w:w="975" w:type="pct"/>
            <w:gridSpan w:val="2"/>
            <w:vMerge/>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p>
        </w:tc>
        <w:tc>
          <w:tcPr>
            <w:tcW w:w="1436" w:type="pct"/>
            <w:vMerge/>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p>
        </w:tc>
        <w:tc>
          <w:tcPr>
            <w:tcW w:w="513" w:type="pct"/>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VED</w:t>
            </w:r>
          </w:p>
        </w:tc>
        <w:tc>
          <w:tcPr>
            <w:tcW w:w="854" w:type="pct"/>
            <w:gridSpan w:val="3"/>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Comparator</w:t>
            </w:r>
          </w:p>
        </w:tc>
        <w:tc>
          <w:tcPr>
            <w:tcW w:w="493" w:type="pct"/>
            <w:vMerge/>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p>
        </w:tc>
      </w:tr>
      <w:tr w:rsidR="00723777" w:rsidRPr="00E573DC" w:rsidTr="003835A7">
        <w:tc>
          <w:tcPr>
            <w:tcW w:w="5000" w:type="pct"/>
            <w:gridSpan w:val="11"/>
            <w:shd w:val="clear" w:color="auto" w:fill="auto"/>
            <w:vAlign w:val="center"/>
          </w:tcPr>
          <w:p w:rsidR="00723777" w:rsidRPr="00E573DC" w:rsidRDefault="00723777" w:rsidP="00723777">
            <w:pPr>
              <w:keepNext/>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Benefits</w:t>
            </w:r>
          </w:p>
        </w:tc>
      </w:tr>
      <w:tr w:rsidR="00723777" w:rsidRPr="00E573DC" w:rsidTr="003835A7">
        <w:tc>
          <w:tcPr>
            <w:tcW w:w="5000" w:type="pct"/>
            <w:gridSpan w:val="11"/>
            <w:tcBorders>
              <w:top w:val="double" w:sz="4" w:space="0" w:color="auto"/>
            </w:tcBorders>
            <w:shd w:val="clear" w:color="auto" w:fill="auto"/>
            <w:vAlign w:val="center"/>
          </w:tcPr>
          <w:p w:rsidR="00723777" w:rsidRPr="00E573DC" w:rsidRDefault="00723777" w:rsidP="00723777">
            <w:pPr>
              <w:keepNext/>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 xml:space="preserve">Indirect comparison – </w:t>
            </w:r>
            <w:proofErr w:type="spellStart"/>
            <w:r w:rsidRPr="00E573DC">
              <w:rPr>
                <w:rFonts w:ascii="Arial Narrow" w:hAnsi="Arial Narrow" w:cs="Arial"/>
                <w:b/>
                <w:snapToGrid w:val="0"/>
                <w:color w:val="000000"/>
                <w:sz w:val="20"/>
                <w:szCs w:val="18"/>
                <w:lang w:eastAsia="en-US"/>
              </w:rPr>
              <w:t>vedolizumab</w:t>
            </w:r>
            <w:proofErr w:type="spellEnd"/>
            <w:r w:rsidRPr="00E573DC">
              <w:rPr>
                <w:rFonts w:ascii="Arial Narrow" w:hAnsi="Arial Narrow" w:cs="Arial"/>
                <w:b/>
                <w:snapToGrid w:val="0"/>
                <w:color w:val="000000"/>
                <w:sz w:val="20"/>
                <w:szCs w:val="18"/>
                <w:lang w:eastAsia="en-US"/>
              </w:rPr>
              <w:t xml:space="preserve"> vs. infliximab</w:t>
            </w:r>
          </w:p>
        </w:tc>
      </w:tr>
      <w:tr w:rsidR="00723777" w:rsidRPr="00E573DC" w:rsidTr="003835A7">
        <w:trPr>
          <w:trHeight w:val="105"/>
        </w:trPr>
        <w:tc>
          <w:tcPr>
            <w:tcW w:w="80" w:type="pct"/>
            <w:vMerge w:val="restart"/>
            <w:shd w:val="clear" w:color="auto" w:fill="auto"/>
            <w:vAlign w:val="center"/>
          </w:tcPr>
          <w:p w:rsidR="00723777" w:rsidRPr="00E573DC" w:rsidRDefault="00723777" w:rsidP="00723777">
            <w:pPr>
              <w:keepNext/>
              <w:widowControl w:val="0"/>
              <w:jc w:val="both"/>
              <w:rPr>
                <w:rFonts w:ascii="Arial Narrow" w:hAnsi="Arial Narrow" w:cs="Arial"/>
                <w:snapToGrid w:val="0"/>
                <w:color w:val="000000"/>
                <w:sz w:val="20"/>
                <w:szCs w:val="18"/>
                <w:lang w:eastAsia="en-US"/>
              </w:rPr>
            </w:pPr>
          </w:p>
        </w:tc>
        <w:tc>
          <w:tcPr>
            <w:tcW w:w="539" w:type="pct"/>
            <w:vMerge w:val="restart"/>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VED</w:t>
            </w:r>
          </w:p>
        </w:tc>
        <w:tc>
          <w:tcPr>
            <w:tcW w:w="539" w:type="pct"/>
            <w:gridSpan w:val="2"/>
            <w:vMerge w:val="restart"/>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PBO</w:t>
            </w:r>
          </w:p>
        </w:tc>
        <w:tc>
          <w:tcPr>
            <w:tcW w:w="546" w:type="pct"/>
            <w:vMerge w:val="restart"/>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IFX</w:t>
            </w:r>
          </w:p>
        </w:tc>
        <w:tc>
          <w:tcPr>
            <w:tcW w:w="1436" w:type="pct"/>
            <w:vMerge w:val="restart"/>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RR</w:t>
            </w:r>
          </w:p>
          <w:p w:rsidR="00723777" w:rsidRPr="00E573DC" w:rsidRDefault="00723777" w:rsidP="00723777">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c>
          <w:tcPr>
            <w:tcW w:w="1368" w:type="pct"/>
            <w:gridSpan w:val="4"/>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 xml:space="preserve">Event rate/100 patients/duration* </w:t>
            </w:r>
          </w:p>
        </w:tc>
        <w:tc>
          <w:tcPr>
            <w:tcW w:w="493" w:type="pct"/>
            <w:vMerge w:val="restart"/>
            <w:vAlign w:val="center"/>
          </w:tcPr>
          <w:p w:rsidR="00723777" w:rsidRPr="00E573DC" w:rsidRDefault="00723777" w:rsidP="00723777">
            <w:pPr>
              <w:keepNext/>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RD</w:t>
            </w:r>
          </w:p>
          <w:p w:rsidR="00723777" w:rsidRPr="00E573DC" w:rsidRDefault="00723777" w:rsidP="00723777">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r>
      <w:tr w:rsidR="00723777" w:rsidRPr="00E573DC" w:rsidTr="003835A7">
        <w:trPr>
          <w:trHeight w:val="70"/>
        </w:trPr>
        <w:tc>
          <w:tcPr>
            <w:tcW w:w="80" w:type="pct"/>
            <w:vMerge/>
            <w:shd w:val="clear" w:color="auto" w:fill="auto"/>
            <w:vAlign w:val="center"/>
          </w:tcPr>
          <w:p w:rsidR="00723777" w:rsidRPr="00F84EBB" w:rsidRDefault="00723777" w:rsidP="00723777">
            <w:pPr>
              <w:keepNext/>
              <w:widowControl w:val="0"/>
              <w:jc w:val="both"/>
              <w:rPr>
                <w:rFonts w:ascii="Arial Narrow" w:hAnsi="Arial Narrow" w:cs="Arial"/>
                <w:snapToGrid w:val="0"/>
                <w:color w:val="000000"/>
                <w:sz w:val="20"/>
                <w:szCs w:val="18"/>
                <w:lang w:eastAsia="en-US"/>
              </w:rPr>
            </w:pPr>
          </w:p>
        </w:tc>
        <w:tc>
          <w:tcPr>
            <w:tcW w:w="539" w:type="pct"/>
            <w:vMerge/>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p>
        </w:tc>
        <w:tc>
          <w:tcPr>
            <w:tcW w:w="539" w:type="pct"/>
            <w:gridSpan w:val="2"/>
            <w:vMerge/>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p>
        </w:tc>
        <w:tc>
          <w:tcPr>
            <w:tcW w:w="546" w:type="pct"/>
            <w:vMerge/>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p>
        </w:tc>
        <w:tc>
          <w:tcPr>
            <w:tcW w:w="1436" w:type="pct"/>
            <w:vMerge/>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p>
        </w:tc>
        <w:tc>
          <w:tcPr>
            <w:tcW w:w="681" w:type="pct"/>
            <w:gridSpan w:val="2"/>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VED</w:t>
            </w:r>
          </w:p>
        </w:tc>
        <w:tc>
          <w:tcPr>
            <w:tcW w:w="257" w:type="pct"/>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PBO</w:t>
            </w:r>
          </w:p>
        </w:tc>
        <w:tc>
          <w:tcPr>
            <w:tcW w:w="430" w:type="pct"/>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r w:rsidRPr="00F84EBB">
              <w:rPr>
                <w:rFonts w:ascii="Arial Narrow" w:hAnsi="Arial Narrow" w:cs="Arial"/>
                <w:b/>
                <w:snapToGrid w:val="0"/>
                <w:color w:val="000000"/>
                <w:sz w:val="20"/>
                <w:szCs w:val="18"/>
                <w:lang w:eastAsia="en-US"/>
              </w:rPr>
              <w:t>IFX</w:t>
            </w:r>
          </w:p>
        </w:tc>
        <w:tc>
          <w:tcPr>
            <w:tcW w:w="493" w:type="pct"/>
            <w:vMerge/>
            <w:vAlign w:val="center"/>
          </w:tcPr>
          <w:p w:rsidR="00723777" w:rsidRPr="00F84EBB" w:rsidRDefault="00723777" w:rsidP="00723777">
            <w:pPr>
              <w:keepNext/>
              <w:widowControl w:val="0"/>
              <w:jc w:val="center"/>
              <w:rPr>
                <w:rFonts w:ascii="Arial Narrow" w:hAnsi="Arial Narrow" w:cs="Arial"/>
                <w:b/>
                <w:snapToGrid w:val="0"/>
                <w:color w:val="000000"/>
                <w:sz w:val="20"/>
                <w:szCs w:val="18"/>
                <w:lang w:eastAsia="en-US"/>
              </w:rPr>
            </w:pPr>
          </w:p>
        </w:tc>
      </w:tr>
      <w:tr w:rsidR="00723777" w:rsidRPr="00E573DC" w:rsidTr="003835A7">
        <w:tc>
          <w:tcPr>
            <w:tcW w:w="5000" w:type="pct"/>
            <w:gridSpan w:val="11"/>
            <w:shd w:val="clear" w:color="auto" w:fill="auto"/>
            <w:vAlign w:val="center"/>
          </w:tcPr>
          <w:p w:rsidR="00723777" w:rsidRPr="00E573DC" w:rsidRDefault="00723777" w:rsidP="00723777">
            <w:pPr>
              <w:keepNext/>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Clinical response week 6-8</w:t>
            </w:r>
          </w:p>
        </w:tc>
      </w:tr>
      <w:tr w:rsidR="00723777" w:rsidRPr="00E573DC" w:rsidTr="003835A7">
        <w:tc>
          <w:tcPr>
            <w:tcW w:w="80" w:type="pct"/>
            <w:shd w:val="clear" w:color="auto" w:fill="auto"/>
            <w:vAlign w:val="center"/>
          </w:tcPr>
          <w:p w:rsidR="00723777" w:rsidRPr="00E573DC" w:rsidRDefault="00723777" w:rsidP="00723777">
            <w:pPr>
              <w:keepNext/>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GEMINI I</w:t>
            </w:r>
          </w:p>
        </w:tc>
        <w:tc>
          <w:tcPr>
            <w:tcW w:w="539" w:type="pct"/>
            <w:vAlign w:val="center"/>
          </w:tcPr>
          <w:p w:rsidR="00723777" w:rsidRPr="00E573DC" w:rsidRDefault="00723777" w:rsidP="00723777">
            <w:pPr>
              <w:keepNext/>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106/225 </w:t>
            </w:r>
          </w:p>
        </w:tc>
        <w:tc>
          <w:tcPr>
            <w:tcW w:w="539" w:type="pct"/>
            <w:gridSpan w:val="2"/>
            <w:vAlign w:val="center"/>
          </w:tcPr>
          <w:p w:rsidR="00723777" w:rsidRPr="00E573DC" w:rsidRDefault="00723777" w:rsidP="00723777">
            <w:pPr>
              <w:keepNext/>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38/149 </w:t>
            </w:r>
          </w:p>
        </w:tc>
        <w:tc>
          <w:tcPr>
            <w:tcW w:w="546" w:type="pct"/>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w:t>
            </w:r>
          </w:p>
        </w:tc>
        <w:tc>
          <w:tcPr>
            <w:tcW w:w="1436" w:type="pct"/>
            <w:vAlign w:val="center"/>
          </w:tcPr>
          <w:p w:rsidR="00723777" w:rsidRPr="007369A6" w:rsidRDefault="007369A6" w:rsidP="00723777">
            <w:pPr>
              <w:keepNext/>
              <w:widowControl w:val="0"/>
              <w:jc w:val="center"/>
              <w:rPr>
                <w:rFonts w:ascii="Arial Narrow" w:hAnsi="Arial Narrow" w:cs="Arial"/>
                <w:snapToGrid w:val="0"/>
                <w:sz w:val="20"/>
                <w:szCs w:val="18"/>
                <w:highlight w:val="black"/>
                <w:lang w:eastAsia="en-US"/>
              </w:rPr>
            </w:pPr>
            <w:r>
              <w:rPr>
                <w:rFonts w:ascii="Arial Narrow" w:hAnsi="Arial Narrow" w:cs="Arial"/>
                <w:b/>
                <w:noProof/>
                <w:snapToGrid w:val="0"/>
                <w:color w:val="000000"/>
                <w:sz w:val="20"/>
                <w:szCs w:val="20"/>
                <w:highlight w:val="black"/>
                <w:lang w:eastAsia="en-US"/>
              </w:rPr>
              <w:t>'''''''''' ''''''''''' '''''''''''</w:t>
            </w:r>
          </w:p>
        </w:tc>
        <w:tc>
          <w:tcPr>
            <w:tcW w:w="681" w:type="pct"/>
            <w:gridSpan w:val="2"/>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47</w:t>
            </w:r>
          </w:p>
        </w:tc>
        <w:tc>
          <w:tcPr>
            <w:tcW w:w="257" w:type="pct"/>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26</w:t>
            </w:r>
          </w:p>
        </w:tc>
        <w:tc>
          <w:tcPr>
            <w:tcW w:w="430" w:type="pct"/>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p>
        </w:tc>
        <w:tc>
          <w:tcPr>
            <w:tcW w:w="493" w:type="pct"/>
            <w:vMerge w:val="restart"/>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Not Performed</w:t>
            </w:r>
          </w:p>
        </w:tc>
      </w:tr>
      <w:tr w:rsidR="00723777" w:rsidRPr="00E573DC" w:rsidTr="003835A7">
        <w:tc>
          <w:tcPr>
            <w:tcW w:w="80" w:type="pct"/>
            <w:shd w:val="clear" w:color="auto" w:fill="auto"/>
            <w:vAlign w:val="center"/>
          </w:tcPr>
          <w:p w:rsidR="00723777" w:rsidRPr="00E573DC" w:rsidRDefault="00723777" w:rsidP="00723777">
            <w:pPr>
              <w:keepNext/>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IFX meta</w:t>
            </w:r>
          </w:p>
        </w:tc>
        <w:tc>
          <w:tcPr>
            <w:tcW w:w="539" w:type="pct"/>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p>
        </w:tc>
        <w:tc>
          <w:tcPr>
            <w:tcW w:w="539" w:type="pct"/>
            <w:gridSpan w:val="2"/>
            <w:vAlign w:val="center"/>
          </w:tcPr>
          <w:p w:rsidR="00723777" w:rsidRPr="007369A6" w:rsidRDefault="007369A6" w:rsidP="00723777">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546" w:type="pct"/>
            <w:vAlign w:val="center"/>
          </w:tcPr>
          <w:p w:rsidR="00723777" w:rsidRPr="007369A6" w:rsidRDefault="007369A6" w:rsidP="00723777">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1436" w:type="pct"/>
            <w:vAlign w:val="center"/>
          </w:tcPr>
          <w:p w:rsidR="00723777" w:rsidRPr="007369A6" w:rsidRDefault="007369A6" w:rsidP="00723777">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b/>
                <w:noProof/>
                <w:snapToGrid w:val="0"/>
                <w:color w:val="000000"/>
                <w:sz w:val="20"/>
                <w:szCs w:val="20"/>
                <w:highlight w:val="black"/>
                <w:lang w:eastAsia="en-US"/>
              </w:rPr>
              <w:t>''''''''' '''''''''''' '''''''''</w:t>
            </w:r>
          </w:p>
        </w:tc>
        <w:tc>
          <w:tcPr>
            <w:tcW w:w="681" w:type="pct"/>
            <w:gridSpan w:val="2"/>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p>
        </w:tc>
        <w:tc>
          <w:tcPr>
            <w:tcW w:w="257" w:type="pct"/>
            <w:vAlign w:val="center"/>
          </w:tcPr>
          <w:p w:rsidR="00723777" w:rsidRPr="007369A6" w:rsidRDefault="007369A6" w:rsidP="00723777">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30" w:type="pct"/>
            <w:vAlign w:val="center"/>
          </w:tcPr>
          <w:p w:rsidR="00723777" w:rsidRPr="007369A6" w:rsidRDefault="007369A6" w:rsidP="00723777">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93" w:type="pct"/>
            <w:vMerge/>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p>
        </w:tc>
      </w:tr>
      <w:tr w:rsidR="00723777" w:rsidRPr="00E573DC" w:rsidTr="003835A7">
        <w:tc>
          <w:tcPr>
            <w:tcW w:w="1704" w:type="pct"/>
            <w:gridSpan w:val="5"/>
            <w:tcBorders>
              <w:bottom w:val="single" w:sz="4" w:space="0" w:color="auto"/>
            </w:tcBorders>
            <w:shd w:val="clear" w:color="auto" w:fill="auto"/>
            <w:vAlign w:val="center"/>
          </w:tcPr>
          <w:p w:rsidR="00723777" w:rsidRPr="00E573DC" w:rsidRDefault="00723777" w:rsidP="00723777">
            <w:pPr>
              <w:keepNext/>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Indirect comparison: VED vs IFX</w:t>
            </w:r>
          </w:p>
        </w:tc>
        <w:tc>
          <w:tcPr>
            <w:tcW w:w="1436" w:type="pct"/>
            <w:tcBorders>
              <w:bottom w:val="single" w:sz="4" w:space="0" w:color="auto"/>
            </w:tcBorders>
            <w:vAlign w:val="center"/>
          </w:tcPr>
          <w:p w:rsidR="00723777" w:rsidRPr="007369A6" w:rsidRDefault="007369A6" w:rsidP="00723777">
            <w:pPr>
              <w:keepNext/>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 '''''''''''''</w:t>
            </w:r>
          </w:p>
        </w:tc>
        <w:tc>
          <w:tcPr>
            <w:tcW w:w="1368" w:type="pct"/>
            <w:gridSpan w:val="4"/>
            <w:tcBorders>
              <w:bottom w:val="single" w:sz="4" w:space="0" w:color="auto"/>
            </w:tcBorders>
            <w:shd w:val="clear" w:color="auto" w:fill="auto"/>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w:t>
            </w:r>
          </w:p>
        </w:tc>
        <w:tc>
          <w:tcPr>
            <w:tcW w:w="493" w:type="pct"/>
            <w:vMerge/>
            <w:tcBorders>
              <w:bottom w:val="single" w:sz="4" w:space="0" w:color="auto"/>
            </w:tcBorders>
            <w:vAlign w:val="center"/>
          </w:tcPr>
          <w:p w:rsidR="00723777" w:rsidRPr="00E573DC" w:rsidRDefault="00723777" w:rsidP="00723777">
            <w:pPr>
              <w:keepNext/>
              <w:widowControl w:val="0"/>
              <w:jc w:val="center"/>
              <w:rPr>
                <w:rFonts w:ascii="Arial Narrow" w:hAnsi="Arial Narrow" w:cs="Arial"/>
                <w:snapToGrid w:val="0"/>
                <w:color w:val="000000"/>
                <w:sz w:val="20"/>
                <w:szCs w:val="18"/>
                <w:lang w:eastAsia="en-US"/>
              </w:rPr>
            </w:pPr>
          </w:p>
        </w:tc>
      </w:tr>
      <w:tr w:rsidR="00723777" w:rsidRPr="00E573DC" w:rsidTr="003835A7">
        <w:tc>
          <w:tcPr>
            <w:tcW w:w="5000" w:type="pct"/>
            <w:gridSpan w:val="11"/>
            <w:tcBorders>
              <w:top w:val="single" w:sz="4" w:space="0" w:color="auto"/>
              <w:bottom w:val="single" w:sz="4" w:space="0" w:color="auto"/>
            </w:tcBorders>
            <w:shd w:val="clear" w:color="auto" w:fill="auto"/>
            <w:vAlign w:val="center"/>
          </w:tcPr>
          <w:p w:rsidR="00723777" w:rsidRPr="00E573DC" w:rsidRDefault="00723777" w:rsidP="00723777">
            <w:pPr>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Clinical remission week 6-8</w:t>
            </w:r>
          </w:p>
        </w:tc>
      </w:tr>
      <w:tr w:rsidR="00723777" w:rsidRPr="00E573DC" w:rsidTr="003835A7">
        <w:tc>
          <w:tcPr>
            <w:tcW w:w="80" w:type="pct"/>
            <w:tcBorders>
              <w:top w:val="single" w:sz="4" w:space="0" w:color="auto"/>
            </w:tcBorders>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GEMINI I</w:t>
            </w:r>
          </w:p>
        </w:tc>
        <w:tc>
          <w:tcPr>
            <w:tcW w:w="539" w:type="pct"/>
            <w:tcBorders>
              <w:top w:val="single" w:sz="4" w:space="0" w:color="auto"/>
            </w:tcBorders>
            <w:vAlign w:val="center"/>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38/225 </w:t>
            </w:r>
          </w:p>
        </w:tc>
        <w:tc>
          <w:tcPr>
            <w:tcW w:w="539" w:type="pct"/>
            <w:gridSpan w:val="2"/>
            <w:tcBorders>
              <w:top w:val="single" w:sz="4" w:space="0" w:color="auto"/>
            </w:tcBorders>
            <w:vAlign w:val="center"/>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8/149 </w:t>
            </w:r>
          </w:p>
        </w:tc>
        <w:tc>
          <w:tcPr>
            <w:tcW w:w="546" w:type="pct"/>
            <w:tcBorders>
              <w:top w:val="single" w:sz="4" w:space="0" w:color="auto"/>
            </w:tcBorders>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1436" w:type="pct"/>
            <w:tcBorders>
              <w:top w:val="single" w:sz="4" w:space="0" w:color="auto"/>
            </w:tcBorders>
            <w:vAlign w:val="center"/>
          </w:tcPr>
          <w:p w:rsidR="00723777" w:rsidRPr="007369A6" w:rsidRDefault="007369A6" w:rsidP="00723777">
            <w:pPr>
              <w:widowControl w:val="0"/>
              <w:jc w:val="center"/>
              <w:rPr>
                <w:rFonts w:ascii="Arial Narrow" w:hAnsi="Arial Narrow" w:cs="Arial"/>
                <w:snapToGrid w:val="0"/>
                <w:sz w:val="20"/>
                <w:szCs w:val="18"/>
                <w:highlight w:val="black"/>
                <w:lang w:eastAsia="en-US"/>
              </w:rPr>
            </w:pPr>
            <w:r>
              <w:rPr>
                <w:rFonts w:ascii="Arial Narrow" w:hAnsi="Arial Narrow" w:cs="Arial"/>
                <w:b/>
                <w:noProof/>
                <w:snapToGrid w:val="0"/>
                <w:color w:val="000000"/>
                <w:sz w:val="20"/>
                <w:szCs w:val="20"/>
                <w:highlight w:val="black"/>
                <w:lang w:eastAsia="en-US"/>
              </w:rPr>
              <w:t>'''''''' '''''''''''' '''''''''''</w:t>
            </w:r>
          </w:p>
        </w:tc>
        <w:tc>
          <w:tcPr>
            <w:tcW w:w="681" w:type="pct"/>
            <w:gridSpan w:val="2"/>
            <w:tcBorders>
              <w:top w:val="single" w:sz="4" w:space="0" w:color="auto"/>
            </w:tcBorders>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17</w:t>
            </w:r>
          </w:p>
        </w:tc>
        <w:tc>
          <w:tcPr>
            <w:tcW w:w="257" w:type="pct"/>
            <w:tcBorders>
              <w:top w:val="single" w:sz="4" w:space="0" w:color="auto"/>
            </w:tcBorders>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5</w:t>
            </w:r>
          </w:p>
        </w:tc>
        <w:tc>
          <w:tcPr>
            <w:tcW w:w="430" w:type="pct"/>
            <w:tcBorders>
              <w:top w:val="single" w:sz="4" w:space="0" w:color="auto"/>
            </w:tcBorders>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493" w:type="pct"/>
            <w:vMerge w:val="restart"/>
            <w:tcBorders>
              <w:top w:val="single" w:sz="4" w:space="0" w:color="auto"/>
            </w:tcBorders>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Not Performed</w:t>
            </w:r>
          </w:p>
        </w:tc>
      </w:tr>
      <w:tr w:rsidR="00723777" w:rsidRPr="00E573DC" w:rsidTr="003835A7">
        <w:tc>
          <w:tcPr>
            <w:tcW w:w="80" w:type="pct"/>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IFX meta</w:t>
            </w:r>
            <w:r w:rsidRPr="00E573DC">
              <w:rPr>
                <w:rFonts w:ascii="Arial Narrow" w:hAnsi="Arial Narrow" w:cs="Arial"/>
                <w:snapToGrid w:val="0"/>
                <w:color w:val="000000"/>
                <w:sz w:val="20"/>
                <w:szCs w:val="18"/>
                <w:vertAlign w:val="superscript"/>
                <w:lang w:eastAsia="en-US"/>
              </w:rPr>
              <w:t xml:space="preserve"> a</w:t>
            </w:r>
          </w:p>
        </w:tc>
        <w:tc>
          <w:tcPr>
            <w:tcW w:w="539" w:type="pct"/>
            <w:vAlign w:val="center"/>
          </w:tcPr>
          <w:p w:rsidR="00723777" w:rsidRPr="00E573DC" w:rsidRDefault="00723777" w:rsidP="00723777">
            <w:pPr>
              <w:widowControl w:val="0"/>
              <w:jc w:val="center"/>
              <w:rPr>
                <w:rFonts w:ascii="Arial Narrow" w:hAnsi="Arial Narrow" w:cs="Arial"/>
                <w:snapToGrid w:val="0"/>
                <w:sz w:val="20"/>
                <w:szCs w:val="20"/>
                <w:lang w:eastAsia="en-US"/>
              </w:rPr>
            </w:pPr>
          </w:p>
        </w:tc>
        <w:tc>
          <w:tcPr>
            <w:tcW w:w="539" w:type="pct"/>
            <w:gridSpan w:val="2"/>
            <w:vAlign w:val="center"/>
          </w:tcPr>
          <w:p w:rsidR="00723777" w:rsidRPr="007369A6" w:rsidRDefault="007369A6" w:rsidP="0072377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46" w:type="pct"/>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1436" w:type="pct"/>
            <w:vAlign w:val="center"/>
          </w:tcPr>
          <w:p w:rsidR="00723777" w:rsidRPr="007369A6" w:rsidRDefault="007369A6" w:rsidP="0072377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681" w:type="pct"/>
            <w:gridSpan w:val="2"/>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257" w:type="pct"/>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30" w:type="pct"/>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93" w:type="pct"/>
            <w:vMerge/>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r w:rsidR="00723777" w:rsidRPr="00E573DC" w:rsidTr="003835A7">
        <w:tc>
          <w:tcPr>
            <w:tcW w:w="1704" w:type="pct"/>
            <w:gridSpan w:val="5"/>
            <w:shd w:val="clear" w:color="auto" w:fill="auto"/>
            <w:vAlign w:val="center"/>
          </w:tcPr>
          <w:p w:rsidR="00723777" w:rsidRPr="00E573DC" w:rsidRDefault="00723777" w:rsidP="00723777">
            <w:pPr>
              <w:widowControl w:val="0"/>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Indirect comparison: VED vs IFX </w:t>
            </w:r>
          </w:p>
        </w:tc>
        <w:tc>
          <w:tcPr>
            <w:tcW w:w="1436" w:type="pct"/>
            <w:vAlign w:val="center"/>
          </w:tcPr>
          <w:p w:rsidR="00723777" w:rsidRPr="007369A6" w:rsidRDefault="007369A6" w:rsidP="00723777">
            <w:pPr>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368" w:type="pct"/>
            <w:gridSpan w:val="4"/>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493" w:type="pct"/>
            <w:vMerge/>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r w:rsidR="00723777" w:rsidRPr="00E573DC" w:rsidTr="003835A7">
        <w:tc>
          <w:tcPr>
            <w:tcW w:w="5000" w:type="pct"/>
            <w:gridSpan w:val="11"/>
            <w:shd w:val="clear" w:color="auto" w:fill="auto"/>
            <w:vAlign w:val="center"/>
          </w:tcPr>
          <w:p w:rsidR="00723777" w:rsidRPr="00E573DC" w:rsidRDefault="00723777" w:rsidP="00723777">
            <w:pPr>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Clinical remission week 52</w:t>
            </w:r>
          </w:p>
        </w:tc>
      </w:tr>
      <w:tr w:rsidR="00723777" w:rsidRPr="00E573DC" w:rsidTr="003835A7">
        <w:tc>
          <w:tcPr>
            <w:tcW w:w="80" w:type="pct"/>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GEMINI I</w:t>
            </w:r>
          </w:p>
        </w:tc>
        <w:tc>
          <w:tcPr>
            <w:tcW w:w="539" w:type="pct"/>
            <w:vAlign w:val="center"/>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51/122</w:t>
            </w:r>
          </w:p>
        </w:tc>
        <w:tc>
          <w:tcPr>
            <w:tcW w:w="539" w:type="pct"/>
            <w:gridSpan w:val="2"/>
            <w:vAlign w:val="center"/>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20/126</w:t>
            </w:r>
          </w:p>
        </w:tc>
        <w:tc>
          <w:tcPr>
            <w:tcW w:w="546"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1436" w:type="pct"/>
            <w:vAlign w:val="center"/>
          </w:tcPr>
          <w:p w:rsidR="00723777" w:rsidRPr="007369A6" w:rsidRDefault="007369A6" w:rsidP="0072377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681" w:type="pct"/>
            <w:gridSpan w:val="2"/>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42 </w:t>
            </w:r>
          </w:p>
        </w:tc>
        <w:tc>
          <w:tcPr>
            <w:tcW w:w="257"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16</w:t>
            </w:r>
          </w:p>
        </w:tc>
        <w:tc>
          <w:tcPr>
            <w:tcW w:w="430"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493" w:type="pct"/>
            <w:vMerge w:val="restart"/>
            <w:vAlign w:val="center"/>
          </w:tcPr>
          <w:p w:rsidR="00723777" w:rsidRPr="00E573DC" w:rsidRDefault="00723777" w:rsidP="00723777">
            <w:pPr>
              <w:widowControl w:val="0"/>
              <w:jc w:val="center"/>
              <w:rPr>
                <w:rFonts w:ascii="Arial Narrow" w:hAnsi="Arial Narrow" w:cs="Arial"/>
                <w:b/>
                <w:snapToGrid w:val="0"/>
                <w:color w:val="000000"/>
                <w:sz w:val="20"/>
                <w:szCs w:val="18"/>
                <w:lang w:eastAsia="en-US"/>
              </w:rPr>
            </w:pPr>
            <w:r w:rsidRPr="00E573DC">
              <w:rPr>
                <w:rFonts w:ascii="Arial Narrow" w:hAnsi="Arial Narrow" w:cs="Arial"/>
                <w:snapToGrid w:val="0"/>
                <w:color w:val="000000"/>
                <w:sz w:val="20"/>
                <w:szCs w:val="18"/>
                <w:lang w:eastAsia="en-US"/>
              </w:rPr>
              <w:t>Not Performed</w:t>
            </w:r>
          </w:p>
        </w:tc>
      </w:tr>
      <w:tr w:rsidR="00723777" w:rsidRPr="00E573DC" w:rsidTr="003835A7">
        <w:tc>
          <w:tcPr>
            <w:tcW w:w="80" w:type="pct"/>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ACT 1</w:t>
            </w:r>
          </w:p>
        </w:tc>
        <w:tc>
          <w:tcPr>
            <w:tcW w:w="539" w:type="pct"/>
            <w:vAlign w:val="center"/>
          </w:tcPr>
          <w:p w:rsidR="00723777" w:rsidRPr="00E573DC" w:rsidRDefault="00723777" w:rsidP="00723777">
            <w:pPr>
              <w:widowControl w:val="0"/>
              <w:jc w:val="center"/>
              <w:rPr>
                <w:rFonts w:ascii="Arial Narrow" w:hAnsi="Arial Narrow" w:cs="Arial"/>
                <w:snapToGrid w:val="0"/>
                <w:sz w:val="20"/>
                <w:szCs w:val="20"/>
                <w:lang w:eastAsia="en-US"/>
              </w:rPr>
            </w:pPr>
          </w:p>
        </w:tc>
        <w:tc>
          <w:tcPr>
            <w:tcW w:w="539" w:type="pct"/>
            <w:gridSpan w:val="2"/>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20/121 </w:t>
            </w:r>
          </w:p>
        </w:tc>
        <w:tc>
          <w:tcPr>
            <w:tcW w:w="546" w:type="pct"/>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42/121 </w:t>
            </w:r>
          </w:p>
        </w:tc>
        <w:tc>
          <w:tcPr>
            <w:tcW w:w="1436" w:type="pct"/>
            <w:vAlign w:val="center"/>
          </w:tcPr>
          <w:p w:rsidR="00723777" w:rsidRPr="007369A6" w:rsidRDefault="007369A6" w:rsidP="0072377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c>
          <w:tcPr>
            <w:tcW w:w="681" w:type="pct"/>
            <w:gridSpan w:val="2"/>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257"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17</w:t>
            </w:r>
          </w:p>
        </w:tc>
        <w:tc>
          <w:tcPr>
            <w:tcW w:w="430"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35</w:t>
            </w:r>
          </w:p>
        </w:tc>
        <w:tc>
          <w:tcPr>
            <w:tcW w:w="493" w:type="pct"/>
            <w:vMerge/>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r w:rsidR="00723777" w:rsidRPr="00E573DC" w:rsidTr="003835A7">
        <w:tc>
          <w:tcPr>
            <w:tcW w:w="1704" w:type="pct"/>
            <w:gridSpan w:val="5"/>
            <w:shd w:val="clear" w:color="auto" w:fill="auto"/>
            <w:vAlign w:val="center"/>
          </w:tcPr>
          <w:p w:rsidR="00723777" w:rsidRPr="00E573DC" w:rsidRDefault="00723777" w:rsidP="00723777">
            <w:pPr>
              <w:widowControl w:val="0"/>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Indirect comparison: VED vs IFX</w:t>
            </w:r>
          </w:p>
        </w:tc>
        <w:tc>
          <w:tcPr>
            <w:tcW w:w="1436" w:type="pct"/>
            <w:vAlign w:val="center"/>
          </w:tcPr>
          <w:p w:rsidR="00723777" w:rsidRPr="007369A6" w:rsidRDefault="007369A6" w:rsidP="0072377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368" w:type="pct"/>
            <w:gridSpan w:val="4"/>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493" w:type="pct"/>
            <w:vMerge/>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r w:rsidR="00723777" w:rsidRPr="00E573DC" w:rsidTr="003835A7">
        <w:tc>
          <w:tcPr>
            <w:tcW w:w="5000" w:type="pct"/>
            <w:gridSpan w:val="11"/>
            <w:tcBorders>
              <w:top w:val="double" w:sz="4" w:space="0" w:color="auto"/>
            </w:tcBorders>
            <w:shd w:val="clear" w:color="auto" w:fill="auto"/>
            <w:vAlign w:val="center"/>
          </w:tcPr>
          <w:p w:rsidR="00723777" w:rsidRPr="00E573DC" w:rsidRDefault="00723777" w:rsidP="00723777">
            <w:pPr>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 xml:space="preserve">Harms </w:t>
            </w:r>
          </w:p>
        </w:tc>
      </w:tr>
      <w:tr w:rsidR="00723777" w:rsidRPr="00E573DC" w:rsidTr="003835A7">
        <w:tc>
          <w:tcPr>
            <w:tcW w:w="5000" w:type="pct"/>
            <w:gridSpan w:val="11"/>
            <w:tcBorders>
              <w:top w:val="double" w:sz="4" w:space="0" w:color="auto"/>
            </w:tcBorders>
            <w:shd w:val="clear" w:color="auto" w:fill="auto"/>
            <w:vAlign w:val="center"/>
          </w:tcPr>
          <w:p w:rsidR="00723777" w:rsidRPr="00E573DC" w:rsidRDefault="00723777" w:rsidP="00723777">
            <w:pPr>
              <w:widowControl w:val="0"/>
              <w:jc w:val="both"/>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 xml:space="preserve">Indirect comparison – </w:t>
            </w:r>
            <w:proofErr w:type="spellStart"/>
            <w:r w:rsidRPr="00E573DC">
              <w:rPr>
                <w:rFonts w:ascii="Arial Narrow" w:hAnsi="Arial Narrow" w:cs="Arial"/>
                <w:b/>
                <w:snapToGrid w:val="0"/>
                <w:color w:val="000000"/>
                <w:sz w:val="20"/>
                <w:szCs w:val="18"/>
                <w:lang w:eastAsia="en-US"/>
              </w:rPr>
              <w:t>vedolizumab</w:t>
            </w:r>
            <w:proofErr w:type="spellEnd"/>
            <w:r w:rsidRPr="00E573DC">
              <w:rPr>
                <w:rFonts w:ascii="Arial Narrow" w:hAnsi="Arial Narrow" w:cs="Arial"/>
                <w:b/>
                <w:snapToGrid w:val="0"/>
                <w:color w:val="000000"/>
                <w:sz w:val="20"/>
                <w:szCs w:val="18"/>
                <w:lang w:eastAsia="en-US"/>
              </w:rPr>
              <w:t xml:space="preserve"> vs. infliximab week 52</w:t>
            </w:r>
          </w:p>
        </w:tc>
      </w:tr>
      <w:tr w:rsidR="00723777" w:rsidRPr="00E573DC" w:rsidTr="003835A7">
        <w:trPr>
          <w:trHeight w:val="105"/>
        </w:trPr>
        <w:tc>
          <w:tcPr>
            <w:tcW w:w="80" w:type="pct"/>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p>
        </w:tc>
        <w:tc>
          <w:tcPr>
            <w:tcW w:w="539" w:type="pct"/>
            <w:vAlign w:val="center"/>
          </w:tcPr>
          <w:p w:rsidR="00723777" w:rsidRPr="00E573DC" w:rsidRDefault="00723777" w:rsidP="00723777">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VED</w:t>
            </w:r>
          </w:p>
        </w:tc>
        <w:tc>
          <w:tcPr>
            <w:tcW w:w="539" w:type="pct"/>
            <w:gridSpan w:val="2"/>
            <w:vAlign w:val="center"/>
          </w:tcPr>
          <w:p w:rsidR="00723777" w:rsidRPr="00E573DC" w:rsidRDefault="00723777" w:rsidP="00723777">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PBO</w:t>
            </w:r>
          </w:p>
        </w:tc>
        <w:tc>
          <w:tcPr>
            <w:tcW w:w="546" w:type="pct"/>
            <w:vAlign w:val="center"/>
          </w:tcPr>
          <w:p w:rsidR="00723777" w:rsidRPr="00E573DC" w:rsidRDefault="00723777" w:rsidP="00723777">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IFX</w:t>
            </w:r>
          </w:p>
        </w:tc>
        <w:tc>
          <w:tcPr>
            <w:tcW w:w="1436" w:type="pct"/>
            <w:vAlign w:val="center"/>
          </w:tcPr>
          <w:p w:rsidR="00723777" w:rsidRPr="00E573DC" w:rsidRDefault="00723777" w:rsidP="00723777">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RR</w:t>
            </w:r>
          </w:p>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c>
          <w:tcPr>
            <w:tcW w:w="1368" w:type="pct"/>
            <w:gridSpan w:val="4"/>
            <w:vAlign w:val="center"/>
          </w:tcPr>
          <w:p w:rsidR="00723777" w:rsidRPr="00E573DC" w:rsidRDefault="00723777" w:rsidP="00723777">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 xml:space="preserve">Event rate/100 patients/duration* </w:t>
            </w:r>
          </w:p>
        </w:tc>
        <w:tc>
          <w:tcPr>
            <w:tcW w:w="493" w:type="pct"/>
            <w:vAlign w:val="center"/>
          </w:tcPr>
          <w:p w:rsidR="00723777" w:rsidRPr="00E573DC" w:rsidRDefault="00723777" w:rsidP="00723777">
            <w:pPr>
              <w:widowControl w:val="0"/>
              <w:jc w:val="center"/>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RD</w:t>
            </w:r>
          </w:p>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b/>
                <w:snapToGrid w:val="0"/>
                <w:color w:val="000000"/>
                <w:sz w:val="20"/>
                <w:szCs w:val="18"/>
                <w:lang w:eastAsia="en-US"/>
              </w:rPr>
              <w:t>(95% CI)</w:t>
            </w:r>
          </w:p>
        </w:tc>
      </w:tr>
      <w:tr w:rsidR="00723777" w:rsidRPr="00E573DC" w:rsidTr="003835A7">
        <w:tc>
          <w:tcPr>
            <w:tcW w:w="5000" w:type="pct"/>
            <w:gridSpan w:val="11"/>
            <w:shd w:val="clear" w:color="auto" w:fill="auto"/>
            <w:vAlign w:val="center"/>
          </w:tcPr>
          <w:p w:rsidR="00723777" w:rsidRPr="00E573DC" w:rsidRDefault="00723777" w:rsidP="00723777">
            <w:pPr>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Adverse events</w:t>
            </w:r>
          </w:p>
        </w:tc>
      </w:tr>
      <w:tr w:rsidR="00723777" w:rsidRPr="00E573DC" w:rsidTr="003835A7">
        <w:tc>
          <w:tcPr>
            <w:tcW w:w="80" w:type="pct"/>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GEMINI I</w:t>
            </w:r>
          </w:p>
        </w:tc>
        <w:tc>
          <w:tcPr>
            <w:tcW w:w="539" w:type="pct"/>
          </w:tcPr>
          <w:p w:rsidR="00723777" w:rsidRPr="007369A6" w:rsidRDefault="007369A6" w:rsidP="0072377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723777" w:rsidRPr="007369A6">
              <w:rPr>
                <w:rFonts w:ascii="Arial Narrow" w:hAnsi="Arial Narrow" w:cs="Arial"/>
                <w:snapToGrid w:val="0"/>
                <w:sz w:val="20"/>
                <w:szCs w:val="20"/>
                <w:highlight w:val="black"/>
                <w:lang w:eastAsia="en-US"/>
              </w:rPr>
              <w:t xml:space="preserve"> </w:t>
            </w:r>
          </w:p>
        </w:tc>
        <w:tc>
          <w:tcPr>
            <w:tcW w:w="539" w:type="pct"/>
            <w:gridSpan w:val="2"/>
          </w:tcPr>
          <w:p w:rsidR="00723777" w:rsidRPr="007369A6" w:rsidRDefault="007369A6" w:rsidP="0072377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723777" w:rsidRPr="007369A6">
              <w:rPr>
                <w:rFonts w:ascii="Arial Narrow" w:hAnsi="Arial Narrow" w:cs="Arial"/>
                <w:snapToGrid w:val="0"/>
                <w:sz w:val="20"/>
                <w:szCs w:val="20"/>
                <w:highlight w:val="black"/>
                <w:lang w:eastAsia="en-US"/>
              </w:rPr>
              <w:t xml:space="preserve"> </w:t>
            </w:r>
          </w:p>
        </w:tc>
        <w:tc>
          <w:tcPr>
            <w:tcW w:w="546"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1436" w:type="pct"/>
            <w:vAlign w:val="center"/>
          </w:tcPr>
          <w:p w:rsidR="00723777" w:rsidRPr="007369A6" w:rsidRDefault="007369A6" w:rsidP="00723777">
            <w:pPr>
              <w:widowControl w:val="0"/>
              <w:jc w:val="center"/>
              <w:rPr>
                <w:rFonts w:ascii="Arial Narrow" w:hAnsi="Arial Narrow" w:cs="Arial"/>
                <w:snapToGrid w:val="0"/>
                <w:sz w:val="20"/>
                <w:szCs w:val="18"/>
                <w:highlight w:val="black"/>
                <w:lang w:eastAsia="en-US"/>
              </w:rPr>
            </w:pPr>
            <w:r>
              <w:rPr>
                <w:rFonts w:ascii="Arial Narrow" w:hAnsi="Arial Narrow" w:cs="Arial"/>
                <w:noProof/>
                <w:snapToGrid w:val="0"/>
                <w:color w:val="000000"/>
                <w:sz w:val="20"/>
                <w:szCs w:val="20"/>
                <w:highlight w:val="black"/>
                <w:lang w:eastAsia="en-US"/>
              </w:rPr>
              <w:t>'''''''''' '''''''''''''' '''''''''''''</w:t>
            </w:r>
          </w:p>
        </w:tc>
        <w:tc>
          <w:tcPr>
            <w:tcW w:w="681" w:type="pct"/>
            <w:gridSpan w:val="2"/>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257" w:type="pct"/>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30"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493" w:type="pct"/>
            <w:vMerge w:val="restar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Not Performed</w:t>
            </w:r>
          </w:p>
        </w:tc>
      </w:tr>
      <w:tr w:rsidR="00723777" w:rsidRPr="00E573DC" w:rsidTr="003835A7">
        <w:tc>
          <w:tcPr>
            <w:tcW w:w="80" w:type="pct"/>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ACT 1</w:t>
            </w:r>
          </w:p>
        </w:tc>
        <w:tc>
          <w:tcPr>
            <w:tcW w:w="539"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539" w:type="pct"/>
            <w:gridSpan w:val="2"/>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103/121</w:t>
            </w:r>
          </w:p>
        </w:tc>
        <w:tc>
          <w:tcPr>
            <w:tcW w:w="546" w:type="pct"/>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106/121</w:t>
            </w:r>
          </w:p>
        </w:tc>
        <w:tc>
          <w:tcPr>
            <w:tcW w:w="1436" w:type="pct"/>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20"/>
                <w:highlight w:val="black"/>
                <w:lang w:eastAsia="en-US"/>
              </w:rPr>
              <w:t>'''''''''' ''''''''''''''' ''''''''''</w:t>
            </w:r>
          </w:p>
        </w:tc>
        <w:tc>
          <w:tcPr>
            <w:tcW w:w="681" w:type="pct"/>
            <w:gridSpan w:val="2"/>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257"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85</w:t>
            </w:r>
          </w:p>
        </w:tc>
        <w:tc>
          <w:tcPr>
            <w:tcW w:w="430"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88</w:t>
            </w:r>
          </w:p>
        </w:tc>
        <w:tc>
          <w:tcPr>
            <w:tcW w:w="493" w:type="pct"/>
            <w:vMerge/>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r w:rsidR="00723777" w:rsidRPr="00E573DC" w:rsidTr="003835A7">
        <w:tc>
          <w:tcPr>
            <w:tcW w:w="1704" w:type="pct"/>
            <w:gridSpan w:val="5"/>
            <w:tcBorders>
              <w:bottom w:val="single" w:sz="4" w:space="0" w:color="auto"/>
            </w:tcBorders>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lastRenderedPageBreak/>
              <w:t>Indirect comparison: VED vs IFX</w:t>
            </w:r>
          </w:p>
        </w:tc>
        <w:tc>
          <w:tcPr>
            <w:tcW w:w="1436" w:type="pct"/>
            <w:tcBorders>
              <w:bottom w:val="single" w:sz="4" w:space="0" w:color="auto"/>
            </w:tcBorders>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 '''''''''''''''' '''''''''''''</w:t>
            </w:r>
          </w:p>
        </w:tc>
        <w:tc>
          <w:tcPr>
            <w:tcW w:w="1368" w:type="pct"/>
            <w:gridSpan w:val="4"/>
            <w:tcBorders>
              <w:bottom w:val="single" w:sz="4" w:space="0" w:color="auto"/>
            </w:tcBorders>
            <w:shd w:val="clear" w:color="auto" w:fill="auto"/>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w:t>
            </w:r>
          </w:p>
        </w:tc>
        <w:tc>
          <w:tcPr>
            <w:tcW w:w="493" w:type="pct"/>
            <w:vMerge/>
            <w:tcBorders>
              <w:bottom w:val="single" w:sz="4" w:space="0" w:color="auto"/>
            </w:tcBorders>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r w:rsidR="00723777" w:rsidRPr="00E573DC" w:rsidTr="003835A7">
        <w:tc>
          <w:tcPr>
            <w:tcW w:w="5000" w:type="pct"/>
            <w:gridSpan w:val="11"/>
            <w:tcBorders>
              <w:top w:val="single" w:sz="4" w:space="0" w:color="auto"/>
              <w:bottom w:val="single" w:sz="4" w:space="0" w:color="auto"/>
            </w:tcBorders>
            <w:shd w:val="clear" w:color="auto" w:fill="auto"/>
            <w:vAlign w:val="center"/>
          </w:tcPr>
          <w:p w:rsidR="00723777" w:rsidRPr="00E573DC" w:rsidRDefault="00723777" w:rsidP="00723777">
            <w:pPr>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Serious adverse events</w:t>
            </w:r>
          </w:p>
        </w:tc>
      </w:tr>
      <w:tr w:rsidR="00723777" w:rsidRPr="00E573DC" w:rsidTr="003835A7">
        <w:tc>
          <w:tcPr>
            <w:tcW w:w="80" w:type="pct"/>
            <w:tcBorders>
              <w:top w:val="single" w:sz="4" w:space="0" w:color="auto"/>
            </w:tcBorders>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GEMINI I</w:t>
            </w:r>
          </w:p>
        </w:tc>
        <w:tc>
          <w:tcPr>
            <w:tcW w:w="539" w:type="pct"/>
            <w:tcBorders>
              <w:top w:val="single" w:sz="4" w:space="0" w:color="auto"/>
            </w:tcBorders>
          </w:tcPr>
          <w:p w:rsidR="00723777" w:rsidRPr="007369A6" w:rsidRDefault="007369A6" w:rsidP="0072377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723777" w:rsidRPr="007369A6">
              <w:rPr>
                <w:rFonts w:ascii="Arial Narrow" w:hAnsi="Arial Narrow" w:cs="Arial"/>
                <w:snapToGrid w:val="0"/>
                <w:sz w:val="20"/>
                <w:szCs w:val="20"/>
                <w:highlight w:val="black"/>
                <w:lang w:eastAsia="en-US"/>
              </w:rPr>
              <w:t xml:space="preserve"> </w:t>
            </w:r>
          </w:p>
        </w:tc>
        <w:tc>
          <w:tcPr>
            <w:tcW w:w="539" w:type="pct"/>
            <w:gridSpan w:val="2"/>
            <w:tcBorders>
              <w:top w:val="single" w:sz="4" w:space="0" w:color="auto"/>
            </w:tcBorders>
          </w:tcPr>
          <w:p w:rsidR="00723777" w:rsidRPr="007369A6" w:rsidRDefault="007369A6" w:rsidP="0072377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723777" w:rsidRPr="007369A6">
              <w:rPr>
                <w:rFonts w:ascii="Arial Narrow" w:hAnsi="Arial Narrow" w:cs="Arial"/>
                <w:snapToGrid w:val="0"/>
                <w:sz w:val="20"/>
                <w:szCs w:val="20"/>
                <w:highlight w:val="black"/>
                <w:lang w:eastAsia="en-US"/>
              </w:rPr>
              <w:t xml:space="preserve"> </w:t>
            </w:r>
          </w:p>
        </w:tc>
        <w:tc>
          <w:tcPr>
            <w:tcW w:w="546" w:type="pct"/>
            <w:tcBorders>
              <w:top w:val="single" w:sz="4" w:space="0" w:color="auto"/>
            </w:tcBorders>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1436" w:type="pct"/>
            <w:tcBorders>
              <w:top w:val="single" w:sz="4" w:space="0" w:color="auto"/>
            </w:tcBorders>
            <w:vAlign w:val="center"/>
          </w:tcPr>
          <w:p w:rsidR="00723777" w:rsidRPr="007369A6" w:rsidRDefault="007369A6" w:rsidP="00723777">
            <w:pPr>
              <w:widowControl w:val="0"/>
              <w:jc w:val="center"/>
              <w:rPr>
                <w:rFonts w:ascii="Arial Narrow" w:hAnsi="Arial Narrow" w:cs="Arial"/>
                <w:snapToGrid w:val="0"/>
                <w:sz w:val="20"/>
                <w:szCs w:val="18"/>
                <w:highlight w:val="black"/>
                <w:lang w:eastAsia="en-US"/>
              </w:rPr>
            </w:pPr>
            <w:r>
              <w:rPr>
                <w:rFonts w:ascii="Arial Narrow" w:hAnsi="Arial Narrow" w:cs="Arial"/>
                <w:noProof/>
                <w:snapToGrid w:val="0"/>
                <w:color w:val="000000"/>
                <w:sz w:val="20"/>
                <w:szCs w:val="20"/>
                <w:highlight w:val="black"/>
                <w:lang w:eastAsia="en-US"/>
              </w:rPr>
              <w:t>'''''''''' '''''''''''''' '''''''''''''</w:t>
            </w:r>
          </w:p>
        </w:tc>
        <w:tc>
          <w:tcPr>
            <w:tcW w:w="681" w:type="pct"/>
            <w:gridSpan w:val="2"/>
            <w:tcBorders>
              <w:top w:val="single" w:sz="4" w:space="0" w:color="auto"/>
            </w:tcBorders>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257" w:type="pct"/>
            <w:tcBorders>
              <w:top w:val="single" w:sz="4" w:space="0" w:color="auto"/>
            </w:tcBorders>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30" w:type="pct"/>
            <w:tcBorders>
              <w:top w:val="single" w:sz="4" w:space="0" w:color="auto"/>
            </w:tcBorders>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493" w:type="pct"/>
            <w:vMerge w:val="restart"/>
            <w:tcBorders>
              <w:top w:val="single" w:sz="4" w:space="0" w:color="auto"/>
            </w:tcBorders>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Not Performed</w:t>
            </w:r>
          </w:p>
        </w:tc>
      </w:tr>
      <w:tr w:rsidR="00723777" w:rsidRPr="00E573DC" w:rsidTr="003835A7">
        <w:tc>
          <w:tcPr>
            <w:tcW w:w="80" w:type="pct"/>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ACT 1</w:t>
            </w:r>
          </w:p>
        </w:tc>
        <w:tc>
          <w:tcPr>
            <w:tcW w:w="539" w:type="pct"/>
            <w:vAlign w:val="center"/>
          </w:tcPr>
          <w:p w:rsidR="00723777" w:rsidRPr="00E573DC" w:rsidRDefault="00723777" w:rsidP="00723777">
            <w:pPr>
              <w:widowControl w:val="0"/>
              <w:jc w:val="center"/>
              <w:rPr>
                <w:rFonts w:ascii="Arial Narrow" w:hAnsi="Arial Narrow" w:cs="Arial"/>
                <w:snapToGrid w:val="0"/>
                <w:sz w:val="20"/>
                <w:szCs w:val="20"/>
                <w:lang w:eastAsia="en-US"/>
              </w:rPr>
            </w:pPr>
          </w:p>
        </w:tc>
        <w:tc>
          <w:tcPr>
            <w:tcW w:w="539" w:type="pct"/>
            <w:gridSpan w:val="2"/>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31/121</w:t>
            </w:r>
          </w:p>
        </w:tc>
        <w:tc>
          <w:tcPr>
            <w:tcW w:w="546" w:type="pct"/>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26/121</w:t>
            </w:r>
          </w:p>
        </w:tc>
        <w:tc>
          <w:tcPr>
            <w:tcW w:w="1436" w:type="pct"/>
            <w:vAlign w:val="center"/>
          </w:tcPr>
          <w:p w:rsidR="00723777" w:rsidRPr="007369A6" w:rsidRDefault="007369A6" w:rsidP="00723777">
            <w:pPr>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681" w:type="pct"/>
            <w:gridSpan w:val="2"/>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257"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26</w:t>
            </w:r>
          </w:p>
        </w:tc>
        <w:tc>
          <w:tcPr>
            <w:tcW w:w="430"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22</w:t>
            </w:r>
          </w:p>
        </w:tc>
        <w:tc>
          <w:tcPr>
            <w:tcW w:w="493" w:type="pct"/>
            <w:vMerge/>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r w:rsidR="00723777" w:rsidRPr="00E573DC" w:rsidTr="003835A7">
        <w:tc>
          <w:tcPr>
            <w:tcW w:w="1704" w:type="pct"/>
            <w:gridSpan w:val="5"/>
            <w:shd w:val="clear" w:color="auto" w:fill="auto"/>
            <w:vAlign w:val="center"/>
          </w:tcPr>
          <w:p w:rsidR="00723777" w:rsidRPr="00E573DC" w:rsidRDefault="00723777" w:rsidP="00723777">
            <w:pPr>
              <w:widowControl w:val="0"/>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 xml:space="preserve">Indirect comparison: VED vs IFX </w:t>
            </w:r>
          </w:p>
        </w:tc>
        <w:tc>
          <w:tcPr>
            <w:tcW w:w="1436" w:type="pct"/>
            <w:vAlign w:val="center"/>
          </w:tcPr>
          <w:p w:rsidR="00723777" w:rsidRPr="007369A6" w:rsidRDefault="007369A6" w:rsidP="00723777">
            <w:pPr>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368" w:type="pct"/>
            <w:gridSpan w:val="4"/>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493" w:type="pct"/>
            <w:vMerge/>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r w:rsidR="00723777" w:rsidRPr="00E573DC" w:rsidTr="003835A7">
        <w:tc>
          <w:tcPr>
            <w:tcW w:w="5000" w:type="pct"/>
            <w:gridSpan w:val="11"/>
            <w:shd w:val="clear" w:color="auto" w:fill="auto"/>
            <w:vAlign w:val="center"/>
          </w:tcPr>
          <w:p w:rsidR="00723777" w:rsidRPr="00E573DC" w:rsidRDefault="00723777" w:rsidP="00723777">
            <w:pPr>
              <w:widowControl w:val="0"/>
              <w:rPr>
                <w:rFonts w:ascii="Arial Narrow" w:hAnsi="Arial Narrow" w:cs="Arial"/>
                <w:b/>
                <w:snapToGrid w:val="0"/>
                <w:color w:val="000000"/>
                <w:sz w:val="20"/>
                <w:szCs w:val="18"/>
                <w:lang w:eastAsia="en-US"/>
              </w:rPr>
            </w:pPr>
            <w:r w:rsidRPr="00E573DC">
              <w:rPr>
                <w:rFonts w:ascii="Arial Narrow" w:hAnsi="Arial Narrow" w:cs="Arial"/>
                <w:b/>
                <w:snapToGrid w:val="0"/>
                <w:color w:val="000000"/>
                <w:sz w:val="20"/>
                <w:szCs w:val="18"/>
                <w:lang w:eastAsia="en-US"/>
              </w:rPr>
              <w:t>Infectious adverse events</w:t>
            </w:r>
          </w:p>
        </w:tc>
      </w:tr>
      <w:tr w:rsidR="00723777" w:rsidRPr="00E573DC" w:rsidTr="003835A7">
        <w:tc>
          <w:tcPr>
            <w:tcW w:w="80" w:type="pct"/>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GEMINI I</w:t>
            </w:r>
          </w:p>
        </w:tc>
        <w:tc>
          <w:tcPr>
            <w:tcW w:w="539" w:type="pct"/>
          </w:tcPr>
          <w:p w:rsidR="00723777" w:rsidRPr="007369A6" w:rsidRDefault="007369A6" w:rsidP="0072377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723777" w:rsidRPr="007369A6">
              <w:rPr>
                <w:rFonts w:ascii="Arial Narrow" w:hAnsi="Arial Narrow" w:cs="Arial"/>
                <w:snapToGrid w:val="0"/>
                <w:sz w:val="20"/>
                <w:szCs w:val="20"/>
                <w:highlight w:val="black"/>
                <w:lang w:eastAsia="en-US"/>
              </w:rPr>
              <w:t xml:space="preserve"> </w:t>
            </w:r>
          </w:p>
        </w:tc>
        <w:tc>
          <w:tcPr>
            <w:tcW w:w="539" w:type="pct"/>
            <w:gridSpan w:val="2"/>
          </w:tcPr>
          <w:p w:rsidR="00723777" w:rsidRPr="007369A6" w:rsidRDefault="007369A6" w:rsidP="0072377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xml:space="preserve">''''''''''''''' </w:t>
            </w:r>
          </w:p>
        </w:tc>
        <w:tc>
          <w:tcPr>
            <w:tcW w:w="546"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1436" w:type="pct"/>
            <w:vAlign w:val="center"/>
          </w:tcPr>
          <w:p w:rsidR="00723777" w:rsidRPr="007369A6" w:rsidRDefault="007369A6" w:rsidP="00723777">
            <w:pPr>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681" w:type="pct"/>
            <w:gridSpan w:val="2"/>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257" w:type="pct"/>
            <w:vAlign w:val="center"/>
          </w:tcPr>
          <w:p w:rsidR="00723777" w:rsidRPr="007369A6" w:rsidRDefault="007369A6" w:rsidP="00723777">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430"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493" w:type="pct"/>
            <w:vMerge w:val="restart"/>
            <w:vAlign w:val="center"/>
          </w:tcPr>
          <w:p w:rsidR="00723777" w:rsidRPr="00E573DC" w:rsidRDefault="00723777" w:rsidP="00723777">
            <w:pPr>
              <w:widowControl w:val="0"/>
              <w:jc w:val="center"/>
              <w:rPr>
                <w:rFonts w:ascii="Arial Narrow" w:hAnsi="Arial Narrow" w:cs="Arial"/>
                <w:b/>
                <w:snapToGrid w:val="0"/>
                <w:color w:val="000000"/>
                <w:sz w:val="20"/>
                <w:szCs w:val="18"/>
                <w:lang w:eastAsia="en-US"/>
              </w:rPr>
            </w:pPr>
            <w:r w:rsidRPr="00E573DC">
              <w:rPr>
                <w:rFonts w:ascii="Arial Narrow" w:hAnsi="Arial Narrow" w:cs="Arial"/>
                <w:snapToGrid w:val="0"/>
                <w:color w:val="000000"/>
                <w:sz w:val="20"/>
                <w:szCs w:val="18"/>
                <w:lang w:eastAsia="en-US"/>
              </w:rPr>
              <w:t>Not Performed</w:t>
            </w:r>
          </w:p>
        </w:tc>
      </w:tr>
      <w:tr w:rsidR="00723777" w:rsidRPr="00E573DC" w:rsidTr="003835A7">
        <w:tc>
          <w:tcPr>
            <w:tcW w:w="80" w:type="pct"/>
            <w:shd w:val="clear" w:color="auto" w:fill="auto"/>
            <w:vAlign w:val="center"/>
          </w:tcPr>
          <w:p w:rsidR="00723777" w:rsidRPr="00E573DC" w:rsidRDefault="00723777" w:rsidP="00723777">
            <w:pPr>
              <w:widowControl w:val="0"/>
              <w:jc w:val="both"/>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ACT 1</w:t>
            </w:r>
          </w:p>
        </w:tc>
        <w:tc>
          <w:tcPr>
            <w:tcW w:w="539" w:type="pct"/>
            <w:vAlign w:val="center"/>
          </w:tcPr>
          <w:p w:rsidR="00723777" w:rsidRPr="00E573DC" w:rsidRDefault="00723777" w:rsidP="00723777">
            <w:pPr>
              <w:widowControl w:val="0"/>
              <w:jc w:val="center"/>
              <w:rPr>
                <w:rFonts w:ascii="Arial Narrow" w:hAnsi="Arial Narrow" w:cs="Arial"/>
                <w:snapToGrid w:val="0"/>
                <w:sz w:val="20"/>
                <w:szCs w:val="20"/>
                <w:lang w:eastAsia="en-US"/>
              </w:rPr>
            </w:pPr>
          </w:p>
        </w:tc>
        <w:tc>
          <w:tcPr>
            <w:tcW w:w="539" w:type="pct"/>
            <w:gridSpan w:val="2"/>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47/121 </w:t>
            </w:r>
          </w:p>
        </w:tc>
        <w:tc>
          <w:tcPr>
            <w:tcW w:w="546" w:type="pct"/>
          </w:tcPr>
          <w:p w:rsidR="00723777" w:rsidRPr="00E573DC" w:rsidRDefault="00723777" w:rsidP="00723777">
            <w:pPr>
              <w:widowControl w:val="0"/>
              <w:jc w:val="center"/>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53/121</w:t>
            </w:r>
          </w:p>
        </w:tc>
        <w:tc>
          <w:tcPr>
            <w:tcW w:w="1436" w:type="pct"/>
            <w:vAlign w:val="center"/>
          </w:tcPr>
          <w:p w:rsidR="00723777" w:rsidRPr="007369A6" w:rsidRDefault="007369A6" w:rsidP="00723777">
            <w:pPr>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681" w:type="pct"/>
            <w:gridSpan w:val="2"/>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257"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39</w:t>
            </w:r>
          </w:p>
        </w:tc>
        <w:tc>
          <w:tcPr>
            <w:tcW w:w="430" w:type="pct"/>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44</w:t>
            </w:r>
          </w:p>
        </w:tc>
        <w:tc>
          <w:tcPr>
            <w:tcW w:w="493" w:type="pct"/>
            <w:vMerge/>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r w:rsidR="00723777" w:rsidRPr="00E573DC" w:rsidTr="003835A7">
        <w:tc>
          <w:tcPr>
            <w:tcW w:w="1704" w:type="pct"/>
            <w:gridSpan w:val="5"/>
            <w:shd w:val="clear" w:color="auto" w:fill="auto"/>
            <w:vAlign w:val="center"/>
          </w:tcPr>
          <w:p w:rsidR="00723777" w:rsidRPr="00E573DC" w:rsidRDefault="00723777" w:rsidP="00723777">
            <w:pPr>
              <w:widowControl w:val="0"/>
              <w:rPr>
                <w:rFonts w:ascii="Arial Narrow" w:hAnsi="Arial Narrow" w:cs="Arial"/>
                <w:snapToGrid w:val="0"/>
                <w:color w:val="000000"/>
                <w:sz w:val="20"/>
                <w:szCs w:val="18"/>
                <w:lang w:eastAsia="en-US"/>
              </w:rPr>
            </w:pPr>
            <w:r w:rsidRPr="00E573DC">
              <w:rPr>
                <w:rFonts w:ascii="Arial Narrow" w:hAnsi="Arial Narrow" w:cs="Arial"/>
                <w:snapToGrid w:val="0"/>
                <w:color w:val="000000"/>
                <w:sz w:val="20"/>
                <w:szCs w:val="18"/>
                <w:lang w:eastAsia="en-US"/>
              </w:rPr>
              <w:t>Indirect comparison: VED vs IFX</w:t>
            </w:r>
          </w:p>
        </w:tc>
        <w:tc>
          <w:tcPr>
            <w:tcW w:w="1436" w:type="pct"/>
            <w:vAlign w:val="center"/>
          </w:tcPr>
          <w:p w:rsidR="00723777" w:rsidRPr="007369A6" w:rsidRDefault="007369A6" w:rsidP="00723777">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368" w:type="pct"/>
            <w:gridSpan w:val="4"/>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c>
          <w:tcPr>
            <w:tcW w:w="493" w:type="pct"/>
            <w:vMerge/>
            <w:vAlign w:val="center"/>
          </w:tcPr>
          <w:p w:rsidR="00723777" w:rsidRPr="00E573DC" w:rsidRDefault="00723777" w:rsidP="00723777">
            <w:pPr>
              <w:widowControl w:val="0"/>
              <w:jc w:val="center"/>
              <w:rPr>
                <w:rFonts w:ascii="Arial Narrow" w:hAnsi="Arial Narrow" w:cs="Arial"/>
                <w:snapToGrid w:val="0"/>
                <w:color w:val="000000"/>
                <w:sz w:val="20"/>
                <w:szCs w:val="18"/>
                <w:lang w:eastAsia="en-US"/>
              </w:rPr>
            </w:pPr>
          </w:p>
        </w:tc>
      </w:tr>
    </w:tbl>
    <w:p w:rsidR="00E54269" w:rsidRPr="00E573DC" w:rsidRDefault="00E54269" w:rsidP="003835A7">
      <w:pPr>
        <w:pStyle w:val="TableFooter"/>
        <w:ind w:left="709" w:firstLine="11"/>
      </w:pPr>
      <w:r w:rsidRPr="00E573DC">
        <w:t xml:space="preserve">* Duration of exposure as presented in the Table.  PBO = placebo; VED = </w:t>
      </w:r>
      <w:proofErr w:type="spellStart"/>
      <w:r w:rsidRPr="00E573DC">
        <w:t>vedolizumab</w:t>
      </w:r>
      <w:proofErr w:type="spellEnd"/>
      <w:r w:rsidRPr="00E573DC">
        <w:t xml:space="preserve">; IFX = infliximab; RD = risk difference; RR = relative risk; CI = confidence interval; </w:t>
      </w:r>
      <w:proofErr w:type="gramStart"/>
      <w:r w:rsidRPr="00E573DC">
        <w:t>meta</w:t>
      </w:r>
      <w:proofErr w:type="gramEnd"/>
      <w:r w:rsidRPr="00E573DC">
        <w:t xml:space="preserve"> = meta-analysis.  Source: Compiled during the evaluation.</w:t>
      </w:r>
      <w:r w:rsidRPr="00E573DC">
        <w:rPr>
          <w:vertAlign w:val="superscript"/>
        </w:rPr>
        <w:t xml:space="preserve"> </w:t>
      </w:r>
      <w:proofErr w:type="spellStart"/>
      <w:proofErr w:type="gramStart"/>
      <w:r w:rsidRPr="00E573DC">
        <w:rPr>
          <w:vertAlign w:val="superscript"/>
        </w:rPr>
        <w:t>a</w:t>
      </w:r>
      <w:proofErr w:type="spellEnd"/>
      <w:proofErr w:type="gramEnd"/>
      <w:r w:rsidRPr="00E573DC">
        <w:t xml:space="preserve"> Excludes </w:t>
      </w:r>
      <w:proofErr w:type="spellStart"/>
      <w:r w:rsidRPr="00E573DC">
        <w:t>Probert</w:t>
      </w:r>
      <w:proofErr w:type="spellEnd"/>
      <w:r w:rsidRPr="00E573DC">
        <w:t xml:space="preserve"> 2003, due to difference in response definition.</w:t>
      </w:r>
    </w:p>
    <w:p w:rsidR="00E54269" w:rsidRPr="00E573DC" w:rsidRDefault="00E54269" w:rsidP="00882085">
      <w:pPr>
        <w:jc w:val="both"/>
        <w:rPr>
          <w:rFonts w:ascii="Arial" w:hAnsi="Arial"/>
          <w:b/>
          <w:i/>
          <w:sz w:val="22"/>
          <w:szCs w:val="22"/>
        </w:rPr>
      </w:pPr>
    </w:p>
    <w:p w:rsidR="00AA0A5F" w:rsidRPr="004912E2" w:rsidRDefault="00723777" w:rsidP="004912E2">
      <w:pPr>
        <w:pStyle w:val="ListParagraph"/>
        <w:ind w:left="709"/>
        <w:jc w:val="both"/>
        <w:rPr>
          <w:rFonts w:ascii="Arial" w:hAnsi="Arial"/>
          <w:sz w:val="22"/>
          <w:szCs w:val="22"/>
        </w:rPr>
      </w:pPr>
      <w:r w:rsidRPr="004912E2">
        <w:rPr>
          <w:rFonts w:ascii="Arial" w:hAnsi="Arial"/>
          <w:sz w:val="22"/>
          <w:szCs w:val="22"/>
        </w:rPr>
        <w:t xml:space="preserve">On the basis of the indirect comparison evidence presented by the submission, for every 100 patients treated with </w:t>
      </w:r>
      <w:proofErr w:type="spellStart"/>
      <w:r w:rsidRPr="004912E2">
        <w:rPr>
          <w:rFonts w:ascii="Arial" w:hAnsi="Arial"/>
          <w:sz w:val="22"/>
          <w:szCs w:val="22"/>
        </w:rPr>
        <w:t>vedolizumab</w:t>
      </w:r>
      <w:proofErr w:type="spellEnd"/>
      <w:r w:rsidRPr="004912E2">
        <w:rPr>
          <w:rFonts w:ascii="Arial" w:hAnsi="Arial"/>
          <w:sz w:val="22"/>
          <w:szCs w:val="22"/>
        </w:rPr>
        <w:t xml:space="preserve"> in comparison to infliximab over a maximum duration of exposure of 52 weeks, approximately the same number of patients would have clinical remission</w:t>
      </w:r>
      <w:r w:rsidR="004912E2" w:rsidRPr="004912E2">
        <w:rPr>
          <w:rFonts w:ascii="Arial" w:hAnsi="Arial"/>
          <w:sz w:val="22"/>
          <w:szCs w:val="22"/>
        </w:rPr>
        <w:t xml:space="preserve"> and adverse events</w:t>
      </w:r>
      <w:r w:rsidR="00E87D72">
        <w:rPr>
          <w:rFonts w:ascii="Arial" w:hAnsi="Arial"/>
          <w:sz w:val="22"/>
          <w:szCs w:val="22"/>
        </w:rPr>
        <w:t>.</w:t>
      </w:r>
    </w:p>
    <w:p w:rsidR="00723777" w:rsidRPr="003835A7" w:rsidRDefault="00723777" w:rsidP="003835A7">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Default="005A3173" w:rsidP="00882085">
      <w:pPr>
        <w:ind w:left="720" w:hanging="720"/>
        <w:jc w:val="both"/>
        <w:rPr>
          <w:rFonts w:ascii="Arial" w:hAnsi="Arial"/>
          <w:sz w:val="22"/>
          <w:szCs w:val="22"/>
        </w:rPr>
      </w:pPr>
    </w:p>
    <w:p w:rsidR="0088043B" w:rsidRPr="00E573DC" w:rsidRDefault="0088043B" w:rsidP="0088043B">
      <w:pPr>
        <w:widowControl w:val="0"/>
        <w:jc w:val="both"/>
        <w:rPr>
          <w:rFonts w:ascii="Arial" w:hAnsi="Arial" w:cs="Arial"/>
          <w:snapToGrid w:val="0"/>
          <w:sz w:val="22"/>
          <w:szCs w:val="20"/>
          <w:u w:val="single"/>
          <w:lang w:eastAsia="en-US"/>
        </w:rPr>
      </w:pPr>
      <w:proofErr w:type="spellStart"/>
      <w:r w:rsidRPr="00E573DC">
        <w:rPr>
          <w:rFonts w:ascii="Arial" w:hAnsi="Arial" w:cs="Arial"/>
          <w:snapToGrid w:val="0"/>
          <w:sz w:val="22"/>
          <w:szCs w:val="20"/>
          <w:u w:val="single"/>
          <w:lang w:eastAsia="en-US"/>
        </w:rPr>
        <w:t>Vedolizumab</w:t>
      </w:r>
      <w:proofErr w:type="spellEnd"/>
      <w:r w:rsidRPr="00E573DC">
        <w:rPr>
          <w:rFonts w:ascii="Arial" w:hAnsi="Arial" w:cs="Arial"/>
          <w:snapToGrid w:val="0"/>
          <w:sz w:val="22"/>
          <w:szCs w:val="20"/>
          <w:u w:val="single"/>
          <w:lang w:eastAsia="en-US"/>
        </w:rPr>
        <w:t xml:space="preserve"> vs. placebo</w:t>
      </w:r>
    </w:p>
    <w:p w:rsidR="0088043B" w:rsidRPr="00E573DC" w:rsidRDefault="0088043B" w:rsidP="00882085">
      <w:pPr>
        <w:ind w:left="720" w:hanging="720"/>
        <w:jc w:val="both"/>
        <w:rPr>
          <w:rFonts w:ascii="Arial" w:hAnsi="Arial"/>
          <w:sz w:val="22"/>
          <w:szCs w:val="22"/>
        </w:rPr>
      </w:pPr>
    </w:p>
    <w:p w:rsidR="00984601" w:rsidRPr="00E87D72" w:rsidRDefault="00E87D72" w:rsidP="004E7A4D">
      <w:pPr>
        <w:pStyle w:val="ListParagraph"/>
        <w:numPr>
          <w:ilvl w:val="1"/>
          <w:numId w:val="1"/>
        </w:numPr>
        <w:jc w:val="both"/>
        <w:rPr>
          <w:rFonts w:ascii="Arial" w:hAnsi="Arial"/>
          <w:sz w:val="22"/>
          <w:szCs w:val="22"/>
        </w:rPr>
      </w:pPr>
      <w:r>
        <w:rPr>
          <w:rFonts w:ascii="Arial" w:hAnsi="Arial"/>
          <w:sz w:val="22"/>
          <w:szCs w:val="22"/>
        </w:rPr>
        <w:t>The submission described</w:t>
      </w:r>
      <w:r w:rsidR="0088043B" w:rsidRPr="00E573DC">
        <w:rPr>
          <w:rFonts w:ascii="Arial" w:hAnsi="Arial"/>
          <w:sz w:val="22"/>
          <w:szCs w:val="22"/>
        </w:rPr>
        <w:t xml:space="preserve"> </w:t>
      </w:r>
      <w:proofErr w:type="spellStart"/>
      <w:r w:rsidR="0088043B" w:rsidRPr="00E573DC">
        <w:rPr>
          <w:rFonts w:ascii="Arial" w:hAnsi="Arial"/>
          <w:sz w:val="22"/>
          <w:szCs w:val="22"/>
        </w:rPr>
        <w:t>vedolizumab</w:t>
      </w:r>
      <w:proofErr w:type="spellEnd"/>
      <w:r w:rsidR="0088043B" w:rsidRPr="00E573DC">
        <w:rPr>
          <w:rFonts w:ascii="Arial" w:hAnsi="Arial"/>
          <w:sz w:val="22"/>
          <w:szCs w:val="22"/>
        </w:rPr>
        <w:t xml:space="preserve"> as superior in terms of comparative effectiveness and non-inferior in terms of comparative safety over placebo. </w:t>
      </w:r>
    </w:p>
    <w:p w:rsidR="00984601" w:rsidRPr="004B280A" w:rsidRDefault="00984601" w:rsidP="00984601">
      <w:pPr>
        <w:pStyle w:val="ListParagraph"/>
        <w:ind w:left="709"/>
        <w:jc w:val="both"/>
        <w:rPr>
          <w:rFonts w:ascii="Arial" w:hAnsi="Arial"/>
          <w:sz w:val="22"/>
          <w:szCs w:val="22"/>
          <w:highlight w:val="lightGray"/>
        </w:rPr>
      </w:pPr>
    </w:p>
    <w:p w:rsidR="00984601" w:rsidRPr="00E573DC" w:rsidRDefault="00A108F9" w:rsidP="004E7A4D">
      <w:pPr>
        <w:pStyle w:val="ListParagraph"/>
        <w:numPr>
          <w:ilvl w:val="1"/>
          <w:numId w:val="1"/>
        </w:numPr>
        <w:jc w:val="both"/>
        <w:rPr>
          <w:rFonts w:ascii="Arial" w:hAnsi="Arial"/>
          <w:sz w:val="22"/>
          <w:szCs w:val="22"/>
        </w:rPr>
      </w:pPr>
      <w:r>
        <w:rPr>
          <w:rFonts w:ascii="Arial" w:hAnsi="Arial"/>
          <w:sz w:val="22"/>
          <w:szCs w:val="22"/>
        </w:rPr>
        <w:t>For safety, the results we</w:t>
      </w:r>
      <w:r w:rsidR="00984601" w:rsidRPr="00E573DC">
        <w:rPr>
          <w:rFonts w:ascii="Arial" w:hAnsi="Arial"/>
          <w:sz w:val="22"/>
          <w:szCs w:val="22"/>
        </w:rPr>
        <w:t>re not derived from randomised treatment of 52 w</w:t>
      </w:r>
      <w:r>
        <w:rPr>
          <w:rFonts w:ascii="Arial" w:hAnsi="Arial"/>
          <w:sz w:val="22"/>
          <w:szCs w:val="22"/>
        </w:rPr>
        <w:t xml:space="preserve">eeks of placebo or </w:t>
      </w:r>
      <w:proofErr w:type="spellStart"/>
      <w:r>
        <w:rPr>
          <w:rFonts w:ascii="Arial" w:hAnsi="Arial"/>
          <w:sz w:val="22"/>
          <w:szCs w:val="22"/>
        </w:rPr>
        <w:t>vedolizumab</w:t>
      </w:r>
      <w:proofErr w:type="spellEnd"/>
      <w:r>
        <w:rPr>
          <w:rFonts w:ascii="Arial" w:hAnsi="Arial"/>
          <w:sz w:val="22"/>
          <w:szCs w:val="22"/>
        </w:rPr>
        <w:t>.  The ESC considered that it wa</w:t>
      </w:r>
      <w:r w:rsidR="00984601" w:rsidRPr="00E573DC">
        <w:rPr>
          <w:rFonts w:ascii="Arial" w:hAnsi="Arial"/>
          <w:sz w:val="22"/>
          <w:szCs w:val="22"/>
        </w:rPr>
        <w:t>s unclear what the impact of the l</w:t>
      </w:r>
      <w:r>
        <w:rPr>
          <w:rFonts w:ascii="Arial" w:hAnsi="Arial"/>
          <w:sz w:val="22"/>
          <w:szCs w:val="22"/>
        </w:rPr>
        <w:t>ack of randomised trial data had</w:t>
      </w:r>
      <w:r w:rsidR="00984601" w:rsidRPr="00E573DC">
        <w:rPr>
          <w:rFonts w:ascii="Arial" w:hAnsi="Arial"/>
          <w:sz w:val="22"/>
          <w:szCs w:val="22"/>
        </w:rPr>
        <w:t xml:space="preserve"> on the overall claim for safety.</w:t>
      </w:r>
    </w:p>
    <w:p w:rsidR="00E54269" w:rsidRPr="00E573DC" w:rsidRDefault="00E54269" w:rsidP="00E54269">
      <w:pPr>
        <w:jc w:val="both"/>
        <w:rPr>
          <w:rFonts w:ascii="Arial" w:hAnsi="Arial"/>
          <w:i/>
          <w:sz w:val="22"/>
          <w:szCs w:val="22"/>
        </w:rPr>
      </w:pPr>
    </w:p>
    <w:p w:rsidR="00E54269" w:rsidRPr="00E573DC" w:rsidRDefault="00984601" w:rsidP="00984601">
      <w:pPr>
        <w:jc w:val="both"/>
        <w:rPr>
          <w:rFonts w:ascii="Arial" w:hAnsi="Arial"/>
          <w:sz w:val="22"/>
          <w:szCs w:val="22"/>
          <w:u w:val="single"/>
        </w:rPr>
      </w:pPr>
      <w:proofErr w:type="spellStart"/>
      <w:r w:rsidRPr="00E573DC">
        <w:rPr>
          <w:rFonts w:ascii="Arial" w:hAnsi="Arial"/>
          <w:sz w:val="22"/>
          <w:szCs w:val="22"/>
          <w:u w:val="single"/>
        </w:rPr>
        <w:t>Vedolizumab</w:t>
      </w:r>
      <w:proofErr w:type="spellEnd"/>
      <w:r w:rsidRPr="00E573DC">
        <w:rPr>
          <w:rFonts w:ascii="Arial" w:hAnsi="Arial"/>
          <w:sz w:val="22"/>
          <w:szCs w:val="22"/>
          <w:u w:val="single"/>
        </w:rPr>
        <w:t xml:space="preserve"> vs. </w:t>
      </w:r>
      <w:proofErr w:type="spellStart"/>
      <w:r w:rsidRPr="00E573DC">
        <w:rPr>
          <w:rFonts w:ascii="Arial" w:hAnsi="Arial"/>
          <w:sz w:val="22"/>
          <w:szCs w:val="22"/>
          <w:u w:val="single"/>
        </w:rPr>
        <w:t>adalimumab</w:t>
      </w:r>
      <w:proofErr w:type="spellEnd"/>
      <w:r w:rsidRPr="00E573DC">
        <w:rPr>
          <w:rFonts w:ascii="Arial" w:hAnsi="Arial"/>
          <w:sz w:val="22"/>
          <w:szCs w:val="22"/>
          <w:u w:val="single"/>
        </w:rPr>
        <w:t xml:space="preserve"> and </w:t>
      </w:r>
      <w:proofErr w:type="spellStart"/>
      <w:r w:rsidRPr="00E573DC">
        <w:rPr>
          <w:rFonts w:ascii="Arial" w:hAnsi="Arial"/>
          <w:sz w:val="22"/>
          <w:szCs w:val="22"/>
          <w:u w:val="single"/>
        </w:rPr>
        <w:t>vedolizumab</w:t>
      </w:r>
      <w:proofErr w:type="spellEnd"/>
      <w:r w:rsidRPr="00E573DC">
        <w:rPr>
          <w:rFonts w:ascii="Arial" w:hAnsi="Arial"/>
          <w:sz w:val="22"/>
          <w:szCs w:val="22"/>
          <w:u w:val="single"/>
        </w:rPr>
        <w:t xml:space="preserve"> vs. infliximab</w:t>
      </w:r>
    </w:p>
    <w:p w:rsidR="00E54269" w:rsidRPr="00E573DC" w:rsidRDefault="00E54269" w:rsidP="00984601">
      <w:pPr>
        <w:jc w:val="both"/>
        <w:rPr>
          <w:rFonts w:ascii="Arial" w:hAnsi="Arial"/>
          <w:sz w:val="22"/>
          <w:szCs w:val="22"/>
          <w:u w:val="single"/>
        </w:rPr>
      </w:pPr>
    </w:p>
    <w:p w:rsidR="00984601" w:rsidRPr="008061BE" w:rsidRDefault="00502036" w:rsidP="004E7A4D">
      <w:pPr>
        <w:pStyle w:val="ListParagraph"/>
        <w:numPr>
          <w:ilvl w:val="1"/>
          <w:numId w:val="1"/>
        </w:numPr>
        <w:jc w:val="both"/>
        <w:rPr>
          <w:rFonts w:ascii="Arial" w:hAnsi="Arial"/>
          <w:sz w:val="22"/>
          <w:szCs w:val="22"/>
        </w:rPr>
      </w:pPr>
      <w:r>
        <w:rPr>
          <w:rFonts w:ascii="Arial" w:hAnsi="Arial"/>
          <w:sz w:val="22"/>
          <w:szCs w:val="22"/>
        </w:rPr>
        <w:t>The submission described</w:t>
      </w:r>
      <w:r w:rsidR="00984601" w:rsidRPr="00E573DC">
        <w:rPr>
          <w:rFonts w:ascii="Arial" w:hAnsi="Arial"/>
          <w:sz w:val="22"/>
          <w:szCs w:val="22"/>
        </w:rPr>
        <w:t xml:space="preserve"> </w:t>
      </w:r>
      <w:proofErr w:type="spellStart"/>
      <w:r w:rsidR="00984601" w:rsidRPr="00E573DC">
        <w:rPr>
          <w:rFonts w:ascii="Arial" w:hAnsi="Arial"/>
          <w:sz w:val="22"/>
          <w:szCs w:val="22"/>
        </w:rPr>
        <w:t>vedolizumab</w:t>
      </w:r>
      <w:proofErr w:type="spellEnd"/>
      <w:r w:rsidR="00984601" w:rsidRPr="00E573DC">
        <w:rPr>
          <w:rFonts w:ascii="Arial" w:hAnsi="Arial"/>
          <w:sz w:val="22"/>
          <w:szCs w:val="22"/>
        </w:rPr>
        <w:t xml:space="preserve"> as non-inferior in terms of comparative effectiveness and non-inferior in terms of comparative safety over </w:t>
      </w:r>
      <w:proofErr w:type="spellStart"/>
      <w:r w:rsidR="00984601" w:rsidRPr="00E573DC">
        <w:rPr>
          <w:rFonts w:ascii="Arial" w:hAnsi="Arial"/>
          <w:sz w:val="22"/>
          <w:szCs w:val="22"/>
        </w:rPr>
        <w:t>adalimumab</w:t>
      </w:r>
      <w:proofErr w:type="spellEnd"/>
      <w:r w:rsidR="00984601" w:rsidRPr="00E573DC">
        <w:rPr>
          <w:rFonts w:ascii="Arial" w:hAnsi="Arial"/>
          <w:sz w:val="22"/>
          <w:szCs w:val="22"/>
        </w:rPr>
        <w:t xml:space="preserve"> as well as infliximab. </w:t>
      </w:r>
    </w:p>
    <w:p w:rsidR="002B783B" w:rsidRPr="009079DF" w:rsidRDefault="002B783B" w:rsidP="00984601">
      <w:pPr>
        <w:rPr>
          <w:rFonts w:ascii="Arial" w:hAnsi="Arial"/>
          <w:sz w:val="22"/>
          <w:szCs w:val="22"/>
        </w:rPr>
      </w:pPr>
    </w:p>
    <w:p w:rsidR="00BB7EC3" w:rsidRPr="009079DF" w:rsidRDefault="00F84EBB" w:rsidP="008061BE">
      <w:pPr>
        <w:pStyle w:val="ListParagraph"/>
        <w:ind w:left="709"/>
        <w:jc w:val="both"/>
      </w:pPr>
      <w:r>
        <w:rPr>
          <w:rFonts w:ascii="Arial" w:hAnsi="Arial"/>
          <w:i/>
          <w:sz w:val="22"/>
          <w:szCs w:val="22"/>
        </w:rPr>
        <w:t>For more detail on PBAC’s view, see section 7 “PBAC outcome”</w:t>
      </w:r>
    </w:p>
    <w:p w:rsidR="00F57A6D" w:rsidRPr="00882085" w:rsidRDefault="00F57A6D" w:rsidP="009079DF">
      <w:pPr>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DA0D9C" w:rsidRPr="00E573DC" w:rsidRDefault="00A108F9" w:rsidP="004E7A4D">
      <w:pPr>
        <w:pStyle w:val="ListParagraph"/>
        <w:numPr>
          <w:ilvl w:val="1"/>
          <w:numId w:val="1"/>
        </w:numPr>
        <w:jc w:val="both"/>
        <w:rPr>
          <w:rFonts w:ascii="Arial" w:hAnsi="Arial"/>
          <w:sz w:val="22"/>
          <w:szCs w:val="22"/>
        </w:rPr>
      </w:pPr>
      <w:r>
        <w:rPr>
          <w:rFonts w:ascii="Arial" w:hAnsi="Arial"/>
          <w:sz w:val="22"/>
          <w:szCs w:val="22"/>
        </w:rPr>
        <w:t>The submission presented</w:t>
      </w:r>
      <w:r w:rsidR="00DA0D9C" w:rsidRPr="00E573DC">
        <w:rPr>
          <w:rFonts w:ascii="Arial" w:hAnsi="Arial"/>
          <w:sz w:val="22"/>
          <w:szCs w:val="22"/>
        </w:rPr>
        <w:t xml:space="preserve"> two economic analyses versus placebo treatment, based on the two proposed restrictions</w:t>
      </w:r>
      <w:r>
        <w:rPr>
          <w:rFonts w:ascii="Arial" w:hAnsi="Arial"/>
          <w:sz w:val="22"/>
          <w:szCs w:val="22"/>
        </w:rPr>
        <w:t>. In the commentary, the focus wa</w:t>
      </w:r>
      <w:r w:rsidR="00DA0D9C" w:rsidRPr="00E573DC">
        <w:rPr>
          <w:rFonts w:ascii="Arial" w:hAnsi="Arial"/>
          <w:sz w:val="22"/>
          <w:szCs w:val="22"/>
        </w:rPr>
        <w:t>s on option 2, as this option uses the partial Mayo score for continuation, which is most likely to reflect clinical practice as it does not requ</w:t>
      </w:r>
      <w:r>
        <w:rPr>
          <w:rFonts w:ascii="Arial" w:hAnsi="Arial"/>
          <w:sz w:val="22"/>
          <w:szCs w:val="22"/>
        </w:rPr>
        <w:t>ire endoscopy. The submission did</w:t>
      </w:r>
      <w:r w:rsidR="00DA0D9C" w:rsidRPr="00E573DC">
        <w:rPr>
          <w:rFonts w:ascii="Arial" w:hAnsi="Arial"/>
          <w:sz w:val="22"/>
          <w:szCs w:val="22"/>
        </w:rPr>
        <w:t xml:space="preserve"> not present economic analyses comparing </w:t>
      </w:r>
      <w:proofErr w:type="spellStart"/>
      <w:r w:rsidR="00DA0D9C" w:rsidRPr="00E573DC">
        <w:rPr>
          <w:rFonts w:ascii="Arial" w:hAnsi="Arial"/>
          <w:sz w:val="22"/>
          <w:szCs w:val="22"/>
        </w:rPr>
        <w:t>vedolizumab</w:t>
      </w:r>
      <w:proofErr w:type="spellEnd"/>
      <w:r w:rsidR="00DA0D9C" w:rsidRPr="00E573DC">
        <w:rPr>
          <w:rFonts w:ascii="Arial" w:hAnsi="Arial"/>
          <w:sz w:val="22"/>
          <w:szCs w:val="22"/>
        </w:rPr>
        <w:t xml:space="preserve"> with </w:t>
      </w:r>
      <w:proofErr w:type="spellStart"/>
      <w:r w:rsidR="00DA0D9C" w:rsidRPr="00E573DC">
        <w:rPr>
          <w:rFonts w:ascii="Arial" w:hAnsi="Arial"/>
          <w:sz w:val="22"/>
          <w:szCs w:val="22"/>
        </w:rPr>
        <w:t>adalimumab</w:t>
      </w:r>
      <w:proofErr w:type="spellEnd"/>
      <w:r w:rsidR="00DA0D9C" w:rsidRPr="00E573DC">
        <w:rPr>
          <w:rFonts w:ascii="Arial" w:hAnsi="Arial"/>
          <w:sz w:val="22"/>
          <w:szCs w:val="22"/>
        </w:rPr>
        <w:t xml:space="preserve"> and infliximab. </w:t>
      </w:r>
      <w:proofErr w:type="spellStart"/>
      <w:r>
        <w:rPr>
          <w:rFonts w:ascii="Arial" w:hAnsi="Arial"/>
          <w:sz w:val="22"/>
          <w:szCs w:val="22"/>
        </w:rPr>
        <w:t>E</w:t>
      </w:r>
      <w:r w:rsidR="00DA0D9C" w:rsidRPr="00E573DC">
        <w:rPr>
          <w:rFonts w:ascii="Arial" w:hAnsi="Arial"/>
          <w:sz w:val="22"/>
          <w:szCs w:val="22"/>
        </w:rPr>
        <w:t>qui</w:t>
      </w:r>
      <w:proofErr w:type="spellEnd"/>
      <w:r w:rsidR="00DA0D9C" w:rsidRPr="00E573DC">
        <w:rPr>
          <w:rFonts w:ascii="Arial" w:hAnsi="Arial"/>
          <w:sz w:val="22"/>
          <w:szCs w:val="22"/>
        </w:rPr>
        <w:t xml:space="preserve">-effective doses were estimated </w:t>
      </w:r>
      <w:r>
        <w:rPr>
          <w:rFonts w:ascii="Arial" w:hAnsi="Arial"/>
          <w:sz w:val="22"/>
          <w:szCs w:val="22"/>
        </w:rPr>
        <w:t>by the</w:t>
      </w:r>
      <w:r w:rsidR="00DA0D9C" w:rsidRPr="00E573DC">
        <w:rPr>
          <w:rFonts w:ascii="Arial" w:hAnsi="Arial"/>
          <w:sz w:val="22"/>
          <w:szCs w:val="22"/>
        </w:rPr>
        <w:t xml:space="preserve"> evaluation.</w:t>
      </w:r>
    </w:p>
    <w:p w:rsidR="003835A7" w:rsidRPr="00E573DC" w:rsidRDefault="003835A7" w:rsidP="0014396F">
      <w:pPr>
        <w:pStyle w:val="ListParagraph"/>
        <w:ind w:left="709"/>
        <w:jc w:val="both"/>
        <w:rPr>
          <w:rFonts w:ascii="Arial Narrow" w:hAnsi="Arial Narrow" w:cs="Arial"/>
          <w:b/>
          <w:snapToGrid w:val="0"/>
          <w:sz w:val="20"/>
          <w:szCs w:val="16"/>
          <w:lang w:eastAsia="en-US"/>
        </w:rPr>
      </w:pPr>
    </w:p>
    <w:p w:rsidR="0014396F" w:rsidRPr="00E573DC" w:rsidRDefault="0014396F" w:rsidP="0014396F">
      <w:pPr>
        <w:pStyle w:val="ListParagraph"/>
        <w:ind w:left="709"/>
        <w:jc w:val="both"/>
        <w:rPr>
          <w:rFonts w:ascii="Arial" w:hAnsi="Arial"/>
          <w:sz w:val="22"/>
          <w:szCs w:val="22"/>
        </w:rPr>
      </w:pPr>
      <w:r w:rsidRPr="00E573DC">
        <w:rPr>
          <w:rFonts w:ascii="Arial Narrow" w:hAnsi="Arial Narrow" w:cs="Arial"/>
          <w:b/>
          <w:snapToGrid w:val="0"/>
          <w:sz w:val="20"/>
          <w:szCs w:val="16"/>
          <w:lang w:eastAsia="en-US"/>
        </w:rPr>
        <w:t xml:space="preserve">Summary of model structure and rationale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
      </w:tblPr>
      <w:tblGrid>
        <w:gridCol w:w="1847"/>
        <w:gridCol w:w="6520"/>
      </w:tblGrid>
      <w:tr w:rsidR="0014396F" w:rsidRPr="00E573DC" w:rsidTr="0014396F">
        <w:trPr>
          <w:cantSplit/>
          <w:tblHeader/>
        </w:trPr>
        <w:tc>
          <w:tcPr>
            <w:tcW w:w="1104" w:type="pct"/>
            <w:shd w:val="clear" w:color="auto" w:fill="auto"/>
            <w:vAlign w:val="center"/>
          </w:tcPr>
          <w:p w:rsidR="0014396F" w:rsidRPr="00E573DC" w:rsidRDefault="0014396F" w:rsidP="0014396F">
            <w:pPr>
              <w:widowControl w:val="0"/>
              <w:rPr>
                <w:rFonts w:ascii="Arial Narrow" w:hAnsi="Arial Narrow" w:cs="Arial"/>
                <w:b/>
                <w:snapToGrid w:val="0"/>
                <w:sz w:val="20"/>
                <w:szCs w:val="20"/>
                <w:lang w:eastAsia="en-US"/>
              </w:rPr>
            </w:pPr>
            <w:r w:rsidRPr="00E573DC">
              <w:rPr>
                <w:rFonts w:ascii="Arial Narrow" w:hAnsi="Arial Narrow" w:cs="Arial"/>
                <w:b/>
                <w:snapToGrid w:val="0"/>
                <w:sz w:val="20"/>
                <w:szCs w:val="20"/>
                <w:lang w:eastAsia="en-US"/>
              </w:rPr>
              <w:t>Component</w:t>
            </w:r>
          </w:p>
        </w:tc>
        <w:tc>
          <w:tcPr>
            <w:tcW w:w="3896" w:type="pct"/>
            <w:shd w:val="clear" w:color="auto" w:fill="auto"/>
            <w:vAlign w:val="center"/>
          </w:tcPr>
          <w:p w:rsidR="0014396F" w:rsidRPr="00E573DC" w:rsidRDefault="0014396F" w:rsidP="0014396F">
            <w:pPr>
              <w:widowControl w:val="0"/>
              <w:jc w:val="center"/>
              <w:rPr>
                <w:rFonts w:ascii="Arial Narrow" w:hAnsi="Arial Narrow" w:cs="Arial"/>
                <w:b/>
                <w:snapToGrid w:val="0"/>
                <w:sz w:val="20"/>
                <w:szCs w:val="20"/>
                <w:lang w:eastAsia="en-US"/>
              </w:rPr>
            </w:pPr>
            <w:r w:rsidRPr="00E573DC">
              <w:rPr>
                <w:rFonts w:ascii="Arial Narrow" w:hAnsi="Arial Narrow" w:cs="Arial"/>
                <w:b/>
                <w:snapToGrid w:val="0"/>
                <w:sz w:val="20"/>
                <w:szCs w:val="20"/>
                <w:lang w:eastAsia="en-US"/>
              </w:rPr>
              <w:t>Summary</w:t>
            </w:r>
          </w:p>
        </w:tc>
      </w:tr>
      <w:tr w:rsidR="0014396F" w:rsidRPr="00E573DC" w:rsidTr="0014396F">
        <w:trPr>
          <w:cantSplit/>
        </w:trPr>
        <w:tc>
          <w:tcPr>
            <w:tcW w:w="1104"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Time horizon</w:t>
            </w:r>
          </w:p>
        </w:tc>
        <w:tc>
          <w:tcPr>
            <w:tcW w:w="3896"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30 years in the model base case versus 6 and 52 weeks in trial</w:t>
            </w:r>
          </w:p>
        </w:tc>
      </w:tr>
      <w:tr w:rsidR="0014396F" w:rsidRPr="00E573DC" w:rsidTr="0014396F">
        <w:trPr>
          <w:cantSplit/>
        </w:trPr>
        <w:tc>
          <w:tcPr>
            <w:tcW w:w="1104"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Outcomes</w:t>
            </w:r>
          </w:p>
        </w:tc>
        <w:tc>
          <w:tcPr>
            <w:tcW w:w="3896"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Quality adjusted life years (QALYs)</w:t>
            </w:r>
          </w:p>
        </w:tc>
      </w:tr>
      <w:tr w:rsidR="0014396F" w:rsidRPr="00E573DC" w:rsidTr="0014396F">
        <w:trPr>
          <w:cantSplit/>
        </w:trPr>
        <w:tc>
          <w:tcPr>
            <w:tcW w:w="1104"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Methods used to generate results</w:t>
            </w:r>
          </w:p>
        </w:tc>
        <w:tc>
          <w:tcPr>
            <w:tcW w:w="3896"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Cohort expected value analysis</w:t>
            </w:r>
          </w:p>
        </w:tc>
      </w:tr>
      <w:tr w:rsidR="0014396F" w:rsidRPr="00E573DC" w:rsidTr="0014396F">
        <w:trPr>
          <w:cantSplit/>
        </w:trPr>
        <w:tc>
          <w:tcPr>
            <w:tcW w:w="1104"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lastRenderedPageBreak/>
              <w:t>Health states</w:t>
            </w:r>
          </w:p>
        </w:tc>
        <w:tc>
          <w:tcPr>
            <w:tcW w:w="3896"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10 health states, remission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or placebo), mild-moderate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or placebo), moderate-severe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or placebo), surgery, post-surgery remission, post-surgery complication and death</w:t>
            </w:r>
          </w:p>
        </w:tc>
      </w:tr>
      <w:tr w:rsidR="0014396F" w:rsidRPr="00E573DC" w:rsidTr="0014396F">
        <w:trPr>
          <w:cantSplit/>
        </w:trPr>
        <w:tc>
          <w:tcPr>
            <w:tcW w:w="1104"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Cycle length</w:t>
            </w:r>
          </w:p>
        </w:tc>
        <w:tc>
          <w:tcPr>
            <w:tcW w:w="3896"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proofErr w:type="gramStart"/>
            <w:r w:rsidRPr="00E573DC">
              <w:rPr>
                <w:rFonts w:ascii="Arial Narrow" w:hAnsi="Arial Narrow" w:cs="Arial"/>
                <w:snapToGrid w:val="0"/>
                <w:sz w:val="20"/>
                <w:szCs w:val="20"/>
                <w:lang w:eastAsia="en-US"/>
              </w:rPr>
              <w:t>first</w:t>
            </w:r>
            <w:proofErr w:type="gramEnd"/>
            <w:r w:rsidRPr="00E573DC">
              <w:rPr>
                <w:rFonts w:ascii="Arial Narrow" w:hAnsi="Arial Narrow" w:cs="Arial"/>
                <w:snapToGrid w:val="0"/>
                <w:sz w:val="20"/>
                <w:szCs w:val="20"/>
                <w:lang w:eastAsia="en-US"/>
              </w:rPr>
              <w:t xml:space="preserve"> cycle is 10 weeks, thereafter 8 weeks.</w:t>
            </w:r>
          </w:p>
        </w:tc>
      </w:tr>
      <w:tr w:rsidR="0014396F" w:rsidRPr="00E573DC" w:rsidTr="0014396F">
        <w:trPr>
          <w:cantSplit/>
        </w:trPr>
        <w:tc>
          <w:tcPr>
            <w:tcW w:w="1104" w:type="pct"/>
            <w:shd w:val="clear" w:color="auto" w:fill="auto"/>
            <w:vAlign w:val="center"/>
          </w:tcPr>
          <w:p w:rsidR="0014396F" w:rsidRPr="00E573DC" w:rsidRDefault="0014396F" w:rsidP="0014396F">
            <w:pPr>
              <w:widowControl w:val="0"/>
              <w:rPr>
                <w:rFonts w:ascii="Arial Narrow" w:hAnsi="Arial Narrow" w:cs="Arial"/>
                <w:i/>
                <w:snapToGrid w:val="0"/>
                <w:sz w:val="20"/>
                <w:szCs w:val="20"/>
                <w:lang w:eastAsia="en-US"/>
              </w:rPr>
            </w:pPr>
            <w:r w:rsidRPr="00E573DC">
              <w:rPr>
                <w:rFonts w:ascii="Arial Narrow" w:hAnsi="Arial Narrow" w:cs="Arial"/>
                <w:i/>
                <w:snapToGrid w:val="0"/>
                <w:sz w:val="20"/>
                <w:szCs w:val="20"/>
                <w:lang w:eastAsia="en-US"/>
              </w:rPr>
              <w:t>Transition probabilities</w:t>
            </w:r>
          </w:p>
        </w:tc>
        <w:tc>
          <w:tcPr>
            <w:tcW w:w="3896" w:type="pct"/>
            <w:shd w:val="clear" w:color="auto" w:fill="auto"/>
            <w:vAlign w:val="center"/>
          </w:tcPr>
          <w:p w:rsidR="0014396F" w:rsidRPr="00E573DC" w:rsidRDefault="0014396F" w:rsidP="0014396F">
            <w:pPr>
              <w:widowControl w:val="0"/>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Based on GEMINI I. The clinical trial data (beyond first cycle) is different from the patients in the economic model specifically:</w:t>
            </w:r>
          </w:p>
          <w:p w:rsidR="0014396F" w:rsidRPr="00E573DC" w:rsidRDefault="0014396F" w:rsidP="00984601">
            <w:pPr>
              <w:widowControl w:val="0"/>
              <w:numPr>
                <w:ilvl w:val="0"/>
                <w:numId w:val="12"/>
              </w:numPr>
              <w:ind w:left="408" w:hanging="283"/>
              <w:contextualSpacing/>
              <w:jc w:val="both"/>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For placebo patients, probabilities are derived from patients treated and responded to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induction treatment (over- or under-estimate placebo efficacy)</w:t>
            </w:r>
          </w:p>
          <w:p w:rsidR="0014396F" w:rsidRPr="00E573DC" w:rsidRDefault="0014396F" w:rsidP="00984601">
            <w:pPr>
              <w:widowControl w:val="0"/>
              <w:numPr>
                <w:ilvl w:val="0"/>
                <w:numId w:val="12"/>
              </w:numPr>
              <w:ind w:left="408" w:hanging="283"/>
              <w:contextualSpacing/>
              <w:jc w:val="both"/>
              <w:rPr>
                <w:rFonts w:ascii="Arial Narrow" w:hAnsi="Arial Narrow" w:cs="Arial"/>
                <w:snapToGrid w:val="0"/>
                <w:sz w:val="20"/>
                <w:szCs w:val="20"/>
                <w:lang w:eastAsia="en-US"/>
              </w:rPr>
            </w:pPr>
            <w:r w:rsidRPr="00E573DC">
              <w:rPr>
                <w:rFonts w:ascii="Arial Narrow" w:hAnsi="Arial Narrow" w:cs="Arial"/>
                <w:snapToGrid w:val="0"/>
                <w:sz w:val="20"/>
                <w:szCs w:val="20"/>
                <w:lang w:eastAsia="en-US"/>
              </w:rPr>
              <w:t xml:space="preserve">For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non-responders, no clinical trial data is provided. In the economic model, placebo response is applied to this arm from the induction (‘true placebo’, one cycle) and maintenance phase (patients who responded to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induction and were randomised to placebo). This is inappropriate and will overestimate the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efficacy. Patients who do not respond to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treatment are unlikely to achieve a response or remission, eight weeks after discontinuation of </w:t>
            </w:r>
            <w:proofErr w:type="spellStart"/>
            <w:r w:rsidRPr="00E573DC">
              <w:rPr>
                <w:rFonts w:ascii="Arial Narrow" w:hAnsi="Arial Narrow" w:cs="Arial"/>
                <w:snapToGrid w:val="0"/>
                <w:sz w:val="20"/>
                <w:szCs w:val="20"/>
                <w:lang w:eastAsia="en-US"/>
              </w:rPr>
              <w:t>vedolizumab</w:t>
            </w:r>
            <w:proofErr w:type="spellEnd"/>
            <w:r w:rsidRPr="00E573DC">
              <w:rPr>
                <w:rFonts w:ascii="Arial Narrow" w:hAnsi="Arial Narrow" w:cs="Arial"/>
                <w:snapToGrid w:val="0"/>
                <w:sz w:val="20"/>
                <w:szCs w:val="20"/>
                <w:lang w:eastAsia="en-US"/>
              </w:rPr>
              <w:t xml:space="preserve"> treatment.  </w:t>
            </w:r>
          </w:p>
        </w:tc>
      </w:tr>
    </w:tbl>
    <w:p w:rsidR="0014396F" w:rsidRPr="00E573DC" w:rsidRDefault="0014396F" w:rsidP="0014396F">
      <w:pPr>
        <w:pStyle w:val="TableFooter"/>
        <w:ind w:firstLine="709"/>
        <w:rPr>
          <w:sz w:val="20"/>
        </w:rPr>
      </w:pPr>
      <w:r w:rsidRPr="00E573DC">
        <w:t>Source: compiled during the evaluation</w:t>
      </w:r>
    </w:p>
    <w:p w:rsidR="003835A7" w:rsidRPr="00950893" w:rsidRDefault="003835A7" w:rsidP="003835A7">
      <w:pPr>
        <w:jc w:val="both"/>
        <w:rPr>
          <w:rFonts w:ascii="Arial" w:hAnsi="Arial"/>
          <w:sz w:val="22"/>
          <w:szCs w:val="22"/>
          <w:highlight w:val="lightGray"/>
        </w:rPr>
      </w:pPr>
    </w:p>
    <w:p w:rsidR="003835A7" w:rsidRPr="00E573DC" w:rsidRDefault="003835A7" w:rsidP="004E7A4D">
      <w:pPr>
        <w:pStyle w:val="ListParagraph"/>
        <w:numPr>
          <w:ilvl w:val="1"/>
          <w:numId w:val="1"/>
        </w:numPr>
        <w:jc w:val="both"/>
        <w:rPr>
          <w:rFonts w:ascii="Arial" w:hAnsi="Arial"/>
          <w:sz w:val="22"/>
          <w:szCs w:val="22"/>
        </w:rPr>
      </w:pPr>
      <w:r w:rsidRPr="00E573DC">
        <w:rPr>
          <w:rFonts w:ascii="Arial" w:hAnsi="Arial"/>
          <w:sz w:val="22"/>
          <w:szCs w:val="22"/>
        </w:rPr>
        <w:t>The ESC noted the key disease progress</w:t>
      </w:r>
      <w:r w:rsidR="00A108F9">
        <w:rPr>
          <w:rFonts w:ascii="Arial" w:hAnsi="Arial"/>
          <w:sz w:val="22"/>
          <w:szCs w:val="22"/>
        </w:rPr>
        <w:t>ion health states in the model we</w:t>
      </w:r>
      <w:r w:rsidRPr="00E573DC">
        <w:rPr>
          <w:rFonts w:ascii="Arial" w:hAnsi="Arial"/>
          <w:sz w:val="22"/>
          <w:szCs w:val="22"/>
        </w:rPr>
        <w:t xml:space="preserve">re the remission, mild-moderate, and moderate-severe states. The ESC considered the model </w:t>
      </w:r>
      <w:r w:rsidR="00A108F9">
        <w:rPr>
          <w:rFonts w:ascii="Arial" w:hAnsi="Arial"/>
          <w:sz w:val="22"/>
          <w:szCs w:val="22"/>
        </w:rPr>
        <w:t xml:space="preserve">to have </w:t>
      </w:r>
      <w:r w:rsidRPr="00E573DC">
        <w:rPr>
          <w:rFonts w:ascii="Arial" w:hAnsi="Arial"/>
          <w:sz w:val="22"/>
          <w:szCs w:val="22"/>
        </w:rPr>
        <w:t>likely overestimate</w:t>
      </w:r>
      <w:r w:rsidR="00A108F9">
        <w:rPr>
          <w:rFonts w:ascii="Arial" w:hAnsi="Arial"/>
          <w:sz w:val="22"/>
          <w:szCs w:val="22"/>
        </w:rPr>
        <w:t>d</w:t>
      </w:r>
      <w:r w:rsidRPr="00E573DC">
        <w:rPr>
          <w:rFonts w:ascii="Arial" w:hAnsi="Arial"/>
          <w:sz w:val="22"/>
          <w:szCs w:val="22"/>
        </w:rPr>
        <w:t xml:space="preserve"> the proportion of </w:t>
      </w:r>
      <w:proofErr w:type="spellStart"/>
      <w:r w:rsidRPr="00E573DC">
        <w:rPr>
          <w:rFonts w:ascii="Arial" w:hAnsi="Arial"/>
          <w:sz w:val="22"/>
          <w:szCs w:val="22"/>
        </w:rPr>
        <w:t>vedolizumab</w:t>
      </w:r>
      <w:proofErr w:type="spellEnd"/>
      <w:r w:rsidRPr="00E573DC">
        <w:rPr>
          <w:rFonts w:ascii="Arial" w:hAnsi="Arial"/>
          <w:sz w:val="22"/>
          <w:szCs w:val="22"/>
        </w:rPr>
        <w:t xml:space="preserve"> patients in remission at </w:t>
      </w:r>
      <w:r w:rsidR="00A108F9">
        <w:rPr>
          <w:rFonts w:ascii="Arial" w:hAnsi="Arial"/>
          <w:sz w:val="22"/>
          <w:szCs w:val="22"/>
        </w:rPr>
        <w:t>52 weeks as it applied</w:t>
      </w:r>
      <w:r w:rsidRPr="00E573DC">
        <w:rPr>
          <w:rFonts w:ascii="Arial" w:hAnsi="Arial"/>
          <w:sz w:val="22"/>
          <w:szCs w:val="22"/>
        </w:rPr>
        <w:t xml:space="preserve"> the placebo response rates in the induction and maintenance phases to patients observed not to respond to </w:t>
      </w:r>
      <w:proofErr w:type="spellStart"/>
      <w:r w:rsidRPr="00E573DC">
        <w:rPr>
          <w:rFonts w:ascii="Arial" w:hAnsi="Arial"/>
          <w:sz w:val="22"/>
          <w:szCs w:val="22"/>
        </w:rPr>
        <w:t>vedolizumab</w:t>
      </w:r>
      <w:proofErr w:type="spellEnd"/>
      <w:r w:rsidRPr="00E573DC">
        <w:rPr>
          <w:rFonts w:ascii="Arial" w:hAnsi="Arial"/>
          <w:sz w:val="22"/>
          <w:szCs w:val="22"/>
        </w:rPr>
        <w:t xml:space="preserve"> in the induction phase. Data submitted in the PSCR </w:t>
      </w:r>
      <w:r w:rsidR="00A108F9">
        <w:rPr>
          <w:rFonts w:ascii="Arial" w:hAnsi="Arial"/>
          <w:sz w:val="22"/>
          <w:szCs w:val="22"/>
        </w:rPr>
        <w:t>indicated</w:t>
      </w:r>
      <w:r w:rsidRPr="00E573DC">
        <w:rPr>
          <w:rFonts w:ascii="Arial" w:hAnsi="Arial"/>
          <w:sz w:val="22"/>
          <w:szCs w:val="22"/>
        </w:rPr>
        <w:t xml:space="preserve"> that the 52 week response and remission rates in this group were overestimated.</w:t>
      </w:r>
    </w:p>
    <w:p w:rsidR="003835A7" w:rsidRPr="00E573DC" w:rsidRDefault="003835A7" w:rsidP="003835A7">
      <w:pPr>
        <w:pStyle w:val="ListParagraph"/>
        <w:ind w:left="709"/>
        <w:jc w:val="both"/>
        <w:rPr>
          <w:rFonts w:ascii="Arial" w:hAnsi="Arial"/>
          <w:sz w:val="22"/>
          <w:szCs w:val="22"/>
        </w:rPr>
      </w:pPr>
    </w:p>
    <w:p w:rsidR="003835A7" w:rsidRPr="00E573DC" w:rsidRDefault="003835A7" w:rsidP="004E7A4D">
      <w:pPr>
        <w:pStyle w:val="ListParagraph"/>
        <w:numPr>
          <w:ilvl w:val="1"/>
          <w:numId w:val="1"/>
        </w:numPr>
        <w:jc w:val="both"/>
        <w:rPr>
          <w:rFonts w:ascii="Arial" w:hAnsi="Arial"/>
          <w:sz w:val="22"/>
          <w:szCs w:val="22"/>
        </w:rPr>
      </w:pPr>
      <w:r w:rsidRPr="00E573DC">
        <w:rPr>
          <w:rFonts w:ascii="Arial" w:hAnsi="Arial"/>
          <w:sz w:val="22"/>
          <w:szCs w:val="22"/>
        </w:rPr>
        <w:t>The ESC also considered that the overestimation of remission rat</w:t>
      </w:r>
      <w:r w:rsidR="00A108F9">
        <w:rPr>
          <w:rFonts w:ascii="Arial" w:hAnsi="Arial"/>
          <w:sz w:val="22"/>
          <w:szCs w:val="22"/>
        </w:rPr>
        <w:t>es for the intervention groups wa</w:t>
      </w:r>
      <w:r w:rsidRPr="00E573DC">
        <w:rPr>
          <w:rFonts w:ascii="Arial" w:hAnsi="Arial"/>
          <w:sz w:val="22"/>
          <w:szCs w:val="22"/>
        </w:rPr>
        <w:t>s likely conflated by the assumptions and data used to model the long-term effects of achieving remission during the maintenance phase. Firstly, patients i</w:t>
      </w:r>
      <w:r w:rsidR="00A108F9">
        <w:rPr>
          <w:rFonts w:ascii="Arial" w:hAnsi="Arial"/>
          <w:sz w:val="22"/>
          <w:szCs w:val="22"/>
        </w:rPr>
        <w:t xml:space="preserve">n remission and on </w:t>
      </w:r>
      <w:proofErr w:type="spellStart"/>
      <w:r w:rsidR="00A108F9">
        <w:rPr>
          <w:rFonts w:ascii="Arial" w:hAnsi="Arial"/>
          <w:sz w:val="22"/>
          <w:szCs w:val="22"/>
        </w:rPr>
        <w:t>vedolizumab</w:t>
      </w:r>
      <w:proofErr w:type="spellEnd"/>
      <w:r w:rsidR="00A108F9">
        <w:rPr>
          <w:rFonts w:ascii="Arial" w:hAnsi="Arial"/>
          <w:sz w:val="22"/>
          <w:szCs w:val="22"/>
        </w:rPr>
        <w:t xml:space="preserve"> we</w:t>
      </w:r>
      <w:r w:rsidRPr="00E573DC">
        <w:rPr>
          <w:rFonts w:ascii="Arial" w:hAnsi="Arial"/>
          <w:sz w:val="22"/>
          <w:szCs w:val="22"/>
        </w:rPr>
        <w:t xml:space="preserve">re assumed to discontinue treatment with </w:t>
      </w:r>
      <w:proofErr w:type="spellStart"/>
      <w:r w:rsidRPr="00E573DC">
        <w:rPr>
          <w:rFonts w:ascii="Arial" w:hAnsi="Arial"/>
          <w:sz w:val="22"/>
          <w:szCs w:val="22"/>
        </w:rPr>
        <w:t>vedolizumab</w:t>
      </w:r>
      <w:proofErr w:type="spellEnd"/>
      <w:r w:rsidRPr="00E573DC">
        <w:rPr>
          <w:rFonts w:ascii="Arial" w:hAnsi="Arial"/>
          <w:sz w:val="22"/>
          <w:szCs w:val="22"/>
        </w:rPr>
        <w:t xml:space="preserve"> after 2.5 years. At this time point, over 30% of </w:t>
      </w:r>
      <w:proofErr w:type="spellStart"/>
      <w:r w:rsidRPr="00E573DC">
        <w:rPr>
          <w:rFonts w:ascii="Arial" w:hAnsi="Arial"/>
          <w:sz w:val="22"/>
          <w:szCs w:val="22"/>
        </w:rPr>
        <w:t>vedolizumab</w:t>
      </w:r>
      <w:proofErr w:type="spellEnd"/>
      <w:r w:rsidRPr="00E573DC">
        <w:rPr>
          <w:rFonts w:ascii="Arial" w:hAnsi="Arial"/>
          <w:sz w:val="22"/>
          <w:szCs w:val="22"/>
        </w:rPr>
        <w:t xml:space="preserve"> patients remain in remission and so would be likely to meet the defined criteria for treatment contin</w:t>
      </w:r>
      <w:r w:rsidR="00A108F9">
        <w:rPr>
          <w:rFonts w:ascii="Arial" w:hAnsi="Arial"/>
          <w:sz w:val="22"/>
          <w:szCs w:val="22"/>
        </w:rPr>
        <w:t>uation.  The PSCR (p.6) contended</w:t>
      </w:r>
      <w:r w:rsidRPr="00E573DC">
        <w:rPr>
          <w:rFonts w:ascii="Arial" w:hAnsi="Arial"/>
          <w:sz w:val="22"/>
          <w:szCs w:val="22"/>
        </w:rPr>
        <w:t xml:space="preserve"> that “…the incremental treatment benefit for </w:t>
      </w:r>
      <w:proofErr w:type="spellStart"/>
      <w:r w:rsidRPr="00E573DC">
        <w:rPr>
          <w:rFonts w:ascii="Arial" w:hAnsi="Arial"/>
          <w:sz w:val="22"/>
          <w:szCs w:val="22"/>
        </w:rPr>
        <w:t>vedolizumab</w:t>
      </w:r>
      <w:proofErr w:type="spellEnd"/>
      <w:r w:rsidRPr="00E573DC">
        <w:rPr>
          <w:rFonts w:ascii="Arial" w:hAnsi="Arial"/>
          <w:sz w:val="22"/>
          <w:szCs w:val="22"/>
        </w:rPr>
        <w:t xml:space="preserve"> is assumed to be maintained for only 2.5 years.  This comprises the </w:t>
      </w:r>
      <w:r w:rsidR="00E41111">
        <w:rPr>
          <w:rFonts w:ascii="Arial" w:hAnsi="Arial"/>
          <w:sz w:val="22"/>
          <w:szCs w:val="22"/>
        </w:rPr>
        <w:t>observed data from GEMINI I at w</w:t>
      </w:r>
      <w:r w:rsidRPr="00E573DC">
        <w:rPr>
          <w:rFonts w:ascii="Arial" w:hAnsi="Arial"/>
          <w:sz w:val="22"/>
          <w:szCs w:val="22"/>
        </w:rPr>
        <w:t xml:space="preserve">eek 52 (i.e. 1 year) and an extrapolation of 1.5 years.  After 2.5 years, all patients in the </w:t>
      </w:r>
      <w:proofErr w:type="spellStart"/>
      <w:r w:rsidRPr="00E573DC">
        <w:rPr>
          <w:rFonts w:ascii="Arial" w:hAnsi="Arial"/>
          <w:sz w:val="22"/>
          <w:szCs w:val="22"/>
        </w:rPr>
        <w:t>vedolizumab</w:t>
      </w:r>
      <w:proofErr w:type="spellEnd"/>
      <w:r w:rsidRPr="00E573DC">
        <w:rPr>
          <w:rFonts w:ascii="Arial" w:hAnsi="Arial"/>
          <w:sz w:val="22"/>
          <w:szCs w:val="22"/>
        </w:rPr>
        <w:t xml:space="preserve"> arm of the model are switched to placebo and hence the hazard ratio between </w:t>
      </w:r>
      <w:proofErr w:type="spellStart"/>
      <w:r w:rsidRPr="00E573DC">
        <w:rPr>
          <w:rFonts w:ascii="Arial" w:hAnsi="Arial"/>
          <w:sz w:val="22"/>
          <w:szCs w:val="22"/>
        </w:rPr>
        <w:t>vedolizumab</w:t>
      </w:r>
      <w:proofErr w:type="spellEnd"/>
      <w:r w:rsidRPr="00E573DC">
        <w:rPr>
          <w:rFonts w:ascii="Arial" w:hAnsi="Arial"/>
          <w:sz w:val="22"/>
          <w:szCs w:val="22"/>
        </w:rPr>
        <w:t xml:space="preserve"> and placebo is set to 1.” The ESC disagreed with this approach and considered that for </w:t>
      </w:r>
      <w:proofErr w:type="spellStart"/>
      <w:r w:rsidRPr="00E573DC">
        <w:rPr>
          <w:rFonts w:ascii="Arial" w:hAnsi="Arial"/>
          <w:sz w:val="22"/>
          <w:szCs w:val="22"/>
        </w:rPr>
        <w:t>vedolizumab</w:t>
      </w:r>
      <w:proofErr w:type="spellEnd"/>
      <w:r w:rsidRPr="00E573DC">
        <w:rPr>
          <w:rFonts w:ascii="Arial" w:hAnsi="Arial"/>
          <w:sz w:val="22"/>
          <w:szCs w:val="22"/>
        </w:rPr>
        <w:t xml:space="preserve"> patients in remission at 2.5 years, the economic analysis should capture the impacts of potentially diminishing </w:t>
      </w:r>
      <w:proofErr w:type="spellStart"/>
      <w:r w:rsidRPr="00E573DC">
        <w:rPr>
          <w:rFonts w:ascii="Arial" w:hAnsi="Arial"/>
          <w:sz w:val="22"/>
          <w:szCs w:val="22"/>
        </w:rPr>
        <w:t>vedolizumab</w:t>
      </w:r>
      <w:proofErr w:type="spellEnd"/>
      <w:r w:rsidRPr="00E573DC">
        <w:rPr>
          <w:rFonts w:ascii="Arial" w:hAnsi="Arial"/>
          <w:sz w:val="22"/>
          <w:szCs w:val="22"/>
        </w:rPr>
        <w:t xml:space="preserve"> comparative efficacy through the continuation rule against the backdrop of accumulating </w:t>
      </w:r>
      <w:proofErr w:type="spellStart"/>
      <w:r w:rsidRPr="00E573DC">
        <w:rPr>
          <w:rFonts w:ascii="Arial" w:hAnsi="Arial"/>
          <w:sz w:val="22"/>
          <w:szCs w:val="22"/>
        </w:rPr>
        <w:t>vedolizumab</w:t>
      </w:r>
      <w:proofErr w:type="spellEnd"/>
      <w:r w:rsidRPr="00E573DC">
        <w:rPr>
          <w:rFonts w:ascii="Arial" w:hAnsi="Arial"/>
          <w:sz w:val="22"/>
          <w:szCs w:val="22"/>
        </w:rPr>
        <w:t xml:space="preserve"> treatment costs. </w:t>
      </w:r>
    </w:p>
    <w:p w:rsidR="003835A7" w:rsidRPr="00E573DC" w:rsidRDefault="003835A7" w:rsidP="003835A7">
      <w:pPr>
        <w:pStyle w:val="ListParagraph"/>
        <w:ind w:left="709"/>
        <w:jc w:val="both"/>
        <w:rPr>
          <w:rFonts w:ascii="Arial" w:hAnsi="Arial"/>
          <w:sz w:val="22"/>
          <w:szCs w:val="22"/>
        </w:rPr>
      </w:pPr>
      <w:r w:rsidRPr="00E573DC">
        <w:rPr>
          <w:rFonts w:ascii="Arial" w:hAnsi="Arial"/>
          <w:sz w:val="22"/>
          <w:szCs w:val="22"/>
        </w:rPr>
        <w:t xml:space="preserve"> </w:t>
      </w:r>
    </w:p>
    <w:p w:rsidR="003835A7" w:rsidRPr="00E573DC" w:rsidRDefault="003835A7" w:rsidP="004E7A4D">
      <w:pPr>
        <w:pStyle w:val="ListParagraph"/>
        <w:numPr>
          <w:ilvl w:val="1"/>
          <w:numId w:val="1"/>
        </w:numPr>
        <w:jc w:val="both"/>
        <w:rPr>
          <w:rFonts w:ascii="Arial" w:hAnsi="Arial"/>
          <w:sz w:val="22"/>
          <w:szCs w:val="22"/>
        </w:rPr>
      </w:pPr>
      <w:r w:rsidRPr="00E573DC">
        <w:rPr>
          <w:rFonts w:ascii="Arial" w:hAnsi="Arial"/>
          <w:sz w:val="22"/>
          <w:szCs w:val="22"/>
        </w:rPr>
        <w:t>Secondly, once in remission, the ESC considered the submission’s assumption of the probability of staying in remis</w:t>
      </w:r>
      <w:r w:rsidR="007968E1">
        <w:rPr>
          <w:rFonts w:ascii="Arial" w:hAnsi="Arial"/>
          <w:sz w:val="22"/>
          <w:szCs w:val="22"/>
        </w:rPr>
        <w:t>sion, wa</w:t>
      </w:r>
      <w:r w:rsidRPr="00E573DC">
        <w:rPr>
          <w:rFonts w:ascii="Arial" w:hAnsi="Arial"/>
          <w:sz w:val="22"/>
          <w:szCs w:val="22"/>
        </w:rPr>
        <w:t xml:space="preserve">s high (99% on </w:t>
      </w:r>
      <w:proofErr w:type="spellStart"/>
      <w:r w:rsidRPr="00E573DC">
        <w:rPr>
          <w:rFonts w:ascii="Arial" w:hAnsi="Arial"/>
          <w:sz w:val="22"/>
          <w:szCs w:val="22"/>
        </w:rPr>
        <w:t>vedolizumab</w:t>
      </w:r>
      <w:proofErr w:type="spellEnd"/>
      <w:r w:rsidRPr="00E573DC">
        <w:rPr>
          <w:rFonts w:ascii="Arial" w:hAnsi="Arial"/>
          <w:sz w:val="22"/>
          <w:szCs w:val="22"/>
        </w:rPr>
        <w:t>, 94% on conventional therapy per 8 week cycle), over the duration of the m</w:t>
      </w:r>
      <w:r w:rsidR="007968E1">
        <w:rPr>
          <w:rFonts w:ascii="Arial" w:hAnsi="Arial"/>
          <w:sz w:val="22"/>
          <w:szCs w:val="22"/>
        </w:rPr>
        <w:t>odel’s time horizon. This raised</w:t>
      </w:r>
      <w:r w:rsidRPr="00E573DC">
        <w:rPr>
          <w:rFonts w:ascii="Arial" w:hAnsi="Arial"/>
          <w:sz w:val="22"/>
          <w:szCs w:val="22"/>
        </w:rPr>
        <w:t xml:space="preserve"> concerns with respect to either the validity of the transition probabilities, or the assumption of discontinuation of treatment at 2.5 years.</w:t>
      </w:r>
    </w:p>
    <w:p w:rsidR="003835A7" w:rsidRPr="00E573DC" w:rsidRDefault="003835A7" w:rsidP="003835A7">
      <w:pPr>
        <w:pStyle w:val="ListParagraph"/>
        <w:ind w:left="709"/>
        <w:jc w:val="both"/>
        <w:rPr>
          <w:rFonts w:ascii="Arial" w:hAnsi="Arial"/>
          <w:sz w:val="22"/>
          <w:szCs w:val="22"/>
        </w:rPr>
      </w:pPr>
    </w:p>
    <w:p w:rsidR="003835A7" w:rsidRPr="00E573DC" w:rsidRDefault="003835A7" w:rsidP="004E7A4D">
      <w:pPr>
        <w:pStyle w:val="ListParagraph"/>
        <w:numPr>
          <w:ilvl w:val="1"/>
          <w:numId w:val="1"/>
        </w:numPr>
        <w:jc w:val="both"/>
        <w:rPr>
          <w:rFonts w:ascii="Arial" w:hAnsi="Arial"/>
          <w:sz w:val="22"/>
          <w:szCs w:val="22"/>
        </w:rPr>
      </w:pPr>
      <w:r w:rsidRPr="00E573DC">
        <w:rPr>
          <w:rFonts w:ascii="Arial" w:hAnsi="Arial"/>
          <w:sz w:val="22"/>
          <w:szCs w:val="22"/>
        </w:rPr>
        <w:t>On leaving remission, patients quickly transition</w:t>
      </w:r>
      <w:r w:rsidR="007968E1">
        <w:rPr>
          <w:rFonts w:ascii="Arial" w:hAnsi="Arial"/>
          <w:sz w:val="22"/>
          <w:szCs w:val="22"/>
        </w:rPr>
        <w:t>ed</w:t>
      </w:r>
      <w:r w:rsidRPr="00E573DC">
        <w:rPr>
          <w:rFonts w:ascii="Arial" w:hAnsi="Arial"/>
          <w:sz w:val="22"/>
          <w:szCs w:val="22"/>
        </w:rPr>
        <w:t xml:space="preserve"> from the mild-moderate state to the moderate-severe state (41% per 8 week cycle for patients not o</w:t>
      </w:r>
      <w:r w:rsidR="007968E1">
        <w:rPr>
          <w:rFonts w:ascii="Arial" w:hAnsi="Arial"/>
          <w:sz w:val="22"/>
          <w:szCs w:val="22"/>
        </w:rPr>
        <w:t>n treatment). Thus, QALY gains we</w:t>
      </w:r>
      <w:r w:rsidRPr="00E573DC">
        <w:rPr>
          <w:rFonts w:ascii="Arial" w:hAnsi="Arial"/>
          <w:sz w:val="22"/>
          <w:szCs w:val="22"/>
        </w:rPr>
        <w:t xml:space="preserve">re strongly influenced by the difference in </w:t>
      </w:r>
      <w:proofErr w:type="spellStart"/>
      <w:r w:rsidRPr="00E573DC">
        <w:rPr>
          <w:rFonts w:ascii="Arial" w:hAnsi="Arial"/>
          <w:sz w:val="22"/>
          <w:szCs w:val="22"/>
        </w:rPr>
        <w:t>QoL</w:t>
      </w:r>
      <w:proofErr w:type="spellEnd"/>
      <w:r w:rsidRPr="00E573DC">
        <w:rPr>
          <w:rFonts w:ascii="Arial" w:hAnsi="Arial"/>
          <w:sz w:val="22"/>
          <w:szCs w:val="22"/>
        </w:rPr>
        <w:t xml:space="preserve"> between the remission and moderate-seve</w:t>
      </w:r>
      <w:r w:rsidR="007968E1">
        <w:rPr>
          <w:rFonts w:ascii="Arial" w:hAnsi="Arial"/>
          <w:sz w:val="22"/>
          <w:szCs w:val="22"/>
        </w:rPr>
        <w:t>re health states. The model used</w:t>
      </w:r>
      <w:r w:rsidRPr="00E573DC">
        <w:rPr>
          <w:rFonts w:ascii="Arial" w:hAnsi="Arial"/>
          <w:sz w:val="22"/>
          <w:szCs w:val="22"/>
        </w:rPr>
        <w:t xml:space="preserve"> the utility study showing the greatest difference between these states (0.18, vs. 0.13 and 0.14 in other studies).  Therefore, the utility values obtained from post-hoc analysis of the clinical trial data may </w:t>
      </w:r>
      <w:r w:rsidR="007968E1">
        <w:rPr>
          <w:rFonts w:ascii="Arial" w:hAnsi="Arial"/>
          <w:sz w:val="22"/>
          <w:szCs w:val="22"/>
        </w:rPr>
        <w:t xml:space="preserve">have </w:t>
      </w:r>
      <w:r w:rsidRPr="00E573DC">
        <w:rPr>
          <w:rFonts w:ascii="Arial" w:hAnsi="Arial"/>
          <w:sz w:val="22"/>
          <w:szCs w:val="22"/>
        </w:rPr>
        <w:t>overestimate</w:t>
      </w:r>
      <w:r w:rsidR="007968E1">
        <w:rPr>
          <w:rFonts w:ascii="Arial" w:hAnsi="Arial"/>
          <w:sz w:val="22"/>
          <w:szCs w:val="22"/>
        </w:rPr>
        <w:t>d</w:t>
      </w:r>
      <w:r w:rsidRPr="00E573DC">
        <w:rPr>
          <w:rFonts w:ascii="Arial" w:hAnsi="Arial"/>
          <w:sz w:val="22"/>
          <w:szCs w:val="22"/>
        </w:rPr>
        <w:t xml:space="preserve"> the utility assigned to the remission health state when compared to published Australian utility values.</w:t>
      </w:r>
    </w:p>
    <w:p w:rsidR="003835A7" w:rsidRPr="00E573DC" w:rsidRDefault="003835A7" w:rsidP="003835A7">
      <w:pPr>
        <w:pStyle w:val="ListParagraph"/>
        <w:ind w:left="709"/>
        <w:jc w:val="both"/>
        <w:rPr>
          <w:rFonts w:ascii="Arial" w:hAnsi="Arial"/>
          <w:i/>
          <w:sz w:val="22"/>
          <w:szCs w:val="22"/>
        </w:rPr>
      </w:pPr>
    </w:p>
    <w:p w:rsidR="003835A7" w:rsidRPr="00E573DC" w:rsidRDefault="003835A7" w:rsidP="004E7A4D">
      <w:pPr>
        <w:pStyle w:val="ListParagraph"/>
        <w:numPr>
          <w:ilvl w:val="1"/>
          <w:numId w:val="1"/>
        </w:numPr>
        <w:jc w:val="both"/>
        <w:rPr>
          <w:rFonts w:ascii="Arial" w:hAnsi="Arial"/>
          <w:sz w:val="22"/>
          <w:szCs w:val="22"/>
        </w:rPr>
      </w:pPr>
      <w:r w:rsidRPr="00E573DC">
        <w:rPr>
          <w:rFonts w:ascii="Arial" w:hAnsi="Arial"/>
          <w:sz w:val="22"/>
          <w:szCs w:val="22"/>
        </w:rPr>
        <w:t>The PSCR (p.6) contend</w:t>
      </w:r>
      <w:r w:rsidR="007968E1">
        <w:rPr>
          <w:rFonts w:ascii="Arial" w:hAnsi="Arial"/>
          <w:sz w:val="22"/>
          <w:szCs w:val="22"/>
        </w:rPr>
        <w:t>ed</w:t>
      </w:r>
      <w:r w:rsidRPr="00E573DC">
        <w:rPr>
          <w:rFonts w:ascii="Arial" w:hAnsi="Arial"/>
          <w:sz w:val="22"/>
          <w:szCs w:val="22"/>
        </w:rPr>
        <w:t xml:space="preserve"> that “…using utility values from a population not representative of the PBS population (i.e. Gibson et al, 2013) rather than utility values derived directly from the pivotal study (GEMINI I) is not appropriate. In addition, with nearly double the number of patients (373 patients in GEMINI I vs. 175 in Gibson et al 2013), the precision of estimates is more reliable; as is the fact that GEMINI I was a randomised, blinded study vs. Gibson being an observational study.” The ESC nonetheless considered the data from Gibson (2013) should not be disregarded as these data are derived from an Australian population and therefore are likely to provide reasonable applicability to the proposed PBS population. The ESC noted that sensitivity analyses on the ICER indicate that the </w:t>
      </w:r>
      <w:r w:rsidR="007968E1">
        <w:rPr>
          <w:rFonts w:ascii="Arial" w:hAnsi="Arial"/>
          <w:sz w:val="22"/>
          <w:szCs w:val="22"/>
        </w:rPr>
        <w:t xml:space="preserve">ICER for </w:t>
      </w:r>
      <w:proofErr w:type="spellStart"/>
      <w:r w:rsidR="007968E1">
        <w:rPr>
          <w:rFonts w:ascii="Arial" w:hAnsi="Arial"/>
          <w:sz w:val="22"/>
          <w:szCs w:val="22"/>
        </w:rPr>
        <w:t>vedolizumab</w:t>
      </w:r>
      <w:proofErr w:type="spellEnd"/>
      <w:r w:rsidR="007968E1">
        <w:rPr>
          <w:rFonts w:ascii="Arial" w:hAnsi="Arial"/>
          <w:sz w:val="22"/>
          <w:szCs w:val="22"/>
        </w:rPr>
        <w:t xml:space="preserve"> treatment wa</w:t>
      </w:r>
      <w:r w:rsidRPr="00E573DC">
        <w:rPr>
          <w:rFonts w:ascii="Arial" w:hAnsi="Arial"/>
          <w:sz w:val="22"/>
          <w:szCs w:val="22"/>
        </w:rPr>
        <w:t xml:space="preserve">s sensitive to the utility values sourced from Gibson (2013).   </w:t>
      </w:r>
    </w:p>
    <w:p w:rsidR="003835A7" w:rsidRPr="00E573DC" w:rsidRDefault="003835A7" w:rsidP="003835A7">
      <w:pPr>
        <w:pStyle w:val="ListParagraph"/>
        <w:ind w:left="709"/>
        <w:jc w:val="both"/>
        <w:rPr>
          <w:rFonts w:ascii="Arial" w:hAnsi="Arial"/>
          <w:sz w:val="22"/>
          <w:szCs w:val="22"/>
        </w:rPr>
      </w:pPr>
    </w:p>
    <w:p w:rsidR="003835A7" w:rsidRPr="00E573DC" w:rsidRDefault="007968E1" w:rsidP="004E7A4D">
      <w:pPr>
        <w:pStyle w:val="ListParagraph"/>
        <w:numPr>
          <w:ilvl w:val="1"/>
          <w:numId w:val="1"/>
        </w:numPr>
        <w:jc w:val="both"/>
        <w:rPr>
          <w:rFonts w:ascii="Arial" w:hAnsi="Arial"/>
          <w:sz w:val="22"/>
          <w:szCs w:val="22"/>
        </w:rPr>
      </w:pPr>
      <w:r>
        <w:rPr>
          <w:rFonts w:ascii="Arial" w:hAnsi="Arial"/>
          <w:sz w:val="22"/>
          <w:szCs w:val="22"/>
        </w:rPr>
        <w:t>There wa</w:t>
      </w:r>
      <w:r w:rsidR="003835A7" w:rsidRPr="00E573DC">
        <w:rPr>
          <w:rFonts w:ascii="Arial" w:hAnsi="Arial"/>
          <w:sz w:val="22"/>
          <w:szCs w:val="22"/>
        </w:rPr>
        <w:t xml:space="preserve">s also some uncertainty regarding the estimated health state costs. An Access Economics study in 2007 estimated a total annual cost per patient with </w:t>
      </w:r>
      <w:r w:rsidR="00E41111">
        <w:rPr>
          <w:rFonts w:ascii="Arial" w:hAnsi="Arial"/>
          <w:sz w:val="22"/>
          <w:szCs w:val="22"/>
        </w:rPr>
        <w:t>ulcerative colitis</w:t>
      </w:r>
      <w:r w:rsidR="003835A7" w:rsidRPr="00E573DC">
        <w:rPr>
          <w:rFonts w:ascii="Arial" w:hAnsi="Arial"/>
          <w:sz w:val="22"/>
          <w:szCs w:val="22"/>
        </w:rPr>
        <w:t xml:space="preserve"> of $1,033</w:t>
      </w:r>
      <w:r>
        <w:rPr>
          <w:rFonts w:ascii="Arial" w:hAnsi="Arial"/>
          <w:sz w:val="22"/>
          <w:szCs w:val="22"/>
        </w:rPr>
        <w:t>. The current analysis estimated</w:t>
      </w:r>
      <w:r w:rsidR="003835A7" w:rsidRPr="00E573DC">
        <w:rPr>
          <w:rFonts w:ascii="Arial" w:hAnsi="Arial"/>
          <w:sz w:val="22"/>
          <w:szCs w:val="22"/>
        </w:rPr>
        <w:t xml:space="preserve"> a cost of between $1,212 and $2,561 per 8 week cycle. The costing study appear</w:t>
      </w:r>
      <w:r>
        <w:rPr>
          <w:rFonts w:ascii="Arial" w:hAnsi="Arial"/>
          <w:sz w:val="22"/>
          <w:szCs w:val="22"/>
        </w:rPr>
        <w:t>ed to be reasonable, though it wa</w:t>
      </w:r>
      <w:r w:rsidR="003835A7" w:rsidRPr="00E573DC">
        <w:rPr>
          <w:rFonts w:ascii="Arial" w:hAnsi="Arial"/>
          <w:sz w:val="22"/>
          <w:szCs w:val="22"/>
        </w:rPr>
        <w:t>s possible that the recruitment of patients via outpatient clinics biased the cohort to the more severe end of the spectrum, especially for the moderate-severe group.</w:t>
      </w:r>
    </w:p>
    <w:p w:rsidR="003835A7" w:rsidRPr="00E573DC" w:rsidRDefault="003835A7" w:rsidP="003835A7">
      <w:pPr>
        <w:pStyle w:val="ListParagraph"/>
        <w:ind w:left="709"/>
        <w:jc w:val="both"/>
        <w:rPr>
          <w:rFonts w:ascii="Arial" w:hAnsi="Arial"/>
          <w:sz w:val="22"/>
          <w:szCs w:val="22"/>
        </w:rPr>
      </w:pPr>
    </w:p>
    <w:p w:rsidR="0014396F" w:rsidRPr="00F25BC0" w:rsidRDefault="003835A7" w:rsidP="004E7A4D">
      <w:pPr>
        <w:pStyle w:val="ListParagraph"/>
        <w:numPr>
          <w:ilvl w:val="1"/>
          <w:numId w:val="1"/>
        </w:numPr>
        <w:jc w:val="both"/>
        <w:rPr>
          <w:rFonts w:ascii="Arial" w:hAnsi="Arial"/>
          <w:sz w:val="22"/>
          <w:szCs w:val="22"/>
        </w:rPr>
      </w:pPr>
      <w:r w:rsidRPr="00E573DC">
        <w:rPr>
          <w:rFonts w:ascii="Arial" w:hAnsi="Arial"/>
          <w:sz w:val="22"/>
          <w:szCs w:val="22"/>
        </w:rPr>
        <w:t>The model validit</w:t>
      </w:r>
      <w:r w:rsidR="007968E1">
        <w:rPr>
          <w:rFonts w:ascii="Arial" w:hAnsi="Arial"/>
          <w:sz w:val="22"/>
          <w:szCs w:val="22"/>
        </w:rPr>
        <w:t>y wa</w:t>
      </w:r>
      <w:r w:rsidRPr="00E573DC">
        <w:rPr>
          <w:rFonts w:ascii="Arial" w:hAnsi="Arial"/>
          <w:sz w:val="22"/>
          <w:szCs w:val="22"/>
        </w:rPr>
        <w:t>s also impacted by the model-based predictions of surgic</w:t>
      </w:r>
      <w:r w:rsidR="007968E1">
        <w:rPr>
          <w:rFonts w:ascii="Arial" w:hAnsi="Arial"/>
          <w:sz w:val="22"/>
          <w:szCs w:val="22"/>
        </w:rPr>
        <w:t>al intervention, which indicated</w:t>
      </w:r>
      <w:r w:rsidRPr="00E573DC">
        <w:rPr>
          <w:rFonts w:ascii="Arial" w:hAnsi="Arial"/>
          <w:sz w:val="22"/>
          <w:szCs w:val="22"/>
        </w:rPr>
        <w:t xml:space="preserve"> that, on average, every placebo patient w</w:t>
      </w:r>
      <w:r w:rsidR="00F25BC0">
        <w:rPr>
          <w:rFonts w:ascii="Arial" w:hAnsi="Arial"/>
          <w:sz w:val="22"/>
          <w:szCs w:val="22"/>
        </w:rPr>
        <w:t xml:space="preserve">ould </w:t>
      </w:r>
      <w:r w:rsidRPr="00E573DC">
        <w:rPr>
          <w:rFonts w:ascii="Arial" w:hAnsi="Arial"/>
          <w:sz w:val="22"/>
          <w:szCs w:val="22"/>
        </w:rPr>
        <w:t>undergo 1.26 and 4.48 episodes of surgery over 20 and 50 years, respectively.</w:t>
      </w:r>
    </w:p>
    <w:p w:rsidR="0014396F" w:rsidRPr="00F25BC0" w:rsidRDefault="0014396F" w:rsidP="00F25BC0">
      <w:pPr>
        <w:jc w:val="both"/>
        <w:rPr>
          <w:rFonts w:ascii="Arial" w:hAnsi="Arial"/>
          <w:sz w:val="22"/>
          <w:szCs w:val="22"/>
          <w:highlight w:val="lightGray"/>
        </w:rPr>
      </w:pPr>
    </w:p>
    <w:p w:rsidR="00F25BC0" w:rsidRDefault="0041614C" w:rsidP="004E7A4D">
      <w:pPr>
        <w:pStyle w:val="ListParagraph"/>
        <w:numPr>
          <w:ilvl w:val="1"/>
          <w:numId w:val="1"/>
        </w:numPr>
        <w:jc w:val="both"/>
        <w:rPr>
          <w:rFonts w:ascii="Arial" w:hAnsi="Arial"/>
          <w:sz w:val="22"/>
          <w:szCs w:val="22"/>
        </w:rPr>
      </w:pPr>
      <w:r w:rsidRPr="00E573DC">
        <w:rPr>
          <w:rFonts w:ascii="Arial" w:hAnsi="Arial"/>
          <w:sz w:val="22"/>
          <w:szCs w:val="22"/>
        </w:rPr>
        <w:t>The submissi</w:t>
      </w:r>
      <w:r w:rsidR="00F25BC0">
        <w:rPr>
          <w:rFonts w:ascii="Arial" w:hAnsi="Arial"/>
          <w:sz w:val="22"/>
          <w:szCs w:val="22"/>
        </w:rPr>
        <w:t>on estimated</w:t>
      </w:r>
      <w:r w:rsidRPr="00E573DC">
        <w:rPr>
          <w:rFonts w:ascii="Arial" w:hAnsi="Arial"/>
          <w:sz w:val="22"/>
          <w:szCs w:val="22"/>
        </w:rPr>
        <w:t xml:space="preserve"> an ICER of </w:t>
      </w:r>
      <w:r w:rsidR="009D769A">
        <w:rPr>
          <w:rFonts w:ascii="Arial" w:hAnsi="Arial"/>
          <w:sz w:val="22"/>
          <w:szCs w:val="22"/>
        </w:rPr>
        <w:t>$15,000 - $45,000</w:t>
      </w:r>
      <w:r w:rsidRPr="00E573DC">
        <w:rPr>
          <w:rFonts w:ascii="Arial" w:hAnsi="Arial"/>
          <w:sz w:val="22"/>
          <w:szCs w:val="22"/>
        </w:rPr>
        <w:t xml:space="preserve"> per QALY. </w:t>
      </w:r>
      <w:r w:rsidR="00F25BC0">
        <w:rPr>
          <w:rFonts w:ascii="Arial" w:hAnsi="Arial"/>
          <w:sz w:val="22"/>
          <w:szCs w:val="22"/>
        </w:rPr>
        <w:t>The results of the stepped economic evaluation are shown below:</w:t>
      </w:r>
    </w:p>
    <w:p w:rsidR="00F25BC0" w:rsidRDefault="00F25BC0" w:rsidP="00F25BC0">
      <w:pPr>
        <w:pStyle w:val="ListParagraph"/>
        <w:ind w:left="360"/>
        <w:jc w:val="both"/>
        <w:rPr>
          <w:rFonts w:ascii="Arial" w:hAnsi="Arial"/>
          <w:sz w:val="22"/>
          <w:szCs w:val="22"/>
        </w:rPr>
      </w:pPr>
    </w:p>
    <w:p w:rsidR="00F25BC0" w:rsidRPr="00E573DC" w:rsidRDefault="00F25BC0" w:rsidP="00F25BC0">
      <w:pPr>
        <w:pStyle w:val="ListParagraph"/>
        <w:ind w:left="709"/>
        <w:jc w:val="both"/>
        <w:rPr>
          <w:rFonts w:ascii="Arial" w:hAnsi="Arial"/>
          <w:sz w:val="22"/>
          <w:szCs w:val="22"/>
        </w:rPr>
      </w:pPr>
      <w:r w:rsidRPr="00E573DC">
        <w:rPr>
          <w:rFonts w:ascii="Arial Narrow" w:hAnsi="Arial Narrow" w:cs="Arial"/>
          <w:b/>
          <w:snapToGrid w:val="0"/>
          <w:sz w:val="20"/>
          <w:szCs w:val="16"/>
          <w:lang w:eastAsia="en-US"/>
        </w:rPr>
        <w:t xml:space="preserve">Results of the stepped economic evaluation (partial Mayo)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the stepped economic evaluation (partial Mayo) "/>
      </w:tblPr>
      <w:tblGrid>
        <w:gridCol w:w="2417"/>
        <w:gridCol w:w="2272"/>
        <w:gridCol w:w="1990"/>
        <w:gridCol w:w="1688"/>
      </w:tblGrid>
      <w:tr w:rsidR="00F25BC0" w:rsidRPr="0091201C" w:rsidTr="00482348">
        <w:trPr>
          <w:tblHeader/>
        </w:trPr>
        <w:tc>
          <w:tcPr>
            <w:tcW w:w="1444" w:type="pct"/>
            <w:vAlign w:val="center"/>
          </w:tcPr>
          <w:p w:rsidR="00F25BC0" w:rsidRPr="007369A6" w:rsidRDefault="00F25BC0" w:rsidP="00482348">
            <w:pPr>
              <w:keepNext/>
              <w:widowControl w:val="0"/>
              <w:rPr>
                <w:rFonts w:ascii="Arial Narrow" w:hAnsi="Arial Narrow"/>
                <w:b/>
                <w:snapToGrid w:val="0"/>
                <w:sz w:val="20"/>
                <w:szCs w:val="20"/>
                <w:lang w:eastAsia="en-US"/>
              </w:rPr>
            </w:pPr>
            <w:r w:rsidRPr="00F30E2D">
              <w:rPr>
                <w:rFonts w:ascii="Arial Narrow" w:hAnsi="Arial Narrow"/>
                <w:b/>
                <w:snapToGrid w:val="0"/>
                <w:sz w:val="20"/>
                <w:szCs w:val="20"/>
                <w:lang w:eastAsia="en-US"/>
              </w:rPr>
              <w:t>Step and component</w:t>
            </w:r>
          </w:p>
        </w:tc>
        <w:tc>
          <w:tcPr>
            <w:tcW w:w="1358" w:type="pct"/>
          </w:tcPr>
          <w:p w:rsidR="00F25BC0" w:rsidRPr="007369A6" w:rsidRDefault="00F25BC0" w:rsidP="00482348">
            <w:pPr>
              <w:keepNext/>
              <w:widowControl w:val="0"/>
              <w:jc w:val="center"/>
              <w:rPr>
                <w:rFonts w:ascii="Arial Narrow" w:hAnsi="Arial Narrow"/>
                <w:b/>
                <w:snapToGrid w:val="0"/>
                <w:sz w:val="20"/>
                <w:szCs w:val="20"/>
                <w:lang w:eastAsia="en-US"/>
              </w:rPr>
            </w:pPr>
            <w:proofErr w:type="spellStart"/>
            <w:r w:rsidRPr="00F30E2D">
              <w:rPr>
                <w:rFonts w:ascii="Arial Narrow" w:hAnsi="Arial Narrow"/>
                <w:b/>
                <w:snapToGrid w:val="0"/>
                <w:sz w:val="20"/>
                <w:szCs w:val="20"/>
                <w:lang w:eastAsia="en-US"/>
              </w:rPr>
              <w:t>Vedolizumab</w:t>
            </w:r>
            <w:proofErr w:type="spellEnd"/>
          </w:p>
        </w:tc>
        <w:tc>
          <w:tcPr>
            <w:tcW w:w="1189" w:type="pct"/>
            <w:vAlign w:val="center"/>
          </w:tcPr>
          <w:p w:rsidR="00F25BC0" w:rsidRPr="007369A6" w:rsidRDefault="00F25BC0" w:rsidP="00482348">
            <w:pPr>
              <w:keepNext/>
              <w:widowControl w:val="0"/>
              <w:jc w:val="center"/>
              <w:rPr>
                <w:rFonts w:ascii="Arial Narrow" w:hAnsi="Arial Narrow"/>
                <w:b/>
                <w:snapToGrid w:val="0"/>
                <w:sz w:val="20"/>
                <w:szCs w:val="20"/>
                <w:lang w:eastAsia="en-US"/>
              </w:rPr>
            </w:pPr>
            <w:r w:rsidRPr="00F30E2D">
              <w:rPr>
                <w:rFonts w:ascii="Arial Narrow" w:hAnsi="Arial Narrow"/>
                <w:b/>
                <w:snapToGrid w:val="0"/>
                <w:sz w:val="20"/>
                <w:szCs w:val="20"/>
                <w:lang w:eastAsia="en-US"/>
              </w:rPr>
              <w:t>Placebo</w:t>
            </w:r>
          </w:p>
        </w:tc>
        <w:tc>
          <w:tcPr>
            <w:tcW w:w="1009" w:type="pct"/>
          </w:tcPr>
          <w:p w:rsidR="00F25BC0" w:rsidRPr="007369A6" w:rsidRDefault="00F25BC0" w:rsidP="00482348">
            <w:pPr>
              <w:keepNext/>
              <w:widowControl w:val="0"/>
              <w:jc w:val="center"/>
              <w:rPr>
                <w:rFonts w:ascii="Arial Narrow" w:hAnsi="Arial Narrow"/>
                <w:b/>
                <w:snapToGrid w:val="0"/>
                <w:sz w:val="20"/>
                <w:szCs w:val="20"/>
                <w:lang w:eastAsia="en-US"/>
              </w:rPr>
            </w:pPr>
            <w:r w:rsidRPr="00F30E2D">
              <w:rPr>
                <w:rFonts w:ascii="Arial Narrow" w:hAnsi="Arial Narrow"/>
                <w:b/>
                <w:snapToGrid w:val="0"/>
                <w:sz w:val="20"/>
                <w:szCs w:val="20"/>
                <w:lang w:eastAsia="en-US"/>
              </w:rPr>
              <w:t>Increment</w:t>
            </w:r>
          </w:p>
        </w:tc>
      </w:tr>
      <w:tr w:rsidR="00F25BC0" w:rsidRPr="0091201C" w:rsidTr="00482348">
        <w:tc>
          <w:tcPr>
            <w:tcW w:w="5000" w:type="pct"/>
            <w:gridSpan w:val="4"/>
            <w:vAlign w:val="center"/>
          </w:tcPr>
          <w:p w:rsidR="00F25BC0" w:rsidRPr="007369A6" w:rsidRDefault="00F25BC0" w:rsidP="00482348">
            <w:pPr>
              <w:keepNext/>
              <w:widowControl w:val="0"/>
              <w:rPr>
                <w:rFonts w:ascii="Arial Narrow" w:hAnsi="Arial Narrow" w:cs="Arial Narrow"/>
                <w:b/>
                <w:bCs/>
                <w:snapToGrid w:val="0"/>
                <w:sz w:val="20"/>
                <w:szCs w:val="20"/>
                <w:lang w:eastAsia="en-US"/>
              </w:rPr>
            </w:pPr>
            <w:r w:rsidRPr="00F30E2D">
              <w:rPr>
                <w:rFonts w:ascii="Arial Narrow" w:hAnsi="Arial Narrow" w:cs="Arial Narrow"/>
                <w:b/>
                <w:bCs/>
                <w:snapToGrid w:val="0"/>
                <w:sz w:val="20"/>
                <w:szCs w:val="20"/>
                <w:lang w:eastAsia="en-US"/>
              </w:rPr>
              <w:t>Step 1: trial-based costs and outcomes – 10 weeks</w:t>
            </w:r>
          </w:p>
        </w:tc>
      </w:tr>
      <w:tr w:rsidR="00F25BC0" w:rsidRPr="0091201C" w:rsidTr="00482348">
        <w:tc>
          <w:tcPr>
            <w:tcW w:w="1444" w:type="pct"/>
            <w:vAlign w:val="center"/>
          </w:tcPr>
          <w:p w:rsidR="00F25BC0" w:rsidRPr="007369A6" w:rsidRDefault="00F25BC0" w:rsidP="00482348">
            <w:pPr>
              <w:keepNext/>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Costs</w:t>
            </w:r>
          </w:p>
        </w:tc>
        <w:tc>
          <w:tcPr>
            <w:tcW w:w="1358" w:type="pct"/>
          </w:tcPr>
          <w:p w:rsidR="00F25BC0" w:rsidRPr="007369A6" w:rsidRDefault="007369A6" w:rsidP="00482348">
            <w:pPr>
              <w:keepNext/>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keepNext/>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keepNext/>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Clinical response</w:t>
            </w:r>
          </w:p>
        </w:tc>
        <w:tc>
          <w:tcPr>
            <w:tcW w:w="1358"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Clinical remission</w:t>
            </w:r>
          </w:p>
        </w:tc>
        <w:tc>
          <w:tcPr>
            <w:tcW w:w="1358"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3991" w:type="pct"/>
            <w:gridSpan w:val="3"/>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b/>
                <w:sz w:val="20"/>
                <w:szCs w:val="20"/>
                <w:lang w:eastAsia="en-US"/>
              </w:rPr>
              <w:t>Incremental cost/extra clinical response gained</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b/>
                <w:noProof/>
                <w:snapToGrid w:val="0"/>
                <w:color w:val="000000"/>
                <w:sz w:val="20"/>
                <w:szCs w:val="20"/>
                <w:highlight w:val="black"/>
                <w:lang w:eastAsia="en-US"/>
              </w:rPr>
              <w:t>'''''''''''''''''</w:t>
            </w:r>
          </w:p>
        </w:tc>
      </w:tr>
      <w:tr w:rsidR="00F25BC0" w:rsidRPr="0091201C" w:rsidTr="00482348">
        <w:tc>
          <w:tcPr>
            <w:tcW w:w="3991" w:type="pct"/>
            <w:gridSpan w:val="3"/>
            <w:vAlign w:val="center"/>
          </w:tcPr>
          <w:p w:rsidR="00F25BC0" w:rsidRPr="007369A6" w:rsidRDefault="00F25BC0" w:rsidP="00482348">
            <w:pPr>
              <w:widowControl w:val="0"/>
              <w:rPr>
                <w:rFonts w:ascii="Arial Narrow" w:hAnsi="Arial Narrow"/>
                <w:b/>
                <w:sz w:val="20"/>
                <w:szCs w:val="20"/>
                <w:lang w:eastAsia="en-US"/>
              </w:rPr>
            </w:pPr>
            <w:r w:rsidRPr="00F30E2D">
              <w:rPr>
                <w:rFonts w:ascii="Arial Narrow" w:hAnsi="Arial Narrow"/>
                <w:b/>
                <w:sz w:val="20"/>
                <w:szCs w:val="20"/>
                <w:lang w:eastAsia="en-US"/>
              </w:rPr>
              <w:t>Incremental cost/extra clinical remission gained</w:t>
            </w:r>
          </w:p>
        </w:tc>
        <w:tc>
          <w:tcPr>
            <w:tcW w:w="1009" w:type="pct"/>
          </w:tcPr>
          <w:p w:rsidR="00F25BC0" w:rsidRPr="007369A6" w:rsidRDefault="007369A6" w:rsidP="00482348">
            <w:pPr>
              <w:widowControl w:val="0"/>
              <w:jc w:val="center"/>
              <w:rPr>
                <w:rFonts w:ascii="Arial Narrow" w:hAnsi="Arial Narrow"/>
                <w:b/>
                <w:snapToGrid w:val="0"/>
                <w:sz w:val="20"/>
                <w:szCs w:val="20"/>
                <w:highlight w:val="black"/>
                <w:lang w:eastAsia="en-US"/>
              </w:rPr>
            </w:pPr>
            <w:r>
              <w:rPr>
                <w:rFonts w:ascii="Arial Narrow" w:hAnsi="Arial Narrow"/>
                <w:b/>
                <w:noProof/>
                <w:snapToGrid w:val="0"/>
                <w:color w:val="000000"/>
                <w:sz w:val="20"/>
                <w:szCs w:val="20"/>
                <w:highlight w:val="black"/>
                <w:lang w:eastAsia="en-US"/>
              </w:rPr>
              <w:t>''''''''''''''''</w:t>
            </w:r>
          </w:p>
        </w:tc>
      </w:tr>
      <w:tr w:rsidR="00F25BC0" w:rsidRPr="0091201C" w:rsidTr="00482348">
        <w:tc>
          <w:tcPr>
            <w:tcW w:w="5000" w:type="pct"/>
            <w:gridSpan w:val="4"/>
            <w:vAlign w:val="center"/>
          </w:tcPr>
          <w:p w:rsidR="00F25BC0" w:rsidRPr="007369A6" w:rsidRDefault="00F25BC0" w:rsidP="00482348">
            <w:pPr>
              <w:keepNext/>
              <w:widowControl w:val="0"/>
              <w:rPr>
                <w:rFonts w:ascii="Arial Narrow" w:hAnsi="Arial Narrow" w:cs="Arial Narrow"/>
                <w:b/>
                <w:bCs/>
                <w:snapToGrid w:val="0"/>
                <w:sz w:val="20"/>
                <w:szCs w:val="20"/>
                <w:lang w:eastAsia="en-US"/>
              </w:rPr>
            </w:pPr>
            <w:r w:rsidRPr="00F30E2D">
              <w:rPr>
                <w:rFonts w:ascii="Arial Narrow" w:hAnsi="Arial Narrow" w:cs="Arial Narrow"/>
                <w:b/>
                <w:bCs/>
                <w:snapToGrid w:val="0"/>
                <w:sz w:val="20"/>
                <w:szCs w:val="20"/>
                <w:lang w:eastAsia="en-US"/>
              </w:rPr>
              <w:t>Step 2: trial results and pre-modelling (</w:t>
            </w:r>
            <w:proofErr w:type="spellStart"/>
            <w:r w:rsidRPr="00F30E2D">
              <w:rPr>
                <w:rFonts w:ascii="Arial Narrow" w:hAnsi="Arial Narrow" w:cs="Arial Narrow"/>
                <w:b/>
                <w:bCs/>
                <w:snapToGrid w:val="0"/>
                <w:sz w:val="20"/>
                <w:szCs w:val="20"/>
                <w:lang w:eastAsia="en-US"/>
              </w:rPr>
              <w:t>incl</w:t>
            </w:r>
            <w:proofErr w:type="spellEnd"/>
            <w:r w:rsidRPr="00F30E2D">
              <w:rPr>
                <w:rFonts w:ascii="Arial Narrow" w:hAnsi="Arial Narrow" w:cs="Arial Narrow"/>
                <w:b/>
                <w:bCs/>
                <w:snapToGrid w:val="0"/>
                <w:sz w:val="20"/>
                <w:szCs w:val="20"/>
                <w:lang w:eastAsia="en-US"/>
              </w:rPr>
              <w:t xml:space="preserve"> surgery and mortality) – 10 weeks </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Costs</w:t>
            </w:r>
          </w:p>
        </w:tc>
        <w:tc>
          <w:tcPr>
            <w:tcW w:w="1358"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Clinical response</w:t>
            </w:r>
          </w:p>
        </w:tc>
        <w:tc>
          <w:tcPr>
            <w:tcW w:w="1358"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rPr>
          <w:trHeight w:val="70"/>
        </w:trPr>
        <w:tc>
          <w:tcPr>
            <w:tcW w:w="3991" w:type="pct"/>
            <w:gridSpan w:val="3"/>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b/>
                <w:sz w:val="20"/>
                <w:szCs w:val="20"/>
                <w:lang w:eastAsia="en-US"/>
              </w:rPr>
              <w:t>Incremental cost/extra clinical response gained</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b/>
                <w:noProof/>
                <w:snapToGrid w:val="0"/>
                <w:color w:val="000000"/>
                <w:sz w:val="20"/>
                <w:szCs w:val="20"/>
                <w:highlight w:val="black"/>
                <w:lang w:eastAsia="en-US"/>
              </w:rPr>
              <w:t>''''''''''''''''</w:t>
            </w:r>
          </w:p>
        </w:tc>
      </w:tr>
      <w:tr w:rsidR="00F25BC0" w:rsidRPr="0091201C" w:rsidTr="00482348">
        <w:tc>
          <w:tcPr>
            <w:tcW w:w="5000" w:type="pct"/>
            <w:gridSpan w:val="4"/>
            <w:vAlign w:val="center"/>
          </w:tcPr>
          <w:p w:rsidR="00F25BC0" w:rsidRPr="007369A6" w:rsidRDefault="00F25BC0" w:rsidP="00482348">
            <w:pPr>
              <w:keepNext/>
              <w:widowControl w:val="0"/>
              <w:rPr>
                <w:rFonts w:ascii="Arial Narrow" w:hAnsi="Arial Narrow" w:cs="Arial Narrow"/>
                <w:b/>
                <w:bCs/>
                <w:snapToGrid w:val="0"/>
                <w:sz w:val="20"/>
                <w:szCs w:val="20"/>
                <w:lang w:eastAsia="en-US"/>
              </w:rPr>
            </w:pPr>
            <w:r w:rsidRPr="00F30E2D">
              <w:rPr>
                <w:rFonts w:ascii="Arial Narrow" w:hAnsi="Arial Narrow" w:cs="Arial Narrow"/>
                <w:b/>
                <w:bCs/>
                <w:snapToGrid w:val="0"/>
                <w:sz w:val="20"/>
                <w:szCs w:val="20"/>
                <w:lang w:eastAsia="en-US"/>
              </w:rPr>
              <w:t>Step 3: modelled evaluation (including utilities) – 54 week time horizon</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Costs</w:t>
            </w:r>
          </w:p>
        </w:tc>
        <w:tc>
          <w:tcPr>
            <w:tcW w:w="1358"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QALY</w:t>
            </w:r>
          </w:p>
        </w:tc>
        <w:tc>
          <w:tcPr>
            <w:tcW w:w="1358"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3991" w:type="pct"/>
            <w:gridSpan w:val="3"/>
            <w:vAlign w:val="center"/>
          </w:tcPr>
          <w:p w:rsidR="00F25BC0" w:rsidRPr="007369A6" w:rsidRDefault="00F25BC0" w:rsidP="00482348">
            <w:pPr>
              <w:widowControl w:val="0"/>
              <w:rPr>
                <w:rFonts w:ascii="Arial Narrow" w:hAnsi="Arial Narrow"/>
                <w:b/>
                <w:snapToGrid w:val="0"/>
                <w:sz w:val="20"/>
                <w:szCs w:val="20"/>
                <w:lang w:eastAsia="en-US"/>
              </w:rPr>
            </w:pPr>
            <w:r w:rsidRPr="00F30E2D">
              <w:rPr>
                <w:rFonts w:ascii="Arial Narrow" w:hAnsi="Arial Narrow"/>
                <w:b/>
                <w:snapToGrid w:val="0"/>
                <w:sz w:val="20"/>
                <w:szCs w:val="20"/>
                <w:lang w:eastAsia="en-US"/>
              </w:rPr>
              <w:t>Incremental cost/extra QALY gained</w:t>
            </w:r>
          </w:p>
        </w:tc>
        <w:tc>
          <w:tcPr>
            <w:tcW w:w="1009" w:type="pct"/>
          </w:tcPr>
          <w:p w:rsidR="00F25BC0" w:rsidRPr="007369A6" w:rsidRDefault="007369A6" w:rsidP="00482348">
            <w:pPr>
              <w:widowControl w:val="0"/>
              <w:jc w:val="center"/>
              <w:rPr>
                <w:rFonts w:ascii="Arial Narrow" w:hAnsi="Arial Narrow"/>
                <w:b/>
                <w:snapToGrid w:val="0"/>
                <w:sz w:val="20"/>
                <w:szCs w:val="20"/>
                <w:highlight w:val="black"/>
                <w:lang w:eastAsia="en-US"/>
              </w:rPr>
            </w:pPr>
            <w:r>
              <w:rPr>
                <w:rFonts w:ascii="Arial Narrow" w:hAnsi="Arial Narrow"/>
                <w:b/>
                <w:noProof/>
                <w:snapToGrid w:val="0"/>
                <w:color w:val="000000"/>
                <w:sz w:val="20"/>
                <w:szCs w:val="20"/>
                <w:highlight w:val="black"/>
                <w:lang w:eastAsia="en-US"/>
              </w:rPr>
              <w:t>''''''''''''''''''''</w:t>
            </w:r>
          </w:p>
        </w:tc>
      </w:tr>
      <w:tr w:rsidR="00F25BC0" w:rsidRPr="0091201C" w:rsidTr="00482348">
        <w:tc>
          <w:tcPr>
            <w:tcW w:w="5000" w:type="pct"/>
            <w:gridSpan w:val="4"/>
            <w:vAlign w:val="center"/>
          </w:tcPr>
          <w:p w:rsidR="00F25BC0" w:rsidRPr="007369A6" w:rsidRDefault="00F25BC0" w:rsidP="00482348">
            <w:pPr>
              <w:keepNext/>
              <w:widowControl w:val="0"/>
              <w:rPr>
                <w:rFonts w:ascii="Arial Narrow" w:hAnsi="Arial Narrow" w:cs="Arial Narrow"/>
                <w:b/>
                <w:bCs/>
                <w:snapToGrid w:val="0"/>
                <w:sz w:val="20"/>
                <w:szCs w:val="20"/>
                <w:lang w:eastAsia="en-US"/>
              </w:rPr>
            </w:pPr>
            <w:r w:rsidRPr="00F30E2D">
              <w:rPr>
                <w:rFonts w:ascii="Arial Narrow" w:hAnsi="Arial Narrow" w:cs="Arial Narrow"/>
                <w:b/>
                <w:bCs/>
                <w:snapToGrid w:val="0"/>
                <w:sz w:val="20"/>
                <w:szCs w:val="20"/>
                <w:lang w:eastAsia="en-US"/>
              </w:rPr>
              <w:t>Step 4: modelled evaluation (including utilities + health state costs) – 54 week time horizon</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Costs</w:t>
            </w:r>
          </w:p>
        </w:tc>
        <w:tc>
          <w:tcPr>
            <w:tcW w:w="1358"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QALY</w:t>
            </w:r>
          </w:p>
        </w:tc>
        <w:tc>
          <w:tcPr>
            <w:tcW w:w="1358"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3991" w:type="pct"/>
            <w:gridSpan w:val="3"/>
            <w:vAlign w:val="center"/>
          </w:tcPr>
          <w:p w:rsidR="00F25BC0" w:rsidRPr="007369A6" w:rsidRDefault="00F25BC0" w:rsidP="00482348">
            <w:pPr>
              <w:widowControl w:val="0"/>
              <w:rPr>
                <w:rFonts w:ascii="Arial Narrow" w:hAnsi="Arial Narrow"/>
                <w:b/>
                <w:snapToGrid w:val="0"/>
                <w:sz w:val="20"/>
                <w:szCs w:val="20"/>
                <w:lang w:eastAsia="en-US"/>
              </w:rPr>
            </w:pPr>
            <w:r w:rsidRPr="00F30E2D">
              <w:rPr>
                <w:rFonts w:ascii="Arial Narrow" w:hAnsi="Arial Narrow"/>
                <w:b/>
                <w:snapToGrid w:val="0"/>
                <w:sz w:val="20"/>
                <w:szCs w:val="20"/>
                <w:lang w:eastAsia="en-US"/>
              </w:rPr>
              <w:t>Incremental cost/extra QALY gained</w:t>
            </w:r>
          </w:p>
        </w:tc>
        <w:tc>
          <w:tcPr>
            <w:tcW w:w="1009" w:type="pct"/>
          </w:tcPr>
          <w:p w:rsidR="00F25BC0" w:rsidRPr="007369A6" w:rsidRDefault="007369A6" w:rsidP="00482348">
            <w:pPr>
              <w:widowControl w:val="0"/>
              <w:jc w:val="center"/>
              <w:rPr>
                <w:rFonts w:ascii="Arial Narrow" w:hAnsi="Arial Narrow"/>
                <w:b/>
                <w:snapToGrid w:val="0"/>
                <w:sz w:val="20"/>
                <w:szCs w:val="20"/>
                <w:highlight w:val="black"/>
                <w:lang w:eastAsia="en-US"/>
              </w:rPr>
            </w:pPr>
            <w:r>
              <w:rPr>
                <w:rFonts w:ascii="Arial Narrow" w:hAnsi="Arial Narrow"/>
                <w:b/>
                <w:noProof/>
                <w:snapToGrid w:val="0"/>
                <w:color w:val="000000"/>
                <w:sz w:val="20"/>
                <w:szCs w:val="20"/>
                <w:highlight w:val="black"/>
                <w:lang w:eastAsia="en-US"/>
              </w:rPr>
              <w:t>'''''''''''''''''</w:t>
            </w:r>
          </w:p>
        </w:tc>
      </w:tr>
      <w:tr w:rsidR="00F25BC0" w:rsidRPr="0091201C" w:rsidTr="00482348">
        <w:tc>
          <w:tcPr>
            <w:tcW w:w="5000" w:type="pct"/>
            <w:gridSpan w:val="4"/>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cs="Arial Narrow"/>
                <w:b/>
                <w:bCs/>
                <w:snapToGrid w:val="0"/>
                <w:sz w:val="20"/>
                <w:szCs w:val="20"/>
                <w:lang w:eastAsia="en-US"/>
              </w:rPr>
              <w:t xml:space="preserve">Step 5: modelled evaluation (including utilities + health state costs) – 30 year time horizon </w:t>
            </w:r>
            <w:r w:rsidRPr="00F30E2D">
              <w:rPr>
                <w:rFonts w:ascii="Arial Narrow" w:hAnsi="Arial Narrow" w:cs="Arial Narrow"/>
                <w:b/>
                <w:bCs/>
                <w:snapToGrid w:val="0"/>
                <w:sz w:val="20"/>
                <w:szCs w:val="20"/>
                <w:vertAlign w:val="superscript"/>
                <w:lang w:eastAsia="en-US"/>
              </w:rPr>
              <w:t>a</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Costs</w:t>
            </w:r>
          </w:p>
        </w:tc>
        <w:tc>
          <w:tcPr>
            <w:tcW w:w="1358" w:type="pct"/>
          </w:tcPr>
          <w:p w:rsidR="00F25BC0" w:rsidRPr="007369A6" w:rsidRDefault="007369A6" w:rsidP="00482348">
            <w:pPr>
              <w:widowControl w:val="0"/>
              <w:jc w:val="center"/>
              <w:rPr>
                <w:rFonts w:ascii="Arial Narrow" w:hAnsi="Arial Narrow"/>
                <w:i/>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i/>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i/>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Life years</w:t>
            </w:r>
          </w:p>
        </w:tc>
        <w:tc>
          <w:tcPr>
            <w:tcW w:w="1358"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1444" w:type="pct"/>
            <w:vAlign w:val="center"/>
          </w:tcPr>
          <w:p w:rsidR="00F25BC0" w:rsidRPr="007369A6" w:rsidRDefault="00F25BC0" w:rsidP="00482348">
            <w:pPr>
              <w:widowControl w:val="0"/>
              <w:rPr>
                <w:rFonts w:ascii="Arial Narrow" w:hAnsi="Arial Narrow"/>
                <w:snapToGrid w:val="0"/>
                <w:sz w:val="20"/>
                <w:szCs w:val="20"/>
                <w:lang w:eastAsia="en-US"/>
              </w:rPr>
            </w:pPr>
            <w:r w:rsidRPr="00F30E2D">
              <w:rPr>
                <w:rFonts w:ascii="Arial Narrow" w:hAnsi="Arial Narrow"/>
                <w:snapToGrid w:val="0"/>
                <w:sz w:val="20"/>
                <w:szCs w:val="20"/>
                <w:lang w:eastAsia="en-US"/>
              </w:rPr>
              <w:t>QALY</w:t>
            </w:r>
          </w:p>
        </w:tc>
        <w:tc>
          <w:tcPr>
            <w:tcW w:w="1358" w:type="pct"/>
          </w:tcPr>
          <w:p w:rsidR="00F25BC0" w:rsidRPr="007369A6" w:rsidRDefault="007369A6" w:rsidP="00482348">
            <w:pPr>
              <w:widowControl w:val="0"/>
              <w:jc w:val="center"/>
              <w:rPr>
                <w:rFonts w:ascii="Arial Narrow" w:hAnsi="Arial Narrow"/>
                <w:i/>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89" w:type="pct"/>
            <w:vAlign w:val="center"/>
          </w:tcPr>
          <w:p w:rsidR="00F25BC0" w:rsidRPr="007369A6" w:rsidRDefault="007369A6" w:rsidP="00482348">
            <w:pPr>
              <w:widowControl w:val="0"/>
              <w:jc w:val="center"/>
              <w:rPr>
                <w:rFonts w:ascii="Arial Narrow" w:hAnsi="Arial Narrow"/>
                <w:i/>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09" w:type="pct"/>
          </w:tcPr>
          <w:p w:rsidR="00F25BC0" w:rsidRPr="007369A6" w:rsidRDefault="007369A6" w:rsidP="00482348">
            <w:pPr>
              <w:widowControl w:val="0"/>
              <w:jc w:val="center"/>
              <w:rPr>
                <w:rFonts w:ascii="Arial Narrow" w:hAnsi="Arial Narrow"/>
                <w:i/>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F25BC0" w:rsidRPr="0091201C" w:rsidTr="00482348">
        <w:tc>
          <w:tcPr>
            <w:tcW w:w="3991" w:type="pct"/>
            <w:gridSpan w:val="3"/>
            <w:vAlign w:val="center"/>
          </w:tcPr>
          <w:p w:rsidR="00F25BC0" w:rsidRPr="007369A6" w:rsidRDefault="00F25BC0" w:rsidP="00482348">
            <w:pPr>
              <w:widowControl w:val="0"/>
              <w:rPr>
                <w:rFonts w:ascii="Arial Narrow" w:hAnsi="Arial Narrow"/>
                <w:b/>
                <w:i/>
                <w:snapToGrid w:val="0"/>
                <w:sz w:val="20"/>
                <w:szCs w:val="20"/>
                <w:lang w:eastAsia="en-US"/>
              </w:rPr>
            </w:pPr>
            <w:r w:rsidRPr="00F30E2D">
              <w:rPr>
                <w:rFonts w:ascii="Arial Narrow" w:hAnsi="Arial Narrow"/>
                <w:b/>
                <w:i/>
                <w:snapToGrid w:val="0"/>
                <w:sz w:val="20"/>
                <w:szCs w:val="20"/>
                <w:lang w:eastAsia="en-US"/>
              </w:rPr>
              <w:t>Incremental cost/extra life year gained</w:t>
            </w:r>
          </w:p>
        </w:tc>
        <w:tc>
          <w:tcPr>
            <w:tcW w:w="1009" w:type="pct"/>
          </w:tcPr>
          <w:p w:rsidR="00F25BC0" w:rsidRPr="007369A6" w:rsidRDefault="007369A6" w:rsidP="00482348">
            <w:pPr>
              <w:widowControl w:val="0"/>
              <w:jc w:val="center"/>
              <w:rPr>
                <w:rFonts w:ascii="Arial Narrow" w:hAnsi="Arial Narrow"/>
                <w:b/>
                <w:i/>
                <w:snapToGrid w:val="0"/>
                <w:sz w:val="20"/>
                <w:szCs w:val="20"/>
                <w:highlight w:val="black"/>
                <w:lang w:eastAsia="en-US"/>
              </w:rPr>
            </w:pPr>
            <w:r>
              <w:rPr>
                <w:rFonts w:ascii="Arial Narrow" w:hAnsi="Arial Narrow"/>
                <w:b/>
                <w:i/>
                <w:noProof/>
                <w:snapToGrid w:val="0"/>
                <w:color w:val="000000"/>
                <w:sz w:val="20"/>
                <w:szCs w:val="20"/>
                <w:highlight w:val="black"/>
                <w:lang w:eastAsia="en-US"/>
              </w:rPr>
              <w:t>''''''</w:t>
            </w:r>
          </w:p>
        </w:tc>
      </w:tr>
      <w:tr w:rsidR="00F25BC0" w:rsidRPr="0091201C" w:rsidTr="00482348">
        <w:tc>
          <w:tcPr>
            <w:tcW w:w="3991" w:type="pct"/>
            <w:gridSpan w:val="3"/>
            <w:vAlign w:val="center"/>
          </w:tcPr>
          <w:p w:rsidR="00F25BC0" w:rsidRPr="007369A6" w:rsidRDefault="00F25BC0" w:rsidP="00482348">
            <w:pPr>
              <w:widowControl w:val="0"/>
              <w:rPr>
                <w:rFonts w:ascii="Arial Narrow" w:hAnsi="Arial Narrow"/>
                <w:b/>
                <w:snapToGrid w:val="0"/>
                <w:sz w:val="20"/>
                <w:szCs w:val="20"/>
                <w:lang w:eastAsia="en-US"/>
              </w:rPr>
            </w:pPr>
            <w:r w:rsidRPr="00F30E2D">
              <w:rPr>
                <w:rFonts w:ascii="Arial Narrow" w:hAnsi="Arial Narrow"/>
                <w:b/>
                <w:snapToGrid w:val="0"/>
                <w:sz w:val="20"/>
                <w:szCs w:val="20"/>
                <w:lang w:eastAsia="en-US"/>
              </w:rPr>
              <w:t>Incremental cost/extra QALY gained</w:t>
            </w:r>
          </w:p>
        </w:tc>
        <w:tc>
          <w:tcPr>
            <w:tcW w:w="1009" w:type="pct"/>
          </w:tcPr>
          <w:p w:rsidR="00F25BC0" w:rsidRPr="007369A6" w:rsidRDefault="007369A6" w:rsidP="00482348">
            <w:pPr>
              <w:widowControl w:val="0"/>
              <w:jc w:val="center"/>
              <w:rPr>
                <w:rFonts w:ascii="Arial Narrow" w:hAnsi="Arial Narrow"/>
                <w:b/>
                <w:snapToGrid w:val="0"/>
                <w:sz w:val="20"/>
                <w:szCs w:val="20"/>
                <w:highlight w:val="black"/>
                <w:lang w:eastAsia="en-US"/>
              </w:rPr>
            </w:pPr>
            <w:r>
              <w:rPr>
                <w:rFonts w:ascii="Arial Narrow" w:hAnsi="Arial Narrow"/>
                <w:b/>
                <w:noProof/>
                <w:snapToGrid w:val="0"/>
                <w:color w:val="000000"/>
                <w:sz w:val="20"/>
                <w:szCs w:val="20"/>
                <w:highlight w:val="black"/>
                <w:lang w:eastAsia="en-US"/>
              </w:rPr>
              <w:t>''''''''''''''</w:t>
            </w:r>
          </w:p>
          <w:p w:rsidR="00F25BC0" w:rsidRPr="007369A6" w:rsidRDefault="007369A6" w:rsidP="00482348">
            <w:pPr>
              <w:widowControl w:val="0"/>
              <w:jc w:val="center"/>
              <w:rPr>
                <w:rFonts w:ascii="Arial Narrow" w:hAnsi="Arial Narrow"/>
                <w:b/>
                <w:i/>
                <w:snapToGrid w:val="0"/>
                <w:sz w:val="20"/>
                <w:szCs w:val="20"/>
                <w:highlight w:val="black"/>
                <w:lang w:eastAsia="en-US"/>
              </w:rPr>
            </w:pPr>
            <w:r>
              <w:rPr>
                <w:rFonts w:ascii="Arial Narrow" w:hAnsi="Arial Narrow"/>
                <w:b/>
                <w:i/>
                <w:noProof/>
                <w:snapToGrid w:val="0"/>
                <w:color w:val="000000"/>
                <w:sz w:val="20"/>
                <w:szCs w:val="20"/>
                <w:highlight w:val="black"/>
                <w:lang w:eastAsia="en-US"/>
              </w:rPr>
              <w:t xml:space="preserve">''''''''''''''' '' </w:t>
            </w:r>
          </w:p>
        </w:tc>
      </w:tr>
    </w:tbl>
    <w:p w:rsidR="00F25BC0" w:rsidRPr="007369A6" w:rsidRDefault="007369A6" w:rsidP="00F25BC0">
      <w:pPr>
        <w:pStyle w:val="TableFooter"/>
        <w:ind w:firstLine="720"/>
        <w:rPr>
          <w:highlight w:val="black"/>
        </w:rPr>
      </w:pPr>
      <w:r>
        <w:rPr>
          <w:noProof/>
          <w:color w:val="000000"/>
          <w:highlight w:val="black"/>
        </w:rPr>
        <w:t>''''''''''''''''' '''''''''''''''' ''''''''''''' '''''' ''''''''''''''' ''''''''''''''''''''''' ''''' '''''''' ''''''''''''''''''''''''''</w:t>
      </w:r>
    </w:p>
    <w:p w:rsidR="00F25BC0" w:rsidRPr="00E573DC" w:rsidRDefault="00F25BC0" w:rsidP="00F25BC0">
      <w:pPr>
        <w:pStyle w:val="TableFooter"/>
        <w:ind w:firstLine="720"/>
      </w:pPr>
      <w:r w:rsidRPr="00E573DC">
        <w:t xml:space="preserve">NC = </w:t>
      </w:r>
      <w:proofErr w:type="spellStart"/>
      <w:r w:rsidRPr="00E573DC">
        <w:t>not</w:t>
      </w:r>
      <w:proofErr w:type="spellEnd"/>
      <w:r w:rsidRPr="00E573DC">
        <w:t xml:space="preserve"> calculable, as no differences in life years</w:t>
      </w:r>
    </w:p>
    <w:p w:rsidR="00F25BC0" w:rsidRPr="00E573DC" w:rsidRDefault="00F25BC0" w:rsidP="00F25BC0">
      <w:pPr>
        <w:pStyle w:val="TableFooter"/>
        <w:ind w:left="709"/>
        <w:rPr>
          <w:szCs w:val="18"/>
        </w:rPr>
      </w:pPr>
      <w:proofErr w:type="gramStart"/>
      <w:r w:rsidRPr="00E573DC">
        <w:rPr>
          <w:i/>
          <w:szCs w:val="18"/>
          <w:vertAlign w:val="superscript"/>
        </w:rPr>
        <w:t>a</w:t>
      </w:r>
      <w:proofErr w:type="gramEnd"/>
      <w:r w:rsidRPr="00E573DC">
        <w:rPr>
          <w:i/>
          <w:szCs w:val="18"/>
        </w:rPr>
        <w:t xml:space="preserve"> Value in italics is for the respecified base case:</w:t>
      </w:r>
      <w:r w:rsidRPr="00E573DC">
        <w:rPr>
          <w:szCs w:val="18"/>
        </w:rPr>
        <w:t xml:space="preserve"> </w:t>
      </w:r>
      <w:r w:rsidRPr="00E573DC">
        <w:rPr>
          <w:i/>
          <w:szCs w:val="18"/>
        </w:rPr>
        <w:t xml:space="preserve">No half cycle correction </w:t>
      </w:r>
      <w:proofErr w:type="spellStart"/>
      <w:r w:rsidRPr="00E573DC">
        <w:rPr>
          <w:i/>
          <w:szCs w:val="18"/>
        </w:rPr>
        <w:t>vedolizumab</w:t>
      </w:r>
      <w:proofErr w:type="spellEnd"/>
      <w:r w:rsidRPr="00E573DC">
        <w:rPr>
          <w:i/>
          <w:szCs w:val="18"/>
        </w:rPr>
        <w:t xml:space="preserve"> costs, continuation rule at 30 weeks, </w:t>
      </w:r>
      <w:r w:rsidRPr="00E573DC">
        <w:rPr>
          <w:i/>
          <w:szCs w:val="18"/>
        </w:rPr>
        <w:lastRenderedPageBreak/>
        <w:t>patients loosing response do not get placebo induction ITT response for first cycle</w:t>
      </w:r>
    </w:p>
    <w:p w:rsidR="00F25BC0" w:rsidRDefault="00F25BC0" w:rsidP="00F25BC0">
      <w:pPr>
        <w:pStyle w:val="ListParagraph"/>
        <w:ind w:left="709"/>
        <w:jc w:val="both"/>
        <w:rPr>
          <w:rFonts w:ascii="Arial" w:hAnsi="Arial"/>
          <w:sz w:val="22"/>
          <w:szCs w:val="22"/>
        </w:rPr>
      </w:pPr>
    </w:p>
    <w:p w:rsidR="00F25BC0" w:rsidRDefault="00F25BC0" w:rsidP="00F25BC0">
      <w:pPr>
        <w:pStyle w:val="ListParagraph"/>
        <w:ind w:left="709"/>
        <w:jc w:val="both"/>
        <w:rPr>
          <w:rFonts w:ascii="Arial" w:hAnsi="Arial"/>
          <w:sz w:val="22"/>
          <w:szCs w:val="22"/>
        </w:rPr>
      </w:pPr>
    </w:p>
    <w:p w:rsidR="0041614C" w:rsidRPr="00E573DC" w:rsidRDefault="00F25BC0" w:rsidP="004E7A4D">
      <w:pPr>
        <w:pStyle w:val="ListParagraph"/>
        <w:numPr>
          <w:ilvl w:val="1"/>
          <w:numId w:val="1"/>
        </w:numPr>
        <w:jc w:val="both"/>
        <w:rPr>
          <w:rFonts w:ascii="Arial" w:hAnsi="Arial"/>
          <w:sz w:val="22"/>
          <w:szCs w:val="22"/>
        </w:rPr>
      </w:pPr>
      <w:r>
        <w:rPr>
          <w:rFonts w:ascii="Arial" w:hAnsi="Arial"/>
          <w:sz w:val="22"/>
          <w:szCs w:val="22"/>
        </w:rPr>
        <w:t>The PSCR (p.5) further provided</w:t>
      </w:r>
      <w:r w:rsidR="0091201C">
        <w:rPr>
          <w:rFonts w:ascii="Arial" w:hAnsi="Arial"/>
          <w:sz w:val="22"/>
          <w:szCs w:val="22"/>
        </w:rPr>
        <w:t xml:space="preserve"> an ICER within the range of $15,000 - $45,000</w:t>
      </w:r>
      <w:r w:rsidR="0041614C" w:rsidRPr="00E573DC">
        <w:rPr>
          <w:rFonts w:ascii="Arial" w:hAnsi="Arial"/>
          <w:sz w:val="22"/>
          <w:szCs w:val="22"/>
        </w:rPr>
        <w:t xml:space="preserve"> following a sponsor re-specified analysis that involves the use of transition probabilities for both placebo and </w:t>
      </w:r>
      <w:proofErr w:type="spellStart"/>
      <w:r w:rsidR="0041614C" w:rsidRPr="00E573DC">
        <w:rPr>
          <w:rFonts w:ascii="Arial" w:hAnsi="Arial"/>
          <w:sz w:val="22"/>
          <w:szCs w:val="22"/>
        </w:rPr>
        <w:t>vedolizumab</w:t>
      </w:r>
      <w:proofErr w:type="spellEnd"/>
      <w:r w:rsidR="0041614C" w:rsidRPr="00E573DC">
        <w:rPr>
          <w:rFonts w:ascii="Arial" w:hAnsi="Arial"/>
          <w:sz w:val="22"/>
          <w:szCs w:val="22"/>
        </w:rPr>
        <w:t xml:space="preserve"> patients that factor in the existence of a ‘true’ placebo group.  The ESC considered that both </w:t>
      </w:r>
      <w:r>
        <w:rPr>
          <w:rFonts w:ascii="Arial" w:hAnsi="Arial"/>
          <w:sz w:val="22"/>
          <w:szCs w:val="22"/>
        </w:rPr>
        <w:t xml:space="preserve">ICERs (i.e. </w:t>
      </w:r>
      <w:r w:rsidR="0091201C">
        <w:rPr>
          <w:rFonts w:ascii="Arial" w:hAnsi="Arial"/>
          <w:sz w:val="22"/>
          <w:szCs w:val="22"/>
        </w:rPr>
        <w:t>$15,000 - $45,000</w:t>
      </w:r>
      <w:r w:rsidR="0091201C" w:rsidRPr="00E573DC">
        <w:rPr>
          <w:rFonts w:ascii="Arial" w:hAnsi="Arial"/>
          <w:sz w:val="22"/>
          <w:szCs w:val="22"/>
        </w:rPr>
        <w:t xml:space="preserve"> </w:t>
      </w:r>
      <w:r>
        <w:rPr>
          <w:rFonts w:ascii="Arial" w:hAnsi="Arial"/>
          <w:sz w:val="22"/>
          <w:szCs w:val="22"/>
        </w:rPr>
        <w:t xml:space="preserve">/QALY gained and </w:t>
      </w:r>
      <w:r w:rsidR="0091201C">
        <w:rPr>
          <w:rFonts w:ascii="Arial" w:hAnsi="Arial"/>
          <w:sz w:val="22"/>
          <w:szCs w:val="22"/>
        </w:rPr>
        <w:t>$15,000 - $45,000</w:t>
      </w:r>
      <w:r>
        <w:rPr>
          <w:rFonts w:ascii="Arial" w:hAnsi="Arial"/>
          <w:sz w:val="22"/>
          <w:szCs w:val="22"/>
        </w:rPr>
        <w:t>/QALY gained) we</w:t>
      </w:r>
      <w:r w:rsidR="0041614C" w:rsidRPr="00E573DC">
        <w:rPr>
          <w:rFonts w:ascii="Arial" w:hAnsi="Arial"/>
          <w:sz w:val="22"/>
          <w:szCs w:val="22"/>
        </w:rPr>
        <w:t>re likely to be underestimated.</w:t>
      </w:r>
    </w:p>
    <w:p w:rsidR="0014396F" w:rsidRPr="00E573DC" w:rsidRDefault="0014396F" w:rsidP="0014396F">
      <w:pPr>
        <w:jc w:val="both"/>
        <w:rPr>
          <w:rFonts w:ascii="Arial" w:hAnsi="Arial"/>
          <w:sz w:val="22"/>
          <w:szCs w:val="22"/>
        </w:rPr>
      </w:pPr>
    </w:p>
    <w:p w:rsidR="0041614C" w:rsidRPr="00E573DC" w:rsidRDefault="0041614C" w:rsidP="004E7A4D">
      <w:pPr>
        <w:pStyle w:val="ListParagraph"/>
        <w:numPr>
          <w:ilvl w:val="1"/>
          <w:numId w:val="1"/>
        </w:numPr>
        <w:jc w:val="both"/>
        <w:rPr>
          <w:rFonts w:ascii="Arial" w:hAnsi="Arial"/>
          <w:sz w:val="22"/>
          <w:szCs w:val="22"/>
        </w:rPr>
      </w:pPr>
      <w:r w:rsidRPr="00E573DC">
        <w:rPr>
          <w:rFonts w:ascii="Arial" w:hAnsi="Arial"/>
          <w:sz w:val="22"/>
          <w:szCs w:val="22"/>
        </w:rPr>
        <w:t>In sensitivity analyses, the ESC</w:t>
      </w:r>
      <w:r w:rsidR="00F25BC0">
        <w:rPr>
          <w:rFonts w:ascii="Arial" w:hAnsi="Arial"/>
          <w:sz w:val="22"/>
          <w:szCs w:val="22"/>
        </w:rPr>
        <w:t xml:space="preserve"> noted that the economic model wa</w:t>
      </w:r>
      <w:r w:rsidRPr="00E573DC">
        <w:rPr>
          <w:rFonts w:ascii="Arial" w:hAnsi="Arial"/>
          <w:sz w:val="22"/>
          <w:szCs w:val="22"/>
        </w:rPr>
        <w:t xml:space="preserve">s sensitive to the model duration, treatment duration, efficacy for non-responders to </w:t>
      </w:r>
      <w:proofErr w:type="spellStart"/>
      <w:r w:rsidRPr="00E573DC">
        <w:rPr>
          <w:rFonts w:ascii="Arial" w:hAnsi="Arial"/>
          <w:sz w:val="22"/>
          <w:szCs w:val="22"/>
        </w:rPr>
        <w:t>vedolizumab</w:t>
      </w:r>
      <w:proofErr w:type="spellEnd"/>
      <w:r w:rsidRPr="00E573DC">
        <w:rPr>
          <w:rFonts w:ascii="Arial" w:hAnsi="Arial"/>
          <w:sz w:val="22"/>
          <w:szCs w:val="22"/>
        </w:rPr>
        <w:t xml:space="preserve">, and utility values.  A multivariate analysis using </w:t>
      </w:r>
      <w:proofErr w:type="gramStart"/>
      <w:r w:rsidRPr="00E573DC">
        <w:rPr>
          <w:rFonts w:ascii="Arial" w:hAnsi="Arial"/>
          <w:sz w:val="22"/>
          <w:szCs w:val="22"/>
        </w:rPr>
        <w:t>a 10</w:t>
      </w:r>
      <w:proofErr w:type="gramEnd"/>
      <w:r w:rsidRPr="00E573DC">
        <w:rPr>
          <w:rFonts w:ascii="Arial" w:hAnsi="Arial"/>
          <w:sz w:val="22"/>
          <w:szCs w:val="22"/>
        </w:rPr>
        <w:t xml:space="preserve">-year model duration, EQ-5D values from Gibson et al. (2013) and </w:t>
      </w:r>
      <w:proofErr w:type="spellStart"/>
      <w:r w:rsidRPr="00E573DC">
        <w:rPr>
          <w:rFonts w:ascii="Arial" w:hAnsi="Arial"/>
          <w:sz w:val="22"/>
          <w:szCs w:val="22"/>
        </w:rPr>
        <w:t>vedolizumab</w:t>
      </w:r>
      <w:proofErr w:type="spellEnd"/>
      <w:r w:rsidRPr="00E573DC">
        <w:rPr>
          <w:rFonts w:ascii="Arial" w:hAnsi="Arial"/>
          <w:sz w:val="22"/>
          <w:szCs w:val="22"/>
        </w:rPr>
        <w:t xml:space="preserve"> treatment duration of 7.3 years result</w:t>
      </w:r>
      <w:r w:rsidR="00F25BC0">
        <w:rPr>
          <w:rFonts w:ascii="Arial" w:hAnsi="Arial"/>
          <w:sz w:val="22"/>
          <w:szCs w:val="22"/>
        </w:rPr>
        <w:t>ed</w:t>
      </w:r>
      <w:r w:rsidRPr="00E573DC">
        <w:rPr>
          <w:rFonts w:ascii="Arial" w:hAnsi="Arial"/>
          <w:sz w:val="22"/>
          <w:szCs w:val="22"/>
        </w:rPr>
        <w:t xml:space="preserve"> in an ICER of </w:t>
      </w:r>
      <w:r w:rsidR="0091201C">
        <w:rPr>
          <w:rFonts w:ascii="Arial" w:hAnsi="Arial"/>
          <w:sz w:val="22"/>
          <w:szCs w:val="22"/>
        </w:rPr>
        <w:t>$75,000 - $105,000</w:t>
      </w:r>
      <w:r w:rsidRPr="00E573DC">
        <w:rPr>
          <w:rFonts w:ascii="Arial" w:hAnsi="Arial"/>
          <w:sz w:val="22"/>
          <w:szCs w:val="22"/>
        </w:rPr>
        <w:t xml:space="preserve"> per QALY. Notwithstanding the data presented in the PSCR (p.3), the ESC noted that transition probabilities for the period beyond the induction phase had not been modified by the evaluation as values derived from the GEMINI I trial were not available in the submission or clinical study reports.</w:t>
      </w:r>
    </w:p>
    <w:p w:rsidR="0014396F" w:rsidRPr="00E573DC" w:rsidRDefault="0014396F" w:rsidP="0014396F">
      <w:pPr>
        <w:jc w:val="both"/>
        <w:rPr>
          <w:rFonts w:ascii="Arial" w:hAnsi="Arial"/>
          <w:sz w:val="22"/>
          <w:szCs w:val="22"/>
        </w:rPr>
      </w:pPr>
    </w:p>
    <w:p w:rsidR="00BB7EC3" w:rsidRPr="00E573DC" w:rsidRDefault="00BB7EC3" w:rsidP="00BB7EC3">
      <w:pPr>
        <w:pStyle w:val="ListParagraph"/>
        <w:ind w:left="709"/>
        <w:jc w:val="both"/>
        <w:rPr>
          <w:rFonts w:ascii="Arial" w:hAnsi="Arial"/>
          <w:i/>
          <w:sz w:val="22"/>
          <w:szCs w:val="22"/>
        </w:rPr>
      </w:pPr>
      <w:r w:rsidRPr="00E573DC">
        <w:rPr>
          <w:rFonts w:ascii="Arial" w:hAnsi="Arial"/>
          <w:i/>
          <w:sz w:val="22"/>
          <w:szCs w:val="22"/>
        </w:rPr>
        <w:t>For more detail on PBAC’s view, see section 7 “PBAC outcome”</w:t>
      </w:r>
    </w:p>
    <w:p w:rsidR="00F57A6D" w:rsidRPr="00E573DC" w:rsidRDefault="00F57A6D" w:rsidP="00882085">
      <w:pPr>
        <w:ind w:left="720" w:hanging="720"/>
        <w:jc w:val="both"/>
        <w:rPr>
          <w:rFonts w:ascii="Arial" w:hAnsi="Arial"/>
          <w:sz w:val="22"/>
          <w:szCs w:val="22"/>
        </w:rPr>
      </w:pPr>
    </w:p>
    <w:p w:rsidR="00A0139E" w:rsidRPr="00E573DC" w:rsidRDefault="00A0139E" w:rsidP="00A0139E">
      <w:pPr>
        <w:ind w:left="720" w:hanging="720"/>
        <w:jc w:val="both"/>
        <w:rPr>
          <w:rFonts w:ascii="Arial" w:hAnsi="Arial"/>
          <w:i/>
          <w:sz w:val="22"/>
          <w:szCs w:val="22"/>
        </w:rPr>
      </w:pPr>
      <w:bookmarkStart w:id="1" w:name="_Toc386718957"/>
      <w:bookmarkStart w:id="2" w:name="_Toc387941104"/>
      <w:r w:rsidRPr="00E573DC">
        <w:rPr>
          <w:rFonts w:ascii="Arial" w:hAnsi="Arial" w:cs="Arial"/>
          <w:b/>
          <w:i/>
          <w:sz w:val="22"/>
          <w:szCs w:val="20"/>
          <w:lang w:eastAsia="en-US"/>
        </w:rPr>
        <w:t>Drug cost/patient/year:</w:t>
      </w:r>
      <w:bookmarkEnd w:id="1"/>
      <w:bookmarkEnd w:id="2"/>
    </w:p>
    <w:p w:rsidR="005A3173" w:rsidRPr="00E573DC" w:rsidRDefault="005A3173" w:rsidP="00882085">
      <w:pPr>
        <w:ind w:left="720" w:hanging="720"/>
        <w:jc w:val="both"/>
        <w:rPr>
          <w:rFonts w:ascii="Arial" w:hAnsi="Arial"/>
          <w:b/>
          <w:i/>
          <w:sz w:val="22"/>
          <w:szCs w:val="22"/>
        </w:rPr>
      </w:pPr>
    </w:p>
    <w:p w:rsidR="00CA448A" w:rsidRPr="00E573DC" w:rsidRDefault="00A0139E" w:rsidP="004E7A4D">
      <w:pPr>
        <w:pStyle w:val="ListParagraph"/>
        <w:numPr>
          <w:ilvl w:val="1"/>
          <w:numId w:val="1"/>
        </w:numPr>
        <w:jc w:val="both"/>
        <w:rPr>
          <w:rFonts w:ascii="Arial" w:hAnsi="Arial"/>
          <w:sz w:val="22"/>
          <w:szCs w:val="22"/>
        </w:rPr>
      </w:pPr>
      <w:r w:rsidRPr="00E573DC">
        <w:rPr>
          <w:rFonts w:ascii="Arial" w:hAnsi="Arial"/>
          <w:sz w:val="22"/>
          <w:szCs w:val="22"/>
        </w:rPr>
        <w:t xml:space="preserve">The drug cost/patient/year was estimated to be </w:t>
      </w:r>
      <w:r w:rsidR="00F30E2D">
        <w:rPr>
          <w:rFonts w:ascii="Arial" w:hAnsi="Arial"/>
          <w:sz w:val="22"/>
          <w:szCs w:val="22"/>
        </w:rPr>
        <w:t>$</w:t>
      </w:r>
      <w:r w:rsidR="007369A6">
        <w:rPr>
          <w:rFonts w:ascii="Arial" w:hAnsi="Arial"/>
          <w:noProof/>
          <w:color w:val="000000"/>
          <w:sz w:val="22"/>
          <w:szCs w:val="22"/>
          <w:highlight w:val="black"/>
        </w:rPr>
        <w:t>''''''''''''''''</w:t>
      </w:r>
      <w:r w:rsidR="00F30E2D">
        <w:rPr>
          <w:rFonts w:ascii="Arial" w:hAnsi="Arial"/>
          <w:sz w:val="22"/>
          <w:szCs w:val="22"/>
        </w:rPr>
        <w:t xml:space="preserve"> in first year</w:t>
      </w:r>
      <w:r w:rsidR="0014396F" w:rsidRPr="00E573DC">
        <w:rPr>
          <w:rFonts w:ascii="Arial" w:hAnsi="Arial"/>
          <w:sz w:val="22"/>
          <w:szCs w:val="22"/>
        </w:rPr>
        <w:t xml:space="preserve">, based on 8.0 infusions and a split between public and private hospital of 60.5% vs. 39.5%, </w:t>
      </w:r>
      <w:r w:rsidR="007369A6">
        <w:rPr>
          <w:rFonts w:ascii="Arial" w:hAnsi="Arial"/>
          <w:noProof/>
          <w:color w:val="000000"/>
          <w:sz w:val="22"/>
          <w:szCs w:val="22"/>
          <w:highlight w:val="black"/>
        </w:rPr>
        <w:t>''''''''''''''''''''</w:t>
      </w:r>
      <w:r w:rsidR="0014396F" w:rsidRPr="00E573DC">
        <w:rPr>
          <w:rFonts w:ascii="Arial" w:hAnsi="Arial"/>
          <w:sz w:val="22"/>
          <w:szCs w:val="22"/>
        </w:rPr>
        <w:t xml:space="preserve"> in following years, based on 6.5 infusions and similar split between public and private hospital. </w:t>
      </w:r>
    </w:p>
    <w:p w:rsidR="0014396F" w:rsidRPr="00E573DC" w:rsidRDefault="0014396F" w:rsidP="0014396F">
      <w:pPr>
        <w:pStyle w:val="ListParagraph"/>
        <w:ind w:left="709"/>
        <w:jc w:val="both"/>
        <w:rPr>
          <w:rFonts w:ascii="Arial" w:hAnsi="Arial"/>
          <w:sz w:val="22"/>
          <w:szCs w:val="22"/>
        </w:rPr>
      </w:pPr>
    </w:p>
    <w:p w:rsidR="00A0139E" w:rsidRPr="00E573DC" w:rsidRDefault="00A0139E" w:rsidP="00A0139E">
      <w:pPr>
        <w:ind w:left="720" w:hanging="720"/>
        <w:jc w:val="both"/>
        <w:rPr>
          <w:rFonts w:ascii="Arial" w:hAnsi="Arial"/>
          <w:b/>
          <w:i/>
          <w:sz w:val="22"/>
          <w:szCs w:val="22"/>
        </w:rPr>
      </w:pPr>
      <w:r w:rsidRPr="00E573DC">
        <w:rPr>
          <w:rFonts w:ascii="Arial" w:hAnsi="Arial"/>
          <w:b/>
          <w:i/>
          <w:sz w:val="22"/>
          <w:szCs w:val="22"/>
        </w:rPr>
        <w:t>Estimated PBS usage &amp; financial implications</w:t>
      </w:r>
    </w:p>
    <w:p w:rsidR="00CA448A" w:rsidRPr="00950893" w:rsidRDefault="00CA448A" w:rsidP="00CA448A">
      <w:pPr>
        <w:jc w:val="both"/>
        <w:rPr>
          <w:rFonts w:ascii="Arial" w:hAnsi="Arial"/>
          <w:color w:val="FF0000"/>
          <w:sz w:val="22"/>
          <w:szCs w:val="22"/>
          <w:highlight w:val="lightGray"/>
        </w:rPr>
      </w:pPr>
    </w:p>
    <w:p w:rsidR="00CA448A" w:rsidRDefault="00CA448A" w:rsidP="004E7A4D">
      <w:pPr>
        <w:pStyle w:val="ListParagraph"/>
        <w:numPr>
          <w:ilvl w:val="1"/>
          <w:numId w:val="1"/>
        </w:numPr>
        <w:jc w:val="both"/>
        <w:rPr>
          <w:rFonts w:ascii="Arial" w:hAnsi="Arial"/>
          <w:sz w:val="22"/>
          <w:szCs w:val="22"/>
        </w:rPr>
      </w:pPr>
      <w:r w:rsidRPr="00E573DC">
        <w:rPr>
          <w:rFonts w:ascii="Arial" w:hAnsi="Arial"/>
          <w:sz w:val="22"/>
          <w:szCs w:val="22"/>
        </w:rPr>
        <w:t xml:space="preserve">This submission </w:t>
      </w:r>
      <w:r w:rsidR="004912E2">
        <w:rPr>
          <w:rFonts w:ascii="Arial" w:hAnsi="Arial"/>
          <w:sz w:val="22"/>
          <w:szCs w:val="22"/>
        </w:rPr>
        <w:t xml:space="preserve">was not </w:t>
      </w:r>
      <w:r w:rsidRPr="00E573DC">
        <w:rPr>
          <w:rFonts w:ascii="Arial" w:hAnsi="Arial"/>
          <w:sz w:val="22"/>
          <w:szCs w:val="22"/>
        </w:rPr>
        <w:t>considered by DUSC.</w:t>
      </w:r>
    </w:p>
    <w:p w:rsidR="00FC23A1" w:rsidRPr="00E573DC" w:rsidRDefault="00FC23A1" w:rsidP="00FC23A1">
      <w:pPr>
        <w:pStyle w:val="ListParagraph"/>
        <w:jc w:val="both"/>
        <w:rPr>
          <w:rFonts w:ascii="Arial" w:hAnsi="Arial"/>
          <w:sz w:val="22"/>
          <w:szCs w:val="22"/>
        </w:rPr>
      </w:pPr>
    </w:p>
    <w:p w:rsidR="0041614C" w:rsidRPr="00E573DC" w:rsidRDefault="0041614C" w:rsidP="004E7A4D">
      <w:pPr>
        <w:pStyle w:val="ListParagraph"/>
        <w:numPr>
          <w:ilvl w:val="1"/>
          <w:numId w:val="1"/>
        </w:numPr>
        <w:jc w:val="both"/>
        <w:rPr>
          <w:rFonts w:ascii="Arial" w:hAnsi="Arial"/>
          <w:sz w:val="22"/>
          <w:szCs w:val="22"/>
        </w:rPr>
      </w:pPr>
      <w:r w:rsidRPr="00E573DC">
        <w:rPr>
          <w:rFonts w:ascii="Arial" w:hAnsi="Arial"/>
          <w:sz w:val="22"/>
          <w:szCs w:val="22"/>
        </w:rPr>
        <w:t>The submission presented the estimated use and financial implications as follows:</w:t>
      </w:r>
    </w:p>
    <w:p w:rsidR="00BB7EC3" w:rsidRPr="00E573DC" w:rsidRDefault="00B43E90" w:rsidP="00CA448A">
      <w:pPr>
        <w:jc w:val="both"/>
        <w:rPr>
          <w:rFonts w:ascii="Arial" w:hAnsi="Arial"/>
          <w:color w:val="FF0000"/>
          <w:sz w:val="22"/>
          <w:szCs w:val="22"/>
        </w:rPr>
      </w:pPr>
      <w:r w:rsidRPr="00E573DC">
        <w:rPr>
          <w:rFonts w:ascii="Arial" w:hAnsi="Arial"/>
          <w:color w:val="FF0000"/>
          <w:sz w:val="22"/>
          <w:szCs w:val="22"/>
        </w:rPr>
        <w:t xml:space="preserve"> </w:t>
      </w:r>
    </w:p>
    <w:p w:rsidR="00BB7EC3" w:rsidRPr="00E573DC" w:rsidRDefault="00CA448A" w:rsidP="00CA448A">
      <w:pPr>
        <w:keepNext/>
        <w:widowControl w:val="0"/>
        <w:ind w:firstLine="709"/>
        <w:jc w:val="both"/>
        <w:rPr>
          <w:rFonts w:ascii="Arial Narrow" w:hAnsi="Arial Narrow" w:cs="Arial"/>
          <w:b/>
          <w:snapToGrid w:val="0"/>
          <w:sz w:val="20"/>
          <w:szCs w:val="16"/>
          <w:lang w:eastAsia="en-US"/>
        </w:rPr>
      </w:pPr>
      <w:r w:rsidRPr="00E573DC">
        <w:rPr>
          <w:rFonts w:ascii="Arial Narrow" w:hAnsi="Arial Narrow" w:cs="Arial"/>
          <w:b/>
          <w:snapToGrid w:val="0"/>
          <w:sz w:val="20"/>
          <w:szCs w:val="16"/>
          <w:lang w:eastAsia="en-US"/>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Estimated use and financial implications"/>
      </w:tblPr>
      <w:tblGrid>
        <w:gridCol w:w="1534"/>
        <w:gridCol w:w="1272"/>
        <w:gridCol w:w="1272"/>
        <w:gridCol w:w="1386"/>
        <w:gridCol w:w="1391"/>
        <w:gridCol w:w="1513"/>
      </w:tblGrid>
      <w:tr w:rsidR="00CA448A" w:rsidRPr="0091201C" w:rsidTr="00CA448A">
        <w:trPr>
          <w:tblHeader/>
        </w:trPr>
        <w:tc>
          <w:tcPr>
            <w:tcW w:w="917" w:type="pct"/>
            <w:shd w:val="clear" w:color="auto" w:fill="auto"/>
            <w:vAlign w:val="center"/>
          </w:tcPr>
          <w:p w:rsidR="00CA448A" w:rsidRPr="007369A6" w:rsidRDefault="00CA448A" w:rsidP="00CA448A">
            <w:pPr>
              <w:keepNext/>
              <w:widowControl w:val="0"/>
              <w:tabs>
                <w:tab w:val="left" w:pos="142"/>
              </w:tabs>
              <w:rPr>
                <w:rFonts w:ascii="Arial Narrow" w:hAnsi="Arial Narrow" w:cs="Arial"/>
                <w:b/>
                <w:snapToGrid w:val="0"/>
                <w:sz w:val="20"/>
                <w:szCs w:val="20"/>
                <w:lang w:eastAsia="en-US"/>
              </w:rPr>
            </w:pPr>
          </w:p>
        </w:tc>
        <w:tc>
          <w:tcPr>
            <w:tcW w:w="760" w:type="pct"/>
            <w:shd w:val="clear" w:color="auto" w:fill="auto"/>
            <w:vAlign w:val="center"/>
          </w:tcPr>
          <w:p w:rsidR="00CA448A" w:rsidRPr="007369A6" w:rsidRDefault="00CA448A" w:rsidP="00CA448A">
            <w:pPr>
              <w:keepNext/>
              <w:widowControl w:val="0"/>
              <w:jc w:val="center"/>
              <w:rPr>
                <w:rFonts w:ascii="Arial Narrow" w:hAnsi="Arial Narrow" w:cs="Arial"/>
                <w:b/>
                <w:snapToGrid w:val="0"/>
                <w:sz w:val="20"/>
                <w:szCs w:val="20"/>
                <w:lang w:eastAsia="en-US"/>
              </w:rPr>
            </w:pPr>
            <w:r w:rsidRPr="00F30E2D">
              <w:rPr>
                <w:rFonts w:ascii="Arial Narrow" w:hAnsi="Arial Narrow" w:cs="Arial"/>
                <w:b/>
                <w:snapToGrid w:val="0"/>
                <w:sz w:val="20"/>
                <w:szCs w:val="20"/>
                <w:lang w:eastAsia="en-US"/>
              </w:rPr>
              <w:t>Year 1</w:t>
            </w:r>
          </w:p>
        </w:tc>
        <w:tc>
          <w:tcPr>
            <w:tcW w:w="760" w:type="pct"/>
            <w:shd w:val="clear" w:color="auto" w:fill="auto"/>
            <w:vAlign w:val="center"/>
          </w:tcPr>
          <w:p w:rsidR="00CA448A" w:rsidRPr="007369A6" w:rsidRDefault="00CA448A" w:rsidP="00CA448A">
            <w:pPr>
              <w:keepNext/>
              <w:widowControl w:val="0"/>
              <w:jc w:val="center"/>
              <w:rPr>
                <w:rFonts w:ascii="Arial Narrow" w:hAnsi="Arial Narrow" w:cs="Arial"/>
                <w:b/>
                <w:snapToGrid w:val="0"/>
                <w:sz w:val="20"/>
                <w:szCs w:val="20"/>
                <w:lang w:eastAsia="en-US"/>
              </w:rPr>
            </w:pPr>
            <w:r w:rsidRPr="00F30E2D">
              <w:rPr>
                <w:rFonts w:ascii="Arial Narrow" w:hAnsi="Arial Narrow" w:cs="Arial"/>
                <w:b/>
                <w:snapToGrid w:val="0"/>
                <w:sz w:val="20"/>
                <w:szCs w:val="20"/>
                <w:lang w:eastAsia="en-US"/>
              </w:rPr>
              <w:t>Year 2</w:t>
            </w:r>
          </w:p>
        </w:tc>
        <w:tc>
          <w:tcPr>
            <w:tcW w:w="828" w:type="pct"/>
            <w:shd w:val="clear" w:color="auto" w:fill="auto"/>
            <w:vAlign w:val="center"/>
          </w:tcPr>
          <w:p w:rsidR="00CA448A" w:rsidRPr="007369A6" w:rsidRDefault="00CA448A" w:rsidP="00CA448A">
            <w:pPr>
              <w:keepNext/>
              <w:widowControl w:val="0"/>
              <w:jc w:val="center"/>
              <w:rPr>
                <w:rFonts w:ascii="Arial Narrow" w:hAnsi="Arial Narrow" w:cs="Arial"/>
                <w:b/>
                <w:snapToGrid w:val="0"/>
                <w:sz w:val="20"/>
                <w:szCs w:val="20"/>
                <w:lang w:eastAsia="en-US"/>
              </w:rPr>
            </w:pPr>
            <w:r w:rsidRPr="00F30E2D">
              <w:rPr>
                <w:rFonts w:ascii="Arial Narrow" w:hAnsi="Arial Narrow" w:cs="Arial"/>
                <w:b/>
                <w:snapToGrid w:val="0"/>
                <w:sz w:val="20"/>
                <w:szCs w:val="20"/>
                <w:lang w:eastAsia="en-US"/>
              </w:rPr>
              <w:t>Year 3</w:t>
            </w:r>
          </w:p>
        </w:tc>
        <w:tc>
          <w:tcPr>
            <w:tcW w:w="831" w:type="pct"/>
            <w:shd w:val="clear" w:color="auto" w:fill="auto"/>
            <w:vAlign w:val="center"/>
          </w:tcPr>
          <w:p w:rsidR="00CA448A" w:rsidRPr="007369A6" w:rsidRDefault="00CA448A" w:rsidP="00CA448A">
            <w:pPr>
              <w:keepNext/>
              <w:widowControl w:val="0"/>
              <w:jc w:val="center"/>
              <w:rPr>
                <w:rFonts w:ascii="Arial Narrow" w:hAnsi="Arial Narrow" w:cs="Arial"/>
                <w:b/>
                <w:snapToGrid w:val="0"/>
                <w:sz w:val="20"/>
                <w:szCs w:val="20"/>
                <w:lang w:eastAsia="en-US"/>
              </w:rPr>
            </w:pPr>
            <w:r w:rsidRPr="00F30E2D">
              <w:rPr>
                <w:rFonts w:ascii="Arial Narrow" w:hAnsi="Arial Narrow" w:cs="Arial"/>
                <w:b/>
                <w:snapToGrid w:val="0"/>
                <w:sz w:val="20"/>
                <w:szCs w:val="20"/>
                <w:lang w:eastAsia="en-US"/>
              </w:rPr>
              <w:t>Year 4</w:t>
            </w:r>
          </w:p>
        </w:tc>
        <w:tc>
          <w:tcPr>
            <w:tcW w:w="904" w:type="pct"/>
            <w:shd w:val="clear" w:color="auto" w:fill="auto"/>
            <w:vAlign w:val="center"/>
          </w:tcPr>
          <w:p w:rsidR="00CA448A" w:rsidRPr="007369A6" w:rsidRDefault="00CA448A" w:rsidP="00CA448A">
            <w:pPr>
              <w:keepNext/>
              <w:widowControl w:val="0"/>
              <w:jc w:val="center"/>
              <w:rPr>
                <w:rFonts w:ascii="Arial Narrow" w:hAnsi="Arial Narrow" w:cs="Arial"/>
                <w:b/>
                <w:snapToGrid w:val="0"/>
                <w:sz w:val="20"/>
                <w:szCs w:val="20"/>
                <w:lang w:eastAsia="en-US"/>
              </w:rPr>
            </w:pPr>
            <w:r w:rsidRPr="00F30E2D">
              <w:rPr>
                <w:rFonts w:ascii="Arial Narrow" w:hAnsi="Arial Narrow" w:cs="Arial"/>
                <w:b/>
                <w:snapToGrid w:val="0"/>
                <w:sz w:val="20"/>
                <w:szCs w:val="20"/>
                <w:lang w:eastAsia="en-US"/>
              </w:rPr>
              <w:t>Year 5</w:t>
            </w:r>
          </w:p>
        </w:tc>
      </w:tr>
      <w:tr w:rsidR="00CA448A" w:rsidRPr="0091201C" w:rsidTr="00CA448A">
        <w:tc>
          <w:tcPr>
            <w:tcW w:w="5000" w:type="pct"/>
            <w:gridSpan w:val="6"/>
            <w:shd w:val="clear" w:color="auto" w:fill="auto"/>
            <w:vAlign w:val="center"/>
          </w:tcPr>
          <w:p w:rsidR="00CA448A" w:rsidRPr="007369A6" w:rsidRDefault="00CA448A" w:rsidP="00CA448A">
            <w:pPr>
              <w:keepNext/>
              <w:widowControl w:val="0"/>
              <w:rPr>
                <w:rFonts w:ascii="Arial Narrow" w:hAnsi="Arial Narrow" w:cs="Arial"/>
                <w:b/>
                <w:bCs/>
                <w:snapToGrid w:val="0"/>
                <w:color w:val="000000"/>
                <w:sz w:val="20"/>
                <w:szCs w:val="20"/>
                <w:lang w:eastAsia="en-US"/>
              </w:rPr>
            </w:pPr>
            <w:r w:rsidRPr="00F30E2D">
              <w:rPr>
                <w:rFonts w:ascii="Arial Narrow" w:hAnsi="Arial Narrow" w:cs="Arial"/>
                <w:b/>
                <w:bCs/>
                <w:snapToGrid w:val="0"/>
                <w:color w:val="000000"/>
                <w:sz w:val="20"/>
                <w:szCs w:val="20"/>
                <w:lang w:eastAsia="en-US"/>
              </w:rPr>
              <w:t>Estimated extent of use</w:t>
            </w:r>
          </w:p>
        </w:tc>
      </w:tr>
      <w:tr w:rsidR="00CA448A" w:rsidRPr="0091201C" w:rsidTr="00CA448A">
        <w:tc>
          <w:tcPr>
            <w:tcW w:w="917" w:type="pct"/>
            <w:shd w:val="clear" w:color="auto" w:fill="auto"/>
            <w:vAlign w:val="center"/>
          </w:tcPr>
          <w:p w:rsidR="00CA448A" w:rsidRPr="007369A6" w:rsidRDefault="00CA448A" w:rsidP="00CA448A">
            <w:pPr>
              <w:keepNext/>
              <w:widowControl w:val="0"/>
              <w:tabs>
                <w:tab w:val="left" w:pos="142"/>
              </w:tabs>
              <w:rPr>
                <w:rFonts w:ascii="Arial Narrow" w:hAnsi="Arial Narrow" w:cs="Arial"/>
                <w:snapToGrid w:val="0"/>
                <w:sz w:val="20"/>
                <w:szCs w:val="20"/>
                <w:lang w:eastAsia="en-US"/>
              </w:rPr>
            </w:pPr>
            <w:r w:rsidRPr="00F30E2D">
              <w:rPr>
                <w:rFonts w:ascii="Arial Narrow" w:hAnsi="Arial Narrow" w:cs="Arial"/>
                <w:snapToGrid w:val="0"/>
                <w:sz w:val="20"/>
                <w:szCs w:val="20"/>
                <w:lang w:eastAsia="en-US"/>
              </w:rPr>
              <w:t>Number treated</w:t>
            </w:r>
          </w:p>
        </w:tc>
        <w:tc>
          <w:tcPr>
            <w:tcW w:w="760" w:type="pct"/>
            <w:shd w:val="clear" w:color="auto" w:fill="auto"/>
            <w:vAlign w:val="center"/>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60" w:type="pct"/>
            <w:shd w:val="clear" w:color="auto" w:fill="auto"/>
            <w:vAlign w:val="bottom"/>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28" w:type="pct"/>
            <w:shd w:val="clear" w:color="auto" w:fill="auto"/>
            <w:vAlign w:val="bottom"/>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31" w:type="pct"/>
            <w:shd w:val="clear" w:color="auto" w:fill="auto"/>
            <w:vAlign w:val="bottom"/>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04" w:type="pct"/>
            <w:shd w:val="clear" w:color="auto" w:fill="auto"/>
            <w:vAlign w:val="bottom"/>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CA448A" w:rsidRPr="0091201C" w:rsidTr="00CA448A">
        <w:tc>
          <w:tcPr>
            <w:tcW w:w="917" w:type="pct"/>
            <w:shd w:val="clear" w:color="auto" w:fill="auto"/>
            <w:vAlign w:val="center"/>
          </w:tcPr>
          <w:p w:rsidR="00CA448A" w:rsidRPr="007369A6" w:rsidRDefault="00CA448A" w:rsidP="00CA448A">
            <w:pPr>
              <w:widowControl w:val="0"/>
              <w:tabs>
                <w:tab w:val="left" w:pos="142"/>
              </w:tabs>
              <w:rPr>
                <w:rFonts w:ascii="Arial Narrow" w:hAnsi="Arial Narrow" w:cs="Arial"/>
                <w:snapToGrid w:val="0"/>
                <w:sz w:val="20"/>
                <w:szCs w:val="20"/>
                <w:lang w:eastAsia="en-US"/>
              </w:rPr>
            </w:pPr>
            <w:r w:rsidRPr="00F30E2D">
              <w:rPr>
                <w:rFonts w:ascii="Arial Narrow" w:hAnsi="Arial Narrow" w:cs="Arial"/>
                <w:snapToGrid w:val="0"/>
                <w:sz w:val="20"/>
                <w:szCs w:val="20"/>
                <w:lang w:eastAsia="en-US"/>
              </w:rPr>
              <w:t xml:space="preserve">Scripts </w:t>
            </w:r>
            <w:r w:rsidRPr="00F30E2D">
              <w:rPr>
                <w:rFonts w:ascii="Arial Narrow" w:hAnsi="Arial Narrow" w:cs="Arial"/>
                <w:snapToGrid w:val="0"/>
                <w:sz w:val="20"/>
                <w:szCs w:val="20"/>
                <w:vertAlign w:val="superscript"/>
                <w:lang w:eastAsia="en-US"/>
              </w:rPr>
              <w:t>a</w:t>
            </w:r>
          </w:p>
        </w:tc>
        <w:tc>
          <w:tcPr>
            <w:tcW w:w="760" w:type="pct"/>
            <w:shd w:val="clear" w:color="auto" w:fill="auto"/>
            <w:vAlign w:val="center"/>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60" w:type="pct"/>
            <w:shd w:val="clear" w:color="auto" w:fill="auto"/>
            <w:vAlign w:val="center"/>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28" w:type="pct"/>
            <w:shd w:val="clear" w:color="auto" w:fill="auto"/>
            <w:vAlign w:val="center"/>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31" w:type="pct"/>
            <w:shd w:val="clear" w:color="auto" w:fill="auto"/>
            <w:vAlign w:val="center"/>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04" w:type="pct"/>
            <w:shd w:val="clear" w:color="auto" w:fill="auto"/>
            <w:vAlign w:val="center"/>
          </w:tcPr>
          <w:p w:rsidR="00CA448A" w:rsidRPr="007369A6" w:rsidRDefault="007369A6" w:rsidP="00CA448A">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CA448A" w:rsidRPr="0091201C" w:rsidTr="00CA448A">
        <w:tc>
          <w:tcPr>
            <w:tcW w:w="5000" w:type="pct"/>
            <w:gridSpan w:val="6"/>
            <w:shd w:val="clear" w:color="auto" w:fill="auto"/>
            <w:vAlign w:val="center"/>
          </w:tcPr>
          <w:p w:rsidR="00CA448A" w:rsidRPr="007369A6" w:rsidRDefault="00CA448A" w:rsidP="00CA448A">
            <w:pPr>
              <w:widowControl w:val="0"/>
              <w:rPr>
                <w:rFonts w:ascii="Arial Narrow" w:hAnsi="Arial Narrow" w:cs="Arial"/>
                <w:b/>
                <w:bCs/>
                <w:snapToGrid w:val="0"/>
                <w:color w:val="000000"/>
                <w:sz w:val="20"/>
                <w:szCs w:val="20"/>
                <w:lang w:eastAsia="en-US"/>
              </w:rPr>
            </w:pPr>
            <w:r w:rsidRPr="00F30E2D">
              <w:rPr>
                <w:rFonts w:ascii="Arial Narrow" w:hAnsi="Arial Narrow" w:cs="Arial"/>
                <w:b/>
                <w:bCs/>
                <w:snapToGrid w:val="0"/>
                <w:color w:val="000000"/>
                <w:sz w:val="20"/>
                <w:szCs w:val="20"/>
                <w:lang w:eastAsia="en-US"/>
              </w:rPr>
              <w:t>Estimated net cost to PBS/RPBS/MBS</w:t>
            </w:r>
          </w:p>
        </w:tc>
      </w:tr>
      <w:tr w:rsidR="00CA448A" w:rsidRPr="0091201C" w:rsidTr="00CA448A">
        <w:tc>
          <w:tcPr>
            <w:tcW w:w="917" w:type="pct"/>
            <w:shd w:val="clear" w:color="auto" w:fill="auto"/>
            <w:vAlign w:val="center"/>
          </w:tcPr>
          <w:p w:rsidR="00CA448A" w:rsidRPr="007369A6" w:rsidRDefault="00CA448A" w:rsidP="00CA448A">
            <w:pPr>
              <w:widowControl w:val="0"/>
              <w:tabs>
                <w:tab w:val="left" w:pos="142"/>
              </w:tabs>
              <w:rPr>
                <w:rFonts w:ascii="Arial Narrow" w:hAnsi="Arial Narrow" w:cs="Arial"/>
                <w:snapToGrid w:val="0"/>
                <w:sz w:val="20"/>
                <w:szCs w:val="20"/>
                <w:lang w:eastAsia="en-US"/>
              </w:rPr>
            </w:pPr>
            <w:r w:rsidRPr="00F30E2D">
              <w:rPr>
                <w:rFonts w:ascii="Arial Narrow" w:hAnsi="Arial Narrow" w:cs="Arial"/>
                <w:snapToGrid w:val="0"/>
                <w:sz w:val="19"/>
                <w:szCs w:val="19"/>
                <w:lang w:eastAsia="en-US"/>
              </w:rPr>
              <w:t>Net cost to PBS</w:t>
            </w:r>
          </w:p>
        </w:tc>
        <w:tc>
          <w:tcPr>
            <w:tcW w:w="760" w:type="pct"/>
            <w:shd w:val="clear" w:color="auto" w:fill="auto"/>
            <w:vAlign w:val="center"/>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60" w:type="pct"/>
            <w:shd w:val="clear" w:color="auto" w:fill="auto"/>
            <w:vAlign w:val="center"/>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28" w:type="pct"/>
            <w:shd w:val="clear" w:color="auto" w:fill="auto"/>
            <w:vAlign w:val="center"/>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31" w:type="pct"/>
            <w:shd w:val="clear" w:color="auto" w:fill="auto"/>
            <w:vAlign w:val="center"/>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04" w:type="pct"/>
            <w:shd w:val="clear" w:color="auto" w:fill="auto"/>
            <w:vAlign w:val="center"/>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CA448A" w:rsidRPr="0091201C" w:rsidTr="00CA448A">
        <w:tc>
          <w:tcPr>
            <w:tcW w:w="917" w:type="pct"/>
            <w:shd w:val="clear" w:color="auto" w:fill="auto"/>
            <w:vAlign w:val="center"/>
          </w:tcPr>
          <w:p w:rsidR="00CA448A" w:rsidRPr="007369A6" w:rsidRDefault="00CA448A" w:rsidP="00CA448A">
            <w:pPr>
              <w:widowControl w:val="0"/>
              <w:tabs>
                <w:tab w:val="left" w:pos="142"/>
              </w:tabs>
              <w:rPr>
                <w:rFonts w:ascii="Arial Narrow" w:hAnsi="Arial Narrow" w:cs="Arial"/>
                <w:snapToGrid w:val="0"/>
                <w:sz w:val="20"/>
                <w:szCs w:val="20"/>
                <w:lang w:eastAsia="en-US"/>
              </w:rPr>
            </w:pPr>
            <w:r w:rsidRPr="00F30E2D">
              <w:rPr>
                <w:rFonts w:ascii="Arial Narrow" w:hAnsi="Arial Narrow" w:cs="Arial"/>
                <w:snapToGrid w:val="0"/>
                <w:sz w:val="19"/>
                <w:szCs w:val="19"/>
                <w:lang w:eastAsia="en-US"/>
              </w:rPr>
              <w:t>Net cost to MBS</w:t>
            </w:r>
          </w:p>
        </w:tc>
        <w:tc>
          <w:tcPr>
            <w:tcW w:w="760" w:type="pct"/>
            <w:shd w:val="clear" w:color="auto" w:fill="auto"/>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60" w:type="pct"/>
            <w:shd w:val="clear" w:color="auto" w:fill="auto"/>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28" w:type="pct"/>
            <w:shd w:val="clear" w:color="auto" w:fill="auto"/>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831" w:type="pct"/>
            <w:shd w:val="clear" w:color="auto" w:fill="auto"/>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04" w:type="pct"/>
            <w:shd w:val="clear" w:color="auto" w:fill="auto"/>
          </w:tcPr>
          <w:p w:rsidR="00CA448A" w:rsidRPr="007369A6" w:rsidRDefault="007369A6" w:rsidP="00CA448A">
            <w:pPr>
              <w:keepNext/>
              <w:widowControl w:val="0"/>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CA448A" w:rsidRPr="0091201C" w:rsidTr="00CA448A">
        <w:tc>
          <w:tcPr>
            <w:tcW w:w="5000" w:type="pct"/>
            <w:gridSpan w:val="6"/>
            <w:shd w:val="clear" w:color="auto" w:fill="auto"/>
            <w:vAlign w:val="center"/>
          </w:tcPr>
          <w:p w:rsidR="00CA448A" w:rsidRPr="007369A6" w:rsidRDefault="00CA448A" w:rsidP="00CA448A">
            <w:pPr>
              <w:widowControl w:val="0"/>
              <w:rPr>
                <w:rFonts w:ascii="Arial Narrow" w:hAnsi="Arial Narrow" w:cs="Arial"/>
                <w:b/>
                <w:snapToGrid w:val="0"/>
                <w:color w:val="000000"/>
                <w:sz w:val="20"/>
                <w:szCs w:val="20"/>
                <w:lang w:eastAsia="en-US"/>
              </w:rPr>
            </w:pPr>
            <w:r w:rsidRPr="00F30E2D">
              <w:rPr>
                <w:rFonts w:ascii="Arial Narrow" w:hAnsi="Arial Narrow" w:cs="Arial"/>
                <w:b/>
                <w:snapToGrid w:val="0"/>
                <w:color w:val="000000"/>
                <w:sz w:val="20"/>
                <w:szCs w:val="20"/>
                <w:lang w:eastAsia="en-US"/>
              </w:rPr>
              <w:t>Estimated total net cost</w:t>
            </w:r>
          </w:p>
        </w:tc>
      </w:tr>
      <w:tr w:rsidR="00CA448A" w:rsidRPr="0091201C" w:rsidTr="00CA448A">
        <w:tc>
          <w:tcPr>
            <w:tcW w:w="917" w:type="pct"/>
            <w:shd w:val="clear" w:color="auto" w:fill="auto"/>
            <w:vAlign w:val="center"/>
          </w:tcPr>
          <w:p w:rsidR="00CA448A" w:rsidRPr="007369A6" w:rsidRDefault="00CA448A" w:rsidP="00CA448A">
            <w:pPr>
              <w:widowControl w:val="0"/>
              <w:tabs>
                <w:tab w:val="left" w:pos="142"/>
              </w:tabs>
              <w:rPr>
                <w:rFonts w:ascii="Arial Narrow" w:hAnsi="Arial Narrow" w:cs="Arial"/>
                <w:snapToGrid w:val="0"/>
                <w:sz w:val="20"/>
                <w:szCs w:val="20"/>
                <w:lang w:eastAsia="en-US"/>
              </w:rPr>
            </w:pPr>
          </w:p>
        </w:tc>
        <w:tc>
          <w:tcPr>
            <w:tcW w:w="760" w:type="pct"/>
            <w:shd w:val="clear" w:color="auto" w:fill="auto"/>
          </w:tcPr>
          <w:p w:rsidR="00CA448A" w:rsidRPr="007369A6" w:rsidRDefault="007369A6" w:rsidP="00CA448A">
            <w:pPr>
              <w:keepNext/>
              <w:widowControl w:val="0"/>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60" w:type="pct"/>
            <w:shd w:val="clear" w:color="auto" w:fill="auto"/>
          </w:tcPr>
          <w:p w:rsidR="00CA448A" w:rsidRPr="007369A6" w:rsidRDefault="007369A6" w:rsidP="00CA448A">
            <w:pPr>
              <w:keepNext/>
              <w:widowControl w:val="0"/>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828" w:type="pct"/>
            <w:shd w:val="clear" w:color="auto" w:fill="auto"/>
          </w:tcPr>
          <w:p w:rsidR="00CA448A" w:rsidRPr="007369A6" w:rsidRDefault="007369A6" w:rsidP="00CA448A">
            <w:pPr>
              <w:keepNext/>
              <w:widowControl w:val="0"/>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831" w:type="pct"/>
            <w:shd w:val="clear" w:color="auto" w:fill="auto"/>
          </w:tcPr>
          <w:p w:rsidR="00CA448A" w:rsidRPr="007369A6" w:rsidRDefault="007369A6" w:rsidP="00CA448A">
            <w:pPr>
              <w:keepNext/>
              <w:widowControl w:val="0"/>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904" w:type="pct"/>
            <w:shd w:val="clear" w:color="auto" w:fill="auto"/>
          </w:tcPr>
          <w:p w:rsidR="00CA448A" w:rsidRPr="007369A6" w:rsidRDefault="007369A6" w:rsidP="00CA448A">
            <w:pPr>
              <w:keepNext/>
              <w:widowControl w:val="0"/>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r>
    </w:tbl>
    <w:p w:rsidR="00CA448A" w:rsidRPr="007369A6" w:rsidRDefault="007369A6" w:rsidP="00CA448A">
      <w:pPr>
        <w:pStyle w:val="TableFooter"/>
        <w:ind w:firstLine="720"/>
        <w:rPr>
          <w:highlight w:val="black"/>
        </w:rPr>
      </w:pPr>
      <w:r>
        <w:rPr>
          <w:noProof/>
          <w:color w:val="000000"/>
          <w:highlight w:val="black"/>
        </w:rPr>
        <w:t>'''''''''''''''' '''''''''''''''''''''''''''''' '''''''''''''''' '''' ''''''''''' ''''''''' '''''''''''''''''''''' ''''''''''''''''''''''''''''''</w:t>
      </w:r>
    </w:p>
    <w:p w:rsidR="00CA448A" w:rsidRPr="007369A6" w:rsidRDefault="007369A6" w:rsidP="00CA448A">
      <w:pPr>
        <w:pStyle w:val="TableFooter"/>
        <w:ind w:left="709"/>
        <w:rPr>
          <w:highlight w:val="black"/>
        </w:rPr>
      </w:pPr>
      <w:r>
        <w:rPr>
          <w:noProof/>
          <w:color w:val="000000"/>
          <w:highlight w:val="black"/>
          <w:vertAlign w:val="superscript"/>
        </w:rPr>
        <w:t>''' '''''''''''''''''''''''' '''' '''''''''''''' ''''''' '''''''''''''''''''''' '''' '''''''''''''''''''' '''''' ''''''''' ''''''''''' ''''' ''''''''''''''''''''''''''''''''' ''''''''' '''''''' ''''''''''''''''''''' ''''''' ''''''''''' ''' ''''' ''' ''''' ''''''''''''''''''''''' '''''' '''''''''''''''''''''' ''''' ''''''''' '''''''''''''''''''''''''''''</w:t>
      </w:r>
    </w:p>
    <w:p w:rsidR="00CA448A" w:rsidRPr="001358D7" w:rsidRDefault="00CA448A" w:rsidP="001358D7">
      <w:pPr>
        <w:jc w:val="both"/>
        <w:rPr>
          <w:rFonts w:ascii="Arial" w:hAnsi="Arial"/>
          <w:sz w:val="22"/>
          <w:szCs w:val="22"/>
        </w:rPr>
      </w:pPr>
    </w:p>
    <w:p w:rsidR="00BB7EC3" w:rsidRPr="00BB7EC3" w:rsidRDefault="00BB7EC3" w:rsidP="00950893">
      <w:pPr>
        <w:pStyle w:val="ListParagraph"/>
        <w:tabs>
          <w:tab w:val="right" w:pos="9026"/>
        </w:tabs>
        <w:ind w:left="709"/>
        <w:jc w:val="both"/>
        <w:rPr>
          <w:rFonts w:ascii="Arial" w:hAnsi="Arial"/>
          <w:i/>
          <w:sz w:val="22"/>
          <w:szCs w:val="22"/>
        </w:rPr>
      </w:pPr>
      <w:r>
        <w:rPr>
          <w:rFonts w:ascii="Arial" w:hAnsi="Arial"/>
          <w:i/>
          <w:sz w:val="22"/>
          <w:szCs w:val="22"/>
        </w:rPr>
        <w:t>For more detail on PBAC’s view, see section 7 “PBAC outcome”</w:t>
      </w:r>
    </w:p>
    <w:p w:rsidR="00CE10C4" w:rsidRPr="00882085" w:rsidRDefault="00CE10C4" w:rsidP="00882085">
      <w:pPr>
        <w:jc w:val="both"/>
        <w:rPr>
          <w:rFonts w:ascii="Arial" w:hAnsi="Arial"/>
          <w:b/>
          <w:sz w:val="22"/>
          <w:szCs w:val="22"/>
        </w:rPr>
      </w:pPr>
    </w:p>
    <w:p w:rsidR="00326E79" w:rsidRPr="00882085" w:rsidRDefault="00A62C1A" w:rsidP="00390011">
      <w:pPr>
        <w:pStyle w:val="Header"/>
        <w:numPr>
          <w:ilvl w:val="0"/>
          <w:numId w:val="1"/>
        </w:numPr>
        <w:tabs>
          <w:tab w:val="clear" w:pos="4153"/>
          <w:tab w:val="clear" w:pos="8306"/>
        </w:tabs>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r w:rsidR="00B43E90" w:rsidRPr="00882085">
        <w:rPr>
          <w:rFonts w:ascii="Arial" w:hAnsi="Arial"/>
          <w:b/>
          <w:sz w:val="22"/>
          <w:szCs w:val="22"/>
        </w:rPr>
        <w:t xml:space="preserve"> </w:t>
      </w:r>
    </w:p>
    <w:p w:rsidR="00BB7EC3" w:rsidRPr="00474670" w:rsidRDefault="00BB7EC3" w:rsidP="00474670">
      <w:pPr>
        <w:jc w:val="both"/>
        <w:rPr>
          <w:rFonts w:ascii="Arial" w:hAnsi="Arial"/>
          <w:sz w:val="22"/>
          <w:szCs w:val="22"/>
        </w:rPr>
      </w:pPr>
    </w:p>
    <w:p w:rsidR="00CD1C49" w:rsidRPr="00CD1C49" w:rsidRDefault="00CD1C49" w:rsidP="004E7A4D">
      <w:pPr>
        <w:pStyle w:val="ListParagraph"/>
        <w:numPr>
          <w:ilvl w:val="1"/>
          <w:numId w:val="1"/>
        </w:numPr>
        <w:jc w:val="both"/>
        <w:rPr>
          <w:rFonts w:ascii="Arial" w:hAnsi="Arial"/>
          <w:sz w:val="22"/>
          <w:szCs w:val="22"/>
        </w:rPr>
      </w:pPr>
      <w:r w:rsidRPr="00CD1C49">
        <w:rPr>
          <w:rFonts w:ascii="Arial" w:hAnsi="Arial"/>
          <w:sz w:val="22"/>
          <w:szCs w:val="22"/>
        </w:rPr>
        <w:t xml:space="preserve">The PBAC rejected the submission to list </w:t>
      </w:r>
      <w:proofErr w:type="spellStart"/>
      <w:r w:rsidRPr="00CD1C49">
        <w:rPr>
          <w:rFonts w:ascii="Arial" w:hAnsi="Arial"/>
          <w:sz w:val="22"/>
          <w:szCs w:val="22"/>
        </w:rPr>
        <w:t>vedolizumab</w:t>
      </w:r>
      <w:proofErr w:type="spellEnd"/>
      <w:r w:rsidRPr="00CD1C49">
        <w:rPr>
          <w:rFonts w:ascii="Arial" w:hAnsi="Arial"/>
          <w:sz w:val="22"/>
          <w:szCs w:val="22"/>
        </w:rPr>
        <w:t xml:space="preserve"> for the treatment of moderate to severe ulcerative colitis on the basis that the evidence presented did not conclusively establish non-inferiority of </w:t>
      </w:r>
      <w:proofErr w:type="spellStart"/>
      <w:r w:rsidRPr="00CD1C49">
        <w:rPr>
          <w:rFonts w:ascii="Arial" w:hAnsi="Arial"/>
          <w:sz w:val="22"/>
          <w:szCs w:val="22"/>
        </w:rPr>
        <w:t>vedolizumab</w:t>
      </w:r>
      <w:proofErr w:type="spellEnd"/>
      <w:r w:rsidRPr="00CD1C49">
        <w:rPr>
          <w:rFonts w:ascii="Arial" w:hAnsi="Arial"/>
          <w:sz w:val="22"/>
          <w:szCs w:val="22"/>
        </w:rPr>
        <w:t xml:space="preserve"> to infliximab in terms of comparative safety and effectiveness. Therefore a cost-minimisation listing was not able to be supported. The cost-effectiveness of listing </w:t>
      </w:r>
      <w:proofErr w:type="spellStart"/>
      <w:r w:rsidRPr="00CD1C49">
        <w:rPr>
          <w:rFonts w:ascii="Arial" w:hAnsi="Arial"/>
          <w:sz w:val="22"/>
          <w:szCs w:val="22"/>
        </w:rPr>
        <w:t>vedolizumab</w:t>
      </w:r>
      <w:proofErr w:type="spellEnd"/>
      <w:r w:rsidRPr="00CD1C49">
        <w:rPr>
          <w:rFonts w:ascii="Arial" w:hAnsi="Arial"/>
          <w:sz w:val="22"/>
          <w:szCs w:val="22"/>
        </w:rPr>
        <w:t xml:space="preserve"> compared to </w:t>
      </w:r>
      <w:r w:rsidRPr="00CD1C49">
        <w:rPr>
          <w:rFonts w:ascii="Arial" w:hAnsi="Arial"/>
          <w:sz w:val="22"/>
          <w:szCs w:val="22"/>
        </w:rPr>
        <w:lastRenderedPageBreak/>
        <w:t xml:space="preserve">placebo was unacceptably high. Further, the cost-effectiveness of listing </w:t>
      </w:r>
      <w:proofErr w:type="spellStart"/>
      <w:r w:rsidRPr="00CD1C49">
        <w:rPr>
          <w:rFonts w:ascii="Arial" w:hAnsi="Arial"/>
          <w:sz w:val="22"/>
          <w:szCs w:val="22"/>
        </w:rPr>
        <w:t>vedolizumab</w:t>
      </w:r>
      <w:proofErr w:type="spellEnd"/>
      <w:r w:rsidRPr="00CD1C49">
        <w:rPr>
          <w:rFonts w:ascii="Arial" w:hAnsi="Arial"/>
          <w:sz w:val="22"/>
          <w:szCs w:val="22"/>
        </w:rPr>
        <w:t xml:space="preserve"> following treatment failure with 5-aminosalicylate therapies, oral immunosuppressive systemic therapies and an anti-TNF </w:t>
      </w:r>
      <w:proofErr w:type="spellStart"/>
      <w:r w:rsidRPr="00CD1C49">
        <w:rPr>
          <w:rFonts w:ascii="Arial" w:hAnsi="Arial"/>
          <w:sz w:val="22"/>
          <w:szCs w:val="22"/>
        </w:rPr>
        <w:t>alfa</w:t>
      </w:r>
      <w:proofErr w:type="spellEnd"/>
      <w:r w:rsidRPr="00CD1C49">
        <w:rPr>
          <w:rFonts w:ascii="Arial" w:hAnsi="Arial"/>
          <w:sz w:val="22"/>
          <w:szCs w:val="22"/>
        </w:rPr>
        <w:t xml:space="preserve"> </w:t>
      </w:r>
      <w:proofErr w:type="gramStart"/>
      <w:r w:rsidRPr="00CD1C49">
        <w:rPr>
          <w:rFonts w:ascii="Arial" w:hAnsi="Arial"/>
          <w:sz w:val="22"/>
          <w:szCs w:val="22"/>
        </w:rPr>
        <w:t>inhibitor,</w:t>
      </w:r>
      <w:proofErr w:type="gramEnd"/>
      <w:r w:rsidRPr="00CD1C49">
        <w:rPr>
          <w:rFonts w:ascii="Arial" w:hAnsi="Arial"/>
          <w:sz w:val="22"/>
          <w:szCs w:val="22"/>
        </w:rPr>
        <w:t xml:space="preserve"> was unknown. </w:t>
      </w:r>
    </w:p>
    <w:p w:rsidR="00CD1C49" w:rsidRDefault="00CD1C49" w:rsidP="00CD1C49">
      <w:pPr>
        <w:pStyle w:val="ListParagraph"/>
        <w:ind w:left="709"/>
        <w:jc w:val="both"/>
        <w:rPr>
          <w:rFonts w:ascii="Arial" w:hAnsi="Arial"/>
          <w:sz w:val="22"/>
          <w:szCs w:val="22"/>
        </w:rPr>
      </w:pPr>
    </w:p>
    <w:p w:rsidR="00BB7EC3" w:rsidRPr="00BB7EC3" w:rsidRDefault="00CD1C49" w:rsidP="004E7A4D">
      <w:pPr>
        <w:pStyle w:val="ListParagraph"/>
        <w:numPr>
          <w:ilvl w:val="1"/>
          <w:numId w:val="1"/>
        </w:numPr>
        <w:jc w:val="both"/>
        <w:rPr>
          <w:rFonts w:ascii="Arial" w:hAnsi="Arial"/>
          <w:sz w:val="22"/>
          <w:szCs w:val="22"/>
        </w:rPr>
      </w:pPr>
      <w:r>
        <w:rPr>
          <w:rFonts w:ascii="Arial" w:hAnsi="Arial"/>
          <w:sz w:val="22"/>
          <w:szCs w:val="22"/>
        </w:rPr>
        <w:t>T</w:t>
      </w:r>
      <w:r w:rsidR="0004191D" w:rsidRPr="0004191D">
        <w:rPr>
          <w:rFonts w:ascii="Arial" w:hAnsi="Arial"/>
          <w:sz w:val="22"/>
          <w:szCs w:val="22"/>
        </w:rPr>
        <w:t xml:space="preserve">he PBAC noted that the requested listing for </w:t>
      </w:r>
      <w:proofErr w:type="spellStart"/>
      <w:r w:rsidR="0004191D">
        <w:rPr>
          <w:rFonts w:ascii="Arial" w:hAnsi="Arial"/>
          <w:sz w:val="22"/>
          <w:szCs w:val="22"/>
        </w:rPr>
        <w:t>vedolizumab</w:t>
      </w:r>
      <w:proofErr w:type="spellEnd"/>
      <w:r w:rsidR="0004191D">
        <w:rPr>
          <w:rFonts w:ascii="Arial" w:hAnsi="Arial"/>
          <w:sz w:val="22"/>
          <w:szCs w:val="22"/>
        </w:rPr>
        <w:t xml:space="preserve"> </w:t>
      </w:r>
      <w:r w:rsidR="0004191D" w:rsidRPr="0004191D">
        <w:rPr>
          <w:rFonts w:ascii="Arial" w:hAnsi="Arial"/>
          <w:sz w:val="22"/>
          <w:szCs w:val="22"/>
        </w:rPr>
        <w:t>differed slightly from that recommended for infliximab in March 2014 in terms of</w:t>
      </w:r>
      <w:r w:rsidR="008843E2">
        <w:rPr>
          <w:rFonts w:ascii="Arial" w:hAnsi="Arial"/>
          <w:sz w:val="22"/>
          <w:szCs w:val="22"/>
        </w:rPr>
        <w:t xml:space="preserve"> </w:t>
      </w:r>
      <w:r w:rsidR="0004191D" w:rsidRPr="0004191D">
        <w:rPr>
          <w:rFonts w:ascii="Arial" w:hAnsi="Arial"/>
          <w:sz w:val="22"/>
          <w:szCs w:val="22"/>
        </w:rPr>
        <w:t xml:space="preserve">defining moderate to severe disease </w:t>
      </w:r>
      <w:r w:rsidR="008843E2">
        <w:rPr>
          <w:rFonts w:ascii="Arial" w:hAnsi="Arial"/>
          <w:sz w:val="22"/>
          <w:szCs w:val="22"/>
        </w:rPr>
        <w:t xml:space="preserve">and defining </w:t>
      </w:r>
      <w:r w:rsidR="0004191D" w:rsidRPr="0004191D">
        <w:rPr>
          <w:rFonts w:ascii="Arial" w:hAnsi="Arial"/>
          <w:sz w:val="22"/>
          <w:szCs w:val="22"/>
        </w:rPr>
        <w:t xml:space="preserve">an adequate or sustained response.  The PBAC considered that if </w:t>
      </w:r>
      <w:proofErr w:type="spellStart"/>
      <w:r w:rsidR="0004191D">
        <w:rPr>
          <w:rFonts w:ascii="Arial" w:hAnsi="Arial"/>
          <w:sz w:val="22"/>
          <w:szCs w:val="22"/>
        </w:rPr>
        <w:t>vedolizu</w:t>
      </w:r>
      <w:r w:rsidR="0004191D" w:rsidRPr="0004191D">
        <w:rPr>
          <w:rFonts w:ascii="Arial" w:hAnsi="Arial"/>
          <w:sz w:val="22"/>
          <w:szCs w:val="22"/>
        </w:rPr>
        <w:t>mab</w:t>
      </w:r>
      <w:proofErr w:type="spellEnd"/>
      <w:r w:rsidR="0004191D" w:rsidRPr="0004191D">
        <w:rPr>
          <w:rFonts w:ascii="Arial" w:hAnsi="Arial"/>
          <w:sz w:val="22"/>
          <w:szCs w:val="22"/>
        </w:rPr>
        <w:t xml:space="preserve"> was to be PBS-listed for moderate to severe ulcerative colitis, it would be reasonable to expect that the restriction for </w:t>
      </w:r>
      <w:proofErr w:type="spellStart"/>
      <w:r w:rsidR="0004191D">
        <w:rPr>
          <w:rFonts w:ascii="Arial" w:hAnsi="Arial"/>
          <w:sz w:val="22"/>
          <w:szCs w:val="22"/>
        </w:rPr>
        <w:t>vedoliz</w:t>
      </w:r>
      <w:r w:rsidR="0004191D" w:rsidRPr="0004191D">
        <w:rPr>
          <w:rFonts w:ascii="Arial" w:hAnsi="Arial"/>
          <w:sz w:val="22"/>
          <w:szCs w:val="22"/>
        </w:rPr>
        <w:t>umab</w:t>
      </w:r>
      <w:proofErr w:type="spellEnd"/>
      <w:r w:rsidR="0004191D" w:rsidRPr="0004191D">
        <w:rPr>
          <w:rFonts w:ascii="Arial" w:hAnsi="Arial"/>
          <w:sz w:val="22"/>
          <w:szCs w:val="22"/>
        </w:rPr>
        <w:t xml:space="preserve"> be aligned with infliximab’s restriction for moderate to severe ulcerative colitis as much as practical</w:t>
      </w:r>
      <w:r w:rsidR="0004191D">
        <w:rPr>
          <w:rFonts w:ascii="Arial" w:hAnsi="Arial"/>
          <w:sz w:val="22"/>
          <w:szCs w:val="22"/>
        </w:rPr>
        <w:t xml:space="preserve"> in terms of defining ‘moderate to severe’ disease, the use of Mayo and partial Mayo clinic scoring</w:t>
      </w:r>
      <w:r w:rsidR="00F401A5">
        <w:rPr>
          <w:rFonts w:ascii="Arial" w:hAnsi="Arial"/>
          <w:sz w:val="22"/>
          <w:szCs w:val="22"/>
        </w:rPr>
        <w:t>,</w:t>
      </w:r>
      <w:r w:rsidR="0004191D">
        <w:rPr>
          <w:rFonts w:ascii="Arial" w:hAnsi="Arial"/>
          <w:sz w:val="22"/>
          <w:szCs w:val="22"/>
        </w:rPr>
        <w:t xml:space="preserve"> and</w:t>
      </w:r>
      <w:r w:rsidR="00F401A5">
        <w:rPr>
          <w:rFonts w:ascii="Arial" w:hAnsi="Arial"/>
          <w:sz w:val="22"/>
          <w:szCs w:val="22"/>
        </w:rPr>
        <w:t>,</w:t>
      </w:r>
      <w:r w:rsidR="0004191D">
        <w:rPr>
          <w:rFonts w:ascii="Arial" w:hAnsi="Arial"/>
          <w:sz w:val="22"/>
          <w:szCs w:val="22"/>
        </w:rPr>
        <w:t xml:space="preserve"> defining an adequate response</w:t>
      </w:r>
      <w:r w:rsidR="00F401A5">
        <w:rPr>
          <w:rFonts w:ascii="Arial" w:hAnsi="Arial"/>
          <w:sz w:val="22"/>
          <w:szCs w:val="22"/>
        </w:rPr>
        <w:t xml:space="preserve"> for continuing treatment</w:t>
      </w:r>
      <w:r w:rsidR="0004191D">
        <w:rPr>
          <w:rFonts w:ascii="Arial" w:hAnsi="Arial"/>
          <w:sz w:val="22"/>
          <w:szCs w:val="22"/>
        </w:rPr>
        <w:t>.</w:t>
      </w:r>
      <w:r w:rsidR="0004191D" w:rsidRPr="0004191D">
        <w:rPr>
          <w:rFonts w:ascii="Arial" w:hAnsi="Arial"/>
          <w:sz w:val="22"/>
          <w:szCs w:val="22"/>
        </w:rPr>
        <w:t xml:space="preserve"> </w:t>
      </w:r>
      <w:r w:rsidR="00F401A5">
        <w:rPr>
          <w:rFonts w:ascii="Arial" w:hAnsi="Arial"/>
          <w:sz w:val="22"/>
          <w:szCs w:val="22"/>
        </w:rPr>
        <w:t>However, in terms of the requested restriction position</w:t>
      </w:r>
      <w:r w:rsidR="0004191D" w:rsidRPr="0004191D">
        <w:rPr>
          <w:rFonts w:ascii="Arial" w:hAnsi="Arial"/>
          <w:sz w:val="22"/>
          <w:szCs w:val="22"/>
        </w:rPr>
        <w:t xml:space="preserve">ing </w:t>
      </w:r>
      <w:proofErr w:type="spellStart"/>
      <w:r w:rsidR="00F401A5">
        <w:rPr>
          <w:rFonts w:ascii="Arial" w:hAnsi="Arial"/>
          <w:sz w:val="22"/>
          <w:szCs w:val="22"/>
        </w:rPr>
        <w:t>vedolizumab</w:t>
      </w:r>
      <w:proofErr w:type="spellEnd"/>
      <w:r w:rsidR="00F401A5">
        <w:rPr>
          <w:rFonts w:ascii="Arial" w:hAnsi="Arial"/>
          <w:sz w:val="22"/>
          <w:szCs w:val="22"/>
        </w:rPr>
        <w:t xml:space="preserve"> as a monoclonal antibody treatment for use after failure of prior systemic immunosuppressive therapy,</w:t>
      </w:r>
      <w:r w:rsidR="0004191D" w:rsidRPr="0004191D">
        <w:rPr>
          <w:rFonts w:ascii="Arial" w:hAnsi="Arial"/>
          <w:sz w:val="22"/>
          <w:szCs w:val="22"/>
        </w:rPr>
        <w:t xml:space="preserve"> </w:t>
      </w:r>
      <w:r w:rsidR="00F401A5">
        <w:rPr>
          <w:rFonts w:ascii="Arial" w:hAnsi="Arial"/>
          <w:sz w:val="22"/>
          <w:szCs w:val="22"/>
        </w:rPr>
        <w:t>the PBAC was concerned that</w:t>
      </w:r>
      <w:r w:rsidR="0004191D" w:rsidRPr="0004191D">
        <w:rPr>
          <w:rFonts w:ascii="Arial" w:hAnsi="Arial"/>
          <w:sz w:val="22"/>
          <w:szCs w:val="22"/>
        </w:rPr>
        <w:t xml:space="preserve"> </w:t>
      </w:r>
      <w:r w:rsidR="00F401A5">
        <w:rPr>
          <w:rFonts w:ascii="Arial" w:hAnsi="Arial"/>
          <w:sz w:val="22"/>
          <w:szCs w:val="22"/>
        </w:rPr>
        <w:t>it may not be appropriate</w:t>
      </w:r>
      <w:r w:rsidR="00E636A5">
        <w:rPr>
          <w:rFonts w:ascii="Arial" w:hAnsi="Arial"/>
          <w:sz w:val="22"/>
          <w:szCs w:val="22"/>
        </w:rPr>
        <w:t xml:space="preserve"> at this</w:t>
      </w:r>
      <w:r w:rsidR="0039094E">
        <w:rPr>
          <w:rFonts w:ascii="Arial" w:hAnsi="Arial"/>
          <w:sz w:val="22"/>
          <w:szCs w:val="22"/>
        </w:rPr>
        <w:t xml:space="preserve"> stage</w:t>
      </w:r>
      <w:r w:rsidR="00F401A5">
        <w:rPr>
          <w:rFonts w:ascii="Arial" w:hAnsi="Arial"/>
          <w:sz w:val="22"/>
          <w:szCs w:val="22"/>
        </w:rPr>
        <w:t xml:space="preserve"> to position </w:t>
      </w:r>
      <w:proofErr w:type="spellStart"/>
      <w:r w:rsidR="00F401A5">
        <w:rPr>
          <w:rFonts w:ascii="Arial" w:hAnsi="Arial"/>
          <w:sz w:val="22"/>
          <w:szCs w:val="22"/>
        </w:rPr>
        <w:t>vedolizumab</w:t>
      </w:r>
      <w:proofErr w:type="spellEnd"/>
      <w:r w:rsidR="00F401A5">
        <w:rPr>
          <w:rFonts w:ascii="Arial" w:hAnsi="Arial"/>
          <w:sz w:val="22"/>
          <w:szCs w:val="22"/>
        </w:rPr>
        <w:t xml:space="preserve"> in the same</w:t>
      </w:r>
      <w:r w:rsidR="0004191D" w:rsidRPr="0004191D">
        <w:rPr>
          <w:rFonts w:ascii="Arial" w:hAnsi="Arial"/>
          <w:sz w:val="22"/>
          <w:szCs w:val="22"/>
        </w:rPr>
        <w:t xml:space="preserve"> clinical place in therapy</w:t>
      </w:r>
      <w:r w:rsidR="00F401A5">
        <w:rPr>
          <w:rFonts w:ascii="Arial" w:hAnsi="Arial"/>
          <w:sz w:val="22"/>
          <w:szCs w:val="22"/>
        </w:rPr>
        <w:t xml:space="preserve"> as existing therapies like infliximab and </w:t>
      </w:r>
      <w:proofErr w:type="spellStart"/>
      <w:r w:rsidR="00F401A5">
        <w:rPr>
          <w:rFonts w:ascii="Arial" w:hAnsi="Arial"/>
          <w:sz w:val="22"/>
          <w:szCs w:val="22"/>
        </w:rPr>
        <w:t>adalimumab</w:t>
      </w:r>
      <w:proofErr w:type="spellEnd"/>
      <w:r w:rsidR="00F401A5">
        <w:rPr>
          <w:rFonts w:ascii="Arial" w:hAnsi="Arial"/>
          <w:sz w:val="22"/>
          <w:szCs w:val="22"/>
        </w:rPr>
        <w:t>.</w:t>
      </w:r>
    </w:p>
    <w:p w:rsidR="00BB7EC3" w:rsidRPr="00BB7EC3" w:rsidRDefault="00BB7EC3" w:rsidP="00BB7EC3">
      <w:pPr>
        <w:pStyle w:val="ListParagraph"/>
        <w:rPr>
          <w:rFonts w:ascii="Arial" w:hAnsi="Arial"/>
          <w:sz w:val="22"/>
          <w:szCs w:val="22"/>
        </w:rPr>
      </w:pPr>
    </w:p>
    <w:p w:rsidR="008843E2" w:rsidRDefault="008843E2" w:rsidP="004E7A4D">
      <w:pPr>
        <w:pStyle w:val="ListParagraph"/>
        <w:numPr>
          <w:ilvl w:val="1"/>
          <w:numId w:val="1"/>
        </w:numPr>
        <w:jc w:val="both"/>
        <w:rPr>
          <w:rFonts w:ascii="Arial" w:hAnsi="Arial"/>
          <w:sz w:val="22"/>
          <w:szCs w:val="22"/>
        </w:rPr>
      </w:pPr>
      <w:r w:rsidRPr="008843E2">
        <w:rPr>
          <w:rFonts w:ascii="Arial" w:hAnsi="Arial"/>
          <w:sz w:val="22"/>
          <w:szCs w:val="22"/>
        </w:rPr>
        <w:t xml:space="preserve">The submission’s proposed clinical place in therapy for </w:t>
      </w:r>
      <w:proofErr w:type="spellStart"/>
      <w:r>
        <w:rPr>
          <w:rFonts w:ascii="Arial" w:hAnsi="Arial"/>
          <w:sz w:val="22"/>
          <w:szCs w:val="22"/>
        </w:rPr>
        <w:t>vedoliz</w:t>
      </w:r>
      <w:r w:rsidRPr="008843E2">
        <w:rPr>
          <w:rFonts w:ascii="Arial" w:hAnsi="Arial"/>
          <w:sz w:val="22"/>
          <w:szCs w:val="22"/>
        </w:rPr>
        <w:t>umab</w:t>
      </w:r>
      <w:proofErr w:type="spellEnd"/>
      <w:r w:rsidRPr="008843E2">
        <w:rPr>
          <w:rFonts w:ascii="Arial" w:hAnsi="Arial"/>
          <w:sz w:val="22"/>
          <w:szCs w:val="22"/>
        </w:rPr>
        <w:t xml:space="preserve"> was as treatment following </w:t>
      </w:r>
      <w:r>
        <w:rPr>
          <w:rFonts w:ascii="Arial" w:hAnsi="Arial"/>
          <w:sz w:val="22"/>
          <w:szCs w:val="22"/>
        </w:rPr>
        <w:t xml:space="preserve">an </w:t>
      </w:r>
      <w:r w:rsidRPr="008843E2">
        <w:rPr>
          <w:rFonts w:ascii="Arial" w:hAnsi="Arial"/>
          <w:sz w:val="22"/>
          <w:szCs w:val="22"/>
        </w:rPr>
        <w:t xml:space="preserve">inadequate response to </w:t>
      </w:r>
      <w:r>
        <w:rPr>
          <w:rFonts w:ascii="Arial" w:hAnsi="Arial"/>
          <w:sz w:val="22"/>
          <w:szCs w:val="22"/>
        </w:rPr>
        <w:t>5-</w:t>
      </w:r>
      <w:r w:rsidRPr="008843E2">
        <w:t xml:space="preserve"> </w:t>
      </w:r>
      <w:proofErr w:type="spellStart"/>
      <w:r w:rsidRPr="008843E2">
        <w:rPr>
          <w:rFonts w:ascii="Arial" w:hAnsi="Arial"/>
          <w:sz w:val="22"/>
          <w:szCs w:val="22"/>
        </w:rPr>
        <w:t>aminosalicylate</w:t>
      </w:r>
      <w:proofErr w:type="spellEnd"/>
      <w:r w:rsidRPr="008843E2">
        <w:rPr>
          <w:rFonts w:ascii="Arial" w:hAnsi="Arial"/>
          <w:sz w:val="22"/>
          <w:szCs w:val="22"/>
        </w:rPr>
        <w:t xml:space="preserve"> therapies </w:t>
      </w:r>
      <w:r>
        <w:rPr>
          <w:rFonts w:ascii="Arial" w:hAnsi="Arial"/>
          <w:sz w:val="22"/>
          <w:szCs w:val="22"/>
        </w:rPr>
        <w:t xml:space="preserve">and </w:t>
      </w:r>
      <w:r w:rsidRPr="008843E2">
        <w:rPr>
          <w:rFonts w:ascii="Arial" w:hAnsi="Arial"/>
          <w:sz w:val="22"/>
          <w:szCs w:val="22"/>
        </w:rPr>
        <w:t xml:space="preserve">systemic immunosuppressive therapy (i.e. corticosteroids, azathioprine, </w:t>
      </w:r>
      <w:proofErr w:type="gramStart"/>
      <w:r w:rsidRPr="008843E2">
        <w:rPr>
          <w:rFonts w:ascii="Arial" w:hAnsi="Arial"/>
          <w:sz w:val="22"/>
          <w:szCs w:val="22"/>
        </w:rPr>
        <w:t>6</w:t>
      </w:r>
      <w:proofErr w:type="gramEnd"/>
      <w:r w:rsidRPr="008843E2">
        <w:rPr>
          <w:rFonts w:ascii="Arial" w:hAnsi="Arial"/>
          <w:sz w:val="22"/>
          <w:szCs w:val="22"/>
        </w:rPr>
        <w:t xml:space="preserve">-mercaptopurine). </w:t>
      </w:r>
      <w:r w:rsidR="00D13B0D">
        <w:rPr>
          <w:rFonts w:ascii="Arial" w:hAnsi="Arial"/>
          <w:sz w:val="22"/>
          <w:szCs w:val="22"/>
        </w:rPr>
        <w:t>Noting</w:t>
      </w:r>
      <w:r w:rsidR="00D13B0D" w:rsidRPr="008843E2">
        <w:rPr>
          <w:rFonts w:ascii="Arial" w:hAnsi="Arial"/>
          <w:sz w:val="22"/>
          <w:szCs w:val="22"/>
        </w:rPr>
        <w:t xml:space="preserve"> </w:t>
      </w:r>
      <w:r w:rsidRPr="008843E2">
        <w:rPr>
          <w:rFonts w:ascii="Arial" w:hAnsi="Arial"/>
          <w:sz w:val="22"/>
          <w:szCs w:val="22"/>
        </w:rPr>
        <w:t>the consumer comments</w:t>
      </w:r>
      <w:r w:rsidR="00D13B0D">
        <w:rPr>
          <w:rFonts w:ascii="Arial" w:hAnsi="Arial"/>
          <w:sz w:val="22"/>
          <w:szCs w:val="22"/>
        </w:rPr>
        <w:t xml:space="preserve"> about the applica</w:t>
      </w:r>
      <w:r w:rsidR="00993D14">
        <w:rPr>
          <w:rFonts w:ascii="Arial" w:hAnsi="Arial"/>
          <w:sz w:val="22"/>
          <w:szCs w:val="22"/>
        </w:rPr>
        <w:t>tion</w:t>
      </w:r>
      <w:r w:rsidRPr="008843E2">
        <w:rPr>
          <w:rFonts w:ascii="Arial" w:hAnsi="Arial"/>
          <w:sz w:val="22"/>
          <w:szCs w:val="22"/>
        </w:rPr>
        <w:t xml:space="preserve">, the PBAC considered that it would be potentially worthwhile for patients and clinicians to have an additional treatment option for moderate to severe ulcerative colitis following an inadequate response to standard systemic immunosuppressive therapy, given the debilitating nature of the condition. </w:t>
      </w:r>
      <w:r>
        <w:rPr>
          <w:rFonts w:ascii="Arial" w:hAnsi="Arial"/>
          <w:sz w:val="22"/>
          <w:szCs w:val="22"/>
        </w:rPr>
        <w:t xml:space="preserve">The PBAC agreed with the </w:t>
      </w:r>
      <w:r w:rsidRPr="008843E2">
        <w:rPr>
          <w:rFonts w:ascii="Arial" w:hAnsi="Arial"/>
          <w:sz w:val="22"/>
          <w:szCs w:val="22"/>
        </w:rPr>
        <w:t>ESC</w:t>
      </w:r>
      <w:r>
        <w:rPr>
          <w:rFonts w:ascii="Arial" w:hAnsi="Arial"/>
          <w:sz w:val="22"/>
          <w:szCs w:val="22"/>
        </w:rPr>
        <w:t>’s</w:t>
      </w:r>
      <w:r w:rsidRPr="008843E2">
        <w:rPr>
          <w:rFonts w:ascii="Arial" w:hAnsi="Arial"/>
          <w:sz w:val="22"/>
          <w:szCs w:val="22"/>
        </w:rPr>
        <w:t xml:space="preserve"> concern that due to the limited clinical experience with </w:t>
      </w:r>
      <w:proofErr w:type="spellStart"/>
      <w:r w:rsidRPr="008843E2">
        <w:rPr>
          <w:rFonts w:ascii="Arial" w:hAnsi="Arial"/>
          <w:sz w:val="22"/>
          <w:szCs w:val="22"/>
        </w:rPr>
        <w:t>vedolizumab</w:t>
      </w:r>
      <w:proofErr w:type="spellEnd"/>
      <w:r w:rsidRPr="008843E2">
        <w:rPr>
          <w:rFonts w:ascii="Arial" w:hAnsi="Arial"/>
          <w:sz w:val="22"/>
          <w:szCs w:val="22"/>
        </w:rPr>
        <w:t>, its clinical position relative to existing anti-TNF alpha drugs is unclear at this stage but may be possibly behind these drugs if they were also PBS-listed for ulcerative colitis</w:t>
      </w:r>
      <w:r w:rsidR="00A748F4">
        <w:rPr>
          <w:rFonts w:ascii="Arial" w:hAnsi="Arial"/>
          <w:sz w:val="22"/>
          <w:szCs w:val="22"/>
        </w:rPr>
        <w:t xml:space="preserve"> </w:t>
      </w:r>
      <w:r w:rsidR="00A748F4" w:rsidRPr="00A748F4">
        <w:rPr>
          <w:rFonts w:ascii="Arial" w:hAnsi="Arial"/>
          <w:sz w:val="22"/>
          <w:szCs w:val="22"/>
        </w:rPr>
        <w:t xml:space="preserve">(i.e. </w:t>
      </w:r>
      <w:proofErr w:type="spellStart"/>
      <w:r w:rsidR="00A748F4" w:rsidRPr="00A748F4">
        <w:rPr>
          <w:rFonts w:ascii="Arial" w:hAnsi="Arial"/>
          <w:sz w:val="22"/>
          <w:szCs w:val="22"/>
        </w:rPr>
        <w:t>vedolizumab’s</w:t>
      </w:r>
      <w:proofErr w:type="spellEnd"/>
      <w:r w:rsidR="00A748F4" w:rsidRPr="00A748F4">
        <w:rPr>
          <w:rFonts w:ascii="Arial" w:hAnsi="Arial"/>
          <w:sz w:val="22"/>
          <w:szCs w:val="22"/>
        </w:rPr>
        <w:t xml:space="preserve"> use may be reserved for patients who do not initially respond to an anti-TNF alpha drug)</w:t>
      </w:r>
      <w:r w:rsidR="00167386">
        <w:rPr>
          <w:rFonts w:ascii="Arial" w:hAnsi="Arial"/>
          <w:sz w:val="22"/>
          <w:szCs w:val="22"/>
        </w:rPr>
        <w:t>.</w:t>
      </w:r>
      <w:r>
        <w:rPr>
          <w:rFonts w:ascii="Arial" w:hAnsi="Arial"/>
          <w:sz w:val="22"/>
          <w:szCs w:val="22"/>
        </w:rPr>
        <w:t xml:space="preserve"> The</w:t>
      </w:r>
      <w:r w:rsidRPr="008843E2">
        <w:rPr>
          <w:rFonts w:ascii="Arial" w:hAnsi="Arial"/>
          <w:sz w:val="22"/>
          <w:szCs w:val="22"/>
        </w:rPr>
        <w:t xml:space="preserve"> PBAC recalled that it had recommended infliximab for listing earlier in March 2014 for the same indication as that proposed for </w:t>
      </w:r>
      <w:proofErr w:type="spellStart"/>
      <w:r>
        <w:rPr>
          <w:rFonts w:ascii="Arial" w:hAnsi="Arial"/>
          <w:sz w:val="22"/>
          <w:szCs w:val="22"/>
        </w:rPr>
        <w:t>vedolizu</w:t>
      </w:r>
      <w:r w:rsidRPr="008843E2">
        <w:rPr>
          <w:rFonts w:ascii="Arial" w:hAnsi="Arial"/>
          <w:sz w:val="22"/>
          <w:szCs w:val="22"/>
        </w:rPr>
        <w:t>mab</w:t>
      </w:r>
      <w:proofErr w:type="spellEnd"/>
      <w:r w:rsidRPr="008843E2">
        <w:rPr>
          <w:rFonts w:ascii="Arial" w:hAnsi="Arial"/>
          <w:sz w:val="22"/>
          <w:szCs w:val="22"/>
        </w:rPr>
        <w:t xml:space="preserve">. </w:t>
      </w:r>
      <w:r w:rsidR="00E636A5">
        <w:rPr>
          <w:rFonts w:ascii="Arial" w:hAnsi="Arial"/>
          <w:sz w:val="22"/>
          <w:szCs w:val="22"/>
        </w:rPr>
        <w:t xml:space="preserve">Therefore, there appeared to be 2 options for the </w:t>
      </w:r>
      <w:r w:rsidRPr="008843E2">
        <w:rPr>
          <w:rFonts w:ascii="Arial" w:hAnsi="Arial"/>
          <w:sz w:val="22"/>
          <w:szCs w:val="22"/>
        </w:rPr>
        <w:t>choice of comparator</w:t>
      </w:r>
      <w:r w:rsidR="00E636A5">
        <w:rPr>
          <w:rFonts w:ascii="Arial" w:hAnsi="Arial"/>
          <w:sz w:val="22"/>
          <w:szCs w:val="22"/>
        </w:rPr>
        <w:t xml:space="preserve"> in the submission</w:t>
      </w:r>
      <w:r w:rsidRPr="008843E2">
        <w:rPr>
          <w:rFonts w:ascii="Arial" w:hAnsi="Arial"/>
          <w:sz w:val="22"/>
          <w:szCs w:val="22"/>
        </w:rPr>
        <w:t xml:space="preserve">. </w:t>
      </w:r>
    </w:p>
    <w:p w:rsidR="0023613C" w:rsidRDefault="0023613C" w:rsidP="00950893">
      <w:pPr>
        <w:pStyle w:val="ListParagraph"/>
        <w:ind w:left="709"/>
        <w:jc w:val="both"/>
        <w:rPr>
          <w:rFonts w:ascii="Arial" w:hAnsi="Arial"/>
          <w:sz w:val="22"/>
          <w:szCs w:val="22"/>
        </w:rPr>
      </w:pPr>
    </w:p>
    <w:p w:rsidR="00D01816" w:rsidRPr="00950893" w:rsidRDefault="001F0102" w:rsidP="004E7A4D">
      <w:pPr>
        <w:pStyle w:val="ListParagraph"/>
        <w:numPr>
          <w:ilvl w:val="1"/>
          <w:numId w:val="1"/>
        </w:numPr>
        <w:jc w:val="both"/>
        <w:rPr>
          <w:rFonts w:ascii="Arial" w:hAnsi="Arial" w:cs="Arial"/>
          <w:sz w:val="22"/>
          <w:szCs w:val="22"/>
        </w:rPr>
      </w:pPr>
      <w:r w:rsidRPr="00950893">
        <w:rPr>
          <w:rFonts w:ascii="Arial" w:hAnsi="Arial" w:cs="Arial"/>
          <w:sz w:val="22"/>
          <w:szCs w:val="22"/>
        </w:rPr>
        <w:t xml:space="preserve">The submission’s nominated comparator was current standard of care, comprising of 5-ASAs, corticosteroids and </w:t>
      </w:r>
      <w:proofErr w:type="spellStart"/>
      <w:r w:rsidRPr="00950893">
        <w:rPr>
          <w:rFonts w:ascii="Arial" w:hAnsi="Arial" w:cs="Arial"/>
          <w:sz w:val="22"/>
          <w:szCs w:val="22"/>
        </w:rPr>
        <w:t>immunomodulators</w:t>
      </w:r>
      <w:proofErr w:type="spellEnd"/>
      <w:r w:rsidRPr="00950893">
        <w:rPr>
          <w:rFonts w:ascii="Arial" w:hAnsi="Arial" w:cs="Arial"/>
          <w:sz w:val="22"/>
          <w:szCs w:val="22"/>
        </w:rPr>
        <w:t xml:space="preserve"> as the main comparator. In view of the positive recommendation made for infliximab in March 2014</w:t>
      </w:r>
      <w:r w:rsidR="00F877A8" w:rsidRPr="00950893">
        <w:rPr>
          <w:rFonts w:ascii="Arial" w:hAnsi="Arial" w:cs="Arial"/>
          <w:sz w:val="22"/>
          <w:szCs w:val="22"/>
        </w:rPr>
        <w:t>,</w:t>
      </w:r>
      <w:r w:rsidRPr="00950893">
        <w:rPr>
          <w:rFonts w:ascii="Arial" w:hAnsi="Arial" w:cs="Arial"/>
          <w:sz w:val="22"/>
          <w:szCs w:val="22"/>
        </w:rPr>
        <w:t xml:space="preserve"> the PBAC considered that</w:t>
      </w:r>
      <w:r w:rsidR="00F877A8" w:rsidRPr="00950893">
        <w:rPr>
          <w:rFonts w:ascii="Arial" w:hAnsi="Arial" w:cs="Arial"/>
          <w:sz w:val="22"/>
          <w:szCs w:val="22"/>
        </w:rPr>
        <w:t xml:space="preserve"> </w:t>
      </w:r>
      <w:proofErr w:type="spellStart"/>
      <w:r w:rsidR="00F877A8" w:rsidRPr="00950893">
        <w:rPr>
          <w:rFonts w:ascii="Arial" w:hAnsi="Arial" w:cs="Arial"/>
          <w:sz w:val="22"/>
          <w:szCs w:val="22"/>
        </w:rPr>
        <w:t>vedolizumab</w:t>
      </w:r>
      <w:proofErr w:type="spellEnd"/>
      <w:r w:rsidRPr="00950893">
        <w:rPr>
          <w:rFonts w:ascii="Arial" w:hAnsi="Arial" w:cs="Arial"/>
          <w:sz w:val="22"/>
          <w:szCs w:val="22"/>
        </w:rPr>
        <w:t xml:space="preserve"> would likely </w:t>
      </w:r>
      <w:r w:rsidR="00F877A8" w:rsidRPr="00950893">
        <w:rPr>
          <w:rFonts w:ascii="Arial" w:hAnsi="Arial" w:cs="Arial"/>
          <w:sz w:val="22"/>
          <w:szCs w:val="22"/>
        </w:rPr>
        <w:t xml:space="preserve">replace </w:t>
      </w:r>
      <w:r w:rsidR="00EC6DDC" w:rsidRPr="00950893">
        <w:rPr>
          <w:rFonts w:ascii="Arial" w:hAnsi="Arial" w:cs="Arial"/>
          <w:sz w:val="22"/>
          <w:szCs w:val="22"/>
        </w:rPr>
        <w:t>infliximab</w:t>
      </w:r>
      <w:r w:rsidRPr="00950893">
        <w:rPr>
          <w:rFonts w:ascii="Arial" w:hAnsi="Arial" w:cs="Arial"/>
          <w:sz w:val="22"/>
          <w:szCs w:val="22"/>
        </w:rPr>
        <w:t xml:space="preserve"> the most in practice</w:t>
      </w:r>
      <w:r w:rsidR="00EC6DDC" w:rsidRPr="00950893">
        <w:rPr>
          <w:rFonts w:ascii="Arial" w:hAnsi="Arial" w:cs="Arial"/>
          <w:sz w:val="22"/>
          <w:szCs w:val="22"/>
        </w:rPr>
        <w:t xml:space="preserve"> if clinicians considered </w:t>
      </w:r>
      <w:proofErr w:type="spellStart"/>
      <w:r w:rsidR="00EC6DDC" w:rsidRPr="00950893">
        <w:rPr>
          <w:rFonts w:ascii="Arial" w:hAnsi="Arial" w:cs="Arial"/>
          <w:sz w:val="22"/>
          <w:szCs w:val="22"/>
        </w:rPr>
        <w:t>vedolizumab</w:t>
      </w:r>
      <w:proofErr w:type="spellEnd"/>
      <w:r w:rsidR="00EC6DDC" w:rsidRPr="00950893">
        <w:rPr>
          <w:rFonts w:ascii="Arial" w:hAnsi="Arial" w:cs="Arial"/>
          <w:sz w:val="22"/>
          <w:szCs w:val="22"/>
        </w:rPr>
        <w:t xml:space="preserve"> to be in the same clinical place in therapy as infliximab</w:t>
      </w:r>
      <w:r w:rsidR="00547701" w:rsidRPr="00950893">
        <w:rPr>
          <w:rFonts w:ascii="Arial" w:hAnsi="Arial" w:cs="Arial"/>
          <w:sz w:val="22"/>
          <w:szCs w:val="22"/>
        </w:rPr>
        <w:t>.</w:t>
      </w:r>
      <w:r w:rsidR="00EC6DDC" w:rsidRPr="00950893">
        <w:rPr>
          <w:rFonts w:ascii="Arial" w:hAnsi="Arial" w:cs="Arial"/>
          <w:sz w:val="22"/>
          <w:szCs w:val="22"/>
        </w:rPr>
        <w:t xml:space="preserve"> The other comparator option was best supportive care following treatment failure/inadequate response to infliximab</w:t>
      </w:r>
      <w:r w:rsidR="007B4505" w:rsidRPr="00950893">
        <w:rPr>
          <w:rFonts w:ascii="Arial" w:hAnsi="Arial" w:cs="Arial"/>
          <w:sz w:val="22"/>
          <w:szCs w:val="22"/>
        </w:rPr>
        <w:t>.</w:t>
      </w:r>
      <w:r w:rsidRPr="00950893">
        <w:rPr>
          <w:rFonts w:ascii="Arial" w:hAnsi="Arial" w:cs="Arial"/>
          <w:sz w:val="22"/>
          <w:szCs w:val="22"/>
        </w:rPr>
        <w:t xml:space="preserve"> </w:t>
      </w:r>
      <w:r w:rsidR="007B4505" w:rsidRPr="00950893">
        <w:rPr>
          <w:rFonts w:ascii="Arial" w:hAnsi="Arial" w:cs="Arial"/>
          <w:sz w:val="22"/>
          <w:szCs w:val="22"/>
        </w:rPr>
        <w:t>The</w:t>
      </w:r>
      <w:r w:rsidR="00EC6DDC" w:rsidRPr="00950893">
        <w:rPr>
          <w:rFonts w:ascii="Arial" w:hAnsi="Arial" w:cs="Arial"/>
          <w:sz w:val="22"/>
          <w:szCs w:val="22"/>
        </w:rPr>
        <w:t xml:space="preserve"> PBAC considered </w:t>
      </w:r>
      <w:r w:rsidR="007B4505" w:rsidRPr="00950893">
        <w:rPr>
          <w:rFonts w:ascii="Arial" w:hAnsi="Arial" w:cs="Arial"/>
          <w:sz w:val="22"/>
          <w:szCs w:val="22"/>
        </w:rPr>
        <w:t xml:space="preserve">this comparison is </w:t>
      </w:r>
      <w:r w:rsidR="00A748F4" w:rsidRPr="00950893">
        <w:rPr>
          <w:rFonts w:ascii="Arial" w:hAnsi="Arial" w:cs="Arial"/>
          <w:sz w:val="22"/>
          <w:szCs w:val="22"/>
        </w:rPr>
        <w:t>potentially</w:t>
      </w:r>
      <w:r w:rsidR="007B4505" w:rsidRPr="00950893">
        <w:rPr>
          <w:rFonts w:ascii="Arial" w:hAnsi="Arial" w:cs="Arial"/>
          <w:sz w:val="22"/>
          <w:szCs w:val="22"/>
        </w:rPr>
        <w:t xml:space="preserve"> </w:t>
      </w:r>
      <w:r w:rsidR="00E31A42" w:rsidRPr="00950893">
        <w:rPr>
          <w:rFonts w:ascii="Arial" w:hAnsi="Arial" w:cs="Arial"/>
          <w:sz w:val="22"/>
          <w:szCs w:val="22"/>
        </w:rPr>
        <w:t xml:space="preserve">more </w:t>
      </w:r>
      <w:r w:rsidR="00A748F4" w:rsidRPr="00950893">
        <w:rPr>
          <w:rFonts w:ascii="Arial" w:hAnsi="Arial" w:cs="Arial"/>
          <w:sz w:val="22"/>
          <w:szCs w:val="22"/>
        </w:rPr>
        <w:t>relevant</w:t>
      </w:r>
      <w:r w:rsidR="00547701" w:rsidRPr="00950893">
        <w:rPr>
          <w:rFonts w:ascii="Arial" w:hAnsi="Arial" w:cs="Arial"/>
          <w:sz w:val="22"/>
          <w:szCs w:val="22"/>
        </w:rPr>
        <w:t xml:space="preserve"> given the</w:t>
      </w:r>
      <w:r w:rsidR="00A748F4" w:rsidRPr="00950893">
        <w:rPr>
          <w:rFonts w:ascii="Arial" w:hAnsi="Arial" w:cs="Arial"/>
          <w:sz w:val="22"/>
          <w:szCs w:val="22"/>
        </w:rPr>
        <w:t xml:space="preserve"> relatively</w:t>
      </w:r>
      <w:r w:rsidR="00547701" w:rsidRPr="00950893">
        <w:rPr>
          <w:rFonts w:ascii="Arial" w:hAnsi="Arial" w:cs="Arial"/>
          <w:sz w:val="22"/>
          <w:szCs w:val="22"/>
        </w:rPr>
        <w:t xml:space="preserve"> limited clinical experience with </w:t>
      </w:r>
      <w:proofErr w:type="spellStart"/>
      <w:r w:rsidR="00547701" w:rsidRPr="00950893">
        <w:rPr>
          <w:rFonts w:ascii="Arial" w:hAnsi="Arial" w:cs="Arial"/>
          <w:sz w:val="22"/>
          <w:szCs w:val="22"/>
        </w:rPr>
        <w:t>vedolizumab</w:t>
      </w:r>
      <w:proofErr w:type="spellEnd"/>
      <w:r w:rsidR="00547701" w:rsidRPr="00950893">
        <w:rPr>
          <w:rFonts w:ascii="Arial" w:hAnsi="Arial" w:cs="Arial"/>
          <w:sz w:val="22"/>
          <w:szCs w:val="22"/>
        </w:rPr>
        <w:t xml:space="preserve"> </w:t>
      </w:r>
      <w:r w:rsidR="00A748F4" w:rsidRPr="00950893">
        <w:rPr>
          <w:rFonts w:ascii="Arial" w:hAnsi="Arial" w:cs="Arial"/>
          <w:sz w:val="22"/>
          <w:szCs w:val="22"/>
        </w:rPr>
        <w:t xml:space="preserve">compared to existing anti-TNF alpha inhibitors </w:t>
      </w:r>
      <w:r w:rsidR="00547701" w:rsidRPr="00950893">
        <w:rPr>
          <w:rFonts w:ascii="Arial" w:hAnsi="Arial" w:cs="Arial"/>
          <w:sz w:val="22"/>
          <w:szCs w:val="22"/>
        </w:rPr>
        <w:t xml:space="preserve">and </w:t>
      </w:r>
      <w:r w:rsidR="007B4505" w:rsidRPr="00950893">
        <w:rPr>
          <w:rFonts w:ascii="Arial" w:hAnsi="Arial" w:cs="Arial"/>
          <w:sz w:val="22"/>
          <w:szCs w:val="22"/>
        </w:rPr>
        <w:t>a</w:t>
      </w:r>
      <w:r w:rsidR="00547701" w:rsidRPr="00950893">
        <w:rPr>
          <w:rFonts w:ascii="Arial" w:hAnsi="Arial" w:cs="Arial"/>
          <w:sz w:val="22"/>
          <w:szCs w:val="22"/>
        </w:rPr>
        <w:t xml:space="preserve"> </w:t>
      </w:r>
      <w:r w:rsidR="007B4505" w:rsidRPr="00950893">
        <w:rPr>
          <w:rFonts w:ascii="Arial" w:hAnsi="Arial" w:cs="Arial"/>
          <w:sz w:val="22"/>
          <w:szCs w:val="22"/>
        </w:rPr>
        <w:t>potential</w:t>
      </w:r>
      <w:r w:rsidR="009A469E" w:rsidRPr="00950893">
        <w:rPr>
          <w:rFonts w:ascii="Arial" w:hAnsi="Arial" w:cs="Arial"/>
          <w:sz w:val="22"/>
          <w:szCs w:val="22"/>
        </w:rPr>
        <w:t xml:space="preserve"> small risk of developing PML</w:t>
      </w:r>
      <w:r w:rsidR="00A748F4" w:rsidRPr="00950893">
        <w:rPr>
          <w:rFonts w:ascii="Arial" w:hAnsi="Arial" w:cs="Arial"/>
          <w:sz w:val="22"/>
          <w:szCs w:val="22"/>
        </w:rPr>
        <w:t xml:space="preserve"> which </w:t>
      </w:r>
      <w:r w:rsidR="009D59CE" w:rsidRPr="00950893">
        <w:rPr>
          <w:rFonts w:ascii="Arial" w:hAnsi="Arial" w:cs="Arial"/>
          <w:sz w:val="22"/>
          <w:szCs w:val="22"/>
        </w:rPr>
        <w:t xml:space="preserve">both </w:t>
      </w:r>
      <w:r w:rsidR="00A748F4" w:rsidRPr="00950893">
        <w:rPr>
          <w:rFonts w:ascii="Arial" w:hAnsi="Arial" w:cs="Arial"/>
          <w:sz w:val="22"/>
          <w:szCs w:val="22"/>
        </w:rPr>
        <w:t xml:space="preserve">may deter prescribing of </w:t>
      </w:r>
      <w:proofErr w:type="spellStart"/>
      <w:r w:rsidR="00A748F4" w:rsidRPr="00950893">
        <w:rPr>
          <w:rFonts w:ascii="Arial" w:hAnsi="Arial" w:cs="Arial"/>
          <w:sz w:val="22"/>
          <w:szCs w:val="22"/>
        </w:rPr>
        <w:t>vedolizumab</w:t>
      </w:r>
      <w:proofErr w:type="spellEnd"/>
      <w:r w:rsidR="00321739">
        <w:rPr>
          <w:rFonts w:ascii="Arial" w:hAnsi="Arial" w:cs="Arial"/>
          <w:sz w:val="22"/>
          <w:szCs w:val="22"/>
        </w:rPr>
        <w:t xml:space="preserve"> in practice</w:t>
      </w:r>
      <w:r w:rsidR="007B4505" w:rsidRPr="00950893">
        <w:rPr>
          <w:rFonts w:ascii="Arial" w:hAnsi="Arial" w:cs="Arial"/>
          <w:sz w:val="22"/>
          <w:szCs w:val="22"/>
        </w:rPr>
        <w:t>.</w:t>
      </w:r>
      <w:r w:rsidR="00A748F4" w:rsidRPr="00950893">
        <w:rPr>
          <w:rFonts w:ascii="Arial" w:hAnsi="Arial" w:cs="Arial"/>
          <w:sz w:val="22"/>
          <w:szCs w:val="22"/>
        </w:rPr>
        <w:t xml:space="preserve"> </w:t>
      </w:r>
      <w:r w:rsidR="00D01816" w:rsidRPr="00950893">
        <w:rPr>
          <w:rFonts w:ascii="Arial" w:hAnsi="Arial" w:cs="Arial"/>
          <w:sz w:val="22"/>
          <w:szCs w:val="22"/>
        </w:rPr>
        <w:t>The PBAC</w:t>
      </w:r>
      <w:r w:rsidR="0023613C" w:rsidRPr="00950893">
        <w:rPr>
          <w:rFonts w:ascii="Arial" w:hAnsi="Arial" w:cs="Arial"/>
          <w:sz w:val="22"/>
          <w:szCs w:val="22"/>
        </w:rPr>
        <w:t xml:space="preserve"> noted </w:t>
      </w:r>
      <w:r w:rsidR="00D01816" w:rsidRPr="00950893">
        <w:rPr>
          <w:rFonts w:ascii="Arial" w:hAnsi="Arial" w:cs="Arial"/>
          <w:sz w:val="22"/>
          <w:szCs w:val="22"/>
        </w:rPr>
        <w:t xml:space="preserve">the main evidence base for the submission was one head-to-head randomised controlled trial comparing </w:t>
      </w:r>
      <w:proofErr w:type="spellStart"/>
      <w:r w:rsidR="00D01816" w:rsidRPr="00950893">
        <w:rPr>
          <w:rFonts w:ascii="Arial" w:hAnsi="Arial" w:cs="Arial"/>
          <w:sz w:val="22"/>
          <w:szCs w:val="22"/>
        </w:rPr>
        <w:t>vedolizumab</w:t>
      </w:r>
      <w:proofErr w:type="spellEnd"/>
      <w:r w:rsidR="00D01816" w:rsidRPr="00950893">
        <w:rPr>
          <w:rFonts w:ascii="Arial" w:hAnsi="Arial" w:cs="Arial"/>
          <w:sz w:val="22"/>
          <w:szCs w:val="22"/>
        </w:rPr>
        <w:t xml:space="preserve"> to placebo (GEMINI I) in which patients could have previously </w:t>
      </w:r>
      <w:r w:rsidR="0023613C" w:rsidRPr="00950893">
        <w:rPr>
          <w:rFonts w:ascii="Arial" w:hAnsi="Arial" w:cs="Arial"/>
          <w:sz w:val="22"/>
          <w:szCs w:val="22"/>
        </w:rPr>
        <w:t>recei</w:t>
      </w:r>
      <w:r w:rsidR="00D01816" w:rsidRPr="00950893">
        <w:rPr>
          <w:rFonts w:ascii="Arial" w:hAnsi="Arial" w:cs="Arial"/>
          <w:sz w:val="22"/>
          <w:szCs w:val="22"/>
        </w:rPr>
        <w:t xml:space="preserve">ved anti-TNF alpha inhibitor treatment prior to </w:t>
      </w:r>
      <w:proofErr w:type="spellStart"/>
      <w:r w:rsidR="00D01816" w:rsidRPr="00950893">
        <w:rPr>
          <w:rFonts w:ascii="Arial" w:hAnsi="Arial" w:cs="Arial"/>
          <w:sz w:val="22"/>
          <w:szCs w:val="22"/>
        </w:rPr>
        <w:t>vedolizumab</w:t>
      </w:r>
      <w:proofErr w:type="spellEnd"/>
      <w:r w:rsidR="00D01816" w:rsidRPr="00950893">
        <w:rPr>
          <w:rFonts w:ascii="Arial" w:hAnsi="Arial" w:cs="Arial"/>
          <w:sz w:val="22"/>
          <w:szCs w:val="22"/>
        </w:rPr>
        <w:t xml:space="preserve"> treatment. </w:t>
      </w:r>
    </w:p>
    <w:p w:rsidR="00D01816" w:rsidRPr="00D01816" w:rsidRDefault="00D01816" w:rsidP="00950893">
      <w:pPr>
        <w:pStyle w:val="ListParagraph"/>
        <w:ind w:left="709"/>
        <w:rPr>
          <w:rFonts w:ascii="Arial" w:hAnsi="Arial"/>
          <w:sz w:val="22"/>
          <w:szCs w:val="22"/>
        </w:rPr>
      </w:pPr>
    </w:p>
    <w:p w:rsidR="00A261C5" w:rsidRPr="00950893" w:rsidRDefault="0023613C" w:rsidP="004E7A4D">
      <w:pPr>
        <w:pStyle w:val="ListParagraph"/>
        <w:numPr>
          <w:ilvl w:val="1"/>
          <w:numId w:val="1"/>
        </w:numPr>
        <w:jc w:val="both"/>
        <w:rPr>
          <w:rFonts w:ascii="Arial" w:hAnsi="Arial"/>
          <w:b/>
          <w:color w:val="FF00FF"/>
          <w:sz w:val="22"/>
          <w:szCs w:val="22"/>
        </w:rPr>
      </w:pPr>
      <w:r>
        <w:rPr>
          <w:rFonts w:ascii="Arial" w:hAnsi="Arial"/>
          <w:sz w:val="22"/>
          <w:szCs w:val="22"/>
        </w:rPr>
        <w:t xml:space="preserve">The PBAC </w:t>
      </w:r>
      <w:r w:rsidR="00FD331D">
        <w:rPr>
          <w:rFonts w:ascii="Arial" w:hAnsi="Arial"/>
          <w:sz w:val="22"/>
          <w:szCs w:val="22"/>
        </w:rPr>
        <w:t>noted the evaluation’s concerns that</w:t>
      </w:r>
      <w:r>
        <w:rPr>
          <w:rFonts w:ascii="Arial" w:hAnsi="Arial"/>
          <w:sz w:val="22"/>
          <w:szCs w:val="22"/>
        </w:rPr>
        <w:t xml:space="preserve"> t</w:t>
      </w:r>
      <w:r w:rsidRPr="0023613C">
        <w:rPr>
          <w:rFonts w:ascii="Arial" w:hAnsi="Arial"/>
          <w:sz w:val="22"/>
          <w:szCs w:val="22"/>
        </w:rPr>
        <w:t>he trial design of GEMINI I</w:t>
      </w:r>
      <w:r w:rsidR="001F72D1">
        <w:rPr>
          <w:rFonts w:ascii="Arial" w:hAnsi="Arial"/>
          <w:sz w:val="22"/>
          <w:szCs w:val="22"/>
        </w:rPr>
        <w:t xml:space="preserve"> </w:t>
      </w:r>
      <w:r w:rsidR="00B97D70">
        <w:rPr>
          <w:rFonts w:ascii="Arial" w:hAnsi="Arial"/>
          <w:sz w:val="22"/>
          <w:szCs w:val="22"/>
        </w:rPr>
        <w:t xml:space="preserve">(i.e. </w:t>
      </w:r>
      <w:r w:rsidR="001F72D1">
        <w:rPr>
          <w:rFonts w:ascii="Arial" w:hAnsi="Arial"/>
          <w:sz w:val="22"/>
          <w:szCs w:val="22"/>
        </w:rPr>
        <w:t xml:space="preserve">the exclusion of </w:t>
      </w:r>
      <w:proofErr w:type="spellStart"/>
      <w:r w:rsidR="001F72D1">
        <w:rPr>
          <w:rFonts w:ascii="Arial" w:hAnsi="Arial"/>
          <w:sz w:val="22"/>
          <w:szCs w:val="22"/>
        </w:rPr>
        <w:t>vedolizumab</w:t>
      </w:r>
      <w:proofErr w:type="spellEnd"/>
      <w:r w:rsidR="001F72D1">
        <w:rPr>
          <w:rFonts w:ascii="Arial" w:hAnsi="Arial"/>
          <w:sz w:val="22"/>
          <w:szCs w:val="22"/>
        </w:rPr>
        <w:t xml:space="preserve"> non-responders after the first 6 weeks of treatment from </w:t>
      </w:r>
      <w:r w:rsidR="003371A7">
        <w:rPr>
          <w:rFonts w:ascii="Arial" w:hAnsi="Arial"/>
          <w:sz w:val="22"/>
          <w:szCs w:val="22"/>
        </w:rPr>
        <w:t xml:space="preserve">further </w:t>
      </w:r>
      <w:r w:rsidR="001F72D1">
        <w:rPr>
          <w:rFonts w:ascii="Arial" w:hAnsi="Arial"/>
          <w:sz w:val="22"/>
          <w:szCs w:val="22"/>
        </w:rPr>
        <w:t>maintenance treatment</w:t>
      </w:r>
      <w:r w:rsidR="00B97D70">
        <w:rPr>
          <w:rFonts w:ascii="Arial" w:hAnsi="Arial"/>
          <w:sz w:val="22"/>
          <w:szCs w:val="22"/>
        </w:rPr>
        <w:t xml:space="preserve">) may have </w:t>
      </w:r>
      <w:r w:rsidR="002619BC">
        <w:rPr>
          <w:rFonts w:ascii="Arial" w:hAnsi="Arial"/>
          <w:sz w:val="22"/>
          <w:szCs w:val="22"/>
        </w:rPr>
        <w:t xml:space="preserve">potentially </w:t>
      </w:r>
      <w:r w:rsidR="00B97D70">
        <w:rPr>
          <w:rFonts w:ascii="Arial" w:hAnsi="Arial"/>
          <w:sz w:val="22"/>
          <w:szCs w:val="22"/>
        </w:rPr>
        <w:t xml:space="preserve">favoured </w:t>
      </w:r>
      <w:proofErr w:type="spellStart"/>
      <w:r w:rsidR="00B97D70">
        <w:rPr>
          <w:rFonts w:ascii="Arial" w:hAnsi="Arial"/>
          <w:sz w:val="22"/>
          <w:szCs w:val="22"/>
        </w:rPr>
        <w:t>vedolizumab</w:t>
      </w:r>
      <w:proofErr w:type="spellEnd"/>
      <w:r w:rsidR="00B97D70">
        <w:rPr>
          <w:rFonts w:ascii="Arial" w:hAnsi="Arial"/>
          <w:sz w:val="22"/>
          <w:szCs w:val="22"/>
        </w:rPr>
        <w:t>.</w:t>
      </w:r>
      <w:r>
        <w:rPr>
          <w:rFonts w:ascii="Arial" w:hAnsi="Arial"/>
          <w:sz w:val="22"/>
          <w:szCs w:val="22"/>
        </w:rPr>
        <w:t xml:space="preserve"> </w:t>
      </w:r>
      <w:r w:rsidRPr="00950893">
        <w:rPr>
          <w:rFonts w:ascii="Arial" w:hAnsi="Arial"/>
          <w:sz w:val="22"/>
          <w:szCs w:val="22"/>
        </w:rPr>
        <w:t xml:space="preserve">Follow-up data on the outcomes of the ‘true’ placebo group as well as the </w:t>
      </w:r>
      <w:proofErr w:type="spellStart"/>
      <w:r w:rsidRPr="00950893">
        <w:rPr>
          <w:rFonts w:ascii="Arial" w:hAnsi="Arial"/>
          <w:sz w:val="22"/>
          <w:szCs w:val="22"/>
        </w:rPr>
        <w:t>vedolizumab</w:t>
      </w:r>
      <w:proofErr w:type="spellEnd"/>
      <w:r w:rsidRPr="00950893">
        <w:rPr>
          <w:rFonts w:ascii="Arial" w:hAnsi="Arial"/>
          <w:sz w:val="22"/>
          <w:szCs w:val="22"/>
        </w:rPr>
        <w:t xml:space="preserve"> non-responders at week 52 were not provided in the submission or clinical trial report.</w:t>
      </w:r>
      <w:r w:rsidR="00016FC0">
        <w:rPr>
          <w:rFonts w:ascii="Arial" w:hAnsi="Arial"/>
          <w:sz w:val="22"/>
          <w:szCs w:val="22"/>
        </w:rPr>
        <w:t xml:space="preserve"> </w:t>
      </w:r>
      <w:r w:rsidRPr="00950893">
        <w:rPr>
          <w:rFonts w:ascii="Arial" w:hAnsi="Arial"/>
          <w:sz w:val="22"/>
          <w:szCs w:val="22"/>
        </w:rPr>
        <w:t>Whilst not directly informing the reported main outcome, this data may</w:t>
      </w:r>
      <w:r>
        <w:rPr>
          <w:rFonts w:ascii="Arial" w:hAnsi="Arial"/>
          <w:sz w:val="22"/>
          <w:szCs w:val="22"/>
        </w:rPr>
        <w:t xml:space="preserve"> have</w:t>
      </w:r>
      <w:r w:rsidRPr="00950893">
        <w:rPr>
          <w:rFonts w:ascii="Arial" w:hAnsi="Arial"/>
          <w:sz w:val="22"/>
          <w:szCs w:val="22"/>
        </w:rPr>
        <w:t xml:space="preserve"> provide</w:t>
      </w:r>
      <w:r>
        <w:rPr>
          <w:rFonts w:ascii="Arial" w:hAnsi="Arial"/>
          <w:sz w:val="22"/>
          <w:szCs w:val="22"/>
        </w:rPr>
        <w:t>d</w:t>
      </w:r>
      <w:r w:rsidRPr="00950893">
        <w:rPr>
          <w:rFonts w:ascii="Arial" w:hAnsi="Arial"/>
          <w:sz w:val="22"/>
          <w:szCs w:val="22"/>
        </w:rPr>
        <w:t xml:space="preserve"> </w:t>
      </w:r>
      <w:r w:rsidRPr="00950893">
        <w:rPr>
          <w:rFonts w:ascii="Arial" w:hAnsi="Arial"/>
          <w:sz w:val="22"/>
          <w:szCs w:val="22"/>
        </w:rPr>
        <w:lastRenderedPageBreak/>
        <w:t>better approximations of both efficacy and safety for use in both the clinical and economic analyses undertaken.</w:t>
      </w:r>
      <w:r w:rsidR="00016FC0">
        <w:rPr>
          <w:rFonts w:ascii="Arial" w:hAnsi="Arial"/>
          <w:sz w:val="22"/>
          <w:szCs w:val="22"/>
        </w:rPr>
        <w:t xml:space="preserve"> </w:t>
      </w:r>
      <w:r w:rsidRPr="00950893">
        <w:rPr>
          <w:rFonts w:ascii="Arial" w:hAnsi="Arial"/>
          <w:sz w:val="22"/>
          <w:szCs w:val="22"/>
        </w:rPr>
        <w:t>The</w:t>
      </w:r>
      <w:r w:rsidR="00FD331D">
        <w:rPr>
          <w:rFonts w:ascii="Arial" w:hAnsi="Arial"/>
          <w:sz w:val="22"/>
          <w:szCs w:val="22"/>
        </w:rPr>
        <w:t xml:space="preserve"> </w:t>
      </w:r>
      <w:r w:rsidRPr="00950893">
        <w:rPr>
          <w:rFonts w:ascii="Arial" w:hAnsi="Arial"/>
          <w:sz w:val="22"/>
          <w:szCs w:val="22"/>
        </w:rPr>
        <w:t>PSCR provide</w:t>
      </w:r>
      <w:r>
        <w:rPr>
          <w:rFonts w:ascii="Arial" w:hAnsi="Arial"/>
          <w:sz w:val="22"/>
          <w:szCs w:val="22"/>
        </w:rPr>
        <w:t>d</w:t>
      </w:r>
      <w:r w:rsidRPr="00950893">
        <w:rPr>
          <w:rFonts w:ascii="Arial" w:hAnsi="Arial"/>
          <w:sz w:val="22"/>
          <w:szCs w:val="22"/>
        </w:rPr>
        <w:t xml:space="preserve"> this</w:t>
      </w:r>
      <w:r w:rsidR="00FD331D">
        <w:rPr>
          <w:rFonts w:ascii="Arial" w:hAnsi="Arial"/>
          <w:sz w:val="22"/>
          <w:szCs w:val="22"/>
        </w:rPr>
        <w:t xml:space="preserve"> new</w:t>
      </w:r>
      <w:r w:rsidRPr="00950893">
        <w:rPr>
          <w:rFonts w:ascii="Arial" w:hAnsi="Arial"/>
          <w:sz w:val="22"/>
          <w:szCs w:val="22"/>
        </w:rPr>
        <w:t xml:space="preserve"> data but </w:t>
      </w:r>
      <w:r w:rsidR="00091CBD">
        <w:rPr>
          <w:rFonts w:ascii="Arial" w:hAnsi="Arial"/>
          <w:sz w:val="22"/>
          <w:szCs w:val="22"/>
        </w:rPr>
        <w:t xml:space="preserve">it </w:t>
      </w:r>
      <w:r w:rsidR="00016FC0">
        <w:rPr>
          <w:rFonts w:ascii="Arial" w:hAnsi="Arial"/>
          <w:sz w:val="22"/>
          <w:szCs w:val="22"/>
        </w:rPr>
        <w:t>w</w:t>
      </w:r>
      <w:r w:rsidRPr="00950893">
        <w:rPr>
          <w:rFonts w:ascii="Arial" w:hAnsi="Arial"/>
          <w:sz w:val="22"/>
          <w:szCs w:val="22"/>
        </w:rPr>
        <w:t>as not formally evaluated.</w:t>
      </w:r>
      <w:r w:rsidR="00016FC0">
        <w:rPr>
          <w:rFonts w:ascii="Arial" w:hAnsi="Arial"/>
          <w:sz w:val="22"/>
          <w:szCs w:val="22"/>
        </w:rPr>
        <w:t xml:space="preserve"> </w:t>
      </w:r>
      <w:r w:rsidR="00A261C5" w:rsidRPr="00950893">
        <w:rPr>
          <w:rFonts w:ascii="Arial" w:hAnsi="Arial"/>
          <w:sz w:val="22"/>
          <w:szCs w:val="22"/>
        </w:rPr>
        <w:t>The PBAC further noted that</w:t>
      </w:r>
      <w:r w:rsidR="00A261C5" w:rsidRPr="00950893">
        <w:rPr>
          <w:rFonts w:ascii="Arial" w:hAnsi="Arial"/>
          <w:b/>
          <w:sz w:val="22"/>
          <w:szCs w:val="22"/>
        </w:rPr>
        <w:t xml:space="preserve"> </w:t>
      </w:r>
      <w:r w:rsidR="00A261C5">
        <w:rPr>
          <w:rFonts w:ascii="Arial" w:hAnsi="Arial"/>
          <w:sz w:val="22"/>
          <w:szCs w:val="22"/>
        </w:rPr>
        <w:t>n</w:t>
      </w:r>
      <w:r w:rsidR="009D59CE" w:rsidRPr="00950893">
        <w:rPr>
          <w:rFonts w:ascii="Arial" w:hAnsi="Arial"/>
          <w:sz w:val="22"/>
          <w:szCs w:val="22"/>
        </w:rPr>
        <w:t xml:space="preserve">o direct head-to-head randomised controlled trials comparing </w:t>
      </w:r>
      <w:proofErr w:type="spellStart"/>
      <w:r w:rsidR="009D59CE" w:rsidRPr="00950893">
        <w:rPr>
          <w:rFonts w:ascii="Arial" w:hAnsi="Arial"/>
          <w:sz w:val="22"/>
          <w:szCs w:val="22"/>
        </w:rPr>
        <w:t>vedolizumab</w:t>
      </w:r>
      <w:proofErr w:type="spellEnd"/>
      <w:r w:rsidR="009D59CE" w:rsidRPr="00950893">
        <w:rPr>
          <w:rFonts w:ascii="Arial" w:hAnsi="Arial"/>
          <w:sz w:val="22"/>
          <w:szCs w:val="22"/>
        </w:rPr>
        <w:t xml:space="preserve"> to infliximab were </w:t>
      </w:r>
      <w:r w:rsidR="00A261C5">
        <w:rPr>
          <w:rFonts w:ascii="Arial" w:hAnsi="Arial"/>
          <w:sz w:val="22"/>
          <w:szCs w:val="22"/>
        </w:rPr>
        <w:t>available.</w:t>
      </w:r>
    </w:p>
    <w:p w:rsidR="00A261C5" w:rsidRPr="00950893" w:rsidRDefault="00A261C5" w:rsidP="00950893">
      <w:pPr>
        <w:pStyle w:val="ListParagraph"/>
        <w:ind w:left="709"/>
        <w:jc w:val="both"/>
        <w:rPr>
          <w:rFonts w:ascii="Arial" w:hAnsi="Arial"/>
          <w:b/>
          <w:color w:val="FF00FF"/>
          <w:sz w:val="22"/>
          <w:szCs w:val="22"/>
        </w:rPr>
      </w:pPr>
    </w:p>
    <w:p w:rsidR="00321739" w:rsidRPr="00390011" w:rsidRDefault="00321739" w:rsidP="004E7A4D">
      <w:pPr>
        <w:pStyle w:val="ListParagraph"/>
        <w:numPr>
          <w:ilvl w:val="1"/>
          <w:numId w:val="1"/>
        </w:numPr>
        <w:jc w:val="both"/>
        <w:rPr>
          <w:rFonts w:ascii="Arial" w:hAnsi="Arial"/>
          <w:sz w:val="22"/>
          <w:szCs w:val="22"/>
        </w:rPr>
      </w:pPr>
      <w:r w:rsidRPr="00390011">
        <w:rPr>
          <w:rFonts w:ascii="Arial" w:hAnsi="Arial"/>
          <w:sz w:val="22"/>
          <w:szCs w:val="22"/>
        </w:rPr>
        <w:t xml:space="preserve">For the comparison of </w:t>
      </w:r>
      <w:proofErr w:type="spellStart"/>
      <w:r w:rsidRPr="00390011">
        <w:rPr>
          <w:rFonts w:ascii="Arial" w:hAnsi="Arial"/>
          <w:sz w:val="22"/>
          <w:szCs w:val="22"/>
        </w:rPr>
        <w:t>vedolizumab</w:t>
      </w:r>
      <w:proofErr w:type="spellEnd"/>
      <w:r w:rsidRPr="00390011">
        <w:rPr>
          <w:rFonts w:ascii="Arial" w:hAnsi="Arial"/>
          <w:sz w:val="22"/>
          <w:szCs w:val="22"/>
        </w:rPr>
        <w:t xml:space="preserve"> to placebo, t</w:t>
      </w:r>
      <w:r w:rsidR="00A261C5" w:rsidRPr="00390011">
        <w:rPr>
          <w:rFonts w:ascii="Arial" w:hAnsi="Arial"/>
          <w:sz w:val="22"/>
          <w:szCs w:val="22"/>
        </w:rPr>
        <w:t>he PBAC observed that at week 6</w:t>
      </w:r>
      <w:r w:rsidRPr="00390011">
        <w:rPr>
          <w:rFonts w:ascii="Arial" w:hAnsi="Arial"/>
          <w:sz w:val="22"/>
          <w:szCs w:val="22"/>
        </w:rPr>
        <w:t xml:space="preserve"> in the GEMIN</w:t>
      </w:r>
      <w:r w:rsidR="007670BA" w:rsidRPr="00390011">
        <w:rPr>
          <w:rFonts w:ascii="Arial" w:hAnsi="Arial"/>
          <w:sz w:val="22"/>
          <w:szCs w:val="22"/>
        </w:rPr>
        <w:t>I</w:t>
      </w:r>
      <w:r w:rsidRPr="00390011">
        <w:rPr>
          <w:rFonts w:ascii="Arial" w:hAnsi="Arial"/>
          <w:sz w:val="22"/>
          <w:szCs w:val="22"/>
        </w:rPr>
        <w:t xml:space="preserve"> I trial</w:t>
      </w:r>
      <w:r w:rsidR="00A261C5" w:rsidRPr="00390011">
        <w:rPr>
          <w:rFonts w:ascii="Arial" w:hAnsi="Arial"/>
          <w:sz w:val="22"/>
          <w:szCs w:val="22"/>
        </w:rPr>
        <w:t xml:space="preserve">, more patients treated with </w:t>
      </w:r>
      <w:proofErr w:type="spellStart"/>
      <w:r w:rsidR="00A261C5" w:rsidRPr="00390011">
        <w:rPr>
          <w:rFonts w:ascii="Arial" w:hAnsi="Arial"/>
          <w:sz w:val="22"/>
          <w:szCs w:val="22"/>
        </w:rPr>
        <w:t>vedolizumab</w:t>
      </w:r>
      <w:proofErr w:type="spellEnd"/>
      <w:r w:rsidR="00A261C5" w:rsidRPr="00390011">
        <w:rPr>
          <w:rFonts w:ascii="Arial" w:hAnsi="Arial"/>
          <w:sz w:val="22"/>
          <w:szCs w:val="22"/>
        </w:rPr>
        <w:t xml:space="preserve"> compared to patients treated with placebo achieved a response (47% vs. 26%) or </w:t>
      </w:r>
      <w:r w:rsidRPr="00390011">
        <w:rPr>
          <w:rFonts w:ascii="Arial" w:hAnsi="Arial"/>
          <w:sz w:val="22"/>
          <w:szCs w:val="22"/>
        </w:rPr>
        <w:t xml:space="preserve">achieved </w:t>
      </w:r>
      <w:r w:rsidR="00A261C5" w:rsidRPr="00390011">
        <w:rPr>
          <w:rFonts w:ascii="Arial" w:hAnsi="Arial"/>
          <w:sz w:val="22"/>
          <w:szCs w:val="22"/>
        </w:rPr>
        <w:t xml:space="preserve">remission (17% vs. </w:t>
      </w:r>
      <w:r w:rsidR="0091201C" w:rsidRPr="00390011">
        <w:rPr>
          <w:rFonts w:ascii="Arial" w:hAnsi="Arial"/>
          <w:sz w:val="22"/>
          <w:szCs w:val="22"/>
        </w:rPr>
        <w:t xml:space="preserve">8%) </w:t>
      </w:r>
      <w:r w:rsidR="00A261C5" w:rsidRPr="00390011">
        <w:rPr>
          <w:rFonts w:ascii="Arial" w:hAnsi="Arial"/>
          <w:sz w:val="22"/>
          <w:szCs w:val="22"/>
        </w:rPr>
        <w:t xml:space="preserve">using the full Mayo score to measure response or remission. </w:t>
      </w:r>
      <w:r w:rsidR="00A63247" w:rsidRPr="00390011">
        <w:rPr>
          <w:rFonts w:ascii="Arial" w:hAnsi="Arial"/>
          <w:sz w:val="22"/>
          <w:szCs w:val="22"/>
        </w:rPr>
        <w:t xml:space="preserve">Of those patients who achieved a clinical response with </w:t>
      </w:r>
      <w:proofErr w:type="spellStart"/>
      <w:r w:rsidR="00A63247" w:rsidRPr="00390011">
        <w:rPr>
          <w:rFonts w:ascii="Arial" w:hAnsi="Arial"/>
          <w:sz w:val="22"/>
          <w:szCs w:val="22"/>
        </w:rPr>
        <w:t>vedolizumab</w:t>
      </w:r>
      <w:proofErr w:type="spellEnd"/>
      <w:r w:rsidR="00A63247" w:rsidRPr="00390011">
        <w:rPr>
          <w:rFonts w:ascii="Arial" w:hAnsi="Arial"/>
          <w:sz w:val="22"/>
          <w:szCs w:val="22"/>
        </w:rPr>
        <w:t xml:space="preserve"> at week 6, more patients treated with </w:t>
      </w:r>
      <w:proofErr w:type="spellStart"/>
      <w:r w:rsidR="00A63247" w:rsidRPr="00390011">
        <w:rPr>
          <w:rFonts w:ascii="Arial" w:hAnsi="Arial"/>
          <w:sz w:val="22"/>
          <w:szCs w:val="22"/>
        </w:rPr>
        <w:t>vedolizumab</w:t>
      </w:r>
      <w:proofErr w:type="spellEnd"/>
      <w:r w:rsidR="00A63247" w:rsidRPr="00390011">
        <w:rPr>
          <w:rFonts w:ascii="Arial" w:hAnsi="Arial"/>
          <w:sz w:val="22"/>
          <w:szCs w:val="22"/>
        </w:rPr>
        <w:t xml:space="preserve"> </w:t>
      </w:r>
      <w:r w:rsidRPr="00390011">
        <w:rPr>
          <w:rFonts w:ascii="Arial" w:hAnsi="Arial"/>
          <w:sz w:val="22"/>
          <w:szCs w:val="22"/>
        </w:rPr>
        <w:t xml:space="preserve">compared to placebo </w:t>
      </w:r>
      <w:r w:rsidR="00A63247" w:rsidRPr="00390011">
        <w:rPr>
          <w:rFonts w:ascii="Arial" w:hAnsi="Arial"/>
          <w:sz w:val="22"/>
          <w:szCs w:val="22"/>
        </w:rPr>
        <w:t xml:space="preserve">had </w:t>
      </w:r>
      <w:r w:rsidRPr="00390011">
        <w:rPr>
          <w:rFonts w:ascii="Arial" w:hAnsi="Arial"/>
          <w:sz w:val="22"/>
          <w:szCs w:val="22"/>
        </w:rPr>
        <w:t xml:space="preserve">a </w:t>
      </w:r>
      <w:r w:rsidR="00A63247" w:rsidRPr="00390011">
        <w:rPr>
          <w:rFonts w:ascii="Arial" w:hAnsi="Arial"/>
          <w:sz w:val="22"/>
          <w:szCs w:val="22"/>
        </w:rPr>
        <w:t>durable clinical response at week 6 and 52 (</w:t>
      </w:r>
      <w:r w:rsidRPr="00390011">
        <w:rPr>
          <w:rFonts w:ascii="Arial" w:hAnsi="Arial"/>
          <w:sz w:val="22"/>
          <w:szCs w:val="22"/>
        </w:rPr>
        <w:t>57% vs. 24%</w:t>
      </w:r>
      <w:r w:rsidR="00A63247" w:rsidRPr="00390011">
        <w:rPr>
          <w:rFonts w:ascii="Arial" w:hAnsi="Arial"/>
          <w:sz w:val="22"/>
          <w:szCs w:val="22"/>
        </w:rPr>
        <w:t xml:space="preserve">), clinical remission at week 52 </w:t>
      </w:r>
      <w:r w:rsidR="00A63247" w:rsidRPr="00390011">
        <w:rPr>
          <w:rFonts w:ascii="Arial" w:hAnsi="Arial"/>
          <w:i/>
          <w:sz w:val="22"/>
          <w:szCs w:val="22"/>
        </w:rPr>
        <w:t>(</w:t>
      </w:r>
      <w:r w:rsidR="00D4608A" w:rsidRPr="00390011">
        <w:rPr>
          <w:rFonts w:ascii="Arial" w:hAnsi="Arial"/>
          <w:sz w:val="22"/>
          <w:szCs w:val="22"/>
        </w:rPr>
        <w:t>42</w:t>
      </w:r>
      <w:r w:rsidRPr="00390011">
        <w:rPr>
          <w:rFonts w:ascii="Arial" w:hAnsi="Arial"/>
          <w:sz w:val="22"/>
          <w:szCs w:val="22"/>
        </w:rPr>
        <w:t xml:space="preserve">% vs. </w:t>
      </w:r>
      <w:r w:rsidR="00D4608A" w:rsidRPr="00390011">
        <w:rPr>
          <w:rFonts w:ascii="Arial" w:hAnsi="Arial"/>
          <w:sz w:val="22"/>
          <w:szCs w:val="22"/>
        </w:rPr>
        <w:t>16</w:t>
      </w:r>
      <w:r w:rsidRPr="00390011">
        <w:rPr>
          <w:rFonts w:ascii="Arial" w:hAnsi="Arial"/>
          <w:sz w:val="22"/>
          <w:szCs w:val="22"/>
        </w:rPr>
        <w:t>%</w:t>
      </w:r>
      <w:r w:rsidR="00A63247" w:rsidRPr="00390011">
        <w:rPr>
          <w:rFonts w:ascii="Arial" w:hAnsi="Arial"/>
          <w:sz w:val="22"/>
          <w:szCs w:val="22"/>
        </w:rPr>
        <w:t>) or durable clinical remission at week 6 and 52 (</w:t>
      </w:r>
      <w:r w:rsidRPr="00390011">
        <w:rPr>
          <w:rFonts w:ascii="Arial" w:hAnsi="Arial"/>
          <w:sz w:val="22"/>
          <w:szCs w:val="22"/>
        </w:rPr>
        <w:t>21% vs. 9%)</w:t>
      </w:r>
      <w:r w:rsidR="00A63247" w:rsidRPr="00390011">
        <w:rPr>
          <w:rFonts w:ascii="Arial" w:hAnsi="Arial"/>
          <w:sz w:val="22"/>
          <w:szCs w:val="22"/>
        </w:rPr>
        <w:t>.</w:t>
      </w:r>
      <w:r w:rsidRPr="00390011">
        <w:rPr>
          <w:rFonts w:ascii="Arial" w:hAnsi="Arial"/>
          <w:sz w:val="22"/>
          <w:szCs w:val="22"/>
        </w:rPr>
        <w:t xml:space="preserve"> </w:t>
      </w:r>
      <w:r w:rsidR="00091CBD" w:rsidRPr="00390011">
        <w:rPr>
          <w:rFonts w:ascii="Arial" w:hAnsi="Arial"/>
          <w:sz w:val="22"/>
          <w:szCs w:val="22"/>
        </w:rPr>
        <w:t xml:space="preserve">Given </w:t>
      </w:r>
      <w:r w:rsidR="00D4608A" w:rsidRPr="00390011">
        <w:rPr>
          <w:rFonts w:ascii="Arial" w:hAnsi="Arial"/>
          <w:sz w:val="22"/>
          <w:szCs w:val="22"/>
        </w:rPr>
        <w:t xml:space="preserve">the absence of a ‘true’ placebo arm, the PBAC noted the PSCR’s additional data on patients who had been randomised to either 6 weeks induction treatment with </w:t>
      </w:r>
      <w:proofErr w:type="spellStart"/>
      <w:r w:rsidR="00D4608A" w:rsidRPr="00390011">
        <w:rPr>
          <w:rFonts w:ascii="Arial" w:hAnsi="Arial"/>
          <w:sz w:val="22"/>
          <w:szCs w:val="22"/>
        </w:rPr>
        <w:t>vedolizumab</w:t>
      </w:r>
      <w:proofErr w:type="spellEnd"/>
      <w:r w:rsidR="00D4608A" w:rsidRPr="00390011">
        <w:rPr>
          <w:rFonts w:ascii="Arial" w:hAnsi="Arial"/>
          <w:sz w:val="22"/>
          <w:szCs w:val="22"/>
        </w:rPr>
        <w:t xml:space="preserve"> or placebo and the PSCR’s contention that the efficacy of 52 weeks of placebo treatment was </w:t>
      </w:r>
      <w:r w:rsidR="00A108F9" w:rsidRPr="00390011">
        <w:rPr>
          <w:rFonts w:ascii="Arial" w:hAnsi="Arial"/>
          <w:sz w:val="22"/>
          <w:szCs w:val="22"/>
        </w:rPr>
        <w:t>underestimated</w:t>
      </w:r>
      <w:r w:rsidR="00D4608A" w:rsidRPr="00390011">
        <w:rPr>
          <w:rFonts w:ascii="Arial" w:hAnsi="Arial"/>
          <w:sz w:val="22"/>
          <w:szCs w:val="22"/>
        </w:rPr>
        <w:t xml:space="preserve"> in the submission. </w:t>
      </w:r>
      <w:r w:rsidR="0082092C" w:rsidRPr="00390011">
        <w:rPr>
          <w:rFonts w:ascii="Arial" w:hAnsi="Arial"/>
          <w:sz w:val="22"/>
          <w:szCs w:val="22"/>
        </w:rPr>
        <w:t xml:space="preserve">Overall, the PBAC accepted that </w:t>
      </w:r>
      <w:proofErr w:type="spellStart"/>
      <w:r w:rsidR="0082092C" w:rsidRPr="00390011">
        <w:rPr>
          <w:rFonts w:ascii="Arial" w:hAnsi="Arial"/>
          <w:sz w:val="22"/>
          <w:szCs w:val="22"/>
        </w:rPr>
        <w:t>vedolizumab</w:t>
      </w:r>
      <w:proofErr w:type="spellEnd"/>
      <w:r w:rsidR="0082092C" w:rsidRPr="00390011">
        <w:rPr>
          <w:rFonts w:ascii="Arial" w:hAnsi="Arial"/>
          <w:sz w:val="22"/>
          <w:szCs w:val="22"/>
        </w:rPr>
        <w:t xml:space="preserve"> provides a</w:t>
      </w:r>
      <w:r w:rsidR="00CD7D2C" w:rsidRPr="00390011">
        <w:rPr>
          <w:rFonts w:ascii="Arial" w:hAnsi="Arial"/>
          <w:sz w:val="22"/>
          <w:szCs w:val="22"/>
        </w:rPr>
        <w:t xml:space="preserve"> greater response than placebo</w:t>
      </w:r>
      <w:r w:rsidR="00091CBD" w:rsidRPr="00390011">
        <w:rPr>
          <w:rFonts w:ascii="Arial" w:hAnsi="Arial"/>
          <w:sz w:val="22"/>
          <w:szCs w:val="22"/>
        </w:rPr>
        <w:t xml:space="preserve">. However the more relevant comparison is </w:t>
      </w:r>
      <w:proofErr w:type="spellStart"/>
      <w:r w:rsidR="00CD7D2C" w:rsidRPr="00390011">
        <w:rPr>
          <w:rFonts w:ascii="Arial" w:hAnsi="Arial"/>
          <w:sz w:val="22"/>
          <w:szCs w:val="22"/>
        </w:rPr>
        <w:t>vedolizumab’s</w:t>
      </w:r>
      <w:proofErr w:type="spellEnd"/>
      <w:r w:rsidR="00CD7D2C" w:rsidRPr="00390011">
        <w:rPr>
          <w:rFonts w:ascii="Arial" w:hAnsi="Arial"/>
          <w:sz w:val="22"/>
          <w:szCs w:val="22"/>
        </w:rPr>
        <w:t xml:space="preserve"> comparative efficacy and safety </w:t>
      </w:r>
      <w:r w:rsidR="00091CBD" w:rsidRPr="00390011">
        <w:rPr>
          <w:rFonts w:ascii="Arial" w:hAnsi="Arial"/>
          <w:sz w:val="22"/>
          <w:szCs w:val="22"/>
        </w:rPr>
        <w:t>compared to</w:t>
      </w:r>
      <w:r w:rsidR="00CD7D2C" w:rsidRPr="00390011">
        <w:rPr>
          <w:rFonts w:ascii="Arial" w:hAnsi="Arial"/>
          <w:sz w:val="22"/>
          <w:szCs w:val="22"/>
        </w:rPr>
        <w:t xml:space="preserve"> infliximab.</w:t>
      </w:r>
    </w:p>
    <w:p w:rsidR="00D4608A" w:rsidRDefault="00D4608A" w:rsidP="00950893">
      <w:pPr>
        <w:pStyle w:val="ListParagraph"/>
        <w:ind w:left="709"/>
        <w:jc w:val="both"/>
        <w:rPr>
          <w:rFonts w:ascii="Arial" w:hAnsi="Arial"/>
          <w:sz w:val="22"/>
          <w:szCs w:val="22"/>
          <w:highlight w:val="lightGray"/>
        </w:rPr>
      </w:pPr>
    </w:p>
    <w:p w:rsidR="006102DE" w:rsidRDefault="00CD7D2C" w:rsidP="004E7A4D">
      <w:pPr>
        <w:pStyle w:val="ListParagraph"/>
        <w:numPr>
          <w:ilvl w:val="1"/>
          <w:numId w:val="1"/>
        </w:numPr>
        <w:jc w:val="both"/>
        <w:rPr>
          <w:rFonts w:ascii="Arial" w:hAnsi="Arial"/>
          <w:sz w:val="22"/>
          <w:szCs w:val="22"/>
        </w:rPr>
      </w:pPr>
      <w:r>
        <w:rPr>
          <w:rFonts w:ascii="Arial" w:hAnsi="Arial"/>
          <w:sz w:val="22"/>
          <w:szCs w:val="22"/>
        </w:rPr>
        <w:t xml:space="preserve">For the comparison of </w:t>
      </w:r>
      <w:proofErr w:type="spellStart"/>
      <w:r>
        <w:rPr>
          <w:rFonts w:ascii="Arial" w:hAnsi="Arial"/>
          <w:sz w:val="22"/>
          <w:szCs w:val="22"/>
        </w:rPr>
        <w:t>vedolizumab</w:t>
      </w:r>
      <w:proofErr w:type="spellEnd"/>
      <w:r>
        <w:rPr>
          <w:rFonts w:ascii="Arial" w:hAnsi="Arial"/>
          <w:sz w:val="22"/>
          <w:szCs w:val="22"/>
        </w:rPr>
        <w:t xml:space="preserve"> to infliximab, </w:t>
      </w:r>
      <w:r w:rsidR="00457E50">
        <w:rPr>
          <w:rFonts w:ascii="Arial" w:hAnsi="Arial"/>
          <w:sz w:val="22"/>
          <w:szCs w:val="22"/>
        </w:rPr>
        <w:t xml:space="preserve">the PBAC observed that </w:t>
      </w:r>
      <w:r w:rsidR="006102DE">
        <w:rPr>
          <w:rFonts w:ascii="Arial" w:hAnsi="Arial"/>
          <w:sz w:val="22"/>
          <w:szCs w:val="22"/>
        </w:rPr>
        <w:t>b</w:t>
      </w:r>
      <w:r w:rsidR="006102DE" w:rsidRPr="006102DE">
        <w:rPr>
          <w:rFonts w:ascii="Arial" w:hAnsi="Arial"/>
          <w:sz w:val="22"/>
          <w:szCs w:val="22"/>
        </w:rPr>
        <w:t xml:space="preserve">oth </w:t>
      </w:r>
      <w:proofErr w:type="spellStart"/>
      <w:r w:rsidR="006102DE" w:rsidRPr="006102DE">
        <w:rPr>
          <w:rFonts w:ascii="Arial" w:hAnsi="Arial"/>
          <w:sz w:val="22"/>
          <w:szCs w:val="22"/>
        </w:rPr>
        <w:t>vedolizumab</w:t>
      </w:r>
      <w:proofErr w:type="spellEnd"/>
      <w:r w:rsidR="006102DE" w:rsidRPr="006102DE">
        <w:rPr>
          <w:rFonts w:ascii="Arial" w:hAnsi="Arial"/>
          <w:sz w:val="22"/>
          <w:szCs w:val="22"/>
        </w:rPr>
        <w:t xml:space="preserve"> and infliximab show</w:t>
      </w:r>
      <w:r w:rsidR="006102DE">
        <w:rPr>
          <w:rFonts w:ascii="Arial" w:hAnsi="Arial"/>
          <w:sz w:val="22"/>
          <w:szCs w:val="22"/>
        </w:rPr>
        <w:t>ed</w:t>
      </w:r>
      <w:r w:rsidR="006102DE" w:rsidRPr="006102DE">
        <w:rPr>
          <w:rFonts w:ascii="Arial" w:hAnsi="Arial"/>
          <w:sz w:val="22"/>
          <w:szCs w:val="22"/>
        </w:rPr>
        <w:t xml:space="preserve"> statistically significant better response </w:t>
      </w:r>
      <w:r w:rsidR="00457E50">
        <w:rPr>
          <w:rFonts w:ascii="Arial" w:hAnsi="Arial"/>
          <w:sz w:val="22"/>
          <w:szCs w:val="22"/>
        </w:rPr>
        <w:t xml:space="preserve">rates </w:t>
      </w:r>
      <w:r w:rsidR="006102DE" w:rsidRPr="006102DE">
        <w:rPr>
          <w:rFonts w:ascii="Arial" w:hAnsi="Arial"/>
          <w:sz w:val="22"/>
          <w:szCs w:val="22"/>
        </w:rPr>
        <w:t>and remission</w:t>
      </w:r>
      <w:r w:rsidR="00457E50">
        <w:rPr>
          <w:rFonts w:ascii="Arial" w:hAnsi="Arial"/>
          <w:sz w:val="22"/>
          <w:szCs w:val="22"/>
        </w:rPr>
        <w:t xml:space="preserve"> rates</w:t>
      </w:r>
      <w:r w:rsidR="006102DE" w:rsidRPr="006102DE">
        <w:rPr>
          <w:rFonts w:ascii="Arial" w:hAnsi="Arial"/>
          <w:sz w:val="22"/>
          <w:szCs w:val="22"/>
        </w:rPr>
        <w:t xml:space="preserve"> at week 6-8 and 52</w:t>
      </w:r>
      <w:r w:rsidR="008061BE">
        <w:rPr>
          <w:rFonts w:ascii="Arial" w:hAnsi="Arial"/>
          <w:sz w:val="22"/>
          <w:szCs w:val="22"/>
        </w:rPr>
        <w:t xml:space="preserve"> </w:t>
      </w:r>
      <w:r w:rsidR="006102DE" w:rsidRPr="006102DE">
        <w:rPr>
          <w:rFonts w:ascii="Arial" w:hAnsi="Arial"/>
          <w:sz w:val="22"/>
          <w:szCs w:val="22"/>
        </w:rPr>
        <w:t>compared to placebo.</w:t>
      </w:r>
      <w:r w:rsidR="00457E50">
        <w:rPr>
          <w:rFonts w:ascii="Arial" w:hAnsi="Arial"/>
          <w:sz w:val="22"/>
          <w:szCs w:val="22"/>
        </w:rPr>
        <w:t xml:space="preserve"> </w:t>
      </w:r>
      <w:r w:rsidR="006102DE" w:rsidRPr="006102DE">
        <w:rPr>
          <w:rFonts w:ascii="Arial" w:hAnsi="Arial"/>
          <w:sz w:val="22"/>
          <w:szCs w:val="22"/>
        </w:rPr>
        <w:t xml:space="preserve">The indirect comparison </w:t>
      </w:r>
      <w:r w:rsidR="002619BC">
        <w:rPr>
          <w:rFonts w:ascii="Arial" w:hAnsi="Arial"/>
          <w:sz w:val="22"/>
          <w:szCs w:val="22"/>
        </w:rPr>
        <w:t xml:space="preserve">of infliximab and </w:t>
      </w:r>
      <w:proofErr w:type="spellStart"/>
      <w:r w:rsidR="002619BC">
        <w:rPr>
          <w:rFonts w:ascii="Arial" w:hAnsi="Arial"/>
          <w:sz w:val="22"/>
          <w:szCs w:val="22"/>
        </w:rPr>
        <w:t>vedolizumab</w:t>
      </w:r>
      <w:proofErr w:type="spellEnd"/>
      <w:r w:rsidR="002619BC">
        <w:rPr>
          <w:rFonts w:ascii="Arial" w:hAnsi="Arial"/>
          <w:sz w:val="22"/>
          <w:szCs w:val="22"/>
        </w:rPr>
        <w:t xml:space="preserve"> demonstrated a similar response rate for the two drugs</w:t>
      </w:r>
      <w:r w:rsidR="006102DE" w:rsidRPr="006102DE">
        <w:rPr>
          <w:rFonts w:ascii="Arial" w:hAnsi="Arial"/>
          <w:sz w:val="22"/>
          <w:szCs w:val="22"/>
        </w:rPr>
        <w:t>.</w:t>
      </w:r>
      <w:r w:rsidR="00457E50">
        <w:rPr>
          <w:rFonts w:ascii="Arial" w:hAnsi="Arial"/>
          <w:b/>
          <w:color w:val="FF00FF"/>
          <w:sz w:val="22"/>
          <w:szCs w:val="22"/>
        </w:rPr>
        <w:t xml:space="preserve"> </w:t>
      </w:r>
      <w:r w:rsidR="00457E50">
        <w:rPr>
          <w:rFonts w:ascii="Arial" w:hAnsi="Arial"/>
          <w:sz w:val="22"/>
          <w:szCs w:val="22"/>
        </w:rPr>
        <w:t xml:space="preserve">Noting the ESC’s caution on the interpretation of the results, the PBAC considered </w:t>
      </w:r>
      <w:r w:rsidR="00AB61DD">
        <w:rPr>
          <w:rFonts w:ascii="Arial" w:hAnsi="Arial"/>
          <w:sz w:val="22"/>
          <w:szCs w:val="22"/>
        </w:rPr>
        <w:t xml:space="preserve">the results to show that </w:t>
      </w:r>
      <w:proofErr w:type="spellStart"/>
      <w:r w:rsidR="00AB61DD">
        <w:rPr>
          <w:rFonts w:ascii="Arial" w:hAnsi="Arial"/>
          <w:sz w:val="22"/>
          <w:szCs w:val="22"/>
        </w:rPr>
        <w:t>vedoli</w:t>
      </w:r>
      <w:r w:rsidR="00457E50">
        <w:rPr>
          <w:rFonts w:ascii="Arial" w:hAnsi="Arial"/>
          <w:sz w:val="22"/>
          <w:szCs w:val="22"/>
        </w:rPr>
        <w:t>zumab</w:t>
      </w:r>
      <w:proofErr w:type="spellEnd"/>
      <w:r w:rsidR="00457E50">
        <w:rPr>
          <w:rFonts w:ascii="Arial" w:hAnsi="Arial"/>
          <w:sz w:val="22"/>
          <w:szCs w:val="22"/>
        </w:rPr>
        <w:t xml:space="preserve"> has comparable efficacy to that of infliximab.</w:t>
      </w:r>
    </w:p>
    <w:p w:rsidR="00314916" w:rsidRDefault="00314916" w:rsidP="00950893">
      <w:pPr>
        <w:pStyle w:val="ListParagraph"/>
        <w:ind w:left="709"/>
        <w:jc w:val="both"/>
        <w:rPr>
          <w:rFonts w:ascii="Arial" w:hAnsi="Arial"/>
          <w:sz w:val="22"/>
          <w:szCs w:val="22"/>
        </w:rPr>
      </w:pPr>
    </w:p>
    <w:p w:rsidR="00457E50" w:rsidRPr="006102DE" w:rsidRDefault="00457E50" w:rsidP="004E7A4D">
      <w:pPr>
        <w:pStyle w:val="ListParagraph"/>
        <w:numPr>
          <w:ilvl w:val="1"/>
          <w:numId w:val="1"/>
        </w:numPr>
        <w:jc w:val="both"/>
        <w:rPr>
          <w:rFonts w:ascii="Arial" w:hAnsi="Arial"/>
          <w:sz w:val="22"/>
          <w:szCs w:val="22"/>
        </w:rPr>
      </w:pPr>
      <w:r>
        <w:rPr>
          <w:rFonts w:ascii="Arial" w:hAnsi="Arial"/>
          <w:sz w:val="22"/>
          <w:szCs w:val="22"/>
        </w:rPr>
        <w:t xml:space="preserve">No further comment was made on the </w:t>
      </w:r>
      <w:r w:rsidR="00AB61DD">
        <w:rPr>
          <w:rFonts w:ascii="Arial" w:hAnsi="Arial"/>
          <w:sz w:val="22"/>
          <w:szCs w:val="22"/>
        </w:rPr>
        <w:t xml:space="preserve">indirect </w:t>
      </w:r>
      <w:r>
        <w:rPr>
          <w:rFonts w:ascii="Arial" w:hAnsi="Arial"/>
          <w:sz w:val="22"/>
          <w:szCs w:val="22"/>
        </w:rPr>
        <w:t xml:space="preserve">comparison of </w:t>
      </w:r>
      <w:proofErr w:type="spellStart"/>
      <w:r>
        <w:rPr>
          <w:rFonts w:ascii="Arial" w:hAnsi="Arial"/>
          <w:sz w:val="22"/>
          <w:szCs w:val="22"/>
        </w:rPr>
        <w:t>vedolizumab</w:t>
      </w:r>
      <w:proofErr w:type="spellEnd"/>
      <w:r>
        <w:rPr>
          <w:rFonts w:ascii="Arial" w:hAnsi="Arial"/>
          <w:sz w:val="22"/>
          <w:szCs w:val="22"/>
        </w:rPr>
        <w:t xml:space="preserve"> to </w:t>
      </w:r>
      <w:proofErr w:type="spellStart"/>
      <w:r>
        <w:rPr>
          <w:rFonts w:ascii="Arial" w:hAnsi="Arial"/>
          <w:sz w:val="22"/>
          <w:szCs w:val="22"/>
        </w:rPr>
        <w:t>adalimumab</w:t>
      </w:r>
      <w:proofErr w:type="spellEnd"/>
      <w:r>
        <w:rPr>
          <w:rFonts w:ascii="Arial" w:hAnsi="Arial"/>
          <w:sz w:val="22"/>
          <w:szCs w:val="22"/>
        </w:rPr>
        <w:t xml:space="preserve"> as the PBAC was yet to accept that </w:t>
      </w:r>
      <w:proofErr w:type="spellStart"/>
      <w:r>
        <w:rPr>
          <w:rFonts w:ascii="Arial" w:hAnsi="Arial"/>
          <w:sz w:val="22"/>
          <w:szCs w:val="22"/>
        </w:rPr>
        <w:t>adalimumab</w:t>
      </w:r>
      <w:proofErr w:type="spellEnd"/>
      <w:r>
        <w:rPr>
          <w:rFonts w:ascii="Arial" w:hAnsi="Arial"/>
          <w:sz w:val="22"/>
          <w:szCs w:val="22"/>
        </w:rPr>
        <w:t xml:space="preserve"> is cost-effective for moderate to severe ulcerative colitis.</w:t>
      </w:r>
    </w:p>
    <w:p w:rsidR="00CD7D2C" w:rsidRPr="00950893" w:rsidRDefault="00CD7D2C" w:rsidP="00950893">
      <w:pPr>
        <w:jc w:val="both"/>
        <w:rPr>
          <w:rFonts w:ascii="Arial" w:hAnsi="Arial"/>
          <w:sz w:val="22"/>
          <w:szCs w:val="22"/>
        </w:rPr>
      </w:pPr>
    </w:p>
    <w:p w:rsidR="009E441D" w:rsidRPr="00950893" w:rsidRDefault="00D4608A" w:rsidP="004E7A4D">
      <w:pPr>
        <w:pStyle w:val="ListParagraph"/>
        <w:numPr>
          <w:ilvl w:val="1"/>
          <w:numId w:val="1"/>
        </w:numPr>
        <w:jc w:val="both"/>
        <w:rPr>
          <w:rFonts w:ascii="Arial" w:hAnsi="Arial"/>
          <w:i/>
          <w:sz w:val="22"/>
          <w:szCs w:val="22"/>
        </w:rPr>
      </w:pPr>
      <w:r w:rsidRPr="00950893">
        <w:rPr>
          <w:rFonts w:ascii="Arial" w:hAnsi="Arial"/>
          <w:sz w:val="22"/>
          <w:szCs w:val="22"/>
        </w:rPr>
        <w:t xml:space="preserve">In terms of </w:t>
      </w:r>
      <w:proofErr w:type="spellStart"/>
      <w:r w:rsidR="00314916">
        <w:rPr>
          <w:rFonts w:ascii="Arial" w:hAnsi="Arial"/>
          <w:sz w:val="22"/>
          <w:szCs w:val="22"/>
        </w:rPr>
        <w:t>vedolizumab’s</w:t>
      </w:r>
      <w:proofErr w:type="spellEnd"/>
      <w:r w:rsidR="00314916">
        <w:rPr>
          <w:rFonts w:ascii="Arial" w:hAnsi="Arial"/>
          <w:sz w:val="22"/>
          <w:szCs w:val="22"/>
        </w:rPr>
        <w:t xml:space="preserve"> </w:t>
      </w:r>
      <w:r w:rsidRPr="00950893">
        <w:rPr>
          <w:rFonts w:ascii="Arial" w:hAnsi="Arial"/>
          <w:sz w:val="22"/>
          <w:szCs w:val="22"/>
        </w:rPr>
        <w:t xml:space="preserve">comparative safety, </w:t>
      </w:r>
      <w:r w:rsidR="007D46CE">
        <w:rPr>
          <w:rFonts w:ascii="Arial" w:hAnsi="Arial"/>
          <w:sz w:val="22"/>
          <w:szCs w:val="22"/>
        </w:rPr>
        <w:t>although t</w:t>
      </w:r>
      <w:r w:rsidR="007D46CE" w:rsidRPr="007D46CE">
        <w:rPr>
          <w:rFonts w:ascii="Arial" w:hAnsi="Arial"/>
          <w:sz w:val="22"/>
          <w:szCs w:val="22"/>
        </w:rPr>
        <w:t xml:space="preserve">he submission </w:t>
      </w:r>
      <w:r w:rsidR="007D46CE">
        <w:rPr>
          <w:rFonts w:ascii="Arial" w:hAnsi="Arial"/>
          <w:sz w:val="22"/>
          <w:szCs w:val="22"/>
        </w:rPr>
        <w:t xml:space="preserve">claimed </w:t>
      </w:r>
      <w:r w:rsidR="007D46CE" w:rsidRPr="007D46CE">
        <w:rPr>
          <w:rFonts w:ascii="Arial" w:hAnsi="Arial"/>
          <w:sz w:val="22"/>
          <w:szCs w:val="22"/>
        </w:rPr>
        <w:t xml:space="preserve">that there were no differences for the most common adverse events between the placebo and </w:t>
      </w:r>
      <w:proofErr w:type="spellStart"/>
      <w:r w:rsidR="007D46CE" w:rsidRPr="007D46CE">
        <w:rPr>
          <w:rFonts w:ascii="Arial" w:hAnsi="Arial"/>
          <w:sz w:val="22"/>
          <w:szCs w:val="22"/>
        </w:rPr>
        <w:t>vedolizumab</w:t>
      </w:r>
      <w:proofErr w:type="spellEnd"/>
      <w:r w:rsidR="007D46CE" w:rsidRPr="007D46CE">
        <w:rPr>
          <w:rFonts w:ascii="Arial" w:hAnsi="Arial"/>
          <w:sz w:val="22"/>
          <w:szCs w:val="22"/>
        </w:rPr>
        <w:t xml:space="preserve"> groups</w:t>
      </w:r>
      <w:r w:rsidR="009E441D">
        <w:rPr>
          <w:rFonts w:ascii="Arial" w:hAnsi="Arial"/>
          <w:sz w:val="22"/>
          <w:szCs w:val="22"/>
        </w:rPr>
        <w:t>,</w:t>
      </w:r>
      <w:r w:rsidR="007D46CE">
        <w:rPr>
          <w:rFonts w:ascii="Arial" w:hAnsi="Arial"/>
          <w:sz w:val="22"/>
          <w:szCs w:val="22"/>
        </w:rPr>
        <w:t xml:space="preserve"> </w:t>
      </w:r>
      <w:r w:rsidR="007D46CE" w:rsidRPr="00950893">
        <w:rPr>
          <w:rFonts w:ascii="Arial" w:hAnsi="Arial"/>
          <w:sz w:val="22"/>
          <w:szCs w:val="22"/>
        </w:rPr>
        <w:t xml:space="preserve">the PBAC noted that the results were not derived from randomised treatment of 52 weeks of placebo or </w:t>
      </w:r>
      <w:proofErr w:type="spellStart"/>
      <w:r w:rsidR="007D46CE" w:rsidRPr="00950893">
        <w:rPr>
          <w:rFonts w:ascii="Arial" w:hAnsi="Arial"/>
          <w:sz w:val="22"/>
          <w:szCs w:val="22"/>
        </w:rPr>
        <w:t>vedolizumab</w:t>
      </w:r>
      <w:proofErr w:type="spellEnd"/>
      <w:r w:rsidR="007D46CE" w:rsidRPr="00950893">
        <w:rPr>
          <w:rFonts w:ascii="Arial" w:hAnsi="Arial"/>
          <w:sz w:val="22"/>
          <w:szCs w:val="22"/>
        </w:rPr>
        <w:t>.</w:t>
      </w:r>
      <w:r w:rsidR="007D46CE" w:rsidRPr="00950893">
        <w:rPr>
          <w:rFonts w:ascii="Arial" w:hAnsi="Arial"/>
          <w:b/>
          <w:color w:val="FF00FF"/>
          <w:sz w:val="22"/>
          <w:szCs w:val="22"/>
        </w:rPr>
        <w:t xml:space="preserve"> </w:t>
      </w:r>
      <w:r w:rsidR="007D46CE">
        <w:rPr>
          <w:rFonts w:ascii="Arial" w:hAnsi="Arial"/>
          <w:sz w:val="22"/>
          <w:szCs w:val="22"/>
        </w:rPr>
        <w:t>T</w:t>
      </w:r>
      <w:r w:rsidR="007D46CE" w:rsidRPr="00950893">
        <w:rPr>
          <w:rFonts w:ascii="Arial" w:hAnsi="Arial"/>
          <w:sz w:val="22"/>
          <w:szCs w:val="22"/>
        </w:rPr>
        <w:t xml:space="preserve">he </w:t>
      </w:r>
      <w:r w:rsidR="007D46CE">
        <w:rPr>
          <w:rFonts w:ascii="Arial" w:hAnsi="Arial"/>
          <w:sz w:val="22"/>
          <w:szCs w:val="22"/>
        </w:rPr>
        <w:t>PBAC therefore agreed</w:t>
      </w:r>
      <w:r w:rsidR="007D46CE" w:rsidRPr="00950893">
        <w:rPr>
          <w:rFonts w:ascii="Arial" w:hAnsi="Arial"/>
          <w:sz w:val="22"/>
          <w:szCs w:val="22"/>
        </w:rPr>
        <w:t xml:space="preserve"> that it </w:t>
      </w:r>
      <w:r w:rsidR="007D46CE">
        <w:rPr>
          <w:rFonts w:ascii="Arial" w:hAnsi="Arial"/>
          <w:sz w:val="22"/>
          <w:szCs w:val="22"/>
        </w:rPr>
        <w:t>wa</w:t>
      </w:r>
      <w:r w:rsidR="007D46CE" w:rsidRPr="00950893">
        <w:rPr>
          <w:rFonts w:ascii="Arial" w:hAnsi="Arial"/>
          <w:sz w:val="22"/>
          <w:szCs w:val="22"/>
        </w:rPr>
        <w:t>s unclear what the impact of the lack of randomised trial data had on the overall claim for safety.</w:t>
      </w:r>
      <w:r w:rsidR="007D46CE" w:rsidRPr="007D46CE">
        <w:rPr>
          <w:rFonts w:ascii="Arial" w:hAnsi="Arial"/>
          <w:sz w:val="22"/>
          <w:szCs w:val="22"/>
        </w:rPr>
        <w:t xml:space="preserve"> </w:t>
      </w:r>
      <w:r w:rsidR="007D46CE">
        <w:rPr>
          <w:rFonts w:ascii="Arial" w:hAnsi="Arial"/>
          <w:sz w:val="22"/>
          <w:szCs w:val="22"/>
        </w:rPr>
        <w:t>The PBAC</w:t>
      </w:r>
      <w:r w:rsidR="00B64A92">
        <w:rPr>
          <w:rFonts w:ascii="Arial" w:hAnsi="Arial"/>
          <w:sz w:val="22"/>
          <w:szCs w:val="22"/>
        </w:rPr>
        <w:t xml:space="preserve"> further</w:t>
      </w:r>
      <w:r w:rsidR="007D46CE">
        <w:rPr>
          <w:rFonts w:ascii="Arial" w:hAnsi="Arial"/>
          <w:sz w:val="22"/>
          <w:szCs w:val="22"/>
        </w:rPr>
        <w:t xml:space="preserve"> noted that </w:t>
      </w:r>
      <w:proofErr w:type="spellStart"/>
      <w:r w:rsidR="007D46CE">
        <w:rPr>
          <w:rFonts w:ascii="Arial" w:hAnsi="Arial"/>
          <w:sz w:val="22"/>
          <w:szCs w:val="22"/>
        </w:rPr>
        <w:t>v</w:t>
      </w:r>
      <w:r w:rsidR="007D46CE" w:rsidRPr="007D46CE">
        <w:rPr>
          <w:rFonts w:ascii="Arial" w:hAnsi="Arial"/>
          <w:sz w:val="22"/>
          <w:szCs w:val="22"/>
        </w:rPr>
        <w:t>edolizumab</w:t>
      </w:r>
      <w:proofErr w:type="spellEnd"/>
      <w:r w:rsidR="007D46CE" w:rsidRPr="007D46CE">
        <w:rPr>
          <w:rFonts w:ascii="Arial" w:hAnsi="Arial"/>
          <w:sz w:val="22"/>
          <w:szCs w:val="22"/>
        </w:rPr>
        <w:t xml:space="preserve"> is in the same pharmacological class as </w:t>
      </w:r>
      <w:proofErr w:type="spellStart"/>
      <w:r w:rsidR="007D46CE" w:rsidRPr="007D46CE">
        <w:rPr>
          <w:rFonts w:ascii="Arial" w:hAnsi="Arial"/>
          <w:sz w:val="22"/>
          <w:szCs w:val="22"/>
        </w:rPr>
        <w:t>natalizumab</w:t>
      </w:r>
      <w:proofErr w:type="spellEnd"/>
      <w:r w:rsidR="007D46CE" w:rsidRPr="007D46CE">
        <w:rPr>
          <w:rFonts w:ascii="Arial" w:hAnsi="Arial"/>
          <w:sz w:val="22"/>
          <w:szCs w:val="22"/>
        </w:rPr>
        <w:t xml:space="preserve"> and may have the theoretical potential to be associated with an increased risk of PML. </w:t>
      </w:r>
      <w:r w:rsidR="007D46CE" w:rsidRPr="00950893">
        <w:rPr>
          <w:rFonts w:ascii="Arial" w:hAnsi="Arial"/>
          <w:sz w:val="22"/>
          <w:szCs w:val="22"/>
        </w:rPr>
        <w:t xml:space="preserve">The PSCR </w:t>
      </w:r>
      <w:r w:rsidR="00EC6FC3">
        <w:rPr>
          <w:rFonts w:ascii="Arial" w:hAnsi="Arial"/>
          <w:sz w:val="22"/>
          <w:szCs w:val="22"/>
        </w:rPr>
        <w:t>stated</w:t>
      </w:r>
      <w:r w:rsidR="007D46CE" w:rsidRPr="00950893">
        <w:rPr>
          <w:rFonts w:ascii="Arial" w:hAnsi="Arial"/>
          <w:sz w:val="22"/>
          <w:szCs w:val="22"/>
        </w:rPr>
        <w:t xml:space="preserve"> that</w:t>
      </w:r>
      <w:r w:rsidR="007D46CE">
        <w:rPr>
          <w:rFonts w:ascii="Arial" w:hAnsi="Arial"/>
          <w:sz w:val="22"/>
          <w:szCs w:val="22"/>
        </w:rPr>
        <w:t xml:space="preserve"> t</w:t>
      </w:r>
      <w:r w:rsidR="007D46CE" w:rsidRPr="00950893">
        <w:rPr>
          <w:rFonts w:ascii="Arial" w:hAnsi="Arial"/>
          <w:sz w:val="22"/>
          <w:szCs w:val="22"/>
        </w:rPr>
        <w:t>o date</w:t>
      </w:r>
      <w:r w:rsidR="007D46CE">
        <w:rPr>
          <w:rFonts w:ascii="Arial" w:hAnsi="Arial"/>
          <w:sz w:val="22"/>
          <w:szCs w:val="22"/>
        </w:rPr>
        <w:t>,</w:t>
      </w:r>
      <w:r w:rsidR="00EC6FC3" w:rsidRPr="00950893">
        <w:rPr>
          <w:rFonts w:ascii="Arial" w:hAnsi="Arial"/>
          <w:sz w:val="22"/>
          <w:szCs w:val="22"/>
        </w:rPr>
        <w:t xml:space="preserve"> no cases of PML h</w:t>
      </w:r>
      <w:r w:rsidR="00EC6FC3">
        <w:rPr>
          <w:rFonts w:ascii="Arial" w:hAnsi="Arial"/>
          <w:sz w:val="22"/>
          <w:szCs w:val="22"/>
        </w:rPr>
        <w:t>ad</w:t>
      </w:r>
      <w:r w:rsidR="007D46CE" w:rsidRPr="00950893">
        <w:rPr>
          <w:rFonts w:ascii="Arial" w:hAnsi="Arial"/>
          <w:sz w:val="22"/>
          <w:szCs w:val="22"/>
        </w:rPr>
        <w:t xml:space="preserve"> been reported, despite over 3,700 patient years of exposure in the program.</w:t>
      </w:r>
      <w:r w:rsidR="002538BE" w:rsidRPr="00950893">
        <w:rPr>
          <w:rFonts w:ascii="Arial" w:hAnsi="Arial"/>
          <w:sz w:val="22"/>
          <w:szCs w:val="22"/>
        </w:rPr>
        <w:t xml:space="preserve">  </w:t>
      </w:r>
      <w:r w:rsidR="002538BE">
        <w:rPr>
          <w:rFonts w:ascii="Arial" w:hAnsi="Arial"/>
          <w:sz w:val="22"/>
          <w:szCs w:val="22"/>
        </w:rPr>
        <w:t>Despite this reassurance</w:t>
      </w:r>
      <w:r w:rsidR="007D46CE" w:rsidRPr="00950893">
        <w:rPr>
          <w:rFonts w:ascii="Arial" w:hAnsi="Arial"/>
          <w:sz w:val="22"/>
          <w:szCs w:val="22"/>
        </w:rPr>
        <w:t xml:space="preserve">, the </w:t>
      </w:r>
      <w:r w:rsidR="007D46CE">
        <w:rPr>
          <w:rFonts w:ascii="Arial" w:hAnsi="Arial"/>
          <w:sz w:val="22"/>
          <w:szCs w:val="22"/>
        </w:rPr>
        <w:t>PBAC</w:t>
      </w:r>
      <w:r w:rsidR="007D46CE" w:rsidRPr="00950893">
        <w:rPr>
          <w:rFonts w:ascii="Arial" w:hAnsi="Arial"/>
          <w:sz w:val="22"/>
          <w:szCs w:val="22"/>
        </w:rPr>
        <w:t xml:space="preserve"> noted that patients were excluded from the key trial (GEMINI I) or extension study (C13008) if they were potentially at risk of PML and </w:t>
      </w:r>
      <w:r w:rsidR="009E441D">
        <w:rPr>
          <w:rFonts w:ascii="Arial" w:hAnsi="Arial"/>
          <w:sz w:val="22"/>
          <w:szCs w:val="22"/>
        </w:rPr>
        <w:t xml:space="preserve">agreed </w:t>
      </w:r>
      <w:r w:rsidR="007D46CE" w:rsidRPr="00950893">
        <w:rPr>
          <w:rFonts w:ascii="Arial" w:hAnsi="Arial"/>
          <w:sz w:val="22"/>
          <w:szCs w:val="22"/>
        </w:rPr>
        <w:t xml:space="preserve">that such careful screening may not occur to the same extent in real life practice by gastroenterologists as compared to neurologists treating multiple-sclerosis patients with </w:t>
      </w:r>
      <w:proofErr w:type="spellStart"/>
      <w:r w:rsidR="007D46CE" w:rsidRPr="00950893">
        <w:rPr>
          <w:rFonts w:ascii="Arial" w:hAnsi="Arial"/>
          <w:sz w:val="22"/>
          <w:szCs w:val="22"/>
        </w:rPr>
        <w:t>natalizumab</w:t>
      </w:r>
      <w:proofErr w:type="spellEnd"/>
      <w:r w:rsidR="007D46CE" w:rsidRPr="00950893">
        <w:rPr>
          <w:rFonts w:ascii="Arial" w:hAnsi="Arial"/>
          <w:sz w:val="22"/>
          <w:szCs w:val="22"/>
        </w:rPr>
        <w:t>.</w:t>
      </w:r>
      <w:r w:rsidR="009E441D">
        <w:rPr>
          <w:rFonts w:ascii="Arial" w:hAnsi="Arial"/>
          <w:sz w:val="22"/>
          <w:szCs w:val="22"/>
        </w:rPr>
        <w:t xml:space="preserve"> </w:t>
      </w:r>
      <w:r w:rsidR="009E441D" w:rsidRPr="009E441D">
        <w:rPr>
          <w:rFonts w:ascii="Arial" w:hAnsi="Arial"/>
          <w:sz w:val="22"/>
          <w:szCs w:val="22"/>
        </w:rPr>
        <w:t>The PBAC</w:t>
      </w:r>
      <w:r w:rsidR="009E441D">
        <w:rPr>
          <w:rFonts w:ascii="Arial" w:hAnsi="Arial"/>
          <w:sz w:val="22"/>
          <w:szCs w:val="22"/>
        </w:rPr>
        <w:t xml:space="preserve"> </w:t>
      </w:r>
      <w:r w:rsidR="00B64A92">
        <w:rPr>
          <w:rFonts w:ascii="Arial" w:hAnsi="Arial"/>
          <w:sz w:val="22"/>
          <w:szCs w:val="22"/>
        </w:rPr>
        <w:t xml:space="preserve">considered </w:t>
      </w:r>
      <w:r w:rsidR="009E441D" w:rsidRPr="009E441D">
        <w:rPr>
          <w:rFonts w:ascii="Arial" w:hAnsi="Arial"/>
          <w:sz w:val="22"/>
          <w:szCs w:val="22"/>
        </w:rPr>
        <w:t>that the number of patient</w:t>
      </w:r>
      <w:r w:rsidR="00B64A92">
        <w:rPr>
          <w:rFonts w:ascii="Arial" w:hAnsi="Arial"/>
          <w:sz w:val="22"/>
          <w:szCs w:val="22"/>
        </w:rPr>
        <w:t xml:space="preserve">s enrolled in the clinical trials was unlikely to </w:t>
      </w:r>
      <w:r w:rsidR="002538BE">
        <w:rPr>
          <w:rFonts w:ascii="Arial" w:hAnsi="Arial"/>
          <w:sz w:val="22"/>
          <w:szCs w:val="22"/>
        </w:rPr>
        <w:t>be adequately powered to</w:t>
      </w:r>
      <w:r w:rsidR="00B64A92">
        <w:rPr>
          <w:rFonts w:ascii="Arial" w:hAnsi="Arial"/>
          <w:sz w:val="22"/>
          <w:szCs w:val="22"/>
        </w:rPr>
        <w:t xml:space="preserve"> detect</w:t>
      </w:r>
      <w:r w:rsidR="009E441D" w:rsidRPr="009E441D">
        <w:rPr>
          <w:rFonts w:ascii="Arial" w:hAnsi="Arial"/>
          <w:sz w:val="22"/>
          <w:szCs w:val="22"/>
        </w:rPr>
        <w:t xml:space="preserve"> </w:t>
      </w:r>
      <w:r w:rsidR="00B64A92">
        <w:rPr>
          <w:rFonts w:ascii="Arial" w:hAnsi="Arial"/>
          <w:sz w:val="22"/>
          <w:szCs w:val="22"/>
        </w:rPr>
        <w:t>cases of PML</w:t>
      </w:r>
      <w:r w:rsidR="009E441D" w:rsidRPr="009E441D">
        <w:rPr>
          <w:rFonts w:ascii="Arial" w:hAnsi="Arial"/>
          <w:sz w:val="22"/>
          <w:szCs w:val="22"/>
        </w:rPr>
        <w:t xml:space="preserve"> </w:t>
      </w:r>
      <w:r w:rsidR="00B64A92">
        <w:rPr>
          <w:rFonts w:ascii="Arial" w:hAnsi="Arial"/>
          <w:sz w:val="22"/>
          <w:szCs w:val="22"/>
        </w:rPr>
        <w:t xml:space="preserve">due to the </w:t>
      </w:r>
      <w:r w:rsidR="002538BE">
        <w:rPr>
          <w:rFonts w:ascii="Arial" w:hAnsi="Arial"/>
          <w:sz w:val="22"/>
          <w:szCs w:val="22"/>
        </w:rPr>
        <w:t xml:space="preserve">naturally low </w:t>
      </w:r>
      <w:r w:rsidR="009E441D" w:rsidRPr="009E441D">
        <w:rPr>
          <w:rFonts w:ascii="Arial" w:hAnsi="Arial"/>
          <w:sz w:val="22"/>
          <w:szCs w:val="22"/>
        </w:rPr>
        <w:t>disease incidence (</w:t>
      </w:r>
      <w:r w:rsidR="002538BE">
        <w:rPr>
          <w:rFonts w:ascii="Arial" w:hAnsi="Arial"/>
          <w:sz w:val="22"/>
          <w:szCs w:val="22"/>
        </w:rPr>
        <w:t xml:space="preserve">approximately </w:t>
      </w:r>
      <w:r w:rsidR="009E441D" w:rsidRPr="009E441D">
        <w:rPr>
          <w:rFonts w:ascii="Arial" w:hAnsi="Arial"/>
          <w:sz w:val="22"/>
          <w:szCs w:val="22"/>
        </w:rPr>
        <w:t xml:space="preserve">1 </w:t>
      </w:r>
      <w:r w:rsidR="002538BE">
        <w:rPr>
          <w:rFonts w:ascii="Arial" w:hAnsi="Arial"/>
          <w:sz w:val="22"/>
          <w:szCs w:val="22"/>
        </w:rPr>
        <w:t xml:space="preserve">case </w:t>
      </w:r>
      <w:r w:rsidR="009E441D" w:rsidRPr="009E441D">
        <w:rPr>
          <w:rFonts w:ascii="Arial" w:hAnsi="Arial"/>
          <w:sz w:val="22"/>
          <w:szCs w:val="22"/>
        </w:rPr>
        <w:t>in 10,000).</w:t>
      </w:r>
      <w:r w:rsidR="009E441D">
        <w:rPr>
          <w:rFonts w:ascii="Arial" w:hAnsi="Arial"/>
          <w:sz w:val="22"/>
          <w:szCs w:val="22"/>
        </w:rPr>
        <w:t xml:space="preserve">  </w:t>
      </w:r>
    </w:p>
    <w:p w:rsidR="00ED77D9" w:rsidRPr="00950893" w:rsidRDefault="00ED77D9" w:rsidP="00950893">
      <w:pPr>
        <w:pStyle w:val="ListParagraph"/>
        <w:ind w:left="709"/>
        <w:jc w:val="both"/>
        <w:rPr>
          <w:rFonts w:ascii="Arial" w:hAnsi="Arial"/>
          <w:i/>
          <w:sz w:val="22"/>
          <w:szCs w:val="22"/>
        </w:rPr>
      </w:pPr>
    </w:p>
    <w:p w:rsidR="00ED77D9" w:rsidRPr="00950893" w:rsidRDefault="00ED77D9" w:rsidP="004E7A4D">
      <w:pPr>
        <w:pStyle w:val="ListParagraph"/>
        <w:numPr>
          <w:ilvl w:val="1"/>
          <w:numId w:val="1"/>
        </w:numPr>
        <w:jc w:val="both"/>
        <w:rPr>
          <w:rFonts w:ascii="Arial" w:hAnsi="Arial"/>
          <w:i/>
          <w:sz w:val="22"/>
          <w:szCs w:val="22"/>
        </w:rPr>
      </w:pPr>
      <w:r w:rsidRPr="00ED77D9">
        <w:rPr>
          <w:rFonts w:ascii="Arial" w:hAnsi="Arial"/>
          <w:sz w:val="22"/>
          <w:szCs w:val="22"/>
        </w:rPr>
        <w:t xml:space="preserve">Therefore, it was the PBAC’s view that </w:t>
      </w:r>
      <w:r w:rsidR="00091CBD" w:rsidRPr="00ED77D9">
        <w:rPr>
          <w:rFonts w:ascii="Arial" w:hAnsi="Arial"/>
          <w:sz w:val="22"/>
          <w:szCs w:val="22"/>
        </w:rPr>
        <w:t xml:space="preserve">the non-inferiority of </w:t>
      </w:r>
      <w:proofErr w:type="spellStart"/>
      <w:r w:rsidR="00091CBD" w:rsidRPr="00ED77D9">
        <w:rPr>
          <w:rFonts w:ascii="Arial" w:hAnsi="Arial"/>
          <w:sz w:val="22"/>
          <w:szCs w:val="22"/>
        </w:rPr>
        <w:t>vedolizumab</w:t>
      </w:r>
      <w:proofErr w:type="spellEnd"/>
      <w:r w:rsidR="00091CBD" w:rsidRPr="00ED77D9">
        <w:rPr>
          <w:rFonts w:ascii="Arial" w:hAnsi="Arial"/>
          <w:sz w:val="22"/>
          <w:szCs w:val="22"/>
        </w:rPr>
        <w:t xml:space="preserve"> to infliximab in terms of comparative safety had not been conclusively established </w:t>
      </w:r>
      <w:r w:rsidRPr="00ED77D9">
        <w:rPr>
          <w:rFonts w:ascii="Arial" w:hAnsi="Arial"/>
          <w:sz w:val="22"/>
          <w:szCs w:val="22"/>
        </w:rPr>
        <w:t>on the basis of the evidence presented in the submission</w:t>
      </w:r>
      <w:r w:rsidR="00CD1C49">
        <w:rPr>
          <w:rFonts w:ascii="Arial" w:hAnsi="Arial"/>
          <w:sz w:val="22"/>
          <w:szCs w:val="22"/>
        </w:rPr>
        <w:t>.</w:t>
      </w:r>
      <w:r w:rsidRPr="00ED77D9">
        <w:rPr>
          <w:rFonts w:ascii="Arial" w:hAnsi="Arial"/>
          <w:sz w:val="22"/>
          <w:szCs w:val="22"/>
        </w:rPr>
        <w:t xml:space="preserve"> In particular, the PBAC</w:t>
      </w:r>
      <w:r w:rsidR="00091CBD">
        <w:rPr>
          <w:rFonts w:ascii="Arial" w:hAnsi="Arial"/>
          <w:sz w:val="22"/>
          <w:szCs w:val="22"/>
        </w:rPr>
        <w:t xml:space="preserve"> was concerned about </w:t>
      </w:r>
      <w:r w:rsidRPr="00ED77D9">
        <w:rPr>
          <w:rFonts w:ascii="Arial" w:hAnsi="Arial"/>
          <w:sz w:val="22"/>
          <w:szCs w:val="22"/>
        </w:rPr>
        <w:t xml:space="preserve">prescribers in practice </w:t>
      </w:r>
      <w:r w:rsidR="00091CBD">
        <w:rPr>
          <w:rFonts w:ascii="Arial" w:hAnsi="Arial"/>
          <w:sz w:val="22"/>
          <w:szCs w:val="22"/>
        </w:rPr>
        <w:t>having to</w:t>
      </w:r>
      <w:r w:rsidRPr="00ED77D9">
        <w:rPr>
          <w:rFonts w:ascii="Arial" w:hAnsi="Arial"/>
          <w:sz w:val="22"/>
          <w:szCs w:val="22"/>
        </w:rPr>
        <w:t xml:space="preserve"> trade-off the risk of PML against the benefits of </w:t>
      </w:r>
      <w:proofErr w:type="spellStart"/>
      <w:r w:rsidRPr="00ED77D9">
        <w:rPr>
          <w:rFonts w:ascii="Arial" w:hAnsi="Arial"/>
          <w:sz w:val="22"/>
          <w:szCs w:val="22"/>
        </w:rPr>
        <w:t>vedolizumab</w:t>
      </w:r>
      <w:proofErr w:type="spellEnd"/>
      <w:r w:rsidRPr="00ED77D9">
        <w:rPr>
          <w:rFonts w:ascii="Arial" w:hAnsi="Arial"/>
          <w:sz w:val="22"/>
          <w:szCs w:val="22"/>
        </w:rPr>
        <w:t xml:space="preserve"> treatment.  </w:t>
      </w:r>
    </w:p>
    <w:p w:rsidR="00ED77D9" w:rsidRPr="00950893" w:rsidRDefault="00ED77D9" w:rsidP="00950893">
      <w:pPr>
        <w:jc w:val="both"/>
        <w:rPr>
          <w:rFonts w:ascii="Arial" w:hAnsi="Arial"/>
          <w:sz w:val="22"/>
          <w:szCs w:val="22"/>
        </w:rPr>
      </w:pPr>
    </w:p>
    <w:p w:rsidR="009B3BE9" w:rsidRPr="00950893" w:rsidRDefault="009B3BE9" w:rsidP="004E7A4D">
      <w:pPr>
        <w:pStyle w:val="ListParagraph"/>
        <w:numPr>
          <w:ilvl w:val="1"/>
          <w:numId w:val="1"/>
        </w:numPr>
        <w:jc w:val="both"/>
        <w:rPr>
          <w:rFonts w:ascii="Arial" w:hAnsi="Arial"/>
          <w:sz w:val="22"/>
          <w:szCs w:val="22"/>
        </w:rPr>
      </w:pPr>
      <w:r>
        <w:rPr>
          <w:rFonts w:ascii="Arial" w:hAnsi="Arial"/>
          <w:sz w:val="22"/>
          <w:szCs w:val="22"/>
        </w:rPr>
        <w:lastRenderedPageBreak/>
        <w:t xml:space="preserve">The </w:t>
      </w:r>
      <w:r w:rsidR="00A63247" w:rsidRPr="00A63247">
        <w:rPr>
          <w:rFonts w:ascii="Arial" w:hAnsi="Arial"/>
          <w:sz w:val="22"/>
          <w:szCs w:val="22"/>
        </w:rPr>
        <w:t xml:space="preserve">PBAC noted the </w:t>
      </w:r>
      <w:r>
        <w:rPr>
          <w:rFonts w:ascii="Arial" w:hAnsi="Arial"/>
          <w:sz w:val="22"/>
          <w:szCs w:val="22"/>
        </w:rPr>
        <w:t xml:space="preserve">submission’s </w:t>
      </w:r>
      <w:r w:rsidR="00A63247" w:rsidRPr="00A63247">
        <w:rPr>
          <w:rFonts w:ascii="Arial" w:hAnsi="Arial"/>
          <w:sz w:val="22"/>
          <w:szCs w:val="22"/>
        </w:rPr>
        <w:t>cost-</w:t>
      </w:r>
      <w:r>
        <w:rPr>
          <w:rFonts w:ascii="Arial" w:hAnsi="Arial"/>
          <w:sz w:val="22"/>
          <w:szCs w:val="22"/>
        </w:rPr>
        <w:t>utility analysis</w:t>
      </w:r>
      <w:r w:rsidR="00A63247" w:rsidRPr="00A63247">
        <w:rPr>
          <w:rFonts w:ascii="Arial" w:hAnsi="Arial"/>
          <w:sz w:val="22"/>
          <w:szCs w:val="22"/>
        </w:rPr>
        <w:t xml:space="preserve"> </w:t>
      </w:r>
      <w:r>
        <w:rPr>
          <w:rFonts w:ascii="Arial" w:hAnsi="Arial"/>
          <w:sz w:val="22"/>
          <w:szCs w:val="22"/>
        </w:rPr>
        <w:t xml:space="preserve">of </w:t>
      </w:r>
      <w:proofErr w:type="spellStart"/>
      <w:r>
        <w:rPr>
          <w:rFonts w:ascii="Arial" w:hAnsi="Arial"/>
          <w:sz w:val="22"/>
          <w:szCs w:val="22"/>
        </w:rPr>
        <w:t>vedolizumab</w:t>
      </w:r>
      <w:proofErr w:type="spellEnd"/>
      <w:r>
        <w:rPr>
          <w:rFonts w:ascii="Arial" w:hAnsi="Arial"/>
          <w:sz w:val="22"/>
          <w:szCs w:val="22"/>
        </w:rPr>
        <w:t xml:space="preserve"> compared to best supportive care and the submission’s claimed</w:t>
      </w:r>
      <w:r w:rsidR="00A63247" w:rsidRPr="00A63247">
        <w:rPr>
          <w:rFonts w:ascii="Arial" w:hAnsi="Arial"/>
          <w:sz w:val="22"/>
          <w:szCs w:val="22"/>
        </w:rPr>
        <w:t xml:space="preserve"> ICER of </w:t>
      </w:r>
      <w:r w:rsidR="00EB294F" w:rsidRPr="00EB294F">
        <w:rPr>
          <w:rFonts w:ascii="Arial" w:hAnsi="Arial" w:cs="Arial"/>
          <w:sz w:val="22"/>
        </w:rPr>
        <w:t>$15,000 - $45,000/QALY</w:t>
      </w:r>
      <w:r w:rsidR="00EB294F" w:rsidRPr="00EB294F">
        <w:rPr>
          <w:sz w:val="22"/>
        </w:rPr>
        <w:t xml:space="preserve"> </w:t>
      </w:r>
      <w:r>
        <w:rPr>
          <w:rFonts w:ascii="Arial" w:hAnsi="Arial"/>
          <w:sz w:val="22"/>
          <w:szCs w:val="22"/>
        </w:rPr>
        <w:t>gained</w:t>
      </w:r>
      <w:r w:rsidR="00A63247" w:rsidRPr="00A63247">
        <w:rPr>
          <w:rFonts w:ascii="Arial" w:hAnsi="Arial"/>
          <w:sz w:val="22"/>
          <w:szCs w:val="22"/>
        </w:rPr>
        <w:t xml:space="preserve"> </w:t>
      </w:r>
      <w:r>
        <w:rPr>
          <w:rFonts w:ascii="Arial" w:hAnsi="Arial"/>
          <w:sz w:val="22"/>
          <w:szCs w:val="22"/>
        </w:rPr>
        <w:t>(</w:t>
      </w:r>
      <w:r w:rsidRPr="00EB294F">
        <w:rPr>
          <w:rFonts w:ascii="Arial" w:hAnsi="Arial" w:cs="Arial"/>
          <w:sz w:val="22"/>
          <w:szCs w:val="22"/>
        </w:rPr>
        <w:t xml:space="preserve">or </w:t>
      </w:r>
      <w:r w:rsidR="00EB294F" w:rsidRPr="00EB294F">
        <w:rPr>
          <w:rFonts w:ascii="Arial" w:hAnsi="Arial" w:cs="Arial"/>
          <w:sz w:val="22"/>
          <w:szCs w:val="22"/>
        </w:rPr>
        <w:t>$45,000 - $75,000/QALY</w:t>
      </w:r>
      <w:r w:rsidR="00EB294F">
        <w:t xml:space="preserve"> </w:t>
      </w:r>
      <w:r>
        <w:rPr>
          <w:rFonts w:ascii="Arial" w:hAnsi="Arial"/>
          <w:sz w:val="22"/>
          <w:szCs w:val="22"/>
        </w:rPr>
        <w:t xml:space="preserve">gained for the respecified base case). </w:t>
      </w:r>
      <w:r w:rsidR="00A63247" w:rsidRPr="00A63247">
        <w:rPr>
          <w:rFonts w:ascii="Arial" w:hAnsi="Arial"/>
          <w:sz w:val="22"/>
          <w:szCs w:val="22"/>
        </w:rPr>
        <w:t xml:space="preserve">The PBAC </w:t>
      </w:r>
      <w:r>
        <w:rPr>
          <w:rFonts w:ascii="Arial" w:hAnsi="Arial"/>
          <w:sz w:val="22"/>
          <w:szCs w:val="22"/>
        </w:rPr>
        <w:t>agreed with the ESC that the submission’s estimate of the ICER is likely to be underestimated, noting that the economic model was sensitive to the model duration, treatment duration</w:t>
      </w:r>
      <w:r w:rsidRPr="00950893">
        <w:rPr>
          <w:rFonts w:ascii="Arial" w:hAnsi="Arial"/>
          <w:sz w:val="22"/>
          <w:szCs w:val="22"/>
        </w:rPr>
        <w:t xml:space="preserve">, efficacy for non-responders to </w:t>
      </w:r>
      <w:proofErr w:type="spellStart"/>
      <w:r w:rsidRPr="00950893">
        <w:rPr>
          <w:rFonts w:ascii="Arial" w:hAnsi="Arial"/>
          <w:sz w:val="22"/>
          <w:szCs w:val="22"/>
        </w:rPr>
        <w:t>vedolizumab</w:t>
      </w:r>
      <w:proofErr w:type="spellEnd"/>
      <w:r w:rsidRPr="00950893">
        <w:rPr>
          <w:rFonts w:ascii="Arial" w:hAnsi="Arial"/>
          <w:sz w:val="22"/>
          <w:szCs w:val="22"/>
        </w:rPr>
        <w:t xml:space="preserve">, and utility values.  </w:t>
      </w:r>
      <w:r>
        <w:rPr>
          <w:rFonts w:ascii="Arial" w:hAnsi="Arial"/>
          <w:sz w:val="22"/>
          <w:szCs w:val="22"/>
        </w:rPr>
        <w:t>The PBAC noted that a</w:t>
      </w:r>
      <w:r w:rsidRPr="00950893">
        <w:rPr>
          <w:rFonts w:ascii="Arial" w:hAnsi="Arial"/>
          <w:sz w:val="22"/>
          <w:szCs w:val="22"/>
        </w:rPr>
        <w:t xml:space="preserve"> multivariate analysis using </w:t>
      </w:r>
      <w:proofErr w:type="gramStart"/>
      <w:r w:rsidRPr="00950893">
        <w:rPr>
          <w:rFonts w:ascii="Arial" w:hAnsi="Arial"/>
          <w:sz w:val="22"/>
          <w:szCs w:val="22"/>
        </w:rPr>
        <w:t>a</w:t>
      </w:r>
      <w:r w:rsidR="00CC49B1">
        <w:rPr>
          <w:rFonts w:ascii="Arial" w:hAnsi="Arial"/>
          <w:sz w:val="22"/>
          <w:szCs w:val="22"/>
        </w:rPr>
        <w:t xml:space="preserve"> </w:t>
      </w:r>
      <w:r w:rsidRPr="00950893">
        <w:rPr>
          <w:rFonts w:ascii="Arial" w:hAnsi="Arial"/>
          <w:sz w:val="22"/>
          <w:szCs w:val="22"/>
        </w:rPr>
        <w:t>10</w:t>
      </w:r>
      <w:proofErr w:type="gramEnd"/>
      <w:r w:rsidRPr="00950893">
        <w:rPr>
          <w:rFonts w:ascii="Arial" w:hAnsi="Arial"/>
          <w:sz w:val="22"/>
          <w:szCs w:val="22"/>
        </w:rPr>
        <w:t xml:space="preserve">-year model duration, EQ-5D </w:t>
      </w:r>
      <w:r w:rsidR="00C66759">
        <w:rPr>
          <w:rFonts w:ascii="Arial" w:hAnsi="Arial"/>
          <w:sz w:val="22"/>
          <w:szCs w:val="22"/>
        </w:rPr>
        <w:t xml:space="preserve">health state </w:t>
      </w:r>
      <w:r w:rsidRPr="00950893">
        <w:rPr>
          <w:rFonts w:ascii="Arial" w:hAnsi="Arial"/>
          <w:sz w:val="22"/>
          <w:szCs w:val="22"/>
        </w:rPr>
        <w:t>values from Gibson et al. (2013) and</w:t>
      </w:r>
      <w:r>
        <w:rPr>
          <w:rFonts w:ascii="Arial" w:hAnsi="Arial"/>
          <w:sz w:val="22"/>
          <w:szCs w:val="22"/>
        </w:rPr>
        <w:t xml:space="preserve"> a</w:t>
      </w:r>
      <w:r w:rsidRPr="00950893">
        <w:rPr>
          <w:rFonts w:ascii="Arial" w:hAnsi="Arial"/>
          <w:sz w:val="22"/>
          <w:szCs w:val="22"/>
        </w:rPr>
        <w:t xml:space="preserve"> </w:t>
      </w:r>
      <w:proofErr w:type="spellStart"/>
      <w:r w:rsidRPr="00950893">
        <w:rPr>
          <w:rFonts w:ascii="Arial" w:hAnsi="Arial"/>
          <w:sz w:val="22"/>
          <w:szCs w:val="22"/>
        </w:rPr>
        <w:t>vedolizumab</w:t>
      </w:r>
      <w:proofErr w:type="spellEnd"/>
      <w:r w:rsidRPr="00950893">
        <w:rPr>
          <w:rFonts w:ascii="Arial" w:hAnsi="Arial"/>
          <w:sz w:val="22"/>
          <w:szCs w:val="22"/>
        </w:rPr>
        <w:t xml:space="preserve"> treatment duration of 7.3 years </w:t>
      </w:r>
      <w:r>
        <w:rPr>
          <w:rFonts w:ascii="Arial" w:hAnsi="Arial"/>
          <w:sz w:val="22"/>
          <w:szCs w:val="22"/>
        </w:rPr>
        <w:t>produced</w:t>
      </w:r>
      <w:r w:rsidRPr="00950893">
        <w:rPr>
          <w:rFonts w:ascii="Arial" w:hAnsi="Arial"/>
          <w:sz w:val="22"/>
          <w:szCs w:val="22"/>
        </w:rPr>
        <w:t xml:space="preserve"> a</w:t>
      </w:r>
      <w:r>
        <w:rPr>
          <w:rFonts w:ascii="Arial" w:hAnsi="Arial"/>
          <w:sz w:val="22"/>
          <w:szCs w:val="22"/>
        </w:rPr>
        <w:t xml:space="preserve"> plausible</w:t>
      </w:r>
      <w:r w:rsidRPr="00950893">
        <w:rPr>
          <w:rFonts w:ascii="Arial" w:hAnsi="Arial"/>
          <w:sz w:val="22"/>
          <w:szCs w:val="22"/>
        </w:rPr>
        <w:t xml:space="preserve"> ICER </w:t>
      </w:r>
      <w:r w:rsidR="0091201C">
        <w:rPr>
          <w:rFonts w:ascii="Arial" w:hAnsi="Arial"/>
          <w:sz w:val="22"/>
          <w:szCs w:val="22"/>
        </w:rPr>
        <w:t xml:space="preserve">within the range of $75,000 - $105,000 </w:t>
      </w:r>
      <w:r w:rsidRPr="00950893">
        <w:rPr>
          <w:rFonts w:ascii="Arial" w:hAnsi="Arial"/>
          <w:sz w:val="22"/>
          <w:szCs w:val="22"/>
        </w:rPr>
        <w:t xml:space="preserve">per QALY. </w:t>
      </w:r>
      <w:r w:rsidR="005E5ED3">
        <w:rPr>
          <w:rFonts w:ascii="Arial" w:hAnsi="Arial"/>
          <w:sz w:val="22"/>
          <w:szCs w:val="22"/>
        </w:rPr>
        <w:t xml:space="preserve">The PBAC considered </w:t>
      </w:r>
      <w:r w:rsidR="00091CBD">
        <w:rPr>
          <w:rFonts w:ascii="Arial" w:hAnsi="Arial"/>
          <w:sz w:val="22"/>
          <w:szCs w:val="22"/>
        </w:rPr>
        <w:t>this</w:t>
      </w:r>
      <w:r w:rsidR="005E5ED3">
        <w:rPr>
          <w:rFonts w:ascii="Arial" w:hAnsi="Arial"/>
          <w:sz w:val="22"/>
          <w:szCs w:val="22"/>
        </w:rPr>
        <w:t xml:space="preserve"> ICER to be unacceptably high.</w:t>
      </w:r>
      <w:r w:rsidR="0098700E">
        <w:rPr>
          <w:rFonts w:ascii="Arial" w:hAnsi="Arial"/>
          <w:sz w:val="22"/>
          <w:szCs w:val="22"/>
        </w:rPr>
        <w:t xml:space="preserve"> </w:t>
      </w:r>
    </w:p>
    <w:p w:rsidR="00A63247" w:rsidRPr="00950893" w:rsidRDefault="00A63247" w:rsidP="00950893">
      <w:pPr>
        <w:rPr>
          <w:rFonts w:ascii="Arial" w:hAnsi="Arial"/>
          <w:sz w:val="22"/>
          <w:szCs w:val="22"/>
        </w:rPr>
      </w:pPr>
    </w:p>
    <w:p w:rsidR="00A63247" w:rsidRDefault="00C66759" w:rsidP="004E7A4D">
      <w:pPr>
        <w:pStyle w:val="ListParagraph"/>
        <w:numPr>
          <w:ilvl w:val="1"/>
          <w:numId w:val="1"/>
        </w:numPr>
        <w:jc w:val="both"/>
        <w:rPr>
          <w:rFonts w:ascii="Arial" w:hAnsi="Arial"/>
          <w:sz w:val="22"/>
          <w:szCs w:val="22"/>
        </w:rPr>
      </w:pPr>
      <w:r>
        <w:rPr>
          <w:rFonts w:ascii="Arial" w:hAnsi="Arial"/>
          <w:sz w:val="22"/>
          <w:szCs w:val="22"/>
        </w:rPr>
        <w:t xml:space="preserve">As the PBAC had not accepted the claim of non-inferiority of </w:t>
      </w:r>
      <w:proofErr w:type="spellStart"/>
      <w:r>
        <w:rPr>
          <w:rFonts w:ascii="Arial" w:hAnsi="Arial"/>
          <w:sz w:val="22"/>
          <w:szCs w:val="22"/>
        </w:rPr>
        <w:t>vedolizumab</w:t>
      </w:r>
      <w:proofErr w:type="spellEnd"/>
      <w:r>
        <w:rPr>
          <w:rFonts w:ascii="Arial" w:hAnsi="Arial"/>
          <w:sz w:val="22"/>
          <w:szCs w:val="22"/>
        </w:rPr>
        <w:t xml:space="preserve"> to infliximab in terms of comparative safety, there was no basis for the PBAC to recommend listing </w:t>
      </w:r>
      <w:proofErr w:type="spellStart"/>
      <w:r>
        <w:rPr>
          <w:rFonts w:ascii="Arial" w:hAnsi="Arial"/>
          <w:sz w:val="22"/>
          <w:szCs w:val="22"/>
        </w:rPr>
        <w:t>vedolizumab</w:t>
      </w:r>
      <w:proofErr w:type="spellEnd"/>
      <w:r>
        <w:rPr>
          <w:rFonts w:ascii="Arial" w:hAnsi="Arial"/>
          <w:sz w:val="22"/>
          <w:szCs w:val="22"/>
        </w:rPr>
        <w:t xml:space="preserve"> on a cost-minimisation basis at this stage. </w:t>
      </w:r>
      <w:r w:rsidR="00A63247">
        <w:rPr>
          <w:rFonts w:ascii="Arial" w:hAnsi="Arial"/>
          <w:sz w:val="22"/>
          <w:szCs w:val="22"/>
        </w:rPr>
        <w:t xml:space="preserve">The PBAC </w:t>
      </w:r>
      <w:r>
        <w:rPr>
          <w:rFonts w:ascii="Arial" w:hAnsi="Arial"/>
          <w:sz w:val="22"/>
          <w:szCs w:val="22"/>
        </w:rPr>
        <w:t xml:space="preserve">further </w:t>
      </w:r>
      <w:r w:rsidR="00A63247">
        <w:rPr>
          <w:rFonts w:ascii="Arial" w:hAnsi="Arial"/>
          <w:sz w:val="22"/>
          <w:szCs w:val="22"/>
        </w:rPr>
        <w:t xml:space="preserve">noted that the submission did not present a cost-minimisation analysis </w:t>
      </w:r>
      <w:r>
        <w:rPr>
          <w:rFonts w:ascii="Arial" w:hAnsi="Arial"/>
          <w:sz w:val="22"/>
          <w:szCs w:val="22"/>
        </w:rPr>
        <w:t xml:space="preserve">of </w:t>
      </w:r>
      <w:proofErr w:type="spellStart"/>
      <w:r>
        <w:rPr>
          <w:rFonts w:ascii="Arial" w:hAnsi="Arial"/>
          <w:sz w:val="22"/>
          <w:szCs w:val="22"/>
        </w:rPr>
        <w:t>vedolizumab</w:t>
      </w:r>
      <w:proofErr w:type="spellEnd"/>
      <w:r>
        <w:rPr>
          <w:rFonts w:ascii="Arial" w:hAnsi="Arial"/>
          <w:sz w:val="22"/>
          <w:szCs w:val="22"/>
        </w:rPr>
        <w:t xml:space="preserve"> versus</w:t>
      </w:r>
      <w:r w:rsidR="00A63247">
        <w:rPr>
          <w:rFonts w:ascii="Arial" w:hAnsi="Arial"/>
          <w:sz w:val="22"/>
          <w:szCs w:val="22"/>
        </w:rPr>
        <w:t xml:space="preserve"> infliximab</w:t>
      </w:r>
      <w:r w:rsidR="00343B27">
        <w:rPr>
          <w:rFonts w:ascii="Arial" w:hAnsi="Arial"/>
          <w:sz w:val="22"/>
          <w:szCs w:val="22"/>
        </w:rPr>
        <w:t xml:space="preserve"> but that the pre-PBAC response had indicated a </w:t>
      </w:r>
      <w:r w:rsidR="007670BA">
        <w:rPr>
          <w:rFonts w:ascii="Arial" w:hAnsi="Arial"/>
          <w:sz w:val="22"/>
          <w:szCs w:val="22"/>
        </w:rPr>
        <w:t>willingness</w:t>
      </w:r>
      <w:r w:rsidR="00343B27">
        <w:rPr>
          <w:rFonts w:ascii="Arial" w:hAnsi="Arial"/>
          <w:sz w:val="22"/>
          <w:szCs w:val="22"/>
        </w:rPr>
        <w:t xml:space="preserve"> to accept pricing flexibility</w:t>
      </w:r>
      <w:r>
        <w:rPr>
          <w:rFonts w:ascii="Arial" w:hAnsi="Arial"/>
          <w:sz w:val="22"/>
          <w:szCs w:val="22"/>
        </w:rPr>
        <w:t>.</w:t>
      </w:r>
      <w:r w:rsidR="00A63247">
        <w:rPr>
          <w:rFonts w:ascii="Arial" w:hAnsi="Arial"/>
          <w:sz w:val="22"/>
          <w:szCs w:val="22"/>
        </w:rPr>
        <w:t xml:space="preserve"> </w:t>
      </w:r>
      <w:r w:rsidR="00343B27">
        <w:rPr>
          <w:rFonts w:ascii="Arial" w:hAnsi="Arial"/>
          <w:sz w:val="22"/>
          <w:szCs w:val="22"/>
        </w:rPr>
        <w:t xml:space="preserve">It was noted that the submission’s proposed annual drug treatment costs per patient for </w:t>
      </w:r>
      <w:proofErr w:type="spellStart"/>
      <w:r w:rsidR="00343B27">
        <w:rPr>
          <w:rFonts w:ascii="Arial" w:hAnsi="Arial"/>
          <w:sz w:val="22"/>
          <w:szCs w:val="22"/>
        </w:rPr>
        <w:t>vedolizumab</w:t>
      </w:r>
      <w:proofErr w:type="spellEnd"/>
      <w:r w:rsidR="00343B27">
        <w:rPr>
          <w:rFonts w:ascii="Arial" w:hAnsi="Arial"/>
          <w:sz w:val="22"/>
          <w:szCs w:val="22"/>
        </w:rPr>
        <w:t xml:space="preserve"> was higher than that proposed for infliximab and </w:t>
      </w:r>
      <w:proofErr w:type="spellStart"/>
      <w:r w:rsidR="00343B27">
        <w:rPr>
          <w:rFonts w:ascii="Arial" w:hAnsi="Arial"/>
          <w:sz w:val="22"/>
          <w:szCs w:val="22"/>
        </w:rPr>
        <w:t>adalimumab</w:t>
      </w:r>
      <w:proofErr w:type="spellEnd"/>
      <w:r w:rsidR="00343B27">
        <w:rPr>
          <w:rFonts w:ascii="Arial" w:hAnsi="Arial"/>
          <w:sz w:val="22"/>
          <w:szCs w:val="22"/>
        </w:rPr>
        <w:t>.</w:t>
      </w:r>
    </w:p>
    <w:p w:rsidR="00A63247" w:rsidRPr="00492068" w:rsidRDefault="00A63247" w:rsidP="00A63247">
      <w:pPr>
        <w:pStyle w:val="ListParagraph"/>
        <w:rPr>
          <w:rFonts w:ascii="Arial" w:hAnsi="Arial"/>
          <w:sz w:val="22"/>
          <w:szCs w:val="22"/>
        </w:rPr>
      </w:pPr>
    </w:p>
    <w:p w:rsidR="00A63247" w:rsidRPr="00CC49B1" w:rsidRDefault="00A63247" w:rsidP="004E7A4D">
      <w:pPr>
        <w:pStyle w:val="ListParagraph"/>
        <w:numPr>
          <w:ilvl w:val="1"/>
          <w:numId w:val="1"/>
        </w:numPr>
        <w:jc w:val="both"/>
        <w:rPr>
          <w:rFonts w:ascii="Arial" w:hAnsi="Arial"/>
          <w:sz w:val="22"/>
          <w:szCs w:val="22"/>
        </w:rPr>
      </w:pPr>
      <w:r>
        <w:rPr>
          <w:rFonts w:ascii="Arial" w:hAnsi="Arial"/>
          <w:sz w:val="22"/>
          <w:szCs w:val="22"/>
        </w:rPr>
        <w:t>The PBAC</w:t>
      </w:r>
      <w:r w:rsidR="00343B27">
        <w:rPr>
          <w:rFonts w:ascii="Arial" w:hAnsi="Arial"/>
          <w:sz w:val="22"/>
          <w:szCs w:val="22"/>
        </w:rPr>
        <w:t xml:space="preserve"> considered</w:t>
      </w:r>
      <w:r>
        <w:rPr>
          <w:rFonts w:ascii="Arial" w:hAnsi="Arial"/>
          <w:sz w:val="22"/>
          <w:szCs w:val="22"/>
        </w:rPr>
        <w:t xml:space="preserve"> the potential for the estimated financial implications to the PBS to be greater or less tha</w:t>
      </w:r>
      <w:r w:rsidR="00343B27">
        <w:rPr>
          <w:rFonts w:ascii="Arial" w:hAnsi="Arial"/>
          <w:sz w:val="22"/>
          <w:szCs w:val="22"/>
        </w:rPr>
        <w:t>n</w:t>
      </w:r>
      <w:r>
        <w:rPr>
          <w:rFonts w:ascii="Arial" w:hAnsi="Arial"/>
          <w:sz w:val="22"/>
          <w:szCs w:val="22"/>
        </w:rPr>
        <w:t xml:space="preserve"> what was estimated in the submission due to variability in the estimated number of eligible patients, treated patients and number of patients achieving an adequate response to be eligible for continuing treatment. </w:t>
      </w:r>
      <w:r w:rsidR="00503995">
        <w:rPr>
          <w:rFonts w:ascii="Arial" w:hAnsi="Arial"/>
          <w:sz w:val="22"/>
          <w:szCs w:val="22"/>
        </w:rPr>
        <w:t xml:space="preserve">As the </w:t>
      </w:r>
      <w:r w:rsidR="00091CBD">
        <w:rPr>
          <w:rFonts w:ascii="Arial" w:hAnsi="Arial"/>
          <w:sz w:val="22"/>
          <w:szCs w:val="22"/>
        </w:rPr>
        <w:t xml:space="preserve">estimated </w:t>
      </w:r>
      <w:r w:rsidR="00503995">
        <w:rPr>
          <w:rFonts w:ascii="Arial" w:hAnsi="Arial"/>
          <w:sz w:val="22"/>
          <w:szCs w:val="22"/>
        </w:rPr>
        <w:t xml:space="preserve">uptake rate of </w:t>
      </w:r>
      <w:proofErr w:type="spellStart"/>
      <w:r w:rsidR="00503995">
        <w:rPr>
          <w:rFonts w:ascii="Arial" w:hAnsi="Arial"/>
          <w:sz w:val="22"/>
          <w:szCs w:val="22"/>
        </w:rPr>
        <w:t>vedolizumab</w:t>
      </w:r>
      <w:proofErr w:type="spellEnd"/>
      <w:r w:rsidR="00503995">
        <w:rPr>
          <w:rFonts w:ascii="Arial" w:hAnsi="Arial"/>
          <w:sz w:val="22"/>
          <w:szCs w:val="22"/>
        </w:rPr>
        <w:t xml:space="preserve"> wa</w:t>
      </w:r>
      <w:r w:rsidR="00343B27" w:rsidRPr="00343B27">
        <w:rPr>
          <w:rFonts w:ascii="Arial" w:hAnsi="Arial"/>
          <w:sz w:val="22"/>
          <w:szCs w:val="22"/>
        </w:rPr>
        <w:t xml:space="preserve">s based on the expert opinion of one gastroenterologist </w:t>
      </w:r>
      <w:r w:rsidR="00503995">
        <w:rPr>
          <w:rFonts w:ascii="Arial" w:hAnsi="Arial"/>
          <w:sz w:val="22"/>
          <w:szCs w:val="22"/>
        </w:rPr>
        <w:t xml:space="preserve">and the clinical place of </w:t>
      </w:r>
      <w:proofErr w:type="spellStart"/>
      <w:r w:rsidR="00503995">
        <w:rPr>
          <w:rFonts w:ascii="Arial" w:hAnsi="Arial"/>
          <w:sz w:val="22"/>
          <w:szCs w:val="22"/>
        </w:rPr>
        <w:t>vedolizumab</w:t>
      </w:r>
      <w:proofErr w:type="spellEnd"/>
      <w:r w:rsidR="00503995">
        <w:rPr>
          <w:rFonts w:ascii="Arial" w:hAnsi="Arial"/>
          <w:sz w:val="22"/>
          <w:szCs w:val="22"/>
        </w:rPr>
        <w:t xml:space="preserve"> relative to existing anti-TNF </w:t>
      </w:r>
      <w:proofErr w:type="spellStart"/>
      <w:r w:rsidR="00503995">
        <w:rPr>
          <w:rFonts w:ascii="Arial" w:hAnsi="Arial"/>
          <w:sz w:val="22"/>
          <w:szCs w:val="22"/>
        </w:rPr>
        <w:t>alfa</w:t>
      </w:r>
      <w:proofErr w:type="spellEnd"/>
      <w:r w:rsidR="00503995">
        <w:rPr>
          <w:rFonts w:ascii="Arial" w:hAnsi="Arial"/>
          <w:sz w:val="22"/>
          <w:szCs w:val="22"/>
        </w:rPr>
        <w:t xml:space="preserve"> inhibitor therapie</w:t>
      </w:r>
      <w:r w:rsidR="00343B27" w:rsidRPr="00343B27">
        <w:rPr>
          <w:rFonts w:ascii="Arial" w:hAnsi="Arial"/>
          <w:sz w:val="22"/>
          <w:szCs w:val="22"/>
        </w:rPr>
        <w:t xml:space="preserve">s </w:t>
      </w:r>
      <w:r w:rsidR="00091CBD">
        <w:rPr>
          <w:rFonts w:ascii="Arial" w:hAnsi="Arial"/>
          <w:sz w:val="22"/>
          <w:szCs w:val="22"/>
        </w:rPr>
        <w:t xml:space="preserve">is </w:t>
      </w:r>
      <w:r w:rsidR="00343B27" w:rsidRPr="00343B27">
        <w:rPr>
          <w:rFonts w:ascii="Arial" w:hAnsi="Arial"/>
          <w:sz w:val="22"/>
          <w:szCs w:val="22"/>
        </w:rPr>
        <w:t>still to be determined</w:t>
      </w:r>
      <w:r w:rsidR="00503995">
        <w:rPr>
          <w:rFonts w:ascii="Arial" w:hAnsi="Arial"/>
          <w:sz w:val="22"/>
          <w:szCs w:val="22"/>
        </w:rPr>
        <w:t>, the PBAC</w:t>
      </w:r>
      <w:r w:rsidR="00343B27" w:rsidRPr="00343B27">
        <w:rPr>
          <w:rFonts w:ascii="Arial" w:hAnsi="Arial"/>
          <w:sz w:val="22"/>
          <w:szCs w:val="22"/>
        </w:rPr>
        <w:t xml:space="preserve"> </w:t>
      </w:r>
      <w:r w:rsidR="00503995">
        <w:rPr>
          <w:rFonts w:ascii="Arial" w:hAnsi="Arial"/>
          <w:sz w:val="22"/>
          <w:szCs w:val="22"/>
        </w:rPr>
        <w:t>considered estimates of</w:t>
      </w:r>
      <w:r w:rsidR="00343B27" w:rsidRPr="00343B27">
        <w:rPr>
          <w:rFonts w:ascii="Arial" w:hAnsi="Arial"/>
          <w:sz w:val="22"/>
          <w:szCs w:val="22"/>
        </w:rPr>
        <w:t xml:space="preserve"> the uptake rate</w:t>
      </w:r>
      <w:r w:rsidR="00503995">
        <w:rPr>
          <w:rFonts w:ascii="Arial" w:hAnsi="Arial"/>
          <w:sz w:val="22"/>
          <w:szCs w:val="22"/>
        </w:rPr>
        <w:t xml:space="preserve"> of </w:t>
      </w:r>
      <w:proofErr w:type="spellStart"/>
      <w:r w:rsidR="00503995">
        <w:rPr>
          <w:rFonts w:ascii="Arial" w:hAnsi="Arial"/>
          <w:sz w:val="22"/>
          <w:szCs w:val="22"/>
        </w:rPr>
        <w:t>vedolizumab</w:t>
      </w:r>
      <w:proofErr w:type="spellEnd"/>
      <w:r w:rsidR="00503995">
        <w:rPr>
          <w:rFonts w:ascii="Arial" w:hAnsi="Arial"/>
          <w:sz w:val="22"/>
          <w:szCs w:val="22"/>
        </w:rPr>
        <w:t xml:space="preserve"> and the resulting financial implications</w:t>
      </w:r>
      <w:r w:rsidR="00343B27" w:rsidRPr="00343B27">
        <w:rPr>
          <w:rFonts w:ascii="Arial" w:hAnsi="Arial"/>
          <w:sz w:val="22"/>
          <w:szCs w:val="22"/>
        </w:rPr>
        <w:t xml:space="preserve"> </w:t>
      </w:r>
      <w:r w:rsidR="00091CBD">
        <w:rPr>
          <w:rFonts w:ascii="Arial" w:hAnsi="Arial"/>
          <w:sz w:val="22"/>
          <w:szCs w:val="22"/>
        </w:rPr>
        <w:t xml:space="preserve">to be unreliable. </w:t>
      </w:r>
    </w:p>
    <w:p w:rsidR="00A63247" w:rsidRPr="003F0EE4" w:rsidRDefault="00A63247" w:rsidP="00A63247">
      <w:pPr>
        <w:jc w:val="both"/>
      </w:pPr>
    </w:p>
    <w:p w:rsidR="00A63247" w:rsidRPr="00390011" w:rsidRDefault="00A63247" w:rsidP="004E7A4D">
      <w:pPr>
        <w:pStyle w:val="ListParagraph"/>
        <w:numPr>
          <w:ilvl w:val="1"/>
          <w:numId w:val="1"/>
        </w:numPr>
        <w:jc w:val="both"/>
        <w:rPr>
          <w:rFonts w:ascii="Arial" w:hAnsi="Arial"/>
          <w:sz w:val="22"/>
          <w:szCs w:val="22"/>
        </w:rPr>
      </w:pPr>
      <w:r w:rsidRPr="00390011">
        <w:rPr>
          <w:rFonts w:ascii="Arial" w:hAnsi="Arial"/>
          <w:sz w:val="22"/>
          <w:szCs w:val="22"/>
        </w:rPr>
        <w:t>The PBAC a</w:t>
      </w:r>
      <w:r w:rsidR="00503995" w:rsidRPr="00390011">
        <w:rPr>
          <w:rFonts w:ascii="Arial" w:hAnsi="Arial"/>
          <w:sz w:val="22"/>
          <w:szCs w:val="22"/>
        </w:rPr>
        <w:t>dvised</w:t>
      </w:r>
      <w:r w:rsidRPr="00390011">
        <w:rPr>
          <w:rFonts w:ascii="Arial" w:hAnsi="Arial"/>
          <w:sz w:val="22"/>
          <w:szCs w:val="22"/>
        </w:rPr>
        <w:t xml:space="preserve"> that a</w:t>
      </w:r>
      <w:r w:rsidR="00503995" w:rsidRPr="00390011">
        <w:rPr>
          <w:rFonts w:ascii="Arial" w:hAnsi="Arial"/>
          <w:sz w:val="22"/>
          <w:szCs w:val="22"/>
        </w:rPr>
        <w:t>ny</w:t>
      </w:r>
      <w:r w:rsidRPr="00390011">
        <w:rPr>
          <w:rFonts w:ascii="Arial" w:hAnsi="Arial"/>
          <w:sz w:val="22"/>
          <w:szCs w:val="22"/>
        </w:rPr>
        <w:t xml:space="preserve"> future re-submission for </w:t>
      </w:r>
      <w:proofErr w:type="spellStart"/>
      <w:r w:rsidRPr="00390011">
        <w:rPr>
          <w:rFonts w:ascii="Arial" w:hAnsi="Arial"/>
          <w:sz w:val="22"/>
          <w:szCs w:val="22"/>
        </w:rPr>
        <w:t>vedolizumab</w:t>
      </w:r>
      <w:proofErr w:type="spellEnd"/>
      <w:r w:rsidRPr="00390011">
        <w:rPr>
          <w:rFonts w:ascii="Arial" w:hAnsi="Arial"/>
          <w:sz w:val="22"/>
          <w:szCs w:val="22"/>
        </w:rPr>
        <w:t xml:space="preserve"> should </w:t>
      </w:r>
      <w:r w:rsidR="00503995" w:rsidRPr="00390011">
        <w:rPr>
          <w:rFonts w:ascii="Arial" w:hAnsi="Arial"/>
          <w:sz w:val="22"/>
          <w:szCs w:val="22"/>
        </w:rPr>
        <w:t xml:space="preserve">account for the PBAC’s positive recommendation to list infliximab for moderate to severe ulcerative colitis and give consideration to positioning </w:t>
      </w:r>
      <w:proofErr w:type="spellStart"/>
      <w:r w:rsidR="00503995" w:rsidRPr="00390011">
        <w:rPr>
          <w:rFonts w:ascii="Arial" w:hAnsi="Arial"/>
          <w:sz w:val="22"/>
          <w:szCs w:val="22"/>
        </w:rPr>
        <w:t>vedolizumab</w:t>
      </w:r>
      <w:proofErr w:type="spellEnd"/>
      <w:r w:rsidR="00503995" w:rsidRPr="00390011">
        <w:rPr>
          <w:rFonts w:ascii="Arial" w:hAnsi="Arial"/>
          <w:sz w:val="22"/>
          <w:szCs w:val="22"/>
        </w:rPr>
        <w:t xml:space="preserve"> </w:t>
      </w:r>
      <w:r w:rsidR="00091CBD" w:rsidRPr="00390011">
        <w:rPr>
          <w:rFonts w:ascii="Arial" w:hAnsi="Arial"/>
          <w:sz w:val="22"/>
          <w:szCs w:val="22"/>
        </w:rPr>
        <w:t>as</w:t>
      </w:r>
      <w:r w:rsidR="00503995" w:rsidRPr="00390011">
        <w:rPr>
          <w:rFonts w:ascii="Arial" w:hAnsi="Arial"/>
          <w:sz w:val="22"/>
          <w:szCs w:val="22"/>
        </w:rPr>
        <w:t xml:space="preserve"> treatment of patients who have not responded to infliximab</w:t>
      </w:r>
      <w:r w:rsidR="00091CBD" w:rsidRPr="00390011">
        <w:rPr>
          <w:rFonts w:ascii="Arial" w:hAnsi="Arial"/>
          <w:sz w:val="22"/>
          <w:szCs w:val="22"/>
        </w:rPr>
        <w:t>. This could be</w:t>
      </w:r>
      <w:r w:rsidR="00503995" w:rsidRPr="00390011">
        <w:rPr>
          <w:rFonts w:ascii="Arial" w:hAnsi="Arial"/>
          <w:sz w:val="22"/>
          <w:szCs w:val="22"/>
        </w:rPr>
        <w:t xml:space="preserve"> </w:t>
      </w:r>
      <w:r w:rsidR="00BE4F04" w:rsidRPr="00390011">
        <w:rPr>
          <w:rFonts w:ascii="Arial" w:hAnsi="Arial"/>
          <w:sz w:val="22"/>
          <w:szCs w:val="22"/>
        </w:rPr>
        <w:t xml:space="preserve">by revising </w:t>
      </w:r>
      <w:r w:rsidR="00503995" w:rsidRPr="00390011">
        <w:rPr>
          <w:rFonts w:ascii="Arial" w:hAnsi="Arial"/>
          <w:sz w:val="22"/>
          <w:szCs w:val="22"/>
        </w:rPr>
        <w:t xml:space="preserve">the proposed restriction and/or the economic analysis. The PBAC considered that </w:t>
      </w:r>
      <w:proofErr w:type="spellStart"/>
      <w:r w:rsidR="00503995" w:rsidRPr="00390011">
        <w:rPr>
          <w:rFonts w:ascii="Arial" w:hAnsi="Arial"/>
          <w:sz w:val="22"/>
          <w:szCs w:val="22"/>
        </w:rPr>
        <w:t>vedolizumab’s</w:t>
      </w:r>
      <w:proofErr w:type="spellEnd"/>
      <w:r w:rsidR="00503995" w:rsidRPr="00390011">
        <w:rPr>
          <w:rFonts w:ascii="Arial" w:hAnsi="Arial"/>
          <w:sz w:val="22"/>
          <w:szCs w:val="22"/>
        </w:rPr>
        <w:t xml:space="preserve"> comparative safety to existing anti-TNF </w:t>
      </w:r>
      <w:proofErr w:type="spellStart"/>
      <w:r w:rsidR="00503995" w:rsidRPr="00390011">
        <w:rPr>
          <w:rFonts w:ascii="Arial" w:hAnsi="Arial"/>
          <w:sz w:val="22"/>
          <w:szCs w:val="22"/>
        </w:rPr>
        <w:t>alfa</w:t>
      </w:r>
      <w:proofErr w:type="spellEnd"/>
      <w:r w:rsidR="00503995" w:rsidRPr="00390011">
        <w:rPr>
          <w:rFonts w:ascii="Arial" w:hAnsi="Arial"/>
          <w:sz w:val="22"/>
          <w:szCs w:val="22"/>
        </w:rPr>
        <w:t xml:space="preserve"> inhibitors would also need to be </w:t>
      </w:r>
      <w:r w:rsidR="00091CBD" w:rsidRPr="00390011">
        <w:rPr>
          <w:rFonts w:ascii="Arial" w:hAnsi="Arial"/>
          <w:sz w:val="22"/>
          <w:szCs w:val="22"/>
        </w:rPr>
        <w:t>established as</w:t>
      </w:r>
      <w:r w:rsidR="00BE4F04" w:rsidRPr="00390011">
        <w:rPr>
          <w:rFonts w:ascii="Arial" w:hAnsi="Arial"/>
          <w:sz w:val="22"/>
          <w:szCs w:val="22"/>
        </w:rPr>
        <w:t xml:space="preserve"> non-inferior or accounted for in an economic analysis.  Any re-submission should take the form of a major submission.</w:t>
      </w:r>
      <w:r w:rsidRPr="00390011">
        <w:rPr>
          <w:rFonts w:ascii="Arial" w:hAnsi="Arial"/>
          <w:sz w:val="22"/>
          <w:szCs w:val="22"/>
        </w:rPr>
        <w:t xml:space="preserve">    </w:t>
      </w:r>
    </w:p>
    <w:p w:rsidR="00BB7EC3" w:rsidRPr="00474670" w:rsidRDefault="00BB7EC3" w:rsidP="00474670">
      <w:pPr>
        <w:rPr>
          <w:rFonts w:ascii="Arial" w:hAnsi="Arial"/>
          <w:sz w:val="22"/>
          <w:szCs w:val="22"/>
        </w:rPr>
      </w:pPr>
    </w:p>
    <w:p w:rsidR="00DF26A7" w:rsidRDefault="00BB7EC3" w:rsidP="004E7A4D">
      <w:pPr>
        <w:pStyle w:val="ListParagraph"/>
        <w:numPr>
          <w:ilvl w:val="1"/>
          <w:numId w:val="1"/>
        </w:numPr>
        <w:jc w:val="both"/>
        <w:rPr>
          <w:rFonts w:ascii="Arial" w:hAnsi="Arial"/>
          <w:sz w:val="22"/>
          <w:szCs w:val="22"/>
        </w:rPr>
      </w:pPr>
      <w:r>
        <w:rPr>
          <w:rFonts w:ascii="Arial" w:hAnsi="Arial"/>
          <w:sz w:val="22"/>
          <w:szCs w:val="22"/>
        </w:rPr>
        <w:t xml:space="preserve">The PBAC noted that this submission is </w:t>
      </w:r>
      <w:r w:rsidR="00B43E90" w:rsidRPr="00882085">
        <w:rPr>
          <w:rFonts w:ascii="Arial" w:hAnsi="Arial"/>
          <w:sz w:val="22"/>
          <w:szCs w:val="22"/>
        </w:rPr>
        <w:t>eligibl</w:t>
      </w:r>
      <w:r>
        <w:rPr>
          <w:rFonts w:ascii="Arial" w:hAnsi="Arial"/>
          <w:sz w:val="22"/>
          <w:szCs w:val="22"/>
        </w:rPr>
        <w:t>e</w:t>
      </w:r>
      <w:r w:rsidR="00B43E90" w:rsidRPr="00882085">
        <w:rPr>
          <w:rFonts w:ascii="Arial" w:hAnsi="Arial"/>
          <w:sz w:val="22"/>
          <w:szCs w:val="22"/>
        </w:rPr>
        <w:t xml:space="preserve"> for </w:t>
      </w:r>
      <w:r>
        <w:rPr>
          <w:rFonts w:ascii="Arial" w:hAnsi="Arial"/>
          <w:sz w:val="22"/>
          <w:szCs w:val="22"/>
        </w:rPr>
        <w:t xml:space="preserve">an </w:t>
      </w:r>
      <w:r w:rsidR="00B43E90" w:rsidRPr="00882085">
        <w:rPr>
          <w:rFonts w:ascii="Arial" w:hAnsi="Arial"/>
          <w:sz w:val="22"/>
          <w:szCs w:val="22"/>
        </w:rPr>
        <w:t>Independent Review.</w:t>
      </w:r>
      <w:r>
        <w:rPr>
          <w:rFonts w:ascii="Arial" w:hAnsi="Arial"/>
          <w:sz w:val="22"/>
          <w:szCs w:val="22"/>
        </w:rPr>
        <w:t xml:space="preserve"> </w:t>
      </w:r>
    </w:p>
    <w:p w:rsidR="00474670" w:rsidRDefault="00474670" w:rsidP="00474670">
      <w:pPr>
        <w:pStyle w:val="ListParagraph"/>
        <w:ind w:left="709"/>
        <w:jc w:val="both"/>
        <w:rPr>
          <w:rFonts w:ascii="Arial" w:hAnsi="Arial"/>
          <w:sz w:val="22"/>
          <w:szCs w:val="22"/>
        </w:rPr>
      </w:pPr>
    </w:p>
    <w:p w:rsidR="00390011" w:rsidRPr="00882085" w:rsidRDefault="00390011" w:rsidP="00474670">
      <w:pPr>
        <w:pStyle w:val="ListParagraph"/>
        <w:ind w:left="709"/>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r w:rsidRPr="00882085">
        <w:rPr>
          <w:rFonts w:ascii="Arial" w:hAnsi="Arial"/>
          <w:sz w:val="22"/>
          <w:szCs w:val="22"/>
        </w:rPr>
        <w:t xml:space="preserve">Rejected </w:t>
      </w:r>
    </w:p>
    <w:p w:rsidR="00BB7EC3" w:rsidRDefault="00BB7EC3" w:rsidP="00882085">
      <w:pPr>
        <w:jc w:val="both"/>
        <w:rPr>
          <w:rFonts w:ascii="Arial" w:hAnsi="Arial"/>
          <w:sz w:val="22"/>
          <w:szCs w:val="22"/>
        </w:rPr>
      </w:pPr>
    </w:p>
    <w:p w:rsidR="00FC23A1" w:rsidRDefault="00FC23A1" w:rsidP="00FC23A1">
      <w:pPr>
        <w:pStyle w:val="ListParagraph"/>
        <w:numPr>
          <w:ilvl w:val="0"/>
          <w:numId w:val="1"/>
        </w:numPr>
        <w:jc w:val="both"/>
        <w:rPr>
          <w:rFonts w:ascii="Arial" w:hAnsi="Arial" w:cs="Arial"/>
          <w:b/>
          <w:sz w:val="22"/>
        </w:rPr>
      </w:pPr>
      <w:r w:rsidRPr="00D4420F">
        <w:rPr>
          <w:rFonts w:ascii="Arial" w:hAnsi="Arial" w:cs="Arial"/>
          <w:b/>
          <w:sz w:val="22"/>
        </w:rPr>
        <w:t>Context for Decision</w:t>
      </w:r>
    </w:p>
    <w:p w:rsidR="00FC23A1" w:rsidRPr="00D4420F" w:rsidRDefault="00FC23A1" w:rsidP="00FC23A1">
      <w:pPr>
        <w:pStyle w:val="ListParagraph"/>
        <w:jc w:val="both"/>
        <w:rPr>
          <w:rFonts w:ascii="Arial" w:hAnsi="Arial" w:cs="Arial"/>
          <w:b/>
          <w:sz w:val="22"/>
        </w:rPr>
      </w:pPr>
    </w:p>
    <w:p w:rsidR="00FC23A1" w:rsidRPr="00D4420F" w:rsidRDefault="00FC23A1" w:rsidP="00FC23A1">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C23A1" w:rsidRPr="00D4420F" w:rsidRDefault="00FC23A1" w:rsidP="00FC23A1">
      <w:pPr>
        <w:jc w:val="both"/>
        <w:rPr>
          <w:rFonts w:ascii="Arial" w:hAnsi="Arial" w:cs="Arial"/>
          <w:sz w:val="22"/>
        </w:rPr>
      </w:pPr>
    </w:p>
    <w:p w:rsidR="00FC23A1" w:rsidRPr="00D4420F" w:rsidRDefault="00FC23A1" w:rsidP="00FC23A1">
      <w:pPr>
        <w:pStyle w:val="ListParagraph"/>
        <w:numPr>
          <w:ilvl w:val="0"/>
          <w:numId w:val="1"/>
        </w:numPr>
        <w:jc w:val="both"/>
        <w:rPr>
          <w:rFonts w:ascii="Arial" w:hAnsi="Arial" w:cs="Arial"/>
          <w:b/>
          <w:sz w:val="22"/>
        </w:rPr>
      </w:pPr>
      <w:r w:rsidRPr="00D4420F">
        <w:rPr>
          <w:rFonts w:ascii="Arial" w:hAnsi="Arial" w:cs="Arial"/>
          <w:b/>
          <w:sz w:val="22"/>
        </w:rPr>
        <w:t>Sponsor’s Comment</w:t>
      </w:r>
    </w:p>
    <w:p w:rsidR="00FC23A1" w:rsidRDefault="00FC23A1" w:rsidP="00882085">
      <w:pPr>
        <w:jc w:val="both"/>
        <w:rPr>
          <w:rFonts w:ascii="Arial" w:hAnsi="Arial"/>
          <w:sz w:val="22"/>
          <w:szCs w:val="22"/>
        </w:rPr>
      </w:pPr>
    </w:p>
    <w:p w:rsidR="00EB294F" w:rsidRPr="000C7A20" w:rsidRDefault="00EB294F" w:rsidP="00EB294F">
      <w:pPr>
        <w:ind w:left="720"/>
        <w:jc w:val="both"/>
        <w:rPr>
          <w:rFonts w:ascii="Arial" w:hAnsi="Arial" w:cs="Arial"/>
          <w:sz w:val="22"/>
        </w:rPr>
      </w:pPr>
      <w:r w:rsidRPr="0091201C">
        <w:rPr>
          <w:rFonts w:ascii="Arial" w:hAnsi="Arial" w:cs="Arial"/>
          <w:sz w:val="22"/>
        </w:rPr>
        <w:lastRenderedPageBreak/>
        <w:t xml:space="preserve">The sponsor notes that </w:t>
      </w:r>
      <w:proofErr w:type="spellStart"/>
      <w:r w:rsidRPr="0091201C">
        <w:rPr>
          <w:rFonts w:ascii="Arial" w:hAnsi="Arial" w:cs="Arial"/>
          <w:sz w:val="22"/>
        </w:rPr>
        <w:t>vedolizumab</w:t>
      </w:r>
      <w:proofErr w:type="spellEnd"/>
      <w:r w:rsidRPr="0091201C">
        <w:rPr>
          <w:rFonts w:ascii="Arial" w:hAnsi="Arial" w:cs="Arial"/>
          <w:sz w:val="22"/>
        </w:rPr>
        <w:t xml:space="preserve"> for the treatment of patients with moderate to severe ulcerative colitis received full approval from the TGA, with registration occurring on 26 June 2014 just prior to the PBAC’s July meeting.</w:t>
      </w:r>
      <w:r w:rsidRPr="0091201C">
        <w:t xml:space="preserve"> </w:t>
      </w:r>
      <w:r w:rsidRPr="0091201C">
        <w:rPr>
          <w:rFonts w:ascii="Arial" w:hAnsi="Arial" w:cs="Arial"/>
          <w:sz w:val="22"/>
        </w:rPr>
        <w:t xml:space="preserve">The sponsor also notes that no cases of PML were seen in the extensive GEMINI clinical program for inflammatory bowel disease, both for ulcerative colitis and </w:t>
      </w:r>
      <w:proofErr w:type="spellStart"/>
      <w:r w:rsidRPr="0091201C">
        <w:rPr>
          <w:rFonts w:ascii="Arial" w:hAnsi="Arial" w:cs="Arial"/>
          <w:sz w:val="22"/>
        </w:rPr>
        <w:t>Crohn’s</w:t>
      </w:r>
      <w:proofErr w:type="spellEnd"/>
      <w:r w:rsidRPr="0091201C">
        <w:rPr>
          <w:rFonts w:ascii="Arial" w:hAnsi="Arial" w:cs="Arial"/>
          <w:sz w:val="22"/>
        </w:rPr>
        <w:t xml:space="preserve"> disease.</w:t>
      </w:r>
      <w:r>
        <w:t xml:space="preserve"> </w:t>
      </w:r>
      <w:r>
        <w:rPr>
          <w:rFonts w:ascii="Arial" w:hAnsi="Arial" w:cs="Arial"/>
          <w:sz w:val="22"/>
        </w:rPr>
        <w:t xml:space="preserve">Whilst </w:t>
      </w:r>
      <w:r w:rsidRPr="000C7A20">
        <w:rPr>
          <w:rFonts w:ascii="Arial" w:hAnsi="Arial" w:cs="Arial"/>
          <w:sz w:val="22"/>
        </w:rPr>
        <w:t>disappointed by the PBAC’s</w:t>
      </w:r>
      <w:r>
        <w:rPr>
          <w:rFonts w:ascii="Arial" w:hAnsi="Arial" w:cs="Arial"/>
          <w:sz w:val="22"/>
        </w:rPr>
        <w:t xml:space="preserve"> decision, t</w:t>
      </w:r>
      <w:r w:rsidRPr="000C7A20">
        <w:rPr>
          <w:rFonts w:ascii="Arial" w:hAnsi="Arial" w:cs="Arial"/>
          <w:sz w:val="22"/>
        </w:rPr>
        <w:t xml:space="preserve">he sponsor is </w:t>
      </w:r>
      <w:r>
        <w:rPr>
          <w:rFonts w:ascii="Arial" w:hAnsi="Arial" w:cs="Arial"/>
          <w:sz w:val="22"/>
        </w:rPr>
        <w:t xml:space="preserve">actively working with the Department and the clinical community to address the PBAC’s concerns in order to secure a positive recommendation for the listing for </w:t>
      </w:r>
      <w:proofErr w:type="spellStart"/>
      <w:r>
        <w:rPr>
          <w:rFonts w:ascii="Arial" w:hAnsi="Arial" w:cs="Arial"/>
          <w:sz w:val="22"/>
        </w:rPr>
        <w:t>vedolizumab</w:t>
      </w:r>
      <w:proofErr w:type="spellEnd"/>
      <w:r>
        <w:rPr>
          <w:rFonts w:ascii="Arial" w:hAnsi="Arial" w:cs="Arial"/>
          <w:sz w:val="22"/>
        </w:rPr>
        <w:t xml:space="preserve"> for the treatment of ulcerative colitis</w:t>
      </w:r>
      <w:r w:rsidRPr="000C7A20">
        <w:rPr>
          <w:rFonts w:ascii="Arial" w:hAnsi="Arial" w:cs="Arial"/>
          <w:sz w:val="22"/>
        </w:rPr>
        <w:t xml:space="preserve"> </w:t>
      </w:r>
      <w:r>
        <w:rPr>
          <w:rFonts w:ascii="Arial" w:hAnsi="Arial" w:cs="Arial"/>
          <w:sz w:val="22"/>
        </w:rPr>
        <w:t xml:space="preserve">on the PBS. </w:t>
      </w:r>
    </w:p>
    <w:p w:rsidR="0091201C" w:rsidRDefault="0091201C" w:rsidP="00882085">
      <w:pPr>
        <w:jc w:val="both"/>
        <w:rPr>
          <w:rFonts w:ascii="Arial" w:hAnsi="Arial"/>
          <w:sz w:val="22"/>
          <w:szCs w:val="22"/>
        </w:rPr>
      </w:pPr>
    </w:p>
    <w:sectPr w:rsidR="0091201C" w:rsidSect="004E7A4D">
      <w:headerReference w:type="even" r:id="rId10"/>
      <w:headerReference w:type="default" r:id="rId11"/>
      <w:footerReference w:type="even" r:id="rId12"/>
      <w:footerReference w:type="default" r:id="rId13"/>
      <w:footerReference w:type="first" r:id="rId14"/>
      <w:pgSz w:w="11906" w:h="16838" w:code="9"/>
      <w:pgMar w:top="1440" w:right="1416"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A6" w:rsidRDefault="007369A6">
      <w:r>
        <w:separator/>
      </w:r>
    </w:p>
  </w:endnote>
  <w:endnote w:type="continuationSeparator" w:id="0">
    <w:p w:rsidR="007369A6" w:rsidRDefault="0073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007"/>
      <w:gridCol w:w="1252"/>
      <w:gridCol w:w="4007"/>
    </w:tblGrid>
    <w:tr w:rsidR="00F30E2D" w:rsidTr="005A3173">
      <w:trPr>
        <w:trHeight w:val="151"/>
      </w:trPr>
      <w:tc>
        <w:tcPr>
          <w:tcW w:w="2250" w:type="pct"/>
          <w:tcBorders>
            <w:top w:val="nil"/>
            <w:left w:val="nil"/>
            <w:bottom w:val="single" w:sz="4" w:space="0" w:color="4F81BD"/>
            <w:right w:val="nil"/>
          </w:tcBorders>
        </w:tcPr>
        <w:p w:rsidR="00F30E2D" w:rsidRPr="005A3173" w:rsidRDefault="00F30E2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30E2D" w:rsidRPr="005A3173" w:rsidRDefault="00F30E2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30E2D" w:rsidRPr="005A3173" w:rsidRDefault="00F30E2D" w:rsidP="005A3173">
          <w:pPr>
            <w:pStyle w:val="Header"/>
            <w:spacing w:line="276" w:lineRule="auto"/>
            <w:rPr>
              <w:rFonts w:ascii="Calibri" w:eastAsia="MS Gothic" w:hAnsi="Calibri"/>
              <w:b/>
              <w:bCs/>
              <w:color w:val="4F81BD"/>
            </w:rPr>
          </w:pPr>
        </w:p>
      </w:tc>
    </w:tr>
    <w:tr w:rsidR="00F30E2D" w:rsidTr="005A3173">
      <w:trPr>
        <w:trHeight w:val="150"/>
      </w:trPr>
      <w:tc>
        <w:tcPr>
          <w:tcW w:w="2250" w:type="pct"/>
          <w:tcBorders>
            <w:top w:val="single" w:sz="4" w:space="0" w:color="4F81BD"/>
            <w:left w:val="nil"/>
            <w:bottom w:val="nil"/>
            <w:right w:val="nil"/>
          </w:tcBorders>
        </w:tcPr>
        <w:p w:rsidR="00F30E2D" w:rsidRPr="005A3173" w:rsidRDefault="00F30E2D" w:rsidP="005A3173">
          <w:pPr>
            <w:pStyle w:val="Header"/>
            <w:spacing w:line="276" w:lineRule="auto"/>
            <w:rPr>
              <w:rFonts w:ascii="Calibri" w:eastAsia="MS Gothic" w:hAnsi="Calibri"/>
              <w:b/>
              <w:bCs/>
              <w:color w:val="4F81BD"/>
            </w:rPr>
          </w:pPr>
        </w:p>
      </w:tc>
      <w:tc>
        <w:tcPr>
          <w:tcW w:w="0" w:type="auto"/>
          <w:vMerge/>
          <w:vAlign w:val="center"/>
          <w:hideMark/>
        </w:tcPr>
        <w:p w:rsidR="00F30E2D" w:rsidRPr="005A3173" w:rsidRDefault="00F30E2D" w:rsidP="005A3173">
          <w:pPr>
            <w:rPr>
              <w:rFonts w:ascii="Calibri" w:hAnsi="Calibri"/>
              <w:color w:val="365F91"/>
              <w:sz w:val="22"/>
              <w:szCs w:val="22"/>
            </w:rPr>
          </w:pPr>
        </w:p>
      </w:tc>
      <w:tc>
        <w:tcPr>
          <w:tcW w:w="2250" w:type="pct"/>
          <w:tcBorders>
            <w:top w:val="single" w:sz="4" w:space="0" w:color="4F81BD"/>
            <w:left w:val="nil"/>
            <w:bottom w:val="nil"/>
            <w:right w:val="nil"/>
          </w:tcBorders>
        </w:tcPr>
        <w:p w:rsidR="00F30E2D" w:rsidRPr="005A3173" w:rsidRDefault="00F30E2D" w:rsidP="005A3173">
          <w:pPr>
            <w:pStyle w:val="Header"/>
            <w:spacing w:line="276" w:lineRule="auto"/>
            <w:rPr>
              <w:rFonts w:ascii="Calibri" w:eastAsia="MS Gothic" w:hAnsi="Calibri"/>
              <w:b/>
              <w:bCs/>
              <w:color w:val="4F81BD"/>
            </w:rPr>
          </w:pPr>
        </w:p>
      </w:tc>
    </w:tr>
  </w:tbl>
  <w:p w:rsidR="00F30E2D" w:rsidRDefault="00F30E2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0E2D" w:rsidRDefault="00F30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F30E2D" w:rsidRDefault="00F30E2D">
        <w:pPr>
          <w:pStyle w:val="Footer"/>
          <w:jc w:val="center"/>
        </w:pPr>
      </w:p>
      <w:p w:rsidR="00F30E2D" w:rsidRPr="00651169" w:rsidRDefault="00F30E2D">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E1721">
          <w:rPr>
            <w:rFonts w:ascii="Arial" w:hAnsi="Arial" w:cs="Arial"/>
            <w:noProof/>
            <w:sz w:val="20"/>
            <w:szCs w:val="20"/>
          </w:rPr>
          <w:t>10</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4007"/>
      <w:gridCol w:w="1252"/>
      <w:gridCol w:w="4007"/>
    </w:tblGrid>
    <w:tr w:rsidR="00F30E2D" w:rsidTr="005A3173">
      <w:trPr>
        <w:trHeight w:val="151"/>
      </w:trPr>
      <w:tc>
        <w:tcPr>
          <w:tcW w:w="2250" w:type="pct"/>
          <w:tcBorders>
            <w:top w:val="nil"/>
            <w:left w:val="nil"/>
            <w:bottom w:val="single" w:sz="4" w:space="0" w:color="4F81BD"/>
            <w:right w:val="nil"/>
          </w:tcBorders>
        </w:tcPr>
        <w:p w:rsidR="00F30E2D" w:rsidRPr="005A3173" w:rsidRDefault="00F30E2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30E2D" w:rsidRPr="005A3173" w:rsidRDefault="00F30E2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30E2D" w:rsidRPr="005A3173" w:rsidRDefault="00F30E2D" w:rsidP="005A3173">
          <w:pPr>
            <w:pStyle w:val="Header"/>
            <w:spacing w:line="276" w:lineRule="auto"/>
            <w:rPr>
              <w:rFonts w:ascii="Calibri" w:eastAsia="MS Gothic" w:hAnsi="Calibri"/>
              <w:b/>
              <w:bCs/>
              <w:color w:val="4F81BD"/>
            </w:rPr>
          </w:pPr>
        </w:p>
      </w:tc>
    </w:tr>
    <w:tr w:rsidR="00F30E2D" w:rsidTr="005A3173">
      <w:trPr>
        <w:trHeight w:val="150"/>
      </w:trPr>
      <w:tc>
        <w:tcPr>
          <w:tcW w:w="2250" w:type="pct"/>
          <w:tcBorders>
            <w:top w:val="single" w:sz="4" w:space="0" w:color="4F81BD"/>
            <w:left w:val="nil"/>
            <w:bottom w:val="nil"/>
            <w:right w:val="nil"/>
          </w:tcBorders>
        </w:tcPr>
        <w:p w:rsidR="00F30E2D" w:rsidRPr="005A3173" w:rsidRDefault="00F30E2D" w:rsidP="005A3173">
          <w:pPr>
            <w:pStyle w:val="Header"/>
            <w:spacing w:line="276" w:lineRule="auto"/>
            <w:rPr>
              <w:rFonts w:ascii="Calibri" w:eastAsia="MS Gothic" w:hAnsi="Calibri"/>
              <w:b/>
              <w:bCs/>
              <w:color w:val="4F81BD"/>
            </w:rPr>
          </w:pPr>
        </w:p>
      </w:tc>
      <w:tc>
        <w:tcPr>
          <w:tcW w:w="0" w:type="auto"/>
          <w:vMerge/>
          <w:vAlign w:val="center"/>
          <w:hideMark/>
        </w:tcPr>
        <w:p w:rsidR="00F30E2D" w:rsidRPr="005A3173" w:rsidRDefault="00F30E2D" w:rsidP="005A3173">
          <w:pPr>
            <w:rPr>
              <w:rFonts w:ascii="Calibri" w:hAnsi="Calibri"/>
              <w:color w:val="365F91"/>
              <w:sz w:val="22"/>
              <w:szCs w:val="22"/>
            </w:rPr>
          </w:pPr>
        </w:p>
      </w:tc>
      <w:tc>
        <w:tcPr>
          <w:tcW w:w="2250" w:type="pct"/>
          <w:tcBorders>
            <w:top w:val="single" w:sz="4" w:space="0" w:color="4F81BD"/>
            <w:left w:val="nil"/>
            <w:bottom w:val="nil"/>
            <w:right w:val="nil"/>
          </w:tcBorders>
        </w:tcPr>
        <w:p w:rsidR="00F30E2D" w:rsidRPr="005A3173" w:rsidRDefault="00F30E2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4007"/>
      <w:gridCol w:w="1252"/>
      <w:gridCol w:w="4007"/>
    </w:tblGrid>
    <w:tr w:rsidR="00F30E2D" w:rsidTr="005A3173">
      <w:trPr>
        <w:trHeight w:val="151"/>
      </w:trPr>
      <w:tc>
        <w:tcPr>
          <w:tcW w:w="2250" w:type="pct"/>
          <w:tcBorders>
            <w:top w:val="nil"/>
            <w:left w:val="nil"/>
            <w:bottom w:val="single" w:sz="4" w:space="0" w:color="4F81BD"/>
            <w:right w:val="nil"/>
          </w:tcBorders>
        </w:tcPr>
        <w:p w:rsidR="00F30E2D" w:rsidRPr="005A3173" w:rsidRDefault="00F30E2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30E2D" w:rsidRPr="005A3173" w:rsidRDefault="00F30E2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30E2D" w:rsidRPr="005A3173" w:rsidRDefault="00F30E2D" w:rsidP="005A3173">
          <w:pPr>
            <w:pStyle w:val="Header"/>
            <w:spacing w:line="276" w:lineRule="auto"/>
            <w:rPr>
              <w:rFonts w:ascii="Calibri" w:eastAsia="MS Gothic" w:hAnsi="Calibri"/>
              <w:b/>
              <w:bCs/>
              <w:color w:val="4F81BD"/>
            </w:rPr>
          </w:pPr>
        </w:p>
      </w:tc>
    </w:tr>
    <w:tr w:rsidR="00F30E2D" w:rsidTr="005A3173">
      <w:trPr>
        <w:trHeight w:val="150"/>
      </w:trPr>
      <w:tc>
        <w:tcPr>
          <w:tcW w:w="2250" w:type="pct"/>
          <w:tcBorders>
            <w:top w:val="single" w:sz="4" w:space="0" w:color="4F81BD"/>
            <w:left w:val="nil"/>
            <w:bottom w:val="nil"/>
            <w:right w:val="nil"/>
          </w:tcBorders>
        </w:tcPr>
        <w:p w:rsidR="00F30E2D" w:rsidRPr="005A3173" w:rsidRDefault="00F30E2D" w:rsidP="005A3173">
          <w:pPr>
            <w:pStyle w:val="Header"/>
            <w:spacing w:line="276" w:lineRule="auto"/>
            <w:rPr>
              <w:rFonts w:ascii="Calibri" w:eastAsia="MS Gothic" w:hAnsi="Calibri"/>
              <w:b/>
              <w:bCs/>
              <w:color w:val="4F81BD"/>
            </w:rPr>
          </w:pPr>
        </w:p>
      </w:tc>
      <w:tc>
        <w:tcPr>
          <w:tcW w:w="0" w:type="auto"/>
          <w:vMerge/>
          <w:vAlign w:val="center"/>
          <w:hideMark/>
        </w:tcPr>
        <w:p w:rsidR="00F30E2D" w:rsidRPr="005A3173" w:rsidRDefault="00F30E2D" w:rsidP="005A3173">
          <w:pPr>
            <w:rPr>
              <w:rFonts w:ascii="Calibri" w:hAnsi="Calibri"/>
              <w:color w:val="365F91"/>
              <w:sz w:val="22"/>
              <w:szCs w:val="22"/>
            </w:rPr>
          </w:pPr>
        </w:p>
      </w:tc>
      <w:tc>
        <w:tcPr>
          <w:tcW w:w="2250" w:type="pct"/>
          <w:tcBorders>
            <w:top w:val="single" w:sz="4" w:space="0" w:color="4F81BD"/>
            <w:left w:val="nil"/>
            <w:bottom w:val="nil"/>
            <w:right w:val="nil"/>
          </w:tcBorders>
        </w:tcPr>
        <w:p w:rsidR="00F30E2D" w:rsidRPr="005A3173" w:rsidRDefault="00F30E2D" w:rsidP="005A3173">
          <w:pPr>
            <w:pStyle w:val="Header"/>
            <w:spacing w:line="276" w:lineRule="auto"/>
            <w:rPr>
              <w:rFonts w:ascii="Calibri" w:eastAsia="MS Gothic" w:hAnsi="Calibri"/>
              <w:b/>
              <w:bCs/>
              <w:color w:val="4F81BD"/>
            </w:rPr>
          </w:pPr>
        </w:p>
      </w:tc>
    </w:tr>
  </w:tbl>
  <w:p w:rsidR="00F30E2D" w:rsidRPr="007C0F57" w:rsidRDefault="00F30E2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30E2D" w:rsidRPr="007C0F57" w:rsidRDefault="00F30E2D"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A6" w:rsidRDefault="007369A6">
      <w:r>
        <w:separator/>
      </w:r>
    </w:p>
  </w:footnote>
  <w:footnote w:type="continuationSeparator" w:id="0">
    <w:p w:rsidR="007369A6" w:rsidRDefault="00736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50"/>
      <w:gridCol w:w="1252"/>
      <w:gridCol w:w="3847"/>
    </w:tblGrid>
    <w:tr w:rsidR="00F30E2D" w:rsidRPr="008E0D90" w:rsidTr="00A06225">
      <w:trPr>
        <w:trHeight w:val="151"/>
      </w:trPr>
      <w:tc>
        <w:tcPr>
          <w:tcW w:w="2389" w:type="pct"/>
          <w:tcBorders>
            <w:top w:val="nil"/>
            <w:left w:val="nil"/>
            <w:bottom w:val="single" w:sz="4" w:space="0" w:color="4F81BD"/>
            <w:right w:val="nil"/>
          </w:tcBorders>
        </w:tcPr>
        <w:p w:rsidR="00F30E2D" w:rsidRPr="00A06225" w:rsidRDefault="00F30E2D">
          <w:pPr>
            <w:pStyle w:val="Header"/>
            <w:spacing w:line="276" w:lineRule="auto"/>
            <w:rPr>
              <w:rFonts w:ascii="Cambria" w:eastAsia="MS Gothic" w:hAnsi="Cambria"/>
              <w:b/>
              <w:bCs/>
              <w:color w:val="4F81BD"/>
            </w:rPr>
          </w:pPr>
        </w:p>
      </w:tc>
      <w:tc>
        <w:tcPr>
          <w:tcW w:w="333" w:type="pct"/>
          <w:vMerge w:val="restart"/>
          <w:noWrap/>
          <w:vAlign w:val="center"/>
          <w:hideMark/>
        </w:tcPr>
        <w:p w:rsidR="00F30E2D" w:rsidRPr="00A06225" w:rsidRDefault="00F30E2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30E2D" w:rsidRPr="00A06225" w:rsidRDefault="00F30E2D">
          <w:pPr>
            <w:pStyle w:val="Header"/>
            <w:spacing w:line="276" w:lineRule="auto"/>
            <w:rPr>
              <w:rFonts w:ascii="Cambria" w:eastAsia="MS Gothic" w:hAnsi="Cambria"/>
              <w:b/>
              <w:bCs/>
              <w:color w:val="4F81BD"/>
            </w:rPr>
          </w:pPr>
        </w:p>
      </w:tc>
    </w:tr>
    <w:tr w:rsidR="00F30E2D" w:rsidRPr="008E0D90" w:rsidTr="00A06225">
      <w:trPr>
        <w:trHeight w:val="150"/>
      </w:trPr>
      <w:tc>
        <w:tcPr>
          <w:tcW w:w="2389" w:type="pct"/>
          <w:tcBorders>
            <w:top w:val="single" w:sz="4" w:space="0" w:color="4F81BD"/>
            <w:left w:val="nil"/>
            <w:bottom w:val="nil"/>
            <w:right w:val="nil"/>
          </w:tcBorders>
        </w:tcPr>
        <w:p w:rsidR="00F30E2D" w:rsidRPr="00A06225" w:rsidRDefault="00F30E2D">
          <w:pPr>
            <w:pStyle w:val="Header"/>
            <w:spacing w:line="276" w:lineRule="auto"/>
            <w:rPr>
              <w:rFonts w:ascii="Cambria" w:eastAsia="MS Gothic" w:hAnsi="Cambria"/>
              <w:b/>
              <w:bCs/>
              <w:color w:val="4F81BD"/>
            </w:rPr>
          </w:pPr>
        </w:p>
      </w:tc>
      <w:tc>
        <w:tcPr>
          <w:tcW w:w="0" w:type="auto"/>
          <w:vMerge/>
          <w:vAlign w:val="center"/>
          <w:hideMark/>
        </w:tcPr>
        <w:p w:rsidR="00F30E2D" w:rsidRPr="00A06225" w:rsidRDefault="00F30E2D">
          <w:pPr>
            <w:rPr>
              <w:rFonts w:ascii="Cambria" w:hAnsi="Cambria"/>
              <w:color w:val="4F81BD"/>
              <w:sz w:val="22"/>
              <w:szCs w:val="22"/>
            </w:rPr>
          </w:pPr>
        </w:p>
      </w:tc>
      <w:tc>
        <w:tcPr>
          <w:tcW w:w="2278" w:type="pct"/>
          <w:tcBorders>
            <w:top w:val="single" w:sz="4" w:space="0" w:color="4F81BD"/>
            <w:left w:val="nil"/>
            <w:bottom w:val="nil"/>
            <w:right w:val="nil"/>
          </w:tcBorders>
        </w:tcPr>
        <w:p w:rsidR="00F30E2D" w:rsidRPr="00A06225" w:rsidRDefault="00F30E2D">
          <w:pPr>
            <w:pStyle w:val="Header"/>
            <w:spacing w:line="276" w:lineRule="auto"/>
            <w:rPr>
              <w:rFonts w:ascii="Cambria" w:eastAsia="MS Gothic" w:hAnsi="Cambria"/>
              <w:b/>
              <w:bCs/>
              <w:color w:val="4F81BD"/>
            </w:rPr>
          </w:pPr>
        </w:p>
      </w:tc>
    </w:tr>
  </w:tbl>
  <w:p w:rsidR="00F30E2D" w:rsidRDefault="00F30E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2D" w:rsidRPr="00DF217D" w:rsidRDefault="00F30E2D" w:rsidP="00FC23A1">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F30E2D" w:rsidRPr="00DF217D" w:rsidRDefault="00F30E2D"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2F90"/>
    <w:multiLevelType w:val="hybridMultilevel"/>
    <w:tmpl w:val="799E387A"/>
    <w:lvl w:ilvl="0" w:tplc="0C090001">
      <w:start w:val="1"/>
      <w:numFmt w:val="bullet"/>
      <w:lvlText w:val=""/>
      <w:lvlJc w:val="left"/>
      <w:pPr>
        <w:ind w:left="1790" w:hanging="360"/>
      </w:pPr>
      <w:rPr>
        <w:rFonts w:ascii="Symbol" w:hAnsi="Symbol" w:hint="default"/>
      </w:rPr>
    </w:lvl>
    <w:lvl w:ilvl="1" w:tplc="0C090003" w:tentative="1">
      <w:start w:val="1"/>
      <w:numFmt w:val="bullet"/>
      <w:lvlText w:val="o"/>
      <w:lvlJc w:val="left"/>
      <w:pPr>
        <w:ind w:left="2510" w:hanging="360"/>
      </w:pPr>
      <w:rPr>
        <w:rFonts w:ascii="Courier New" w:hAnsi="Courier New" w:cs="Courier New" w:hint="default"/>
      </w:rPr>
    </w:lvl>
    <w:lvl w:ilvl="2" w:tplc="0C090005" w:tentative="1">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1">
    <w:nsid w:val="098B4E9A"/>
    <w:multiLevelType w:val="hybridMultilevel"/>
    <w:tmpl w:val="D2D8408E"/>
    <w:lvl w:ilvl="0" w:tplc="08090001">
      <w:start w:val="1"/>
      <w:numFmt w:val="bullet"/>
      <w:lvlText w:val=""/>
      <w:lvlJc w:val="left"/>
      <w:pPr>
        <w:ind w:left="720" w:hanging="360"/>
      </w:pPr>
      <w:rPr>
        <w:rFonts w:ascii="Symbol" w:hAnsi="Symbol" w:hint="default"/>
      </w:rPr>
    </w:lvl>
    <w:lvl w:ilvl="1" w:tplc="1230407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7F2877"/>
    <w:multiLevelType w:val="multilevel"/>
    <w:tmpl w:val="47C00DBA"/>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nsid w:val="285041AE"/>
    <w:multiLevelType w:val="hybridMultilevel"/>
    <w:tmpl w:val="C6183E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5">
    <w:nsid w:val="39A7705C"/>
    <w:multiLevelType w:val="hybridMultilevel"/>
    <w:tmpl w:val="8FA2C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4BF06D4A"/>
    <w:multiLevelType w:val="hybridMultilevel"/>
    <w:tmpl w:val="A6EAE9DA"/>
    <w:lvl w:ilvl="0" w:tplc="9BAA56B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50255C5A"/>
    <w:multiLevelType w:val="hybridMultilevel"/>
    <w:tmpl w:val="4282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2D177B"/>
    <w:multiLevelType w:val="hybridMultilevel"/>
    <w:tmpl w:val="DD187FBC"/>
    <w:lvl w:ilvl="0" w:tplc="04090001">
      <w:start w:val="1"/>
      <w:numFmt w:val="bullet"/>
      <w:lvlText w:val=""/>
      <w:lvlJc w:val="left"/>
      <w:pPr>
        <w:ind w:left="1790" w:hanging="360"/>
      </w:pPr>
      <w:rPr>
        <w:rFonts w:ascii="Symbol" w:hAnsi="Symbol" w:hint="default"/>
      </w:rPr>
    </w:lvl>
    <w:lvl w:ilvl="1" w:tplc="0C090003" w:tentative="1">
      <w:start w:val="1"/>
      <w:numFmt w:val="bullet"/>
      <w:lvlText w:val="o"/>
      <w:lvlJc w:val="left"/>
      <w:pPr>
        <w:ind w:left="2510" w:hanging="360"/>
      </w:pPr>
      <w:rPr>
        <w:rFonts w:ascii="Courier New" w:hAnsi="Courier New" w:cs="Courier New" w:hint="default"/>
      </w:rPr>
    </w:lvl>
    <w:lvl w:ilvl="2" w:tplc="0C090005" w:tentative="1">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10">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525F3F8E"/>
    <w:multiLevelType w:val="hybridMultilevel"/>
    <w:tmpl w:val="E9A88FA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9BC5196"/>
    <w:multiLevelType w:val="multilevel"/>
    <w:tmpl w:val="83F2609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FC02275"/>
    <w:multiLevelType w:val="multilevel"/>
    <w:tmpl w:val="47C00DBA"/>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387845"/>
    <w:multiLevelType w:val="hybridMultilevel"/>
    <w:tmpl w:val="8968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nsid w:val="784D033C"/>
    <w:multiLevelType w:val="multilevel"/>
    <w:tmpl w:val="13FCFF0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A81060C"/>
    <w:multiLevelType w:val="hybridMultilevel"/>
    <w:tmpl w:val="690C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nsid w:val="7EF55792"/>
    <w:multiLevelType w:val="hybridMultilevel"/>
    <w:tmpl w:val="70A6F4B8"/>
    <w:lvl w:ilvl="0" w:tplc="0C090001">
      <w:start w:val="1"/>
      <w:numFmt w:val="bullet"/>
      <w:lvlText w:val=""/>
      <w:lvlJc w:val="left"/>
      <w:pPr>
        <w:ind w:left="382" w:hanging="360"/>
      </w:pPr>
      <w:rPr>
        <w:rFonts w:ascii="Symbol" w:hAnsi="Symbol" w:hint="default"/>
      </w:rPr>
    </w:lvl>
    <w:lvl w:ilvl="1" w:tplc="0C090003" w:tentative="1">
      <w:start w:val="1"/>
      <w:numFmt w:val="bullet"/>
      <w:lvlText w:val="o"/>
      <w:lvlJc w:val="left"/>
      <w:pPr>
        <w:ind w:left="1102" w:hanging="360"/>
      </w:pPr>
      <w:rPr>
        <w:rFonts w:ascii="Courier New" w:hAnsi="Courier New" w:cs="Courier New" w:hint="default"/>
      </w:rPr>
    </w:lvl>
    <w:lvl w:ilvl="2" w:tplc="0C090005" w:tentative="1">
      <w:start w:val="1"/>
      <w:numFmt w:val="bullet"/>
      <w:lvlText w:val=""/>
      <w:lvlJc w:val="left"/>
      <w:pPr>
        <w:ind w:left="1822" w:hanging="360"/>
      </w:pPr>
      <w:rPr>
        <w:rFonts w:ascii="Wingdings" w:hAnsi="Wingdings" w:hint="default"/>
      </w:rPr>
    </w:lvl>
    <w:lvl w:ilvl="3" w:tplc="0C090001" w:tentative="1">
      <w:start w:val="1"/>
      <w:numFmt w:val="bullet"/>
      <w:lvlText w:val=""/>
      <w:lvlJc w:val="left"/>
      <w:pPr>
        <w:ind w:left="2542" w:hanging="360"/>
      </w:pPr>
      <w:rPr>
        <w:rFonts w:ascii="Symbol" w:hAnsi="Symbol" w:hint="default"/>
      </w:rPr>
    </w:lvl>
    <w:lvl w:ilvl="4" w:tplc="0C090003" w:tentative="1">
      <w:start w:val="1"/>
      <w:numFmt w:val="bullet"/>
      <w:lvlText w:val="o"/>
      <w:lvlJc w:val="left"/>
      <w:pPr>
        <w:ind w:left="3262" w:hanging="360"/>
      </w:pPr>
      <w:rPr>
        <w:rFonts w:ascii="Courier New" w:hAnsi="Courier New" w:cs="Courier New" w:hint="default"/>
      </w:rPr>
    </w:lvl>
    <w:lvl w:ilvl="5" w:tplc="0C090005" w:tentative="1">
      <w:start w:val="1"/>
      <w:numFmt w:val="bullet"/>
      <w:lvlText w:val=""/>
      <w:lvlJc w:val="left"/>
      <w:pPr>
        <w:ind w:left="3982" w:hanging="360"/>
      </w:pPr>
      <w:rPr>
        <w:rFonts w:ascii="Wingdings" w:hAnsi="Wingdings" w:hint="default"/>
      </w:rPr>
    </w:lvl>
    <w:lvl w:ilvl="6" w:tplc="0C090001" w:tentative="1">
      <w:start w:val="1"/>
      <w:numFmt w:val="bullet"/>
      <w:lvlText w:val=""/>
      <w:lvlJc w:val="left"/>
      <w:pPr>
        <w:ind w:left="4702" w:hanging="360"/>
      </w:pPr>
      <w:rPr>
        <w:rFonts w:ascii="Symbol" w:hAnsi="Symbol" w:hint="default"/>
      </w:rPr>
    </w:lvl>
    <w:lvl w:ilvl="7" w:tplc="0C090003" w:tentative="1">
      <w:start w:val="1"/>
      <w:numFmt w:val="bullet"/>
      <w:lvlText w:val="o"/>
      <w:lvlJc w:val="left"/>
      <w:pPr>
        <w:ind w:left="5422" w:hanging="360"/>
      </w:pPr>
      <w:rPr>
        <w:rFonts w:ascii="Courier New" w:hAnsi="Courier New" w:cs="Courier New" w:hint="default"/>
      </w:rPr>
    </w:lvl>
    <w:lvl w:ilvl="8" w:tplc="0C090005" w:tentative="1">
      <w:start w:val="1"/>
      <w:numFmt w:val="bullet"/>
      <w:lvlText w:val=""/>
      <w:lvlJc w:val="left"/>
      <w:pPr>
        <w:ind w:left="6142" w:hanging="360"/>
      </w:pPr>
      <w:rPr>
        <w:rFonts w:ascii="Wingdings" w:hAnsi="Wingdings" w:hint="default"/>
      </w:rPr>
    </w:lvl>
  </w:abstractNum>
  <w:num w:numId="1">
    <w:abstractNumId w:val="17"/>
  </w:num>
  <w:num w:numId="2">
    <w:abstractNumId w:val="13"/>
  </w:num>
  <w:num w:numId="3">
    <w:abstractNumId w:val="10"/>
  </w:num>
  <w:num w:numId="4">
    <w:abstractNumId w:val="12"/>
  </w:num>
  <w:num w:numId="5">
    <w:abstractNumId w:val="16"/>
  </w:num>
  <w:num w:numId="6">
    <w:abstractNumId w:val="19"/>
  </w:num>
  <w:num w:numId="7">
    <w:abstractNumId w:val="3"/>
  </w:num>
  <w:num w:numId="8">
    <w:abstractNumId w:val="6"/>
  </w:num>
  <w:num w:numId="9">
    <w:abstractNumId w:val="7"/>
  </w:num>
  <w:num w:numId="10">
    <w:abstractNumId w:val="20"/>
  </w:num>
  <w:num w:numId="11">
    <w:abstractNumId w:val="4"/>
  </w:num>
  <w:num w:numId="12">
    <w:abstractNumId w:val="15"/>
  </w:num>
  <w:num w:numId="13">
    <w:abstractNumId w:val="1"/>
  </w:num>
  <w:num w:numId="14">
    <w:abstractNumId w:val="9"/>
  </w:num>
  <w:num w:numId="15">
    <w:abstractNumId w:val="5"/>
  </w:num>
  <w:num w:numId="16">
    <w:abstractNumId w:val="0"/>
  </w:num>
  <w:num w:numId="17">
    <w:abstractNumId w:val="14"/>
  </w:num>
  <w:num w:numId="18">
    <w:abstractNumId w:val="2"/>
  </w:num>
  <w:num w:numId="19">
    <w:abstractNumId w:val="18"/>
  </w:num>
  <w:num w:numId="20">
    <w:abstractNumId w:val="11"/>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134"/>
    <w:rsid w:val="000147BD"/>
    <w:rsid w:val="00016FC0"/>
    <w:rsid w:val="00023316"/>
    <w:rsid w:val="0002464A"/>
    <w:rsid w:val="00025629"/>
    <w:rsid w:val="0003106B"/>
    <w:rsid w:val="0004191D"/>
    <w:rsid w:val="000421A1"/>
    <w:rsid w:val="0004240E"/>
    <w:rsid w:val="00045E26"/>
    <w:rsid w:val="000514B5"/>
    <w:rsid w:val="00060E64"/>
    <w:rsid w:val="00070175"/>
    <w:rsid w:val="00091CBD"/>
    <w:rsid w:val="000969AD"/>
    <w:rsid w:val="000B2AD3"/>
    <w:rsid w:val="000B558D"/>
    <w:rsid w:val="000B6175"/>
    <w:rsid w:val="000C6996"/>
    <w:rsid w:val="000D23BA"/>
    <w:rsid w:val="000E5624"/>
    <w:rsid w:val="000E681E"/>
    <w:rsid w:val="000F45B7"/>
    <w:rsid w:val="000F4E6A"/>
    <w:rsid w:val="001107BF"/>
    <w:rsid w:val="0012417C"/>
    <w:rsid w:val="001358D7"/>
    <w:rsid w:val="00136F56"/>
    <w:rsid w:val="00142395"/>
    <w:rsid w:val="00142714"/>
    <w:rsid w:val="00142AF9"/>
    <w:rsid w:val="0014396F"/>
    <w:rsid w:val="001452ED"/>
    <w:rsid w:val="00167386"/>
    <w:rsid w:val="001823E1"/>
    <w:rsid w:val="001830CE"/>
    <w:rsid w:val="00196307"/>
    <w:rsid w:val="001972F4"/>
    <w:rsid w:val="001A5809"/>
    <w:rsid w:val="001B017F"/>
    <w:rsid w:val="001B5129"/>
    <w:rsid w:val="001C1195"/>
    <w:rsid w:val="001F0102"/>
    <w:rsid w:val="001F102D"/>
    <w:rsid w:val="001F54F0"/>
    <w:rsid w:val="001F72D1"/>
    <w:rsid w:val="00221AC2"/>
    <w:rsid w:val="0023595E"/>
    <w:rsid w:val="0023613C"/>
    <w:rsid w:val="00245F6B"/>
    <w:rsid w:val="002538BE"/>
    <w:rsid w:val="002619BC"/>
    <w:rsid w:val="002709D3"/>
    <w:rsid w:val="00271BA1"/>
    <w:rsid w:val="00277505"/>
    <w:rsid w:val="00292A64"/>
    <w:rsid w:val="0029458F"/>
    <w:rsid w:val="002A4960"/>
    <w:rsid w:val="002A7ABE"/>
    <w:rsid w:val="002B1AE6"/>
    <w:rsid w:val="002B30F8"/>
    <w:rsid w:val="002B783B"/>
    <w:rsid w:val="002C212F"/>
    <w:rsid w:val="002D1C2A"/>
    <w:rsid w:val="00312A0A"/>
    <w:rsid w:val="00314916"/>
    <w:rsid w:val="00321739"/>
    <w:rsid w:val="0032606A"/>
    <w:rsid w:val="00326E79"/>
    <w:rsid w:val="00334326"/>
    <w:rsid w:val="003350F7"/>
    <w:rsid w:val="003367EF"/>
    <w:rsid w:val="003371A7"/>
    <w:rsid w:val="00341AE4"/>
    <w:rsid w:val="00343B27"/>
    <w:rsid w:val="0038331C"/>
    <w:rsid w:val="003835A7"/>
    <w:rsid w:val="00390011"/>
    <w:rsid w:val="0039094E"/>
    <w:rsid w:val="00396FC0"/>
    <w:rsid w:val="003A5B4A"/>
    <w:rsid w:val="003B23C5"/>
    <w:rsid w:val="003B2A75"/>
    <w:rsid w:val="003D4AC4"/>
    <w:rsid w:val="003D63B7"/>
    <w:rsid w:val="003E0EC7"/>
    <w:rsid w:val="003E13A8"/>
    <w:rsid w:val="003E2188"/>
    <w:rsid w:val="003E468B"/>
    <w:rsid w:val="003F5C8C"/>
    <w:rsid w:val="004108D4"/>
    <w:rsid w:val="00415B83"/>
    <w:rsid w:val="0041614C"/>
    <w:rsid w:val="00422C22"/>
    <w:rsid w:val="00436E9C"/>
    <w:rsid w:val="00457E50"/>
    <w:rsid w:val="00463232"/>
    <w:rsid w:val="00466ADA"/>
    <w:rsid w:val="00474670"/>
    <w:rsid w:val="00482348"/>
    <w:rsid w:val="004912E2"/>
    <w:rsid w:val="004B280A"/>
    <w:rsid w:val="004B5640"/>
    <w:rsid w:val="004C1BD7"/>
    <w:rsid w:val="004C691D"/>
    <w:rsid w:val="004E692D"/>
    <w:rsid w:val="004E7A4D"/>
    <w:rsid w:val="00502036"/>
    <w:rsid w:val="00503995"/>
    <w:rsid w:val="00503D3C"/>
    <w:rsid w:val="00510A84"/>
    <w:rsid w:val="00514CD7"/>
    <w:rsid w:val="00523903"/>
    <w:rsid w:val="00534CB4"/>
    <w:rsid w:val="00534E2E"/>
    <w:rsid w:val="00540100"/>
    <w:rsid w:val="00544552"/>
    <w:rsid w:val="0054483A"/>
    <w:rsid w:val="005458F5"/>
    <w:rsid w:val="00547701"/>
    <w:rsid w:val="00560427"/>
    <w:rsid w:val="00572584"/>
    <w:rsid w:val="00581932"/>
    <w:rsid w:val="005A3173"/>
    <w:rsid w:val="005A3223"/>
    <w:rsid w:val="005A3DA3"/>
    <w:rsid w:val="005A52C4"/>
    <w:rsid w:val="005D03AB"/>
    <w:rsid w:val="005D5017"/>
    <w:rsid w:val="005E4FDA"/>
    <w:rsid w:val="005E5ED3"/>
    <w:rsid w:val="00601A91"/>
    <w:rsid w:val="00602BA3"/>
    <w:rsid w:val="006102DE"/>
    <w:rsid w:val="00614159"/>
    <w:rsid w:val="00617C00"/>
    <w:rsid w:val="006263BF"/>
    <w:rsid w:val="00630A2C"/>
    <w:rsid w:val="00651169"/>
    <w:rsid w:val="00653D69"/>
    <w:rsid w:val="006572B0"/>
    <w:rsid w:val="00664F0B"/>
    <w:rsid w:val="00670A76"/>
    <w:rsid w:val="006711AA"/>
    <w:rsid w:val="00675622"/>
    <w:rsid w:val="006906DB"/>
    <w:rsid w:val="0069246B"/>
    <w:rsid w:val="006A0CA0"/>
    <w:rsid w:val="006A12A5"/>
    <w:rsid w:val="006B063A"/>
    <w:rsid w:val="006B0D94"/>
    <w:rsid w:val="006B485D"/>
    <w:rsid w:val="006D1F2D"/>
    <w:rsid w:val="006D6EC7"/>
    <w:rsid w:val="006F5125"/>
    <w:rsid w:val="006F5FBF"/>
    <w:rsid w:val="00713E2E"/>
    <w:rsid w:val="007174BB"/>
    <w:rsid w:val="00723777"/>
    <w:rsid w:val="00727A1A"/>
    <w:rsid w:val="007369A6"/>
    <w:rsid w:val="00752422"/>
    <w:rsid w:val="007670BA"/>
    <w:rsid w:val="007753C2"/>
    <w:rsid w:val="007838B8"/>
    <w:rsid w:val="007968E1"/>
    <w:rsid w:val="00796BBE"/>
    <w:rsid w:val="007B4505"/>
    <w:rsid w:val="007C0F57"/>
    <w:rsid w:val="007C40B6"/>
    <w:rsid w:val="007C729F"/>
    <w:rsid w:val="007D46CE"/>
    <w:rsid w:val="007E0BD8"/>
    <w:rsid w:val="007E1D28"/>
    <w:rsid w:val="007F2641"/>
    <w:rsid w:val="008061BE"/>
    <w:rsid w:val="00806796"/>
    <w:rsid w:val="0082092C"/>
    <w:rsid w:val="0083058A"/>
    <w:rsid w:val="008378DE"/>
    <w:rsid w:val="00863E68"/>
    <w:rsid w:val="00871181"/>
    <w:rsid w:val="0088043B"/>
    <w:rsid w:val="00882085"/>
    <w:rsid w:val="00883188"/>
    <w:rsid w:val="008843E2"/>
    <w:rsid w:val="00891EC2"/>
    <w:rsid w:val="00897D58"/>
    <w:rsid w:val="008A0F9F"/>
    <w:rsid w:val="008A4937"/>
    <w:rsid w:val="008D3C82"/>
    <w:rsid w:val="008D447E"/>
    <w:rsid w:val="008E3680"/>
    <w:rsid w:val="008E5870"/>
    <w:rsid w:val="008E69DA"/>
    <w:rsid w:val="008F1434"/>
    <w:rsid w:val="008F5562"/>
    <w:rsid w:val="008F7355"/>
    <w:rsid w:val="009079DF"/>
    <w:rsid w:val="0091201C"/>
    <w:rsid w:val="009166C1"/>
    <w:rsid w:val="00930937"/>
    <w:rsid w:val="00942160"/>
    <w:rsid w:val="00942F14"/>
    <w:rsid w:val="00950893"/>
    <w:rsid w:val="009602C5"/>
    <w:rsid w:val="00974C21"/>
    <w:rsid w:val="00984601"/>
    <w:rsid w:val="0098700E"/>
    <w:rsid w:val="00993D14"/>
    <w:rsid w:val="009A469E"/>
    <w:rsid w:val="009B0E76"/>
    <w:rsid w:val="009B3BE9"/>
    <w:rsid w:val="009C30A6"/>
    <w:rsid w:val="009C703C"/>
    <w:rsid w:val="009D3CAA"/>
    <w:rsid w:val="009D59CE"/>
    <w:rsid w:val="009D769A"/>
    <w:rsid w:val="009E441D"/>
    <w:rsid w:val="009F1782"/>
    <w:rsid w:val="009F1D23"/>
    <w:rsid w:val="009F5B65"/>
    <w:rsid w:val="00A0139E"/>
    <w:rsid w:val="00A01C5D"/>
    <w:rsid w:val="00A06225"/>
    <w:rsid w:val="00A108F9"/>
    <w:rsid w:val="00A261C5"/>
    <w:rsid w:val="00A2751B"/>
    <w:rsid w:val="00A37C8D"/>
    <w:rsid w:val="00A45A14"/>
    <w:rsid w:val="00A5273B"/>
    <w:rsid w:val="00A53A9D"/>
    <w:rsid w:val="00A62C1A"/>
    <w:rsid w:val="00A63247"/>
    <w:rsid w:val="00A6426D"/>
    <w:rsid w:val="00A671DC"/>
    <w:rsid w:val="00A70622"/>
    <w:rsid w:val="00A70977"/>
    <w:rsid w:val="00A748F4"/>
    <w:rsid w:val="00A8390C"/>
    <w:rsid w:val="00AA0586"/>
    <w:rsid w:val="00AA0A5F"/>
    <w:rsid w:val="00AA4D1C"/>
    <w:rsid w:val="00AB61DD"/>
    <w:rsid w:val="00AC22E5"/>
    <w:rsid w:val="00AC46EF"/>
    <w:rsid w:val="00AC5206"/>
    <w:rsid w:val="00AE11A5"/>
    <w:rsid w:val="00AE12F8"/>
    <w:rsid w:val="00AE599C"/>
    <w:rsid w:val="00AF68CC"/>
    <w:rsid w:val="00B03FE2"/>
    <w:rsid w:val="00B072DB"/>
    <w:rsid w:val="00B205AA"/>
    <w:rsid w:val="00B25F75"/>
    <w:rsid w:val="00B2771B"/>
    <w:rsid w:val="00B313C4"/>
    <w:rsid w:val="00B36BE8"/>
    <w:rsid w:val="00B41A61"/>
    <w:rsid w:val="00B43E90"/>
    <w:rsid w:val="00B56118"/>
    <w:rsid w:val="00B64A92"/>
    <w:rsid w:val="00B70549"/>
    <w:rsid w:val="00B97225"/>
    <w:rsid w:val="00B97D70"/>
    <w:rsid w:val="00BB69F5"/>
    <w:rsid w:val="00BB7EC3"/>
    <w:rsid w:val="00BC4B9A"/>
    <w:rsid w:val="00BC6F2F"/>
    <w:rsid w:val="00BD7A39"/>
    <w:rsid w:val="00BE4F04"/>
    <w:rsid w:val="00BF4CB6"/>
    <w:rsid w:val="00C12768"/>
    <w:rsid w:val="00C1339E"/>
    <w:rsid w:val="00C3011D"/>
    <w:rsid w:val="00C35996"/>
    <w:rsid w:val="00C5342C"/>
    <w:rsid w:val="00C6256A"/>
    <w:rsid w:val="00C66759"/>
    <w:rsid w:val="00C700B8"/>
    <w:rsid w:val="00C778EB"/>
    <w:rsid w:val="00C8202F"/>
    <w:rsid w:val="00C91449"/>
    <w:rsid w:val="00C92D10"/>
    <w:rsid w:val="00CA0B74"/>
    <w:rsid w:val="00CA29D1"/>
    <w:rsid w:val="00CA448A"/>
    <w:rsid w:val="00CB3C59"/>
    <w:rsid w:val="00CC26B6"/>
    <w:rsid w:val="00CC49B1"/>
    <w:rsid w:val="00CD1C49"/>
    <w:rsid w:val="00CD7D2C"/>
    <w:rsid w:val="00CE10C4"/>
    <w:rsid w:val="00CE27B5"/>
    <w:rsid w:val="00D01816"/>
    <w:rsid w:val="00D0321E"/>
    <w:rsid w:val="00D13B0D"/>
    <w:rsid w:val="00D16272"/>
    <w:rsid w:val="00D3280C"/>
    <w:rsid w:val="00D3406A"/>
    <w:rsid w:val="00D4608A"/>
    <w:rsid w:val="00D469B2"/>
    <w:rsid w:val="00D5366F"/>
    <w:rsid w:val="00D601F0"/>
    <w:rsid w:val="00D741EB"/>
    <w:rsid w:val="00D906AF"/>
    <w:rsid w:val="00D91271"/>
    <w:rsid w:val="00D976D0"/>
    <w:rsid w:val="00DA0D9C"/>
    <w:rsid w:val="00DA4BAC"/>
    <w:rsid w:val="00DE6D27"/>
    <w:rsid w:val="00DF217D"/>
    <w:rsid w:val="00DF26A7"/>
    <w:rsid w:val="00E16910"/>
    <w:rsid w:val="00E31A42"/>
    <w:rsid w:val="00E41111"/>
    <w:rsid w:val="00E51353"/>
    <w:rsid w:val="00E54269"/>
    <w:rsid w:val="00E573DC"/>
    <w:rsid w:val="00E61173"/>
    <w:rsid w:val="00E636A5"/>
    <w:rsid w:val="00E65E54"/>
    <w:rsid w:val="00E77361"/>
    <w:rsid w:val="00E80155"/>
    <w:rsid w:val="00E848C0"/>
    <w:rsid w:val="00E87D72"/>
    <w:rsid w:val="00E91B96"/>
    <w:rsid w:val="00E941A1"/>
    <w:rsid w:val="00E95CE3"/>
    <w:rsid w:val="00EA2825"/>
    <w:rsid w:val="00EA46BB"/>
    <w:rsid w:val="00EB294F"/>
    <w:rsid w:val="00EB5088"/>
    <w:rsid w:val="00EC6DDC"/>
    <w:rsid w:val="00EC6FC3"/>
    <w:rsid w:val="00EC7B73"/>
    <w:rsid w:val="00EC7F36"/>
    <w:rsid w:val="00ED1644"/>
    <w:rsid w:val="00ED77D9"/>
    <w:rsid w:val="00EE1721"/>
    <w:rsid w:val="00EE4611"/>
    <w:rsid w:val="00EF0CEA"/>
    <w:rsid w:val="00F03436"/>
    <w:rsid w:val="00F050BD"/>
    <w:rsid w:val="00F05657"/>
    <w:rsid w:val="00F25578"/>
    <w:rsid w:val="00F258E5"/>
    <w:rsid w:val="00F25BC0"/>
    <w:rsid w:val="00F300BC"/>
    <w:rsid w:val="00F30E2D"/>
    <w:rsid w:val="00F3334E"/>
    <w:rsid w:val="00F3424C"/>
    <w:rsid w:val="00F401A5"/>
    <w:rsid w:val="00F50EC4"/>
    <w:rsid w:val="00F57A6D"/>
    <w:rsid w:val="00F638CC"/>
    <w:rsid w:val="00F8247A"/>
    <w:rsid w:val="00F83BAE"/>
    <w:rsid w:val="00F84EBB"/>
    <w:rsid w:val="00F877A8"/>
    <w:rsid w:val="00FA5883"/>
    <w:rsid w:val="00FA6055"/>
    <w:rsid w:val="00FB322F"/>
    <w:rsid w:val="00FB442F"/>
    <w:rsid w:val="00FC1929"/>
    <w:rsid w:val="00FC23A1"/>
    <w:rsid w:val="00FC5B46"/>
    <w:rsid w:val="00FC5D54"/>
    <w:rsid w:val="00FD1B96"/>
    <w:rsid w:val="00FD331D"/>
    <w:rsid w:val="00FE0675"/>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D1C49"/>
    <w:rPr>
      <w:sz w:val="24"/>
      <w:szCs w:val="24"/>
    </w:rPr>
  </w:style>
  <w:style w:type="paragraph" w:styleId="Heading1">
    <w:name w:val="heading 1"/>
    <w:basedOn w:val="Normal"/>
    <w:next w:val="Normal"/>
    <w:qFormat/>
    <w:rsid w:val="00EA46BB"/>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23595E"/>
    <w:pPr>
      <w:widowControl w:val="0"/>
      <w:jc w:val="both"/>
    </w:pPr>
    <w:rPr>
      <w:rFonts w:ascii="Arial Narrow" w:hAnsi="Arial Narrow" w:cs="Arial"/>
      <w:snapToGrid w:val="0"/>
      <w:sz w:val="18"/>
      <w:szCs w:val="20"/>
      <w:lang w:eastAsia="en-US"/>
    </w:rPr>
  </w:style>
  <w:style w:type="table" w:customStyle="1" w:styleId="TableGrid1">
    <w:name w:val="Table Grid1"/>
    <w:basedOn w:val="TableNormal"/>
    <w:next w:val="TableGrid"/>
    <w:uiPriority w:val="59"/>
    <w:rsid w:val="0098460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5401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D1C49"/>
    <w:rPr>
      <w:sz w:val="24"/>
      <w:szCs w:val="24"/>
    </w:rPr>
  </w:style>
  <w:style w:type="paragraph" w:styleId="Heading1">
    <w:name w:val="heading 1"/>
    <w:basedOn w:val="Normal"/>
    <w:next w:val="Normal"/>
    <w:qFormat/>
    <w:rsid w:val="00EA46BB"/>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23595E"/>
    <w:pPr>
      <w:widowControl w:val="0"/>
      <w:jc w:val="both"/>
    </w:pPr>
    <w:rPr>
      <w:rFonts w:ascii="Arial Narrow" w:hAnsi="Arial Narrow" w:cs="Arial"/>
      <w:snapToGrid w:val="0"/>
      <w:sz w:val="18"/>
      <w:szCs w:val="20"/>
      <w:lang w:eastAsia="en-US"/>
    </w:rPr>
  </w:style>
  <w:style w:type="table" w:customStyle="1" w:styleId="TableGrid1">
    <w:name w:val="Table Grid1"/>
    <w:basedOn w:val="TableNormal"/>
    <w:next w:val="TableGrid"/>
    <w:uiPriority w:val="59"/>
    <w:rsid w:val="0098460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540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8F49-49BD-4844-82D7-EA62141B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7241</Words>
  <Characters>42819</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3</cp:revision>
  <cp:lastPrinted>2013-02-09T16:16:00Z</cp:lastPrinted>
  <dcterms:created xsi:type="dcterms:W3CDTF">2014-10-29T05:06:00Z</dcterms:created>
  <dcterms:modified xsi:type="dcterms:W3CDTF">2014-11-10T04:50:00Z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