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A6D" w:rsidRDefault="00F57A6D" w:rsidP="007C0F57">
      <w:pPr>
        <w:ind w:left="720" w:hanging="720"/>
        <w:rPr>
          <w:rFonts w:ascii="Arial" w:hAnsi="Arial"/>
          <w:b/>
        </w:rPr>
      </w:pPr>
    </w:p>
    <w:p w:rsidR="000968AB" w:rsidRPr="00094900" w:rsidRDefault="000968AB" w:rsidP="000968AB">
      <w:pPr>
        <w:rPr>
          <w:rFonts w:ascii="Arial" w:hAnsi="Arial" w:cs="Arial"/>
          <w:b/>
          <w:sz w:val="28"/>
          <w:szCs w:val="32"/>
        </w:rPr>
      </w:pPr>
      <w:r w:rsidRPr="00094900">
        <w:rPr>
          <w:rFonts w:ascii="Arial" w:hAnsi="Arial"/>
          <w:b/>
          <w:sz w:val="28"/>
          <w:szCs w:val="28"/>
        </w:rPr>
        <w:t>4.3</w:t>
      </w:r>
      <w:r w:rsidR="007C0F57" w:rsidRPr="00094900">
        <w:rPr>
          <w:rFonts w:ascii="Arial" w:hAnsi="Arial"/>
          <w:b/>
          <w:sz w:val="28"/>
          <w:szCs w:val="28"/>
        </w:rPr>
        <w:tab/>
      </w:r>
      <w:r w:rsidRPr="00094900">
        <w:rPr>
          <w:rFonts w:ascii="Arial" w:hAnsi="Arial" w:cs="Arial"/>
          <w:b/>
          <w:sz w:val="28"/>
          <w:szCs w:val="32"/>
        </w:rPr>
        <w:t xml:space="preserve">PROPOSED CHANGE TO THE LISTINGS OF </w:t>
      </w:r>
    </w:p>
    <w:p w:rsidR="000968AB" w:rsidRPr="00094900" w:rsidRDefault="000968AB" w:rsidP="000968AB">
      <w:pPr>
        <w:ind w:left="720"/>
        <w:rPr>
          <w:rFonts w:ascii="Arial" w:hAnsi="Arial" w:cs="Arial"/>
          <w:b/>
          <w:caps/>
          <w:sz w:val="36"/>
          <w:szCs w:val="32"/>
        </w:rPr>
      </w:pPr>
      <w:r w:rsidRPr="00094900">
        <w:rPr>
          <w:rFonts w:ascii="Arial" w:hAnsi="Arial" w:cs="Arial"/>
          <w:b/>
          <w:caps/>
          <w:sz w:val="28"/>
        </w:rPr>
        <w:t>thiazolidinediones, glucagon-like peptide-1, and sodium-glucose co-transporter 2 inhibitors for Type II diabetes</w:t>
      </w:r>
      <w:r w:rsidRPr="00094900">
        <w:rPr>
          <w:rFonts w:ascii="Arial" w:hAnsi="Arial" w:cs="Arial"/>
          <w:b/>
          <w:caps/>
          <w:sz w:val="36"/>
          <w:szCs w:val="32"/>
        </w:rPr>
        <w:t xml:space="preserve"> </w:t>
      </w:r>
    </w:p>
    <w:p w:rsidR="00CE10C4" w:rsidRPr="00094900" w:rsidRDefault="00CE10C4" w:rsidP="00A5273B">
      <w:pPr>
        <w:rPr>
          <w:rFonts w:ascii="Arial" w:hAnsi="Arial"/>
          <w:b/>
        </w:rPr>
      </w:pPr>
    </w:p>
    <w:p w:rsidR="00CE10C4" w:rsidRPr="00094900" w:rsidRDefault="00CE10C4" w:rsidP="00953CDA">
      <w:pPr>
        <w:pStyle w:val="ListParagraph"/>
        <w:numPr>
          <w:ilvl w:val="0"/>
          <w:numId w:val="25"/>
        </w:numPr>
        <w:jc w:val="both"/>
        <w:rPr>
          <w:rFonts w:ascii="Arial" w:hAnsi="Arial"/>
          <w:b/>
          <w:sz w:val="22"/>
          <w:szCs w:val="22"/>
        </w:rPr>
      </w:pPr>
      <w:r w:rsidRPr="00094900">
        <w:rPr>
          <w:rFonts w:ascii="Arial" w:hAnsi="Arial"/>
          <w:b/>
          <w:sz w:val="22"/>
          <w:szCs w:val="22"/>
        </w:rPr>
        <w:t xml:space="preserve">Purpose of </w:t>
      </w:r>
      <w:r w:rsidR="0004240E" w:rsidRPr="00094900">
        <w:rPr>
          <w:rFonts w:ascii="Arial" w:hAnsi="Arial"/>
          <w:b/>
          <w:sz w:val="22"/>
          <w:szCs w:val="22"/>
        </w:rPr>
        <w:t>Application</w:t>
      </w:r>
    </w:p>
    <w:p w:rsidR="006A12A5" w:rsidRPr="00094900" w:rsidRDefault="006A12A5" w:rsidP="00882085">
      <w:pPr>
        <w:jc w:val="both"/>
        <w:rPr>
          <w:rFonts w:ascii="Arial" w:hAnsi="Arial"/>
          <w:sz w:val="22"/>
          <w:szCs w:val="22"/>
        </w:rPr>
      </w:pPr>
    </w:p>
    <w:p w:rsidR="00953CDA" w:rsidRPr="00094900" w:rsidRDefault="00953CDA" w:rsidP="00953CDA">
      <w:pPr>
        <w:pStyle w:val="ListParagraph"/>
        <w:numPr>
          <w:ilvl w:val="1"/>
          <w:numId w:val="25"/>
        </w:numPr>
        <w:jc w:val="both"/>
        <w:rPr>
          <w:rFonts w:ascii="Arial" w:hAnsi="Arial" w:cs="Arial"/>
          <w:sz w:val="20"/>
          <w:szCs w:val="22"/>
        </w:rPr>
      </w:pPr>
      <w:r w:rsidRPr="00094900">
        <w:rPr>
          <w:rFonts w:ascii="Arial" w:hAnsi="Arial" w:cs="Arial"/>
          <w:sz w:val="22"/>
        </w:rPr>
        <w:t>To inform the Pharmaceutical Benefits Advisory Committee (PBAC) of responses from the sponsors of thiazolidinediones (glitazones), glucagon-like peptide-1 (GLP-1) and sodium-glucose co-transporter 2 (SGLT2) inhibitors</w:t>
      </w:r>
      <w:r w:rsidR="005F4AE8" w:rsidRPr="00094900">
        <w:rPr>
          <w:rFonts w:ascii="Arial" w:hAnsi="Arial" w:cs="Arial"/>
          <w:sz w:val="22"/>
        </w:rPr>
        <w:t xml:space="preserve"> (gliflozins)</w:t>
      </w:r>
      <w:r w:rsidRPr="00943E8C">
        <w:rPr>
          <w:rFonts w:ascii="Arial" w:hAnsi="Arial" w:cs="Arial"/>
          <w:b/>
          <w:sz w:val="22"/>
        </w:rPr>
        <w:t xml:space="preserve"> </w:t>
      </w:r>
      <w:r w:rsidRPr="00943E8C">
        <w:rPr>
          <w:rFonts w:ascii="Arial" w:hAnsi="Arial" w:cs="Arial"/>
          <w:sz w:val="22"/>
        </w:rPr>
        <w:t xml:space="preserve">regarding the </w:t>
      </w:r>
      <w:r w:rsidRPr="00094900">
        <w:rPr>
          <w:rFonts w:ascii="Arial" w:hAnsi="Arial" w:cs="Arial"/>
          <w:sz w:val="22"/>
        </w:rPr>
        <w:t>Department’s proposed changes to the restriction wordings (listings</w:t>
      </w:r>
      <w:r w:rsidR="00D7174A" w:rsidRPr="00094900">
        <w:rPr>
          <w:rFonts w:ascii="Arial" w:hAnsi="Arial" w:cs="Arial"/>
          <w:sz w:val="22"/>
        </w:rPr>
        <w:t>/circumstances</w:t>
      </w:r>
      <w:r w:rsidRPr="00094900">
        <w:rPr>
          <w:rFonts w:ascii="Arial" w:hAnsi="Arial" w:cs="Arial"/>
          <w:sz w:val="22"/>
        </w:rPr>
        <w:t xml:space="preserve">) of PBS-subsidised third line treatment options for type 2 diabetes mellitus to take into account the change in the PBS availability of the dipeptidyl peptidase 4 inhibitors (gliptins). </w:t>
      </w:r>
    </w:p>
    <w:p w:rsidR="00953CDA" w:rsidRPr="00094900" w:rsidRDefault="00953CDA" w:rsidP="00953CDA">
      <w:pPr>
        <w:pStyle w:val="ListParagraph"/>
        <w:jc w:val="both"/>
        <w:rPr>
          <w:rFonts w:ascii="Arial" w:hAnsi="Arial" w:cs="Arial"/>
          <w:sz w:val="20"/>
          <w:szCs w:val="22"/>
        </w:rPr>
      </w:pPr>
    </w:p>
    <w:p w:rsidR="00953CDA" w:rsidRPr="00094900" w:rsidRDefault="00953CDA" w:rsidP="00953CDA">
      <w:pPr>
        <w:pStyle w:val="ListParagraph"/>
        <w:numPr>
          <w:ilvl w:val="1"/>
          <w:numId w:val="25"/>
        </w:numPr>
        <w:jc w:val="both"/>
        <w:rPr>
          <w:rFonts w:ascii="Arial" w:hAnsi="Arial" w:cs="Arial"/>
          <w:sz w:val="20"/>
          <w:szCs w:val="22"/>
        </w:rPr>
      </w:pPr>
      <w:r w:rsidRPr="00094900">
        <w:rPr>
          <w:rFonts w:ascii="Arial" w:hAnsi="Arial" w:cs="Arial"/>
          <w:sz w:val="22"/>
        </w:rPr>
        <w:t xml:space="preserve">To request PBAC </w:t>
      </w:r>
      <w:r w:rsidR="00337871" w:rsidRPr="00094900">
        <w:rPr>
          <w:rFonts w:ascii="Arial" w:hAnsi="Arial" w:cs="Arial"/>
          <w:sz w:val="22"/>
        </w:rPr>
        <w:t>give advice</w:t>
      </w:r>
      <w:r w:rsidRPr="00094900">
        <w:rPr>
          <w:rFonts w:ascii="Arial" w:hAnsi="Arial" w:cs="Arial"/>
          <w:sz w:val="22"/>
        </w:rPr>
        <w:t xml:space="preserve"> on a series of options </w:t>
      </w:r>
      <w:r w:rsidR="00072E64">
        <w:rPr>
          <w:rFonts w:ascii="Arial" w:hAnsi="Arial" w:cs="Arial"/>
          <w:sz w:val="22"/>
        </w:rPr>
        <w:t>with</w:t>
      </w:r>
      <w:r w:rsidR="00072E64" w:rsidRPr="00094900">
        <w:rPr>
          <w:rFonts w:ascii="Arial" w:hAnsi="Arial" w:cs="Arial"/>
          <w:sz w:val="22"/>
        </w:rPr>
        <w:t xml:space="preserve"> </w:t>
      </w:r>
      <w:r w:rsidR="00072E64">
        <w:rPr>
          <w:rFonts w:ascii="Arial" w:hAnsi="Arial" w:cs="Arial"/>
          <w:sz w:val="22"/>
        </w:rPr>
        <w:t>respect to</w:t>
      </w:r>
      <w:r w:rsidRPr="00094900">
        <w:rPr>
          <w:rFonts w:ascii="Arial" w:hAnsi="Arial" w:cs="Arial"/>
          <w:sz w:val="22"/>
        </w:rPr>
        <w:t xml:space="preserve"> the Department’s proposed changes to these restrictions. </w:t>
      </w:r>
    </w:p>
    <w:p w:rsidR="006A12A5" w:rsidRPr="00094900" w:rsidRDefault="006A12A5" w:rsidP="00882085">
      <w:pPr>
        <w:jc w:val="both"/>
        <w:rPr>
          <w:rFonts w:ascii="Arial" w:hAnsi="Arial"/>
          <w:b/>
          <w:sz w:val="22"/>
          <w:szCs w:val="22"/>
        </w:rPr>
      </w:pPr>
    </w:p>
    <w:p w:rsidR="00CE10C4" w:rsidRPr="00094900" w:rsidRDefault="00CE10C4" w:rsidP="00882085">
      <w:pPr>
        <w:pStyle w:val="ListParagraph"/>
        <w:numPr>
          <w:ilvl w:val="0"/>
          <w:numId w:val="25"/>
        </w:numPr>
        <w:jc w:val="both"/>
        <w:rPr>
          <w:rFonts w:ascii="Arial" w:hAnsi="Arial"/>
          <w:sz w:val="22"/>
          <w:szCs w:val="22"/>
        </w:rPr>
      </w:pPr>
      <w:r w:rsidRPr="00094900">
        <w:rPr>
          <w:rFonts w:ascii="Arial" w:hAnsi="Arial"/>
          <w:b/>
          <w:sz w:val="22"/>
          <w:szCs w:val="22"/>
        </w:rPr>
        <w:t>Background</w:t>
      </w:r>
    </w:p>
    <w:p w:rsidR="006A12A5" w:rsidRPr="00094900" w:rsidRDefault="006A12A5" w:rsidP="00882085">
      <w:pPr>
        <w:jc w:val="both"/>
        <w:rPr>
          <w:rFonts w:ascii="Arial" w:hAnsi="Arial"/>
          <w:sz w:val="22"/>
          <w:szCs w:val="22"/>
        </w:rPr>
      </w:pPr>
    </w:p>
    <w:p w:rsidR="00234D56" w:rsidRPr="00094900" w:rsidRDefault="00234D56" w:rsidP="00D7174A">
      <w:pPr>
        <w:pStyle w:val="ListParagraph"/>
        <w:numPr>
          <w:ilvl w:val="1"/>
          <w:numId w:val="25"/>
        </w:numPr>
        <w:jc w:val="both"/>
        <w:rPr>
          <w:rFonts w:ascii="Arial" w:hAnsi="Arial" w:cs="Arial"/>
          <w:sz w:val="22"/>
          <w:szCs w:val="22"/>
        </w:rPr>
      </w:pPr>
      <w:r w:rsidRPr="00094900">
        <w:rPr>
          <w:rFonts w:ascii="Arial" w:hAnsi="Arial" w:cs="Arial"/>
          <w:sz w:val="22"/>
          <w:szCs w:val="22"/>
        </w:rPr>
        <w:t>The</w:t>
      </w:r>
      <w:r w:rsidR="00D7174A" w:rsidRPr="00094900">
        <w:rPr>
          <w:rFonts w:ascii="Arial" w:hAnsi="Arial" w:cs="Arial"/>
          <w:sz w:val="22"/>
          <w:szCs w:val="22"/>
        </w:rPr>
        <w:t xml:space="preserve"> glitazones, glucagon-like peptide-1, and </w:t>
      </w:r>
      <w:r w:rsidR="005F4AE8" w:rsidRPr="00094900">
        <w:rPr>
          <w:rFonts w:ascii="Arial" w:hAnsi="Arial" w:cs="Arial"/>
          <w:sz w:val="22"/>
          <w:szCs w:val="22"/>
        </w:rPr>
        <w:t>gliflozin</w:t>
      </w:r>
      <w:r w:rsidR="00D7174A" w:rsidRPr="00094900">
        <w:rPr>
          <w:rFonts w:ascii="Arial" w:hAnsi="Arial" w:cs="Arial"/>
          <w:sz w:val="22"/>
          <w:szCs w:val="22"/>
        </w:rPr>
        <w:t xml:space="preserve"> currently subsidised on the PBS have circumstances restricting their </w:t>
      </w:r>
      <w:r w:rsidR="00515075" w:rsidRPr="00094900">
        <w:rPr>
          <w:rFonts w:ascii="Arial" w:hAnsi="Arial" w:cs="Arial"/>
          <w:sz w:val="22"/>
          <w:szCs w:val="22"/>
        </w:rPr>
        <w:t xml:space="preserve">PBS </w:t>
      </w:r>
      <w:r w:rsidR="00D7174A" w:rsidRPr="00094900">
        <w:rPr>
          <w:rFonts w:ascii="Arial" w:hAnsi="Arial" w:cs="Arial"/>
          <w:sz w:val="22"/>
          <w:szCs w:val="22"/>
        </w:rPr>
        <w:t>subsidised use</w:t>
      </w:r>
      <w:r w:rsidR="00D7174A" w:rsidRPr="00094900">
        <w:t xml:space="preserve"> </w:t>
      </w:r>
      <w:r w:rsidR="00D7174A" w:rsidRPr="00094900">
        <w:rPr>
          <w:rFonts w:ascii="Arial" w:hAnsi="Arial" w:cs="Arial"/>
          <w:sz w:val="22"/>
          <w:szCs w:val="22"/>
        </w:rPr>
        <w:t>for type 2 diabetes mellitus to the third-line setting (</w:t>
      </w:r>
      <w:r w:rsidR="00B43F09" w:rsidRPr="00094900">
        <w:rPr>
          <w:rFonts w:ascii="Arial" w:hAnsi="Arial" w:cs="Arial"/>
          <w:sz w:val="22"/>
          <w:szCs w:val="22"/>
        </w:rPr>
        <w:t>i.e.</w:t>
      </w:r>
      <w:r w:rsidR="00D7174A" w:rsidRPr="00094900">
        <w:rPr>
          <w:rFonts w:ascii="Arial" w:hAnsi="Arial" w:cs="Arial"/>
          <w:sz w:val="22"/>
          <w:szCs w:val="22"/>
        </w:rPr>
        <w:t xml:space="preserve"> after first and second line treatment options for type 2 diabetes have been exhausted). The</w:t>
      </w:r>
      <w:r w:rsidRPr="00094900">
        <w:rPr>
          <w:rFonts w:ascii="Arial" w:hAnsi="Arial" w:cs="Arial"/>
          <w:sz w:val="22"/>
          <w:szCs w:val="22"/>
        </w:rPr>
        <w:t xml:space="preserve"> Department reviewed the current restrictions for </w:t>
      </w:r>
      <w:r w:rsidR="00D7174A" w:rsidRPr="00094900">
        <w:rPr>
          <w:rFonts w:ascii="Arial" w:hAnsi="Arial" w:cs="Arial"/>
          <w:sz w:val="22"/>
          <w:szCs w:val="22"/>
        </w:rPr>
        <w:t xml:space="preserve">these </w:t>
      </w:r>
      <w:r w:rsidRPr="00094900">
        <w:rPr>
          <w:rFonts w:ascii="Arial" w:hAnsi="Arial" w:cs="Arial"/>
          <w:sz w:val="22"/>
          <w:szCs w:val="22"/>
        </w:rPr>
        <w:t xml:space="preserve">PBS-subsidised third-line treatment options to take into account the change in the PBS availability of the gliptins. </w:t>
      </w:r>
    </w:p>
    <w:p w:rsidR="00234D56" w:rsidRPr="00094900" w:rsidRDefault="00234D56" w:rsidP="00234D56">
      <w:pPr>
        <w:pStyle w:val="ListParagraph"/>
        <w:jc w:val="both"/>
        <w:rPr>
          <w:rFonts w:ascii="Arial" w:hAnsi="Arial" w:cs="Arial"/>
          <w:sz w:val="22"/>
          <w:szCs w:val="22"/>
        </w:rPr>
      </w:pPr>
    </w:p>
    <w:p w:rsidR="00234D56" w:rsidRPr="00094900" w:rsidRDefault="00234D56" w:rsidP="00234D56">
      <w:pPr>
        <w:pStyle w:val="ListParagraph"/>
        <w:numPr>
          <w:ilvl w:val="1"/>
          <w:numId w:val="25"/>
        </w:numPr>
        <w:jc w:val="both"/>
        <w:rPr>
          <w:rFonts w:ascii="Arial" w:hAnsi="Arial" w:cs="Arial"/>
          <w:sz w:val="22"/>
          <w:szCs w:val="22"/>
        </w:rPr>
      </w:pPr>
      <w:r w:rsidRPr="00094900">
        <w:rPr>
          <w:rFonts w:ascii="Arial" w:hAnsi="Arial" w:cs="Arial"/>
          <w:sz w:val="22"/>
          <w:szCs w:val="22"/>
        </w:rPr>
        <w:t xml:space="preserve">The Department </w:t>
      </w:r>
      <w:r w:rsidR="00D7174A" w:rsidRPr="00094900">
        <w:rPr>
          <w:rFonts w:ascii="Arial" w:hAnsi="Arial" w:cs="Arial"/>
          <w:sz w:val="22"/>
          <w:szCs w:val="22"/>
        </w:rPr>
        <w:t>initially</w:t>
      </w:r>
      <w:r w:rsidR="00515075" w:rsidRPr="00094900">
        <w:rPr>
          <w:rFonts w:ascii="Arial" w:hAnsi="Arial" w:cs="Arial"/>
          <w:sz w:val="22"/>
          <w:szCs w:val="22"/>
        </w:rPr>
        <w:t xml:space="preserve"> </w:t>
      </w:r>
      <w:r w:rsidRPr="00094900">
        <w:rPr>
          <w:rFonts w:ascii="Arial" w:hAnsi="Arial" w:cs="Arial"/>
          <w:sz w:val="22"/>
          <w:szCs w:val="22"/>
        </w:rPr>
        <w:t>prepared draft revised restrictions such that</w:t>
      </w:r>
      <w:r w:rsidR="00515075" w:rsidRPr="00094900">
        <w:rPr>
          <w:rFonts w:ascii="Arial" w:hAnsi="Arial" w:cs="Arial"/>
          <w:sz w:val="22"/>
          <w:szCs w:val="22"/>
        </w:rPr>
        <w:t>,</w:t>
      </w:r>
      <w:r w:rsidRPr="00094900">
        <w:rPr>
          <w:rFonts w:ascii="Arial" w:hAnsi="Arial" w:cs="Arial"/>
          <w:sz w:val="22"/>
          <w:szCs w:val="22"/>
        </w:rPr>
        <w:t xml:space="preserve"> for third-line therapy:</w:t>
      </w:r>
    </w:p>
    <w:p w:rsidR="00234D56" w:rsidRPr="00094900" w:rsidRDefault="00234D56" w:rsidP="00234D56">
      <w:pPr>
        <w:rPr>
          <w:rFonts w:ascii="Arial" w:hAnsi="Arial" w:cs="Arial"/>
          <w:sz w:val="22"/>
          <w:szCs w:val="22"/>
          <w:u w:val="single"/>
        </w:rPr>
      </w:pPr>
      <w:r w:rsidRPr="00094900">
        <w:rPr>
          <w:rFonts w:ascii="Arial" w:hAnsi="Arial" w:cs="Arial"/>
          <w:sz w:val="22"/>
          <w:szCs w:val="22"/>
          <w:u w:val="single"/>
        </w:rPr>
        <w:t xml:space="preserve"> </w:t>
      </w:r>
    </w:p>
    <w:p w:rsidR="00234D56" w:rsidRPr="00094900" w:rsidRDefault="00234D56" w:rsidP="00234D56">
      <w:pPr>
        <w:numPr>
          <w:ilvl w:val="0"/>
          <w:numId w:val="40"/>
        </w:numPr>
        <w:rPr>
          <w:rFonts w:ascii="Arial" w:hAnsi="Arial" w:cs="Arial"/>
          <w:sz w:val="22"/>
          <w:szCs w:val="22"/>
          <w:u w:val="single"/>
        </w:rPr>
      </w:pPr>
      <w:r w:rsidRPr="00094900">
        <w:rPr>
          <w:rFonts w:ascii="Arial" w:hAnsi="Arial" w:cs="Arial"/>
          <w:sz w:val="22"/>
          <w:szCs w:val="22"/>
        </w:rPr>
        <w:t xml:space="preserve">Patients must try all three dual second-line combinations before being eligible for third-line treatment.  </w:t>
      </w:r>
    </w:p>
    <w:p w:rsidR="00234D56" w:rsidRPr="00094900" w:rsidRDefault="00234D56" w:rsidP="00234D56">
      <w:pPr>
        <w:numPr>
          <w:ilvl w:val="0"/>
          <w:numId w:val="39"/>
        </w:numPr>
        <w:rPr>
          <w:rFonts w:ascii="Arial" w:hAnsi="Arial" w:cs="Arial"/>
          <w:sz w:val="22"/>
          <w:szCs w:val="22"/>
          <w:u w:val="single"/>
        </w:rPr>
      </w:pPr>
      <w:r w:rsidRPr="00094900">
        <w:rPr>
          <w:rFonts w:ascii="Arial" w:hAnsi="Arial" w:cs="Arial"/>
          <w:sz w:val="22"/>
          <w:szCs w:val="22"/>
        </w:rPr>
        <w:t xml:space="preserve">Patients are able to switch from one third-line combination therapy to another without having to re-qualify, </w:t>
      </w:r>
      <w:r w:rsidR="00B43F09" w:rsidRPr="00094900">
        <w:rPr>
          <w:rFonts w:ascii="Arial" w:hAnsi="Arial" w:cs="Arial"/>
          <w:sz w:val="22"/>
          <w:szCs w:val="22"/>
        </w:rPr>
        <w:t>i.e.</w:t>
      </w:r>
      <w:r w:rsidRPr="00094900">
        <w:rPr>
          <w:rFonts w:ascii="Arial" w:hAnsi="Arial" w:cs="Arial"/>
          <w:sz w:val="22"/>
          <w:szCs w:val="22"/>
        </w:rPr>
        <w:t xml:space="preserve"> patients are able to move sideways.</w:t>
      </w:r>
    </w:p>
    <w:p w:rsidR="00234D56" w:rsidRPr="00094900" w:rsidRDefault="00234D56" w:rsidP="00234D56">
      <w:pPr>
        <w:ind w:left="1800"/>
        <w:rPr>
          <w:rFonts w:ascii="Arial" w:hAnsi="Arial" w:cs="Arial"/>
          <w:sz w:val="22"/>
          <w:szCs w:val="22"/>
          <w:u w:val="single"/>
        </w:rPr>
      </w:pPr>
    </w:p>
    <w:p w:rsidR="00D7174A" w:rsidRPr="00094900" w:rsidRDefault="00515075" w:rsidP="00515075">
      <w:pPr>
        <w:pStyle w:val="ListParagraph"/>
        <w:numPr>
          <w:ilvl w:val="1"/>
          <w:numId w:val="25"/>
        </w:numPr>
        <w:jc w:val="both"/>
        <w:rPr>
          <w:rFonts w:ascii="Arial" w:hAnsi="Arial"/>
          <w:b/>
          <w:sz w:val="22"/>
          <w:szCs w:val="22"/>
        </w:rPr>
      </w:pPr>
      <w:r w:rsidRPr="00094900">
        <w:rPr>
          <w:rFonts w:ascii="Arial" w:hAnsi="Arial"/>
          <w:sz w:val="22"/>
          <w:szCs w:val="22"/>
        </w:rPr>
        <w:t xml:space="preserve">Drafts of the relevant revised restrictions were provided to sponsors with PBS listings, or positive PBAC recommendations not yet implemented for glitazones, glucagon-like peptide-1, and </w:t>
      </w:r>
      <w:r w:rsidR="005F4AE8" w:rsidRPr="00094900">
        <w:rPr>
          <w:rFonts w:ascii="Arial" w:hAnsi="Arial"/>
          <w:sz w:val="22"/>
          <w:szCs w:val="22"/>
        </w:rPr>
        <w:t>gliflozins</w:t>
      </w:r>
      <w:r w:rsidRPr="00094900">
        <w:rPr>
          <w:rFonts w:ascii="Arial" w:hAnsi="Arial"/>
          <w:sz w:val="22"/>
          <w:szCs w:val="22"/>
        </w:rPr>
        <w:t xml:space="preserve"> for comment.  Sponsors who had an application for a PBS-subsidised third-line treatment for type 2 diabetes mellitus before the July 2014 PBAC were included in this consultation process.</w:t>
      </w:r>
      <w:r w:rsidRPr="00094900">
        <w:rPr>
          <w:rFonts w:ascii="Arial" w:hAnsi="Arial"/>
          <w:b/>
          <w:sz w:val="22"/>
          <w:szCs w:val="22"/>
        </w:rPr>
        <w:t xml:space="preserve">  </w:t>
      </w:r>
      <w:r w:rsidR="00234D56" w:rsidRPr="00094900">
        <w:rPr>
          <w:rFonts w:ascii="Arial" w:hAnsi="Arial" w:cs="Arial"/>
          <w:sz w:val="22"/>
          <w:szCs w:val="22"/>
        </w:rPr>
        <w:t>Seventeen sponsors were invited to comment</w:t>
      </w:r>
      <w:r w:rsidR="002E6761" w:rsidRPr="00094900">
        <w:rPr>
          <w:rFonts w:ascii="Arial" w:hAnsi="Arial" w:cs="Arial"/>
          <w:sz w:val="22"/>
          <w:szCs w:val="22"/>
        </w:rPr>
        <w:t xml:space="preserve">, and responses were received from seven sponsors and </w:t>
      </w:r>
      <w:r w:rsidRPr="00094900">
        <w:rPr>
          <w:rFonts w:ascii="Arial" w:hAnsi="Arial" w:cs="Arial"/>
          <w:sz w:val="22"/>
          <w:szCs w:val="22"/>
        </w:rPr>
        <w:t xml:space="preserve">two other </w:t>
      </w:r>
      <w:r w:rsidR="002E6761" w:rsidRPr="00094900">
        <w:rPr>
          <w:rFonts w:ascii="Arial" w:hAnsi="Arial" w:cs="Arial"/>
          <w:sz w:val="22"/>
          <w:szCs w:val="22"/>
        </w:rPr>
        <w:t>stakeholders.</w:t>
      </w:r>
    </w:p>
    <w:p w:rsidR="0033452C" w:rsidRPr="00094900" w:rsidRDefault="0033452C" w:rsidP="00380187">
      <w:pPr>
        <w:pStyle w:val="ListParagraph"/>
        <w:jc w:val="both"/>
        <w:rPr>
          <w:rFonts w:ascii="Arial" w:hAnsi="Arial"/>
          <w:sz w:val="22"/>
          <w:szCs w:val="22"/>
        </w:rPr>
      </w:pPr>
    </w:p>
    <w:p w:rsidR="0033452C" w:rsidRPr="00094900" w:rsidRDefault="0033452C" w:rsidP="0033452C">
      <w:pPr>
        <w:pStyle w:val="ListParagraph"/>
        <w:numPr>
          <w:ilvl w:val="1"/>
          <w:numId w:val="25"/>
        </w:numPr>
        <w:jc w:val="both"/>
        <w:rPr>
          <w:rFonts w:ascii="Arial" w:hAnsi="Arial"/>
          <w:sz w:val="22"/>
          <w:szCs w:val="22"/>
        </w:rPr>
      </w:pPr>
      <w:r w:rsidRPr="00094900">
        <w:rPr>
          <w:rFonts w:ascii="Arial" w:hAnsi="Arial"/>
          <w:sz w:val="22"/>
          <w:szCs w:val="22"/>
        </w:rPr>
        <w:t xml:space="preserve">Subsequent to the circulation of the draft restrictions to sponsors, the Department undertook further consultation internally and with members of PBAC.   As a result, the draft restrictions were further revised prior to PBAC consideration so that patients must fail treatment with only </w:t>
      </w:r>
      <w:r w:rsidR="00F6372E" w:rsidRPr="00094900">
        <w:rPr>
          <w:rFonts w:ascii="Arial" w:hAnsi="Arial"/>
          <w:sz w:val="22"/>
          <w:szCs w:val="22"/>
        </w:rPr>
        <w:t>two</w:t>
      </w:r>
      <w:r w:rsidRPr="00094900">
        <w:rPr>
          <w:rFonts w:ascii="Arial" w:hAnsi="Arial"/>
          <w:sz w:val="22"/>
          <w:szCs w:val="22"/>
        </w:rPr>
        <w:t xml:space="preserve"> of the </w:t>
      </w:r>
      <w:r w:rsidR="00F6372E" w:rsidRPr="00094900">
        <w:rPr>
          <w:rFonts w:ascii="Arial" w:hAnsi="Arial"/>
          <w:sz w:val="22"/>
          <w:szCs w:val="22"/>
        </w:rPr>
        <w:t xml:space="preserve">three </w:t>
      </w:r>
      <w:r w:rsidRPr="00094900">
        <w:rPr>
          <w:rFonts w:ascii="Arial" w:hAnsi="Arial"/>
          <w:sz w:val="22"/>
          <w:szCs w:val="22"/>
        </w:rPr>
        <w:t>second line combination therapies, as follows:</w:t>
      </w:r>
    </w:p>
    <w:p w:rsidR="0033452C" w:rsidRPr="00094900" w:rsidRDefault="0033452C" w:rsidP="00380187">
      <w:pPr>
        <w:pStyle w:val="ListParagraph"/>
        <w:jc w:val="both"/>
        <w:rPr>
          <w:rFonts w:ascii="Arial" w:hAnsi="Arial"/>
          <w:sz w:val="22"/>
          <w:szCs w:val="22"/>
        </w:rPr>
      </w:pPr>
    </w:p>
    <w:p w:rsidR="0033452C" w:rsidRPr="00094900" w:rsidRDefault="0033452C" w:rsidP="00380187">
      <w:pPr>
        <w:pStyle w:val="ListParagraph"/>
        <w:ind w:left="1080"/>
        <w:jc w:val="both"/>
        <w:rPr>
          <w:rFonts w:ascii="Arial" w:hAnsi="Arial"/>
          <w:sz w:val="22"/>
          <w:szCs w:val="22"/>
        </w:rPr>
      </w:pPr>
      <w:r w:rsidRPr="00094900">
        <w:rPr>
          <w:rFonts w:ascii="Arial" w:hAnsi="Arial"/>
          <w:sz w:val="22"/>
          <w:szCs w:val="22"/>
        </w:rPr>
        <w:t xml:space="preserve">Metformin and a sulfonylurea </w:t>
      </w:r>
    </w:p>
    <w:p w:rsidR="0033452C" w:rsidRPr="00094900" w:rsidRDefault="0033452C" w:rsidP="00380187">
      <w:pPr>
        <w:ind w:left="720" w:firstLine="360"/>
        <w:jc w:val="both"/>
        <w:rPr>
          <w:rFonts w:ascii="Arial" w:hAnsi="Arial"/>
          <w:sz w:val="22"/>
          <w:szCs w:val="22"/>
        </w:rPr>
      </w:pPr>
      <w:r w:rsidRPr="00094900">
        <w:rPr>
          <w:rFonts w:ascii="Arial" w:hAnsi="Arial"/>
          <w:sz w:val="22"/>
          <w:szCs w:val="22"/>
        </w:rPr>
        <w:t>AND</w:t>
      </w:r>
    </w:p>
    <w:p w:rsidR="00380187" w:rsidRPr="00094900" w:rsidRDefault="0033452C" w:rsidP="00380187">
      <w:pPr>
        <w:ind w:left="720" w:firstLine="360"/>
        <w:jc w:val="both"/>
        <w:rPr>
          <w:rFonts w:ascii="Arial" w:hAnsi="Arial"/>
          <w:sz w:val="22"/>
          <w:szCs w:val="22"/>
        </w:rPr>
      </w:pPr>
      <w:r w:rsidRPr="00094900">
        <w:rPr>
          <w:rFonts w:ascii="Arial" w:hAnsi="Arial"/>
          <w:sz w:val="22"/>
          <w:szCs w:val="22"/>
        </w:rPr>
        <w:lastRenderedPageBreak/>
        <w:t xml:space="preserve">Metformin and a gliptin </w:t>
      </w:r>
    </w:p>
    <w:p w:rsidR="00380187" w:rsidRPr="00094900" w:rsidRDefault="0033452C" w:rsidP="00380187">
      <w:pPr>
        <w:ind w:left="720" w:firstLine="360"/>
        <w:jc w:val="both"/>
        <w:rPr>
          <w:rFonts w:ascii="Arial" w:hAnsi="Arial"/>
          <w:sz w:val="22"/>
          <w:szCs w:val="22"/>
        </w:rPr>
      </w:pPr>
      <w:r w:rsidRPr="00094900">
        <w:rPr>
          <w:rFonts w:ascii="Arial" w:hAnsi="Arial"/>
          <w:sz w:val="22"/>
          <w:szCs w:val="22"/>
        </w:rPr>
        <w:t xml:space="preserve">OR </w:t>
      </w:r>
    </w:p>
    <w:p w:rsidR="0033452C" w:rsidRPr="00094900" w:rsidRDefault="00380187" w:rsidP="00380187">
      <w:pPr>
        <w:ind w:left="720" w:firstLine="360"/>
        <w:jc w:val="both"/>
        <w:rPr>
          <w:rFonts w:ascii="Arial" w:hAnsi="Arial"/>
          <w:sz w:val="22"/>
          <w:szCs w:val="22"/>
        </w:rPr>
      </w:pPr>
      <w:r w:rsidRPr="00094900">
        <w:rPr>
          <w:rFonts w:ascii="Arial" w:hAnsi="Arial"/>
          <w:sz w:val="22"/>
          <w:szCs w:val="22"/>
        </w:rPr>
        <w:t>A s</w:t>
      </w:r>
      <w:r w:rsidR="0033452C" w:rsidRPr="00094900">
        <w:rPr>
          <w:rFonts w:ascii="Arial" w:hAnsi="Arial"/>
          <w:sz w:val="22"/>
          <w:szCs w:val="22"/>
        </w:rPr>
        <w:t>ulfonylurea and a gliptin</w:t>
      </w:r>
    </w:p>
    <w:p w:rsidR="0033452C" w:rsidRPr="00094900" w:rsidRDefault="0033452C" w:rsidP="00380187">
      <w:pPr>
        <w:pStyle w:val="ListParagraph"/>
        <w:jc w:val="both"/>
        <w:rPr>
          <w:rFonts w:ascii="Arial" w:hAnsi="Arial"/>
          <w:sz w:val="22"/>
          <w:szCs w:val="22"/>
        </w:rPr>
      </w:pPr>
    </w:p>
    <w:p w:rsidR="00D7174A" w:rsidRPr="00094900" w:rsidRDefault="00487C2B" w:rsidP="00380187">
      <w:pPr>
        <w:ind w:left="709"/>
        <w:jc w:val="both"/>
        <w:rPr>
          <w:rFonts w:ascii="Arial" w:hAnsi="Arial"/>
          <w:b/>
          <w:sz w:val="22"/>
          <w:szCs w:val="22"/>
        </w:rPr>
      </w:pPr>
      <w:r w:rsidRPr="00094900">
        <w:rPr>
          <w:rFonts w:ascii="Arial" w:hAnsi="Arial"/>
          <w:sz w:val="22"/>
          <w:szCs w:val="22"/>
        </w:rPr>
        <w:t xml:space="preserve">This amendment was proposed based on advice that it </w:t>
      </w:r>
      <w:r w:rsidR="0033452C" w:rsidRPr="00094900">
        <w:rPr>
          <w:rFonts w:ascii="Arial" w:hAnsi="Arial"/>
          <w:sz w:val="22"/>
          <w:szCs w:val="22"/>
        </w:rPr>
        <w:t xml:space="preserve">is clinically inappropriate for a patient stabilised on maximally tolerated doses of metformin to have to cease that treatment and trial a sulfonylurea before being eligible for third-line treatment. </w:t>
      </w:r>
      <w:r w:rsidRPr="00094900">
        <w:rPr>
          <w:rFonts w:ascii="Arial" w:hAnsi="Arial"/>
          <w:sz w:val="22"/>
          <w:szCs w:val="22"/>
        </w:rPr>
        <w:t xml:space="preserve"> </w:t>
      </w:r>
      <w:r w:rsidR="0033452C" w:rsidRPr="00094900">
        <w:rPr>
          <w:rFonts w:ascii="Arial" w:hAnsi="Arial"/>
          <w:sz w:val="22"/>
          <w:szCs w:val="22"/>
        </w:rPr>
        <w:t>This revision was not provided to sponsors.</w:t>
      </w:r>
    </w:p>
    <w:p w:rsidR="002E6761" w:rsidRPr="00094900" w:rsidRDefault="002E6761" w:rsidP="002E6761">
      <w:pPr>
        <w:pStyle w:val="ListParagraph"/>
        <w:jc w:val="both"/>
        <w:rPr>
          <w:rFonts w:ascii="Arial" w:hAnsi="Arial"/>
          <w:b/>
          <w:sz w:val="22"/>
          <w:szCs w:val="22"/>
        </w:rPr>
      </w:pPr>
    </w:p>
    <w:p w:rsidR="009067B7" w:rsidRPr="00094900" w:rsidRDefault="00A62C1A" w:rsidP="00B43F09">
      <w:pPr>
        <w:pStyle w:val="ListParagraph"/>
        <w:numPr>
          <w:ilvl w:val="0"/>
          <w:numId w:val="26"/>
        </w:numPr>
        <w:ind w:left="709" w:hanging="709"/>
        <w:jc w:val="both"/>
        <w:rPr>
          <w:rFonts w:ascii="Arial" w:hAnsi="Arial"/>
          <w:b/>
          <w:sz w:val="22"/>
          <w:szCs w:val="22"/>
        </w:rPr>
      </w:pPr>
      <w:r w:rsidRPr="00094900">
        <w:rPr>
          <w:rFonts w:ascii="Arial" w:hAnsi="Arial"/>
          <w:b/>
          <w:sz w:val="22"/>
          <w:szCs w:val="22"/>
        </w:rPr>
        <w:t xml:space="preserve">PBAC </w:t>
      </w:r>
      <w:r w:rsidR="00930937" w:rsidRPr="00094900">
        <w:rPr>
          <w:rFonts w:ascii="Arial" w:hAnsi="Arial"/>
          <w:b/>
          <w:sz w:val="22"/>
          <w:szCs w:val="22"/>
        </w:rPr>
        <w:t>Outcome</w:t>
      </w:r>
      <w:r w:rsidR="00B43E90" w:rsidRPr="00094900">
        <w:rPr>
          <w:rFonts w:ascii="Arial" w:hAnsi="Arial"/>
          <w:b/>
          <w:sz w:val="22"/>
          <w:szCs w:val="22"/>
        </w:rPr>
        <w:t xml:space="preserve"> </w:t>
      </w:r>
    </w:p>
    <w:p w:rsidR="00943E8C" w:rsidRDefault="00943E8C" w:rsidP="005F4AE8">
      <w:pPr>
        <w:pStyle w:val="ListParagraph"/>
        <w:ind w:left="709"/>
        <w:jc w:val="both"/>
        <w:rPr>
          <w:rFonts w:ascii="Arial" w:hAnsi="Arial" w:cs="Arial"/>
          <w:sz w:val="22"/>
          <w:szCs w:val="22"/>
        </w:rPr>
      </w:pPr>
    </w:p>
    <w:p w:rsidR="00943E8C" w:rsidRDefault="00943E8C" w:rsidP="004932AE">
      <w:pPr>
        <w:pStyle w:val="ListParagraph"/>
        <w:numPr>
          <w:ilvl w:val="1"/>
          <w:numId w:val="26"/>
        </w:numPr>
        <w:ind w:left="709" w:hanging="709"/>
        <w:jc w:val="both"/>
        <w:rPr>
          <w:rFonts w:ascii="Arial" w:hAnsi="Arial" w:cs="Arial"/>
          <w:sz w:val="22"/>
          <w:szCs w:val="22"/>
        </w:rPr>
      </w:pPr>
      <w:r w:rsidRPr="00943E8C">
        <w:rPr>
          <w:rFonts w:ascii="Arial" w:hAnsi="Arial" w:cs="Arial"/>
          <w:sz w:val="22"/>
          <w:szCs w:val="22"/>
        </w:rPr>
        <w:t xml:space="preserve">The PBAC considered the comments received from all seven sponsors and other stakeholders and noted that, overall, the main concern expressed by sponsors is the inconsistency of the proposed restrictions with both local (eg. Diabetes Australia/NHMRC) and international (eg. US and Europe) treatment guidelines. </w:t>
      </w:r>
    </w:p>
    <w:p w:rsidR="00943E8C" w:rsidRDefault="00943E8C" w:rsidP="009773F5">
      <w:pPr>
        <w:pStyle w:val="ListParagraph"/>
        <w:ind w:left="709"/>
        <w:jc w:val="both"/>
        <w:rPr>
          <w:rFonts w:ascii="Arial" w:hAnsi="Arial" w:cs="Arial"/>
          <w:sz w:val="22"/>
          <w:szCs w:val="22"/>
        </w:rPr>
      </w:pPr>
    </w:p>
    <w:p w:rsidR="004932AE" w:rsidRPr="00094900" w:rsidRDefault="00DC4E9F" w:rsidP="004932AE">
      <w:pPr>
        <w:pStyle w:val="ListParagraph"/>
        <w:numPr>
          <w:ilvl w:val="1"/>
          <w:numId w:val="26"/>
        </w:numPr>
        <w:ind w:left="709" w:hanging="709"/>
        <w:jc w:val="both"/>
        <w:rPr>
          <w:rFonts w:ascii="Arial" w:hAnsi="Arial" w:cs="Arial"/>
          <w:sz w:val="22"/>
          <w:szCs w:val="22"/>
        </w:rPr>
      </w:pPr>
      <w:r w:rsidRPr="00094900">
        <w:rPr>
          <w:rFonts w:ascii="Arial" w:hAnsi="Arial" w:cs="Arial"/>
          <w:sz w:val="22"/>
          <w:szCs w:val="22"/>
        </w:rPr>
        <w:t>The PBAC</w:t>
      </w:r>
      <w:r w:rsidR="00D7174A" w:rsidRPr="00094900">
        <w:rPr>
          <w:rFonts w:ascii="Arial" w:hAnsi="Arial" w:cs="Arial"/>
          <w:sz w:val="22"/>
          <w:szCs w:val="22"/>
        </w:rPr>
        <w:t xml:space="preserve"> also</w:t>
      </w:r>
      <w:r w:rsidRPr="00094900">
        <w:rPr>
          <w:rFonts w:ascii="Arial" w:hAnsi="Arial" w:cs="Arial"/>
          <w:sz w:val="22"/>
          <w:szCs w:val="22"/>
        </w:rPr>
        <w:t xml:space="preserve"> acknowledged the comment made by</w:t>
      </w:r>
      <w:r w:rsidR="00540CD2" w:rsidRPr="00094900">
        <w:rPr>
          <w:rFonts w:ascii="Arial" w:hAnsi="Arial" w:cs="Arial"/>
          <w:sz w:val="22"/>
          <w:szCs w:val="22"/>
        </w:rPr>
        <w:t xml:space="preserve"> some sponsors</w:t>
      </w:r>
      <w:r w:rsidR="00943E8C">
        <w:rPr>
          <w:rFonts w:ascii="Arial" w:hAnsi="Arial" w:cs="Arial"/>
          <w:sz w:val="22"/>
          <w:szCs w:val="22"/>
        </w:rPr>
        <w:t xml:space="preserve"> </w:t>
      </w:r>
      <w:r w:rsidRPr="00094900">
        <w:rPr>
          <w:rFonts w:ascii="Arial" w:hAnsi="Arial" w:cs="Arial"/>
          <w:sz w:val="22"/>
          <w:szCs w:val="22"/>
        </w:rPr>
        <w:t>that the proposed restriction</w:t>
      </w:r>
      <w:r w:rsidR="00943E8C">
        <w:rPr>
          <w:rFonts w:ascii="Arial" w:hAnsi="Arial" w:cs="Arial"/>
          <w:sz w:val="22"/>
          <w:szCs w:val="22"/>
        </w:rPr>
        <w:t>s</w:t>
      </w:r>
      <w:r w:rsidR="00540CD2" w:rsidRPr="00094900">
        <w:rPr>
          <w:rFonts w:ascii="Arial" w:hAnsi="Arial" w:cs="Arial"/>
          <w:sz w:val="22"/>
          <w:szCs w:val="22"/>
        </w:rPr>
        <w:t>, in the version circulated to sponsors,</w:t>
      </w:r>
      <w:r w:rsidRPr="00094900">
        <w:rPr>
          <w:rFonts w:ascii="Arial" w:hAnsi="Arial" w:cs="Arial"/>
          <w:sz w:val="22"/>
          <w:szCs w:val="22"/>
        </w:rPr>
        <w:t xml:space="preserve"> </w:t>
      </w:r>
      <w:r w:rsidR="00943E8C">
        <w:rPr>
          <w:rFonts w:ascii="Arial" w:hAnsi="Arial" w:cs="Arial"/>
          <w:sz w:val="22"/>
          <w:szCs w:val="22"/>
        </w:rPr>
        <w:t>are</w:t>
      </w:r>
      <w:r w:rsidR="00943E8C" w:rsidRPr="00094900">
        <w:rPr>
          <w:rFonts w:ascii="Arial" w:hAnsi="Arial" w:cs="Arial"/>
          <w:sz w:val="22"/>
          <w:szCs w:val="22"/>
        </w:rPr>
        <w:t xml:space="preserve"> </w:t>
      </w:r>
      <w:r w:rsidRPr="00094900">
        <w:rPr>
          <w:rFonts w:ascii="Arial" w:hAnsi="Arial" w:cs="Arial"/>
          <w:sz w:val="22"/>
          <w:szCs w:val="22"/>
        </w:rPr>
        <w:t>inconsistent with the current PBS treatment algorithm</w:t>
      </w:r>
      <w:r w:rsidR="004B0F44" w:rsidRPr="00094900">
        <w:rPr>
          <w:rFonts w:ascii="Arial" w:hAnsi="Arial" w:cs="Arial"/>
          <w:sz w:val="22"/>
          <w:szCs w:val="22"/>
        </w:rPr>
        <w:t xml:space="preserve"> a</w:t>
      </w:r>
      <w:r w:rsidRPr="00094900">
        <w:rPr>
          <w:rFonts w:ascii="Arial" w:hAnsi="Arial" w:cs="Arial"/>
          <w:sz w:val="22"/>
          <w:szCs w:val="22"/>
        </w:rPr>
        <w:t xml:space="preserve">s it requires patients to have tried a DPP-4 inhibitor in combination with metformin, and </w:t>
      </w:r>
      <w:r w:rsidR="005C6DEE" w:rsidRPr="00094900">
        <w:rPr>
          <w:rFonts w:ascii="Arial" w:hAnsi="Arial" w:cs="Arial"/>
          <w:sz w:val="22"/>
          <w:szCs w:val="22"/>
        </w:rPr>
        <w:t>separately with a sulfonylurea</w:t>
      </w:r>
      <w:r w:rsidR="00540CD2" w:rsidRPr="00094900">
        <w:rPr>
          <w:rFonts w:ascii="Arial" w:hAnsi="Arial" w:cs="Arial"/>
          <w:sz w:val="22"/>
          <w:szCs w:val="22"/>
        </w:rPr>
        <w:t>, whereas the current second line restrictions only require a patient to have tried either metformin or a sulfonylurea.</w:t>
      </w:r>
      <w:r w:rsidR="00B01853" w:rsidRPr="00094900">
        <w:rPr>
          <w:rFonts w:ascii="Arial" w:hAnsi="Arial" w:cs="Arial"/>
          <w:sz w:val="22"/>
          <w:szCs w:val="22"/>
        </w:rPr>
        <w:t xml:space="preserve"> </w:t>
      </w:r>
      <w:r w:rsidR="0033136B" w:rsidRPr="00094900">
        <w:rPr>
          <w:rFonts w:ascii="Arial" w:hAnsi="Arial" w:cs="Arial"/>
          <w:sz w:val="22"/>
          <w:szCs w:val="22"/>
        </w:rPr>
        <w:t xml:space="preserve"> </w:t>
      </w:r>
    </w:p>
    <w:p w:rsidR="00431D99" w:rsidRPr="009773F5" w:rsidRDefault="00431D99" w:rsidP="00431D99">
      <w:pPr>
        <w:pStyle w:val="ListParagraph"/>
        <w:rPr>
          <w:rFonts w:ascii="Arial" w:hAnsi="Arial" w:cs="Arial"/>
          <w:sz w:val="22"/>
          <w:szCs w:val="22"/>
        </w:rPr>
      </w:pPr>
    </w:p>
    <w:p w:rsidR="00431D99" w:rsidRPr="00094900" w:rsidRDefault="00431D99" w:rsidP="004932AE">
      <w:pPr>
        <w:pStyle w:val="ListParagraph"/>
        <w:numPr>
          <w:ilvl w:val="1"/>
          <w:numId w:val="26"/>
        </w:numPr>
        <w:ind w:left="709" w:hanging="709"/>
        <w:jc w:val="both"/>
        <w:rPr>
          <w:rFonts w:ascii="Arial" w:hAnsi="Arial" w:cs="Arial"/>
          <w:sz w:val="22"/>
          <w:szCs w:val="22"/>
        </w:rPr>
      </w:pPr>
      <w:r w:rsidRPr="00094900">
        <w:rPr>
          <w:rFonts w:ascii="Arial" w:hAnsi="Arial" w:cs="Arial"/>
          <w:sz w:val="22"/>
          <w:szCs w:val="22"/>
        </w:rPr>
        <w:t xml:space="preserve">The PBAC </w:t>
      </w:r>
      <w:r w:rsidR="00540CD2" w:rsidRPr="00943E8C">
        <w:rPr>
          <w:rFonts w:ascii="Arial" w:hAnsi="Arial" w:cs="Arial"/>
          <w:sz w:val="22"/>
          <w:szCs w:val="22"/>
        </w:rPr>
        <w:t xml:space="preserve">also </w:t>
      </w:r>
      <w:r w:rsidR="00113311" w:rsidRPr="00943E8C">
        <w:rPr>
          <w:rFonts w:ascii="Arial" w:hAnsi="Arial" w:cs="Arial"/>
          <w:sz w:val="22"/>
          <w:szCs w:val="22"/>
        </w:rPr>
        <w:t>n</w:t>
      </w:r>
      <w:r w:rsidRPr="00943E8C">
        <w:rPr>
          <w:rFonts w:ascii="Arial" w:hAnsi="Arial" w:cs="Arial"/>
          <w:sz w:val="22"/>
          <w:szCs w:val="22"/>
        </w:rPr>
        <w:t xml:space="preserve">oted </w:t>
      </w:r>
      <w:r w:rsidR="005F4AE8" w:rsidRPr="00094900">
        <w:rPr>
          <w:rFonts w:ascii="Arial" w:hAnsi="Arial" w:cs="Arial"/>
          <w:sz w:val="22"/>
          <w:szCs w:val="22"/>
        </w:rPr>
        <w:t>several sponsors</w:t>
      </w:r>
      <w:r w:rsidR="00F72486" w:rsidRPr="00094900">
        <w:rPr>
          <w:rFonts w:ascii="Arial" w:hAnsi="Arial" w:cs="Arial"/>
          <w:sz w:val="22"/>
          <w:szCs w:val="22"/>
        </w:rPr>
        <w:t xml:space="preserve"> </w:t>
      </w:r>
      <w:r w:rsidRPr="00094900">
        <w:rPr>
          <w:rFonts w:ascii="Arial" w:hAnsi="Arial" w:cs="Arial"/>
          <w:sz w:val="22"/>
          <w:szCs w:val="22"/>
        </w:rPr>
        <w:t>concern</w:t>
      </w:r>
      <w:r w:rsidR="00540CD2" w:rsidRPr="00094900">
        <w:rPr>
          <w:rFonts w:ascii="Arial" w:hAnsi="Arial" w:cs="Arial"/>
          <w:sz w:val="22"/>
          <w:szCs w:val="22"/>
        </w:rPr>
        <w:t>s</w:t>
      </w:r>
      <w:r w:rsidR="00943E8C">
        <w:rPr>
          <w:rFonts w:ascii="Arial" w:hAnsi="Arial" w:cs="Arial"/>
          <w:sz w:val="22"/>
          <w:szCs w:val="22"/>
        </w:rPr>
        <w:t xml:space="preserve"> </w:t>
      </w:r>
      <w:r w:rsidRPr="00094900">
        <w:rPr>
          <w:rFonts w:ascii="Arial" w:hAnsi="Arial" w:cs="Arial"/>
          <w:sz w:val="22"/>
          <w:szCs w:val="22"/>
        </w:rPr>
        <w:t>that the proposed restriction</w:t>
      </w:r>
      <w:r w:rsidR="00642A06">
        <w:rPr>
          <w:rFonts w:ascii="Arial" w:hAnsi="Arial" w:cs="Arial"/>
          <w:sz w:val="22"/>
          <w:szCs w:val="22"/>
        </w:rPr>
        <w:t>s</w:t>
      </w:r>
      <w:r w:rsidRPr="00094900">
        <w:rPr>
          <w:rFonts w:ascii="Arial" w:hAnsi="Arial" w:cs="Arial"/>
          <w:sz w:val="22"/>
          <w:szCs w:val="22"/>
        </w:rPr>
        <w:t xml:space="preserve"> </w:t>
      </w:r>
      <w:r w:rsidR="00540CD2" w:rsidRPr="00094900">
        <w:rPr>
          <w:rFonts w:ascii="Arial" w:hAnsi="Arial" w:cs="Arial"/>
          <w:sz w:val="22"/>
          <w:szCs w:val="22"/>
        </w:rPr>
        <w:t>are unsupported by clinical evidence</w:t>
      </w:r>
      <w:r w:rsidRPr="00094900">
        <w:rPr>
          <w:rFonts w:ascii="Arial" w:hAnsi="Arial" w:cs="Arial"/>
          <w:sz w:val="22"/>
          <w:szCs w:val="22"/>
        </w:rPr>
        <w:t xml:space="preserve"> and ha</w:t>
      </w:r>
      <w:r w:rsidR="00540CD2" w:rsidRPr="00094900">
        <w:rPr>
          <w:rFonts w:ascii="Arial" w:hAnsi="Arial" w:cs="Arial"/>
          <w:sz w:val="22"/>
          <w:szCs w:val="22"/>
        </w:rPr>
        <w:t>ve</w:t>
      </w:r>
      <w:r w:rsidRPr="00094900">
        <w:rPr>
          <w:rFonts w:ascii="Arial" w:hAnsi="Arial" w:cs="Arial"/>
          <w:sz w:val="22"/>
          <w:szCs w:val="22"/>
        </w:rPr>
        <w:t xml:space="preserve"> the potential</w:t>
      </w:r>
      <w:r w:rsidR="00540CD2" w:rsidRPr="00094900">
        <w:rPr>
          <w:rFonts w:ascii="Arial" w:hAnsi="Arial" w:cs="Arial"/>
          <w:sz w:val="22"/>
          <w:szCs w:val="22"/>
        </w:rPr>
        <w:t xml:space="preserve"> to lead to</w:t>
      </w:r>
      <w:r w:rsidRPr="00094900">
        <w:rPr>
          <w:rFonts w:ascii="Arial" w:hAnsi="Arial" w:cs="Arial"/>
          <w:sz w:val="22"/>
          <w:szCs w:val="22"/>
        </w:rPr>
        <w:t xml:space="preserve"> additional HbA1c tests and </w:t>
      </w:r>
      <w:r w:rsidR="00F72486" w:rsidRPr="00094900">
        <w:rPr>
          <w:rFonts w:ascii="Arial" w:hAnsi="Arial" w:cs="Arial"/>
          <w:sz w:val="22"/>
          <w:szCs w:val="22"/>
        </w:rPr>
        <w:t>general practitioner (</w:t>
      </w:r>
      <w:r w:rsidRPr="00094900">
        <w:rPr>
          <w:rFonts w:ascii="Arial" w:hAnsi="Arial" w:cs="Arial"/>
          <w:sz w:val="22"/>
          <w:szCs w:val="22"/>
        </w:rPr>
        <w:t>GP</w:t>
      </w:r>
      <w:r w:rsidR="00F72486" w:rsidRPr="00094900">
        <w:rPr>
          <w:rFonts w:ascii="Arial" w:hAnsi="Arial" w:cs="Arial"/>
          <w:sz w:val="22"/>
          <w:szCs w:val="22"/>
        </w:rPr>
        <w:t xml:space="preserve">) </w:t>
      </w:r>
      <w:r w:rsidRPr="00094900">
        <w:rPr>
          <w:rFonts w:ascii="Arial" w:hAnsi="Arial" w:cs="Arial"/>
          <w:sz w:val="22"/>
          <w:szCs w:val="22"/>
        </w:rPr>
        <w:t xml:space="preserve">visits which will result in additional costs to </w:t>
      </w:r>
      <w:r w:rsidR="00540CD2" w:rsidRPr="00094900">
        <w:rPr>
          <w:rFonts w:ascii="Arial" w:hAnsi="Arial" w:cs="Arial"/>
          <w:sz w:val="22"/>
          <w:szCs w:val="22"/>
        </w:rPr>
        <w:t xml:space="preserve">patients and the </w:t>
      </w:r>
      <w:r w:rsidRPr="00094900">
        <w:rPr>
          <w:rFonts w:ascii="Arial" w:hAnsi="Arial" w:cs="Arial"/>
          <w:sz w:val="22"/>
          <w:szCs w:val="22"/>
        </w:rPr>
        <w:t>MBS.</w:t>
      </w:r>
    </w:p>
    <w:p w:rsidR="008C56E6" w:rsidRPr="009773F5" w:rsidRDefault="008C56E6" w:rsidP="008C56E6">
      <w:pPr>
        <w:pStyle w:val="ListParagraph"/>
        <w:rPr>
          <w:rFonts w:ascii="Arial" w:hAnsi="Arial" w:cs="Arial"/>
          <w:sz w:val="22"/>
          <w:szCs w:val="22"/>
        </w:rPr>
      </w:pPr>
    </w:p>
    <w:p w:rsidR="005F2D35" w:rsidRPr="00094900" w:rsidRDefault="00072E64" w:rsidP="003E0D9F">
      <w:pPr>
        <w:pStyle w:val="ListParagraph"/>
        <w:numPr>
          <w:ilvl w:val="1"/>
          <w:numId w:val="26"/>
        </w:numPr>
        <w:ind w:left="709" w:hanging="709"/>
        <w:jc w:val="both"/>
        <w:rPr>
          <w:rFonts w:ascii="Arial" w:hAnsi="Arial" w:cs="Arial"/>
          <w:sz w:val="22"/>
          <w:szCs w:val="22"/>
        </w:rPr>
      </w:pPr>
      <w:r>
        <w:rPr>
          <w:rFonts w:ascii="Arial" w:hAnsi="Arial" w:cs="Arial"/>
          <w:sz w:val="22"/>
          <w:szCs w:val="22"/>
        </w:rPr>
        <w:t>T</w:t>
      </w:r>
      <w:r w:rsidR="005F2D35" w:rsidRPr="00943E8C">
        <w:rPr>
          <w:rFonts w:ascii="Arial" w:hAnsi="Arial" w:cs="Arial"/>
          <w:sz w:val="22"/>
          <w:szCs w:val="22"/>
        </w:rPr>
        <w:t xml:space="preserve">he proposed restrictions have been </w:t>
      </w:r>
      <w:r w:rsidR="00F73259" w:rsidRPr="00943E8C">
        <w:rPr>
          <w:rFonts w:ascii="Arial" w:hAnsi="Arial" w:cs="Arial"/>
          <w:sz w:val="22"/>
          <w:szCs w:val="22"/>
        </w:rPr>
        <w:t xml:space="preserve">developed </w:t>
      </w:r>
      <w:r>
        <w:rPr>
          <w:rFonts w:ascii="Arial" w:hAnsi="Arial" w:cs="Arial"/>
          <w:sz w:val="22"/>
          <w:szCs w:val="22"/>
        </w:rPr>
        <w:t xml:space="preserve">to take account </w:t>
      </w:r>
      <w:r w:rsidR="0016422B">
        <w:rPr>
          <w:rFonts w:ascii="Arial" w:hAnsi="Arial" w:cs="Arial"/>
          <w:sz w:val="22"/>
          <w:szCs w:val="22"/>
        </w:rPr>
        <w:t xml:space="preserve">of </w:t>
      </w:r>
      <w:r w:rsidR="005C20CC">
        <w:rPr>
          <w:rFonts w:ascii="Arial" w:hAnsi="Arial" w:cs="Arial"/>
          <w:sz w:val="22"/>
          <w:szCs w:val="22"/>
        </w:rPr>
        <w:t xml:space="preserve">the cost </w:t>
      </w:r>
      <w:r>
        <w:rPr>
          <w:rFonts w:ascii="Arial" w:hAnsi="Arial" w:cs="Arial"/>
          <w:sz w:val="22"/>
          <w:szCs w:val="22"/>
        </w:rPr>
        <w:t>differences in treatment in</w:t>
      </w:r>
      <w:r w:rsidR="00B43F09">
        <w:rPr>
          <w:rFonts w:ascii="Arial" w:hAnsi="Arial" w:cs="Arial"/>
          <w:sz w:val="22"/>
          <w:szCs w:val="22"/>
        </w:rPr>
        <w:t xml:space="preserve"> the</w:t>
      </w:r>
      <w:r>
        <w:rPr>
          <w:rFonts w:ascii="Arial" w:hAnsi="Arial" w:cs="Arial"/>
          <w:sz w:val="22"/>
          <w:szCs w:val="22"/>
        </w:rPr>
        <w:t xml:space="preserve"> absence of evidence showing difference in effectiveness</w:t>
      </w:r>
      <w:r w:rsidR="0016422B">
        <w:rPr>
          <w:rFonts w:ascii="Arial" w:hAnsi="Arial" w:cs="Arial"/>
          <w:sz w:val="22"/>
          <w:szCs w:val="22"/>
        </w:rPr>
        <w:t xml:space="preserve">. </w:t>
      </w:r>
      <w:r w:rsidR="00B43F09">
        <w:rPr>
          <w:rFonts w:ascii="Arial" w:hAnsi="Arial" w:cs="Arial"/>
          <w:sz w:val="22"/>
          <w:szCs w:val="22"/>
        </w:rPr>
        <w:t xml:space="preserve"> They </w:t>
      </w:r>
      <w:r w:rsidR="00F73259" w:rsidRPr="00094900">
        <w:rPr>
          <w:rFonts w:ascii="Arial" w:hAnsi="Arial" w:cs="Arial"/>
          <w:sz w:val="22"/>
          <w:szCs w:val="22"/>
        </w:rPr>
        <w:t>require</w:t>
      </w:r>
      <w:r w:rsidR="005F2D35" w:rsidRPr="00094900">
        <w:rPr>
          <w:rFonts w:ascii="Arial" w:hAnsi="Arial" w:cs="Arial"/>
          <w:sz w:val="22"/>
          <w:szCs w:val="22"/>
        </w:rPr>
        <w:t xml:space="preserve"> that patients exhaust all the less expensive second-line options before moving to more expensive treatment</w:t>
      </w:r>
      <w:r w:rsidR="00F73259" w:rsidRPr="00094900">
        <w:rPr>
          <w:rFonts w:ascii="Arial" w:hAnsi="Arial" w:cs="Arial"/>
          <w:sz w:val="22"/>
          <w:szCs w:val="22"/>
        </w:rPr>
        <w:t>s. The PBAC agreed that this approach</w:t>
      </w:r>
      <w:r w:rsidR="005F2D35" w:rsidRPr="00094900">
        <w:rPr>
          <w:rFonts w:ascii="Arial" w:hAnsi="Arial" w:cs="Arial"/>
          <w:sz w:val="22"/>
          <w:szCs w:val="22"/>
        </w:rPr>
        <w:t xml:space="preserve"> represent</w:t>
      </w:r>
      <w:r w:rsidR="00F73259" w:rsidRPr="00094900">
        <w:rPr>
          <w:rFonts w:ascii="Arial" w:hAnsi="Arial" w:cs="Arial"/>
          <w:sz w:val="22"/>
          <w:szCs w:val="22"/>
        </w:rPr>
        <w:t>s</w:t>
      </w:r>
      <w:r w:rsidR="005F2D35" w:rsidRPr="00094900">
        <w:rPr>
          <w:rFonts w:ascii="Arial" w:hAnsi="Arial" w:cs="Arial"/>
          <w:sz w:val="22"/>
          <w:szCs w:val="22"/>
        </w:rPr>
        <w:t xml:space="preserve"> </w:t>
      </w:r>
      <w:r w:rsidR="00F73259" w:rsidRPr="00094900">
        <w:rPr>
          <w:rFonts w:ascii="Arial" w:hAnsi="Arial" w:cs="Arial"/>
          <w:sz w:val="22"/>
          <w:szCs w:val="22"/>
        </w:rPr>
        <w:t xml:space="preserve">the most </w:t>
      </w:r>
      <w:r w:rsidR="005F2D35" w:rsidRPr="00094900">
        <w:rPr>
          <w:rFonts w:ascii="Arial" w:hAnsi="Arial" w:cs="Arial"/>
          <w:sz w:val="22"/>
          <w:szCs w:val="22"/>
        </w:rPr>
        <w:t xml:space="preserve">cost effective </w:t>
      </w:r>
      <w:r w:rsidR="00F73259" w:rsidRPr="00094900">
        <w:rPr>
          <w:rFonts w:ascii="Arial" w:hAnsi="Arial" w:cs="Arial"/>
          <w:sz w:val="22"/>
          <w:szCs w:val="22"/>
        </w:rPr>
        <w:t xml:space="preserve">use of these PBS subsidised </w:t>
      </w:r>
      <w:r w:rsidR="005F2D35" w:rsidRPr="00094900">
        <w:rPr>
          <w:rFonts w:ascii="Arial" w:hAnsi="Arial" w:cs="Arial"/>
          <w:sz w:val="22"/>
          <w:szCs w:val="22"/>
        </w:rPr>
        <w:t>medicines</w:t>
      </w:r>
      <w:r w:rsidR="00A02EA7" w:rsidRPr="00094900">
        <w:rPr>
          <w:rFonts w:ascii="Arial" w:hAnsi="Arial" w:cs="Arial"/>
          <w:sz w:val="22"/>
          <w:szCs w:val="22"/>
        </w:rPr>
        <w:t xml:space="preserve">.  </w:t>
      </w:r>
      <w:r w:rsidR="005F2D35" w:rsidRPr="00094900">
        <w:rPr>
          <w:rFonts w:ascii="Arial" w:hAnsi="Arial" w:cs="Arial"/>
          <w:sz w:val="22"/>
          <w:szCs w:val="22"/>
        </w:rPr>
        <w:t xml:space="preserve">   </w:t>
      </w:r>
    </w:p>
    <w:p w:rsidR="005F2D35" w:rsidRPr="009773F5" w:rsidRDefault="005F2D35" w:rsidP="005F2D35">
      <w:pPr>
        <w:pStyle w:val="ListParagraph"/>
        <w:rPr>
          <w:rFonts w:ascii="Arial" w:hAnsi="Arial" w:cs="Arial"/>
          <w:sz w:val="22"/>
          <w:szCs w:val="22"/>
        </w:rPr>
      </w:pPr>
    </w:p>
    <w:p w:rsidR="00A02EA7" w:rsidRPr="00094900" w:rsidRDefault="00D50F4D" w:rsidP="00D87422">
      <w:pPr>
        <w:pStyle w:val="ListParagraph"/>
        <w:numPr>
          <w:ilvl w:val="1"/>
          <w:numId w:val="26"/>
        </w:numPr>
        <w:ind w:left="709" w:hanging="709"/>
        <w:rPr>
          <w:rFonts w:ascii="Arial" w:hAnsi="Arial"/>
          <w:sz w:val="22"/>
          <w:szCs w:val="22"/>
        </w:rPr>
      </w:pPr>
      <w:r w:rsidRPr="00094900">
        <w:rPr>
          <w:rFonts w:ascii="Arial" w:hAnsi="Arial"/>
          <w:sz w:val="22"/>
          <w:szCs w:val="22"/>
        </w:rPr>
        <w:t xml:space="preserve">The PBAC </w:t>
      </w:r>
      <w:r w:rsidR="00A02EA7" w:rsidRPr="00094900">
        <w:rPr>
          <w:rFonts w:ascii="Arial" w:hAnsi="Arial"/>
          <w:sz w:val="22"/>
          <w:szCs w:val="22"/>
        </w:rPr>
        <w:t xml:space="preserve">further </w:t>
      </w:r>
      <w:r w:rsidR="00072E64">
        <w:rPr>
          <w:rFonts w:ascii="Arial" w:hAnsi="Arial"/>
          <w:sz w:val="22"/>
          <w:szCs w:val="22"/>
        </w:rPr>
        <w:t xml:space="preserve">acknowledged that </w:t>
      </w:r>
      <w:r w:rsidRPr="00094900">
        <w:rPr>
          <w:rFonts w:ascii="Arial" w:hAnsi="Arial"/>
          <w:sz w:val="22"/>
          <w:szCs w:val="22"/>
        </w:rPr>
        <w:t xml:space="preserve">the differences in the restrictions for the second and third line agents may be clinically inappropriate and may cause confusion amongst prescribers. </w:t>
      </w:r>
    </w:p>
    <w:p w:rsidR="00A02EA7" w:rsidRPr="00094900" w:rsidRDefault="00A02EA7" w:rsidP="00D87422">
      <w:pPr>
        <w:pStyle w:val="ListParagraph"/>
        <w:ind w:left="709"/>
        <w:rPr>
          <w:rFonts w:ascii="Arial" w:hAnsi="Arial"/>
          <w:sz w:val="22"/>
          <w:szCs w:val="22"/>
        </w:rPr>
      </w:pPr>
    </w:p>
    <w:p w:rsidR="00D50F4D" w:rsidRPr="00094900" w:rsidRDefault="00D50F4D" w:rsidP="00D87422">
      <w:pPr>
        <w:pStyle w:val="ListParagraph"/>
        <w:numPr>
          <w:ilvl w:val="1"/>
          <w:numId w:val="26"/>
        </w:numPr>
        <w:ind w:left="709" w:hanging="709"/>
        <w:rPr>
          <w:rFonts w:ascii="Arial" w:hAnsi="Arial"/>
          <w:sz w:val="22"/>
          <w:szCs w:val="22"/>
        </w:rPr>
      </w:pPr>
      <w:r w:rsidRPr="00094900">
        <w:rPr>
          <w:rFonts w:ascii="Arial" w:hAnsi="Arial"/>
          <w:sz w:val="22"/>
          <w:szCs w:val="22"/>
        </w:rPr>
        <w:t xml:space="preserve">The PBAC indicated that it was of </w:t>
      </w:r>
      <w:r w:rsidR="00337871" w:rsidRPr="00094900">
        <w:rPr>
          <w:rFonts w:ascii="Arial" w:hAnsi="Arial"/>
          <w:sz w:val="22"/>
          <w:szCs w:val="22"/>
        </w:rPr>
        <w:t xml:space="preserve">a </w:t>
      </w:r>
      <w:r w:rsidRPr="00094900">
        <w:rPr>
          <w:rFonts w:ascii="Arial" w:hAnsi="Arial"/>
          <w:sz w:val="22"/>
          <w:szCs w:val="22"/>
        </w:rPr>
        <w:t>mind to recommend second line listings consistent with those for the gliptins, for all agents in the gliflozin</w:t>
      </w:r>
      <w:r w:rsidR="00337871" w:rsidRPr="00094900">
        <w:rPr>
          <w:rFonts w:ascii="Arial" w:hAnsi="Arial"/>
          <w:sz w:val="22"/>
          <w:szCs w:val="22"/>
        </w:rPr>
        <w:t xml:space="preserve"> class </w:t>
      </w:r>
      <w:r w:rsidRPr="00094900">
        <w:rPr>
          <w:rFonts w:ascii="Arial" w:hAnsi="Arial"/>
          <w:sz w:val="22"/>
          <w:szCs w:val="22"/>
        </w:rPr>
        <w:t xml:space="preserve">and potentially </w:t>
      </w:r>
      <w:r w:rsidR="005C20CC">
        <w:rPr>
          <w:rFonts w:ascii="Arial" w:hAnsi="Arial"/>
          <w:sz w:val="22"/>
          <w:szCs w:val="22"/>
        </w:rPr>
        <w:t>the GLP-1 class</w:t>
      </w:r>
      <w:r w:rsidRPr="00094900">
        <w:rPr>
          <w:rFonts w:ascii="Arial" w:hAnsi="Arial"/>
          <w:sz w:val="22"/>
          <w:szCs w:val="22"/>
        </w:rPr>
        <w:t xml:space="preserve">, at prices consistent with the gliptin prices (taking into account the cost-offsets for individual gliflozins) should the sponsors of those drugs seek such a listing.  The PBAC recommended the Minister offer sponsors the opportunity to consider this option before implementing any changes to the current restrictions for these agents. </w:t>
      </w:r>
    </w:p>
    <w:p w:rsidR="006A21DE" w:rsidRPr="00094900" w:rsidRDefault="006A21DE" w:rsidP="00D87422">
      <w:pPr>
        <w:pStyle w:val="ListParagraph"/>
        <w:rPr>
          <w:rFonts w:ascii="Arial" w:hAnsi="Arial"/>
          <w:sz w:val="22"/>
          <w:szCs w:val="22"/>
        </w:rPr>
      </w:pPr>
    </w:p>
    <w:p w:rsidR="006A21DE" w:rsidRPr="00094900" w:rsidRDefault="006A21DE" w:rsidP="00D87422">
      <w:pPr>
        <w:pStyle w:val="ListParagraph"/>
        <w:numPr>
          <w:ilvl w:val="1"/>
          <w:numId w:val="26"/>
        </w:numPr>
        <w:ind w:left="709" w:hanging="709"/>
        <w:rPr>
          <w:rFonts w:ascii="Arial" w:hAnsi="Arial"/>
          <w:sz w:val="22"/>
          <w:szCs w:val="22"/>
        </w:rPr>
      </w:pPr>
      <w:r w:rsidRPr="00094900">
        <w:rPr>
          <w:rFonts w:ascii="Arial" w:hAnsi="Arial"/>
          <w:sz w:val="22"/>
          <w:szCs w:val="22"/>
        </w:rPr>
        <w:t>In forming this view, the PBAC recalled that it had previously concluded dapagliflozin and canagliflozin to be non-inferior to sitagliptin in terms of comparative effectiveness, but to be associated with higher rates of adverse events compared with sitagliptin.  The PBAC further recalled that sitagliptin was initially recommended for listing on a cost-minimisation basis with ro</w:t>
      </w:r>
      <w:r w:rsidR="003E0D9F" w:rsidRPr="00094900">
        <w:rPr>
          <w:rFonts w:ascii="Arial" w:hAnsi="Arial"/>
          <w:sz w:val="22"/>
          <w:szCs w:val="22"/>
        </w:rPr>
        <w:t>siglitazone, and that exenatide was recommended for listing on the basis of a comparison with rosiglitazone and insulin glargine.  In other words, the evidence PBAC has seen to date supports this approach</w:t>
      </w:r>
      <w:r w:rsidR="00CC2E8D" w:rsidRPr="00094900">
        <w:rPr>
          <w:rFonts w:ascii="Arial" w:hAnsi="Arial"/>
          <w:sz w:val="22"/>
          <w:szCs w:val="22"/>
        </w:rPr>
        <w:t xml:space="preserve"> for the gliflozins, and indicates </w:t>
      </w:r>
      <w:r w:rsidR="00EC4779" w:rsidRPr="00094900">
        <w:rPr>
          <w:rFonts w:ascii="Arial" w:hAnsi="Arial"/>
          <w:sz w:val="22"/>
          <w:szCs w:val="22"/>
        </w:rPr>
        <w:t xml:space="preserve">that </w:t>
      </w:r>
      <w:r w:rsidR="00CC2E8D" w:rsidRPr="00094900">
        <w:rPr>
          <w:rFonts w:ascii="Arial" w:hAnsi="Arial"/>
          <w:sz w:val="22"/>
          <w:szCs w:val="22"/>
        </w:rPr>
        <w:t xml:space="preserve">it may also be appropriate for </w:t>
      </w:r>
      <w:r w:rsidR="00EC4779" w:rsidRPr="00094900">
        <w:rPr>
          <w:rFonts w:ascii="Arial" w:hAnsi="Arial"/>
          <w:sz w:val="22"/>
          <w:szCs w:val="22"/>
        </w:rPr>
        <w:t xml:space="preserve">drugs in </w:t>
      </w:r>
      <w:r w:rsidR="00CC2E8D" w:rsidRPr="00094900">
        <w:rPr>
          <w:rFonts w:ascii="Arial" w:hAnsi="Arial"/>
          <w:sz w:val="22"/>
          <w:szCs w:val="22"/>
        </w:rPr>
        <w:t>the GLP-1</w:t>
      </w:r>
      <w:r w:rsidR="00EC4779" w:rsidRPr="00094900">
        <w:rPr>
          <w:rFonts w:ascii="Arial" w:hAnsi="Arial"/>
          <w:sz w:val="22"/>
          <w:szCs w:val="22"/>
        </w:rPr>
        <w:t xml:space="preserve"> </w:t>
      </w:r>
      <w:r w:rsidR="005C20CC">
        <w:rPr>
          <w:rFonts w:ascii="Arial" w:hAnsi="Arial"/>
          <w:sz w:val="22"/>
          <w:szCs w:val="22"/>
        </w:rPr>
        <w:t xml:space="preserve">class. The PBAC acknowledged that further consideration may need to be </w:t>
      </w:r>
      <w:r w:rsidR="005C20CC">
        <w:rPr>
          <w:rFonts w:ascii="Arial" w:hAnsi="Arial"/>
          <w:sz w:val="22"/>
          <w:szCs w:val="22"/>
        </w:rPr>
        <w:lastRenderedPageBreak/>
        <w:t>given to the place in therapy of the glitazone class, noting the evolving diabetes treatment algorithm.</w:t>
      </w:r>
    </w:p>
    <w:p w:rsidR="00D50F4D" w:rsidRPr="00943E8C" w:rsidRDefault="00D50F4D" w:rsidP="00D87422">
      <w:pPr>
        <w:pStyle w:val="ListParagraph"/>
        <w:ind w:left="1070"/>
        <w:rPr>
          <w:rFonts w:ascii="Arial" w:hAnsi="Arial"/>
          <w:sz w:val="22"/>
          <w:szCs w:val="22"/>
        </w:rPr>
      </w:pPr>
    </w:p>
    <w:p w:rsidR="006A21DE" w:rsidRPr="00094900" w:rsidRDefault="00D50F4D" w:rsidP="00D87422">
      <w:pPr>
        <w:pStyle w:val="ListParagraph"/>
        <w:numPr>
          <w:ilvl w:val="1"/>
          <w:numId w:val="26"/>
        </w:numPr>
        <w:ind w:left="709" w:hanging="709"/>
        <w:rPr>
          <w:rFonts w:ascii="Arial" w:hAnsi="Arial"/>
          <w:sz w:val="22"/>
          <w:szCs w:val="22"/>
        </w:rPr>
      </w:pPr>
      <w:r w:rsidRPr="00094900">
        <w:rPr>
          <w:rFonts w:ascii="Arial" w:hAnsi="Arial"/>
          <w:sz w:val="22"/>
          <w:szCs w:val="22"/>
        </w:rPr>
        <w:t>If, on the other hand, sponsors choose not to request a second line listing at the lower price,</w:t>
      </w:r>
      <w:r w:rsidR="00B00E38" w:rsidRPr="00094900">
        <w:rPr>
          <w:rFonts w:ascii="Arial" w:hAnsi="Arial"/>
          <w:sz w:val="22"/>
          <w:szCs w:val="22"/>
        </w:rPr>
        <w:t xml:space="preserve"> or, in the event a request is made but the PBAC does not recommend a second line listing,</w:t>
      </w:r>
      <w:r w:rsidRPr="00094900">
        <w:rPr>
          <w:rFonts w:ascii="Arial" w:hAnsi="Arial"/>
          <w:sz w:val="22"/>
          <w:szCs w:val="22"/>
        </w:rPr>
        <w:t xml:space="preserve"> then PBAC </w:t>
      </w:r>
      <w:r w:rsidR="002A4FF8" w:rsidRPr="00094900">
        <w:rPr>
          <w:rFonts w:ascii="Arial" w:hAnsi="Arial"/>
          <w:sz w:val="22"/>
          <w:szCs w:val="22"/>
        </w:rPr>
        <w:t>considered it would be appropriate</w:t>
      </w:r>
      <w:r w:rsidRPr="00094900">
        <w:rPr>
          <w:rFonts w:ascii="Arial" w:hAnsi="Arial"/>
          <w:sz w:val="22"/>
          <w:szCs w:val="22"/>
        </w:rPr>
        <w:t xml:space="preserve"> that the current third line restrictions be amended to articulate that patients must try metformin plus a sulfonylurea AND metformin plus a gliptin OR a gliptin with a sulfonylurea before being eligible for third line treatment</w:t>
      </w:r>
      <w:r w:rsidR="00DE594C" w:rsidRPr="00094900">
        <w:rPr>
          <w:rFonts w:ascii="Arial" w:hAnsi="Arial"/>
          <w:sz w:val="22"/>
          <w:szCs w:val="22"/>
        </w:rPr>
        <w:t xml:space="preserve">, in line with the revised restriction proposed by the Department (see Background above). </w:t>
      </w:r>
      <w:r w:rsidRPr="00094900">
        <w:rPr>
          <w:rFonts w:ascii="Arial" w:hAnsi="Arial"/>
          <w:sz w:val="22"/>
          <w:szCs w:val="22"/>
        </w:rPr>
        <w:t xml:space="preserve"> </w:t>
      </w:r>
    </w:p>
    <w:p w:rsidR="006A21DE" w:rsidRPr="00094900" w:rsidRDefault="006A21DE" w:rsidP="00D87422">
      <w:pPr>
        <w:pStyle w:val="ListParagraph"/>
        <w:rPr>
          <w:rFonts w:ascii="Arial" w:hAnsi="Arial"/>
          <w:sz w:val="22"/>
          <w:szCs w:val="22"/>
        </w:rPr>
      </w:pPr>
    </w:p>
    <w:p w:rsidR="00DE594C" w:rsidRPr="00094900" w:rsidRDefault="00DE594C" w:rsidP="00D87422">
      <w:pPr>
        <w:pStyle w:val="ListParagraph"/>
        <w:numPr>
          <w:ilvl w:val="1"/>
          <w:numId w:val="26"/>
        </w:numPr>
        <w:ind w:left="709" w:hanging="709"/>
        <w:rPr>
          <w:rFonts w:ascii="Arial" w:hAnsi="Arial"/>
          <w:sz w:val="22"/>
          <w:szCs w:val="22"/>
        </w:rPr>
      </w:pPr>
      <w:r w:rsidRPr="00094900">
        <w:rPr>
          <w:rFonts w:ascii="Arial" w:hAnsi="Arial"/>
          <w:sz w:val="22"/>
          <w:szCs w:val="22"/>
        </w:rPr>
        <w:t>The PBAC agreed that it is clinically inappropriate for a patient stabilised on maximally tolerated doses of metformin to have to cease that treatment and trial a sulfonylurea before being eligible for third-line treatment.   However the PBAC considered it is appropriate for patients to have to fail two second line dual therapy treatments before being eligible for access to PBS subsidised third line treatment</w:t>
      </w:r>
      <w:r w:rsidR="00F6372E" w:rsidRPr="00094900">
        <w:rPr>
          <w:rFonts w:ascii="Arial" w:hAnsi="Arial"/>
          <w:sz w:val="22"/>
          <w:szCs w:val="22"/>
        </w:rPr>
        <w:t>s</w:t>
      </w:r>
      <w:r w:rsidRPr="00094900">
        <w:rPr>
          <w:rFonts w:ascii="Arial" w:hAnsi="Arial"/>
          <w:sz w:val="22"/>
          <w:szCs w:val="22"/>
        </w:rPr>
        <w:t xml:space="preserve">. </w:t>
      </w:r>
    </w:p>
    <w:p w:rsidR="00DE594C" w:rsidRPr="00094900" w:rsidRDefault="00DE594C" w:rsidP="00D87422">
      <w:pPr>
        <w:rPr>
          <w:rFonts w:ascii="Arial" w:hAnsi="Arial"/>
          <w:sz w:val="22"/>
          <w:szCs w:val="22"/>
        </w:rPr>
      </w:pPr>
    </w:p>
    <w:p w:rsidR="00D50F4D" w:rsidRPr="00094900" w:rsidRDefault="00DE594C" w:rsidP="00D87422">
      <w:pPr>
        <w:pStyle w:val="ListParagraph"/>
        <w:numPr>
          <w:ilvl w:val="1"/>
          <w:numId w:val="26"/>
        </w:numPr>
        <w:ind w:left="709" w:hanging="709"/>
        <w:rPr>
          <w:rFonts w:ascii="Arial" w:hAnsi="Arial"/>
          <w:sz w:val="22"/>
          <w:szCs w:val="22"/>
        </w:rPr>
      </w:pPr>
      <w:r w:rsidRPr="00094900">
        <w:rPr>
          <w:rFonts w:ascii="Arial" w:hAnsi="Arial"/>
          <w:sz w:val="22"/>
          <w:szCs w:val="22"/>
        </w:rPr>
        <w:t xml:space="preserve">The PBAC noted that two </w:t>
      </w:r>
      <w:r w:rsidR="006A21DE" w:rsidRPr="00094900">
        <w:rPr>
          <w:rFonts w:ascii="Arial" w:hAnsi="Arial"/>
          <w:sz w:val="22"/>
          <w:szCs w:val="22"/>
        </w:rPr>
        <w:t xml:space="preserve">of the </w:t>
      </w:r>
      <w:r w:rsidRPr="00094900">
        <w:rPr>
          <w:rFonts w:ascii="Arial" w:hAnsi="Arial"/>
          <w:sz w:val="22"/>
          <w:szCs w:val="22"/>
        </w:rPr>
        <w:t xml:space="preserve">sponsors </w:t>
      </w:r>
      <w:r w:rsidR="006A21DE" w:rsidRPr="00094900">
        <w:rPr>
          <w:rFonts w:ascii="Arial" w:hAnsi="Arial"/>
          <w:sz w:val="22"/>
          <w:szCs w:val="22"/>
        </w:rPr>
        <w:t>who responded to the Department</w:t>
      </w:r>
      <w:r w:rsidR="003E0D9F" w:rsidRPr="00094900">
        <w:rPr>
          <w:rFonts w:ascii="Arial" w:hAnsi="Arial"/>
          <w:sz w:val="22"/>
          <w:szCs w:val="22"/>
        </w:rPr>
        <w:t>’</w:t>
      </w:r>
      <w:r w:rsidR="006A21DE" w:rsidRPr="00094900">
        <w:rPr>
          <w:rFonts w:ascii="Arial" w:hAnsi="Arial"/>
          <w:sz w:val="22"/>
          <w:szCs w:val="22"/>
        </w:rPr>
        <w:t xml:space="preserve">s invitations for comment </w:t>
      </w:r>
      <w:r w:rsidRPr="00094900">
        <w:rPr>
          <w:rFonts w:ascii="Arial" w:hAnsi="Arial"/>
          <w:sz w:val="22"/>
          <w:szCs w:val="22"/>
        </w:rPr>
        <w:t>had indicated their support for such a restriction</w:t>
      </w:r>
      <w:r w:rsidR="006A21DE" w:rsidRPr="00094900">
        <w:rPr>
          <w:rFonts w:ascii="Arial" w:hAnsi="Arial"/>
          <w:sz w:val="22"/>
          <w:szCs w:val="22"/>
        </w:rPr>
        <w:t xml:space="preserve">. </w:t>
      </w:r>
      <w:r w:rsidRPr="00094900">
        <w:rPr>
          <w:rFonts w:ascii="Arial" w:hAnsi="Arial"/>
          <w:sz w:val="22"/>
          <w:szCs w:val="22"/>
        </w:rPr>
        <w:t>The PBAC acknowledged that some sponsors had proposed patients need only fail one second line therapy</w:t>
      </w:r>
      <w:r w:rsidR="006A21DE" w:rsidRPr="00094900">
        <w:rPr>
          <w:rFonts w:ascii="Arial" w:hAnsi="Arial"/>
          <w:sz w:val="22"/>
          <w:szCs w:val="22"/>
        </w:rPr>
        <w:t xml:space="preserve"> before being eligible for third line treatment, but did not consider this appropriate.</w:t>
      </w:r>
    </w:p>
    <w:p w:rsidR="00D50F4D" w:rsidRPr="00094900" w:rsidRDefault="00D50F4D" w:rsidP="00D87422">
      <w:pPr>
        <w:pStyle w:val="ListParagraph"/>
        <w:ind w:left="1070"/>
        <w:rPr>
          <w:rFonts w:ascii="Arial" w:hAnsi="Arial"/>
          <w:sz w:val="22"/>
          <w:szCs w:val="22"/>
        </w:rPr>
      </w:pPr>
    </w:p>
    <w:p w:rsidR="00D50F4D" w:rsidRPr="00094900" w:rsidRDefault="00D50F4D" w:rsidP="00D87422">
      <w:pPr>
        <w:pStyle w:val="ListParagraph"/>
        <w:numPr>
          <w:ilvl w:val="1"/>
          <w:numId w:val="26"/>
        </w:numPr>
        <w:ind w:left="709" w:hanging="709"/>
        <w:rPr>
          <w:rFonts w:ascii="Arial" w:hAnsi="Arial"/>
          <w:sz w:val="22"/>
          <w:szCs w:val="22"/>
        </w:rPr>
      </w:pPr>
      <w:r w:rsidRPr="00094900">
        <w:rPr>
          <w:rFonts w:ascii="Arial" w:hAnsi="Arial"/>
          <w:sz w:val="22"/>
          <w:szCs w:val="22"/>
        </w:rPr>
        <w:t>The PBAC further recommended that gliflozins which remain subsidised only in the third</w:t>
      </w:r>
      <w:r w:rsidR="00F6372E" w:rsidRPr="00094900">
        <w:rPr>
          <w:rFonts w:ascii="Arial" w:hAnsi="Arial"/>
          <w:sz w:val="22"/>
          <w:szCs w:val="22"/>
        </w:rPr>
        <w:t xml:space="preserve"> </w:t>
      </w:r>
      <w:r w:rsidRPr="00094900">
        <w:rPr>
          <w:rFonts w:ascii="Arial" w:hAnsi="Arial"/>
          <w:sz w:val="22"/>
          <w:szCs w:val="22"/>
        </w:rPr>
        <w:t>line setting have their risk share arrangements (RSA) reviewed.  This is because the shift of the gliptins to the second-line setting for subsidy purposes is expected to reduce the potential number of patients eligible for treatment with PBS subsidised third</w:t>
      </w:r>
      <w:r w:rsidR="00F6372E" w:rsidRPr="00094900">
        <w:rPr>
          <w:rFonts w:ascii="Arial" w:hAnsi="Arial"/>
          <w:sz w:val="22"/>
          <w:szCs w:val="22"/>
        </w:rPr>
        <w:t xml:space="preserve"> </w:t>
      </w:r>
      <w:r w:rsidRPr="00094900">
        <w:rPr>
          <w:rFonts w:ascii="Arial" w:hAnsi="Arial"/>
          <w:sz w:val="22"/>
          <w:szCs w:val="22"/>
        </w:rPr>
        <w:t>line treatments</w:t>
      </w:r>
      <w:r w:rsidR="00F6372E" w:rsidRPr="00094900">
        <w:rPr>
          <w:rFonts w:ascii="Arial" w:hAnsi="Arial"/>
          <w:sz w:val="22"/>
          <w:szCs w:val="22"/>
        </w:rPr>
        <w:t xml:space="preserve"> and</w:t>
      </w:r>
      <w:r w:rsidRPr="00094900">
        <w:rPr>
          <w:rFonts w:ascii="Arial" w:hAnsi="Arial"/>
          <w:sz w:val="22"/>
          <w:szCs w:val="22"/>
        </w:rPr>
        <w:t xml:space="preserve"> therefore requires a re-negotiation of the caps in the existing RSA.</w:t>
      </w:r>
    </w:p>
    <w:p w:rsidR="00D50F4D" w:rsidRPr="00094900" w:rsidRDefault="00D50F4D" w:rsidP="00D87422">
      <w:pPr>
        <w:pStyle w:val="ListParagraph"/>
        <w:ind w:left="709"/>
        <w:jc w:val="both"/>
        <w:rPr>
          <w:rFonts w:ascii="Arial" w:hAnsi="Arial"/>
          <w:sz w:val="22"/>
          <w:szCs w:val="22"/>
        </w:rPr>
      </w:pPr>
    </w:p>
    <w:p w:rsidR="00762230" w:rsidRPr="00094900" w:rsidRDefault="00C16A18">
      <w:pPr>
        <w:pStyle w:val="ListParagraph"/>
        <w:numPr>
          <w:ilvl w:val="1"/>
          <w:numId w:val="26"/>
        </w:numPr>
        <w:ind w:left="709" w:hanging="709"/>
        <w:jc w:val="both"/>
        <w:rPr>
          <w:rFonts w:ascii="Arial" w:hAnsi="Arial" w:cs="Arial"/>
          <w:sz w:val="22"/>
          <w:szCs w:val="22"/>
        </w:rPr>
      </w:pPr>
      <w:r w:rsidRPr="00094900">
        <w:rPr>
          <w:rFonts w:ascii="Arial" w:hAnsi="Arial" w:cs="Arial"/>
          <w:sz w:val="22"/>
          <w:szCs w:val="22"/>
        </w:rPr>
        <w:t>T</w:t>
      </w:r>
      <w:r w:rsidR="00557E61" w:rsidRPr="00094900">
        <w:rPr>
          <w:rFonts w:ascii="Arial" w:hAnsi="Arial" w:cs="Arial"/>
          <w:sz w:val="22"/>
          <w:szCs w:val="22"/>
        </w:rPr>
        <w:t xml:space="preserve">he PBAC </w:t>
      </w:r>
      <w:r w:rsidRPr="00094900">
        <w:rPr>
          <w:rFonts w:ascii="Arial" w:hAnsi="Arial" w:cs="Arial"/>
          <w:sz w:val="22"/>
          <w:szCs w:val="22"/>
        </w:rPr>
        <w:t xml:space="preserve">also </w:t>
      </w:r>
      <w:r w:rsidR="00DE599B" w:rsidRPr="00094900">
        <w:rPr>
          <w:rFonts w:ascii="Arial" w:hAnsi="Arial" w:cs="Arial"/>
          <w:sz w:val="22"/>
          <w:szCs w:val="22"/>
        </w:rPr>
        <w:t xml:space="preserve">noted </w:t>
      </w:r>
      <w:r w:rsidR="005E6FD4" w:rsidRPr="00094900">
        <w:rPr>
          <w:rFonts w:ascii="Arial" w:hAnsi="Arial" w:cs="Arial"/>
          <w:sz w:val="22"/>
          <w:szCs w:val="22"/>
        </w:rPr>
        <w:t xml:space="preserve">the </w:t>
      </w:r>
      <w:r w:rsidR="00DE599B" w:rsidRPr="00094900">
        <w:rPr>
          <w:rFonts w:ascii="Arial" w:hAnsi="Arial" w:cs="Arial"/>
          <w:sz w:val="22"/>
          <w:szCs w:val="22"/>
        </w:rPr>
        <w:t>comments regarding the ambiguity in the current clinical criteria of the term ‘inadequately controlled’</w:t>
      </w:r>
      <w:r w:rsidRPr="00094900">
        <w:rPr>
          <w:rFonts w:ascii="Arial" w:hAnsi="Arial" w:cs="Arial"/>
          <w:sz w:val="22"/>
          <w:szCs w:val="22"/>
        </w:rPr>
        <w:t>.  The PBAC acknowledged that the current diabetes restrictions could lead to confusion amongst prescribers</w:t>
      </w:r>
      <w:r w:rsidR="005E6FD4" w:rsidRPr="00094900">
        <w:rPr>
          <w:rFonts w:ascii="Arial" w:hAnsi="Arial" w:cs="Arial"/>
          <w:sz w:val="22"/>
          <w:szCs w:val="22"/>
        </w:rPr>
        <w:t xml:space="preserve"> and </w:t>
      </w:r>
      <w:r w:rsidR="00762230" w:rsidRPr="00094900">
        <w:rPr>
          <w:rFonts w:ascii="Arial" w:hAnsi="Arial" w:cs="Arial"/>
          <w:sz w:val="22"/>
          <w:szCs w:val="22"/>
        </w:rPr>
        <w:t>requested the Department investigate the feasibility of a general statement for PBS subsidy for drug</w:t>
      </w:r>
      <w:r w:rsidR="005E6FD4" w:rsidRPr="00094900">
        <w:rPr>
          <w:rFonts w:ascii="Arial" w:hAnsi="Arial" w:cs="Arial"/>
          <w:sz w:val="22"/>
          <w:szCs w:val="22"/>
        </w:rPr>
        <w:t>s</w:t>
      </w:r>
      <w:r w:rsidR="00762230" w:rsidRPr="00094900">
        <w:rPr>
          <w:rFonts w:ascii="Arial" w:hAnsi="Arial" w:cs="Arial"/>
          <w:sz w:val="22"/>
          <w:szCs w:val="22"/>
        </w:rPr>
        <w:t xml:space="preserve"> for type 2 diabetes</w:t>
      </w:r>
      <w:r w:rsidR="005E6FD4" w:rsidRPr="00094900">
        <w:rPr>
          <w:rFonts w:ascii="Arial" w:hAnsi="Arial" w:cs="Arial"/>
          <w:sz w:val="22"/>
          <w:szCs w:val="22"/>
        </w:rPr>
        <w:t>,</w:t>
      </w:r>
      <w:r w:rsidR="00762230" w:rsidRPr="00094900">
        <w:rPr>
          <w:rFonts w:ascii="Arial" w:hAnsi="Arial" w:cs="Arial"/>
          <w:sz w:val="22"/>
          <w:szCs w:val="22"/>
        </w:rPr>
        <w:t xml:space="preserve"> similar to the general statement for lipid-lowering drugs</w:t>
      </w:r>
      <w:r w:rsidR="00437A25" w:rsidRPr="00094900">
        <w:rPr>
          <w:rFonts w:ascii="Arial" w:hAnsi="Arial" w:cs="Arial"/>
          <w:sz w:val="22"/>
          <w:szCs w:val="22"/>
        </w:rPr>
        <w:t xml:space="preserve"> </w:t>
      </w:r>
      <w:r w:rsidR="00F6372E" w:rsidRPr="00094900">
        <w:rPr>
          <w:rFonts w:ascii="Arial" w:hAnsi="Arial" w:cs="Arial"/>
          <w:sz w:val="22"/>
          <w:szCs w:val="22"/>
        </w:rPr>
        <w:t xml:space="preserve">and </w:t>
      </w:r>
      <w:r w:rsidR="00437A25" w:rsidRPr="00094900">
        <w:rPr>
          <w:rFonts w:ascii="Arial" w:hAnsi="Arial" w:cs="Arial"/>
          <w:sz w:val="22"/>
          <w:szCs w:val="22"/>
        </w:rPr>
        <w:t>under the auspices of the diabetes review</w:t>
      </w:r>
      <w:r w:rsidR="005E6FD4" w:rsidRPr="00094900">
        <w:rPr>
          <w:rFonts w:ascii="Arial" w:hAnsi="Arial" w:cs="Arial"/>
          <w:sz w:val="22"/>
          <w:szCs w:val="22"/>
        </w:rPr>
        <w:t>.</w:t>
      </w:r>
      <w:r w:rsidR="00762230" w:rsidRPr="00094900">
        <w:rPr>
          <w:rFonts w:ascii="Arial" w:hAnsi="Arial" w:cs="Arial"/>
          <w:sz w:val="22"/>
          <w:szCs w:val="22"/>
        </w:rPr>
        <w:t xml:space="preserve"> </w:t>
      </w:r>
    </w:p>
    <w:p w:rsidR="00C16A18" w:rsidRPr="00094900" w:rsidRDefault="00C16A18" w:rsidP="00D87422">
      <w:pPr>
        <w:pStyle w:val="ListParagraph"/>
        <w:ind w:left="709"/>
        <w:jc w:val="both"/>
        <w:rPr>
          <w:rFonts w:ascii="Arial" w:hAnsi="Arial" w:cs="Arial"/>
          <w:sz w:val="22"/>
          <w:szCs w:val="22"/>
        </w:rPr>
      </w:pPr>
    </w:p>
    <w:p w:rsidR="00C16A18" w:rsidRPr="00094900" w:rsidRDefault="00C16A18" w:rsidP="00D87422">
      <w:pPr>
        <w:pStyle w:val="ListParagraph"/>
        <w:numPr>
          <w:ilvl w:val="1"/>
          <w:numId w:val="26"/>
        </w:numPr>
        <w:ind w:left="709" w:hanging="709"/>
        <w:rPr>
          <w:rFonts w:ascii="Arial" w:hAnsi="Arial" w:cs="Arial"/>
          <w:sz w:val="22"/>
          <w:szCs w:val="22"/>
        </w:rPr>
      </w:pPr>
      <w:r w:rsidRPr="00094900">
        <w:rPr>
          <w:rFonts w:ascii="Arial" w:hAnsi="Arial" w:cs="Arial"/>
          <w:sz w:val="22"/>
          <w:szCs w:val="22"/>
        </w:rPr>
        <w:t xml:space="preserve">Lastly, the PBAC noted that the Post-Market Diabetes Review is currently underway and considered that, although the findings of this review may impact the PBS restrictions for medicines for the treatment of </w:t>
      </w:r>
      <w:r w:rsidR="00EC4779" w:rsidRPr="00094900">
        <w:rPr>
          <w:rFonts w:ascii="Arial" w:hAnsi="Arial" w:cs="Arial"/>
          <w:sz w:val="22"/>
          <w:szCs w:val="22"/>
        </w:rPr>
        <w:t xml:space="preserve">Type 2 </w:t>
      </w:r>
      <w:r w:rsidRPr="00094900">
        <w:rPr>
          <w:rFonts w:ascii="Arial" w:hAnsi="Arial" w:cs="Arial"/>
          <w:sz w:val="22"/>
          <w:szCs w:val="22"/>
        </w:rPr>
        <w:t>diabetes, it remains appropriate to progress the current review of the restrictions for the third line agents.</w:t>
      </w:r>
    </w:p>
    <w:p w:rsidR="00557E61" w:rsidRPr="00094900" w:rsidRDefault="00557E61" w:rsidP="00437A25">
      <w:pPr>
        <w:pStyle w:val="ListParagraph"/>
        <w:ind w:left="709"/>
        <w:jc w:val="both"/>
        <w:rPr>
          <w:rFonts w:ascii="Arial" w:hAnsi="Arial"/>
          <w:sz w:val="22"/>
          <w:szCs w:val="22"/>
        </w:rPr>
      </w:pPr>
    </w:p>
    <w:p w:rsidR="009C703C" w:rsidRPr="00094900" w:rsidRDefault="009C703C" w:rsidP="00882085">
      <w:pPr>
        <w:jc w:val="both"/>
        <w:rPr>
          <w:rFonts w:ascii="Arial" w:hAnsi="Arial"/>
          <w:b/>
          <w:sz w:val="22"/>
          <w:szCs w:val="22"/>
        </w:rPr>
      </w:pPr>
      <w:r w:rsidRPr="00094900">
        <w:rPr>
          <w:rFonts w:ascii="Arial" w:hAnsi="Arial"/>
          <w:b/>
          <w:sz w:val="22"/>
          <w:szCs w:val="22"/>
        </w:rPr>
        <w:t>Outcome:</w:t>
      </w:r>
    </w:p>
    <w:p w:rsidR="009C703C" w:rsidRPr="00094900" w:rsidRDefault="00953CDA" w:rsidP="00882085">
      <w:pPr>
        <w:jc w:val="both"/>
        <w:rPr>
          <w:rFonts w:ascii="Arial" w:hAnsi="Arial"/>
          <w:sz w:val="22"/>
          <w:szCs w:val="22"/>
        </w:rPr>
      </w:pPr>
      <w:r w:rsidRPr="00094900">
        <w:rPr>
          <w:rFonts w:ascii="Arial" w:hAnsi="Arial"/>
          <w:sz w:val="22"/>
          <w:szCs w:val="22"/>
        </w:rPr>
        <w:t>Deferred</w:t>
      </w:r>
    </w:p>
    <w:p w:rsidR="00BB7EC3" w:rsidRDefault="00BB7EC3" w:rsidP="00882085">
      <w:pPr>
        <w:jc w:val="both"/>
        <w:rPr>
          <w:rFonts w:ascii="Arial" w:hAnsi="Arial"/>
          <w:sz w:val="22"/>
          <w:szCs w:val="22"/>
        </w:rPr>
      </w:pPr>
    </w:p>
    <w:p w:rsidR="001F3C8B" w:rsidRPr="00D4420F" w:rsidRDefault="001F3C8B" w:rsidP="001F3C8B">
      <w:pPr>
        <w:pStyle w:val="ListParagraph"/>
        <w:numPr>
          <w:ilvl w:val="0"/>
          <w:numId w:val="46"/>
        </w:numPr>
        <w:jc w:val="both"/>
        <w:rPr>
          <w:rFonts w:ascii="Arial" w:hAnsi="Arial" w:cs="Arial"/>
          <w:b/>
          <w:sz w:val="22"/>
        </w:rPr>
      </w:pPr>
      <w:r w:rsidRPr="00D4420F">
        <w:rPr>
          <w:rFonts w:ascii="Arial" w:hAnsi="Arial" w:cs="Arial"/>
          <w:b/>
          <w:sz w:val="22"/>
        </w:rPr>
        <w:t>Context for Decision</w:t>
      </w:r>
    </w:p>
    <w:p w:rsidR="001F3C8B" w:rsidRPr="00D4420F" w:rsidRDefault="001F3C8B" w:rsidP="001F3C8B">
      <w:pPr>
        <w:ind w:left="720"/>
        <w:jc w:val="both"/>
        <w:rPr>
          <w:rFonts w:ascii="Arial" w:hAnsi="Arial" w:cs="Arial"/>
          <w:sz w:val="22"/>
        </w:rPr>
      </w:pPr>
      <w:r w:rsidRPr="00D4420F">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F3C8B" w:rsidRPr="00D4420F" w:rsidRDefault="001F3C8B" w:rsidP="001F3C8B">
      <w:pPr>
        <w:jc w:val="both"/>
        <w:rPr>
          <w:rFonts w:ascii="Arial" w:hAnsi="Arial" w:cs="Arial"/>
          <w:sz w:val="22"/>
        </w:rPr>
      </w:pPr>
      <w:bookmarkStart w:id="0" w:name="_GoBack"/>
      <w:bookmarkEnd w:id="0"/>
    </w:p>
    <w:sectPr w:rsidR="001F3C8B" w:rsidRPr="00D4420F" w:rsidSect="00653D69">
      <w:headerReference w:type="even" r:id="rId9"/>
      <w:headerReference w:type="default" r:id="rId10"/>
      <w:footerReference w:type="even" r:id="rId11"/>
      <w:footerReference w:type="default" r:id="rId12"/>
      <w:footerReference w:type="first" r:id="rId13"/>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08E" w:rsidRDefault="006C708E">
      <w:r>
        <w:separator/>
      </w:r>
    </w:p>
  </w:endnote>
  <w:endnote w:type="continuationSeparator" w:id="0">
    <w:p w:rsidR="006C708E" w:rsidRDefault="006C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p w:rsidR="006D6EC7" w:rsidRDefault="000D352C" w:rsidP="00653D69">
    <w:pPr>
      <w:pStyle w:val="Footer"/>
      <w:framePr w:wrap="around" w:vAnchor="text" w:hAnchor="margin" w:xAlign="center" w:y="1"/>
      <w:rPr>
        <w:rStyle w:val="PageNumber"/>
      </w:rPr>
    </w:pPr>
    <w:r>
      <w:rPr>
        <w:rStyle w:val="PageNumber"/>
      </w:rPr>
      <w:fldChar w:fldCharType="begin"/>
    </w:r>
    <w:r w:rsidR="006D6EC7">
      <w:rPr>
        <w:rStyle w:val="PageNumber"/>
      </w:rPr>
      <w:instrText xml:space="preserve">PAGE  </w:instrText>
    </w:r>
    <w:r>
      <w:rPr>
        <w:rStyle w:val="PageNumber"/>
      </w:rPr>
      <w:fldChar w:fldCharType="end"/>
    </w:r>
  </w:p>
  <w:p w:rsidR="006D6EC7" w:rsidRDefault="006D6E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rsidR="00651169" w:rsidRPr="00651169" w:rsidRDefault="000D352C">
        <w:pPr>
          <w:pStyle w:val="Footer"/>
          <w:jc w:val="center"/>
          <w:rPr>
            <w:rFonts w:ascii="Arial" w:hAnsi="Arial" w:cs="Arial"/>
            <w:sz w:val="20"/>
            <w:szCs w:val="20"/>
          </w:rPr>
        </w:pPr>
        <w:r w:rsidRPr="00651169">
          <w:rPr>
            <w:rFonts w:ascii="Arial" w:hAnsi="Arial" w:cs="Arial"/>
            <w:sz w:val="20"/>
            <w:szCs w:val="20"/>
          </w:rPr>
          <w:fldChar w:fldCharType="begin"/>
        </w:r>
        <w:r w:rsidR="00651169"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EB3EEE">
          <w:rPr>
            <w:rFonts w:ascii="Arial" w:hAnsi="Arial" w:cs="Arial"/>
            <w:noProof/>
            <w:sz w:val="20"/>
            <w:szCs w:val="20"/>
          </w:rPr>
          <w:t>3</w:t>
        </w:r>
        <w:r w:rsidRPr="00651169">
          <w:rPr>
            <w:rFonts w:ascii="Arial" w:hAnsi="Arial" w:cs="Arial"/>
            <w:noProof/>
            <w:sz w:val="20"/>
            <w:szCs w:val="20"/>
          </w:rPr>
          <w:fldChar w:fldCharType="end"/>
        </w:r>
      </w:p>
    </w:sdtContent>
  </w:sdt>
  <w:p w:rsidR="006D6EC7" w:rsidRPr="008F1434" w:rsidRDefault="006D6EC7" w:rsidP="008F14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p w:rsidR="006D6EC7" w:rsidRPr="007C0F57" w:rsidRDefault="006D6EC7"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sidR="000D352C">
      <w:rPr>
        <w:rStyle w:val="PageNumber"/>
      </w:rPr>
      <w:fldChar w:fldCharType="begin"/>
    </w:r>
    <w:r>
      <w:rPr>
        <w:rStyle w:val="PageNumber"/>
      </w:rPr>
      <w:instrText xml:space="preserve"> PAGE </w:instrText>
    </w:r>
    <w:r w:rsidR="000D352C">
      <w:rPr>
        <w:rStyle w:val="PageNumber"/>
      </w:rPr>
      <w:fldChar w:fldCharType="separate"/>
    </w:r>
    <w:r>
      <w:rPr>
        <w:rStyle w:val="PageNumber"/>
        <w:noProof/>
      </w:rPr>
      <w:t>4</w:t>
    </w:r>
    <w:r w:rsidR="000D352C">
      <w:rPr>
        <w:rStyle w:val="PageNumber"/>
      </w:rPr>
      <w:fldChar w:fldCharType="end"/>
    </w:r>
    <w:r w:rsidRPr="007C0F57">
      <w:rPr>
        <w:b/>
        <w:i/>
        <w:sz w:val="20"/>
        <w:szCs w:val="20"/>
      </w:rPr>
      <w:t>BAC Meeting</w:t>
    </w:r>
  </w:p>
  <w:p w:rsidR="006D6EC7" w:rsidRPr="007C0F57" w:rsidRDefault="006D6EC7"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08E" w:rsidRDefault="006C708E">
      <w:r>
        <w:separator/>
      </w:r>
    </w:p>
  </w:footnote>
  <w:footnote w:type="continuationSeparator" w:id="0">
    <w:p w:rsidR="006C708E" w:rsidRDefault="006C7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6D6EC7" w:rsidRPr="008E0D90" w:rsidTr="00A06225">
      <w:trPr>
        <w:trHeight w:val="151"/>
      </w:trPr>
      <w:tc>
        <w:tcPr>
          <w:tcW w:w="2389" w:type="pct"/>
          <w:tcBorders>
            <w:top w:val="nil"/>
            <w:left w:val="nil"/>
            <w:bottom w:val="single" w:sz="4" w:space="0" w:color="4F81BD"/>
            <w:right w:val="nil"/>
          </w:tcBorders>
        </w:tcPr>
        <w:p w:rsidR="006D6EC7" w:rsidRPr="00A06225" w:rsidRDefault="006D6EC7">
          <w:pPr>
            <w:pStyle w:val="Header"/>
            <w:spacing w:line="276" w:lineRule="auto"/>
            <w:rPr>
              <w:rFonts w:ascii="Cambria" w:eastAsia="MS Gothic" w:hAnsi="Cambria"/>
              <w:b/>
              <w:bCs/>
              <w:color w:val="4F81BD"/>
            </w:rPr>
          </w:pPr>
        </w:p>
      </w:tc>
      <w:tc>
        <w:tcPr>
          <w:tcW w:w="333" w:type="pct"/>
          <w:vMerge w:val="restart"/>
          <w:noWrap/>
          <w:vAlign w:val="center"/>
          <w:hideMark/>
        </w:tcPr>
        <w:p w:rsidR="006D6EC7" w:rsidRPr="00A06225" w:rsidRDefault="006D6EC7"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6D6EC7" w:rsidRPr="00A06225" w:rsidRDefault="006D6EC7">
          <w:pPr>
            <w:pStyle w:val="Header"/>
            <w:spacing w:line="276" w:lineRule="auto"/>
            <w:rPr>
              <w:rFonts w:ascii="Cambria" w:eastAsia="MS Gothic" w:hAnsi="Cambria"/>
              <w:b/>
              <w:bCs/>
              <w:color w:val="4F81BD"/>
            </w:rPr>
          </w:pPr>
        </w:p>
      </w:tc>
    </w:tr>
    <w:tr w:rsidR="006D6EC7" w:rsidRPr="008E0D90" w:rsidTr="00A06225">
      <w:trPr>
        <w:trHeight w:val="150"/>
      </w:trPr>
      <w:tc>
        <w:tcPr>
          <w:tcW w:w="2389" w:type="pct"/>
          <w:tcBorders>
            <w:top w:val="single" w:sz="4" w:space="0" w:color="4F81BD"/>
            <w:left w:val="nil"/>
            <w:bottom w:val="nil"/>
            <w:right w:val="nil"/>
          </w:tcBorders>
        </w:tcPr>
        <w:p w:rsidR="006D6EC7" w:rsidRPr="00A06225" w:rsidRDefault="006D6EC7">
          <w:pPr>
            <w:pStyle w:val="Header"/>
            <w:spacing w:line="276" w:lineRule="auto"/>
            <w:rPr>
              <w:rFonts w:ascii="Cambria" w:eastAsia="MS Gothic" w:hAnsi="Cambria"/>
              <w:b/>
              <w:bCs/>
              <w:color w:val="4F81BD"/>
            </w:rPr>
          </w:pPr>
        </w:p>
      </w:tc>
      <w:tc>
        <w:tcPr>
          <w:tcW w:w="0" w:type="auto"/>
          <w:vMerge/>
          <w:vAlign w:val="center"/>
          <w:hideMark/>
        </w:tcPr>
        <w:p w:rsidR="006D6EC7" w:rsidRPr="00A06225" w:rsidRDefault="006D6EC7">
          <w:pPr>
            <w:rPr>
              <w:rFonts w:ascii="Cambria" w:hAnsi="Cambria"/>
              <w:color w:val="4F81BD"/>
              <w:sz w:val="22"/>
              <w:szCs w:val="22"/>
            </w:rPr>
          </w:pPr>
        </w:p>
      </w:tc>
      <w:tc>
        <w:tcPr>
          <w:tcW w:w="2278" w:type="pct"/>
          <w:tcBorders>
            <w:top w:val="single" w:sz="4" w:space="0" w:color="4F81BD"/>
            <w:left w:val="nil"/>
            <w:bottom w:val="nil"/>
            <w:right w:val="nil"/>
          </w:tcBorders>
        </w:tcPr>
        <w:p w:rsidR="006D6EC7" w:rsidRPr="00A06225" w:rsidRDefault="006D6EC7">
          <w:pPr>
            <w:pStyle w:val="Header"/>
            <w:spacing w:line="276" w:lineRule="auto"/>
            <w:rPr>
              <w:rFonts w:ascii="Cambria" w:eastAsia="MS Gothic" w:hAnsi="Cambria"/>
              <w:b/>
              <w:bCs/>
              <w:color w:val="4F81BD"/>
            </w:rPr>
          </w:pPr>
        </w:p>
      </w:tc>
    </w:tr>
  </w:tbl>
  <w:p w:rsidR="006D6EC7" w:rsidRDefault="006D6E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C8B" w:rsidRPr="00DF217D" w:rsidRDefault="001F3C8B" w:rsidP="001F3C8B">
    <w:pPr>
      <w:pStyle w:val="Header"/>
      <w:jc w:val="center"/>
      <w:rPr>
        <w:rFonts w:ascii="Arial" w:hAnsi="Arial" w:cs="Arial"/>
        <w:i/>
        <w:color w:val="808080"/>
        <w:sz w:val="22"/>
      </w:rPr>
    </w:pPr>
    <w:r>
      <w:rPr>
        <w:rFonts w:ascii="Arial" w:hAnsi="Arial" w:cs="Arial"/>
        <w:i/>
        <w:color w:val="808080"/>
        <w:sz w:val="22"/>
      </w:rPr>
      <w:t>Public Summary Document</w:t>
    </w:r>
    <w:r w:rsidRPr="00DF217D">
      <w:rPr>
        <w:rFonts w:ascii="Arial" w:hAnsi="Arial" w:cs="Arial"/>
        <w:i/>
        <w:color w:val="808080"/>
        <w:sz w:val="22"/>
      </w:rPr>
      <w:t xml:space="preserve">– </w:t>
    </w:r>
    <w:r>
      <w:rPr>
        <w:rFonts w:ascii="Arial" w:hAnsi="Arial" w:cs="Arial"/>
        <w:i/>
        <w:color w:val="808080"/>
        <w:sz w:val="22"/>
      </w:rPr>
      <w:t xml:space="preserve">July 2014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6D6EC7" w:rsidRPr="00DF217D" w:rsidRDefault="006D6EC7" w:rsidP="00A06225">
    <w:pPr>
      <w:pStyle w:val="Header"/>
      <w:rPr>
        <w:rFonts w:ascii="Arial" w:hAnsi="Arial" w:cs="Arial"/>
        <w:i/>
        <w:color w:val="808080"/>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0F439F7"/>
    <w:multiLevelType w:val="hybridMultilevel"/>
    <w:tmpl w:val="02D889D4"/>
    <w:lvl w:ilvl="0" w:tplc="2D1296FA">
      <w:start w:val="1"/>
      <w:numFmt w:val="bullet"/>
      <w:lvlText w:val="–"/>
      <w:lvlJc w:val="left"/>
      <w:pPr>
        <w:tabs>
          <w:tab w:val="num" w:pos="720"/>
        </w:tabs>
        <w:ind w:left="720" w:hanging="360"/>
      </w:pPr>
      <w:rPr>
        <w:rFonts w:ascii="Arial" w:hAnsi="Arial" w:hint="default"/>
      </w:rPr>
    </w:lvl>
    <w:lvl w:ilvl="1" w:tplc="6504A79C">
      <w:start w:val="1"/>
      <w:numFmt w:val="bullet"/>
      <w:lvlText w:val="–"/>
      <w:lvlJc w:val="left"/>
      <w:pPr>
        <w:tabs>
          <w:tab w:val="num" w:pos="1440"/>
        </w:tabs>
        <w:ind w:left="1440" w:hanging="360"/>
      </w:pPr>
      <w:rPr>
        <w:rFonts w:ascii="Arial" w:hAnsi="Arial" w:hint="default"/>
      </w:rPr>
    </w:lvl>
    <w:lvl w:ilvl="2" w:tplc="96C6CF46" w:tentative="1">
      <w:start w:val="1"/>
      <w:numFmt w:val="bullet"/>
      <w:lvlText w:val="–"/>
      <w:lvlJc w:val="left"/>
      <w:pPr>
        <w:tabs>
          <w:tab w:val="num" w:pos="2160"/>
        </w:tabs>
        <w:ind w:left="2160" w:hanging="360"/>
      </w:pPr>
      <w:rPr>
        <w:rFonts w:ascii="Arial" w:hAnsi="Arial" w:hint="default"/>
      </w:rPr>
    </w:lvl>
    <w:lvl w:ilvl="3" w:tplc="2C10B2DE" w:tentative="1">
      <w:start w:val="1"/>
      <w:numFmt w:val="bullet"/>
      <w:lvlText w:val="–"/>
      <w:lvlJc w:val="left"/>
      <w:pPr>
        <w:tabs>
          <w:tab w:val="num" w:pos="2880"/>
        </w:tabs>
        <w:ind w:left="2880" w:hanging="360"/>
      </w:pPr>
      <w:rPr>
        <w:rFonts w:ascii="Arial" w:hAnsi="Arial" w:hint="default"/>
      </w:rPr>
    </w:lvl>
    <w:lvl w:ilvl="4" w:tplc="733E7A82" w:tentative="1">
      <w:start w:val="1"/>
      <w:numFmt w:val="bullet"/>
      <w:lvlText w:val="–"/>
      <w:lvlJc w:val="left"/>
      <w:pPr>
        <w:tabs>
          <w:tab w:val="num" w:pos="3600"/>
        </w:tabs>
        <w:ind w:left="3600" w:hanging="360"/>
      </w:pPr>
      <w:rPr>
        <w:rFonts w:ascii="Arial" w:hAnsi="Arial" w:hint="default"/>
      </w:rPr>
    </w:lvl>
    <w:lvl w:ilvl="5" w:tplc="2B164C20" w:tentative="1">
      <w:start w:val="1"/>
      <w:numFmt w:val="bullet"/>
      <w:lvlText w:val="–"/>
      <w:lvlJc w:val="left"/>
      <w:pPr>
        <w:tabs>
          <w:tab w:val="num" w:pos="4320"/>
        </w:tabs>
        <w:ind w:left="4320" w:hanging="360"/>
      </w:pPr>
      <w:rPr>
        <w:rFonts w:ascii="Arial" w:hAnsi="Arial" w:hint="default"/>
      </w:rPr>
    </w:lvl>
    <w:lvl w:ilvl="6" w:tplc="E50A44D0" w:tentative="1">
      <w:start w:val="1"/>
      <w:numFmt w:val="bullet"/>
      <w:lvlText w:val="–"/>
      <w:lvlJc w:val="left"/>
      <w:pPr>
        <w:tabs>
          <w:tab w:val="num" w:pos="5040"/>
        </w:tabs>
        <w:ind w:left="5040" w:hanging="360"/>
      </w:pPr>
      <w:rPr>
        <w:rFonts w:ascii="Arial" w:hAnsi="Arial" w:hint="default"/>
      </w:rPr>
    </w:lvl>
    <w:lvl w:ilvl="7" w:tplc="7480C584" w:tentative="1">
      <w:start w:val="1"/>
      <w:numFmt w:val="bullet"/>
      <w:lvlText w:val="–"/>
      <w:lvlJc w:val="left"/>
      <w:pPr>
        <w:tabs>
          <w:tab w:val="num" w:pos="5760"/>
        </w:tabs>
        <w:ind w:left="5760" w:hanging="360"/>
      </w:pPr>
      <w:rPr>
        <w:rFonts w:ascii="Arial" w:hAnsi="Arial" w:hint="default"/>
      </w:rPr>
    </w:lvl>
    <w:lvl w:ilvl="8" w:tplc="0C846032" w:tentative="1">
      <w:start w:val="1"/>
      <w:numFmt w:val="bullet"/>
      <w:lvlText w:val="–"/>
      <w:lvlJc w:val="left"/>
      <w:pPr>
        <w:tabs>
          <w:tab w:val="num" w:pos="6480"/>
        </w:tabs>
        <w:ind w:left="6480" w:hanging="360"/>
      </w:pPr>
      <w:rPr>
        <w:rFonts w:ascii="Arial" w:hAnsi="Arial" w:hint="default"/>
      </w:rPr>
    </w:lvl>
  </w:abstractNum>
  <w:abstractNum w:abstractNumId="2">
    <w:nsid w:val="079D54A4"/>
    <w:multiLevelType w:val="hybridMultilevel"/>
    <w:tmpl w:val="B4D4A3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8">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1">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nsid w:val="28020DDE"/>
    <w:multiLevelType w:val="hybridMultilevel"/>
    <w:tmpl w:val="EB442168"/>
    <w:lvl w:ilvl="0" w:tplc="0C090001">
      <w:start w:val="1"/>
      <w:numFmt w:val="bullet"/>
      <w:lvlText w:val=""/>
      <w:lvlJc w:val="left"/>
      <w:pPr>
        <w:ind w:left="1800" w:hanging="360"/>
      </w:pPr>
      <w:rPr>
        <w:rFonts w:ascii="Symbol" w:hAnsi="Symbol" w:hint="default"/>
      </w:rPr>
    </w:lvl>
    <w:lvl w:ilvl="1" w:tplc="C5DE5A30">
      <w:numFmt w:val="bullet"/>
      <w:lvlText w:val="-"/>
      <w:lvlJc w:val="left"/>
      <w:pPr>
        <w:ind w:left="2520" w:hanging="360"/>
      </w:pPr>
      <w:rPr>
        <w:rFonts w:ascii="Times New Roman" w:eastAsia="Times New Roman" w:hAnsi="Times New Roman" w:cs="Times New Roman"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6">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7">
    <w:nsid w:val="3BA72313"/>
    <w:multiLevelType w:val="hybridMultilevel"/>
    <w:tmpl w:val="8F564F0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19">
    <w:nsid w:val="41B1688D"/>
    <w:multiLevelType w:val="hybridMultilevel"/>
    <w:tmpl w:val="5CFC852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nsid w:val="46586252"/>
    <w:multiLevelType w:val="hybridMultilevel"/>
    <w:tmpl w:val="6F826C2C"/>
    <w:lvl w:ilvl="0" w:tplc="757CAD5A">
      <w:start w:val="1"/>
      <w:numFmt w:val="bullet"/>
      <w:lvlText w:val="•"/>
      <w:lvlJc w:val="left"/>
      <w:pPr>
        <w:tabs>
          <w:tab w:val="num" w:pos="720"/>
        </w:tabs>
        <w:ind w:left="720" w:hanging="360"/>
      </w:pPr>
      <w:rPr>
        <w:rFonts w:ascii="Arial" w:hAnsi="Arial" w:hint="default"/>
      </w:rPr>
    </w:lvl>
    <w:lvl w:ilvl="1" w:tplc="C8ACFD8C">
      <w:start w:val="2969"/>
      <w:numFmt w:val="bullet"/>
      <w:lvlText w:val="–"/>
      <w:lvlJc w:val="left"/>
      <w:pPr>
        <w:tabs>
          <w:tab w:val="num" w:pos="1440"/>
        </w:tabs>
        <w:ind w:left="1440" w:hanging="360"/>
      </w:pPr>
      <w:rPr>
        <w:rFonts w:ascii="Arial" w:hAnsi="Arial" w:hint="default"/>
      </w:rPr>
    </w:lvl>
    <w:lvl w:ilvl="2" w:tplc="6910E17E" w:tentative="1">
      <w:start w:val="1"/>
      <w:numFmt w:val="bullet"/>
      <w:lvlText w:val="•"/>
      <w:lvlJc w:val="left"/>
      <w:pPr>
        <w:tabs>
          <w:tab w:val="num" w:pos="2160"/>
        </w:tabs>
        <w:ind w:left="2160" w:hanging="360"/>
      </w:pPr>
      <w:rPr>
        <w:rFonts w:ascii="Arial" w:hAnsi="Arial" w:hint="default"/>
      </w:rPr>
    </w:lvl>
    <w:lvl w:ilvl="3" w:tplc="38C8E3F4" w:tentative="1">
      <w:start w:val="1"/>
      <w:numFmt w:val="bullet"/>
      <w:lvlText w:val="•"/>
      <w:lvlJc w:val="left"/>
      <w:pPr>
        <w:tabs>
          <w:tab w:val="num" w:pos="2880"/>
        </w:tabs>
        <w:ind w:left="2880" w:hanging="360"/>
      </w:pPr>
      <w:rPr>
        <w:rFonts w:ascii="Arial" w:hAnsi="Arial" w:hint="default"/>
      </w:rPr>
    </w:lvl>
    <w:lvl w:ilvl="4" w:tplc="A6521008" w:tentative="1">
      <w:start w:val="1"/>
      <w:numFmt w:val="bullet"/>
      <w:lvlText w:val="•"/>
      <w:lvlJc w:val="left"/>
      <w:pPr>
        <w:tabs>
          <w:tab w:val="num" w:pos="3600"/>
        </w:tabs>
        <w:ind w:left="3600" w:hanging="360"/>
      </w:pPr>
      <w:rPr>
        <w:rFonts w:ascii="Arial" w:hAnsi="Arial" w:hint="default"/>
      </w:rPr>
    </w:lvl>
    <w:lvl w:ilvl="5" w:tplc="653E8558" w:tentative="1">
      <w:start w:val="1"/>
      <w:numFmt w:val="bullet"/>
      <w:lvlText w:val="•"/>
      <w:lvlJc w:val="left"/>
      <w:pPr>
        <w:tabs>
          <w:tab w:val="num" w:pos="4320"/>
        </w:tabs>
        <w:ind w:left="4320" w:hanging="360"/>
      </w:pPr>
      <w:rPr>
        <w:rFonts w:ascii="Arial" w:hAnsi="Arial" w:hint="default"/>
      </w:rPr>
    </w:lvl>
    <w:lvl w:ilvl="6" w:tplc="2B9A20B6" w:tentative="1">
      <w:start w:val="1"/>
      <w:numFmt w:val="bullet"/>
      <w:lvlText w:val="•"/>
      <w:lvlJc w:val="left"/>
      <w:pPr>
        <w:tabs>
          <w:tab w:val="num" w:pos="5040"/>
        </w:tabs>
        <w:ind w:left="5040" w:hanging="360"/>
      </w:pPr>
      <w:rPr>
        <w:rFonts w:ascii="Arial" w:hAnsi="Arial" w:hint="default"/>
      </w:rPr>
    </w:lvl>
    <w:lvl w:ilvl="7" w:tplc="459AB846" w:tentative="1">
      <w:start w:val="1"/>
      <w:numFmt w:val="bullet"/>
      <w:lvlText w:val="•"/>
      <w:lvlJc w:val="left"/>
      <w:pPr>
        <w:tabs>
          <w:tab w:val="num" w:pos="5760"/>
        </w:tabs>
        <w:ind w:left="5760" w:hanging="360"/>
      </w:pPr>
      <w:rPr>
        <w:rFonts w:ascii="Arial" w:hAnsi="Arial" w:hint="default"/>
      </w:rPr>
    </w:lvl>
    <w:lvl w:ilvl="8" w:tplc="C8666F60" w:tentative="1">
      <w:start w:val="1"/>
      <w:numFmt w:val="bullet"/>
      <w:lvlText w:val="•"/>
      <w:lvlJc w:val="left"/>
      <w:pPr>
        <w:tabs>
          <w:tab w:val="num" w:pos="6480"/>
        </w:tabs>
        <w:ind w:left="6480" w:hanging="360"/>
      </w:pPr>
      <w:rPr>
        <w:rFonts w:ascii="Arial" w:hAnsi="Arial" w:hint="default"/>
      </w:rPr>
    </w:lvl>
  </w:abstractNum>
  <w:abstractNum w:abstractNumId="21">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2">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nsid w:val="4E86273F"/>
    <w:multiLevelType w:val="hybridMultilevel"/>
    <w:tmpl w:val="956E1AA8"/>
    <w:lvl w:ilvl="0" w:tplc="E1A29E7C">
      <w:start w:val="1"/>
      <w:numFmt w:val="bullet"/>
      <w:lvlText w:val="•"/>
      <w:lvlJc w:val="left"/>
      <w:pPr>
        <w:tabs>
          <w:tab w:val="num" w:pos="720"/>
        </w:tabs>
        <w:ind w:left="720" w:hanging="360"/>
      </w:pPr>
      <w:rPr>
        <w:rFonts w:ascii="Arial" w:hAnsi="Arial" w:hint="default"/>
      </w:rPr>
    </w:lvl>
    <w:lvl w:ilvl="1" w:tplc="9B4E77FA" w:tentative="1">
      <w:start w:val="1"/>
      <w:numFmt w:val="bullet"/>
      <w:lvlText w:val="•"/>
      <w:lvlJc w:val="left"/>
      <w:pPr>
        <w:tabs>
          <w:tab w:val="num" w:pos="1440"/>
        </w:tabs>
        <w:ind w:left="1440" w:hanging="360"/>
      </w:pPr>
      <w:rPr>
        <w:rFonts w:ascii="Arial" w:hAnsi="Arial" w:hint="default"/>
      </w:rPr>
    </w:lvl>
    <w:lvl w:ilvl="2" w:tplc="117ABEAA" w:tentative="1">
      <w:start w:val="1"/>
      <w:numFmt w:val="bullet"/>
      <w:lvlText w:val="•"/>
      <w:lvlJc w:val="left"/>
      <w:pPr>
        <w:tabs>
          <w:tab w:val="num" w:pos="2160"/>
        </w:tabs>
        <w:ind w:left="2160" w:hanging="360"/>
      </w:pPr>
      <w:rPr>
        <w:rFonts w:ascii="Arial" w:hAnsi="Arial" w:hint="default"/>
      </w:rPr>
    </w:lvl>
    <w:lvl w:ilvl="3" w:tplc="3170E536" w:tentative="1">
      <w:start w:val="1"/>
      <w:numFmt w:val="bullet"/>
      <w:lvlText w:val="•"/>
      <w:lvlJc w:val="left"/>
      <w:pPr>
        <w:tabs>
          <w:tab w:val="num" w:pos="2880"/>
        </w:tabs>
        <w:ind w:left="2880" w:hanging="360"/>
      </w:pPr>
      <w:rPr>
        <w:rFonts w:ascii="Arial" w:hAnsi="Arial" w:hint="default"/>
      </w:rPr>
    </w:lvl>
    <w:lvl w:ilvl="4" w:tplc="CB340364" w:tentative="1">
      <w:start w:val="1"/>
      <w:numFmt w:val="bullet"/>
      <w:lvlText w:val="•"/>
      <w:lvlJc w:val="left"/>
      <w:pPr>
        <w:tabs>
          <w:tab w:val="num" w:pos="3600"/>
        </w:tabs>
        <w:ind w:left="3600" w:hanging="360"/>
      </w:pPr>
      <w:rPr>
        <w:rFonts w:ascii="Arial" w:hAnsi="Arial" w:hint="default"/>
      </w:rPr>
    </w:lvl>
    <w:lvl w:ilvl="5" w:tplc="515001E4" w:tentative="1">
      <w:start w:val="1"/>
      <w:numFmt w:val="bullet"/>
      <w:lvlText w:val="•"/>
      <w:lvlJc w:val="left"/>
      <w:pPr>
        <w:tabs>
          <w:tab w:val="num" w:pos="4320"/>
        </w:tabs>
        <w:ind w:left="4320" w:hanging="360"/>
      </w:pPr>
      <w:rPr>
        <w:rFonts w:ascii="Arial" w:hAnsi="Arial" w:hint="default"/>
      </w:rPr>
    </w:lvl>
    <w:lvl w:ilvl="6" w:tplc="E5102112" w:tentative="1">
      <w:start w:val="1"/>
      <w:numFmt w:val="bullet"/>
      <w:lvlText w:val="•"/>
      <w:lvlJc w:val="left"/>
      <w:pPr>
        <w:tabs>
          <w:tab w:val="num" w:pos="5040"/>
        </w:tabs>
        <w:ind w:left="5040" w:hanging="360"/>
      </w:pPr>
      <w:rPr>
        <w:rFonts w:ascii="Arial" w:hAnsi="Arial" w:hint="default"/>
      </w:rPr>
    </w:lvl>
    <w:lvl w:ilvl="7" w:tplc="F5AEBD6C" w:tentative="1">
      <w:start w:val="1"/>
      <w:numFmt w:val="bullet"/>
      <w:lvlText w:val="•"/>
      <w:lvlJc w:val="left"/>
      <w:pPr>
        <w:tabs>
          <w:tab w:val="num" w:pos="5760"/>
        </w:tabs>
        <w:ind w:left="5760" w:hanging="360"/>
      </w:pPr>
      <w:rPr>
        <w:rFonts w:ascii="Arial" w:hAnsi="Arial" w:hint="default"/>
      </w:rPr>
    </w:lvl>
    <w:lvl w:ilvl="8" w:tplc="5F443E5E" w:tentative="1">
      <w:start w:val="1"/>
      <w:numFmt w:val="bullet"/>
      <w:lvlText w:val="•"/>
      <w:lvlJc w:val="left"/>
      <w:pPr>
        <w:tabs>
          <w:tab w:val="num" w:pos="6480"/>
        </w:tabs>
        <w:ind w:left="6480" w:hanging="360"/>
      </w:pPr>
      <w:rPr>
        <w:rFonts w:ascii="Arial" w:hAnsi="Arial" w:hint="default"/>
      </w:rPr>
    </w:lvl>
  </w:abstractNum>
  <w:abstractNum w:abstractNumId="25">
    <w:nsid w:val="4EDC1533"/>
    <w:multiLevelType w:val="multilevel"/>
    <w:tmpl w:val="1228C9A6"/>
    <w:lvl w:ilvl="0">
      <w:start w:val="4"/>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7">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8">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59BC5196"/>
    <w:multiLevelType w:val="multilevel"/>
    <w:tmpl w:val="558C36A2"/>
    <w:lvl w:ilvl="0">
      <w:start w:val="3"/>
      <w:numFmt w:val="decimal"/>
      <w:lvlText w:val="%1"/>
      <w:lvlJc w:val="left"/>
      <w:pPr>
        <w:ind w:left="1069" w:hanging="360"/>
      </w:pPr>
      <w:rPr>
        <w:rFonts w:hint="default"/>
        <w:i w:val="0"/>
      </w:rPr>
    </w:lvl>
    <w:lvl w:ilvl="1">
      <w:start w:val="1"/>
      <w:numFmt w:val="decimal"/>
      <w:lvlText w:val="%1.%2"/>
      <w:lvlJc w:val="left"/>
      <w:pPr>
        <w:ind w:left="1779" w:hanging="360"/>
      </w:pPr>
      <w:rPr>
        <w:rFonts w:hint="default"/>
        <w:i w:val="0"/>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509" w:hanging="1800"/>
      </w:pPr>
      <w:rPr>
        <w:rFonts w:hint="default"/>
      </w:rPr>
    </w:lvl>
  </w:abstractNum>
  <w:abstractNum w:abstractNumId="32">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5">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7">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8">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9">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0">
    <w:nsid w:val="784D033C"/>
    <w:multiLevelType w:val="multilevel"/>
    <w:tmpl w:val="ECECA7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22264A"/>
    <w:multiLevelType w:val="hybridMultilevel"/>
    <w:tmpl w:val="27261EF0"/>
    <w:lvl w:ilvl="0" w:tplc="62E6676E">
      <w:start w:val="1"/>
      <w:numFmt w:val="bullet"/>
      <w:lvlText w:val="•"/>
      <w:lvlJc w:val="left"/>
      <w:pPr>
        <w:tabs>
          <w:tab w:val="num" w:pos="720"/>
        </w:tabs>
        <w:ind w:left="720" w:hanging="360"/>
      </w:pPr>
      <w:rPr>
        <w:rFonts w:ascii="Arial" w:hAnsi="Arial" w:hint="default"/>
      </w:rPr>
    </w:lvl>
    <w:lvl w:ilvl="1" w:tplc="570AA21A" w:tentative="1">
      <w:start w:val="1"/>
      <w:numFmt w:val="bullet"/>
      <w:lvlText w:val="•"/>
      <w:lvlJc w:val="left"/>
      <w:pPr>
        <w:tabs>
          <w:tab w:val="num" w:pos="1440"/>
        </w:tabs>
        <w:ind w:left="1440" w:hanging="360"/>
      </w:pPr>
      <w:rPr>
        <w:rFonts w:ascii="Arial" w:hAnsi="Arial" w:hint="default"/>
      </w:rPr>
    </w:lvl>
    <w:lvl w:ilvl="2" w:tplc="290AB4AE" w:tentative="1">
      <w:start w:val="1"/>
      <w:numFmt w:val="bullet"/>
      <w:lvlText w:val="•"/>
      <w:lvlJc w:val="left"/>
      <w:pPr>
        <w:tabs>
          <w:tab w:val="num" w:pos="2160"/>
        </w:tabs>
        <w:ind w:left="2160" w:hanging="360"/>
      </w:pPr>
      <w:rPr>
        <w:rFonts w:ascii="Arial" w:hAnsi="Arial" w:hint="default"/>
      </w:rPr>
    </w:lvl>
    <w:lvl w:ilvl="3" w:tplc="0CC06FAA" w:tentative="1">
      <w:start w:val="1"/>
      <w:numFmt w:val="bullet"/>
      <w:lvlText w:val="•"/>
      <w:lvlJc w:val="left"/>
      <w:pPr>
        <w:tabs>
          <w:tab w:val="num" w:pos="2880"/>
        </w:tabs>
        <w:ind w:left="2880" w:hanging="360"/>
      </w:pPr>
      <w:rPr>
        <w:rFonts w:ascii="Arial" w:hAnsi="Arial" w:hint="default"/>
      </w:rPr>
    </w:lvl>
    <w:lvl w:ilvl="4" w:tplc="67FE07FE" w:tentative="1">
      <w:start w:val="1"/>
      <w:numFmt w:val="bullet"/>
      <w:lvlText w:val="•"/>
      <w:lvlJc w:val="left"/>
      <w:pPr>
        <w:tabs>
          <w:tab w:val="num" w:pos="3600"/>
        </w:tabs>
        <w:ind w:left="3600" w:hanging="360"/>
      </w:pPr>
      <w:rPr>
        <w:rFonts w:ascii="Arial" w:hAnsi="Arial" w:hint="default"/>
      </w:rPr>
    </w:lvl>
    <w:lvl w:ilvl="5" w:tplc="F070893A" w:tentative="1">
      <w:start w:val="1"/>
      <w:numFmt w:val="bullet"/>
      <w:lvlText w:val="•"/>
      <w:lvlJc w:val="left"/>
      <w:pPr>
        <w:tabs>
          <w:tab w:val="num" w:pos="4320"/>
        </w:tabs>
        <w:ind w:left="4320" w:hanging="360"/>
      </w:pPr>
      <w:rPr>
        <w:rFonts w:ascii="Arial" w:hAnsi="Arial" w:hint="default"/>
      </w:rPr>
    </w:lvl>
    <w:lvl w:ilvl="6" w:tplc="20DACD56" w:tentative="1">
      <w:start w:val="1"/>
      <w:numFmt w:val="bullet"/>
      <w:lvlText w:val="•"/>
      <w:lvlJc w:val="left"/>
      <w:pPr>
        <w:tabs>
          <w:tab w:val="num" w:pos="5040"/>
        </w:tabs>
        <w:ind w:left="5040" w:hanging="360"/>
      </w:pPr>
      <w:rPr>
        <w:rFonts w:ascii="Arial" w:hAnsi="Arial" w:hint="default"/>
      </w:rPr>
    </w:lvl>
    <w:lvl w:ilvl="7" w:tplc="FEACD74A" w:tentative="1">
      <w:start w:val="1"/>
      <w:numFmt w:val="bullet"/>
      <w:lvlText w:val="•"/>
      <w:lvlJc w:val="left"/>
      <w:pPr>
        <w:tabs>
          <w:tab w:val="num" w:pos="5760"/>
        </w:tabs>
        <w:ind w:left="5760" w:hanging="360"/>
      </w:pPr>
      <w:rPr>
        <w:rFonts w:ascii="Arial" w:hAnsi="Arial" w:hint="default"/>
      </w:rPr>
    </w:lvl>
    <w:lvl w:ilvl="8" w:tplc="E3FE4B8E" w:tentative="1">
      <w:start w:val="1"/>
      <w:numFmt w:val="bullet"/>
      <w:lvlText w:val="•"/>
      <w:lvlJc w:val="left"/>
      <w:pPr>
        <w:tabs>
          <w:tab w:val="num" w:pos="6480"/>
        </w:tabs>
        <w:ind w:left="6480" w:hanging="360"/>
      </w:pPr>
      <w:rPr>
        <w:rFonts w:ascii="Arial" w:hAnsi="Arial" w:hint="default"/>
      </w:rPr>
    </w:lvl>
  </w:abstractNum>
  <w:abstractNum w:abstractNumId="43">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9"/>
  </w:num>
  <w:num w:numId="2">
    <w:abstractNumId w:val="36"/>
  </w:num>
  <w:num w:numId="3">
    <w:abstractNumId w:val="21"/>
  </w:num>
  <w:num w:numId="4">
    <w:abstractNumId w:val="0"/>
  </w:num>
  <w:num w:numId="5">
    <w:abstractNumId w:val="6"/>
  </w:num>
  <w:num w:numId="6">
    <w:abstractNumId w:val="18"/>
  </w:num>
  <w:num w:numId="7">
    <w:abstractNumId w:val="15"/>
  </w:num>
  <w:num w:numId="8">
    <w:abstractNumId w:val="5"/>
  </w:num>
  <w:num w:numId="9">
    <w:abstractNumId w:val="8"/>
  </w:num>
  <w:num w:numId="10">
    <w:abstractNumId w:val="34"/>
  </w:num>
  <w:num w:numId="1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37"/>
  </w:num>
  <w:num w:numId="15">
    <w:abstractNumId w:val="30"/>
  </w:num>
  <w:num w:numId="16">
    <w:abstractNumId w:val="26"/>
  </w:num>
  <w:num w:numId="17">
    <w:abstractNumId w:val="39"/>
  </w:num>
  <w:num w:numId="18">
    <w:abstractNumId w:val="12"/>
  </w:num>
  <w:num w:numId="19">
    <w:abstractNumId w:val="16"/>
  </w:num>
  <w:num w:numId="20">
    <w:abstractNumId w:val="4"/>
  </w:num>
  <w:num w:numId="21">
    <w:abstractNumId w:val="33"/>
  </w:num>
  <w:num w:numId="22">
    <w:abstractNumId w:val="35"/>
  </w:num>
  <w:num w:numId="23">
    <w:abstractNumId w:val="41"/>
  </w:num>
  <w:num w:numId="24">
    <w:abstractNumId w:val="14"/>
  </w:num>
  <w:num w:numId="25">
    <w:abstractNumId w:val="40"/>
  </w:num>
  <w:num w:numId="26">
    <w:abstractNumId w:val="31"/>
  </w:num>
  <w:num w:numId="27">
    <w:abstractNumId w:val="11"/>
  </w:num>
  <w:num w:numId="28">
    <w:abstractNumId w:val="7"/>
  </w:num>
  <w:num w:numId="29">
    <w:abstractNumId w:val="28"/>
  </w:num>
  <w:num w:numId="30">
    <w:abstractNumId w:val="3"/>
  </w:num>
  <w:num w:numId="31">
    <w:abstractNumId w:val="29"/>
  </w:num>
  <w:num w:numId="32">
    <w:abstractNumId w:val="38"/>
  </w:num>
  <w:num w:numId="33">
    <w:abstractNumId w:val="27"/>
  </w:num>
  <w:num w:numId="34">
    <w:abstractNumId w:val="43"/>
  </w:num>
  <w:num w:numId="35">
    <w:abstractNumId w:val="10"/>
  </w:num>
  <w:num w:numId="36">
    <w:abstractNumId w:val="23"/>
  </w:num>
  <w:num w:numId="37">
    <w:abstractNumId w:val="32"/>
  </w:num>
  <w:num w:numId="38">
    <w:abstractNumId w:val="2"/>
  </w:num>
  <w:num w:numId="39">
    <w:abstractNumId w:val="13"/>
  </w:num>
  <w:num w:numId="40">
    <w:abstractNumId w:val="17"/>
  </w:num>
  <w:num w:numId="41">
    <w:abstractNumId w:val="24"/>
  </w:num>
  <w:num w:numId="42">
    <w:abstractNumId w:val="20"/>
  </w:num>
  <w:num w:numId="43">
    <w:abstractNumId w:val="42"/>
  </w:num>
  <w:num w:numId="44">
    <w:abstractNumId w:val="1"/>
  </w:num>
  <w:num w:numId="45">
    <w:abstractNumId w:val="19"/>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421A1"/>
    <w:rsid w:val="0004240E"/>
    <w:rsid w:val="00045E26"/>
    <w:rsid w:val="000514B5"/>
    <w:rsid w:val="00060E64"/>
    <w:rsid w:val="00066755"/>
    <w:rsid w:val="00072E64"/>
    <w:rsid w:val="00094900"/>
    <w:rsid w:val="000968AB"/>
    <w:rsid w:val="000969AD"/>
    <w:rsid w:val="000B558D"/>
    <w:rsid w:val="000C6996"/>
    <w:rsid w:val="000D23BA"/>
    <w:rsid w:val="000D352C"/>
    <w:rsid w:val="000E681E"/>
    <w:rsid w:val="000E6F4F"/>
    <w:rsid w:val="000F4E6A"/>
    <w:rsid w:val="001107BF"/>
    <w:rsid w:val="00113311"/>
    <w:rsid w:val="0012417C"/>
    <w:rsid w:val="00142395"/>
    <w:rsid w:val="00142714"/>
    <w:rsid w:val="001452ED"/>
    <w:rsid w:val="0016422B"/>
    <w:rsid w:val="001830CE"/>
    <w:rsid w:val="00196307"/>
    <w:rsid w:val="001B017F"/>
    <w:rsid w:val="001B5129"/>
    <w:rsid w:val="001C1195"/>
    <w:rsid w:val="001F3C8B"/>
    <w:rsid w:val="00213CFB"/>
    <w:rsid w:val="00234D56"/>
    <w:rsid w:val="00265AC3"/>
    <w:rsid w:val="00271BA1"/>
    <w:rsid w:val="00277505"/>
    <w:rsid w:val="0029458F"/>
    <w:rsid w:val="002A104C"/>
    <w:rsid w:val="002A4960"/>
    <w:rsid w:val="002A4FF8"/>
    <w:rsid w:val="002B1AE6"/>
    <w:rsid w:val="002B30F8"/>
    <w:rsid w:val="002C212F"/>
    <w:rsid w:val="002C2148"/>
    <w:rsid w:val="002E6761"/>
    <w:rsid w:val="002E72CA"/>
    <w:rsid w:val="00326E79"/>
    <w:rsid w:val="0033136B"/>
    <w:rsid w:val="0033452C"/>
    <w:rsid w:val="003367EF"/>
    <w:rsid w:val="00337871"/>
    <w:rsid w:val="00341AE4"/>
    <w:rsid w:val="00380187"/>
    <w:rsid w:val="003A5B4A"/>
    <w:rsid w:val="003B23C5"/>
    <w:rsid w:val="003B2A75"/>
    <w:rsid w:val="003B5CAF"/>
    <w:rsid w:val="003D4AC4"/>
    <w:rsid w:val="003D63B7"/>
    <w:rsid w:val="003E0D9F"/>
    <w:rsid w:val="003E1F47"/>
    <w:rsid w:val="003E468B"/>
    <w:rsid w:val="003F5C8C"/>
    <w:rsid w:val="00431D99"/>
    <w:rsid w:val="00437A25"/>
    <w:rsid w:val="004465BD"/>
    <w:rsid w:val="00466ADA"/>
    <w:rsid w:val="00485940"/>
    <w:rsid w:val="00487C2B"/>
    <w:rsid w:val="004932AE"/>
    <w:rsid w:val="004B0F44"/>
    <w:rsid w:val="004B5640"/>
    <w:rsid w:val="004C1BD7"/>
    <w:rsid w:val="004C691D"/>
    <w:rsid w:val="004E692D"/>
    <w:rsid w:val="005037B9"/>
    <w:rsid w:val="00514CD7"/>
    <w:rsid w:val="00515075"/>
    <w:rsid w:val="005274D4"/>
    <w:rsid w:val="00534E2E"/>
    <w:rsid w:val="00540CD2"/>
    <w:rsid w:val="00544552"/>
    <w:rsid w:val="00557E61"/>
    <w:rsid w:val="00581932"/>
    <w:rsid w:val="00592C48"/>
    <w:rsid w:val="005963BB"/>
    <w:rsid w:val="005A3173"/>
    <w:rsid w:val="005A3223"/>
    <w:rsid w:val="005A3DA3"/>
    <w:rsid w:val="005A52C4"/>
    <w:rsid w:val="005B6DC2"/>
    <w:rsid w:val="005C20CC"/>
    <w:rsid w:val="005C248C"/>
    <w:rsid w:val="005C6DEE"/>
    <w:rsid w:val="005D03AB"/>
    <w:rsid w:val="005D5017"/>
    <w:rsid w:val="005E6FD4"/>
    <w:rsid w:val="005F204A"/>
    <w:rsid w:val="005F2D35"/>
    <w:rsid w:val="005F4AE8"/>
    <w:rsid w:val="00601A91"/>
    <w:rsid w:val="00602BA3"/>
    <w:rsid w:val="00614159"/>
    <w:rsid w:val="00617C00"/>
    <w:rsid w:val="006263BF"/>
    <w:rsid w:val="00630A2C"/>
    <w:rsid w:val="00642A06"/>
    <w:rsid w:val="00651169"/>
    <w:rsid w:val="00653D69"/>
    <w:rsid w:val="00670A76"/>
    <w:rsid w:val="006711AA"/>
    <w:rsid w:val="00675622"/>
    <w:rsid w:val="00684E80"/>
    <w:rsid w:val="006906DB"/>
    <w:rsid w:val="006A12A5"/>
    <w:rsid w:val="006A21DE"/>
    <w:rsid w:val="006B0D94"/>
    <w:rsid w:val="006B485D"/>
    <w:rsid w:val="006C708E"/>
    <w:rsid w:val="006D6EC7"/>
    <w:rsid w:val="006F1F5A"/>
    <w:rsid w:val="006F5125"/>
    <w:rsid w:val="007174BB"/>
    <w:rsid w:val="00762230"/>
    <w:rsid w:val="00773DB8"/>
    <w:rsid w:val="007753C2"/>
    <w:rsid w:val="007838B8"/>
    <w:rsid w:val="007C0F57"/>
    <w:rsid w:val="007C40B6"/>
    <w:rsid w:val="007C729F"/>
    <w:rsid w:val="007E1D28"/>
    <w:rsid w:val="007E4766"/>
    <w:rsid w:val="007F2641"/>
    <w:rsid w:val="007F7C36"/>
    <w:rsid w:val="00806796"/>
    <w:rsid w:val="00856DDD"/>
    <w:rsid w:val="00863E68"/>
    <w:rsid w:val="008759F4"/>
    <w:rsid w:val="00882085"/>
    <w:rsid w:val="00883188"/>
    <w:rsid w:val="00897D58"/>
    <w:rsid w:val="008A4937"/>
    <w:rsid w:val="008A4ACE"/>
    <w:rsid w:val="008C56E6"/>
    <w:rsid w:val="008D3C82"/>
    <w:rsid w:val="008D447E"/>
    <w:rsid w:val="008E133D"/>
    <w:rsid w:val="008E3680"/>
    <w:rsid w:val="008E5870"/>
    <w:rsid w:val="008F1434"/>
    <w:rsid w:val="008F4792"/>
    <w:rsid w:val="008F7355"/>
    <w:rsid w:val="009067B7"/>
    <w:rsid w:val="00930937"/>
    <w:rsid w:val="00933E6C"/>
    <w:rsid w:val="00942160"/>
    <w:rsid w:val="00943E8C"/>
    <w:rsid w:val="00953CDA"/>
    <w:rsid w:val="009602C5"/>
    <w:rsid w:val="00974C21"/>
    <w:rsid w:val="009773F5"/>
    <w:rsid w:val="0098486F"/>
    <w:rsid w:val="00984EE4"/>
    <w:rsid w:val="00990201"/>
    <w:rsid w:val="009C703C"/>
    <w:rsid w:val="009D3CAA"/>
    <w:rsid w:val="009F5B65"/>
    <w:rsid w:val="009F5F2E"/>
    <w:rsid w:val="00A02EA7"/>
    <w:rsid w:val="00A06225"/>
    <w:rsid w:val="00A35ED8"/>
    <w:rsid w:val="00A37C8D"/>
    <w:rsid w:val="00A5273B"/>
    <w:rsid w:val="00A53A9D"/>
    <w:rsid w:val="00A62C1A"/>
    <w:rsid w:val="00A6426D"/>
    <w:rsid w:val="00A70622"/>
    <w:rsid w:val="00A70977"/>
    <w:rsid w:val="00A8390C"/>
    <w:rsid w:val="00AA4D1C"/>
    <w:rsid w:val="00AC5206"/>
    <w:rsid w:val="00AD7BAB"/>
    <w:rsid w:val="00AE11A5"/>
    <w:rsid w:val="00AF68CC"/>
    <w:rsid w:val="00B00E38"/>
    <w:rsid w:val="00B01853"/>
    <w:rsid w:val="00B205AA"/>
    <w:rsid w:val="00B25F75"/>
    <w:rsid w:val="00B30FFD"/>
    <w:rsid w:val="00B37C26"/>
    <w:rsid w:val="00B43E90"/>
    <w:rsid w:val="00B43F09"/>
    <w:rsid w:val="00B56118"/>
    <w:rsid w:val="00B6593B"/>
    <w:rsid w:val="00B6773F"/>
    <w:rsid w:val="00BB69F5"/>
    <w:rsid w:val="00BB7EC3"/>
    <w:rsid w:val="00BC4B9A"/>
    <w:rsid w:val="00BD784C"/>
    <w:rsid w:val="00BF4CB6"/>
    <w:rsid w:val="00C12768"/>
    <w:rsid w:val="00C16A18"/>
    <w:rsid w:val="00C35996"/>
    <w:rsid w:val="00C41E2C"/>
    <w:rsid w:val="00C5342C"/>
    <w:rsid w:val="00C6256A"/>
    <w:rsid w:val="00C86540"/>
    <w:rsid w:val="00C91449"/>
    <w:rsid w:val="00C92D10"/>
    <w:rsid w:val="00CB2596"/>
    <w:rsid w:val="00CC2E8D"/>
    <w:rsid w:val="00CE10C4"/>
    <w:rsid w:val="00CE27B5"/>
    <w:rsid w:val="00D0321E"/>
    <w:rsid w:val="00D10931"/>
    <w:rsid w:val="00D15144"/>
    <w:rsid w:val="00D3280C"/>
    <w:rsid w:val="00D3406A"/>
    <w:rsid w:val="00D469B2"/>
    <w:rsid w:val="00D50F4D"/>
    <w:rsid w:val="00D7174A"/>
    <w:rsid w:val="00D741EB"/>
    <w:rsid w:val="00D87422"/>
    <w:rsid w:val="00D91271"/>
    <w:rsid w:val="00DA4BAC"/>
    <w:rsid w:val="00DC4E9F"/>
    <w:rsid w:val="00DE594C"/>
    <w:rsid w:val="00DE599B"/>
    <w:rsid w:val="00DE6D27"/>
    <w:rsid w:val="00DF217D"/>
    <w:rsid w:val="00DF26A7"/>
    <w:rsid w:val="00E164B3"/>
    <w:rsid w:val="00E16910"/>
    <w:rsid w:val="00E65E54"/>
    <w:rsid w:val="00E80155"/>
    <w:rsid w:val="00E848C0"/>
    <w:rsid w:val="00E91B96"/>
    <w:rsid w:val="00E941A1"/>
    <w:rsid w:val="00E95CE3"/>
    <w:rsid w:val="00EA2825"/>
    <w:rsid w:val="00EB3EEE"/>
    <w:rsid w:val="00EB5088"/>
    <w:rsid w:val="00EC4779"/>
    <w:rsid w:val="00ED1644"/>
    <w:rsid w:val="00EE140A"/>
    <w:rsid w:val="00F050BD"/>
    <w:rsid w:val="00F05657"/>
    <w:rsid w:val="00F25578"/>
    <w:rsid w:val="00F258E5"/>
    <w:rsid w:val="00F300BC"/>
    <w:rsid w:val="00F3334E"/>
    <w:rsid w:val="00F50EC4"/>
    <w:rsid w:val="00F57A6D"/>
    <w:rsid w:val="00F6372E"/>
    <w:rsid w:val="00F638CC"/>
    <w:rsid w:val="00F72486"/>
    <w:rsid w:val="00F73259"/>
    <w:rsid w:val="00F8247A"/>
    <w:rsid w:val="00FA5883"/>
    <w:rsid w:val="00FA6055"/>
    <w:rsid w:val="00FB322F"/>
    <w:rsid w:val="00FB442F"/>
    <w:rsid w:val="00FC1929"/>
    <w:rsid w:val="00FC5B46"/>
    <w:rsid w:val="00FF1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customStyle="1" w:styleId="Default">
    <w:name w:val="Default"/>
    <w:rsid w:val="00B37C26"/>
    <w:pPr>
      <w:autoSpaceDE w:val="0"/>
      <w:autoSpaceDN w:val="0"/>
      <w:adjustRightInd w:val="0"/>
    </w:pPr>
    <w:rPr>
      <w:rFonts w:ascii="Arial" w:hAnsi="Arial" w:cs="Arial"/>
      <w:color w:val="000000"/>
      <w:sz w:val="24"/>
      <w:szCs w:val="24"/>
    </w:rPr>
  </w:style>
  <w:style w:type="character" w:customStyle="1" w:styleId="ListParagraphChar">
    <w:name w:val="List Paragraph Char"/>
    <w:link w:val="ListParagraph"/>
    <w:uiPriority w:val="72"/>
    <w:rsid w:val="00CB259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customStyle="1" w:styleId="Default">
    <w:name w:val="Default"/>
    <w:rsid w:val="00B37C26"/>
    <w:pPr>
      <w:autoSpaceDE w:val="0"/>
      <w:autoSpaceDN w:val="0"/>
      <w:adjustRightInd w:val="0"/>
    </w:pPr>
    <w:rPr>
      <w:rFonts w:ascii="Arial" w:hAnsi="Arial" w:cs="Arial"/>
      <w:color w:val="000000"/>
      <w:sz w:val="24"/>
      <w:szCs w:val="24"/>
    </w:rPr>
  </w:style>
  <w:style w:type="character" w:customStyle="1" w:styleId="ListParagraphChar">
    <w:name w:val="List Paragraph Char"/>
    <w:link w:val="ListParagraph"/>
    <w:uiPriority w:val="72"/>
    <w:rsid w:val="00CB25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83504421">
      <w:bodyDiv w:val="1"/>
      <w:marLeft w:val="0"/>
      <w:marRight w:val="0"/>
      <w:marTop w:val="0"/>
      <w:marBottom w:val="0"/>
      <w:divBdr>
        <w:top w:val="none" w:sz="0" w:space="0" w:color="auto"/>
        <w:left w:val="none" w:sz="0" w:space="0" w:color="auto"/>
        <w:bottom w:val="none" w:sz="0" w:space="0" w:color="auto"/>
        <w:right w:val="none" w:sz="0" w:space="0" w:color="auto"/>
      </w:divBdr>
      <w:divsChild>
        <w:div w:id="679162465">
          <w:marLeft w:val="547"/>
          <w:marRight w:val="0"/>
          <w:marTop w:val="96"/>
          <w:marBottom w:val="0"/>
          <w:divBdr>
            <w:top w:val="none" w:sz="0" w:space="0" w:color="auto"/>
            <w:left w:val="none" w:sz="0" w:space="0" w:color="auto"/>
            <w:bottom w:val="none" w:sz="0" w:space="0" w:color="auto"/>
            <w:right w:val="none" w:sz="0" w:space="0" w:color="auto"/>
          </w:divBdr>
        </w:div>
        <w:div w:id="1530678824">
          <w:marLeft w:val="1166"/>
          <w:marRight w:val="0"/>
          <w:marTop w:val="86"/>
          <w:marBottom w:val="0"/>
          <w:divBdr>
            <w:top w:val="none" w:sz="0" w:space="0" w:color="auto"/>
            <w:left w:val="none" w:sz="0" w:space="0" w:color="auto"/>
            <w:bottom w:val="none" w:sz="0" w:space="0" w:color="auto"/>
            <w:right w:val="none" w:sz="0" w:space="0" w:color="auto"/>
          </w:divBdr>
        </w:div>
        <w:div w:id="2130273126">
          <w:marLeft w:val="1166"/>
          <w:marRight w:val="0"/>
          <w:marTop w:val="86"/>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39539194">
      <w:bodyDiv w:val="1"/>
      <w:marLeft w:val="0"/>
      <w:marRight w:val="0"/>
      <w:marTop w:val="0"/>
      <w:marBottom w:val="0"/>
      <w:divBdr>
        <w:top w:val="none" w:sz="0" w:space="0" w:color="auto"/>
        <w:left w:val="none" w:sz="0" w:space="0" w:color="auto"/>
        <w:bottom w:val="none" w:sz="0" w:space="0" w:color="auto"/>
        <w:right w:val="none" w:sz="0" w:space="0" w:color="auto"/>
      </w:divBdr>
      <w:divsChild>
        <w:div w:id="2077121989">
          <w:marLeft w:val="547"/>
          <w:marRight w:val="0"/>
          <w:marTop w:val="96"/>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117016947">
      <w:bodyDiv w:val="1"/>
      <w:marLeft w:val="0"/>
      <w:marRight w:val="0"/>
      <w:marTop w:val="0"/>
      <w:marBottom w:val="0"/>
      <w:divBdr>
        <w:top w:val="none" w:sz="0" w:space="0" w:color="auto"/>
        <w:left w:val="none" w:sz="0" w:space="0" w:color="auto"/>
        <w:bottom w:val="none" w:sz="0" w:space="0" w:color="auto"/>
        <w:right w:val="none" w:sz="0" w:space="0" w:color="auto"/>
      </w:divBdr>
      <w:divsChild>
        <w:div w:id="1688100330">
          <w:marLeft w:val="547"/>
          <w:marRight w:val="0"/>
          <w:marTop w:val="86"/>
          <w:marBottom w:val="0"/>
          <w:divBdr>
            <w:top w:val="none" w:sz="0" w:space="0" w:color="auto"/>
            <w:left w:val="none" w:sz="0" w:space="0" w:color="auto"/>
            <w:bottom w:val="none" w:sz="0" w:space="0" w:color="auto"/>
            <w:right w:val="none" w:sz="0" w:space="0" w:color="auto"/>
          </w:divBdr>
        </w:div>
        <w:div w:id="1671562497">
          <w:marLeft w:val="1166"/>
          <w:marRight w:val="0"/>
          <w:marTop w:val="7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orrsOffice\Templates\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04BB5-BBCA-4BB9-80F2-44AF9FDD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1</TotalTime>
  <Pages>3</Pages>
  <Words>1341</Words>
  <Characters>7509</Characters>
  <Application>Microsoft Office Word</Application>
  <DocSecurity>2</DocSecurity>
  <Lines>62</Lines>
  <Paragraphs>17</Paragraphs>
  <ScaleCrop>false</ScaleCrop>
  <HeadingPairs>
    <vt:vector size="2" baseType="variant">
      <vt:variant>
        <vt:lpstr>Title</vt:lpstr>
      </vt:variant>
      <vt:variant>
        <vt:i4>1</vt:i4>
      </vt:variant>
    </vt:vector>
  </HeadingPairs>
  <TitlesOfParts>
    <vt:vector size="1" baseType="lpstr">
      <vt:lpstr>UPDATED 2 September 2004</vt:lpstr>
    </vt:vector>
  </TitlesOfParts>
  <Company>Dept Health And Ageing</Company>
  <LinksUpToDate>false</LinksUpToDate>
  <CharactersWithSpaces>8833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2 September 2004</dc:title>
  <dc:creator>Abdullah Ameera</dc:creator>
  <cp:lastModifiedBy>Mareddy Shobha</cp:lastModifiedBy>
  <cp:revision>3</cp:revision>
  <cp:lastPrinted>2014-08-13T02:57:00Z</cp:lastPrinted>
  <dcterms:created xsi:type="dcterms:W3CDTF">2014-10-20T05:32:00Z</dcterms:created>
  <dcterms:modified xsi:type="dcterms:W3CDTF">2014-11-12T03:06:00Z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_AdHocReviewCycleID">
    <vt:i4>1790909748</vt:i4>
  </property>
  <property fmtid="{D5CDD505-2E9C-101B-9397-08002B2CF9AE}" pid="9" name="_NewReviewCycle">
    <vt:lpwstr/>
  </property>
  <property fmtid="{D5CDD505-2E9C-101B-9397-08002B2CF9AE}" pid="10" name="_EmailSubject">
    <vt:lpwstr>NEW Draft PBAC Minutes for 3rd line diabetes drug restrictions **prepared for the purpose of obtaining legal advice** [SEC=UNCLASSIFIED]</vt:lpwstr>
  </property>
  <property fmtid="{D5CDD505-2E9C-101B-9397-08002B2CF9AE}" pid="11" name="_AuthorEmail">
    <vt:lpwstr>Andrew.Korbel@corrs.com.au</vt:lpwstr>
  </property>
  <property fmtid="{D5CDD505-2E9C-101B-9397-08002B2CF9AE}" pid="12" name="_AuthorEmailDisplayName">
    <vt:lpwstr>Andrew Korbel</vt:lpwstr>
  </property>
  <property fmtid="{D5CDD505-2E9C-101B-9397-08002B2CF9AE}" pid="13" name="_ReviewingToolsShownOnce">
    <vt:lpwstr/>
  </property>
</Properties>
</file>