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EF" w:rsidRPr="0082466E" w:rsidRDefault="00700467" w:rsidP="0082466E">
      <w:pPr>
        <w:pStyle w:val="Heading1"/>
        <w:rPr>
          <w:sz w:val="28"/>
          <w:szCs w:val="28"/>
        </w:rPr>
      </w:pPr>
      <w:r>
        <w:t>6</w:t>
      </w:r>
      <w:r w:rsidR="0004240E" w:rsidRPr="006D6EC7">
        <w:t>.</w:t>
      </w:r>
      <w:r>
        <w:t>7</w:t>
      </w:r>
      <w:r w:rsidR="007C0F57" w:rsidRPr="006D6EC7">
        <w:tab/>
      </w:r>
      <w:r w:rsidRPr="0082466E">
        <w:rPr>
          <w:sz w:val="28"/>
          <w:szCs w:val="28"/>
        </w:rPr>
        <w:t>STRONTIUM RANELATE</w:t>
      </w:r>
      <w:r w:rsidR="0004240E" w:rsidRPr="0082466E">
        <w:rPr>
          <w:sz w:val="28"/>
          <w:szCs w:val="28"/>
        </w:rPr>
        <w:t xml:space="preserve">, </w:t>
      </w:r>
      <w:r w:rsidRPr="0082466E">
        <w:rPr>
          <w:sz w:val="28"/>
          <w:szCs w:val="28"/>
        </w:rPr>
        <w:t>2g granules</w:t>
      </w:r>
      <w:r w:rsidR="0004240E" w:rsidRPr="0082466E">
        <w:rPr>
          <w:sz w:val="28"/>
          <w:szCs w:val="28"/>
        </w:rPr>
        <w:t xml:space="preserve">, </w:t>
      </w:r>
      <w:r w:rsidRPr="0082466E">
        <w:rPr>
          <w:sz w:val="28"/>
          <w:szCs w:val="28"/>
        </w:rPr>
        <w:t xml:space="preserve">28x2 sachets, </w:t>
      </w:r>
    </w:p>
    <w:p w:rsidR="00D3280C" w:rsidRPr="0082466E" w:rsidRDefault="00700467" w:rsidP="0082466E">
      <w:pPr>
        <w:pStyle w:val="Heading1"/>
        <w:rPr>
          <w:sz w:val="28"/>
          <w:szCs w:val="28"/>
        </w:rPr>
      </w:pPr>
      <w:proofErr w:type="spellStart"/>
      <w:proofErr w:type="gramStart"/>
      <w:r w:rsidRPr="0082466E">
        <w:rPr>
          <w:sz w:val="28"/>
          <w:szCs w:val="28"/>
        </w:rPr>
        <w:t>Protos</w:t>
      </w:r>
      <w:proofErr w:type="spellEnd"/>
      <w:r w:rsidRPr="0082466E">
        <w:rPr>
          <w:sz w:val="28"/>
          <w:szCs w:val="28"/>
          <w:vertAlign w:val="superscript"/>
        </w:rPr>
        <w:t>®</w:t>
      </w:r>
      <w:r w:rsidRPr="0082466E">
        <w:rPr>
          <w:sz w:val="28"/>
          <w:szCs w:val="28"/>
        </w:rPr>
        <w:t xml:space="preserve"> </w:t>
      </w:r>
      <w:proofErr w:type="spellStart"/>
      <w:r w:rsidRPr="0082466E">
        <w:rPr>
          <w:sz w:val="28"/>
          <w:szCs w:val="28"/>
        </w:rPr>
        <w:t>Servier</w:t>
      </w:r>
      <w:proofErr w:type="spellEnd"/>
      <w:r w:rsidRPr="0082466E">
        <w:rPr>
          <w:sz w:val="28"/>
          <w:szCs w:val="28"/>
        </w:rPr>
        <w:t xml:space="preserve"> Laboratories Australia Pty Ltd</w:t>
      </w:r>
      <w:r w:rsidR="0004240E" w:rsidRPr="0082466E">
        <w:rPr>
          <w:sz w:val="28"/>
          <w:szCs w:val="28"/>
        </w:rPr>
        <w:t>.</w:t>
      </w:r>
      <w:proofErr w:type="gramEnd"/>
    </w:p>
    <w:p w:rsidR="00CE10C4" w:rsidRDefault="00CE10C4" w:rsidP="00A5273B">
      <w:pPr>
        <w:rPr>
          <w:rFonts w:ascii="Arial" w:hAnsi="Arial"/>
          <w:b/>
        </w:rPr>
      </w:pPr>
    </w:p>
    <w:p w:rsidR="003B44EF" w:rsidRPr="00407F2D" w:rsidRDefault="003B44EF" w:rsidP="003B44EF">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4E6836" w:rsidRDefault="006A12A5" w:rsidP="00882085">
      <w:pPr>
        <w:jc w:val="both"/>
        <w:rPr>
          <w:rFonts w:ascii="Arial" w:hAnsi="Arial"/>
          <w:sz w:val="22"/>
          <w:szCs w:val="22"/>
        </w:rPr>
      </w:pPr>
    </w:p>
    <w:p w:rsidR="00E16910" w:rsidRPr="004E6836" w:rsidRDefault="00700467" w:rsidP="00882085">
      <w:pPr>
        <w:pStyle w:val="ListParagraph"/>
        <w:numPr>
          <w:ilvl w:val="1"/>
          <w:numId w:val="25"/>
        </w:numPr>
        <w:jc w:val="both"/>
        <w:rPr>
          <w:rFonts w:ascii="Arial" w:hAnsi="Arial"/>
          <w:sz w:val="22"/>
          <w:szCs w:val="22"/>
        </w:rPr>
      </w:pPr>
      <w:r w:rsidRPr="004E6836">
        <w:rPr>
          <w:rFonts w:ascii="Arial" w:hAnsi="Arial" w:cs="Arial"/>
          <w:sz w:val="22"/>
          <w:szCs w:val="22"/>
        </w:rPr>
        <w:t>To request a change to the existing PBS listing for treatment of patients with established osteoporosis to reflect amended TGA indications following a safety review.</w:t>
      </w:r>
      <w:r w:rsidRPr="004E6836">
        <w:rPr>
          <w:rFonts w:ascii="Arial" w:hAnsi="Arial"/>
          <w:sz w:val="22"/>
          <w:szCs w:val="22"/>
        </w:rPr>
        <w:t xml:space="preserve"> </w:t>
      </w:r>
    </w:p>
    <w:p w:rsidR="003B44EF" w:rsidRPr="004E6836" w:rsidRDefault="003B44EF" w:rsidP="00882085">
      <w:pPr>
        <w:jc w:val="both"/>
        <w:rPr>
          <w:rFonts w:ascii="Arial" w:hAnsi="Arial"/>
          <w:b/>
          <w:sz w:val="22"/>
          <w:szCs w:val="22"/>
        </w:rPr>
      </w:pPr>
    </w:p>
    <w:p w:rsidR="003B44EF" w:rsidRPr="00407F2D" w:rsidRDefault="003B44EF" w:rsidP="003B44EF">
      <w:pPr>
        <w:pStyle w:val="ListParagraph"/>
        <w:numPr>
          <w:ilvl w:val="0"/>
          <w:numId w:val="25"/>
        </w:numPr>
        <w:jc w:val="both"/>
        <w:rPr>
          <w:rFonts w:ascii="Arial" w:hAnsi="Arial"/>
          <w:b/>
          <w:sz w:val="22"/>
          <w:szCs w:val="22"/>
        </w:rPr>
      </w:pPr>
      <w:r w:rsidRPr="00407F2D">
        <w:rPr>
          <w:rFonts w:ascii="Arial" w:hAnsi="Arial"/>
          <w:b/>
          <w:sz w:val="22"/>
          <w:szCs w:val="22"/>
        </w:rPr>
        <w:t>Requested listing</w:t>
      </w:r>
    </w:p>
    <w:p w:rsidR="006A12A5" w:rsidRPr="004E6836" w:rsidRDefault="006A12A5" w:rsidP="00882085">
      <w:pPr>
        <w:jc w:val="both"/>
        <w:rPr>
          <w:rFonts w:ascii="Arial" w:hAnsi="Arial"/>
          <w:b/>
          <w:sz w:val="22"/>
          <w:szCs w:val="22"/>
        </w:rPr>
      </w:pPr>
    </w:p>
    <w:p w:rsidR="00DE7FCE" w:rsidRPr="004E6836" w:rsidRDefault="00DE7FCE" w:rsidP="00DE7FCE">
      <w:pPr>
        <w:pStyle w:val="ListParagraph"/>
        <w:numPr>
          <w:ilvl w:val="1"/>
          <w:numId w:val="25"/>
        </w:numPr>
        <w:jc w:val="both"/>
        <w:rPr>
          <w:rFonts w:ascii="Arial" w:hAnsi="Arial"/>
          <w:sz w:val="22"/>
          <w:szCs w:val="22"/>
        </w:rPr>
      </w:pPr>
      <w:r w:rsidRPr="004E6836">
        <w:rPr>
          <w:rFonts w:ascii="Arial" w:hAnsi="Arial" w:cs="Arial"/>
          <w:sz w:val="22"/>
          <w:szCs w:val="22"/>
        </w:rPr>
        <w:t xml:space="preserve">Strontium </w:t>
      </w:r>
      <w:proofErr w:type="spellStart"/>
      <w:r w:rsidRPr="004E6836">
        <w:rPr>
          <w:rFonts w:ascii="Arial" w:hAnsi="Arial" w:cs="Arial"/>
          <w:sz w:val="22"/>
          <w:szCs w:val="22"/>
        </w:rPr>
        <w:t>ranelate</w:t>
      </w:r>
      <w:proofErr w:type="spellEnd"/>
      <w:r w:rsidRPr="004E6836">
        <w:rPr>
          <w:rFonts w:ascii="Arial" w:hAnsi="Arial" w:cs="Arial"/>
          <w:sz w:val="22"/>
          <w:szCs w:val="22"/>
        </w:rPr>
        <w:t xml:space="preserve"> is currently TGA registered with the following indications:</w:t>
      </w:r>
    </w:p>
    <w:p w:rsidR="00DE7FCE" w:rsidRPr="004E6836" w:rsidRDefault="00DE7FCE" w:rsidP="000F3433">
      <w:pPr>
        <w:ind w:left="709"/>
        <w:jc w:val="both"/>
        <w:rPr>
          <w:rFonts w:ascii="Arial" w:hAnsi="Arial" w:cs="Arial"/>
          <w:i/>
          <w:sz w:val="22"/>
          <w:szCs w:val="22"/>
        </w:rPr>
      </w:pPr>
      <w:r w:rsidRPr="004E6836">
        <w:rPr>
          <w:rFonts w:ascii="Arial" w:hAnsi="Arial" w:cs="Arial"/>
          <w:i/>
          <w:sz w:val="22"/>
          <w:szCs w:val="22"/>
        </w:rPr>
        <w:t>Treatment of severe (established) osteoporosis:</w:t>
      </w:r>
    </w:p>
    <w:p w:rsidR="00DE7FCE" w:rsidRPr="004E6836" w:rsidRDefault="00DE7FCE" w:rsidP="004E6836">
      <w:pPr>
        <w:numPr>
          <w:ilvl w:val="0"/>
          <w:numId w:val="40"/>
        </w:numPr>
        <w:tabs>
          <w:tab w:val="left" w:pos="993"/>
        </w:tabs>
        <w:ind w:left="709" w:firstLine="0"/>
        <w:jc w:val="both"/>
        <w:rPr>
          <w:rFonts w:ascii="Arial" w:hAnsi="Arial" w:cs="Arial"/>
          <w:i/>
          <w:sz w:val="22"/>
          <w:szCs w:val="22"/>
        </w:rPr>
      </w:pPr>
      <w:r w:rsidRPr="004E6836">
        <w:rPr>
          <w:rFonts w:ascii="Arial" w:hAnsi="Arial" w:cs="Arial"/>
          <w:i/>
          <w:sz w:val="22"/>
          <w:szCs w:val="22"/>
        </w:rPr>
        <w:t xml:space="preserve">In postmenopausal women at high risk of </w:t>
      </w:r>
      <w:r w:rsidR="00AF22EB" w:rsidRPr="004E6836">
        <w:rPr>
          <w:rFonts w:ascii="Arial" w:hAnsi="Arial" w:cs="Arial"/>
          <w:i/>
          <w:sz w:val="22"/>
          <w:szCs w:val="22"/>
        </w:rPr>
        <w:t>fracture to reduce the ris</w:t>
      </w:r>
      <w:r w:rsidRPr="004E6836">
        <w:rPr>
          <w:rFonts w:ascii="Arial" w:hAnsi="Arial" w:cs="Arial"/>
          <w:i/>
          <w:sz w:val="22"/>
          <w:szCs w:val="22"/>
        </w:rPr>
        <w:t>k of fracture</w:t>
      </w:r>
    </w:p>
    <w:p w:rsidR="00DE7FCE" w:rsidRPr="004E6836" w:rsidRDefault="00DE7FCE" w:rsidP="004E6836">
      <w:pPr>
        <w:numPr>
          <w:ilvl w:val="0"/>
          <w:numId w:val="40"/>
        </w:numPr>
        <w:tabs>
          <w:tab w:val="left" w:pos="993"/>
        </w:tabs>
        <w:ind w:left="709" w:firstLine="0"/>
        <w:jc w:val="both"/>
        <w:rPr>
          <w:rFonts w:ascii="Arial" w:hAnsi="Arial" w:cs="Arial"/>
          <w:i/>
          <w:sz w:val="22"/>
          <w:szCs w:val="22"/>
        </w:rPr>
      </w:pPr>
      <w:r w:rsidRPr="004E6836">
        <w:rPr>
          <w:rFonts w:ascii="Arial" w:hAnsi="Arial" w:cs="Arial"/>
          <w:i/>
          <w:sz w:val="22"/>
          <w:szCs w:val="22"/>
        </w:rPr>
        <w:t>In men at increased risk of fracture.</w:t>
      </w:r>
    </w:p>
    <w:p w:rsidR="00DE7FCE" w:rsidRPr="004E6836" w:rsidRDefault="00DE7FCE" w:rsidP="000F3433">
      <w:pPr>
        <w:ind w:left="709"/>
        <w:jc w:val="both"/>
        <w:rPr>
          <w:rFonts w:ascii="Arial" w:hAnsi="Arial" w:cs="Arial"/>
          <w:i/>
          <w:sz w:val="22"/>
          <w:szCs w:val="22"/>
        </w:rPr>
      </w:pPr>
      <w:r w:rsidRPr="004E6836">
        <w:rPr>
          <w:rFonts w:ascii="Arial" w:hAnsi="Arial" w:cs="Arial"/>
          <w:i/>
          <w:sz w:val="22"/>
          <w:szCs w:val="22"/>
        </w:rPr>
        <w:t>PROTOS should only be used when other medications for the treatment of osteoporosis are considered unsuitable (due to contraindications or intolerance).</w:t>
      </w:r>
    </w:p>
    <w:p w:rsidR="00DE7FCE" w:rsidRPr="004E6836" w:rsidRDefault="00DE7FCE" w:rsidP="00DE7FCE">
      <w:pPr>
        <w:pStyle w:val="ListParagraph"/>
        <w:jc w:val="both"/>
        <w:rPr>
          <w:rFonts w:ascii="Arial" w:hAnsi="Arial"/>
          <w:sz w:val="22"/>
          <w:szCs w:val="22"/>
        </w:rPr>
      </w:pPr>
    </w:p>
    <w:p w:rsidR="00DE7FCE" w:rsidRPr="004E6836" w:rsidRDefault="00DE7FCE" w:rsidP="00DE7FCE">
      <w:pPr>
        <w:pStyle w:val="ListParagraph"/>
        <w:numPr>
          <w:ilvl w:val="1"/>
          <w:numId w:val="25"/>
        </w:numPr>
        <w:jc w:val="both"/>
        <w:rPr>
          <w:rFonts w:ascii="Arial" w:hAnsi="Arial"/>
          <w:sz w:val="22"/>
          <w:szCs w:val="22"/>
        </w:rPr>
      </w:pPr>
      <w:r w:rsidRPr="004E6836">
        <w:rPr>
          <w:rFonts w:ascii="Arial" w:hAnsi="Arial" w:cs="Arial"/>
          <w:sz w:val="22"/>
          <w:szCs w:val="22"/>
        </w:rPr>
        <w:t xml:space="preserve">In April 2014, the TGA issued an alert advising consumers and health professionals that </w:t>
      </w:r>
      <w:proofErr w:type="spellStart"/>
      <w:r w:rsidRPr="004E6836">
        <w:rPr>
          <w:rFonts w:ascii="Arial" w:hAnsi="Arial" w:cs="Arial"/>
          <w:sz w:val="22"/>
          <w:szCs w:val="22"/>
        </w:rPr>
        <w:t>Servier</w:t>
      </w:r>
      <w:proofErr w:type="spellEnd"/>
      <w:r w:rsidRPr="004E6836">
        <w:rPr>
          <w:rFonts w:ascii="Arial" w:hAnsi="Arial" w:cs="Arial"/>
          <w:sz w:val="22"/>
          <w:szCs w:val="22"/>
        </w:rPr>
        <w:t xml:space="preserve"> Laboratories (Australia) had updated the Product Information (PI) for strontium </w:t>
      </w:r>
      <w:proofErr w:type="spellStart"/>
      <w:r w:rsidRPr="004E6836">
        <w:rPr>
          <w:rFonts w:ascii="Arial" w:hAnsi="Arial" w:cs="Arial"/>
          <w:sz w:val="22"/>
          <w:szCs w:val="22"/>
        </w:rPr>
        <w:t>ranelate</w:t>
      </w:r>
      <w:proofErr w:type="spellEnd"/>
      <w:r w:rsidRPr="004E6836">
        <w:rPr>
          <w:rFonts w:ascii="Arial" w:hAnsi="Arial" w:cs="Arial"/>
          <w:sz w:val="22"/>
          <w:szCs w:val="22"/>
        </w:rPr>
        <w:t xml:space="preserve"> (</w:t>
      </w:r>
      <w:proofErr w:type="spellStart"/>
      <w:r w:rsidRPr="004E6836">
        <w:rPr>
          <w:rFonts w:ascii="Arial" w:hAnsi="Arial" w:cs="Arial"/>
          <w:sz w:val="22"/>
          <w:szCs w:val="22"/>
        </w:rPr>
        <w:t>Protos</w:t>
      </w:r>
      <w:proofErr w:type="spellEnd"/>
      <w:r w:rsidRPr="004E6836">
        <w:rPr>
          <w:rFonts w:ascii="Arial" w:hAnsi="Arial" w:cs="Arial"/>
          <w:sz w:val="22"/>
          <w:szCs w:val="22"/>
        </w:rPr>
        <w:t>) after the completion of a TGA review. The updates to the PI, made in consultation with the TGA, emphasise the contraindications, reinforce precautions, highlight the need for regular monitoring and update data relating to the risk of adverse events.</w:t>
      </w:r>
    </w:p>
    <w:p w:rsidR="00DE7FCE" w:rsidRPr="004E6836" w:rsidRDefault="00DE7FCE" w:rsidP="00DE7FCE">
      <w:pPr>
        <w:rPr>
          <w:rFonts w:ascii="Arial" w:hAnsi="Arial" w:cs="Arial"/>
          <w:sz w:val="22"/>
          <w:szCs w:val="22"/>
        </w:rPr>
      </w:pPr>
    </w:p>
    <w:p w:rsidR="008B5694" w:rsidRPr="004E6836" w:rsidRDefault="00DE7FCE" w:rsidP="004E6836">
      <w:pPr>
        <w:ind w:left="709"/>
        <w:rPr>
          <w:rFonts w:ascii="Arial" w:hAnsi="Arial" w:cs="Arial"/>
          <w:sz w:val="22"/>
          <w:szCs w:val="22"/>
        </w:rPr>
      </w:pPr>
      <w:r w:rsidRPr="004E6836">
        <w:rPr>
          <w:rFonts w:ascii="Arial" w:hAnsi="Arial" w:cs="Arial"/>
          <w:sz w:val="22"/>
          <w:szCs w:val="22"/>
        </w:rPr>
        <w:t>The following black box warning was added to the PI to highlight the updated information:</w:t>
      </w:r>
    </w:p>
    <w:p w:rsidR="002C0BE5" w:rsidRPr="00571211" w:rsidRDefault="002C0BE5" w:rsidP="00DE7FCE">
      <w:pPr>
        <w:tabs>
          <w:tab w:val="center" w:pos="4513"/>
        </w:tabs>
        <w:ind w:right="-28"/>
        <w:jc w:val="center"/>
        <w:rPr>
          <w:rFonts w:ascii="Arial" w:hAnsi="Arial" w:cs="Arial"/>
          <w:b/>
          <w:bCs/>
          <w:color w:val="000000"/>
          <w:sz w:val="32"/>
        </w:rPr>
      </w:pPr>
    </w:p>
    <w:p w:rsidR="00DE7FCE" w:rsidRPr="00A43DB4" w:rsidRDefault="00DE7FCE" w:rsidP="004E6836">
      <w:pPr>
        <w:pBdr>
          <w:top w:val="single" w:sz="18" w:space="1" w:color="auto"/>
          <w:left w:val="single" w:sz="18" w:space="0" w:color="auto"/>
          <w:bottom w:val="single" w:sz="18" w:space="1" w:color="auto"/>
          <w:right w:val="single" w:sz="18" w:space="4" w:color="auto"/>
        </w:pBdr>
        <w:ind w:left="709" w:right="-28"/>
        <w:rPr>
          <w:rFonts w:ascii="Arial" w:hAnsi="Arial" w:cs="Arial"/>
          <w:sz w:val="22"/>
          <w:szCs w:val="22"/>
        </w:rPr>
      </w:pPr>
      <w:r w:rsidRPr="00067377">
        <w:rPr>
          <w:rFonts w:ascii="Arial" w:hAnsi="Arial" w:cs="Arial"/>
          <w:sz w:val="22"/>
          <w:szCs w:val="22"/>
        </w:rPr>
        <w:t xml:space="preserve">PROTOS should only be used when other medications for the treatment for osteoporosis are considered unsuitable. PROTOS is contraindicated and must not be used in patients with established, current or past history of: ischaemic heart disease, peripheral vascular disease, cerebrovascular disease, uncontrolled hypertension, venous thromboembolism, pulmonary embolism. It should also not be used in patients who are temporarily or permanently immobilised. PROTOS should be used </w:t>
      </w:r>
      <w:r w:rsidRPr="009A398D">
        <w:rPr>
          <w:rFonts w:ascii="Arial" w:hAnsi="Arial" w:cs="Arial"/>
          <w:sz w:val="22"/>
          <w:szCs w:val="22"/>
        </w:rPr>
        <w:t xml:space="preserve">with caution in patients with risk factors for cardiovascular events or venous thrombosis: hypertension, diabetes, smoking, hyperlipidaemia.  All patients prescribed PROTOS should be fully informed of the risk of cardiovascular events and </w:t>
      </w:r>
      <w:r w:rsidRPr="00F925B2">
        <w:rPr>
          <w:rFonts w:ascii="Arial" w:hAnsi="Arial" w:cs="Arial"/>
          <w:sz w:val="22"/>
          <w:szCs w:val="22"/>
        </w:rPr>
        <w:t>venous thrombosis. Patients should be regularly monitored, every 6</w:t>
      </w:r>
      <w:r w:rsidRPr="00067377">
        <w:rPr>
          <w:rFonts w:ascii="Arial" w:hAnsi="Arial" w:cs="Arial"/>
          <w:sz w:val="22"/>
          <w:szCs w:val="22"/>
        </w:rPr>
        <w:t xml:space="preserve"> months.</w:t>
      </w:r>
    </w:p>
    <w:p w:rsidR="00DE7FCE" w:rsidRPr="00BF7984" w:rsidRDefault="00DE7FCE" w:rsidP="00DE7FCE">
      <w:pPr>
        <w:tabs>
          <w:tab w:val="center" w:pos="4513"/>
        </w:tabs>
        <w:ind w:right="-28"/>
        <w:jc w:val="both"/>
        <w:rPr>
          <w:rFonts w:ascii="Arial" w:hAnsi="Arial" w:cs="Arial"/>
          <w:sz w:val="22"/>
          <w:szCs w:val="22"/>
        </w:rPr>
      </w:pPr>
    </w:p>
    <w:p w:rsidR="00DE7FCE" w:rsidRDefault="00DE7FCE" w:rsidP="00DE7FCE">
      <w:pPr>
        <w:pStyle w:val="ListParagraph"/>
        <w:numPr>
          <w:ilvl w:val="1"/>
          <w:numId w:val="25"/>
        </w:numPr>
        <w:jc w:val="both"/>
        <w:rPr>
          <w:rFonts w:ascii="Arial" w:hAnsi="Arial"/>
          <w:sz w:val="22"/>
          <w:szCs w:val="22"/>
        </w:rPr>
      </w:pPr>
      <w:r>
        <w:rPr>
          <w:rFonts w:ascii="Arial" w:hAnsi="Arial"/>
          <w:sz w:val="22"/>
          <w:szCs w:val="22"/>
        </w:rPr>
        <w:t>The sponsor did not propose revised restriction wording</w:t>
      </w:r>
      <w:r w:rsidR="00A71BA9">
        <w:rPr>
          <w:rFonts w:ascii="Arial" w:hAnsi="Arial"/>
          <w:sz w:val="22"/>
          <w:szCs w:val="22"/>
        </w:rPr>
        <w:t xml:space="preserve"> in line with the TGA alert</w:t>
      </w:r>
      <w:r>
        <w:rPr>
          <w:rFonts w:ascii="Arial" w:hAnsi="Arial"/>
          <w:sz w:val="22"/>
          <w:szCs w:val="22"/>
        </w:rPr>
        <w:t xml:space="preserve">. </w:t>
      </w:r>
    </w:p>
    <w:p w:rsidR="004F4CC7" w:rsidRPr="00A71BA9" w:rsidRDefault="004F4CC7" w:rsidP="00A71BA9">
      <w:pPr>
        <w:jc w:val="both"/>
        <w:rPr>
          <w:rFonts w:ascii="Arial" w:hAnsi="Arial"/>
          <w:sz w:val="22"/>
          <w:szCs w:val="22"/>
        </w:rPr>
      </w:pPr>
    </w:p>
    <w:p w:rsidR="004F4CC7" w:rsidRDefault="004F4CC7" w:rsidP="00882085">
      <w:pPr>
        <w:pStyle w:val="ListParagraph"/>
        <w:numPr>
          <w:ilvl w:val="1"/>
          <w:numId w:val="25"/>
        </w:numPr>
        <w:jc w:val="both"/>
        <w:rPr>
          <w:rFonts w:ascii="Arial" w:hAnsi="Arial"/>
          <w:sz w:val="22"/>
          <w:szCs w:val="22"/>
        </w:rPr>
      </w:pPr>
      <w:r>
        <w:rPr>
          <w:rFonts w:ascii="Arial" w:hAnsi="Arial"/>
          <w:sz w:val="22"/>
          <w:szCs w:val="22"/>
        </w:rPr>
        <w:t>The Department suggested the following amendments to the current listing:</w:t>
      </w:r>
    </w:p>
    <w:p w:rsidR="004F4CC7" w:rsidRPr="004F4CC7" w:rsidRDefault="004F4CC7" w:rsidP="004F4CC7">
      <w:pPr>
        <w:pStyle w:val="ListParagraph"/>
        <w:rPr>
          <w:rFonts w:ascii="Arial" w:hAnsi="Arial"/>
          <w:sz w:val="22"/>
          <w:szCs w:val="22"/>
        </w:rPr>
      </w:pPr>
    </w:p>
    <w:tbl>
      <w:tblPr>
        <w:tblW w:w="8363" w:type="dxa"/>
        <w:tblInd w:w="817" w:type="dxa"/>
        <w:tblLayout w:type="fixed"/>
        <w:tblLook w:val="0000" w:firstRow="0" w:lastRow="0" w:firstColumn="0" w:lastColumn="0" w:noHBand="0" w:noVBand="0"/>
        <w:tblDescription w:val="strontium listing"/>
      </w:tblPr>
      <w:tblGrid>
        <w:gridCol w:w="2552"/>
        <w:gridCol w:w="1134"/>
        <w:gridCol w:w="567"/>
        <w:gridCol w:w="992"/>
        <w:gridCol w:w="1701"/>
        <w:gridCol w:w="1417"/>
      </w:tblGrid>
      <w:tr w:rsidR="004F4CC7" w:rsidRPr="003B44EF" w:rsidTr="003B44EF">
        <w:trPr>
          <w:cantSplit/>
          <w:trHeight w:val="471"/>
        </w:trPr>
        <w:tc>
          <w:tcPr>
            <w:tcW w:w="3686" w:type="dxa"/>
            <w:gridSpan w:val="2"/>
            <w:tcBorders>
              <w:bottom w:val="single" w:sz="4" w:space="0" w:color="auto"/>
            </w:tcBorders>
          </w:tcPr>
          <w:p w:rsidR="004F4CC7" w:rsidRPr="003B44EF" w:rsidRDefault="004F4CC7" w:rsidP="00AF22EB">
            <w:pPr>
              <w:keepNext/>
              <w:ind w:left="-108"/>
              <w:jc w:val="both"/>
              <w:rPr>
                <w:rFonts w:ascii="Arial Narrow" w:hAnsi="Arial Narrow"/>
                <w:sz w:val="20"/>
                <w:szCs w:val="20"/>
              </w:rPr>
            </w:pPr>
            <w:r w:rsidRPr="003B44EF">
              <w:rPr>
                <w:rFonts w:ascii="Arial Narrow" w:hAnsi="Arial Narrow"/>
                <w:sz w:val="20"/>
                <w:szCs w:val="20"/>
              </w:rPr>
              <w:t>Name, Restriction,</w:t>
            </w:r>
          </w:p>
          <w:p w:rsidR="004F4CC7" w:rsidRPr="003B44EF" w:rsidRDefault="004F4CC7" w:rsidP="00AF22EB">
            <w:pPr>
              <w:keepNext/>
              <w:ind w:left="-108"/>
              <w:jc w:val="both"/>
              <w:rPr>
                <w:rFonts w:ascii="Arial Narrow" w:hAnsi="Arial Narrow"/>
                <w:sz w:val="20"/>
                <w:szCs w:val="20"/>
              </w:rPr>
            </w:pPr>
            <w:r w:rsidRPr="003B44EF">
              <w:rPr>
                <w:rFonts w:ascii="Arial Narrow" w:hAnsi="Arial Narrow"/>
                <w:sz w:val="20"/>
                <w:szCs w:val="20"/>
              </w:rPr>
              <w:t>Manner of administration and form</w:t>
            </w:r>
          </w:p>
        </w:tc>
        <w:tc>
          <w:tcPr>
            <w:tcW w:w="567" w:type="dxa"/>
            <w:tcBorders>
              <w:bottom w:val="single" w:sz="4" w:space="0" w:color="auto"/>
            </w:tcBorders>
          </w:tcPr>
          <w:p w:rsidR="004F4CC7" w:rsidRPr="003B44EF" w:rsidRDefault="004F4CC7" w:rsidP="003B44EF">
            <w:pPr>
              <w:keepNext/>
              <w:ind w:left="-108"/>
              <w:jc w:val="right"/>
              <w:rPr>
                <w:rFonts w:ascii="Arial Narrow" w:hAnsi="Arial Narrow"/>
                <w:sz w:val="20"/>
                <w:szCs w:val="20"/>
              </w:rPr>
            </w:pPr>
            <w:r w:rsidRPr="003B44EF">
              <w:rPr>
                <w:rFonts w:ascii="Arial Narrow" w:hAnsi="Arial Narrow"/>
                <w:sz w:val="20"/>
                <w:szCs w:val="20"/>
              </w:rPr>
              <w:t>Max.</w:t>
            </w:r>
          </w:p>
          <w:p w:rsidR="004F4CC7" w:rsidRPr="003B44EF" w:rsidRDefault="004F4CC7" w:rsidP="003B44EF">
            <w:pPr>
              <w:keepNext/>
              <w:ind w:left="-108"/>
              <w:jc w:val="right"/>
              <w:rPr>
                <w:rFonts w:ascii="Arial Narrow" w:hAnsi="Arial Narrow"/>
                <w:sz w:val="20"/>
                <w:szCs w:val="20"/>
              </w:rPr>
            </w:pPr>
            <w:proofErr w:type="spellStart"/>
            <w:r w:rsidRPr="003B44EF">
              <w:rPr>
                <w:rFonts w:ascii="Arial Narrow" w:hAnsi="Arial Narrow"/>
                <w:sz w:val="20"/>
                <w:szCs w:val="20"/>
              </w:rPr>
              <w:t>Qty</w:t>
            </w:r>
            <w:proofErr w:type="spellEnd"/>
          </w:p>
        </w:tc>
        <w:tc>
          <w:tcPr>
            <w:tcW w:w="992" w:type="dxa"/>
            <w:tcBorders>
              <w:bottom w:val="single" w:sz="4" w:space="0" w:color="auto"/>
            </w:tcBorders>
          </w:tcPr>
          <w:p w:rsidR="004F4CC7" w:rsidRPr="003B44EF" w:rsidRDefault="004F4CC7" w:rsidP="003B44EF">
            <w:pPr>
              <w:keepNext/>
              <w:ind w:left="-108"/>
              <w:jc w:val="right"/>
              <w:rPr>
                <w:rFonts w:ascii="Arial Narrow" w:hAnsi="Arial Narrow"/>
                <w:sz w:val="20"/>
                <w:szCs w:val="20"/>
              </w:rPr>
            </w:pPr>
            <w:r w:rsidRPr="003B44EF">
              <w:rPr>
                <w:rFonts w:ascii="Arial Narrow" w:hAnsi="Arial Narrow"/>
                <w:sz w:val="20"/>
                <w:szCs w:val="20"/>
              </w:rPr>
              <w:t>№.of</w:t>
            </w:r>
          </w:p>
          <w:p w:rsidR="004F4CC7" w:rsidRPr="003B44EF" w:rsidRDefault="004F4CC7" w:rsidP="003B44EF">
            <w:pPr>
              <w:keepNext/>
              <w:ind w:left="-108"/>
              <w:jc w:val="right"/>
              <w:rPr>
                <w:rFonts w:ascii="Arial Narrow" w:hAnsi="Arial Narrow"/>
                <w:sz w:val="20"/>
                <w:szCs w:val="20"/>
              </w:rPr>
            </w:pPr>
            <w:proofErr w:type="spellStart"/>
            <w:r w:rsidRPr="003B44EF">
              <w:rPr>
                <w:rFonts w:ascii="Arial Narrow" w:hAnsi="Arial Narrow"/>
                <w:sz w:val="20"/>
                <w:szCs w:val="20"/>
              </w:rPr>
              <w:t>Rpts</w:t>
            </w:r>
            <w:proofErr w:type="spellEnd"/>
          </w:p>
        </w:tc>
        <w:tc>
          <w:tcPr>
            <w:tcW w:w="3118" w:type="dxa"/>
            <w:gridSpan w:val="2"/>
            <w:tcBorders>
              <w:bottom w:val="single" w:sz="4" w:space="0" w:color="auto"/>
            </w:tcBorders>
          </w:tcPr>
          <w:p w:rsidR="004F4CC7" w:rsidRPr="003B44EF" w:rsidRDefault="004F4CC7" w:rsidP="00AF22EB">
            <w:pPr>
              <w:keepNext/>
              <w:jc w:val="both"/>
              <w:rPr>
                <w:rFonts w:ascii="Arial Narrow" w:hAnsi="Arial Narrow"/>
                <w:sz w:val="20"/>
                <w:szCs w:val="20"/>
                <w:lang w:val="fr-FR"/>
              </w:rPr>
            </w:pPr>
            <w:r w:rsidRPr="003B44EF">
              <w:rPr>
                <w:rFonts w:ascii="Arial Narrow" w:hAnsi="Arial Narrow"/>
                <w:sz w:val="20"/>
                <w:szCs w:val="20"/>
              </w:rPr>
              <w:t>Proprietary Name and Manufacturer</w:t>
            </w:r>
          </w:p>
        </w:tc>
      </w:tr>
      <w:tr w:rsidR="004F4CC7" w:rsidRPr="003B44EF" w:rsidTr="003B44EF">
        <w:trPr>
          <w:cantSplit/>
          <w:trHeight w:val="577"/>
        </w:trPr>
        <w:tc>
          <w:tcPr>
            <w:tcW w:w="3686" w:type="dxa"/>
            <w:gridSpan w:val="2"/>
          </w:tcPr>
          <w:p w:rsidR="004F4CC7" w:rsidRPr="003B44EF" w:rsidRDefault="004F4CC7" w:rsidP="00AF22EB">
            <w:pPr>
              <w:keepNext/>
              <w:ind w:left="-108"/>
              <w:jc w:val="both"/>
              <w:rPr>
                <w:rFonts w:ascii="Arial Narrow" w:hAnsi="Arial Narrow"/>
                <w:sz w:val="20"/>
                <w:szCs w:val="20"/>
              </w:rPr>
            </w:pPr>
            <w:r w:rsidRPr="003B44EF">
              <w:rPr>
                <w:rFonts w:ascii="Arial Narrow" w:hAnsi="Arial Narrow"/>
                <w:smallCaps/>
                <w:sz w:val="20"/>
                <w:szCs w:val="20"/>
              </w:rPr>
              <w:t>STRONTIUM</w:t>
            </w:r>
          </w:p>
          <w:p w:rsidR="004F4CC7" w:rsidRPr="003B44EF" w:rsidRDefault="004F4CC7" w:rsidP="00AF22EB">
            <w:pPr>
              <w:keepNext/>
              <w:ind w:left="-108"/>
              <w:jc w:val="both"/>
              <w:rPr>
                <w:rFonts w:ascii="Arial Narrow" w:hAnsi="Arial Narrow"/>
                <w:sz w:val="20"/>
                <w:szCs w:val="20"/>
              </w:rPr>
            </w:pPr>
            <w:r w:rsidRPr="003B44EF">
              <w:rPr>
                <w:rFonts w:ascii="Arial Narrow" w:hAnsi="Arial Narrow"/>
                <w:sz w:val="20"/>
                <w:szCs w:val="20"/>
              </w:rPr>
              <w:t xml:space="preserve">Strontium </w:t>
            </w:r>
            <w:proofErr w:type="spellStart"/>
            <w:r w:rsidRPr="003B44EF">
              <w:rPr>
                <w:rFonts w:ascii="Arial Narrow" w:hAnsi="Arial Narrow"/>
                <w:sz w:val="20"/>
                <w:szCs w:val="20"/>
              </w:rPr>
              <w:t>ranelate</w:t>
            </w:r>
            <w:proofErr w:type="spellEnd"/>
            <w:r w:rsidRPr="003B44EF">
              <w:rPr>
                <w:rFonts w:ascii="Arial Narrow" w:hAnsi="Arial Narrow"/>
                <w:sz w:val="20"/>
                <w:szCs w:val="20"/>
              </w:rPr>
              <w:t xml:space="preserve"> 2 g granules, 28 x 2 g sachets</w:t>
            </w:r>
          </w:p>
        </w:tc>
        <w:tc>
          <w:tcPr>
            <w:tcW w:w="567" w:type="dxa"/>
          </w:tcPr>
          <w:p w:rsidR="004F4CC7" w:rsidRPr="003B44EF" w:rsidRDefault="004F4CC7" w:rsidP="003B44EF">
            <w:pPr>
              <w:keepNext/>
              <w:ind w:left="-108"/>
              <w:jc w:val="right"/>
              <w:rPr>
                <w:rFonts w:ascii="Arial Narrow" w:hAnsi="Arial Narrow"/>
                <w:sz w:val="20"/>
                <w:szCs w:val="20"/>
              </w:rPr>
            </w:pPr>
          </w:p>
          <w:p w:rsidR="004F4CC7" w:rsidRPr="003B44EF" w:rsidRDefault="004F4CC7" w:rsidP="003B44EF">
            <w:pPr>
              <w:keepNext/>
              <w:ind w:left="-108"/>
              <w:jc w:val="right"/>
              <w:rPr>
                <w:rFonts w:ascii="Arial Narrow" w:hAnsi="Arial Narrow"/>
                <w:sz w:val="20"/>
                <w:szCs w:val="20"/>
              </w:rPr>
            </w:pPr>
            <w:r w:rsidRPr="003B44EF">
              <w:rPr>
                <w:rFonts w:ascii="Arial Narrow" w:hAnsi="Arial Narrow"/>
                <w:sz w:val="20"/>
                <w:szCs w:val="20"/>
              </w:rPr>
              <w:t>1</w:t>
            </w:r>
          </w:p>
        </w:tc>
        <w:tc>
          <w:tcPr>
            <w:tcW w:w="992" w:type="dxa"/>
          </w:tcPr>
          <w:p w:rsidR="004F4CC7" w:rsidRPr="003B44EF" w:rsidRDefault="004F4CC7" w:rsidP="003B44EF">
            <w:pPr>
              <w:keepNext/>
              <w:ind w:left="-108"/>
              <w:jc w:val="right"/>
              <w:rPr>
                <w:rFonts w:ascii="Arial Narrow" w:hAnsi="Arial Narrow"/>
                <w:sz w:val="20"/>
                <w:szCs w:val="20"/>
              </w:rPr>
            </w:pPr>
          </w:p>
          <w:p w:rsidR="004F4CC7" w:rsidRPr="003B44EF" w:rsidRDefault="004F4CC7" w:rsidP="003B44EF">
            <w:pPr>
              <w:keepNext/>
              <w:ind w:left="-108"/>
              <w:jc w:val="right"/>
              <w:rPr>
                <w:rFonts w:ascii="Arial Narrow" w:hAnsi="Arial Narrow"/>
                <w:sz w:val="20"/>
                <w:szCs w:val="20"/>
              </w:rPr>
            </w:pPr>
            <w:r w:rsidRPr="003B44EF">
              <w:rPr>
                <w:rFonts w:ascii="Arial Narrow" w:hAnsi="Arial Narrow"/>
                <w:sz w:val="20"/>
                <w:szCs w:val="20"/>
              </w:rPr>
              <w:t>5</w:t>
            </w:r>
          </w:p>
        </w:tc>
        <w:tc>
          <w:tcPr>
            <w:tcW w:w="1701" w:type="dxa"/>
          </w:tcPr>
          <w:p w:rsidR="003B44EF" w:rsidRDefault="003B44EF" w:rsidP="00AF22EB">
            <w:pPr>
              <w:keepNext/>
              <w:jc w:val="both"/>
              <w:rPr>
                <w:rFonts w:ascii="Arial Narrow" w:hAnsi="Arial Narrow"/>
                <w:sz w:val="20"/>
                <w:szCs w:val="20"/>
              </w:rPr>
            </w:pPr>
          </w:p>
          <w:p w:rsidR="004F4CC7" w:rsidRPr="003B44EF" w:rsidRDefault="004F4CC7" w:rsidP="00AF22EB">
            <w:pPr>
              <w:keepNext/>
              <w:jc w:val="both"/>
              <w:rPr>
                <w:rFonts w:ascii="Arial Narrow" w:hAnsi="Arial Narrow"/>
                <w:sz w:val="20"/>
                <w:szCs w:val="20"/>
              </w:rPr>
            </w:pPr>
            <w:proofErr w:type="spellStart"/>
            <w:r w:rsidRPr="003B44EF">
              <w:rPr>
                <w:rFonts w:ascii="Arial Narrow" w:hAnsi="Arial Narrow"/>
                <w:sz w:val="20"/>
                <w:szCs w:val="20"/>
              </w:rPr>
              <w:t>Protos</w:t>
            </w:r>
            <w:proofErr w:type="spellEnd"/>
          </w:p>
        </w:tc>
        <w:tc>
          <w:tcPr>
            <w:tcW w:w="1417" w:type="dxa"/>
          </w:tcPr>
          <w:p w:rsidR="003B44EF" w:rsidRDefault="003B44EF" w:rsidP="00AF22EB">
            <w:pPr>
              <w:keepNext/>
              <w:jc w:val="both"/>
              <w:rPr>
                <w:rFonts w:ascii="Arial Narrow" w:hAnsi="Arial Narrow"/>
                <w:sz w:val="20"/>
                <w:szCs w:val="20"/>
              </w:rPr>
            </w:pPr>
          </w:p>
          <w:p w:rsidR="004F4CC7" w:rsidRPr="003B44EF" w:rsidRDefault="004F4CC7" w:rsidP="00AF22EB">
            <w:pPr>
              <w:keepNext/>
              <w:jc w:val="both"/>
              <w:rPr>
                <w:rFonts w:ascii="Arial Narrow" w:hAnsi="Arial Narrow"/>
                <w:sz w:val="20"/>
                <w:szCs w:val="20"/>
              </w:rPr>
            </w:pPr>
            <w:r w:rsidRPr="003B44EF">
              <w:rPr>
                <w:rFonts w:ascii="Arial Narrow" w:hAnsi="Arial Narrow"/>
                <w:sz w:val="20"/>
                <w:szCs w:val="20"/>
              </w:rPr>
              <w:t>SE</w:t>
            </w:r>
          </w:p>
        </w:tc>
      </w:tr>
      <w:tr w:rsidR="004F4CC7" w:rsidRPr="003B44EF" w:rsidTr="003B44EF">
        <w:trPr>
          <w:cantSplit/>
          <w:trHeight w:val="360"/>
        </w:trPr>
        <w:tc>
          <w:tcPr>
            <w:tcW w:w="8363" w:type="dxa"/>
            <w:gridSpan w:val="6"/>
            <w:tcBorders>
              <w:bottom w:val="single" w:sz="4" w:space="0" w:color="auto"/>
            </w:tcBorders>
          </w:tcPr>
          <w:p w:rsidR="004F4CC7" w:rsidRPr="003B44EF" w:rsidRDefault="004F4CC7" w:rsidP="00AF22EB">
            <w:pPr>
              <w:jc w:val="both"/>
              <w:rPr>
                <w:rFonts w:ascii="Arial Narrow" w:hAnsi="Arial Narrow"/>
                <w:sz w:val="20"/>
                <w:szCs w:val="20"/>
              </w:rPr>
            </w:pP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i/>
                <w:sz w:val="20"/>
                <w:szCs w:val="20"/>
              </w:rPr>
            </w:pPr>
            <w:r w:rsidRPr="003B44EF">
              <w:rPr>
                <w:rFonts w:ascii="Arial Narrow" w:hAnsi="Arial Narrow"/>
                <w:i/>
                <w:sz w:val="20"/>
                <w:szCs w:val="20"/>
              </w:rPr>
              <w:t>Severe</w:t>
            </w: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sz w:val="20"/>
                <w:szCs w:val="20"/>
              </w:rPr>
            </w:pPr>
            <w:r w:rsidRPr="003B44EF">
              <w:rPr>
                <w:rFonts w:ascii="Arial Narrow" w:hAnsi="Arial Narrow"/>
                <w:sz w:val="20"/>
                <w:szCs w:val="20"/>
              </w:rPr>
              <w:t>established osteoporosis</w:t>
            </w: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Restriction:</w:t>
            </w:r>
          </w:p>
          <w:p w:rsidR="004F4CC7" w:rsidRPr="003B44EF" w:rsidRDefault="004F4CC7" w:rsidP="00AF22EB">
            <w:pPr>
              <w:rPr>
                <w:rFonts w:ascii="Arial Narrow" w:hAnsi="Arial Narrow" w:cs="Arial"/>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sz w:val="20"/>
                <w:szCs w:val="20"/>
              </w:rPr>
            </w:pPr>
            <w:r w:rsidRPr="003B44EF">
              <w:rPr>
                <w:rFonts w:ascii="Arial Narrow" w:hAnsi="Arial Narrow"/>
                <w:sz w:val="20"/>
                <w:szCs w:val="20"/>
              </w:rPr>
              <w:t xml:space="preserve">Authority required </w:t>
            </w:r>
            <w:r w:rsidRPr="003B44EF">
              <w:rPr>
                <w:rFonts w:ascii="Arial Narrow" w:hAnsi="Arial Narrow"/>
                <w:strike/>
                <w:sz w:val="20"/>
                <w:szCs w:val="20"/>
              </w:rPr>
              <w:t>(STREAMLINED)</w:t>
            </w: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lastRenderedPageBreak/>
              <w:t>Clinical criteria:</w:t>
            </w:r>
          </w:p>
          <w:p w:rsidR="004F4CC7" w:rsidRPr="003B44EF" w:rsidRDefault="004F4CC7" w:rsidP="00AF22EB">
            <w:pPr>
              <w:jc w:val="both"/>
              <w:rPr>
                <w:rFonts w:ascii="Arial Narrow" w:hAnsi="Arial Narrow" w:cs="Arial"/>
                <w:i/>
                <w:sz w:val="20"/>
                <w:szCs w:val="20"/>
              </w:rPr>
            </w:pPr>
          </w:p>
          <w:p w:rsidR="004F4CC7" w:rsidRPr="003B44EF" w:rsidRDefault="004F4CC7" w:rsidP="00AF22EB">
            <w:pPr>
              <w:jc w:val="both"/>
              <w:rPr>
                <w:rFonts w:ascii="Arial Narrow" w:hAnsi="Arial Narrow" w:cs="Arial"/>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Patient must have fracture due to minimal trauma</w:t>
            </w:r>
          </w:p>
          <w:p w:rsidR="004F4CC7" w:rsidRPr="003B44EF" w:rsidRDefault="004F4CC7" w:rsidP="00AF22EB">
            <w:pPr>
              <w:rPr>
                <w:rFonts w:ascii="Arial Narrow" w:hAnsi="Arial Narrow" w:cs="Arial"/>
                <w:sz w:val="20"/>
                <w:szCs w:val="20"/>
              </w:rPr>
            </w:pPr>
          </w:p>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AND</w:t>
            </w:r>
          </w:p>
          <w:p w:rsidR="004F4CC7" w:rsidRPr="003B44EF" w:rsidRDefault="004F4CC7" w:rsidP="00AF22EB">
            <w:pPr>
              <w:rPr>
                <w:rFonts w:ascii="Arial Narrow" w:hAnsi="Arial Narrow" w:cs="Arial"/>
                <w:sz w:val="20"/>
                <w:szCs w:val="20"/>
              </w:rPr>
            </w:pPr>
          </w:p>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Patient must not receive concomitant treatment with any other PBS-subsidised anti-</w:t>
            </w:r>
            <w:proofErr w:type="spellStart"/>
            <w:r w:rsidRPr="003B44EF">
              <w:rPr>
                <w:rFonts w:ascii="Arial Narrow" w:hAnsi="Arial Narrow" w:cs="Arial"/>
                <w:sz w:val="20"/>
                <w:szCs w:val="20"/>
              </w:rPr>
              <w:t>resorptive</w:t>
            </w:r>
            <w:proofErr w:type="spellEnd"/>
            <w:r w:rsidRPr="003B44EF">
              <w:rPr>
                <w:rFonts w:ascii="Arial Narrow" w:hAnsi="Arial Narrow" w:cs="Arial"/>
                <w:sz w:val="20"/>
                <w:szCs w:val="20"/>
              </w:rPr>
              <w:t xml:space="preserve"> agent for this condition</w:t>
            </w:r>
          </w:p>
          <w:p w:rsidR="004F4CC7" w:rsidRPr="003B44EF" w:rsidRDefault="004F4CC7" w:rsidP="00AF22EB">
            <w:pPr>
              <w:rPr>
                <w:rFonts w:ascii="Arial Narrow" w:hAnsi="Arial Narrow" w:cs="Arial"/>
                <w:sz w:val="20"/>
                <w:szCs w:val="20"/>
              </w:rPr>
            </w:pPr>
          </w:p>
          <w:p w:rsidR="004F4CC7" w:rsidRPr="003B44EF" w:rsidRDefault="004F4CC7" w:rsidP="00AF22EB">
            <w:pPr>
              <w:rPr>
                <w:rFonts w:ascii="Arial Narrow" w:hAnsi="Arial Narrow" w:cs="Arial"/>
                <w:i/>
                <w:sz w:val="20"/>
                <w:szCs w:val="20"/>
              </w:rPr>
            </w:pPr>
            <w:r w:rsidRPr="003B44EF">
              <w:rPr>
                <w:rFonts w:ascii="Arial Narrow" w:hAnsi="Arial Narrow" w:cs="Arial"/>
                <w:i/>
                <w:sz w:val="20"/>
                <w:szCs w:val="20"/>
              </w:rPr>
              <w:t>AND</w:t>
            </w:r>
          </w:p>
          <w:p w:rsidR="004F4CC7" w:rsidRPr="003B44EF" w:rsidRDefault="004F4CC7" w:rsidP="00AF22EB">
            <w:pPr>
              <w:rPr>
                <w:rFonts w:ascii="Arial Narrow" w:hAnsi="Arial Narrow" w:cs="Arial"/>
                <w:i/>
                <w:sz w:val="20"/>
                <w:szCs w:val="20"/>
              </w:rPr>
            </w:pPr>
          </w:p>
          <w:p w:rsidR="004F4CC7" w:rsidRPr="003B44EF" w:rsidRDefault="004F4CC7" w:rsidP="00AF22EB">
            <w:pPr>
              <w:rPr>
                <w:rFonts w:ascii="Arial Narrow" w:hAnsi="Arial Narrow" w:cs="Arial"/>
                <w:i/>
                <w:sz w:val="20"/>
                <w:szCs w:val="20"/>
              </w:rPr>
            </w:pPr>
            <w:r w:rsidRPr="003B44EF">
              <w:rPr>
                <w:rFonts w:ascii="Arial Narrow" w:hAnsi="Arial Narrow" w:cs="Arial"/>
                <w:i/>
                <w:sz w:val="20"/>
                <w:szCs w:val="20"/>
              </w:rPr>
              <w:t>Patient must be at high risk of fracture</w:t>
            </w:r>
          </w:p>
          <w:p w:rsidR="004F4CC7" w:rsidRPr="003B44EF" w:rsidRDefault="004F4CC7" w:rsidP="00AF22EB">
            <w:pPr>
              <w:rPr>
                <w:rFonts w:ascii="Arial Narrow" w:hAnsi="Arial Narrow" w:cs="Arial"/>
                <w:i/>
                <w:sz w:val="20"/>
                <w:szCs w:val="20"/>
              </w:rPr>
            </w:pPr>
          </w:p>
          <w:p w:rsidR="004F4CC7" w:rsidRPr="003B44EF" w:rsidRDefault="004F4CC7" w:rsidP="00AF22EB">
            <w:pPr>
              <w:rPr>
                <w:rFonts w:ascii="Arial Narrow" w:hAnsi="Arial Narrow" w:cs="Arial"/>
                <w:i/>
                <w:sz w:val="20"/>
                <w:szCs w:val="20"/>
              </w:rPr>
            </w:pPr>
            <w:r w:rsidRPr="003B44EF">
              <w:rPr>
                <w:rFonts w:ascii="Arial Narrow" w:hAnsi="Arial Narrow" w:cs="Arial"/>
                <w:i/>
                <w:sz w:val="20"/>
                <w:szCs w:val="20"/>
              </w:rPr>
              <w:t>AND</w:t>
            </w:r>
          </w:p>
          <w:p w:rsidR="004F4CC7" w:rsidRPr="003B44EF" w:rsidRDefault="004F4CC7" w:rsidP="00AF22EB">
            <w:pPr>
              <w:rPr>
                <w:rFonts w:ascii="Arial Narrow" w:hAnsi="Arial Narrow" w:cs="Arial"/>
                <w:sz w:val="20"/>
                <w:szCs w:val="20"/>
              </w:rPr>
            </w:pPr>
          </w:p>
          <w:p w:rsidR="004F4CC7" w:rsidRPr="003B44EF" w:rsidRDefault="004F4CC7" w:rsidP="00AF22EB">
            <w:pPr>
              <w:rPr>
                <w:rFonts w:ascii="Arial Narrow" w:hAnsi="Arial Narrow" w:cs="Arial"/>
                <w:i/>
                <w:sz w:val="20"/>
                <w:szCs w:val="20"/>
              </w:rPr>
            </w:pPr>
            <w:r w:rsidRPr="003B44EF">
              <w:rPr>
                <w:rFonts w:ascii="Arial Narrow" w:hAnsi="Arial Narrow" w:cs="Arial"/>
                <w:i/>
                <w:sz w:val="20"/>
                <w:szCs w:val="20"/>
              </w:rPr>
              <w:t>Patient must be unable to use other medications for the treatment of osteoporosis due to contraindications or intolerance</w:t>
            </w:r>
          </w:p>
          <w:p w:rsidR="004F4CC7" w:rsidRPr="003B44EF" w:rsidRDefault="004F4CC7" w:rsidP="00AF22EB">
            <w:pPr>
              <w:jc w:val="both"/>
              <w:rPr>
                <w:rFonts w:ascii="Arial Narrow" w:hAnsi="Arial Narrow" w:cs="Arial"/>
                <w:sz w:val="20"/>
                <w:szCs w:val="20"/>
              </w:rPr>
            </w:pP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Prescriber Instructions</w:t>
            </w:r>
          </w:p>
          <w:p w:rsidR="004F4CC7" w:rsidRPr="003B44EF" w:rsidRDefault="004F4CC7" w:rsidP="00AF22EB">
            <w:pPr>
              <w:jc w:val="both"/>
              <w:rPr>
                <w:rFonts w:ascii="Arial Narrow" w:hAnsi="Arial Narrow" w:cs="Arial"/>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 xml:space="preserve">The fracture must have been demonstrated </w:t>
            </w:r>
            <w:proofErr w:type="spellStart"/>
            <w:r w:rsidRPr="003B44EF">
              <w:rPr>
                <w:rFonts w:ascii="Arial Narrow" w:hAnsi="Arial Narrow" w:cs="Arial"/>
                <w:sz w:val="20"/>
                <w:szCs w:val="20"/>
              </w:rPr>
              <w:t>radiologically</w:t>
            </w:r>
            <w:proofErr w:type="spellEnd"/>
            <w:r w:rsidRPr="003B44EF">
              <w:rPr>
                <w:rFonts w:ascii="Arial Narrow" w:hAnsi="Arial Narrow" w:cs="Arial"/>
                <w:sz w:val="20"/>
                <w:szCs w:val="20"/>
              </w:rPr>
              <w:t xml:space="preserve"> and the year of plain x-ray or computed tomography (CT) scan or magnetic resonance imaging (MRI) scan must be documented in the patient's medical records when treatment is initiated.</w:t>
            </w:r>
          </w:p>
          <w:p w:rsidR="004F4CC7" w:rsidRPr="003B44EF" w:rsidRDefault="004F4CC7" w:rsidP="00AF22EB">
            <w:pPr>
              <w:rPr>
                <w:rFonts w:ascii="Arial Narrow" w:hAnsi="Arial Narrow" w:cs="Arial"/>
                <w:sz w:val="20"/>
                <w:szCs w:val="20"/>
              </w:rPr>
            </w:pP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Prescriber Instructions</w:t>
            </w: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rsidR="004F4CC7" w:rsidRPr="003B44EF" w:rsidRDefault="004F4CC7" w:rsidP="00AF22EB">
            <w:pPr>
              <w:rPr>
                <w:rFonts w:ascii="Arial Narrow" w:hAnsi="Arial Narrow" w:cs="Arial"/>
                <w:sz w:val="20"/>
                <w:szCs w:val="20"/>
              </w:rPr>
            </w:pP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Administrative Advice</w:t>
            </w:r>
          </w:p>
          <w:p w:rsidR="004F4CC7" w:rsidRPr="003B44EF" w:rsidRDefault="004F4CC7" w:rsidP="00AF22EB">
            <w:pPr>
              <w:jc w:val="both"/>
              <w:rPr>
                <w:rFonts w:ascii="Arial Narrow" w:hAnsi="Arial Narrow" w:cs="Arial"/>
                <w: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cs="Arial"/>
                <w:sz w:val="20"/>
                <w:szCs w:val="20"/>
                <w:u w:val="single"/>
              </w:rPr>
            </w:pPr>
            <w:r w:rsidRPr="003B44EF">
              <w:rPr>
                <w:rFonts w:ascii="Arial Narrow" w:hAnsi="Arial Narrow" w:cs="Arial"/>
                <w:sz w:val="20"/>
                <w:szCs w:val="20"/>
                <w:u w:val="single"/>
              </w:rPr>
              <w:t>Note</w:t>
            </w:r>
          </w:p>
          <w:p w:rsidR="004F4CC7" w:rsidRPr="003B44EF" w:rsidRDefault="004F4CC7" w:rsidP="00AF22EB">
            <w:pPr>
              <w:rPr>
                <w:rFonts w:ascii="Arial Narrow" w:hAnsi="Arial Narrow" w:cs="Arial"/>
                <w:sz w:val="20"/>
                <w:szCs w:val="20"/>
              </w:rPr>
            </w:pPr>
            <w:r w:rsidRPr="003B44EF">
              <w:rPr>
                <w:rFonts w:ascii="Arial Narrow" w:hAnsi="Arial Narrow" w:cs="Arial"/>
                <w:sz w:val="20"/>
                <w:szCs w:val="20"/>
              </w:rPr>
              <w:t>Anti-</w:t>
            </w:r>
            <w:proofErr w:type="spellStart"/>
            <w:r w:rsidRPr="003B44EF">
              <w:rPr>
                <w:rFonts w:ascii="Arial Narrow" w:hAnsi="Arial Narrow" w:cs="Arial"/>
                <w:sz w:val="20"/>
                <w:szCs w:val="20"/>
              </w:rPr>
              <w:t>resorptive</w:t>
            </w:r>
            <w:proofErr w:type="spellEnd"/>
            <w:r w:rsidRPr="003B44EF">
              <w:rPr>
                <w:rFonts w:ascii="Arial Narrow" w:hAnsi="Arial Narrow" w:cs="Arial"/>
                <w:sz w:val="20"/>
                <w:szCs w:val="20"/>
              </w:rPr>
              <w:t xml:space="preserve"> agents in established osteoporosis include alendronate sodium, </w:t>
            </w:r>
            <w:proofErr w:type="spellStart"/>
            <w:r w:rsidRPr="003B44EF">
              <w:rPr>
                <w:rFonts w:ascii="Arial Narrow" w:hAnsi="Arial Narrow" w:cs="Arial"/>
                <w:sz w:val="20"/>
                <w:szCs w:val="20"/>
              </w:rPr>
              <w:t>risedronate</w:t>
            </w:r>
            <w:proofErr w:type="spellEnd"/>
            <w:r w:rsidRPr="003B44EF">
              <w:rPr>
                <w:rFonts w:ascii="Arial Narrow" w:hAnsi="Arial Narrow" w:cs="Arial"/>
                <w:sz w:val="20"/>
                <w:szCs w:val="20"/>
              </w:rPr>
              <w:t xml:space="preserve"> sodium, </w:t>
            </w:r>
            <w:proofErr w:type="spellStart"/>
            <w:r w:rsidRPr="003B44EF">
              <w:rPr>
                <w:rFonts w:ascii="Arial Narrow" w:hAnsi="Arial Narrow" w:cs="Arial"/>
                <w:sz w:val="20"/>
                <w:szCs w:val="20"/>
              </w:rPr>
              <w:t>denosumab</w:t>
            </w:r>
            <w:proofErr w:type="spellEnd"/>
            <w:r w:rsidRPr="003B44EF">
              <w:rPr>
                <w:rFonts w:ascii="Arial Narrow" w:hAnsi="Arial Narrow" w:cs="Arial"/>
                <w:sz w:val="20"/>
                <w:szCs w:val="20"/>
              </w:rPr>
              <w:t xml:space="preserve">, </w:t>
            </w:r>
            <w:proofErr w:type="spellStart"/>
            <w:r w:rsidRPr="003B44EF">
              <w:rPr>
                <w:rFonts w:ascii="Arial Narrow" w:hAnsi="Arial Narrow" w:cs="Arial"/>
                <w:sz w:val="20"/>
                <w:szCs w:val="20"/>
              </w:rPr>
              <w:t>raloxifene</w:t>
            </w:r>
            <w:proofErr w:type="spellEnd"/>
            <w:r w:rsidRPr="003B44EF">
              <w:rPr>
                <w:rFonts w:ascii="Arial Narrow" w:hAnsi="Arial Narrow" w:cs="Arial"/>
                <w:sz w:val="20"/>
                <w:szCs w:val="20"/>
              </w:rPr>
              <w:t xml:space="preserve"> hydrochloride, strontium </w:t>
            </w:r>
            <w:proofErr w:type="spellStart"/>
            <w:r w:rsidRPr="003B44EF">
              <w:rPr>
                <w:rFonts w:ascii="Arial Narrow" w:hAnsi="Arial Narrow" w:cs="Arial"/>
                <w:sz w:val="20"/>
                <w:szCs w:val="20"/>
              </w:rPr>
              <w:t>ranelate</w:t>
            </w:r>
            <w:proofErr w:type="spellEnd"/>
            <w:r w:rsidRPr="003B44EF">
              <w:rPr>
                <w:rFonts w:ascii="Arial Narrow" w:hAnsi="Arial Narrow" w:cs="Arial"/>
                <w:sz w:val="20"/>
                <w:szCs w:val="20"/>
              </w:rPr>
              <w:t xml:space="preserve"> and </w:t>
            </w:r>
            <w:proofErr w:type="spellStart"/>
            <w:r w:rsidRPr="003B44EF">
              <w:rPr>
                <w:rFonts w:ascii="Arial Narrow" w:hAnsi="Arial Narrow" w:cs="Arial"/>
                <w:sz w:val="20"/>
                <w:szCs w:val="20"/>
              </w:rPr>
              <w:t>zoledronic</w:t>
            </w:r>
            <w:proofErr w:type="spellEnd"/>
            <w:r w:rsidRPr="003B44EF">
              <w:rPr>
                <w:rFonts w:ascii="Arial Narrow" w:hAnsi="Arial Narrow" w:cs="Arial"/>
                <w:sz w:val="20"/>
                <w:szCs w:val="20"/>
              </w:rPr>
              <w:t xml:space="preserve"> acid.</w:t>
            </w:r>
          </w:p>
          <w:p w:rsidR="004F4CC7" w:rsidRPr="003B44EF" w:rsidRDefault="004F4CC7" w:rsidP="00AF22EB">
            <w:pPr>
              <w:rPr>
                <w:rFonts w:ascii="Arial Narrow" w:hAnsi="Arial Narrow" w:cs="Arial"/>
                <w:sz w:val="20"/>
                <w:szCs w:val="20"/>
              </w:rPr>
            </w:pPr>
          </w:p>
        </w:tc>
      </w:tr>
      <w:tr w:rsidR="004F4CC7" w:rsidRPr="003B44EF" w:rsidTr="003B44EF">
        <w:trPr>
          <w:cantSplit/>
          <w:trHeight w:val="360"/>
        </w:trPr>
        <w:tc>
          <w:tcPr>
            <w:tcW w:w="2552" w:type="dxa"/>
            <w:tcBorders>
              <w:top w:val="single" w:sz="4" w:space="0" w:color="auto"/>
              <w:left w:val="single" w:sz="4" w:space="0" w:color="auto"/>
              <w:bottom w:val="single" w:sz="4" w:space="0" w:color="auto"/>
              <w:right w:val="single" w:sz="4" w:space="0" w:color="auto"/>
            </w:tcBorders>
          </w:tcPr>
          <w:p w:rsidR="004F4CC7" w:rsidRPr="003B44EF" w:rsidRDefault="004F4CC7" w:rsidP="00AF22EB">
            <w:pPr>
              <w:jc w:val="both"/>
              <w:rPr>
                <w:rFonts w:ascii="Arial Narrow" w:hAnsi="Arial Narrow" w:cs="Arial"/>
                <w:b/>
                <w:sz w:val="20"/>
                <w:szCs w:val="20"/>
              </w:rPr>
            </w:pPr>
            <w:r w:rsidRPr="003B44EF">
              <w:rPr>
                <w:rFonts w:ascii="Arial Narrow" w:hAnsi="Arial Narrow" w:cs="Arial"/>
                <w:b/>
                <w:sz w:val="20"/>
                <w:szCs w:val="20"/>
              </w:rPr>
              <w:t>Administrative Advice</w:t>
            </w:r>
          </w:p>
        </w:tc>
        <w:tc>
          <w:tcPr>
            <w:tcW w:w="5811" w:type="dxa"/>
            <w:gridSpan w:val="5"/>
            <w:tcBorders>
              <w:top w:val="single" w:sz="4" w:space="0" w:color="auto"/>
              <w:left w:val="single" w:sz="4" w:space="0" w:color="auto"/>
              <w:bottom w:val="single" w:sz="4" w:space="0" w:color="auto"/>
              <w:right w:val="single" w:sz="4" w:space="0" w:color="auto"/>
            </w:tcBorders>
          </w:tcPr>
          <w:p w:rsidR="004F4CC7" w:rsidRPr="003B44EF" w:rsidRDefault="004F4CC7" w:rsidP="00AF22EB">
            <w:pPr>
              <w:rPr>
                <w:rFonts w:ascii="Arial Narrow" w:hAnsi="Arial Narrow" w:cs="Arial"/>
                <w:i/>
                <w:sz w:val="20"/>
                <w:szCs w:val="20"/>
                <w:u w:val="single"/>
              </w:rPr>
            </w:pPr>
            <w:r w:rsidRPr="003B44EF">
              <w:rPr>
                <w:rFonts w:ascii="Arial Narrow" w:hAnsi="Arial Narrow" w:cs="Arial"/>
                <w:i/>
                <w:sz w:val="20"/>
                <w:szCs w:val="20"/>
                <w:u w:val="single"/>
              </w:rPr>
              <w:t>Note</w:t>
            </w:r>
          </w:p>
          <w:p w:rsidR="004F4CC7" w:rsidRPr="003B44EF" w:rsidRDefault="004F4CC7" w:rsidP="00AF22EB">
            <w:pPr>
              <w:rPr>
                <w:rFonts w:ascii="Arial Narrow" w:hAnsi="Arial Narrow" w:cs="Arial"/>
                <w:b/>
                <w:i/>
                <w:sz w:val="20"/>
                <w:szCs w:val="20"/>
              </w:rPr>
            </w:pPr>
            <w:r w:rsidRPr="003B44EF">
              <w:rPr>
                <w:rFonts w:ascii="Arial Narrow" w:hAnsi="Arial Narrow" w:cs="Arial"/>
                <w:b/>
                <w:i/>
                <w:sz w:val="20"/>
                <w:szCs w:val="20"/>
              </w:rPr>
              <w:t>Continuing Therapy Only:</w:t>
            </w:r>
          </w:p>
          <w:p w:rsidR="004F4CC7" w:rsidRPr="003B44EF" w:rsidRDefault="004F4CC7" w:rsidP="00AF22EB">
            <w:pPr>
              <w:rPr>
                <w:rFonts w:ascii="Arial Narrow" w:hAnsi="Arial Narrow" w:cs="Arial"/>
                <w:sz w:val="20"/>
                <w:szCs w:val="20"/>
              </w:rPr>
            </w:pPr>
            <w:r w:rsidRPr="003B44EF">
              <w:rPr>
                <w:rFonts w:ascii="Arial Narrow" w:hAnsi="Arial Narrow" w:cs="Arial"/>
                <w:i/>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3B44EF" w:rsidRPr="00882085" w:rsidRDefault="003B44EF"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DE7FCE" w:rsidRPr="00DE7FCE" w:rsidRDefault="00DE7FCE" w:rsidP="00700467">
      <w:pPr>
        <w:pStyle w:val="ListParagraph"/>
        <w:numPr>
          <w:ilvl w:val="1"/>
          <w:numId w:val="25"/>
        </w:numPr>
        <w:jc w:val="both"/>
        <w:rPr>
          <w:rFonts w:ascii="Arial" w:hAnsi="Arial"/>
          <w:sz w:val="22"/>
          <w:szCs w:val="22"/>
        </w:rPr>
      </w:pPr>
      <w:r w:rsidRPr="00DE7FCE">
        <w:rPr>
          <w:rFonts w:ascii="Arial" w:hAnsi="Arial"/>
          <w:sz w:val="22"/>
          <w:szCs w:val="22"/>
        </w:rPr>
        <w:t>S</w:t>
      </w:r>
      <w:r w:rsidR="00700467" w:rsidRPr="00DE7FCE">
        <w:rPr>
          <w:rFonts w:ascii="Arial" w:hAnsi="Arial" w:cs="Arial"/>
          <w:sz w:val="22"/>
          <w:szCs w:val="22"/>
        </w:rPr>
        <w:t>trontium has been PBS-listed since 1 April 2007.</w:t>
      </w:r>
    </w:p>
    <w:p w:rsidR="00DE7FCE" w:rsidRPr="00DE7FCE" w:rsidRDefault="00DE7FCE" w:rsidP="00DE7FCE">
      <w:pPr>
        <w:pStyle w:val="ListParagraph"/>
        <w:jc w:val="both"/>
        <w:rPr>
          <w:rFonts w:ascii="Arial" w:hAnsi="Arial"/>
          <w:sz w:val="22"/>
          <w:szCs w:val="22"/>
        </w:rPr>
      </w:pPr>
    </w:p>
    <w:p w:rsidR="00DE7FCE" w:rsidRPr="00DE7FCE" w:rsidRDefault="00700467" w:rsidP="00700467">
      <w:pPr>
        <w:pStyle w:val="ListParagraph"/>
        <w:numPr>
          <w:ilvl w:val="1"/>
          <w:numId w:val="25"/>
        </w:numPr>
        <w:jc w:val="both"/>
        <w:rPr>
          <w:rFonts w:ascii="Arial" w:hAnsi="Arial"/>
          <w:sz w:val="22"/>
          <w:szCs w:val="22"/>
        </w:rPr>
      </w:pPr>
      <w:r w:rsidRPr="00DE7FCE">
        <w:rPr>
          <w:rFonts w:ascii="Arial" w:hAnsi="Arial" w:cs="Arial"/>
          <w:sz w:val="22"/>
          <w:szCs w:val="22"/>
        </w:rPr>
        <w:t xml:space="preserve">At its July 2005 meeting, the PBAC recommended the listing of strontium as the sole-PBS subsidised </w:t>
      </w:r>
      <w:proofErr w:type="spellStart"/>
      <w:r w:rsidRPr="00DE7FCE">
        <w:rPr>
          <w:rFonts w:ascii="Arial" w:hAnsi="Arial" w:cs="Arial"/>
          <w:sz w:val="22"/>
          <w:szCs w:val="22"/>
        </w:rPr>
        <w:t>antiresorptive</w:t>
      </w:r>
      <w:proofErr w:type="spellEnd"/>
      <w:r w:rsidRPr="00DE7FCE">
        <w:rPr>
          <w:rFonts w:ascii="Arial" w:hAnsi="Arial" w:cs="Arial"/>
          <w:sz w:val="22"/>
          <w:szCs w:val="22"/>
        </w:rPr>
        <w:t xml:space="preserve"> agent for treatment of established post-menopausal osteoporosis in patients with fracture due to minimal trauma.  Listing was recommended on a cost-minimisation basis with alendronate for the outcome of morphometric vertebral fracture.  The </w:t>
      </w:r>
      <w:proofErr w:type="spellStart"/>
      <w:r w:rsidRPr="00DE7FCE">
        <w:rPr>
          <w:rFonts w:ascii="Arial" w:hAnsi="Arial" w:cs="Arial"/>
          <w:sz w:val="22"/>
          <w:szCs w:val="22"/>
        </w:rPr>
        <w:t>equi</w:t>
      </w:r>
      <w:proofErr w:type="spellEnd"/>
      <w:r w:rsidRPr="00DE7FCE">
        <w:rPr>
          <w:rFonts w:ascii="Arial" w:hAnsi="Arial" w:cs="Arial"/>
          <w:sz w:val="22"/>
          <w:szCs w:val="22"/>
        </w:rPr>
        <w:t>-effective doses were strontium 2 g daily and alendronate 70 mg weekly.</w:t>
      </w:r>
    </w:p>
    <w:p w:rsidR="00DE7FCE" w:rsidRPr="00DE7FCE" w:rsidRDefault="00DE7FCE" w:rsidP="00DE7FCE">
      <w:pPr>
        <w:pStyle w:val="ListParagraph"/>
        <w:rPr>
          <w:rFonts w:ascii="Arial" w:hAnsi="Arial" w:cs="Arial"/>
          <w:sz w:val="22"/>
          <w:szCs w:val="22"/>
        </w:rPr>
      </w:pPr>
    </w:p>
    <w:p w:rsidR="00DE7FCE" w:rsidRPr="00DE7FCE" w:rsidRDefault="003F53C1" w:rsidP="00700467">
      <w:pPr>
        <w:pStyle w:val="ListParagraph"/>
        <w:numPr>
          <w:ilvl w:val="1"/>
          <w:numId w:val="25"/>
        </w:numPr>
        <w:jc w:val="both"/>
        <w:rPr>
          <w:rFonts w:ascii="Arial" w:hAnsi="Arial"/>
          <w:sz w:val="22"/>
          <w:szCs w:val="22"/>
        </w:rPr>
      </w:pPr>
      <w:r>
        <w:rPr>
          <w:rFonts w:ascii="Arial" w:hAnsi="Arial" w:cs="Arial"/>
          <w:sz w:val="22"/>
          <w:szCs w:val="22"/>
        </w:rPr>
        <w:t>F</w:t>
      </w:r>
      <w:r w:rsidR="0085512B" w:rsidRPr="00DE7FCE">
        <w:rPr>
          <w:rFonts w:ascii="Arial" w:hAnsi="Arial" w:cs="Arial"/>
          <w:sz w:val="22"/>
          <w:szCs w:val="22"/>
        </w:rPr>
        <w:t>ollowing this recommendation, the PBAC subsequently considered strontium on the following occasions:</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March 2006: the sponsor requested a change to the recommended basis of listing for strontium from cost-minimisation to cost-effectiveness.  The PBAC rejected the submission.</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lastRenderedPageBreak/>
        <w:t xml:space="preserve">November 2006: the submission requested a listing for the prevention of fractures due to osteoporosis in postmenopausal women who have a contraindication or </w:t>
      </w:r>
      <w:proofErr w:type="gramStart"/>
      <w:r w:rsidRPr="00DE7FCE">
        <w:rPr>
          <w:rFonts w:ascii="Arial" w:hAnsi="Arial" w:cs="Arial"/>
          <w:sz w:val="22"/>
          <w:szCs w:val="22"/>
        </w:rPr>
        <w:t>an intolerance</w:t>
      </w:r>
      <w:proofErr w:type="gramEnd"/>
      <w:r w:rsidRPr="00DE7FCE">
        <w:rPr>
          <w:rFonts w:ascii="Arial" w:hAnsi="Arial" w:cs="Arial"/>
          <w:sz w:val="22"/>
          <w:szCs w:val="22"/>
        </w:rPr>
        <w:t xml:space="preserve"> to alendronate.  The PBAC rejected </w:t>
      </w:r>
      <w:r w:rsidR="003F53C1">
        <w:rPr>
          <w:rFonts w:ascii="Arial" w:hAnsi="Arial" w:cs="Arial"/>
          <w:sz w:val="22"/>
          <w:szCs w:val="22"/>
        </w:rPr>
        <w:t xml:space="preserve">the submission </w:t>
      </w:r>
      <w:r w:rsidRPr="00DE7FCE">
        <w:rPr>
          <w:rFonts w:ascii="Arial" w:hAnsi="Arial" w:cs="Arial"/>
          <w:sz w:val="22"/>
          <w:szCs w:val="22"/>
        </w:rPr>
        <w:t>because of uncertain clinical benefit and unacceptable cost-effectiveness.</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 xml:space="preserve">November 2006: the submission requested a listing for the prevention of fractures due to osteoporosis in postmenopausal women.  </w:t>
      </w:r>
      <w:r w:rsidR="00763A3F">
        <w:rPr>
          <w:rFonts w:ascii="Arial" w:hAnsi="Arial" w:cs="Arial"/>
          <w:sz w:val="22"/>
          <w:szCs w:val="22"/>
        </w:rPr>
        <w:t>The</w:t>
      </w:r>
      <w:r w:rsidR="00763A3F" w:rsidRPr="00DE7FCE">
        <w:rPr>
          <w:rFonts w:ascii="Arial" w:hAnsi="Arial" w:cs="Arial"/>
          <w:sz w:val="22"/>
          <w:szCs w:val="22"/>
        </w:rPr>
        <w:t xml:space="preserve"> </w:t>
      </w:r>
      <w:r w:rsidRPr="00DE7FCE">
        <w:rPr>
          <w:rFonts w:ascii="Arial" w:hAnsi="Arial" w:cs="Arial"/>
          <w:sz w:val="22"/>
          <w:szCs w:val="22"/>
        </w:rPr>
        <w:t>PBAC rejected</w:t>
      </w:r>
      <w:r w:rsidR="00763A3F">
        <w:rPr>
          <w:rFonts w:ascii="Arial" w:hAnsi="Arial" w:cs="Arial"/>
          <w:sz w:val="22"/>
          <w:szCs w:val="22"/>
        </w:rPr>
        <w:t xml:space="preserve"> the submission.</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March 2007: the minor submission requested an extension to the listing to include women aged 70 years or older with low bone mineral density (BMD) T-score of -3.0 or less and without prevalent fracture.  The PBAC deferred to allow analysis of the submission by the Pharmaceutical Evaluation Section and consideration by the ESC</w:t>
      </w:r>
      <w:r w:rsidR="00763A3F">
        <w:rPr>
          <w:rFonts w:ascii="Arial" w:hAnsi="Arial" w:cs="Arial"/>
          <w:sz w:val="22"/>
          <w:szCs w:val="22"/>
        </w:rPr>
        <w:t>.</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 xml:space="preserve">July 2007 meeting:  Following its deferral in March 2007 the PBAC recommended the listing of strontium as the sole PBS-subsidised </w:t>
      </w:r>
      <w:proofErr w:type="spellStart"/>
      <w:r w:rsidRPr="00DE7FCE">
        <w:rPr>
          <w:rFonts w:ascii="Arial" w:hAnsi="Arial" w:cs="Arial"/>
          <w:sz w:val="22"/>
          <w:szCs w:val="22"/>
        </w:rPr>
        <w:t>antiresorptive</w:t>
      </w:r>
      <w:proofErr w:type="spellEnd"/>
      <w:r w:rsidRPr="00DE7FCE">
        <w:rPr>
          <w:rFonts w:ascii="Arial" w:hAnsi="Arial" w:cs="Arial"/>
          <w:sz w:val="22"/>
          <w:szCs w:val="22"/>
        </w:rPr>
        <w:t xml:space="preserve"> agent for osteoporosis in a woman aged 70 years or older with a bone mineral density (BMD) T-score of -3.0 or less on a cost minimisation basis compared to </w:t>
      </w:r>
      <w:proofErr w:type="spellStart"/>
      <w:r w:rsidRPr="00DE7FCE">
        <w:rPr>
          <w:rFonts w:ascii="Arial" w:hAnsi="Arial" w:cs="Arial"/>
          <w:sz w:val="22"/>
          <w:szCs w:val="22"/>
        </w:rPr>
        <w:t>alendronic</w:t>
      </w:r>
      <w:proofErr w:type="spellEnd"/>
      <w:r w:rsidRPr="00DE7FCE">
        <w:rPr>
          <w:rFonts w:ascii="Arial" w:hAnsi="Arial" w:cs="Arial"/>
          <w:sz w:val="22"/>
          <w:szCs w:val="22"/>
        </w:rPr>
        <w:t xml:space="preserve"> acid, and where strontium </w:t>
      </w:r>
      <w:proofErr w:type="spellStart"/>
      <w:r w:rsidRPr="00DE7FCE">
        <w:rPr>
          <w:rFonts w:ascii="Arial" w:hAnsi="Arial" w:cs="Arial"/>
          <w:sz w:val="22"/>
          <w:szCs w:val="22"/>
        </w:rPr>
        <w:t>ranelate</w:t>
      </w:r>
      <w:proofErr w:type="spellEnd"/>
      <w:r w:rsidRPr="00DE7FCE">
        <w:rPr>
          <w:rFonts w:ascii="Arial" w:hAnsi="Arial" w:cs="Arial"/>
          <w:sz w:val="22"/>
          <w:szCs w:val="22"/>
        </w:rPr>
        <w:t xml:space="preserve"> 2 g daily is equivalent to alendronate sodium 70 mg weekly.</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July 2012: the submission requested amendment of the PBS listing for strontium to include men aged 70 years of age or older with a Bone Mineral Density (BMD) T-score of -3 or less and men with established osteoporosis with fracture due to minimal trauma on a cost minimisation basis compared with alendronate alone.  The PBAC recommended amend</w:t>
      </w:r>
      <w:r w:rsidR="00AF22EB">
        <w:rPr>
          <w:rFonts w:ascii="Arial" w:hAnsi="Arial" w:cs="Arial"/>
          <w:sz w:val="22"/>
          <w:szCs w:val="22"/>
        </w:rPr>
        <w:t>ing</w:t>
      </w:r>
      <w:r w:rsidRPr="00DE7FCE">
        <w:rPr>
          <w:rFonts w:ascii="Arial" w:hAnsi="Arial" w:cs="Arial"/>
          <w:sz w:val="22"/>
          <w:szCs w:val="22"/>
        </w:rPr>
        <w:t xml:space="preserve"> the listing.</w:t>
      </w:r>
    </w:p>
    <w:p w:rsidR="00DE7FCE" w:rsidRPr="00DE7FCE" w:rsidRDefault="00DE7FCE" w:rsidP="0014383D">
      <w:pPr>
        <w:pStyle w:val="ListParagraph"/>
        <w:numPr>
          <w:ilvl w:val="0"/>
          <w:numId w:val="39"/>
        </w:numPr>
        <w:tabs>
          <w:tab w:val="left" w:pos="993"/>
        </w:tabs>
        <w:ind w:hanging="11"/>
        <w:jc w:val="both"/>
        <w:rPr>
          <w:rFonts w:ascii="Arial" w:hAnsi="Arial" w:cs="Arial"/>
          <w:sz w:val="22"/>
          <w:szCs w:val="22"/>
        </w:rPr>
      </w:pPr>
      <w:r w:rsidRPr="00DE7FCE">
        <w:rPr>
          <w:rFonts w:ascii="Arial" w:hAnsi="Arial" w:cs="Arial"/>
          <w:sz w:val="22"/>
          <w:szCs w:val="22"/>
        </w:rPr>
        <w:t xml:space="preserve">November 2012: the submission requested revision of the relative weightings of alendronate sodium and </w:t>
      </w:r>
      <w:proofErr w:type="spellStart"/>
      <w:r w:rsidRPr="00DE7FCE">
        <w:rPr>
          <w:rFonts w:ascii="Arial" w:hAnsi="Arial" w:cs="Arial"/>
          <w:sz w:val="22"/>
          <w:szCs w:val="22"/>
        </w:rPr>
        <w:t>risedronate</w:t>
      </w:r>
      <w:proofErr w:type="spellEnd"/>
      <w:r w:rsidRPr="00DE7FCE">
        <w:rPr>
          <w:rFonts w:ascii="Arial" w:hAnsi="Arial" w:cs="Arial"/>
          <w:sz w:val="22"/>
          <w:szCs w:val="22"/>
        </w:rPr>
        <w:t xml:space="preserve"> sodium as the basis for calculating the price of strontium.  The PBAC recommended that the weighted proportions as presented in the submission form the basis for calculating the price of strontium in this indication.</w:t>
      </w:r>
    </w:p>
    <w:p w:rsidR="00DE7FCE" w:rsidRPr="00DE7FCE" w:rsidRDefault="00DE7FCE" w:rsidP="00DE7FCE">
      <w:pPr>
        <w:pStyle w:val="ListParagraph"/>
        <w:rPr>
          <w:rFonts w:ascii="Arial" w:hAnsi="Arial" w:cs="Arial"/>
          <w:sz w:val="22"/>
          <w:szCs w:val="22"/>
        </w:rPr>
      </w:pPr>
    </w:p>
    <w:p w:rsidR="00BB7EC3" w:rsidRPr="00AF7142" w:rsidRDefault="00700467" w:rsidP="0085512B">
      <w:pPr>
        <w:pStyle w:val="ListParagraph"/>
        <w:numPr>
          <w:ilvl w:val="1"/>
          <w:numId w:val="25"/>
        </w:numPr>
        <w:jc w:val="both"/>
        <w:rPr>
          <w:rFonts w:ascii="Arial" w:hAnsi="Arial"/>
          <w:sz w:val="22"/>
          <w:szCs w:val="22"/>
        </w:rPr>
      </w:pPr>
      <w:r w:rsidRPr="00DE7FCE">
        <w:rPr>
          <w:rFonts w:ascii="Arial" w:hAnsi="Arial" w:cs="Arial"/>
          <w:sz w:val="22"/>
          <w:szCs w:val="22"/>
        </w:rPr>
        <w:t>On 1 August 2013, the PBS listing for strontium was amended to remove the primary prevention indication following an amendment to the TGA approved indications.</w:t>
      </w:r>
    </w:p>
    <w:p w:rsidR="00BB7EC3"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4E6836" w:rsidRDefault="008D2FFA" w:rsidP="008D2FFA">
      <w:pPr>
        <w:pStyle w:val="ListParagraph"/>
        <w:numPr>
          <w:ilvl w:val="1"/>
          <w:numId w:val="25"/>
        </w:numPr>
        <w:jc w:val="both"/>
        <w:rPr>
          <w:rFonts w:ascii="Arial" w:hAnsi="Arial"/>
          <w:sz w:val="22"/>
          <w:szCs w:val="22"/>
        </w:rPr>
      </w:pPr>
      <w:r w:rsidRPr="004E6836">
        <w:rPr>
          <w:rFonts w:ascii="Arial" w:hAnsi="Arial" w:cs="Arial"/>
          <w:sz w:val="22"/>
          <w:szCs w:val="22"/>
        </w:rPr>
        <w:t>The amended TGA approved indication for strontium effectively positions it as a second line treatment option, for a sub-group of patients with severe disease and at high risk of fracture, after failure of or inability to use first line treatments.</w:t>
      </w:r>
      <w:r w:rsidR="00C35996" w:rsidRPr="004E6836">
        <w:rPr>
          <w:rFonts w:ascii="Arial" w:hAnsi="Arial"/>
          <w:sz w:val="22"/>
          <w:szCs w:val="22"/>
        </w:rPr>
        <w:tab/>
      </w:r>
      <w:r w:rsidR="00C35996" w:rsidRPr="004E6836">
        <w:rPr>
          <w:rFonts w:ascii="Arial" w:hAnsi="Arial"/>
          <w:sz w:val="22"/>
          <w:szCs w:val="22"/>
        </w:rPr>
        <w:tab/>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3B44EF" w:rsidRPr="00882085" w:rsidRDefault="003B44EF"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8D2FFA" w:rsidP="00882085">
      <w:pPr>
        <w:pStyle w:val="ListParagraph"/>
        <w:numPr>
          <w:ilvl w:val="1"/>
          <w:numId w:val="25"/>
        </w:numPr>
        <w:jc w:val="both"/>
        <w:rPr>
          <w:rFonts w:ascii="Arial" w:hAnsi="Arial"/>
          <w:sz w:val="22"/>
          <w:szCs w:val="22"/>
        </w:rPr>
      </w:pPr>
      <w:r>
        <w:rPr>
          <w:rFonts w:ascii="Arial" w:hAnsi="Arial"/>
          <w:sz w:val="22"/>
          <w:szCs w:val="22"/>
        </w:rPr>
        <w:t>The sponsor did not nominate a comparator.</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3B44EF" w:rsidRPr="003B44EF" w:rsidRDefault="003B44EF" w:rsidP="003B44EF">
      <w:pPr>
        <w:jc w:val="both"/>
        <w:rPr>
          <w:rFonts w:ascii="Arial" w:hAnsi="Arial"/>
          <w:sz w:val="22"/>
          <w:szCs w:val="22"/>
        </w:rPr>
      </w:pPr>
    </w:p>
    <w:p w:rsidR="003B44EF" w:rsidRPr="00407F2D" w:rsidRDefault="003B44EF" w:rsidP="003B44EF">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882085" w:rsidRDefault="00BB7EC3" w:rsidP="00BB7EC3">
      <w:pPr>
        <w:ind w:left="709"/>
        <w:jc w:val="both"/>
        <w:rPr>
          <w:rFonts w:ascii="Arial" w:hAnsi="Arial"/>
          <w:b/>
          <w:sz w:val="22"/>
          <w:szCs w:val="22"/>
        </w:rPr>
      </w:pPr>
    </w:p>
    <w:p w:rsidR="00BB7EC3"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As a minor submission, t</w:t>
      </w:r>
      <w:r w:rsidR="00BB7EC3" w:rsidRPr="003B44EF">
        <w:rPr>
          <w:rFonts w:ascii="Arial" w:hAnsi="Arial"/>
          <w:sz w:val="22"/>
          <w:szCs w:val="22"/>
        </w:rPr>
        <w:t>here was no hearing for this item.</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BB7EC3"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No consumer comments were received for this item.</w:t>
      </w:r>
    </w:p>
    <w:p w:rsidR="00BB7EC3" w:rsidRPr="00882085" w:rsidRDefault="00BB7EC3" w:rsidP="008D2FFA">
      <w:pPr>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9F5F2E"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lastRenderedPageBreak/>
        <w:t xml:space="preserve">The minor submission did not present any clinical data </w:t>
      </w:r>
    </w:p>
    <w:p w:rsidR="008D2FFA" w:rsidRDefault="008D2FFA" w:rsidP="008D2FFA">
      <w:pPr>
        <w:pStyle w:val="ListParagraph"/>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0B558D"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The minor submission did not present any clinical data</w:t>
      </w:r>
      <w:r w:rsidR="000B558D" w:rsidRPr="003B44EF">
        <w:rPr>
          <w:rFonts w:ascii="Arial" w:hAnsi="Arial"/>
          <w:sz w:val="22"/>
          <w:szCs w:val="22"/>
        </w:rPr>
        <w:t>.</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0B558D"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The minor submission did not present any clinical data</w:t>
      </w:r>
      <w:r w:rsidR="000B558D" w:rsidRPr="003B44EF">
        <w:rPr>
          <w:rFonts w:ascii="Arial" w:hAnsi="Arial"/>
          <w:sz w:val="22"/>
          <w:szCs w:val="22"/>
        </w:rPr>
        <w:t>.</w:t>
      </w:r>
    </w:p>
    <w:p w:rsidR="00FA6055" w:rsidRDefault="00FA6055" w:rsidP="00B6773F">
      <w:pPr>
        <w:jc w:val="both"/>
        <w:rPr>
          <w:rFonts w:ascii="Arial" w:hAnsi="Arial"/>
          <w:sz w:val="22"/>
          <w:szCs w:val="22"/>
        </w:rPr>
      </w:pPr>
    </w:p>
    <w:p w:rsidR="00B6773F" w:rsidRDefault="00B6773F" w:rsidP="00B6773F">
      <w:pPr>
        <w:jc w:val="both"/>
        <w:rPr>
          <w:rFonts w:ascii="Arial" w:hAnsi="Arial"/>
          <w:b/>
          <w:i/>
          <w:sz w:val="22"/>
          <w:szCs w:val="22"/>
        </w:rPr>
      </w:pPr>
      <w:r w:rsidRPr="00B6773F">
        <w:rPr>
          <w:rFonts w:ascii="Arial" w:hAnsi="Arial"/>
          <w:b/>
          <w:i/>
          <w:sz w:val="22"/>
          <w:szCs w:val="22"/>
        </w:rPr>
        <w:t>Benefits/harms</w:t>
      </w:r>
    </w:p>
    <w:p w:rsidR="00B6773F" w:rsidRPr="00B6773F" w:rsidRDefault="00B6773F" w:rsidP="00B6773F">
      <w:pPr>
        <w:jc w:val="both"/>
        <w:rPr>
          <w:rFonts w:ascii="Arial" w:hAnsi="Arial"/>
          <w:b/>
          <w:i/>
          <w:sz w:val="22"/>
          <w:szCs w:val="22"/>
        </w:rPr>
      </w:pPr>
    </w:p>
    <w:p w:rsidR="008D2FFA"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minor submission did not present any clinical data. </w:t>
      </w:r>
    </w:p>
    <w:p w:rsidR="00BB7EC3" w:rsidRDefault="00BB7EC3" w:rsidP="00BB7EC3">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BB7EC3"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minor submission did not make a clinical claim. </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8D2FFA"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The minor submission did not present an economic analysis.</w:t>
      </w:r>
    </w:p>
    <w:p w:rsidR="008D2FFA" w:rsidRDefault="008D2FFA"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8D2FFA" w:rsidRPr="003B44EF" w:rsidRDefault="008D2FFA"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minor submission did not present estimates of PBS usage or financial implications of the amended listing. </w:t>
      </w:r>
    </w:p>
    <w:p w:rsidR="00BB7EC3" w:rsidRDefault="00BB7EC3" w:rsidP="00BB7EC3">
      <w:pPr>
        <w:pStyle w:val="ListParagraph"/>
        <w:ind w:left="709"/>
        <w:jc w:val="both"/>
        <w:rPr>
          <w:rFonts w:ascii="Arial" w:hAnsi="Arial"/>
          <w:i/>
          <w:sz w:val="22"/>
          <w:szCs w:val="22"/>
        </w:rPr>
      </w:pPr>
    </w:p>
    <w:p w:rsidR="008D2FFA" w:rsidRPr="00AF7142" w:rsidRDefault="00BB7EC3" w:rsidP="00AF7142">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D2FFA" w:rsidRDefault="008D2FFA" w:rsidP="00882085">
      <w:pPr>
        <w:jc w:val="both"/>
        <w:rPr>
          <w:rFonts w:ascii="Arial" w:hAnsi="Arial"/>
          <w:b/>
          <w:sz w:val="22"/>
          <w:szCs w:val="22"/>
        </w:rPr>
      </w:pPr>
    </w:p>
    <w:p w:rsidR="003B44EF" w:rsidRPr="00407F2D" w:rsidRDefault="003B44EF" w:rsidP="003B44EF">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9067B7" w:rsidRPr="00882085" w:rsidRDefault="009067B7" w:rsidP="00882085">
      <w:pPr>
        <w:jc w:val="both"/>
        <w:rPr>
          <w:rFonts w:ascii="Arial" w:hAnsi="Arial"/>
          <w:b/>
          <w:sz w:val="22"/>
          <w:szCs w:val="22"/>
        </w:rPr>
      </w:pPr>
    </w:p>
    <w:p w:rsidR="00BB7EC3" w:rsidRPr="003B44EF" w:rsidRDefault="00BB7EC3"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PBAC recommended </w:t>
      </w:r>
      <w:r w:rsidR="00AF22EB" w:rsidRPr="003B44EF">
        <w:rPr>
          <w:rFonts w:ascii="Arial" w:hAnsi="Arial"/>
          <w:sz w:val="22"/>
          <w:szCs w:val="22"/>
        </w:rPr>
        <w:t xml:space="preserve">amending </w:t>
      </w:r>
      <w:r w:rsidRPr="003B44EF">
        <w:rPr>
          <w:rFonts w:ascii="Arial" w:hAnsi="Arial"/>
          <w:sz w:val="22"/>
          <w:szCs w:val="22"/>
        </w:rPr>
        <w:t xml:space="preserve">the listing of </w:t>
      </w:r>
      <w:r w:rsidR="00AF22EB" w:rsidRPr="003B44EF">
        <w:rPr>
          <w:rFonts w:ascii="Arial" w:hAnsi="Arial"/>
          <w:sz w:val="22"/>
          <w:szCs w:val="22"/>
        </w:rPr>
        <w:t xml:space="preserve">strontium to place it in a second line setting </w:t>
      </w:r>
      <w:r w:rsidR="00883069" w:rsidRPr="003B44EF">
        <w:rPr>
          <w:rFonts w:ascii="Arial" w:hAnsi="Arial"/>
          <w:sz w:val="22"/>
          <w:szCs w:val="22"/>
        </w:rPr>
        <w:t xml:space="preserve">where the patient is unable to use other osteoporosis treatments due to contraindication or intolerance.  The PBAC considered that in light of the safety concerns with strontium, returning the listing to a telephone Authority would be appropriate. </w:t>
      </w:r>
    </w:p>
    <w:p w:rsidR="00BB7EC3" w:rsidRPr="00BB7EC3" w:rsidRDefault="00BB7EC3" w:rsidP="00BB7EC3">
      <w:pPr>
        <w:pStyle w:val="ListParagraph"/>
        <w:rPr>
          <w:rFonts w:ascii="Arial" w:hAnsi="Arial"/>
          <w:sz w:val="22"/>
          <w:szCs w:val="22"/>
        </w:rPr>
      </w:pPr>
    </w:p>
    <w:p w:rsidR="00BB7EC3" w:rsidRPr="003B44EF" w:rsidRDefault="00883069" w:rsidP="003B44EF">
      <w:pPr>
        <w:pStyle w:val="ListParagraph"/>
        <w:numPr>
          <w:ilvl w:val="1"/>
          <w:numId w:val="25"/>
        </w:numPr>
        <w:jc w:val="both"/>
        <w:rPr>
          <w:rFonts w:ascii="Arial" w:hAnsi="Arial"/>
          <w:sz w:val="22"/>
          <w:szCs w:val="22"/>
        </w:rPr>
      </w:pPr>
      <w:r w:rsidRPr="003B44EF">
        <w:rPr>
          <w:rFonts w:ascii="Arial" w:hAnsi="Arial"/>
          <w:sz w:val="22"/>
          <w:szCs w:val="22"/>
        </w:rPr>
        <w:t>In addition to the amendments suggested by the Department, the</w:t>
      </w:r>
      <w:r w:rsidR="00BB7EC3" w:rsidRPr="003B44EF">
        <w:rPr>
          <w:rFonts w:ascii="Arial" w:hAnsi="Arial"/>
          <w:sz w:val="22"/>
          <w:szCs w:val="22"/>
        </w:rPr>
        <w:t xml:space="preserve"> PBAC </w:t>
      </w:r>
      <w:r w:rsidRPr="003B44EF">
        <w:rPr>
          <w:rFonts w:ascii="Arial" w:hAnsi="Arial"/>
          <w:sz w:val="22"/>
          <w:szCs w:val="22"/>
        </w:rPr>
        <w:t xml:space="preserve">noted the requirements for monitoring of cardiovascular and venous thromboembolism risk.  The PBAC considered that this additional safety monitoring rendered the listing no longer suitable for prescribing by nurse practitioners.  The PBAC therefore recommended that prescribing be limited to medical practitioners. </w:t>
      </w:r>
    </w:p>
    <w:p w:rsidR="00BB7EC3" w:rsidRDefault="00BB7EC3" w:rsidP="00BB7EC3">
      <w:pPr>
        <w:pStyle w:val="ListParagraph"/>
        <w:ind w:left="709"/>
        <w:jc w:val="both"/>
        <w:rPr>
          <w:rFonts w:ascii="Arial" w:hAnsi="Arial"/>
          <w:sz w:val="22"/>
          <w:szCs w:val="22"/>
        </w:rPr>
      </w:pPr>
    </w:p>
    <w:p w:rsidR="00BB7EC3" w:rsidRPr="003B44EF" w:rsidRDefault="00883069" w:rsidP="003B44EF">
      <w:pPr>
        <w:pStyle w:val="ListParagraph"/>
        <w:numPr>
          <w:ilvl w:val="1"/>
          <w:numId w:val="25"/>
        </w:numPr>
        <w:jc w:val="both"/>
        <w:rPr>
          <w:rFonts w:ascii="Arial" w:hAnsi="Arial"/>
          <w:sz w:val="22"/>
          <w:szCs w:val="22"/>
        </w:rPr>
      </w:pPr>
      <w:r w:rsidRPr="003B44EF">
        <w:rPr>
          <w:rFonts w:ascii="Arial" w:hAnsi="Arial"/>
          <w:sz w:val="22"/>
          <w:szCs w:val="22"/>
        </w:rPr>
        <w:t>The PBAC noted that the cost effectiveness of strontium</w:t>
      </w:r>
      <w:r w:rsidR="000F3433" w:rsidRPr="003B44EF">
        <w:rPr>
          <w:rFonts w:ascii="Arial" w:hAnsi="Arial"/>
          <w:sz w:val="22"/>
          <w:szCs w:val="22"/>
        </w:rPr>
        <w:t xml:space="preserve"> </w:t>
      </w:r>
      <w:r w:rsidRPr="003B44EF">
        <w:rPr>
          <w:rFonts w:ascii="Arial" w:hAnsi="Arial"/>
          <w:sz w:val="22"/>
          <w:szCs w:val="22"/>
        </w:rPr>
        <w:t xml:space="preserve">in a second-line setting </w:t>
      </w:r>
      <w:r w:rsidR="00F56035" w:rsidRPr="003B44EF">
        <w:rPr>
          <w:rFonts w:ascii="Arial" w:hAnsi="Arial"/>
          <w:sz w:val="22"/>
          <w:szCs w:val="22"/>
        </w:rPr>
        <w:t>had not been assessed and was therefore unknown.  The PBAC recalled that strontium was listed on a cost-minimisation basis with alendronate, and that it had subsequently rejected a submission to change the basis of listing to cost-</w:t>
      </w:r>
      <w:r w:rsidR="00F56035" w:rsidRPr="003B44EF">
        <w:rPr>
          <w:rFonts w:ascii="Arial" w:hAnsi="Arial"/>
          <w:sz w:val="22"/>
          <w:szCs w:val="22"/>
        </w:rPr>
        <w:lastRenderedPageBreak/>
        <w:t xml:space="preserve">effectiveness.  The PBAC considered that in light of the fact that superiority of strontium over alendronate had not been accepted, and that the cost-effectiveness of strontium in a second line was unknown, there was no basis for strontium to retain its current higher price than alendronate.  </w:t>
      </w:r>
      <w:r w:rsidR="005D2576" w:rsidRPr="003B44EF">
        <w:rPr>
          <w:rFonts w:ascii="Arial" w:hAnsi="Arial"/>
          <w:sz w:val="22"/>
          <w:szCs w:val="22"/>
        </w:rPr>
        <w:t xml:space="preserve">The PBAC therefore </w:t>
      </w:r>
      <w:r w:rsidR="0097064B" w:rsidRPr="003B44EF">
        <w:rPr>
          <w:rFonts w:ascii="Arial" w:hAnsi="Arial"/>
          <w:sz w:val="22"/>
          <w:szCs w:val="22"/>
        </w:rPr>
        <w:t xml:space="preserve">considered </w:t>
      </w:r>
      <w:r w:rsidR="005D2576" w:rsidRPr="003B44EF">
        <w:rPr>
          <w:rFonts w:ascii="Arial" w:hAnsi="Arial"/>
          <w:sz w:val="22"/>
          <w:szCs w:val="22"/>
        </w:rPr>
        <w:t xml:space="preserve">that </w:t>
      </w:r>
      <w:r w:rsidR="0097064B" w:rsidRPr="003B44EF">
        <w:rPr>
          <w:rFonts w:ascii="Arial" w:hAnsi="Arial"/>
          <w:sz w:val="22"/>
          <w:szCs w:val="22"/>
        </w:rPr>
        <w:t xml:space="preserve">it would be appropriate for </w:t>
      </w:r>
      <w:r w:rsidR="005D2576" w:rsidRPr="003B44EF">
        <w:rPr>
          <w:rFonts w:ascii="Arial" w:hAnsi="Arial"/>
          <w:sz w:val="22"/>
          <w:szCs w:val="22"/>
        </w:rPr>
        <w:t xml:space="preserve">the price of strontium </w:t>
      </w:r>
      <w:r w:rsidR="0097064B" w:rsidRPr="003B44EF">
        <w:rPr>
          <w:rFonts w:ascii="Arial" w:hAnsi="Arial"/>
          <w:sz w:val="22"/>
          <w:szCs w:val="22"/>
        </w:rPr>
        <w:t xml:space="preserve">to </w:t>
      </w:r>
      <w:r w:rsidR="005D2576" w:rsidRPr="003B44EF">
        <w:rPr>
          <w:rFonts w:ascii="Arial" w:hAnsi="Arial"/>
          <w:sz w:val="22"/>
          <w:szCs w:val="22"/>
        </w:rPr>
        <w:t>be reduced to a level equivalent with alendronate.</w:t>
      </w:r>
      <w:r w:rsidRPr="003B44EF">
        <w:rPr>
          <w:rFonts w:ascii="Arial" w:hAnsi="Arial"/>
          <w:sz w:val="22"/>
          <w:szCs w:val="22"/>
        </w:rPr>
        <w:t xml:space="preserve"> </w:t>
      </w:r>
    </w:p>
    <w:p w:rsidR="00BB7EC3" w:rsidRPr="00883069" w:rsidRDefault="00BB7EC3" w:rsidP="00BB7EC3">
      <w:pPr>
        <w:pStyle w:val="ListParagraph"/>
        <w:ind w:left="709"/>
        <w:jc w:val="both"/>
        <w:rPr>
          <w:rFonts w:ascii="Arial" w:hAnsi="Arial"/>
          <w:sz w:val="22"/>
          <w:szCs w:val="22"/>
        </w:rPr>
      </w:pPr>
      <w:r w:rsidRPr="00883069">
        <w:rPr>
          <w:rFonts w:ascii="Arial" w:hAnsi="Arial"/>
          <w:sz w:val="22"/>
          <w:szCs w:val="22"/>
        </w:rPr>
        <w:t xml:space="preserve"> </w:t>
      </w:r>
    </w:p>
    <w:p w:rsidR="00BB7EC3" w:rsidRPr="003B44EF" w:rsidRDefault="00F56035"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PBAC </w:t>
      </w:r>
      <w:r w:rsidR="0097064B" w:rsidRPr="003B44EF">
        <w:rPr>
          <w:rFonts w:ascii="Arial" w:hAnsi="Arial"/>
          <w:sz w:val="22"/>
          <w:szCs w:val="22"/>
        </w:rPr>
        <w:t xml:space="preserve">considered </w:t>
      </w:r>
      <w:r w:rsidRPr="003B44EF">
        <w:rPr>
          <w:rFonts w:ascii="Arial" w:hAnsi="Arial"/>
          <w:sz w:val="22"/>
          <w:szCs w:val="22"/>
        </w:rPr>
        <w:t xml:space="preserve">that </w:t>
      </w:r>
      <w:r w:rsidR="0097064B" w:rsidRPr="003B44EF">
        <w:rPr>
          <w:rFonts w:ascii="Arial" w:hAnsi="Arial"/>
          <w:sz w:val="22"/>
          <w:szCs w:val="22"/>
        </w:rPr>
        <w:t xml:space="preserve">it would be appropriate for </w:t>
      </w:r>
      <w:r w:rsidRPr="003B44EF">
        <w:rPr>
          <w:rFonts w:ascii="Arial" w:hAnsi="Arial"/>
          <w:sz w:val="22"/>
          <w:szCs w:val="22"/>
        </w:rPr>
        <w:t xml:space="preserve">the Department </w:t>
      </w:r>
      <w:r w:rsidR="0097064B" w:rsidRPr="003B44EF">
        <w:rPr>
          <w:rFonts w:ascii="Arial" w:hAnsi="Arial"/>
          <w:sz w:val="22"/>
          <w:szCs w:val="22"/>
        </w:rPr>
        <w:t xml:space="preserve">to </w:t>
      </w:r>
      <w:r w:rsidRPr="003B44EF">
        <w:rPr>
          <w:rFonts w:ascii="Arial" w:hAnsi="Arial"/>
          <w:sz w:val="22"/>
          <w:szCs w:val="22"/>
        </w:rPr>
        <w:t>give effect to the amended listing and reduced price at the earliest opportunity</w:t>
      </w:r>
      <w:r w:rsidR="005D2576" w:rsidRPr="003B44EF">
        <w:rPr>
          <w:rFonts w:ascii="Arial" w:hAnsi="Arial"/>
          <w:sz w:val="22"/>
          <w:szCs w:val="22"/>
        </w:rPr>
        <w:t>.</w:t>
      </w:r>
      <w:r w:rsidR="002C0BE5" w:rsidRPr="003B44EF">
        <w:rPr>
          <w:rFonts w:ascii="Arial" w:hAnsi="Arial"/>
          <w:sz w:val="22"/>
          <w:szCs w:val="22"/>
        </w:rPr>
        <w:t xml:space="preserve">  However, the PBAC acknowledged that the sponsor needed an opportunity to consider the Committee’s views and to make a submission to address the issue of the price of strontium.  The PBAC noted that it may be necessary for the Department to give effect to the amended listing and the reduced price at different times.</w:t>
      </w:r>
      <w:r w:rsidR="00C04323" w:rsidRPr="003B44EF">
        <w:rPr>
          <w:rFonts w:ascii="Arial" w:hAnsi="Arial"/>
          <w:sz w:val="22"/>
          <w:szCs w:val="22"/>
        </w:rPr>
        <w:t xml:space="preserve">  </w:t>
      </w:r>
    </w:p>
    <w:p w:rsidR="00EC58D9" w:rsidRPr="00EC58D9" w:rsidRDefault="00EC58D9" w:rsidP="00EC58D9">
      <w:pPr>
        <w:jc w:val="both"/>
        <w:rPr>
          <w:rFonts w:ascii="Arial" w:hAnsi="Arial"/>
          <w:sz w:val="22"/>
          <w:szCs w:val="22"/>
        </w:rPr>
      </w:pPr>
    </w:p>
    <w:p w:rsidR="00BB7EC3" w:rsidRPr="003B44EF" w:rsidRDefault="00F56035" w:rsidP="003B44EF">
      <w:pPr>
        <w:pStyle w:val="ListParagraph"/>
        <w:numPr>
          <w:ilvl w:val="1"/>
          <w:numId w:val="25"/>
        </w:numPr>
        <w:jc w:val="both"/>
        <w:rPr>
          <w:rFonts w:ascii="Arial" w:hAnsi="Arial"/>
          <w:sz w:val="22"/>
          <w:szCs w:val="22"/>
        </w:rPr>
      </w:pPr>
      <w:r w:rsidRPr="003B44EF">
        <w:rPr>
          <w:rFonts w:ascii="Arial" w:hAnsi="Arial"/>
          <w:sz w:val="22"/>
          <w:szCs w:val="22"/>
        </w:rPr>
        <w:t xml:space="preserve">The PBAC was of a mind to recommend the delisting of strontium from the PBS under the current circumstances, however noted that the sponsor had not yet had the opportunity to respond to the Committee’s concerns.  The PBAC considered that it would be appropriate for the sponsor to </w:t>
      </w:r>
      <w:r w:rsidR="004165DD" w:rsidRPr="003B44EF">
        <w:rPr>
          <w:rFonts w:ascii="Arial" w:hAnsi="Arial"/>
          <w:sz w:val="22"/>
          <w:szCs w:val="22"/>
        </w:rPr>
        <w:t xml:space="preserve">have the opportunity to make a major submission to establish the cost-effectiveness of strontium in a second-line setting.  This major submission must be considered by the Committee </w:t>
      </w:r>
      <w:r w:rsidR="008059A4" w:rsidRPr="003B44EF">
        <w:rPr>
          <w:rFonts w:ascii="Arial" w:hAnsi="Arial"/>
          <w:sz w:val="22"/>
          <w:szCs w:val="22"/>
        </w:rPr>
        <w:t>no later than</w:t>
      </w:r>
      <w:r w:rsidR="004165DD" w:rsidRPr="003B44EF">
        <w:rPr>
          <w:rFonts w:ascii="Arial" w:hAnsi="Arial"/>
          <w:sz w:val="22"/>
          <w:szCs w:val="22"/>
        </w:rPr>
        <w:t xml:space="preserve"> its </w:t>
      </w:r>
      <w:r w:rsidR="005D2576" w:rsidRPr="003B44EF">
        <w:rPr>
          <w:rFonts w:ascii="Arial" w:hAnsi="Arial"/>
          <w:sz w:val="22"/>
          <w:szCs w:val="22"/>
        </w:rPr>
        <w:t>July</w:t>
      </w:r>
      <w:r w:rsidR="004165DD" w:rsidRPr="003B44EF">
        <w:rPr>
          <w:rFonts w:ascii="Arial" w:hAnsi="Arial"/>
          <w:sz w:val="22"/>
          <w:szCs w:val="22"/>
        </w:rPr>
        <w:t xml:space="preserve"> 2015 meeting.  </w:t>
      </w:r>
      <w:r w:rsidR="00D451D0" w:rsidRPr="003B44EF">
        <w:rPr>
          <w:rFonts w:ascii="Arial" w:hAnsi="Arial"/>
          <w:sz w:val="22"/>
          <w:szCs w:val="22"/>
        </w:rPr>
        <w:t>S</w:t>
      </w:r>
      <w:r w:rsidR="004165DD" w:rsidRPr="003B44EF">
        <w:rPr>
          <w:rFonts w:ascii="Arial" w:hAnsi="Arial"/>
          <w:sz w:val="22"/>
          <w:szCs w:val="22"/>
        </w:rPr>
        <w:t xml:space="preserve">hould the cost-effectiveness of strontium in second line not be established at that time, the Committee </w:t>
      </w:r>
      <w:r w:rsidR="00D451D0" w:rsidRPr="003B44EF">
        <w:rPr>
          <w:rFonts w:ascii="Arial" w:hAnsi="Arial"/>
          <w:sz w:val="22"/>
          <w:szCs w:val="22"/>
        </w:rPr>
        <w:t xml:space="preserve">noted that it </w:t>
      </w:r>
      <w:r w:rsidR="004165DD" w:rsidRPr="003B44EF">
        <w:rPr>
          <w:rFonts w:ascii="Arial" w:hAnsi="Arial"/>
          <w:sz w:val="22"/>
          <w:szCs w:val="22"/>
        </w:rPr>
        <w:t xml:space="preserve">may recommend the delisting of strontium from the </w:t>
      </w:r>
      <w:proofErr w:type="gramStart"/>
      <w:r w:rsidR="004165DD" w:rsidRPr="003B44EF">
        <w:rPr>
          <w:rFonts w:ascii="Arial" w:hAnsi="Arial"/>
          <w:sz w:val="22"/>
          <w:szCs w:val="22"/>
        </w:rPr>
        <w:t>PBS.</w:t>
      </w:r>
      <w:proofErr w:type="gramEnd"/>
      <w:r w:rsidR="004165DD" w:rsidRPr="003B44EF">
        <w:rPr>
          <w:rFonts w:ascii="Arial" w:hAnsi="Arial"/>
          <w:sz w:val="22"/>
          <w:szCs w:val="22"/>
        </w:rPr>
        <w:t xml:space="preserve">  </w:t>
      </w:r>
    </w:p>
    <w:p w:rsidR="004165DD" w:rsidRPr="004165DD" w:rsidRDefault="004165DD" w:rsidP="004165DD">
      <w:pPr>
        <w:pStyle w:val="ListParagraph"/>
        <w:rPr>
          <w:rFonts w:ascii="Arial" w:hAnsi="Arial"/>
          <w:sz w:val="22"/>
          <w:szCs w:val="22"/>
        </w:rPr>
      </w:pPr>
    </w:p>
    <w:p w:rsidR="004165DD" w:rsidRPr="00087475" w:rsidRDefault="00087475" w:rsidP="00087475">
      <w:pPr>
        <w:ind w:left="720" w:hanging="720"/>
        <w:jc w:val="both"/>
        <w:rPr>
          <w:rFonts w:ascii="Arial" w:hAnsi="Arial"/>
          <w:sz w:val="22"/>
          <w:szCs w:val="22"/>
          <w:highlight w:val="black"/>
        </w:rPr>
      </w:pPr>
      <w:r>
        <w:rPr>
          <w:rFonts w:ascii="Arial" w:hAnsi="Arial"/>
          <w:noProof/>
          <w:color w:val="000000"/>
          <w:sz w:val="22"/>
          <w:szCs w:val="22"/>
          <w:highlight w:val="black"/>
        </w:rPr>
        <w:t>'''''''''''''''''' '''''''''''''' '''''''''''''''''''' ''''''''' '''' ''''''''' ''''''''''''' ''' ''''''''''''''''''' ''' ''''''''''''''' ''''''''''''''''''''''''' '''''' ''''''''''''''''''''''' '''''''''' ''''''''''''''''''''''''''''''''''''  '''''' '''''''' ''''''''''' ''''' ''''''''''''''''''''''''''''''' ''''''''' ''''''''''''''''''' '''''''''' ''''''''''''' '''''''''''''' '''''''' ''''''''''''''''''''''''''' ''''''''''''''''''' ''''''''''''''''''''' ''''''''' ''''''''' ''''''''''' ''''''''''''''''''''''''''' '''''''''''''''''''''' ''''''''' ''''''' ''''''''''''' ''''''''''''''''''''''''  '''''''''' ''''''''''''''' '''''''' '''''''''''''' '''' ''''' '''''''''''''''''''' '''''''''' ''' ''''''''' ''''' '''' '''''''''''' ''''' '''''''''''''''''''''''''''' '''''''' '''''''''''''' ''''' '''''''''''''''''''''''' '''''''''' '''''''''''''''''''''''''''''''''''' ''''''''''''''''''' '''''''''''''''''''''''' ''''' '''''''' '''''''''''' ''''''''''''''''''''''  ''''' '''''''''' '''' ''''''' '''''''''''''''' '''''''''''''''' '''''''''''''''''''' '''''''''''''''''''' '''''''''''''''''''''''' ''''''' ''''''''''''''' '''''''''''''''''''''''' '''''''' '''''''''' ''''''''''' '''''''''''''''''' ''''''''' ''''''''''''''' ''''''''''''''''''''''''''''' '''''''''''' ''''''' '''''''''''''''''''''' ''' ''''''''' ''''''' '''''''''''''' '''''''''''''''''' '''' ''''''''''''''''''''''''''' ''''''' ''''''''''''' '''''' '''''''''''''''''''''' ''''''''' ''''''''''''''''''''''''''''''''''''''</w:t>
      </w:r>
    </w:p>
    <w:p w:rsidR="00BB7EC3" w:rsidRPr="00BB7EC3" w:rsidRDefault="00BB7EC3" w:rsidP="00BB7EC3">
      <w:pPr>
        <w:pStyle w:val="ListParagraph"/>
        <w:rPr>
          <w:rFonts w:ascii="Arial" w:hAnsi="Arial"/>
          <w:sz w:val="22"/>
          <w:szCs w:val="22"/>
        </w:rPr>
      </w:pPr>
    </w:p>
    <w:p w:rsidR="00BB7EC3" w:rsidRPr="003B44EF" w:rsidRDefault="004165DD" w:rsidP="003B44EF">
      <w:pPr>
        <w:pStyle w:val="ListParagraph"/>
        <w:numPr>
          <w:ilvl w:val="1"/>
          <w:numId w:val="25"/>
        </w:numPr>
        <w:jc w:val="both"/>
        <w:rPr>
          <w:rFonts w:ascii="Arial" w:hAnsi="Arial"/>
          <w:sz w:val="22"/>
          <w:szCs w:val="22"/>
        </w:rPr>
      </w:pPr>
      <w:r w:rsidRPr="003B44EF">
        <w:rPr>
          <w:rFonts w:ascii="Arial" w:hAnsi="Arial"/>
          <w:sz w:val="22"/>
          <w:szCs w:val="22"/>
        </w:rPr>
        <w:t>The PBAC noted that the submission was not eligible for an Independent Review, as it received a positive recommendation.</w:t>
      </w: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4165DD" w:rsidP="00882085">
      <w:pPr>
        <w:jc w:val="both"/>
        <w:rPr>
          <w:rFonts w:ascii="Arial" w:hAnsi="Arial"/>
          <w:sz w:val="22"/>
          <w:szCs w:val="22"/>
        </w:rPr>
      </w:pPr>
      <w:r>
        <w:rPr>
          <w:rFonts w:ascii="Arial" w:hAnsi="Arial"/>
          <w:sz w:val="22"/>
          <w:szCs w:val="22"/>
        </w:rPr>
        <w:t xml:space="preserve">Recommended </w:t>
      </w:r>
    </w:p>
    <w:p w:rsidR="003B44EF" w:rsidRPr="00882085" w:rsidRDefault="003B44EF" w:rsidP="00882085">
      <w:pPr>
        <w:jc w:val="both"/>
        <w:rPr>
          <w:rFonts w:ascii="Arial" w:hAnsi="Arial"/>
          <w:sz w:val="22"/>
          <w:szCs w:val="22"/>
        </w:rPr>
      </w:pPr>
    </w:p>
    <w:p w:rsidR="003B44EF" w:rsidRPr="00407F2D" w:rsidRDefault="003B44EF" w:rsidP="003B44EF">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882085" w:rsidRDefault="006906DB" w:rsidP="00882085">
      <w:pPr>
        <w:jc w:val="both"/>
        <w:rPr>
          <w:rFonts w:ascii="Arial" w:hAnsi="Arial"/>
          <w:sz w:val="22"/>
          <w:szCs w:val="22"/>
        </w:rPr>
      </w:pPr>
    </w:p>
    <w:p w:rsidR="00D0321E" w:rsidRPr="003B44EF" w:rsidRDefault="00D0321E" w:rsidP="003B44EF">
      <w:pPr>
        <w:pStyle w:val="ListParagraph"/>
        <w:numPr>
          <w:ilvl w:val="1"/>
          <w:numId w:val="25"/>
        </w:numPr>
        <w:jc w:val="both"/>
        <w:rPr>
          <w:rFonts w:ascii="Arial" w:hAnsi="Arial"/>
          <w:sz w:val="22"/>
          <w:szCs w:val="22"/>
        </w:rPr>
      </w:pPr>
      <w:r w:rsidRPr="003B44EF">
        <w:rPr>
          <w:rFonts w:ascii="Arial" w:hAnsi="Arial"/>
          <w:sz w:val="22"/>
          <w:szCs w:val="22"/>
        </w:rPr>
        <w:t>Amend existing listing as follows:</w:t>
      </w:r>
    </w:p>
    <w:p w:rsidR="008D447E" w:rsidRDefault="008D447E" w:rsidP="009D3CAA">
      <w:pPr>
        <w:rPr>
          <w:rFonts w:ascii="Arial" w:hAnsi="Arial"/>
        </w:rPr>
      </w:pPr>
    </w:p>
    <w:tbl>
      <w:tblPr>
        <w:tblW w:w="8363" w:type="dxa"/>
        <w:tblInd w:w="817" w:type="dxa"/>
        <w:tblLayout w:type="fixed"/>
        <w:tblLook w:val="0000" w:firstRow="0" w:lastRow="0" w:firstColumn="0" w:lastColumn="0" w:noHBand="0" w:noVBand="0"/>
        <w:tblDescription w:val="strontium listing"/>
      </w:tblPr>
      <w:tblGrid>
        <w:gridCol w:w="2126"/>
        <w:gridCol w:w="1276"/>
        <w:gridCol w:w="851"/>
        <w:gridCol w:w="992"/>
        <w:gridCol w:w="1701"/>
        <w:gridCol w:w="1417"/>
      </w:tblGrid>
      <w:tr w:rsidR="004444EB" w:rsidRPr="003B44EF" w:rsidTr="003B44EF">
        <w:trPr>
          <w:cantSplit/>
          <w:trHeight w:val="471"/>
        </w:trPr>
        <w:tc>
          <w:tcPr>
            <w:tcW w:w="3402" w:type="dxa"/>
            <w:gridSpan w:val="2"/>
            <w:tcBorders>
              <w:bottom w:val="single" w:sz="4" w:space="0" w:color="auto"/>
            </w:tcBorders>
          </w:tcPr>
          <w:p w:rsidR="004444EB" w:rsidRPr="003B44EF" w:rsidRDefault="004444EB" w:rsidP="008A4A26">
            <w:pPr>
              <w:keepNext/>
              <w:ind w:left="-108"/>
              <w:jc w:val="both"/>
              <w:rPr>
                <w:rFonts w:ascii="Arial Narrow" w:hAnsi="Arial Narrow"/>
                <w:sz w:val="20"/>
                <w:szCs w:val="20"/>
              </w:rPr>
            </w:pPr>
            <w:r w:rsidRPr="003B44EF">
              <w:rPr>
                <w:rFonts w:ascii="Arial Narrow" w:hAnsi="Arial Narrow"/>
                <w:sz w:val="20"/>
                <w:szCs w:val="20"/>
              </w:rPr>
              <w:t>Name, Restriction,</w:t>
            </w:r>
          </w:p>
          <w:p w:rsidR="004444EB" w:rsidRPr="003B44EF" w:rsidRDefault="004444EB" w:rsidP="008A4A26">
            <w:pPr>
              <w:keepNext/>
              <w:ind w:left="-108"/>
              <w:jc w:val="both"/>
              <w:rPr>
                <w:rFonts w:ascii="Arial Narrow" w:hAnsi="Arial Narrow"/>
                <w:sz w:val="20"/>
                <w:szCs w:val="20"/>
              </w:rPr>
            </w:pPr>
            <w:r w:rsidRPr="003B44EF">
              <w:rPr>
                <w:rFonts w:ascii="Arial Narrow" w:hAnsi="Arial Narrow"/>
                <w:sz w:val="20"/>
                <w:szCs w:val="20"/>
              </w:rPr>
              <w:t>Manner of administration and form</w:t>
            </w:r>
          </w:p>
        </w:tc>
        <w:tc>
          <w:tcPr>
            <w:tcW w:w="851" w:type="dxa"/>
            <w:tcBorders>
              <w:bottom w:val="single" w:sz="4" w:space="0" w:color="auto"/>
            </w:tcBorders>
          </w:tcPr>
          <w:p w:rsidR="004444EB" w:rsidRPr="003B44EF" w:rsidRDefault="004444EB" w:rsidP="003B44EF">
            <w:pPr>
              <w:keepNext/>
              <w:ind w:left="-108"/>
              <w:jc w:val="center"/>
              <w:rPr>
                <w:rFonts w:ascii="Arial Narrow" w:hAnsi="Arial Narrow"/>
                <w:sz w:val="20"/>
                <w:szCs w:val="20"/>
              </w:rPr>
            </w:pPr>
            <w:r w:rsidRPr="003B44EF">
              <w:rPr>
                <w:rFonts w:ascii="Arial Narrow" w:hAnsi="Arial Narrow"/>
                <w:sz w:val="20"/>
                <w:szCs w:val="20"/>
              </w:rPr>
              <w:t>Max.</w:t>
            </w:r>
          </w:p>
          <w:p w:rsidR="004444EB" w:rsidRPr="003B44EF" w:rsidRDefault="004444EB" w:rsidP="003B44EF">
            <w:pPr>
              <w:keepNext/>
              <w:ind w:left="-108"/>
              <w:jc w:val="center"/>
              <w:rPr>
                <w:rFonts w:ascii="Arial Narrow" w:hAnsi="Arial Narrow"/>
                <w:sz w:val="20"/>
                <w:szCs w:val="20"/>
              </w:rPr>
            </w:pPr>
            <w:proofErr w:type="spellStart"/>
            <w:r w:rsidRPr="003B44EF">
              <w:rPr>
                <w:rFonts w:ascii="Arial Narrow" w:hAnsi="Arial Narrow"/>
                <w:sz w:val="20"/>
                <w:szCs w:val="20"/>
              </w:rPr>
              <w:t>Qty</w:t>
            </w:r>
            <w:proofErr w:type="spellEnd"/>
          </w:p>
        </w:tc>
        <w:tc>
          <w:tcPr>
            <w:tcW w:w="992" w:type="dxa"/>
            <w:tcBorders>
              <w:bottom w:val="single" w:sz="4" w:space="0" w:color="auto"/>
            </w:tcBorders>
          </w:tcPr>
          <w:p w:rsidR="004444EB" w:rsidRPr="003B44EF" w:rsidRDefault="004444EB" w:rsidP="003B44EF">
            <w:pPr>
              <w:keepNext/>
              <w:ind w:left="-108"/>
              <w:jc w:val="center"/>
              <w:rPr>
                <w:rFonts w:ascii="Arial Narrow" w:hAnsi="Arial Narrow"/>
                <w:sz w:val="20"/>
                <w:szCs w:val="20"/>
              </w:rPr>
            </w:pPr>
            <w:r w:rsidRPr="003B44EF">
              <w:rPr>
                <w:rFonts w:ascii="Arial Narrow" w:hAnsi="Arial Narrow"/>
                <w:sz w:val="20"/>
                <w:szCs w:val="20"/>
              </w:rPr>
              <w:t>№.of</w:t>
            </w:r>
          </w:p>
          <w:p w:rsidR="004444EB" w:rsidRPr="003B44EF" w:rsidRDefault="004444EB" w:rsidP="003B44EF">
            <w:pPr>
              <w:keepNext/>
              <w:ind w:left="-108"/>
              <w:jc w:val="center"/>
              <w:rPr>
                <w:rFonts w:ascii="Arial Narrow" w:hAnsi="Arial Narrow"/>
                <w:sz w:val="20"/>
                <w:szCs w:val="20"/>
              </w:rPr>
            </w:pPr>
            <w:proofErr w:type="spellStart"/>
            <w:r w:rsidRPr="003B44EF">
              <w:rPr>
                <w:rFonts w:ascii="Arial Narrow" w:hAnsi="Arial Narrow"/>
                <w:sz w:val="20"/>
                <w:szCs w:val="20"/>
              </w:rPr>
              <w:t>Rpts</w:t>
            </w:r>
            <w:proofErr w:type="spellEnd"/>
          </w:p>
        </w:tc>
        <w:tc>
          <w:tcPr>
            <w:tcW w:w="3118" w:type="dxa"/>
            <w:gridSpan w:val="2"/>
            <w:tcBorders>
              <w:bottom w:val="single" w:sz="4" w:space="0" w:color="auto"/>
            </w:tcBorders>
          </w:tcPr>
          <w:p w:rsidR="004444EB" w:rsidRPr="003B44EF" w:rsidRDefault="004444EB" w:rsidP="008A4A26">
            <w:pPr>
              <w:keepNext/>
              <w:jc w:val="both"/>
              <w:rPr>
                <w:rFonts w:ascii="Arial Narrow" w:hAnsi="Arial Narrow"/>
                <w:sz w:val="20"/>
                <w:szCs w:val="20"/>
                <w:lang w:val="fr-FR"/>
              </w:rPr>
            </w:pPr>
            <w:r w:rsidRPr="003B44EF">
              <w:rPr>
                <w:rFonts w:ascii="Arial Narrow" w:hAnsi="Arial Narrow"/>
                <w:sz w:val="20"/>
                <w:szCs w:val="20"/>
              </w:rPr>
              <w:t>Proprietary Name and Manufacturer</w:t>
            </w:r>
          </w:p>
        </w:tc>
      </w:tr>
      <w:tr w:rsidR="004444EB" w:rsidRPr="003B44EF" w:rsidTr="003B44EF">
        <w:trPr>
          <w:cantSplit/>
          <w:trHeight w:val="577"/>
        </w:trPr>
        <w:tc>
          <w:tcPr>
            <w:tcW w:w="3402" w:type="dxa"/>
            <w:gridSpan w:val="2"/>
          </w:tcPr>
          <w:p w:rsidR="004444EB" w:rsidRPr="003B44EF" w:rsidRDefault="004444EB" w:rsidP="008A4A26">
            <w:pPr>
              <w:keepNext/>
              <w:ind w:left="-108"/>
              <w:jc w:val="both"/>
              <w:rPr>
                <w:rFonts w:ascii="Arial Narrow" w:hAnsi="Arial Narrow"/>
                <w:sz w:val="20"/>
                <w:szCs w:val="20"/>
              </w:rPr>
            </w:pPr>
            <w:r w:rsidRPr="003B44EF">
              <w:rPr>
                <w:rFonts w:ascii="Arial Narrow" w:hAnsi="Arial Narrow"/>
                <w:smallCaps/>
                <w:sz w:val="20"/>
                <w:szCs w:val="20"/>
              </w:rPr>
              <w:t>STRONTIUM</w:t>
            </w:r>
          </w:p>
          <w:p w:rsidR="004444EB" w:rsidRPr="003B44EF" w:rsidRDefault="004444EB" w:rsidP="008A4A26">
            <w:pPr>
              <w:keepNext/>
              <w:ind w:left="-108"/>
              <w:jc w:val="both"/>
              <w:rPr>
                <w:rFonts w:ascii="Arial Narrow" w:hAnsi="Arial Narrow"/>
                <w:sz w:val="20"/>
                <w:szCs w:val="20"/>
              </w:rPr>
            </w:pPr>
            <w:r w:rsidRPr="003B44EF">
              <w:rPr>
                <w:rFonts w:ascii="Arial Narrow" w:hAnsi="Arial Narrow"/>
                <w:sz w:val="20"/>
                <w:szCs w:val="20"/>
              </w:rPr>
              <w:t xml:space="preserve">Strontium </w:t>
            </w:r>
            <w:proofErr w:type="spellStart"/>
            <w:r w:rsidRPr="003B44EF">
              <w:rPr>
                <w:rFonts w:ascii="Arial Narrow" w:hAnsi="Arial Narrow"/>
                <w:sz w:val="20"/>
                <w:szCs w:val="20"/>
              </w:rPr>
              <w:t>ranelate</w:t>
            </w:r>
            <w:proofErr w:type="spellEnd"/>
            <w:r w:rsidRPr="003B44EF">
              <w:rPr>
                <w:rFonts w:ascii="Arial Narrow" w:hAnsi="Arial Narrow"/>
                <w:sz w:val="20"/>
                <w:szCs w:val="20"/>
              </w:rPr>
              <w:t xml:space="preserve"> 2 g granules, 28 x 2 g sachets</w:t>
            </w:r>
          </w:p>
        </w:tc>
        <w:tc>
          <w:tcPr>
            <w:tcW w:w="851" w:type="dxa"/>
          </w:tcPr>
          <w:p w:rsidR="004444EB" w:rsidRPr="003B44EF" w:rsidRDefault="004444EB" w:rsidP="003B44EF">
            <w:pPr>
              <w:keepNext/>
              <w:ind w:left="-108"/>
              <w:jc w:val="center"/>
              <w:rPr>
                <w:rFonts w:ascii="Arial Narrow" w:hAnsi="Arial Narrow"/>
                <w:sz w:val="20"/>
                <w:szCs w:val="20"/>
              </w:rPr>
            </w:pPr>
          </w:p>
          <w:p w:rsidR="004444EB" w:rsidRPr="003B44EF" w:rsidRDefault="004444EB" w:rsidP="003B44EF">
            <w:pPr>
              <w:keepNext/>
              <w:ind w:left="-108"/>
              <w:jc w:val="center"/>
              <w:rPr>
                <w:rFonts w:ascii="Arial Narrow" w:hAnsi="Arial Narrow"/>
                <w:sz w:val="20"/>
                <w:szCs w:val="20"/>
              </w:rPr>
            </w:pPr>
            <w:r w:rsidRPr="003B44EF">
              <w:rPr>
                <w:rFonts w:ascii="Arial Narrow" w:hAnsi="Arial Narrow"/>
                <w:sz w:val="20"/>
                <w:szCs w:val="20"/>
              </w:rPr>
              <w:t>1</w:t>
            </w:r>
          </w:p>
        </w:tc>
        <w:tc>
          <w:tcPr>
            <w:tcW w:w="992" w:type="dxa"/>
          </w:tcPr>
          <w:p w:rsidR="004444EB" w:rsidRPr="003B44EF" w:rsidRDefault="004444EB" w:rsidP="003B44EF">
            <w:pPr>
              <w:keepNext/>
              <w:ind w:left="-108"/>
              <w:jc w:val="center"/>
              <w:rPr>
                <w:rFonts w:ascii="Arial Narrow" w:hAnsi="Arial Narrow"/>
                <w:sz w:val="20"/>
                <w:szCs w:val="20"/>
              </w:rPr>
            </w:pPr>
          </w:p>
          <w:p w:rsidR="004444EB" w:rsidRPr="003B44EF" w:rsidRDefault="004444EB" w:rsidP="003B44EF">
            <w:pPr>
              <w:keepNext/>
              <w:ind w:left="-108"/>
              <w:jc w:val="center"/>
              <w:rPr>
                <w:rFonts w:ascii="Arial Narrow" w:hAnsi="Arial Narrow"/>
                <w:sz w:val="20"/>
                <w:szCs w:val="20"/>
              </w:rPr>
            </w:pPr>
            <w:r w:rsidRPr="003B44EF">
              <w:rPr>
                <w:rFonts w:ascii="Arial Narrow" w:hAnsi="Arial Narrow"/>
                <w:sz w:val="20"/>
                <w:szCs w:val="20"/>
              </w:rPr>
              <w:t>5</w:t>
            </w:r>
          </w:p>
        </w:tc>
        <w:tc>
          <w:tcPr>
            <w:tcW w:w="1701" w:type="dxa"/>
          </w:tcPr>
          <w:p w:rsidR="003B44EF" w:rsidRDefault="003B44EF" w:rsidP="008A4A26">
            <w:pPr>
              <w:keepNext/>
              <w:jc w:val="both"/>
              <w:rPr>
                <w:rFonts w:ascii="Arial Narrow" w:hAnsi="Arial Narrow"/>
                <w:sz w:val="20"/>
                <w:szCs w:val="20"/>
              </w:rPr>
            </w:pPr>
          </w:p>
          <w:p w:rsidR="004444EB" w:rsidRPr="003B44EF" w:rsidRDefault="004444EB" w:rsidP="008A4A26">
            <w:pPr>
              <w:keepNext/>
              <w:jc w:val="both"/>
              <w:rPr>
                <w:rFonts w:ascii="Arial Narrow" w:hAnsi="Arial Narrow"/>
                <w:sz w:val="20"/>
                <w:szCs w:val="20"/>
              </w:rPr>
            </w:pPr>
            <w:proofErr w:type="spellStart"/>
            <w:r w:rsidRPr="003B44EF">
              <w:rPr>
                <w:rFonts w:ascii="Arial Narrow" w:hAnsi="Arial Narrow"/>
                <w:sz w:val="20"/>
                <w:szCs w:val="20"/>
              </w:rPr>
              <w:t>Protos</w:t>
            </w:r>
            <w:proofErr w:type="spellEnd"/>
          </w:p>
        </w:tc>
        <w:tc>
          <w:tcPr>
            <w:tcW w:w="1417" w:type="dxa"/>
          </w:tcPr>
          <w:p w:rsidR="003B44EF" w:rsidRDefault="003B44EF" w:rsidP="008A4A26">
            <w:pPr>
              <w:keepNext/>
              <w:jc w:val="both"/>
              <w:rPr>
                <w:rFonts w:ascii="Arial Narrow" w:hAnsi="Arial Narrow"/>
                <w:sz w:val="20"/>
                <w:szCs w:val="20"/>
              </w:rPr>
            </w:pPr>
          </w:p>
          <w:p w:rsidR="004444EB" w:rsidRPr="003B44EF" w:rsidRDefault="004444EB" w:rsidP="008A4A26">
            <w:pPr>
              <w:keepNext/>
              <w:jc w:val="both"/>
              <w:rPr>
                <w:rFonts w:ascii="Arial Narrow" w:hAnsi="Arial Narrow"/>
                <w:sz w:val="20"/>
                <w:szCs w:val="20"/>
              </w:rPr>
            </w:pPr>
            <w:r w:rsidRPr="003B44EF">
              <w:rPr>
                <w:rFonts w:ascii="Arial Narrow" w:hAnsi="Arial Narrow"/>
                <w:sz w:val="20"/>
                <w:szCs w:val="20"/>
              </w:rPr>
              <w:t>SE</w:t>
            </w:r>
          </w:p>
        </w:tc>
      </w:tr>
      <w:tr w:rsidR="004444EB" w:rsidRPr="003B44EF" w:rsidTr="003B44EF">
        <w:trPr>
          <w:cantSplit/>
          <w:trHeight w:val="360"/>
        </w:trPr>
        <w:tc>
          <w:tcPr>
            <w:tcW w:w="8363" w:type="dxa"/>
            <w:gridSpan w:val="6"/>
            <w:tcBorders>
              <w:bottom w:val="single" w:sz="4" w:space="0" w:color="auto"/>
            </w:tcBorders>
          </w:tcPr>
          <w:p w:rsidR="004444EB" w:rsidRPr="003B44EF" w:rsidRDefault="004444EB" w:rsidP="008A4A26">
            <w:pPr>
              <w:jc w:val="both"/>
              <w:rPr>
                <w:rFonts w:ascii="Arial Narrow" w:hAnsi="Arial Narrow"/>
                <w:sz w:val="20"/>
                <w:szCs w:val="20"/>
              </w:rPr>
            </w:pP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Severity:</w:t>
            </w: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i/>
                <w:sz w:val="20"/>
                <w:szCs w:val="20"/>
              </w:rPr>
            </w:pPr>
            <w:r w:rsidRPr="003B44EF">
              <w:rPr>
                <w:rFonts w:ascii="Arial Narrow" w:hAnsi="Arial Narrow"/>
                <w:i/>
                <w:sz w:val="20"/>
                <w:szCs w:val="20"/>
              </w:rPr>
              <w:t>Severe</w:t>
            </w: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Condition:</w:t>
            </w: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sz w:val="20"/>
                <w:szCs w:val="20"/>
              </w:rPr>
            </w:pPr>
            <w:r w:rsidRPr="003B44EF">
              <w:rPr>
                <w:rFonts w:ascii="Arial Narrow" w:hAnsi="Arial Narrow"/>
                <w:sz w:val="20"/>
                <w:szCs w:val="20"/>
              </w:rPr>
              <w:t>established osteoporosis</w:t>
            </w: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Restriction:</w:t>
            </w:r>
          </w:p>
          <w:p w:rsidR="004444EB" w:rsidRPr="003B44EF" w:rsidRDefault="004444EB" w:rsidP="008A4A26">
            <w:pPr>
              <w:rPr>
                <w:rFonts w:ascii="Arial Narrow" w:hAnsi="Arial Narrow" w:cs="Arial"/>
                <w:sz w:val="20"/>
                <w:szCs w:val="20"/>
              </w:rPr>
            </w:pP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sz w:val="20"/>
                <w:szCs w:val="20"/>
              </w:rPr>
            </w:pPr>
            <w:r w:rsidRPr="003B44EF">
              <w:rPr>
                <w:rFonts w:ascii="Arial Narrow" w:hAnsi="Arial Narrow"/>
                <w:sz w:val="20"/>
                <w:szCs w:val="20"/>
              </w:rPr>
              <w:t xml:space="preserve">Authority required </w:t>
            </w:r>
            <w:r w:rsidRPr="003B44EF">
              <w:rPr>
                <w:rFonts w:ascii="Arial Narrow" w:hAnsi="Arial Narrow"/>
                <w:strike/>
                <w:sz w:val="20"/>
                <w:szCs w:val="20"/>
              </w:rPr>
              <w:t>(STREAMLINED)</w:t>
            </w: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lastRenderedPageBreak/>
              <w:t>Clinical criteria:</w:t>
            </w:r>
          </w:p>
          <w:p w:rsidR="004444EB" w:rsidRPr="003B44EF" w:rsidRDefault="004444EB" w:rsidP="008A4A26">
            <w:pPr>
              <w:jc w:val="both"/>
              <w:rPr>
                <w:rFonts w:ascii="Arial Narrow" w:hAnsi="Arial Narrow" w:cs="Arial"/>
                <w:i/>
                <w:sz w:val="20"/>
                <w:szCs w:val="20"/>
              </w:rPr>
            </w:pPr>
          </w:p>
          <w:p w:rsidR="004444EB" w:rsidRPr="003B44EF" w:rsidRDefault="004444EB" w:rsidP="008A4A26">
            <w:pPr>
              <w:jc w:val="both"/>
              <w:rPr>
                <w:rFonts w:ascii="Arial Narrow" w:hAnsi="Arial Narrow" w:cs="Arial"/>
                <w:sz w:val="20"/>
                <w:szCs w:val="20"/>
              </w:rPr>
            </w:pP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Patient must have fracture due to minimal trauma</w:t>
            </w:r>
          </w:p>
          <w:p w:rsidR="004444EB" w:rsidRPr="003B44EF" w:rsidRDefault="004444EB" w:rsidP="008A4A26">
            <w:pPr>
              <w:rPr>
                <w:rFonts w:ascii="Arial Narrow" w:hAnsi="Arial Narrow" w:cs="Arial"/>
                <w:sz w:val="20"/>
                <w:szCs w:val="20"/>
              </w:rPr>
            </w:pPr>
          </w:p>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AND</w:t>
            </w:r>
          </w:p>
          <w:p w:rsidR="004444EB" w:rsidRPr="003B44EF" w:rsidRDefault="004444EB" w:rsidP="008A4A26">
            <w:pPr>
              <w:rPr>
                <w:rFonts w:ascii="Arial Narrow" w:hAnsi="Arial Narrow" w:cs="Arial"/>
                <w:sz w:val="20"/>
                <w:szCs w:val="20"/>
              </w:rPr>
            </w:pPr>
          </w:p>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Patient must not receive concomitant treatment with any other PBS-subsidised anti-</w:t>
            </w:r>
            <w:proofErr w:type="spellStart"/>
            <w:r w:rsidRPr="003B44EF">
              <w:rPr>
                <w:rFonts w:ascii="Arial Narrow" w:hAnsi="Arial Narrow" w:cs="Arial"/>
                <w:sz w:val="20"/>
                <w:szCs w:val="20"/>
              </w:rPr>
              <w:t>resorptive</w:t>
            </w:r>
            <w:proofErr w:type="spellEnd"/>
            <w:r w:rsidRPr="003B44EF">
              <w:rPr>
                <w:rFonts w:ascii="Arial Narrow" w:hAnsi="Arial Narrow" w:cs="Arial"/>
                <w:sz w:val="20"/>
                <w:szCs w:val="20"/>
              </w:rPr>
              <w:t xml:space="preserve"> agent for this condition</w:t>
            </w:r>
          </w:p>
          <w:p w:rsidR="004444EB" w:rsidRPr="003B44EF" w:rsidRDefault="004444EB" w:rsidP="008A4A26">
            <w:pPr>
              <w:rPr>
                <w:rFonts w:ascii="Arial Narrow" w:hAnsi="Arial Narrow" w:cs="Arial"/>
                <w:sz w:val="20"/>
                <w:szCs w:val="20"/>
              </w:rPr>
            </w:pPr>
          </w:p>
          <w:p w:rsidR="004444EB" w:rsidRPr="003B44EF" w:rsidRDefault="004444EB" w:rsidP="008A4A26">
            <w:pPr>
              <w:rPr>
                <w:rFonts w:ascii="Arial Narrow" w:hAnsi="Arial Narrow" w:cs="Arial"/>
                <w:i/>
                <w:sz w:val="20"/>
                <w:szCs w:val="20"/>
              </w:rPr>
            </w:pPr>
            <w:r w:rsidRPr="003B44EF">
              <w:rPr>
                <w:rFonts w:ascii="Arial Narrow" w:hAnsi="Arial Narrow" w:cs="Arial"/>
                <w:i/>
                <w:sz w:val="20"/>
                <w:szCs w:val="20"/>
              </w:rPr>
              <w:t>AND</w:t>
            </w:r>
          </w:p>
          <w:p w:rsidR="004444EB" w:rsidRPr="003B44EF" w:rsidRDefault="004444EB" w:rsidP="008A4A26">
            <w:pPr>
              <w:rPr>
                <w:rFonts w:ascii="Arial Narrow" w:hAnsi="Arial Narrow" w:cs="Arial"/>
                <w:i/>
                <w:sz w:val="20"/>
                <w:szCs w:val="20"/>
              </w:rPr>
            </w:pPr>
          </w:p>
          <w:p w:rsidR="004444EB" w:rsidRPr="003B44EF" w:rsidRDefault="004444EB" w:rsidP="008A4A26">
            <w:pPr>
              <w:rPr>
                <w:rFonts w:ascii="Arial Narrow" w:hAnsi="Arial Narrow" w:cs="Arial"/>
                <w:i/>
                <w:sz w:val="20"/>
                <w:szCs w:val="20"/>
              </w:rPr>
            </w:pPr>
            <w:r w:rsidRPr="003B44EF">
              <w:rPr>
                <w:rFonts w:ascii="Arial Narrow" w:hAnsi="Arial Narrow" w:cs="Arial"/>
                <w:i/>
                <w:sz w:val="20"/>
                <w:szCs w:val="20"/>
              </w:rPr>
              <w:t>Patient must be at high risk of fracture</w:t>
            </w:r>
          </w:p>
          <w:p w:rsidR="004444EB" w:rsidRPr="003B44EF" w:rsidRDefault="004444EB" w:rsidP="008A4A26">
            <w:pPr>
              <w:rPr>
                <w:rFonts w:ascii="Arial Narrow" w:hAnsi="Arial Narrow" w:cs="Arial"/>
                <w:i/>
                <w:sz w:val="20"/>
                <w:szCs w:val="20"/>
              </w:rPr>
            </w:pPr>
          </w:p>
          <w:p w:rsidR="004444EB" w:rsidRPr="003B44EF" w:rsidRDefault="004444EB" w:rsidP="008A4A26">
            <w:pPr>
              <w:rPr>
                <w:rFonts w:ascii="Arial Narrow" w:hAnsi="Arial Narrow" w:cs="Arial"/>
                <w:i/>
                <w:sz w:val="20"/>
                <w:szCs w:val="20"/>
              </w:rPr>
            </w:pPr>
            <w:r w:rsidRPr="003B44EF">
              <w:rPr>
                <w:rFonts w:ascii="Arial Narrow" w:hAnsi="Arial Narrow" w:cs="Arial"/>
                <w:i/>
                <w:sz w:val="20"/>
                <w:szCs w:val="20"/>
              </w:rPr>
              <w:t>AND</w:t>
            </w:r>
          </w:p>
          <w:p w:rsidR="004444EB" w:rsidRPr="003B44EF" w:rsidRDefault="004444EB" w:rsidP="008A4A26">
            <w:pPr>
              <w:rPr>
                <w:rFonts w:ascii="Arial Narrow" w:hAnsi="Arial Narrow" w:cs="Arial"/>
                <w:sz w:val="20"/>
                <w:szCs w:val="20"/>
              </w:rPr>
            </w:pPr>
            <w:bookmarkStart w:id="0" w:name="_GoBack"/>
            <w:bookmarkEnd w:id="0"/>
          </w:p>
          <w:p w:rsidR="004444EB" w:rsidRPr="003B44EF" w:rsidRDefault="004444EB" w:rsidP="008A4A26">
            <w:pPr>
              <w:rPr>
                <w:rFonts w:ascii="Arial Narrow" w:hAnsi="Arial Narrow" w:cs="Arial"/>
                <w:i/>
                <w:sz w:val="20"/>
                <w:szCs w:val="20"/>
              </w:rPr>
            </w:pPr>
            <w:r w:rsidRPr="003B44EF">
              <w:rPr>
                <w:rFonts w:ascii="Arial Narrow" w:hAnsi="Arial Narrow" w:cs="Arial"/>
                <w:i/>
                <w:sz w:val="20"/>
                <w:szCs w:val="20"/>
              </w:rPr>
              <w:t>Patient must be unable to use other medications for the treatment of osteoporosis due to contraindications or intolerance</w:t>
            </w:r>
          </w:p>
          <w:p w:rsidR="004444EB" w:rsidRPr="003B44EF" w:rsidRDefault="004444EB" w:rsidP="008A4A26">
            <w:pPr>
              <w:jc w:val="both"/>
              <w:rPr>
                <w:rFonts w:ascii="Arial Narrow" w:hAnsi="Arial Narrow" w:cs="Arial"/>
                <w:sz w:val="20"/>
                <w:szCs w:val="20"/>
              </w:rPr>
            </w:pP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Prescriber Instructions</w:t>
            </w:r>
          </w:p>
          <w:p w:rsidR="004444EB" w:rsidRPr="003B44EF" w:rsidRDefault="004444EB" w:rsidP="008A4A26">
            <w:pPr>
              <w:jc w:val="both"/>
              <w:rPr>
                <w:rFonts w:ascii="Arial Narrow" w:hAnsi="Arial Narrow" w:cs="Arial"/>
                <w:sz w:val="20"/>
                <w:szCs w:val="20"/>
              </w:rPr>
            </w:pP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 xml:space="preserve">The fracture must have been demonstrated </w:t>
            </w:r>
            <w:proofErr w:type="spellStart"/>
            <w:r w:rsidRPr="003B44EF">
              <w:rPr>
                <w:rFonts w:ascii="Arial Narrow" w:hAnsi="Arial Narrow" w:cs="Arial"/>
                <w:sz w:val="20"/>
                <w:szCs w:val="20"/>
              </w:rPr>
              <w:t>radiologically</w:t>
            </w:r>
            <w:proofErr w:type="spellEnd"/>
            <w:r w:rsidRPr="003B44EF">
              <w:rPr>
                <w:rFonts w:ascii="Arial Narrow" w:hAnsi="Arial Narrow" w:cs="Arial"/>
                <w:sz w:val="20"/>
                <w:szCs w:val="20"/>
              </w:rPr>
              <w:t xml:space="preserve"> and the year of plain x-ray or computed tomography (CT) scan or magnetic resonance imaging (MRI) scan must be documented in the patient's medical records when treatment is initiated.</w:t>
            </w:r>
          </w:p>
          <w:p w:rsidR="004444EB" w:rsidRPr="003B44EF" w:rsidRDefault="004444EB" w:rsidP="008A4A26">
            <w:pPr>
              <w:rPr>
                <w:rFonts w:ascii="Arial Narrow" w:hAnsi="Arial Narrow" w:cs="Arial"/>
                <w:sz w:val="20"/>
                <w:szCs w:val="20"/>
              </w:rPr>
            </w:pP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Prescriber Instructions</w:t>
            </w: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rsidR="004444EB" w:rsidRPr="003B44EF" w:rsidRDefault="004444EB" w:rsidP="008A4A26">
            <w:pPr>
              <w:rPr>
                <w:rFonts w:ascii="Arial Narrow" w:hAnsi="Arial Narrow" w:cs="Arial"/>
                <w:sz w:val="20"/>
                <w:szCs w:val="20"/>
              </w:rPr>
            </w:pP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z w:val="20"/>
                <w:szCs w:val="20"/>
              </w:rPr>
            </w:pPr>
            <w:r w:rsidRPr="003B44EF">
              <w:rPr>
                <w:rFonts w:ascii="Arial Narrow" w:hAnsi="Arial Narrow" w:cs="Arial"/>
                <w:b/>
                <w:sz w:val="20"/>
                <w:szCs w:val="20"/>
              </w:rPr>
              <w:t>Administrative Advice</w:t>
            </w:r>
          </w:p>
          <w:p w:rsidR="004444EB" w:rsidRPr="003B44EF" w:rsidRDefault="004444EB" w:rsidP="008A4A26">
            <w:pPr>
              <w:jc w:val="both"/>
              <w:rPr>
                <w:rFonts w:ascii="Arial Narrow" w:hAnsi="Arial Narrow" w:cs="Arial"/>
                <w:i/>
                <w:sz w:val="20"/>
                <w:szCs w:val="20"/>
              </w:rPr>
            </w:pP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cs="Arial"/>
                <w:sz w:val="20"/>
                <w:szCs w:val="20"/>
                <w:u w:val="single"/>
              </w:rPr>
            </w:pPr>
            <w:r w:rsidRPr="003B44EF">
              <w:rPr>
                <w:rFonts w:ascii="Arial Narrow" w:hAnsi="Arial Narrow" w:cs="Arial"/>
                <w:sz w:val="20"/>
                <w:szCs w:val="20"/>
                <w:u w:val="single"/>
              </w:rPr>
              <w:t>Note</w:t>
            </w:r>
          </w:p>
          <w:p w:rsidR="004444EB" w:rsidRPr="003B44EF" w:rsidRDefault="004444EB" w:rsidP="008A4A26">
            <w:pPr>
              <w:rPr>
                <w:rFonts w:ascii="Arial Narrow" w:hAnsi="Arial Narrow" w:cs="Arial"/>
                <w:sz w:val="20"/>
                <w:szCs w:val="20"/>
              </w:rPr>
            </w:pPr>
            <w:r w:rsidRPr="003B44EF">
              <w:rPr>
                <w:rFonts w:ascii="Arial Narrow" w:hAnsi="Arial Narrow" w:cs="Arial"/>
                <w:sz w:val="20"/>
                <w:szCs w:val="20"/>
              </w:rPr>
              <w:t>Anti-</w:t>
            </w:r>
            <w:proofErr w:type="spellStart"/>
            <w:r w:rsidRPr="003B44EF">
              <w:rPr>
                <w:rFonts w:ascii="Arial Narrow" w:hAnsi="Arial Narrow" w:cs="Arial"/>
                <w:sz w:val="20"/>
                <w:szCs w:val="20"/>
              </w:rPr>
              <w:t>resorptive</w:t>
            </w:r>
            <w:proofErr w:type="spellEnd"/>
            <w:r w:rsidRPr="003B44EF">
              <w:rPr>
                <w:rFonts w:ascii="Arial Narrow" w:hAnsi="Arial Narrow" w:cs="Arial"/>
                <w:sz w:val="20"/>
                <w:szCs w:val="20"/>
              </w:rPr>
              <w:t xml:space="preserve"> agents in established osteoporosis include alendronate sodium, </w:t>
            </w:r>
            <w:proofErr w:type="spellStart"/>
            <w:r w:rsidRPr="003B44EF">
              <w:rPr>
                <w:rFonts w:ascii="Arial Narrow" w:hAnsi="Arial Narrow" w:cs="Arial"/>
                <w:sz w:val="20"/>
                <w:szCs w:val="20"/>
              </w:rPr>
              <w:t>risedronate</w:t>
            </w:r>
            <w:proofErr w:type="spellEnd"/>
            <w:r w:rsidRPr="003B44EF">
              <w:rPr>
                <w:rFonts w:ascii="Arial Narrow" w:hAnsi="Arial Narrow" w:cs="Arial"/>
                <w:sz w:val="20"/>
                <w:szCs w:val="20"/>
              </w:rPr>
              <w:t xml:space="preserve"> sodium, </w:t>
            </w:r>
            <w:proofErr w:type="spellStart"/>
            <w:r w:rsidRPr="003B44EF">
              <w:rPr>
                <w:rFonts w:ascii="Arial Narrow" w:hAnsi="Arial Narrow" w:cs="Arial"/>
                <w:sz w:val="20"/>
                <w:szCs w:val="20"/>
              </w:rPr>
              <w:t>denosumab</w:t>
            </w:r>
            <w:proofErr w:type="spellEnd"/>
            <w:r w:rsidRPr="003B44EF">
              <w:rPr>
                <w:rFonts w:ascii="Arial Narrow" w:hAnsi="Arial Narrow" w:cs="Arial"/>
                <w:sz w:val="20"/>
                <w:szCs w:val="20"/>
              </w:rPr>
              <w:t xml:space="preserve">, </w:t>
            </w:r>
            <w:proofErr w:type="spellStart"/>
            <w:r w:rsidRPr="003B44EF">
              <w:rPr>
                <w:rFonts w:ascii="Arial Narrow" w:hAnsi="Arial Narrow" w:cs="Arial"/>
                <w:sz w:val="20"/>
                <w:szCs w:val="20"/>
              </w:rPr>
              <w:t>raloxifene</w:t>
            </w:r>
            <w:proofErr w:type="spellEnd"/>
            <w:r w:rsidRPr="003B44EF">
              <w:rPr>
                <w:rFonts w:ascii="Arial Narrow" w:hAnsi="Arial Narrow" w:cs="Arial"/>
                <w:sz w:val="20"/>
                <w:szCs w:val="20"/>
              </w:rPr>
              <w:t xml:space="preserve"> hydrochloride, strontium </w:t>
            </w:r>
            <w:proofErr w:type="spellStart"/>
            <w:r w:rsidRPr="003B44EF">
              <w:rPr>
                <w:rFonts w:ascii="Arial Narrow" w:hAnsi="Arial Narrow" w:cs="Arial"/>
                <w:sz w:val="20"/>
                <w:szCs w:val="20"/>
              </w:rPr>
              <w:t>ranelate</w:t>
            </w:r>
            <w:proofErr w:type="spellEnd"/>
            <w:r w:rsidRPr="003B44EF">
              <w:rPr>
                <w:rFonts w:ascii="Arial Narrow" w:hAnsi="Arial Narrow" w:cs="Arial"/>
                <w:sz w:val="20"/>
                <w:szCs w:val="20"/>
              </w:rPr>
              <w:t xml:space="preserve"> and </w:t>
            </w:r>
            <w:proofErr w:type="spellStart"/>
            <w:r w:rsidRPr="003B44EF">
              <w:rPr>
                <w:rFonts w:ascii="Arial Narrow" w:hAnsi="Arial Narrow" w:cs="Arial"/>
                <w:sz w:val="20"/>
                <w:szCs w:val="20"/>
              </w:rPr>
              <w:t>zoledronic</w:t>
            </w:r>
            <w:proofErr w:type="spellEnd"/>
            <w:r w:rsidRPr="003B44EF">
              <w:rPr>
                <w:rFonts w:ascii="Arial Narrow" w:hAnsi="Arial Narrow" w:cs="Arial"/>
                <w:sz w:val="20"/>
                <w:szCs w:val="20"/>
              </w:rPr>
              <w:t xml:space="preserve"> acid.</w:t>
            </w:r>
          </w:p>
          <w:p w:rsidR="004444EB" w:rsidRPr="003B44EF" w:rsidRDefault="004444EB" w:rsidP="008A4A26">
            <w:pPr>
              <w:rPr>
                <w:rFonts w:ascii="Arial Narrow" w:hAnsi="Arial Narrow" w:cs="Arial"/>
                <w:sz w:val="20"/>
                <w:szCs w:val="20"/>
              </w:rPr>
            </w:pPr>
          </w:p>
        </w:tc>
      </w:tr>
      <w:tr w:rsidR="004444EB" w:rsidRPr="003B44EF" w:rsidTr="003B44EF">
        <w:trPr>
          <w:cantSplit/>
          <w:trHeight w:val="360"/>
        </w:trPr>
        <w:tc>
          <w:tcPr>
            <w:tcW w:w="2126" w:type="dxa"/>
            <w:tcBorders>
              <w:top w:val="single" w:sz="4" w:space="0" w:color="auto"/>
              <w:left w:val="single" w:sz="4" w:space="0" w:color="auto"/>
              <w:bottom w:val="single" w:sz="4" w:space="0" w:color="auto"/>
              <w:right w:val="single" w:sz="4" w:space="0" w:color="auto"/>
            </w:tcBorders>
          </w:tcPr>
          <w:p w:rsidR="004444EB" w:rsidRPr="003B44EF" w:rsidRDefault="004444EB" w:rsidP="008A4A26">
            <w:pPr>
              <w:jc w:val="both"/>
              <w:rPr>
                <w:rFonts w:ascii="Arial Narrow" w:hAnsi="Arial Narrow" w:cs="Arial"/>
                <w:b/>
                <w:strike/>
                <w:sz w:val="20"/>
                <w:szCs w:val="20"/>
              </w:rPr>
            </w:pPr>
            <w:r w:rsidRPr="003B44EF">
              <w:rPr>
                <w:rFonts w:ascii="Arial Narrow" w:hAnsi="Arial Narrow" w:cs="Arial"/>
                <w:b/>
                <w:strike/>
                <w:sz w:val="20"/>
                <w:szCs w:val="20"/>
              </w:rPr>
              <w:t>Administrative Advice</w:t>
            </w:r>
          </w:p>
        </w:tc>
        <w:tc>
          <w:tcPr>
            <w:tcW w:w="6237" w:type="dxa"/>
            <w:gridSpan w:val="5"/>
            <w:tcBorders>
              <w:top w:val="single" w:sz="4" w:space="0" w:color="auto"/>
              <w:left w:val="single" w:sz="4" w:space="0" w:color="auto"/>
              <w:bottom w:val="single" w:sz="4" w:space="0" w:color="auto"/>
              <w:right w:val="single" w:sz="4" w:space="0" w:color="auto"/>
            </w:tcBorders>
          </w:tcPr>
          <w:p w:rsidR="004444EB" w:rsidRPr="003B44EF" w:rsidRDefault="004444EB" w:rsidP="008A4A26">
            <w:pPr>
              <w:rPr>
                <w:rFonts w:ascii="Arial Narrow" w:hAnsi="Arial Narrow" w:cs="Arial"/>
                <w:i/>
                <w:strike/>
                <w:sz w:val="20"/>
                <w:szCs w:val="20"/>
                <w:u w:val="single"/>
              </w:rPr>
            </w:pPr>
            <w:r w:rsidRPr="003B44EF">
              <w:rPr>
                <w:rFonts w:ascii="Arial Narrow" w:hAnsi="Arial Narrow" w:cs="Arial"/>
                <w:i/>
                <w:strike/>
                <w:sz w:val="20"/>
                <w:szCs w:val="20"/>
                <w:u w:val="single"/>
              </w:rPr>
              <w:t>Note</w:t>
            </w:r>
          </w:p>
          <w:p w:rsidR="004444EB" w:rsidRPr="003B44EF" w:rsidRDefault="004444EB" w:rsidP="008A4A26">
            <w:pPr>
              <w:rPr>
                <w:rFonts w:ascii="Arial Narrow" w:hAnsi="Arial Narrow" w:cs="Arial"/>
                <w:b/>
                <w:i/>
                <w:strike/>
                <w:sz w:val="20"/>
                <w:szCs w:val="20"/>
              </w:rPr>
            </w:pPr>
            <w:r w:rsidRPr="003B44EF">
              <w:rPr>
                <w:rFonts w:ascii="Arial Narrow" w:hAnsi="Arial Narrow" w:cs="Arial"/>
                <w:b/>
                <w:i/>
                <w:strike/>
                <w:sz w:val="20"/>
                <w:szCs w:val="20"/>
              </w:rPr>
              <w:t>Continuing Therapy Only:</w:t>
            </w:r>
          </w:p>
          <w:p w:rsidR="004444EB" w:rsidRPr="003B44EF" w:rsidRDefault="004444EB" w:rsidP="008A4A26">
            <w:pPr>
              <w:rPr>
                <w:rFonts w:ascii="Arial Narrow" w:hAnsi="Arial Narrow" w:cs="Arial"/>
                <w:strike/>
                <w:sz w:val="20"/>
                <w:szCs w:val="20"/>
              </w:rPr>
            </w:pPr>
            <w:r w:rsidRPr="003B44EF">
              <w:rPr>
                <w:rFonts w:ascii="Arial Narrow" w:hAnsi="Arial Narrow" w:cs="Arial"/>
                <w:i/>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8D447E" w:rsidRDefault="008D447E" w:rsidP="009D3CAA">
      <w:pPr>
        <w:rPr>
          <w:rFonts w:ascii="Arial" w:hAnsi="Arial"/>
        </w:rPr>
      </w:pPr>
    </w:p>
    <w:p w:rsidR="00C64B78" w:rsidRDefault="00C64B78" w:rsidP="00C64B78">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64B78" w:rsidRPr="00D4420F" w:rsidRDefault="00C64B78" w:rsidP="00C64B78">
      <w:pPr>
        <w:pStyle w:val="ListParagraph"/>
        <w:jc w:val="both"/>
        <w:rPr>
          <w:rFonts w:ascii="Arial" w:hAnsi="Arial" w:cs="Arial"/>
          <w:b/>
          <w:sz w:val="22"/>
        </w:rPr>
      </w:pPr>
    </w:p>
    <w:p w:rsidR="00C64B78" w:rsidRPr="00D4420F" w:rsidRDefault="00C64B78" w:rsidP="00C64B78">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64B78" w:rsidRPr="00D4420F" w:rsidRDefault="00C64B78" w:rsidP="00C64B78">
      <w:pPr>
        <w:jc w:val="both"/>
        <w:rPr>
          <w:rFonts w:ascii="Arial" w:hAnsi="Arial" w:cs="Arial"/>
          <w:sz w:val="22"/>
        </w:rPr>
      </w:pPr>
    </w:p>
    <w:p w:rsidR="00C64B78" w:rsidRDefault="00C64B78" w:rsidP="00C64B78">
      <w:pPr>
        <w:pStyle w:val="ListParagraph"/>
        <w:numPr>
          <w:ilvl w:val="0"/>
          <w:numId w:val="25"/>
        </w:numPr>
        <w:jc w:val="both"/>
        <w:rPr>
          <w:rFonts w:ascii="Arial" w:hAnsi="Arial" w:cs="Arial"/>
          <w:b/>
          <w:sz w:val="22"/>
        </w:rPr>
      </w:pPr>
      <w:r w:rsidRPr="00D4420F">
        <w:rPr>
          <w:rFonts w:ascii="Arial" w:hAnsi="Arial" w:cs="Arial"/>
          <w:b/>
          <w:sz w:val="22"/>
        </w:rPr>
        <w:t>Sponsor’s Comment</w:t>
      </w:r>
    </w:p>
    <w:p w:rsidR="00165C83" w:rsidRPr="00165C83" w:rsidRDefault="00165C83" w:rsidP="00165C83">
      <w:pPr>
        <w:pStyle w:val="ListParagraph"/>
        <w:jc w:val="both"/>
        <w:rPr>
          <w:rFonts w:ascii="Arial" w:hAnsi="Arial" w:cs="Arial"/>
          <w:sz w:val="22"/>
        </w:rPr>
      </w:pPr>
      <w:r>
        <w:rPr>
          <w:rFonts w:ascii="Arial" w:hAnsi="Arial" w:cs="Arial"/>
          <w:sz w:val="22"/>
        </w:rPr>
        <w:t>The sponsor had no comment.</w:t>
      </w:r>
    </w:p>
    <w:p w:rsidR="00C64B78" w:rsidRDefault="00C64B78" w:rsidP="009D3CAA">
      <w:pPr>
        <w:rPr>
          <w:rFonts w:ascii="Arial" w:hAnsi="Arial"/>
        </w:rPr>
      </w:pPr>
    </w:p>
    <w:sectPr w:rsidR="00C64B7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75" w:rsidRDefault="00087475">
      <w:r>
        <w:separator/>
      </w:r>
    </w:p>
  </w:endnote>
  <w:endnote w:type="continuationSeparator" w:id="0">
    <w:p w:rsidR="00087475" w:rsidRDefault="0008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165DD" w:rsidTr="005A3173">
      <w:trPr>
        <w:trHeight w:val="151"/>
      </w:trPr>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165DD" w:rsidRPr="005A3173" w:rsidRDefault="004165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r>
    <w:tr w:rsidR="004165DD" w:rsidTr="005A3173">
      <w:trPr>
        <w:trHeight w:val="150"/>
      </w:trPr>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0" w:type="auto"/>
          <w:vMerge/>
          <w:vAlign w:val="center"/>
          <w:hideMark/>
        </w:tcPr>
        <w:p w:rsidR="004165DD" w:rsidRPr="005A3173" w:rsidRDefault="004165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r>
  </w:tbl>
  <w:p w:rsidR="004165DD" w:rsidRDefault="00AD089C" w:rsidP="00653D69">
    <w:pPr>
      <w:pStyle w:val="Footer"/>
      <w:framePr w:wrap="around" w:vAnchor="text" w:hAnchor="margin" w:xAlign="center" w:y="1"/>
      <w:rPr>
        <w:rStyle w:val="PageNumber"/>
      </w:rPr>
    </w:pPr>
    <w:r>
      <w:rPr>
        <w:rStyle w:val="PageNumber"/>
      </w:rPr>
      <w:fldChar w:fldCharType="begin"/>
    </w:r>
    <w:r w:rsidR="004165DD">
      <w:rPr>
        <w:rStyle w:val="PageNumber"/>
      </w:rPr>
      <w:instrText xml:space="preserve">PAGE  </w:instrText>
    </w:r>
    <w:r>
      <w:rPr>
        <w:rStyle w:val="PageNumber"/>
      </w:rPr>
      <w:fldChar w:fldCharType="end"/>
    </w:r>
  </w:p>
  <w:p w:rsidR="004165DD" w:rsidRDefault="00416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3B44EF" w:rsidRDefault="003B44EF">
        <w:pPr>
          <w:pStyle w:val="Footer"/>
          <w:jc w:val="center"/>
        </w:pPr>
      </w:p>
      <w:p w:rsidR="004165DD" w:rsidRPr="00651169" w:rsidRDefault="00AD089C">
        <w:pPr>
          <w:pStyle w:val="Footer"/>
          <w:jc w:val="center"/>
          <w:rPr>
            <w:rFonts w:ascii="Arial" w:hAnsi="Arial" w:cs="Arial"/>
            <w:sz w:val="20"/>
            <w:szCs w:val="20"/>
          </w:rPr>
        </w:pPr>
        <w:r w:rsidRPr="00651169">
          <w:rPr>
            <w:rFonts w:ascii="Arial" w:hAnsi="Arial" w:cs="Arial"/>
            <w:sz w:val="20"/>
            <w:szCs w:val="20"/>
          </w:rPr>
          <w:fldChar w:fldCharType="begin"/>
        </w:r>
        <w:r w:rsidR="004165DD"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CE5E14">
          <w:rPr>
            <w:rFonts w:ascii="Arial" w:hAnsi="Arial" w:cs="Arial"/>
            <w:noProof/>
            <w:sz w:val="20"/>
            <w:szCs w:val="20"/>
          </w:rPr>
          <w:t>5</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165DD" w:rsidTr="005A3173">
      <w:trPr>
        <w:trHeight w:val="151"/>
      </w:trPr>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165DD" w:rsidRPr="005A3173" w:rsidRDefault="004165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r>
    <w:tr w:rsidR="004165DD" w:rsidTr="005A3173">
      <w:trPr>
        <w:trHeight w:val="150"/>
      </w:trPr>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0" w:type="auto"/>
          <w:vMerge/>
          <w:vAlign w:val="center"/>
          <w:hideMark/>
        </w:tcPr>
        <w:p w:rsidR="004165DD" w:rsidRPr="005A3173" w:rsidRDefault="004165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165DD" w:rsidTr="005A3173">
      <w:trPr>
        <w:trHeight w:val="151"/>
      </w:trPr>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165DD" w:rsidRPr="005A3173" w:rsidRDefault="004165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165DD" w:rsidRPr="005A3173" w:rsidRDefault="004165DD" w:rsidP="005A3173">
          <w:pPr>
            <w:pStyle w:val="Header"/>
            <w:spacing w:line="276" w:lineRule="auto"/>
            <w:rPr>
              <w:rFonts w:ascii="Calibri" w:eastAsia="MS Gothic" w:hAnsi="Calibri"/>
              <w:b/>
              <w:bCs/>
              <w:color w:val="4F81BD"/>
            </w:rPr>
          </w:pPr>
        </w:p>
      </w:tc>
    </w:tr>
    <w:tr w:rsidR="004165DD" w:rsidTr="005A3173">
      <w:trPr>
        <w:trHeight w:val="150"/>
      </w:trPr>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c>
        <w:tcPr>
          <w:tcW w:w="0" w:type="auto"/>
          <w:vMerge/>
          <w:vAlign w:val="center"/>
          <w:hideMark/>
        </w:tcPr>
        <w:p w:rsidR="004165DD" w:rsidRPr="005A3173" w:rsidRDefault="004165DD" w:rsidP="005A3173">
          <w:pPr>
            <w:rPr>
              <w:rFonts w:ascii="Calibri" w:hAnsi="Calibri"/>
              <w:color w:val="365F91"/>
              <w:sz w:val="22"/>
              <w:szCs w:val="22"/>
            </w:rPr>
          </w:pPr>
        </w:p>
      </w:tc>
      <w:tc>
        <w:tcPr>
          <w:tcW w:w="2250" w:type="pct"/>
          <w:tcBorders>
            <w:top w:val="single" w:sz="4" w:space="0" w:color="4F81BD"/>
            <w:left w:val="nil"/>
            <w:bottom w:val="nil"/>
            <w:right w:val="nil"/>
          </w:tcBorders>
        </w:tcPr>
        <w:p w:rsidR="004165DD" w:rsidRPr="005A3173" w:rsidRDefault="004165DD" w:rsidP="005A3173">
          <w:pPr>
            <w:pStyle w:val="Header"/>
            <w:spacing w:line="276" w:lineRule="auto"/>
            <w:rPr>
              <w:rFonts w:ascii="Calibri" w:eastAsia="MS Gothic" w:hAnsi="Calibri"/>
              <w:b/>
              <w:bCs/>
              <w:color w:val="4F81BD"/>
            </w:rPr>
          </w:pPr>
        </w:p>
      </w:tc>
    </w:tr>
  </w:tbl>
  <w:p w:rsidR="004165DD" w:rsidRPr="007C0F57" w:rsidRDefault="004165D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AD089C">
      <w:rPr>
        <w:rStyle w:val="PageNumber"/>
      </w:rPr>
      <w:fldChar w:fldCharType="begin"/>
    </w:r>
    <w:r>
      <w:rPr>
        <w:rStyle w:val="PageNumber"/>
      </w:rPr>
      <w:instrText xml:space="preserve"> PAGE </w:instrText>
    </w:r>
    <w:r w:rsidR="00AD089C">
      <w:rPr>
        <w:rStyle w:val="PageNumber"/>
      </w:rPr>
      <w:fldChar w:fldCharType="separate"/>
    </w:r>
    <w:r>
      <w:rPr>
        <w:rStyle w:val="PageNumber"/>
        <w:noProof/>
      </w:rPr>
      <w:t>4</w:t>
    </w:r>
    <w:r w:rsidR="00AD089C">
      <w:rPr>
        <w:rStyle w:val="PageNumber"/>
      </w:rPr>
      <w:fldChar w:fldCharType="end"/>
    </w:r>
    <w:r w:rsidRPr="007C0F57">
      <w:rPr>
        <w:b/>
        <w:i/>
        <w:sz w:val="20"/>
        <w:szCs w:val="20"/>
      </w:rPr>
      <w:t>BAC Meeting</w:t>
    </w:r>
  </w:p>
  <w:p w:rsidR="004165DD" w:rsidRPr="007C0F57" w:rsidRDefault="004165DD"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75" w:rsidRDefault="00087475">
      <w:r>
        <w:separator/>
      </w:r>
    </w:p>
  </w:footnote>
  <w:footnote w:type="continuationSeparator" w:id="0">
    <w:p w:rsidR="00087475" w:rsidRDefault="00087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165DD" w:rsidRPr="008E0D90" w:rsidTr="00A06225">
      <w:trPr>
        <w:trHeight w:val="151"/>
      </w:trPr>
      <w:tc>
        <w:tcPr>
          <w:tcW w:w="2389" w:type="pct"/>
          <w:tcBorders>
            <w:top w:val="nil"/>
            <w:left w:val="nil"/>
            <w:bottom w:val="single" w:sz="4" w:space="0" w:color="4F81BD"/>
            <w:right w:val="nil"/>
          </w:tcBorders>
        </w:tcPr>
        <w:p w:rsidR="004165DD" w:rsidRPr="00A06225" w:rsidRDefault="004165DD">
          <w:pPr>
            <w:pStyle w:val="Header"/>
            <w:spacing w:line="276" w:lineRule="auto"/>
            <w:rPr>
              <w:rFonts w:ascii="Cambria" w:eastAsia="MS Gothic" w:hAnsi="Cambria"/>
              <w:b/>
              <w:bCs/>
              <w:color w:val="4F81BD"/>
            </w:rPr>
          </w:pPr>
        </w:p>
      </w:tc>
      <w:tc>
        <w:tcPr>
          <w:tcW w:w="333" w:type="pct"/>
          <w:vMerge w:val="restart"/>
          <w:noWrap/>
          <w:vAlign w:val="center"/>
          <w:hideMark/>
        </w:tcPr>
        <w:p w:rsidR="004165DD" w:rsidRPr="00A06225" w:rsidRDefault="004165D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165DD" w:rsidRPr="00A06225" w:rsidRDefault="004165DD">
          <w:pPr>
            <w:pStyle w:val="Header"/>
            <w:spacing w:line="276" w:lineRule="auto"/>
            <w:rPr>
              <w:rFonts w:ascii="Cambria" w:eastAsia="MS Gothic" w:hAnsi="Cambria"/>
              <w:b/>
              <w:bCs/>
              <w:color w:val="4F81BD"/>
            </w:rPr>
          </w:pPr>
        </w:p>
      </w:tc>
    </w:tr>
    <w:tr w:rsidR="004165DD" w:rsidRPr="008E0D90" w:rsidTr="00A06225">
      <w:trPr>
        <w:trHeight w:val="150"/>
      </w:trPr>
      <w:tc>
        <w:tcPr>
          <w:tcW w:w="2389" w:type="pct"/>
          <w:tcBorders>
            <w:top w:val="single" w:sz="4" w:space="0" w:color="4F81BD"/>
            <w:left w:val="nil"/>
            <w:bottom w:val="nil"/>
            <w:right w:val="nil"/>
          </w:tcBorders>
        </w:tcPr>
        <w:p w:rsidR="004165DD" w:rsidRPr="00A06225" w:rsidRDefault="004165DD">
          <w:pPr>
            <w:pStyle w:val="Header"/>
            <w:spacing w:line="276" w:lineRule="auto"/>
            <w:rPr>
              <w:rFonts w:ascii="Cambria" w:eastAsia="MS Gothic" w:hAnsi="Cambria"/>
              <w:b/>
              <w:bCs/>
              <w:color w:val="4F81BD"/>
            </w:rPr>
          </w:pPr>
        </w:p>
      </w:tc>
      <w:tc>
        <w:tcPr>
          <w:tcW w:w="0" w:type="auto"/>
          <w:vMerge/>
          <w:vAlign w:val="center"/>
          <w:hideMark/>
        </w:tcPr>
        <w:p w:rsidR="004165DD" w:rsidRPr="00A06225" w:rsidRDefault="004165DD">
          <w:pPr>
            <w:rPr>
              <w:rFonts w:ascii="Cambria" w:hAnsi="Cambria"/>
              <w:color w:val="4F81BD"/>
              <w:sz w:val="22"/>
              <w:szCs w:val="22"/>
            </w:rPr>
          </w:pPr>
        </w:p>
      </w:tc>
      <w:tc>
        <w:tcPr>
          <w:tcW w:w="2278" w:type="pct"/>
          <w:tcBorders>
            <w:top w:val="single" w:sz="4" w:space="0" w:color="4F81BD"/>
            <w:left w:val="nil"/>
            <w:bottom w:val="nil"/>
            <w:right w:val="nil"/>
          </w:tcBorders>
        </w:tcPr>
        <w:p w:rsidR="004165DD" w:rsidRPr="00A06225" w:rsidRDefault="004165DD">
          <w:pPr>
            <w:pStyle w:val="Header"/>
            <w:spacing w:line="276" w:lineRule="auto"/>
            <w:rPr>
              <w:rFonts w:ascii="Cambria" w:eastAsia="MS Gothic" w:hAnsi="Cambria"/>
              <w:b/>
              <w:bCs/>
              <w:color w:val="4F81BD"/>
            </w:rPr>
          </w:pPr>
        </w:p>
      </w:tc>
    </w:tr>
  </w:tbl>
  <w:p w:rsidR="004165DD" w:rsidRDefault="00416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78" w:rsidRPr="00DF217D" w:rsidRDefault="00C64B78" w:rsidP="00C64B78">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4165DD" w:rsidRPr="00DF217D" w:rsidRDefault="004165DD"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784D60"/>
    <w:multiLevelType w:val="hybridMultilevel"/>
    <w:tmpl w:val="4CBAC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B81BE1"/>
    <w:multiLevelType w:val="hybridMultilevel"/>
    <w:tmpl w:val="832A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B6A5E65"/>
    <w:multiLevelType w:val="hybridMultilevel"/>
    <w:tmpl w:val="20B076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1"/>
  </w:num>
  <w:num w:numId="3">
    <w:abstractNumId w:val="18"/>
  </w:num>
  <w:num w:numId="4">
    <w:abstractNumId w:val="0"/>
  </w:num>
  <w:num w:numId="5">
    <w:abstractNumId w:val="6"/>
  </w:num>
  <w:num w:numId="6">
    <w:abstractNumId w:val="17"/>
  </w:num>
  <w:num w:numId="7">
    <w:abstractNumId w:val="15"/>
  </w:num>
  <w:num w:numId="8">
    <w:abstractNumId w:val="5"/>
  </w:num>
  <w:num w:numId="9">
    <w:abstractNumId w:val="8"/>
  </w:num>
  <w:num w:numId="10">
    <w:abstractNumId w:val="29"/>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2"/>
  </w:num>
  <w:num w:numId="15">
    <w:abstractNumId w:val="25"/>
  </w:num>
  <w:num w:numId="16">
    <w:abstractNumId w:val="21"/>
  </w:num>
  <w:num w:numId="17">
    <w:abstractNumId w:val="34"/>
  </w:num>
  <w:num w:numId="18">
    <w:abstractNumId w:val="13"/>
  </w:num>
  <w:num w:numId="19">
    <w:abstractNumId w:val="16"/>
  </w:num>
  <w:num w:numId="20">
    <w:abstractNumId w:val="4"/>
  </w:num>
  <w:num w:numId="21">
    <w:abstractNumId w:val="28"/>
  </w:num>
  <w:num w:numId="22">
    <w:abstractNumId w:val="30"/>
  </w:num>
  <w:num w:numId="23">
    <w:abstractNumId w:val="36"/>
  </w:num>
  <w:num w:numId="24">
    <w:abstractNumId w:val="14"/>
  </w:num>
  <w:num w:numId="25">
    <w:abstractNumId w:val="35"/>
  </w:num>
  <w:num w:numId="26">
    <w:abstractNumId w:val="26"/>
  </w:num>
  <w:num w:numId="27">
    <w:abstractNumId w:val="12"/>
  </w:num>
  <w:num w:numId="28">
    <w:abstractNumId w:val="7"/>
  </w:num>
  <w:num w:numId="29">
    <w:abstractNumId w:val="23"/>
  </w:num>
  <w:num w:numId="30">
    <w:abstractNumId w:val="3"/>
  </w:num>
  <w:num w:numId="31">
    <w:abstractNumId w:val="24"/>
  </w:num>
  <w:num w:numId="32">
    <w:abstractNumId w:val="33"/>
  </w:num>
  <w:num w:numId="33">
    <w:abstractNumId w:val="22"/>
  </w:num>
  <w:num w:numId="34">
    <w:abstractNumId w:val="37"/>
  </w:num>
  <w:num w:numId="35">
    <w:abstractNumId w:val="11"/>
  </w:num>
  <w:num w:numId="36">
    <w:abstractNumId w:val="20"/>
  </w:num>
  <w:num w:numId="37">
    <w:abstractNumId w:val="27"/>
  </w:num>
  <w:num w:numId="38">
    <w:abstractNumId w:val="9"/>
  </w:num>
  <w:num w:numId="39">
    <w:abstractNumId w:val="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7C32"/>
    <w:rsid w:val="0003106B"/>
    <w:rsid w:val="000421A1"/>
    <w:rsid w:val="0004240E"/>
    <w:rsid w:val="00045E26"/>
    <w:rsid w:val="000514B5"/>
    <w:rsid w:val="00056706"/>
    <w:rsid w:val="00060E64"/>
    <w:rsid w:val="00066755"/>
    <w:rsid w:val="00087475"/>
    <w:rsid w:val="000969AD"/>
    <w:rsid w:val="000A23F4"/>
    <w:rsid w:val="000B558D"/>
    <w:rsid w:val="000C6996"/>
    <w:rsid w:val="000D23BA"/>
    <w:rsid w:val="000E681E"/>
    <w:rsid w:val="000F3433"/>
    <w:rsid w:val="000F4E6A"/>
    <w:rsid w:val="001107BF"/>
    <w:rsid w:val="0012417C"/>
    <w:rsid w:val="00142395"/>
    <w:rsid w:val="00142714"/>
    <w:rsid w:val="0014383D"/>
    <w:rsid w:val="001452ED"/>
    <w:rsid w:val="00165C83"/>
    <w:rsid w:val="001830CE"/>
    <w:rsid w:val="00196307"/>
    <w:rsid w:val="001B017F"/>
    <w:rsid w:val="001B5129"/>
    <w:rsid w:val="001C1195"/>
    <w:rsid w:val="00213CFB"/>
    <w:rsid w:val="00271BA1"/>
    <w:rsid w:val="00277505"/>
    <w:rsid w:val="0029458F"/>
    <w:rsid w:val="002A104C"/>
    <w:rsid w:val="002A4960"/>
    <w:rsid w:val="002B1AE6"/>
    <w:rsid w:val="002B30F8"/>
    <w:rsid w:val="002C0BE5"/>
    <w:rsid w:val="002C212F"/>
    <w:rsid w:val="002E72CA"/>
    <w:rsid w:val="00326E79"/>
    <w:rsid w:val="003367EF"/>
    <w:rsid w:val="00341AE4"/>
    <w:rsid w:val="0034376A"/>
    <w:rsid w:val="00347BE7"/>
    <w:rsid w:val="003551B9"/>
    <w:rsid w:val="003A5B4A"/>
    <w:rsid w:val="003B23C5"/>
    <w:rsid w:val="003B2A75"/>
    <w:rsid w:val="003B44EF"/>
    <w:rsid w:val="003D4AC4"/>
    <w:rsid w:val="003D63B7"/>
    <w:rsid w:val="003E468B"/>
    <w:rsid w:val="003F53C1"/>
    <w:rsid w:val="003F5C8C"/>
    <w:rsid w:val="004165DD"/>
    <w:rsid w:val="004301F9"/>
    <w:rsid w:val="004444EB"/>
    <w:rsid w:val="004465BD"/>
    <w:rsid w:val="00466ADA"/>
    <w:rsid w:val="00485940"/>
    <w:rsid w:val="004B5640"/>
    <w:rsid w:val="004C1BD7"/>
    <w:rsid w:val="004C691D"/>
    <w:rsid w:val="004E6836"/>
    <w:rsid w:val="004E692D"/>
    <w:rsid w:val="004F4CC7"/>
    <w:rsid w:val="00514CD7"/>
    <w:rsid w:val="00534E2E"/>
    <w:rsid w:val="00544552"/>
    <w:rsid w:val="00581932"/>
    <w:rsid w:val="005963BB"/>
    <w:rsid w:val="005A3173"/>
    <w:rsid w:val="005A3223"/>
    <w:rsid w:val="005A3DA3"/>
    <w:rsid w:val="005A52C4"/>
    <w:rsid w:val="005B345F"/>
    <w:rsid w:val="005D03AB"/>
    <w:rsid w:val="005D2576"/>
    <w:rsid w:val="005D5017"/>
    <w:rsid w:val="00601A91"/>
    <w:rsid w:val="00602BA3"/>
    <w:rsid w:val="00614159"/>
    <w:rsid w:val="00617C00"/>
    <w:rsid w:val="006263BF"/>
    <w:rsid w:val="00630A2C"/>
    <w:rsid w:val="00651169"/>
    <w:rsid w:val="00653D69"/>
    <w:rsid w:val="00670A76"/>
    <w:rsid w:val="006711AA"/>
    <w:rsid w:val="00675622"/>
    <w:rsid w:val="006906DB"/>
    <w:rsid w:val="006977D1"/>
    <w:rsid w:val="006A12A5"/>
    <w:rsid w:val="006B0D94"/>
    <w:rsid w:val="006B485D"/>
    <w:rsid w:val="006C02D4"/>
    <w:rsid w:val="006C708E"/>
    <w:rsid w:val="006D6EC7"/>
    <w:rsid w:val="006F5125"/>
    <w:rsid w:val="00700467"/>
    <w:rsid w:val="00707180"/>
    <w:rsid w:val="007174BB"/>
    <w:rsid w:val="00763A3F"/>
    <w:rsid w:val="007753C2"/>
    <w:rsid w:val="007838B8"/>
    <w:rsid w:val="007C0F57"/>
    <w:rsid w:val="007C40B6"/>
    <w:rsid w:val="007C729F"/>
    <w:rsid w:val="007E1D28"/>
    <w:rsid w:val="007F2641"/>
    <w:rsid w:val="007F7C36"/>
    <w:rsid w:val="008059A4"/>
    <w:rsid w:val="00806796"/>
    <w:rsid w:val="0082466E"/>
    <w:rsid w:val="0085512B"/>
    <w:rsid w:val="00856DDD"/>
    <w:rsid w:val="00863E68"/>
    <w:rsid w:val="00882085"/>
    <w:rsid w:val="00883069"/>
    <w:rsid w:val="00883188"/>
    <w:rsid w:val="00897D58"/>
    <w:rsid w:val="008A4937"/>
    <w:rsid w:val="008B5694"/>
    <w:rsid w:val="008D2FFA"/>
    <w:rsid w:val="008D3C82"/>
    <w:rsid w:val="008D447E"/>
    <w:rsid w:val="008E3680"/>
    <w:rsid w:val="008E5870"/>
    <w:rsid w:val="008E5988"/>
    <w:rsid w:val="008F1434"/>
    <w:rsid w:val="008F7355"/>
    <w:rsid w:val="009067B7"/>
    <w:rsid w:val="00930937"/>
    <w:rsid w:val="00933E6C"/>
    <w:rsid w:val="00942160"/>
    <w:rsid w:val="009602C5"/>
    <w:rsid w:val="0097064B"/>
    <w:rsid w:val="00974C21"/>
    <w:rsid w:val="009C1EB2"/>
    <w:rsid w:val="009C703C"/>
    <w:rsid w:val="009D3CAA"/>
    <w:rsid w:val="009F5B65"/>
    <w:rsid w:val="009F5F2E"/>
    <w:rsid w:val="00A06225"/>
    <w:rsid w:val="00A37C8D"/>
    <w:rsid w:val="00A50710"/>
    <w:rsid w:val="00A5273B"/>
    <w:rsid w:val="00A53A9D"/>
    <w:rsid w:val="00A62C1A"/>
    <w:rsid w:val="00A6426D"/>
    <w:rsid w:val="00A70622"/>
    <w:rsid w:val="00A70977"/>
    <w:rsid w:val="00A71BA9"/>
    <w:rsid w:val="00A8390C"/>
    <w:rsid w:val="00AA4D1C"/>
    <w:rsid w:val="00AC5206"/>
    <w:rsid w:val="00AD089C"/>
    <w:rsid w:val="00AE11A5"/>
    <w:rsid w:val="00AF22EB"/>
    <w:rsid w:val="00AF68CC"/>
    <w:rsid w:val="00AF7142"/>
    <w:rsid w:val="00B205AA"/>
    <w:rsid w:val="00B25F75"/>
    <w:rsid w:val="00B43E90"/>
    <w:rsid w:val="00B56118"/>
    <w:rsid w:val="00B6773F"/>
    <w:rsid w:val="00BB69F5"/>
    <w:rsid w:val="00BB7EC3"/>
    <w:rsid w:val="00BC4B9A"/>
    <w:rsid w:val="00BD784C"/>
    <w:rsid w:val="00BF4CB6"/>
    <w:rsid w:val="00C04323"/>
    <w:rsid w:val="00C12768"/>
    <w:rsid w:val="00C35996"/>
    <w:rsid w:val="00C5342C"/>
    <w:rsid w:val="00C6256A"/>
    <w:rsid w:val="00C64B78"/>
    <w:rsid w:val="00C91449"/>
    <w:rsid w:val="00C92D10"/>
    <w:rsid w:val="00CE10C4"/>
    <w:rsid w:val="00CE27B5"/>
    <w:rsid w:val="00CE5E14"/>
    <w:rsid w:val="00D0321E"/>
    <w:rsid w:val="00D3280C"/>
    <w:rsid w:val="00D3406A"/>
    <w:rsid w:val="00D451D0"/>
    <w:rsid w:val="00D469B2"/>
    <w:rsid w:val="00D741EB"/>
    <w:rsid w:val="00D91271"/>
    <w:rsid w:val="00DA4BAC"/>
    <w:rsid w:val="00DE6D27"/>
    <w:rsid w:val="00DE7FCE"/>
    <w:rsid w:val="00DF217D"/>
    <w:rsid w:val="00DF26A7"/>
    <w:rsid w:val="00E164B3"/>
    <w:rsid w:val="00E16910"/>
    <w:rsid w:val="00E65E54"/>
    <w:rsid w:val="00E80155"/>
    <w:rsid w:val="00E848C0"/>
    <w:rsid w:val="00E91B96"/>
    <w:rsid w:val="00E941A1"/>
    <w:rsid w:val="00E95CE3"/>
    <w:rsid w:val="00EA2825"/>
    <w:rsid w:val="00EB5088"/>
    <w:rsid w:val="00EC58D9"/>
    <w:rsid w:val="00ED1644"/>
    <w:rsid w:val="00EE28D5"/>
    <w:rsid w:val="00F050BD"/>
    <w:rsid w:val="00F05657"/>
    <w:rsid w:val="00F25578"/>
    <w:rsid w:val="00F258E5"/>
    <w:rsid w:val="00F300BC"/>
    <w:rsid w:val="00F3334E"/>
    <w:rsid w:val="00F50EC4"/>
    <w:rsid w:val="00F56035"/>
    <w:rsid w:val="00F57A6D"/>
    <w:rsid w:val="00F638CC"/>
    <w:rsid w:val="00F8247A"/>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2203-8A3F-4AA8-9A30-13C948E9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2150</Words>
  <Characters>12832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Dept Health And Ageing</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Mareddy Shobha</dc:creator>
  <cp:lastModifiedBy>Thomas Gareth</cp:lastModifiedBy>
  <cp:revision>3</cp:revision>
  <cp:lastPrinted>2014-08-01T05:51:00Z</cp:lastPrinted>
  <dcterms:created xsi:type="dcterms:W3CDTF">2014-10-08T22:42:00Z</dcterms:created>
  <dcterms:modified xsi:type="dcterms:W3CDTF">2014-11-04T23:53:00Z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AdHocReviewCycleID">
    <vt:i4>1508091627</vt:i4>
  </property>
  <property fmtid="{D5CDD505-2E9C-101B-9397-08002B2CF9AE}" pid="9" name="_NewReviewCycle">
    <vt:lpwstr/>
  </property>
  <property fmtid="{D5CDD505-2E9C-101B-9397-08002B2CF9AE}" pid="10" name="_EmailSubject">
    <vt:lpwstr>RE: PBAC: Servier [SEC=UNCLASSIFIED]</vt:lpwstr>
  </property>
  <property fmtid="{D5CDD505-2E9C-101B-9397-08002B2CF9AE}" pid="11" name="_AuthorEmail">
    <vt:lpwstr>Andrew.Korbel@corrs.com.au</vt:lpwstr>
  </property>
  <property fmtid="{D5CDD505-2E9C-101B-9397-08002B2CF9AE}" pid="12" name="_AuthorEmailDisplayName">
    <vt:lpwstr>Andrew Korbel</vt:lpwstr>
  </property>
  <property fmtid="{D5CDD505-2E9C-101B-9397-08002B2CF9AE}" pid="13" name="_ReviewingToolsShownOnce">
    <vt:lpwstr/>
  </property>
</Properties>
</file>