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107" w:rsidRDefault="00D8173F" w:rsidP="00D8173F">
      <w:pPr>
        <w:ind w:left="720" w:hanging="720"/>
        <w:rPr>
          <w:b/>
          <w:sz w:val="28"/>
          <w:szCs w:val="28"/>
        </w:rPr>
      </w:pPr>
      <w:r w:rsidRPr="00ED4C18">
        <w:rPr>
          <w:b/>
          <w:sz w:val="28"/>
          <w:szCs w:val="28"/>
        </w:rPr>
        <w:t>5.17</w:t>
      </w:r>
      <w:r w:rsidR="007C0F57" w:rsidRPr="00ED4C18">
        <w:rPr>
          <w:b/>
          <w:sz w:val="28"/>
          <w:szCs w:val="28"/>
        </w:rPr>
        <w:tab/>
      </w:r>
      <w:r w:rsidRPr="00ED4C18">
        <w:rPr>
          <w:b/>
          <w:sz w:val="28"/>
          <w:szCs w:val="28"/>
        </w:rPr>
        <w:t>SOFOSBUVIR,</w:t>
      </w:r>
    </w:p>
    <w:p w:rsidR="00D3280C" w:rsidRPr="00ED4C18" w:rsidRDefault="00D8173F" w:rsidP="00E06107">
      <w:pPr>
        <w:ind w:left="720"/>
        <w:rPr>
          <w:b/>
          <w:sz w:val="28"/>
          <w:szCs w:val="28"/>
        </w:rPr>
      </w:pPr>
      <w:r w:rsidRPr="00ED4C18">
        <w:rPr>
          <w:b/>
          <w:sz w:val="28"/>
          <w:szCs w:val="28"/>
        </w:rPr>
        <w:t xml:space="preserve">400mg tablet, </w:t>
      </w:r>
      <w:proofErr w:type="spellStart"/>
      <w:r w:rsidRPr="00ED4C18">
        <w:rPr>
          <w:b/>
          <w:sz w:val="28"/>
          <w:szCs w:val="28"/>
        </w:rPr>
        <w:t>Sovaldi</w:t>
      </w:r>
      <w:proofErr w:type="spellEnd"/>
      <w:r w:rsidRPr="00ED4C18">
        <w:rPr>
          <w:b/>
          <w:sz w:val="28"/>
          <w:szCs w:val="28"/>
          <w:vertAlign w:val="superscript"/>
        </w:rPr>
        <w:t>®</w:t>
      </w:r>
      <w:r w:rsidRPr="00ED4C18">
        <w:rPr>
          <w:b/>
          <w:sz w:val="28"/>
          <w:szCs w:val="28"/>
        </w:rPr>
        <w:t>, Gilead Sciences Pty Ltd</w:t>
      </w:r>
      <w:r w:rsidR="0004240E" w:rsidRPr="00ED4C18">
        <w:rPr>
          <w:b/>
          <w:sz w:val="28"/>
          <w:szCs w:val="28"/>
        </w:rPr>
        <w:t>.</w:t>
      </w:r>
    </w:p>
    <w:p w:rsidR="00CE10C4" w:rsidRPr="00ED4C18" w:rsidRDefault="00CE10C4" w:rsidP="00A5273B">
      <w:pPr>
        <w:rPr>
          <w:b/>
        </w:rPr>
      </w:pPr>
    </w:p>
    <w:p w:rsidR="008D447E" w:rsidRPr="00ED4C18" w:rsidRDefault="008D447E" w:rsidP="00A5273B">
      <w:pPr>
        <w:rPr>
          <w:b/>
        </w:rPr>
      </w:pPr>
    </w:p>
    <w:p w:rsidR="00CE10C4" w:rsidRPr="00E06107" w:rsidRDefault="00CE10C4" w:rsidP="00E06107">
      <w:pPr>
        <w:pStyle w:val="ListParagraph"/>
        <w:numPr>
          <w:ilvl w:val="0"/>
          <w:numId w:val="1"/>
        </w:numPr>
        <w:jc w:val="both"/>
        <w:rPr>
          <w:b/>
          <w:szCs w:val="22"/>
        </w:rPr>
      </w:pPr>
      <w:r w:rsidRPr="00E06107">
        <w:rPr>
          <w:b/>
          <w:szCs w:val="22"/>
        </w:rPr>
        <w:t xml:space="preserve">Purpose of </w:t>
      </w:r>
      <w:r w:rsidR="0004240E" w:rsidRPr="00E06107">
        <w:rPr>
          <w:b/>
          <w:szCs w:val="22"/>
        </w:rPr>
        <w:t>Application</w:t>
      </w:r>
    </w:p>
    <w:p w:rsidR="006A12A5" w:rsidRPr="00ED4C18" w:rsidRDefault="006A12A5" w:rsidP="00882085">
      <w:pPr>
        <w:jc w:val="both"/>
        <w:rPr>
          <w:szCs w:val="22"/>
        </w:rPr>
      </w:pPr>
    </w:p>
    <w:p w:rsidR="00D73A55" w:rsidRPr="00ED4C18" w:rsidRDefault="00D73A55" w:rsidP="00983C54">
      <w:pPr>
        <w:pStyle w:val="ListParagraph"/>
        <w:numPr>
          <w:ilvl w:val="1"/>
          <w:numId w:val="1"/>
        </w:numPr>
        <w:jc w:val="both"/>
        <w:rPr>
          <w:szCs w:val="22"/>
        </w:rPr>
      </w:pPr>
      <w:r w:rsidRPr="00ED4C18">
        <w:rPr>
          <w:szCs w:val="22"/>
        </w:rPr>
        <w:t xml:space="preserve">Section 100 (Highly Specialised Drugs Program), Authority Required (STREAMLINED) listing for </w:t>
      </w:r>
      <w:proofErr w:type="spellStart"/>
      <w:r w:rsidRPr="00ED4C18">
        <w:rPr>
          <w:szCs w:val="22"/>
        </w:rPr>
        <w:t>sofosbuvir</w:t>
      </w:r>
      <w:proofErr w:type="spellEnd"/>
      <w:r w:rsidRPr="00ED4C18">
        <w:rPr>
          <w:szCs w:val="22"/>
        </w:rPr>
        <w:t xml:space="preserve"> for the treatment of chronic hepatitis C (CHC) in the following populations:</w:t>
      </w:r>
    </w:p>
    <w:p w:rsidR="00D73A55" w:rsidRPr="00ED4C18" w:rsidRDefault="00D73A55" w:rsidP="00983C54">
      <w:pPr>
        <w:pStyle w:val="ListParagraph"/>
        <w:numPr>
          <w:ilvl w:val="1"/>
          <w:numId w:val="8"/>
        </w:numPr>
        <w:ind w:left="993" w:hanging="284"/>
        <w:jc w:val="both"/>
        <w:rPr>
          <w:szCs w:val="22"/>
        </w:rPr>
      </w:pPr>
      <w:r w:rsidRPr="00ED4C18">
        <w:rPr>
          <w:szCs w:val="22"/>
        </w:rPr>
        <w:t>Treatment naïve, Genotype 1-6;</w:t>
      </w:r>
    </w:p>
    <w:p w:rsidR="00D73A55" w:rsidRPr="00ED4C18" w:rsidRDefault="00D73A55" w:rsidP="00983C54">
      <w:pPr>
        <w:pStyle w:val="ListParagraph"/>
        <w:numPr>
          <w:ilvl w:val="1"/>
          <w:numId w:val="8"/>
        </w:numPr>
        <w:ind w:left="993" w:hanging="284"/>
        <w:jc w:val="both"/>
        <w:rPr>
          <w:szCs w:val="22"/>
        </w:rPr>
      </w:pPr>
      <w:r w:rsidRPr="00ED4C18">
        <w:rPr>
          <w:szCs w:val="22"/>
        </w:rPr>
        <w:t>Treatment naïve, Genotype 1-3 in patients unsuitable for treatment with interferon based therapy;</w:t>
      </w:r>
    </w:p>
    <w:p w:rsidR="00D73A55" w:rsidRPr="00ED4C18" w:rsidRDefault="00D73A55" w:rsidP="00983C54">
      <w:pPr>
        <w:pStyle w:val="ListParagraph"/>
        <w:numPr>
          <w:ilvl w:val="1"/>
          <w:numId w:val="8"/>
        </w:numPr>
        <w:ind w:left="993" w:hanging="284"/>
        <w:jc w:val="both"/>
        <w:rPr>
          <w:szCs w:val="22"/>
        </w:rPr>
      </w:pPr>
      <w:r w:rsidRPr="00ED4C18">
        <w:rPr>
          <w:szCs w:val="22"/>
        </w:rPr>
        <w:t>Treatment experienced, Genotype 2 and 3; and,</w:t>
      </w:r>
    </w:p>
    <w:p w:rsidR="00D73A55" w:rsidRPr="00ED4C18" w:rsidRDefault="00D73A55" w:rsidP="00D73A55">
      <w:pPr>
        <w:pStyle w:val="ListParagraph"/>
        <w:numPr>
          <w:ilvl w:val="1"/>
          <w:numId w:val="8"/>
        </w:numPr>
        <w:ind w:left="993" w:hanging="284"/>
        <w:jc w:val="both"/>
        <w:rPr>
          <w:szCs w:val="22"/>
        </w:rPr>
      </w:pPr>
      <w:r w:rsidRPr="00ED4C18">
        <w:rPr>
          <w:szCs w:val="22"/>
        </w:rPr>
        <w:t xml:space="preserve">Treatment experienced, Genotype 2 and 3 in patients unsuitable for treatment with interferon based therapy. </w:t>
      </w:r>
    </w:p>
    <w:p w:rsidR="0056128D" w:rsidRPr="00ED4C18" w:rsidRDefault="0056128D" w:rsidP="0056128D">
      <w:pPr>
        <w:jc w:val="both"/>
        <w:rPr>
          <w:szCs w:val="22"/>
        </w:rPr>
      </w:pPr>
    </w:p>
    <w:p w:rsidR="00D73A55" w:rsidRPr="00ED4C18" w:rsidRDefault="00D73A55" w:rsidP="00983C54">
      <w:pPr>
        <w:pStyle w:val="ListParagraph"/>
        <w:numPr>
          <w:ilvl w:val="1"/>
          <w:numId w:val="1"/>
        </w:numPr>
        <w:jc w:val="both"/>
        <w:rPr>
          <w:szCs w:val="22"/>
        </w:rPr>
      </w:pPr>
      <w:r w:rsidRPr="00ED4C18">
        <w:t>The submission ha</w:t>
      </w:r>
      <w:r w:rsidR="00662585" w:rsidRPr="00ED4C18">
        <w:t>d</w:t>
      </w:r>
      <w:r w:rsidRPr="00ED4C18">
        <w:t xml:space="preserve"> not requested listing for genotypes 4, 5 or 6 treatment naïve patients who are unsuitable for </w:t>
      </w:r>
      <w:r w:rsidR="00552924" w:rsidRPr="00ED4C18">
        <w:t>interferon (</w:t>
      </w:r>
      <w:r w:rsidRPr="00ED4C18">
        <w:t>IFN</w:t>
      </w:r>
      <w:r w:rsidR="00552924" w:rsidRPr="00ED4C18">
        <w:t>)</w:t>
      </w:r>
      <w:r w:rsidRPr="00ED4C18">
        <w:t xml:space="preserve"> therapy, </w:t>
      </w:r>
      <w:r w:rsidR="00552924" w:rsidRPr="00ED4C18">
        <w:t>n</w:t>
      </w:r>
      <w:r w:rsidRPr="00ED4C18">
        <w:t xml:space="preserve">or for genotypes 1, 4, 5 or 6 </w:t>
      </w:r>
      <w:r w:rsidR="00552924" w:rsidRPr="00ED4C18">
        <w:t xml:space="preserve">for patients </w:t>
      </w:r>
      <w:r w:rsidRPr="00ED4C18">
        <w:t>who are treatment experienced.</w:t>
      </w:r>
    </w:p>
    <w:p w:rsidR="006A12A5" w:rsidRDefault="006A12A5" w:rsidP="00D73A55">
      <w:pPr>
        <w:pStyle w:val="ListParagraph"/>
        <w:ind w:left="993"/>
        <w:jc w:val="both"/>
        <w:rPr>
          <w:szCs w:val="22"/>
        </w:rPr>
      </w:pPr>
    </w:p>
    <w:p w:rsidR="00E06107" w:rsidRPr="00ED4C18" w:rsidRDefault="00E06107" w:rsidP="00D73A55">
      <w:pPr>
        <w:pStyle w:val="ListParagraph"/>
        <w:ind w:left="993"/>
        <w:jc w:val="both"/>
        <w:rPr>
          <w:szCs w:val="22"/>
        </w:rPr>
      </w:pPr>
    </w:p>
    <w:p w:rsidR="00614159" w:rsidRPr="00ED4C18" w:rsidRDefault="006A12A5" w:rsidP="00983C54">
      <w:pPr>
        <w:pStyle w:val="ListParagraph"/>
        <w:numPr>
          <w:ilvl w:val="0"/>
          <w:numId w:val="1"/>
        </w:numPr>
        <w:jc w:val="both"/>
        <w:rPr>
          <w:b/>
          <w:szCs w:val="22"/>
        </w:rPr>
      </w:pPr>
      <w:r w:rsidRPr="00ED4C18">
        <w:rPr>
          <w:b/>
          <w:szCs w:val="22"/>
        </w:rPr>
        <w:t>Requested listing</w:t>
      </w:r>
    </w:p>
    <w:p w:rsidR="006A12A5" w:rsidRPr="00ED4C18" w:rsidRDefault="006A12A5" w:rsidP="00882085">
      <w:pPr>
        <w:jc w:val="both"/>
        <w:rPr>
          <w:b/>
          <w:szCs w:val="22"/>
        </w:rPr>
      </w:pPr>
    </w:p>
    <w:p w:rsidR="00E120E2" w:rsidRDefault="00962815" w:rsidP="00983C54">
      <w:pPr>
        <w:pStyle w:val="ListParagraph"/>
        <w:numPr>
          <w:ilvl w:val="1"/>
          <w:numId w:val="1"/>
        </w:numPr>
        <w:jc w:val="both"/>
        <w:rPr>
          <w:szCs w:val="22"/>
        </w:rPr>
      </w:pPr>
      <w:r w:rsidRPr="00ED4C18">
        <w:rPr>
          <w:szCs w:val="22"/>
        </w:rPr>
        <w:t xml:space="preserve">The requested listing is: </w:t>
      </w:r>
    </w:p>
    <w:p w:rsidR="00AC6730" w:rsidRDefault="00AC6730" w:rsidP="00AC6730">
      <w:pPr>
        <w:pStyle w:val="ListParagraph"/>
        <w:jc w:val="both"/>
        <w:rPr>
          <w:szCs w:val="22"/>
        </w:rPr>
      </w:pPr>
    </w:p>
    <w:tbl>
      <w:tblPr>
        <w:tblW w:w="4554" w:type="pct"/>
        <w:tblInd w:w="737" w:type="dxa"/>
        <w:tblCellMar>
          <w:left w:w="28" w:type="dxa"/>
          <w:right w:w="28" w:type="dxa"/>
        </w:tblCellMar>
        <w:tblLook w:val="0000" w:firstRow="0" w:lastRow="0" w:firstColumn="0" w:lastColumn="0" w:noHBand="0" w:noVBand="0"/>
      </w:tblPr>
      <w:tblGrid>
        <w:gridCol w:w="3180"/>
        <w:gridCol w:w="1271"/>
        <w:gridCol w:w="1156"/>
        <w:gridCol w:w="1087"/>
        <w:gridCol w:w="1578"/>
      </w:tblGrid>
      <w:tr w:rsidR="00AC6730" w:rsidRPr="00ED4C18" w:rsidTr="00AC6730">
        <w:trPr>
          <w:cantSplit/>
          <w:trHeight w:val="523"/>
        </w:trPr>
        <w:tc>
          <w:tcPr>
            <w:tcW w:w="1922" w:type="pct"/>
            <w:tcBorders>
              <w:bottom w:val="single" w:sz="4" w:space="0" w:color="auto"/>
            </w:tcBorders>
          </w:tcPr>
          <w:p w:rsidR="00AC6730" w:rsidRPr="00ED4C18" w:rsidRDefault="00AC6730" w:rsidP="00AC6730">
            <w:pPr>
              <w:keepNext/>
              <w:rPr>
                <w:rFonts w:cs="Arial"/>
                <w:sz w:val="20"/>
              </w:rPr>
            </w:pPr>
            <w:r w:rsidRPr="00ED4C18">
              <w:rPr>
                <w:rFonts w:cs="Arial"/>
                <w:sz w:val="20"/>
              </w:rPr>
              <w:t>Name, Restriction,</w:t>
            </w:r>
          </w:p>
          <w:p w:rsidR="00AC6730" w:rsidRPr="00ED4C18" w:rsidRDefault="00AC6730" w:rsidP="00AC6730">
            <w:pPr>
              <w:keepNext/>
              <w:rPr>
                <w:rFonts w:cs="Arial"/>
                <w:sz w:val="20"/>
              </w:rPr>
            </w:pPr>
            <w:r w:rsidRPr="00ED4C18">
              <w:rPr>
                <w:rFonts w:cs="Arial"/>
                <w:sz w:val="20"/>
              </w:rPr>
              <w:t>Manner of administration and form</w:t>
            </w:r>
          </w:p>
        </w:tc>
        <w:tc>
          <w:tcPr>
            <w:tcW w:w="768" w:type="pct"/>
            <w:tcBorders>
              <w:bottom w:val="single" w:sz="4" w:space="0" w:color="auto"/>
            </w:tcBorders>
          </w:tcPr>
          <w:p w:rsidR="00AC6730" w:rsidRPr="00ED4C18" w:rsidRDefault="00AC6730" w:rsidP="00AC6730">
            <w:pPr>
              <w:keepNext/>
              <w:jc w:val="center"/>
              <w:rPr>
                <w:rFonts w:cs="Arial"/>
                <w:sz w:val="20"/>
              </w:rPr>
            </w:pPr>
            <w:r w:rsidRPr="00ED4C18">
              <w:rPr>
                <w:rFonts w:cs="Arial"/>
                <w:sz w:val="20"/>
              </w:rPr>
              <w:t>Max.</w:t>
            </w:r>
          </w:p>
          <w:p w:rsidR="00AC6730" w:rsidRPr="00ED4C18" w:rsidRDefault="00AC6730" w:rsidP="00AC6730">
            <w:pPr>
              <w:keepNext/>
              <w:jc w:val="center"/>
              <w:rPr>
                <w:rFonts w:cs="Arial"/>
                <w:sz w:val="20"/>
              </w:rPr>
            </w:pPr>
            <w:proofErr w:type="spellStart"/>
            <w:r w:rsidRPr="00ED4C18">
              <w:rPr>
                <w:rFonts w:cs="Arial"/>
                <w:sz w:val="20"/>
              </w:rPr>
              <w:t>Qty</w:t>
            </w:r>
            <w:proofErr w:type="spellEnd"/>
          </w:p>
        </w:tc>
        <w:tc>
          <w:tcPr>
            <w:tcW w:w="699" w:type="pct"/>
            <w:tcBorders>
              <w:bottom w:val="single" w:sz="4" w:space="0" w:color="auto"/>
            </w:tcBorders>
          </w:tcPr>
          <w:p w:rsidR="00AC6730" w:rsidRPr="00ED4C18" w:rsidRDefault="00AC6730" w:rsidP="00AC6730">
            <w:pPr>
              <w:keepNext/>
              <w:jc w:val="center"/>
              <w:rPr>
                <w:rFonts w:cs="Arial"/>
                <w:sz w:val="20"/>
              </w:rPr>
            </w:pPr>
            <w:r w:rsidRPr="00ED4C18">
              <w:rPr>
                <w:rFonts w:cs="Arial"/>
                <w:sz w:val="20"/>
              </w:rPr>
              <w:t>№.of</w:t>
            </w:r>
          </w:p>
          <w:p w:rsidR="00AC6730" w:rsidRPr="00ED4C18" w:rsidRDefault="00AC6730" w:rsidP="00AC6730">
            <w:pPr>
              <w:keepNext/>
              <w:jc w:val="center"/>
              <w:rPr>
                <w:rFonts w:cs="Arial"/>
                <w:sz w:val="20"/>
              </w:rPr>
            </w:pPr>
            <w:proofErr w:type="spellStart"/>
            <w:r w:rsidRPr="00ED4C18">
              <w:rPr>
                <w:rFonts w:cs="Arial"/>
                <w:sz w:val="20"/>
              </w:rPr>
              <w:t>Rpts</w:t>
            </w:r>
            <w:proofErr w:type="spellEnd"/>
          </w:p>
        </w:tc>
        <w:tc>
          <w:tcPr>
            <w:tcW w:w="1611" w:type="pct"/>
            <w:gridSpan w:val="2"/>
            <w:tcBorders>
              <w:bottom w:val="single" w:sz="4" w:space="0" w:color="auto"/>
            </w:tcBorders>
          </w:tcPr>
          <w:p w:rsidR="00AC6730" w:rsidRPr="00ED4C18" w:rsidRDefault="00AC6730" w:rsidP="00AC6730">
            <w:pPr>
              <w:keepNext/>
              <w:jc w:val="center"/>
              <w:rPr>
                <w:rFonts w:cs="Arial"/>
                <w:sz w:val="20"/>
              </w:rPr>
            </w:pPr>
            <w:r w:rsidRPr="00ED4C18">
              <w:rPr>
                <w:rFonts w:cs="Arial"/>
                <w:sz w:val="20"/>
              </w:rPr>
              <w:t>Proprietary Name and Manufacturer</w:t>
            </w:r>
          </w:p>
        </w:tc>
      </w:tr>
      <w:tr w:rsidR="00AC6730" w:rsidRPr="00ED4C18" w:rsidTr="00AC6730">
        <w:trPr>
          <w:cantSplit/>
          <w:trHeight w:val="641"/>
        </w:trPr>
        <w:tc>
          <w:tcPr>
            <w:tcW w:w="1922" w:type="pct"/>
          </w:tcPr>
          <w:p w:rsidR="00AC6730" w:rsidRPr="00ED4C18" w:rsidRDefault="00AC6730" w:rsidP="00AC6730">
            <w:pPr>
              <w:keepNext/>
              <w:rPr>
                <w:rFonts w:cs="Arial"/>
                <w:sz w:val="20"/>
              </w:rPr>
            </w:pPr>
            <w:proofErr w:type="spellStart"/>
            <w:r w:rsidRPr="00ED4C18">
              <w:rPr>
                <w:rFonts w:cs="Arial"/>
                <w:smallCaps/>
                <w:sz w:val="20"/>
              </w:rPr>
              <w:t>Sofosbuvir</w:t>
            </w:r>
            <w:proofErr w:type="spellEnd"/>
          </w:p>
          <w:p w:rsidR="00AC6730" w:rsidRPr="00ED4C18" w:rsidRDefault="00AC6730" w:rsidP="00AC6730">
            <w:pPr>
              <w:keepNext/>
              <w:rPr>
                <w:rFonts w:cs="Arial"/>
                <w:sz w:val="20"/>
              </w:rPr>
            </w:pPr>
            <w:r w:rsidRPr="00ED4C18">
              <w:rPr>
                <w:rFonts w:cs="Arial"/>
                <w:sz w:val="20"/>
              </w:rPr>
              <w:t>Tablet 400mg, 28 tablets</w:t>
            </w:r>
          </w:p>
        </w:tc>
        <w:tc>
          <w:tcPr>
            <w:tcW w:w="768" w:type="pct"/>
          </w:tcPr>
          <w:p w:rsidR="00AC6730" w:rsidRPr="00ED4C18" w:rsidRDefault="00AC6730" w:rsidP="00AC6730">
            <w:pPr>
              <w:keepNext/>
              <w:jc w:val="center"/>
              <w:rPr>
                <w:rFonts w:cs="Arial"/>
                <w:sz w:val="20"/>
              </w:rPr>
            </w:pPr>
          </w:p>
          <w:p w:rsidR="00AC6730" w:rsidRPr="00ED4C18" w:rsidRDefault="00AC6730" w:rsidP="00AC6730">
            <w:pPr>
              <w:keepNext/>
              <w:jc w:val="center"/>
              <w:rPr>
                <w:rFonts w:cs="Arial"/>
                <w:sz w:val="20"/>
              </w:rPr>
            </w:pPr>
            <w:r w:rsidRPr="00ED4C18">
              <w:rPr>
                <w:rFonts w:cs="Arial"/>
                <w:sz w:val="20"/>
              </w:rPr>
              <w:t>1</w:t>
            </w:r>
          </w:p>
        </w:tc>
        <w:tc>
          <w:tcPr>
            <w:tcW w:w="699" w:type="pct"/>
          </w:tcPr>
          <w:p w:rsidR="00AC6730" w:rsidRPr="00ED4C18" w:rsidRDefault="00AC6730" w:rsidP="00AC6730">
            <w:pPr>
              <w:keepNext/>
              <w:jc w:val="center"/>
              <w:rPr>
                <w:rFonts w:cs="Arial"/>
                <w:sz w:val="20"/>
              </w:rPr>
            </w:pPr>
          </w:p>
          <w:p w:rsidR="00AC6730" w:rsidRPr="00ED4C18" w:rsidRDefault="00AC6730" w:rsidP="00AC6730">
            <w:pPr>
              <w:keepNext/>
              <w:jc w:val="center"/>
              <w:rPr>
                <w:rFonts w:cs="Arial"/>
                <w:sz w:val="20"/>
              </w:rPr>
            </w:pPr>
            <w:r w:rsidRPr="00ED4C18">
              <w:rPr>
                <w:rFonts w:cs="Arial"/>
                <w:sz w:val="20"/>
              </w:rPr>
              <w:t>5</w:t>
            </w:r>
          </w:p>
        </w:tc>
        <w:tc>
          <w:tcPr>
            <w:tcW w:w="657" w:type="pct"/>
          </w:tcPr>
          <w:p w:rsidR="00AC6730" w:rsidRDefault="00AC6730" w:rsidP="00AC6730">
            <w:pPr>
              <w:keepNext/>
              <w:jc w:val="center"/>
              <w:rPr>
                <w:rFonts w:cs="Arial"/>
                <w:sz w:val="20"/>
              </w:rPr>
            </w:pPr>
          </w:p>
          <w:p w:rsidR="00AC6730" w:rsidRPr="00ED4C18" w:rsidRDefault="00AC6730" w:rsidP="00AC6730">
            <w:pPr>
              <w:keepNext/>
              <w:jc w:val="center"/>
              <w:rPr>
                <w:rFonts w:cs="Arial"/>
                <w:sz w:val="20"/>
              </w:rPr>
            </w:pPr>
            <w:proofErr w:type="spellStart"/>
            <w:r w:rsidRPr="00ED4C18">
              <w:rPr>
                <w:rFonts w:cs="Arial"/>
                <w:sz w:val="20"/>
              </w:rPr>
              <w:t>Sovaldi</w:t>
            </w:r>
            <w:proofErr w:type="spellEnd"/>
          </w:p>
        </w:tc>
        <w:tc>
          <w:tcPr>
            <w:tcW w:w="954" w:type="pct"/>
          </w:tcPr>
          <w:p w:rsidR="00AC6730" w:rsidRPr="00ED4C18" w:rsidRDefault="00AC6730" w:rsidP="00AC6730">
            <w:pPr>
              <w:keepNext/>
              <w:jc w:val="center"/>
              <w:rPr>
                <w:rFonts w:cs="Arial"/>
                <w:sz w:val="20"/>
              </w:rPr>
            </w:pPr>
            <w:r w:rsidRPr="00ED4C18">
              <w:rPr>
                <w:rFonts w:cs="Arial"/>
                <w:sz w:val="20"/>
              </w:rPr>
              <w:t>Gilead Sciences Pty Ltd</w:t>
            </w:r>
          </w:p>
        </w:tc>
      </w:tr>
    </w:tbl>
    <w:p w:rsidR="00E120E2" w:rsidRPr="00ED4C18" w:rsidRDefault="00E120E2" w:rsidP="00E06107">
      <w:pPr>
        <w:ind w:firstLine="720"/>
        <w:rPr>
          <w:rFonts w:cs="Arial"/>
          <w:sz w:val="20"/>
        </w:rPr>
      </w:pPr>
      <w:r w:rsidRPr="00ED4C18">
        <w:rPr>
          <w:rFonts w:cs="Arial"/>
          <w:b/>
          <w:sz w:val="20"/>
          <w:u w:val="single"/>
        </w:rPr>
        <w:t>Section 100 (Highly Specialised Drugs Program)</w:t>
      </w:r>
    </w:p>
    <w:p w:rsidR="00E120E2" w:rsidRPr="00ED4C18" w:rsidRDefault="00E120E2" w:rsidP="00E06107">
      <w:pPr>
        <w:ind w:firstLine="720"/>
        <w:rPr>
          <w:rFonts w:cs="Arial"/>
          <w:b/>
          <w:sz w:val="20"/>
          <w:u w:val="single"/>
        </w:rPr>
      </w:pPr>
      <w:r w:rsidRPr="00ED4C18">
        <w:rPr>
          <w:rFonts w:cs="Arial"/>
          <w:b/>
          <w:sz w:val="20"/>
          <w:u w:val="single"/>
        </w:rPr>
        <w:t>Authority required (STREAMLINED)</w:t>
      </w:r>
    </w:p>
    <w:p w:rsidR="00E120E2" w:rsidRPr="00ED4C18" w:rsidRDefault="00E120E2" w:rsidP="00E120E2">
      <w:pPr>
        <w:rPr>
          <w:rFonts w:cs="Arial"/>
          <w:b/>
          <w:sz w:val="20"/>
        </w:rPr>
      </w:pPr>
    </w:p>
    <w:p w:rsidR="00E120E2" w:rsidRPr="00ED4C18" w:rsidRDefault="00E120E2" w:rsidP="00E06107">
      <w:pPr>
        <w:ind w:firstLine="720"/>
        <w:rPr>
          <w:rFonts w:cs="Arial"/>
          <w:b/>
          <w:sz w:val="20"/>
        </w:rPr>
      </w:pPr>
      <w:r w:rsidRPr="00ED4C18">
        <w:rPr>
          <w:rFonts w:cs="Arial"/>
          <w:b/>
          <w:sz w:val="20"/>
        </w:rPr>
        <w:t xml:space="preserve">Chronic genotype 1, 2, 3, 4, 5 or 6 hepatitis C infection </w:t>
      </w:r>
    </w:p>
    <w:p w:rsidR="00E120E2" w:rsidRPr="00ED4C18" w:rsidRDefault="00E120E2" w:rsidP="00E06107">
      <w:pPr>
        <w:ind w:firstLine="720"/>
        <w:rPr>
          <w:rFonts w:cs="Arial"/>
          <w:sz w:val="20"/>
        </w:rPr>
      </w:pPr>
      <w:r w:rsidRPr="00ED4C18">
        <w:rPr>
          <w:rFonts w:cs="Arial"/>
          <w:sz w:val="20"/>
        </w:rPr>
        <w:t>The Treatment criteria are:</w:t>
      </w:r>
    </w:p>
    <w:p w:rsidR="00E120E2" w:rsidRPr="00ED4C18" w:rsidRDefault="00E120E2" w:rsidP="00983C54">
      <w:pPr>
        <w:pStyle w:val="ListParagraph"/>
        <w:widowControl w:val="0"/>
        <w:numPr>
          <w:ilvl w:val="0"/>
          <w:numId w:val="15"/>
        </w:numPr>
        <w:jc w:val="both"/>
        <w:rPr>
          <w:rFonts w:cs="Arial"/>
          <w:sz w:val="20"/>
        </w:rPr>
      </w:pPr>
      <w:r w:rsidRPr="00ED4C18">
        <w:rPr>
          <w:rFonts w:cs="Arial"/>
          <w:sz w:val="20"/>
        </w:rPr>
        <w:t xml:space="preserve">Must be treated in an accredited treatment centre, </w:t>
      </w:r>
    </w:p>
    <w:p w:rsidR="00E120E2" w:rsidRPr="00ED4C18" w:rsidRDefault="00E120E2" w:rsidP="00E06107">
      <w:pPr>
        <w:ind w:firstLine="720"/>
        <w:rPr>
          <w:rFonts w:cs="Arial"/>
          <w:sz w:val="20"/>
        </w:rPr>
      </w:pPr>
      <w:r w:rsidRPr="00ED4C18">
        <w:rPr>
          <w:rFonts w:cs="Arial"/>
          <w:sz w:val="20"/>
        </w:rPr>
        <w:t>AND the Clinical criteria are:</w:t>
      </w:r>
    </w:p>
    <w:p w:rsidR="00E120E2" w:rsidRPr="00ED4C18" w:rsidRDefault="00E120E2" w:rsidP="00983C54">
      <w:pPr>
        <w:pStyle w:val="ListParagraph"/>
        <w:widowControl w:val="0"/>
        <w:numPr>
          <w:ilvl w:val="0"/>
          <w:numId w:val="15"/>
        </w:numPr>
        <w:jc w:val="both"/>
        <w:rPr>
          <w:rFonts w:cs="Arial"/>
          <w:sz w:val="20"/>
        </w:rPr>
      </w:pPr>
      <w:r w:rsidRPr="00ED4C18">
        <w:rPr>
          <w:rFonts w:cs="Arial"/>
          <w:sz w:val="20"/>
        </w:rPr>
        <w:t xml:space="preserve">Patient must have compensated liver disease, </w:t>
      </w:r>
    </w:p>
    <w:p w:rsidR="00E120E2" w:rsidRPr="00ED4C18" w:rsidRDefault="00E120E2" w:rsidP="00983C54">
      <w:pPr>
        <w:pStyle w:val="ListParagraph"/>
        <w:widowControl w:val="0"/>
        <w:numPr>
          <w:ilvl w:val="0"/>
          <w:numId w:val="15"/>
        </w:numPr>
        <w:jc w:val="both"/>
        <w:rPr>
          <w:rFonts w:cs="Arial"/>
          <w:sz w:val="20"/>
        </w:rPr>
      </w:pPr>
      <w:r w:rsidRPr="00ED4C18">
        <w:rPr>
          <w:rFonts w:cs="Arial"/>
          <w:sz w:val="20"/>
        </w:rPr>
        <w:t xml:space="preserve">Patient must </w:t>
      </w:r>
      <w:r w:rsidRPr="00ED4C18">
        <w:rPr>
          <w:rFonts w:cs="Arial"/>
          <w:b/>
          <w:sz w:val="20"/>
        </w:rPr>
        <w:t>not have received prior treatment</w:t>
      </w:r>
      <w:r w:rsidRPr="00ED4C18">
        <w:rPr>
          <w:rFonts w:cs="Arial"/>
          <w:sz w:val="20"/>
        </w:rPr>
        <w:t xml:space="preserve"> with interferon </w:t>
      </w:r>
      <w:proofErr w:type="spellStart"/>
      <w:r w:rsidRPr="00ED4C18">
        <w:rPr>
          <w:rFonts w:cs="Arial"/>
          <w:sz w:val="20"/>
        </w:rPr>
        <w:t>alfa</w:t>
      </w:r>
      <w:proofErr w:type="spellEnd"/>
      <w:r w:rsidRPr="00ED4C18">
        <w:rPr>
          <w:rFonts w:cs="Arial"/>
          <w:sz w:val="20"/>
        </w:rPr>
        <w:t xml:space="preserve"> or </w:t>
      </w:r>
      <w:proofErr w:type="spellStart"/>
      <w:r w:rsidRPr="00ED4C18">
        <w:rPr>
          <w:rFonts w:cs="Arial"/>
          <w:sz w:val="20"/>
        </w:rPr>
        <w:t>peginterferon</w:t>
      </w:r>
      <w:proofErr w:type="spellEnd"/>
      <w:r w:rsidRPr="00ED4C18">
        <w:rPr>
          <w:rFonts w:cs="Arial"/>
          <w:sz w:val="20"/>
        </w:rPr>
        <w:t xml:space="preserve"> </w:t>
      </w:r>
      <w:proofErr w:type="spellStart"/>
      <w:r w:rsidRPr="00ED4C18">
        <w:rPr>
          <w:rFonts w:cs="Arial"/>
          <w:sz w:val="20"/>
        </w:rPr>
        <w:t>alfa</w:t>
      </w:r>
      <w:proofErr w:type="spellEnd"/>
      <w:r w:rsidRPr="00ED4C18">
        <w:rPr>
          <w:rFonts w:cs="Arial"/>
          <w:sz w:val="20"/>
        </w:rPr>
        <w:t xml:space="preserve"> for hepatitis C, </w:t>
      </w:r>
    </w:p>
    <w:p w:rsidR="00E120E2" w:rsidRPr="00ED4C18" w:rsidRDefault="00E120E2" w:rsidP="00E120E2">
      <w:pPr>
        <w:pStyle w:val="ListParagraph"/>
        <w:widowControl w:val="0"/>
        <w:numPr>
          <w:ilvl w:val="0"/>
          <w:numId w:val="15"/>
        </w:numPr>
        <w:jc w:val="both"/>
        <w:rPr>
          <w:rFonts w:cs="Arial"/>
          <w:sz w:val="20"/>
        </w:rPr>
      </w:pPr>
      <w:r w:rsidRPr="00ED4C18">
        <w:rPr>
          <w:rFonts w:cs="Arial"/>
          <w:sz w:val="20"/>
        </w:rPr>
        <w:t>For patients with genotype 2 HCV infection, the treatment must be in combination with ribavirin and the treatment must be limited to a maximum duration of 12 weeks</w:t>
      </w:r>
      <w:r w:rsidR="006E1310" w:rsidRPr="00ED4C18">
        <w:rPr>
          <w:rFonts w:cs="Arial"/>
          <w:sz w:val="20"/>
        </w:rPr>
        <w:t>;</w:t>
      </w:r>
    </w:p>
    <w:p w:rsidR="00E120E2" w:rsidRPr="00ED4C18" w:rsidRDefault="00E120E2" w:rsidP="00983C54">
      <w:pPr>
        <w:pStyle w:val="ListParagraph"/>
        <w:widowControl w:val="0"/>
        <w:numPr>
          <w:ilvl w:val="0"/>
          <w:numId w:val="15"/>
        </w:numPr>
        <w:jc w:val="both"/>
        <w:rPr>
          <w:rFonts w:cs="Arial"/>
          <w:sz w:val="20"/>
        </w:rPr>
      </w:pPr>
      <w:r w:rsidRPr="00ED4C18">
        <w:rPr>
          <w:rFonts w:cs="Arial"/>
          <w:sz w:val="20"/>
        </w:rPr>
        <w:t>For patients with HCV genotype 1, 3, 4, 5 or 6 infection who are eligible for treatment with interferon:</w:t>
      </w:r>
    </w:p>
    <w:p w:rsidR="00E120E2" w:rsidRPr="00ED4C18" w:rsidRDefault="00E120E2" w:rsidP="00983C54">
      <w:pPr>
        <w:pStyle w:val="ListParagraph"/>
        <w:widowControl w:val="0"/>
        <w:numPr>
          <w:ilvl w:val="1"/>
          <w:numId w:val="15"/>
        </w:numPr>
        <w:jc w:val="both"/>
        <w:rPr>
          <w:rFonts w:cs="Arial"/>
          <w:sz w:val="20"/>
        </w:rPr>
      </w:pPr>
      <w:r w:rsidRPr="00ED4C18">
        <w:rPr>
          <w:rFonts w:cs="Arial"/>
          <w:sz w:val="20"/>
        </w:rPr>
        <w:t xml:space="preserve">The treatment must be in combination with </w:t>
      </w:r>
      <w:proofErr w:type="spellStart"/>
      <w:r w:rsidRPr="00ED4C18">
        <w:rPr>
          <w:rFonts w:cs="Arial"/>
          <w:sz w:val="20"/>
        </w:rPr>
        <w:t>peginterferon</w:t>
      </w:r>
      <w:proofErr w:type="spellEnd"/>
      <w:r w:rsidRPr="00ED4C18">
        <w:rPr>
          <w:rFonts w:cs="Arial"/>
          <w:sz w:val="20"/>
        </w:rPr>
        <w:t xml:space="preserve"> </w:t>
      </w:r>
      <w:proofErr w:type="spellStart"/>
      <w:r w:rsidRPr="00ED4C18">
        <w:rPr>
          <w:rFonts w:cs="Arial"/>
          <w:sz w:val="20"/>
        </w:rPr>
        <w:t>alfa</w:t>
      </w:r>
      <w:proofErr w:type="spellEnd"/>
      <w:r w:rsidRPr="00ED4C18">
        <w:rPr>
          <w:rFonts w:cs="Arial"/>
          <w:sz w:val="20"/>
        </w:rPr>
        <w:t xml:space="preserve"> and ribavirin, </w:t>
      </w:r>
    </w:p>
    <w:p w:rsidR="00E120E2" w:rsidRPr="00ED4C18" w:rsidRDefault="00E120E2" w:rsidP="00983C54">
      <w:pPr>
        <w:pStyle w:val="ListParagraph"/>
        <w:widowControl w:val="0"/>
        <w:numPr>
          <w:ilvl w:val="1"/>
          <w:numId w:val="15"/>
        </w:numPr>
        <w:jc w:val="both"/>
        <w:rPr>
          <w:rFonts w:cs="Arial"/>
          <w:sz w:val="20"/>
        </w:rPr>
      </w:pPr>
      <w:r w:rsidRPr="00ED4C18">
        <w:rPr>
          <w:rFonts w:cs="Arial"/>
          <w:sz w:val="20"/>
        </w:rPr>
        <w:t>The treatment must be limited to a maximum duration of 12 weeks</w:t>
      </w:r>
    </w:p>
    <w:p w:rsidR="00E120E2" w:rsidRPr="00ED4C18" w:rsidRDefault="00E120E2" w:rsidP="00983C54">
      <w:pPr>
        <w:pStyle w:val="ListParagraph"/>
        <w:widowControl w:val="0"/>
        <w:numPr>
          <w:ilvl w:val="0"/>
          <w:numId w:val="15"/>
        </w:numPr>
        <w:jc w:val="both"/>
        <w:rPr>
          <w:rFonts w:cs="Arial"/>
          <w:sz w:val="20"/>
        </w:rPr>
      </w:pPr>
      <w:r w:rsidRPr="00ED4C18">
        <w:rPr>
          <w:rFonts w:cs="Arial"/>
          <w:sz w:val="20"/>
        </w:rPr>
        <w:t>For patients with HCV genotype 1 or 3 infection who are unsuitable for treatment with interferon:</w:t>
      </w:r>
    </w:p>
    <w:p w:rsidR="00E120E2" w:rsidRPr="00ED4C18" w:rsidRDefault="00E120E2" w:rsidP="00983C54">
      <w:pPr>
        <w:pStyle w:val="ListParagraph"/>
        <w:widowControl w:val="0"/>
        <w:numPr>
          <w:ilvl w:val="1"/>
          <w:numId w:val="15"/>
        </w:numPr>
        <w:jc w:val="both"/>
        <w:rPr>
          <w:rFonts w:cs="Arial"/>
          <w:sz w:val="20"/>
        </w:rPr>
      </w:pPr>
      <w:r w:rsidRPr="00ED4C18">
        <w:rPr>
          <w:rFonts w:cs="Arial"/>
          <w:sz w:val="20"/>
        </w:rPr>
        <w:t>The treatment must be in combination with ribavirin;</w:t>
      </w:r>
    </w:p>
    <w:p w:rsidR="00E120E2" w:rsidRPr="00ED4C18" w:rsidRDefault="00E120E2" w:rsidP="00983C54">
      <w:pPr>
        <w:pStyle w:val="ListParagraph"/>
        <w:widowControl w:val="0"/>
        <w:numPr>
          <w:ilvl w:val="1"/>
          <w:numId w:val="15"/>
        </w:numPr>
        <w:jc w:val="both"/>
        <w:rPr>
          <w:rFonts w:cs="Arial"/>
          <w:sz w:val="20"/>
        </w:rPr>
      </w:pPr>
      <w:r w:rsidRPr="00ED4C18">
        <w:rPr>
          <w:rFonts w:cs="Arial"/>
          <w:sz w:val="20"/>
        </w:rPr>
        <w:t>The treatment must be limited to a maximum duration of 24 weeks; and</w:t>
      </w:r>
    </w:p>
    <w:p w:rsidR="00E120E2" w:rsidRPr="00ED4C18" w:rsidRDefault="00E120E2" w:rsidP="00E06107">
      <w:pPr>
        <w:ind w:firstLine="720"/>
        <w:rPr>
          <w:rFonts w:cs="Arial"/>
          <w:sz w:val="20"/>
        </w:rPr>
      </w:pPr>
      <w:r w:rsidRPr="00ED4C18">
        <w:rPr>
          <w:rFonts w:cs="Arial"/>
          <w:sz w:val="20"/>
        </w:rPr>
        <w:t>AND the Population criteria are:</w:t>
      </w:r>
    </w:p>
    <w:p w:rsidR="00E120E2" w:rsidRPr="00ED4C18" w:rsidRDefault="00E120E2" w:rsidP="00983C54">
      <w:pPr>
        <w:pStyle w:val="ListParagraph"/>
        <w:widowControl w:val="0"/>
        <w:numPr>
          <w:ilvl w:val="0"/>
          <w:numId w:val="16"/>
        </w:numPr>
        <w:jc w:val="both"/>
        <w:rPr>
          <w:rFonts w:cs="Arial"/>
          <w:sz w:val="20"/>
        </w:rPr>
      </w:pPr>
      <w:r w:rsidRPr="00ED4C18">
        <w:rPr>
          <w:rFonts w:cs="Arial"/>
          <w:sz w:val="20"/>
        </w:rPr>
        <w:t>Patient must be 18 years or older,</w:t>
      </w:r>
    </w:p>
    <w:p w:rsidR="00E120E2" w:rsidRPr="00ED4C18" w:rsidRDefault="00E120E2" w:rsidP="00983C54">
      <w:pPr>
        <w:pStyle w:val="ListParagraph"/>
        <w:widowControl w:val="0"/>
        <w:numPr>
          <w:ilvl w:val="0"/>
          <w:numId w:val="16"/>
        </w:numPr>
        <w:jc w:val="both"/>
        <w:rPr>
          <w:rFonts w:cs="Arial"/>
          <w:sz w:val="20"/>
        </w:rPr>
      </w:pPr>
      <w:r w:rsidRPr="00ED4C18">
        <w:rPr>
          <w:rFonts w:cs="Arial"/>
          <w:sz w:val="20"/>
        </w:rPr>
        <w:t>Patient must not be pregnant or breastfeeding. Female partners of male patients must not be pregnant. Patients and their partners must each be using an effective form of contraception if of child-bearing age,</w:t>
      </w:r>
    </w:p>
    <w:p w:rsidR="00E120E2" w:rsidRPr="00ED4C18" w:rsidRDefault="00E120E2" w:rsidP="00983C54">
      <w:pPr>
        <w:pStyle w:val="ListParagraph"/>
        <w:widowControl w:val="0"/>
        <w:numPr>
          <w:ilvl w:val="0"/>
          <w:numId w:val="16"/>
        </w:numPr>
        <w:jc w:val="both"/>
        <w:rPr>
          <w:rFonts w:cs="Arial"/>
          <w:sz w:val="20"/>
        </w:rPr>
      </w:pPr>
      <w:r w:rsidRPr="00ED4C18">
        <w:rPr>
          <w:rFonts w:cs="Arial"/>
          <w:sz w:val="20"/>
        </w:rPr>
        <w:t xml:space="preserve">Evidence of chronic hepatitis C infection (repeatedly anti-HCV positive and HCV RNA </w:t>
      </w:r>
      <w:r w:rsidRPr="00ED4C18">
        <w:rPr>
          <w:rFonts w:cs="Arial"/>
          <w:sz w:val="20"/>
        </w:rPr>
        <w:lastRenderedPageBreak/>
        <w:t xml:space="preserve">positive) must be documented in the patient's medical records, </w:t>
      </w:r>
    </w:p>
    <w:p w:rsidR="00E120E2" w:rsidRPr="00ED4C18" w:rsidRDefault="00E120E2" w:rsidP="00983C54">
      <w:pPr>
        <w:pStyle w:val="ListParagraph"/>
        <w:widowControl w:val="0"/>
        <w:numPr>
          <w:ilvl w:val="0"/>
          <w:numId w:val="16"/>
        </w:numPr>
        <w:jc w:val="both"/>
        <w:rPr>
          <w:rFonts w:cs="Arial"/>
          <w:sz w:val="20"/>
        </w:rPr>
      </w:pPr>
      <w:r w:rsidRPr="00ED4C18">
        <w:rPr>
          <w:rFonts w:cs="Arial"/>
          <w:sz w:val="20"/>
        </w:rPr>
        <w:t xml:space="preserve">Patients with chronic genotype 1 hepatitis C, who have received prior treatment with an NS3/4A protease inhibitor, are not eligible to receive PBS-subsidised </w:t>
      </w:r>
      <w:proofErr w:type="spellStart"/>
      <w:r w:rsidRPr="00ED4C18">
        <w:rPr>
          <w:rFonts w:cs="Arial"/>
          <w:sz w:val="20"/>
        </w:rPr>
        <w:t>sofosbuvir</w:t>
      </w:r>
      <w:proofErr w:type="spellEnd"/>
      <w:r w:rsidRPr="00ED4C18">
        <w:rPr>
          <w:rFonts w:cs="Arial"/>
          <w:sz w:val="20"/>
        </w:rPr>
        <w:t>, except where the patient has developed intolerance to the NS3/4A protease inhibitor of a severity necessitating permanent treatment withdrawal.</w:t>
      </w:r>
    </w:p>
    <w:p w:rsidR="00E120E2" w:rsidRPr="00ED4C18" w:rsidRDefault="00E120E2" w:rsidP="00E120E2">
      <w:pPr>
        <w:rPr>
          <w:rFonts w:cs="Arial"/>
          <w:sz w:val="20"/>
        </w:rPr>
      </w:pPr>
    </w:p>
    <w:p w:rsidR="00E120E2" w:rsidRPr="00ED4C18" w:rsidRDefault="00E120E2" w:rsidP="00E06107">
      <w:pPr>
        <w:ind w:firstLine="720"/>
        <w:rPr>
          <w:rFonts w:cs="Arial"/>
          <w:b/>
          <w:sz w:val="20"/>
        </w:rPr>
      </w:pPr>
      <w:r w:rsidRPr="00ED4C18">
        <w:rPr>
          <w:rFonts w:cs="Arial"/>
          <w:b/>
          <w:sz w:val="20"/>
        </w:rPr>
        <w:t xml:space="preserve">Chronic genotype 2 or 3 hepatitis C infection </w:t>
      </w:r>
    </w:p>
    <w:p w:rsidR="00E120E2" w:rsidRPr="00ED4C18" w:rsidRDefault="00E120E2" w:rsidP="00E06107">
      <w:pPr>
        <w:ind w:firstLine="720"/>
        <w:rPr>
          <w:rFonts w:cs="Arial"/>
          <w:sz w:val="20"/>
        </w:rPr>
      </w:pPr>
      <w:r w:rsidRPr="00ED4C18">
        <w:rPr>
          <w:rFonts w:cs="Arial"/>
          <w:sz w:val="20"/>
        </w:rPr>
        <w:t>The Treatment criteria are:</w:t>
      </w:r>
    </w:p>
    <w:p w:rsidR="00E120E2" w:rsidRPr="00ED4C18" w:rsidRDefault="00E120E2" w:rsidP="00983C54">
      <w:pPr>
        <w:pStyle w:val="ListParagraph"/>
        <w:widowControl w:val="0"/>
        <w:numPr>
          <w:ilvl w:val="0"/>
          <w:numId w:val="17"/>
        </w:numPr>
        <w:jc w:val="both"/>
        <w:rPr>
          <w:rFonts w:cs="Arial"/>
          <w:sz w:val="20"/>
        </w:rPr>
      </w:pPr>
      <w:r w:rsidRPr="00ED4C18">
        <w:rPr>
          <w:rFonts w:cs="Arial"/>
          <w:sz w:val="20"/>
        </w:rPr>
        <w:t xml:space="preserve">Must be treated in an accredited treatment centre, </w:t>
      </w:r>
    </w:p>
    <w:p w:rsidR="00E120E2" w:rsidRPr="00ED4C18" w:rsidRDefault="00E120E2" w:rsidP="00E06107">
      <w:pPr>
        <w:ind w:firstLine="720"/>
        <w:rPr>
          <w:rFonts w:cs="Arial"/>
          <w:sz w:val="20"/>
        </w:rPr>
      </w:pPr>
      <w:r w:rsidRPr="00ED4C18">
        <w:rPr>
          <w:rFonts w:cs="Arial"/>
          <w:sz w:val="20"/>
        </w:rPr>
        <w:t>AND the Clinical criteria are:</w:t>
      </w:r>
    </w:p>
    <w:p w:rsidR="00E120E2" w:rsidRPr="00ED4C18" w:rsidRDefault="00E120E2" w:rsidP="00983C54">
      <w:pPr>
        <w:pStyle w:val="ListParagraph"/>
        <w:widowControl w:val="0"/>
        <w:numPr>
          <w:ilvl w:val="0"/>
          <w:numId w:val="17"/>
        </w:numPr>
        <w:jc w:val="both"/>
        <w:rPr>
          <w:rFonts w:cs="Arial"/>
          <w:sz w:val="20"/>
        </w:rPr>
      </w:pPr>
      <w:r w:rsidRPr="00ED4C18">
        <w:rPr>
          <w:rFonts w:cs="Arial"/>
          <w:sz w:val="20"/>
        </w:rPr>
        <w:t xml:space="preserve">Patient must have compensated liver disease, </w:t>
      </w:r>
    </w:p>
    <w:p w:rsidR="00E120E2" w:rsidRPr="00ED4C18" w:rsidRDefault="00E120E2" w:rsidP="00983C54">
      <w:pPr>
        <w:pStyle w:val="ListParagraph"/>
        <w:widowControl w:val="0"/>
        <w:numPr>
          <w:ilvl w:val="0"/>
          <w:numId w:val="17"/>
        </w:numPr>
        <w:jc w:val="both"/>
        <w:rPr>
          <w:rFonts w:cs="Arial"/>
          <w:sz w:val="20"/>
        </w:rPr>
      </w:pPr>
      <w:r w:rsidRPr="00ED4C18">
        <w:rPr>
          <w:rFonts w:cs="Arial"/>
          <w:sz w:val="20"/>
        </w:rPr>
        <w:t xml:space="preserve">The patient </w:t>
      </w:r>
      <w:r w:rsidRPr="00ED4C18">
        <w:rPr>
          <w:rFonts w:cs="Arial"/>
          <w:b/>
          <w:sz w:val="20"/>
        </w:rPr>
        <w:t xml:space="preserve">must have received prior therapy </w:t>
      </w:r>
      <w:r w:rsidRPr="00ED4C18">
        <w:rPr>
          <w:rFonts w:cs="Arial"/>
          <w:sz w:val="20"/>
        </w:rPr>
        <w:t xml:space="preserve">with an interferon-based regimen, </w:t>
      </w:r>
    </w:p>
    <w:p w:rsidR="00E120E2" w:rsidRPr="00ED4C18" w:rsidRDefault="00E120E2" w:rsidP="00983C54">
      <w:pPr>
        <w:pStyle w:val="ListParagraph"/>
        <w:widowControl w:val="0"/>
        <w:numPr>
          <w:ilvl w:val="0"/>
          <w:numId w:val="17"/>
        </w:numPr>
        <w:jc w:val="both"/>
        <w:rPr>
          <w:rFonts w:cs="Arial"/>
          <w:sz w:val="20"/>
        </w:rPr>
      </w:pPr>
      <w:r w:rsidRPr="00ED4C18">
        <w:rPr>
          <w:rFonts w:cs="Arial"/>
          <w:sz w:val="20"/>
        </w:rPr>
        <w:t>For patients infected with HCV genotype 2:</w:t>
      </w:r>
    </w:p>
    <w:p w:rsidR="00E120E2" w:rsidRPr="00ED4C18" w:rsidRDefault="00E120E2" w:rsidP="00983C54">
      <w:pPr>
        <w:pStyle w:val="ListParagraph"/>
        <w:widowControl w:val="0"/>
        <w:numPr>
          <w:ilvl w:val="1"/>
          <w:numId w:val="17"/>
        </w:numPr>
        <w:jc w:val="both"/>
        <w:rPr>
          <w:rFonts w:cs="Arial"/>
          <w:sz w:val="20"/>
        </w:rPr>
      </w:pPr>
      <w:r w:rsidRPr="00ED4C18">
        <w:rPr>
          <w:rFonts w:cs="Arial"/>
          <w:sz w:val="20"/>
        </w:rPr>
        <w:t>The treatment must be in combination with ribavirin,</w:t>
      </w:r>
    </w:p>
    <w:p w:rsidR="00E120E2" w:rsidRPr="00ED4C18" w:rsidRDefault="00E120E2" w:rsidP="00983C54">
      <w:pPr>
        <w:pStyle w:val="ListParagraph"/>
        <w:widowControl w:val="0"/>
        <w:numPr>
          <w:ilvl w:val="1"/>
          <w:numId w:val="17"/>
        </w:numPr>
        <w:jc w:val="both"/>
        <w:rPr>
          <w:rFonts w:cs="Arial"/>
          <w:sz w:val="20"/>
        </w:rPr>
      </w:pPr>
      <w:r w:rsidRPr="00ED4C18">
        <w:rPr>
          <w:rFonts w:cs="Arial"/>
          <w:sz w:val="20"/>
        </w:rPr>
        <w:t>The treatment must be limited to a maximum duration of 12 weeks,</w:t>
      </w:r>
    </w:p>
    <w:p w:rsidR="00E120E2" w:rsidRPr="00ED4C18" w:rsidRDefault="00E120E2" w:rsidP="00983C54">
      <w:pPr>
        <w:pStyle w:val="ListParagraph"/>
        <w:widowControl w:val="0"/>
        <w:numPr>
          <w:ilvl w:val="0"/>
          <w:numId w:val="17"/>
        </w:numPr>
        <w:jc w:val="both"/>
        <w:rPr>
          <w:rFonts w:cs="Arial"/>
          <w:sz w:val="20"/>
        </w:rPr>
      </w:pPr>
      <w:r w:rsidRPr="00ED4C18">
        <w:rPr>
          <w:rFonts w:cs="Arial"/>
          <w:sz w:val="20"/>
        </w:rPr>
        <w:t>For patients infected with HCV genotype 3 who are eligible for treatment with interferon:</w:t>
      </w:r>
    </w:p>
    <w:p w:rsidR="00E120E2" w:rsidRPr="00ED4C18" w:rsidRDefault="00E120E2" w:rsidP="00983C54">
      <w:pPr>
        <w:pStyle w:val="ListParagraph"/>
        <w:widowControl w:val="0"/>
        <w:numPr>
          <w:ilvl w:val="1"/>
          <w:numId w:val="17"/>
        </w:numPr>
        <w:jc w:val="both"/>
        <w:rPr>
          <w:rFonts w:cs="Arial"/>
          <w:sz w:val="20"/>
        </w:rPr>
      </w:pPr>
      <w:r w:rsidRPr="00ED4C18">
        <w:rPr>
          <w:rFonts w:cs="Arial"/>
          <w:sz w:val="20"/>
        </w:rPr>
        <w:t xml:space="preserve">The treatment must be in combination with ribavirin and </w:t>
      </w:r>
      <w:proofErr w:type="spellStart"/>
      <w:r w:rsidRPr="00ED4C18">
        <w:rPr>
          <w:rFonts w:cs="Arial"/>
          <w:sz w:val="20"/>
        </w:rPr>
        <w:t>peginterferon</w:t>
      </w:r>
      <w:proofErr w:type="spellEnd"/>
      <w:r w:rsidRPr="00ED4C18">
        <w:rPr>
          <w:rFonts w:cs="Arial"/>
          <w:sz w:val="20"/>
        </w:rPr>
        <w:t>,</w:t>
      </w:r>
    </w:p>
    <w:p w:rsidR="00E120E2" w:rsidRPr="00ED4C18" w:rsidRDefault="00E120E2" w:rsidP="00983C54">
      <w:pPr>
        <w:pStyle w:val="ListParagraph"/>
        <w:widowControl w:val="0"/>
        <w:numPr>
          <w:ilvl w:val="1"/>
          <w:numId w:val="17"/>
        </w:numPr>
        <w:jc w:val="both"/>
        <w:rPr>
          <w:rFonts w:cs="Arial"/>
          <w:sz w:val="20"/>
        </w:rPr>
      </w:pPr>
      <w:r w:rsidRPr="00ED4C18">
        <w:rPr>
          <w:rFonts w:cs="Arial"/>
          <w:sz w:val="20"/>
        </w:rPr>
        <w:t xml:space="preserve">The treatment must be limited to a maximum duration of 12 weeks, </w:t>
      </w:r>
    </w:p>
    <w:p w:rsidR="00E120E2" w:rsidRPr="00ED4C18" w:rsidRDefault="00E120E2" w:rsidP="00983C54">
      <w:pPr>
        <w:pStyle w:val="ListParagraph"/>
        <w:widowControl w:val="0"/>
        <w:numPr>
          <w:ilvl w:val="0"/>
          <w:numId w:val="17"/>
        </w:numPr>
        <w:jc w:val="both"/>
        <w:rPr>
          <w:rFonts w:cs="Arial"/>
          <w:sz w:val="20"/>
        </w:rPr>
      </w:pPr>
      <w:r w:rsidRPr="00ED4C18">
        <w:rPr>
          <w:rFonts w:cs="Arial"/>
          <w:sz w:val="20"/>
        </w:rPr>
        <w:t>For patients infected with HCV genotype 3 who are unsuitable for treatment with interferon:</w:t>
      </w:r>
    </w:p>
    <w:p w:rsidR="00E120E2" w:rsidRPr="00ED4C18" w:rsidRDefault="00E120E2" w:rsidP="00983C54">
      <w:pPr>
        <w:pStyle w:val="ListParagraph"/>
        <w:widowControl w:val="0"/>
        <w:numPr>
          <w:ilvl w:val="1"/>
          <w:numId w:val="17"/>
        </w:numPr>
        <w:jc w:val="both"/>
        <w:rPr>
          <w:rFonts w:cs="Arial"/>
          <w:sz w:val="20"/>
        </w:rPr>
      </w:pPr>
      <w:r w:rsidRPr="00ED4C18">
        <w:rPr>
          <w:rFonts w:cs="Arial"/>
          <w:sz w:val="20"/>
        </w:rPr>
        <w:t>The treatment must be in combination with ribavirin;</w:t>
      </w:r>
    </w:p>
    <w:p w:rsidR="00E120E2" w:rsidRPr="00ED4C18" w:rsidRDefault="00E120E2" w:rsidP="00983C54">
      <w:pPr>
        <w:pStyle w:val="ListParagraph"/>
        <w:widowControl w:val="0"/>
        <w:numPr>
          <w:ilvl w:val="1"/>
          <w:numId w:val="17"/>
        </w:numPr>
        <w:jc w:val="both"/>
        <w:rPr>
          <w:rFonts w:cs="Arial"/>
          <w:sz w:val="20"/>
        </w:rPr>
      </w:pPr>
      <w:r w:rsidRPr="00ED4C18">
        <w:rPr>
          <w:rFonts w:cs="Arial"/>
          <w:sz w:val="20"/>
        </w:rPr>
        <w:t>The treatment must be limited to a maximum duration of 24 weeks</w:t>
      </w:r>
    </w:p>
    <w:p w:rsidR="00E120E2" w:rsidRPr="00ED4C18" w:rsidRDefault="00E120E2" w:rsidP="00E06107">
      <w:pPr>
        <w:ind w:firstLine="720"/>
        <w:rPr>
          <w:rFonts w:cs="Arial"/>
          <w:sz w:val="20"/>
        </w:rPr>
      </w:pPr>
      <w:r w:rsidRPr="00ED4C18">
        <w:rPr>
          <w:rFonts w:cs="Arial"/>
          <w:sz w:val="20"/>
        </w:rPr>
        <w:t>AND the Population criteria are:</w:t>
      </w:r>
    </w:p>
    <w:p w:rsidR="00E120E2" w:rsidRPr="00ED4C18" w:rsidRDefault="00E120E2" w:rsidP="00983C54">
      <w:pPr>
        <w:pStyle w:val="ListParagraph"/>
        <w:widowControl w:val="0"/>
        <w:numPr>
          <w:ilvl w:val="0"/>
          <w:numId w:val="17"/>
        </w:numPr>
        <w:jc w:val="both"/>
        <w:rPr>
          <w:rFonts w:cs="Arial"/>
          <w:sz w:val="20"/>
        </w:rPr>
      </w:pPr>
      <w:r w:rsidRPr="00ED4C18">
        <w:rPr>
          <w:rFonts w:cs="Arial"/>
          <w:sz w:val="20"/>
        </w:rPr>
        <w:t>Patient must be 18 years or older,</w:t>
      </w:r>
    </w:p>
    <w:p w:rsidR="00E120E2" w:rsidRPr="00ED4C18" w:rsidRDefault="00E120E2" w:rsidP="00983C54">
      <w:pPr>
        <w:pStyle w:val="ListParagraph"/>
        <w:widowControl w:val="0"/>
        <w:numPr>
          <w:ilvl w:val="0"/>
          <w:numId w:val="17"/>
        </w:numPr>
        <w:jc w:val="both"/>
        <w:rPr>
          <w:rFonts w:cs="Arial"/>
          <w:sz w:val="20"/>
        </w:rPr>
      </w:pPr>
      <w:r w:rsidRPr="00ED4C18">
        <w:rPr>
          <w:rFonts w:cs="Arial"/>
          <w:sz w:val="20"/>
        </w:rPr>
        <w:t xml:space="preserve">Patient must not be pregnant or breastfeeding. Female partners of male patients must not be pregnant. Patients and their partners must each be using an effective form of contraception if of child-bearing age. </w:t>
      </w:r>
    </w:p>
    <w:p w:rsidR="002B1AE6" w:rsidRPr="00ED4C18" w:rsidRDefault="00E120E2" w:rsidP="00E120E2">
      <w:pPr>
        <w:pStyle w:val="ListParagraph"/>
        <w:widowControl w:val="0"/>
        <w:numPr>
          <w:ilvl w:val="0"/>
          <w:numId w:val="17"/>
        </w:numPr>
        <w:jc w:val="both"/>
        <w:rPr>
          <w:rFonts w:cs="Arial"/>
          <w:sz w:val="20"/>
        </w:rPr>
      </w:pPr>
      <w:r w:rsidRPr="00ED4C18">
        <w:rPr>
          <w:rFonts w:cs="Arial"/>
          <w:sz w:val="20"/>
        </w:rPr>
        <w:t xml:space="preserve">Evidence of chronic genotype 2 or 3 hepatitis C infection (repeatedly anti-HCV positive and HCV RNA positive) must be documented in the patient's medical records. </w:t>
      </w:r>
    </w:p>
    <w:p w:rsidR="00E16910" w:rsidRPr="00ED4C18" w:rsidRDefault="00E16910" w:rsidP="00882085">
      <w:pPr>
        <w:pStyle w:val="ListParagraph"/>
        <w:jc w:val="both"/>
        <w:rPr>
          <w:szCs w:val="22"/>
        </w:rPr>
      </w:pPr>
    </w:p>
    <w:p w:rsidR="00FA6C51" w:rsidRPr="00ED4C18" w:rsidRDefault="0056128D" w:rsidP="00C31396">
      <w:pPr>
        <w:pStyle w:val="ListParagraph"/>
        <w:numPr>
          <w:ilvl w:val="1"/>
          <w:numId w:val="1"/>
        </w:numPr>
        <w:jc w:val="both"/>
        <w:rPr>
          <w:szCs w:val="22"/>
        </w:rPr>
      </w:pPr>
      <w:r w:rsidRPr="00ED4C18">
        <w:rPr>
          <w:szCs w:val="22"/>
        </w:rPr>
        <w:t>During the evaluation</w:t>
      </w:r>
      <w:r w:rsidR="00D73A55" w:rsidRPr="00ED4C18">
        <w:rPr>
          <w:szCs w:val="22"/>
        </w:rPr>
        <w:t xml:space="preserve"> and consideration</w:t>
      </w:r>
      <w:r w:rsidR="009C52CA" w:rsidRPr="00ED4C18">
        <w:rPr>
          <w:szCs w:val="22"/>
        </w:rPr>
        <w:t>s</w:t>
      </w:r>
      <w:r w:rsidR="00D73A55" w:rsidRPr="00ED4C18">
        <w:rPr>
          <w:szCs w:val="22"/>
        </w:rPr>
        <w:t xml:space="preserve"> of the ESC and DUSC, the following </w:t>
      </w:r>
      <w:r w:rsidR="009C52CA" w:rsidRPr="00ED4C18">
        <w:rPr>
          <w:szCs w:val="22"/>
        </w:rPr>
        <w:t xml:space="preserve">points </w:t>
      </w:r>
      <w:r w:rsidR="00D73A55" w:rsidRPr="00ED4C18">
        <w:rPr>
          <w:szCs w:val="22"/>
        </w:rPr>
        <w:t>were noted about the restriction</w:t>
      </w:r>
      <w:r w:rsidR="00C31396" w:rsidRPr="00ED4C18">
        <w:rPr>
          <w:szCs w:val="22"/>
        </w:rPr>
        <w:t>:</w:t>
      </w:r>
    </w:p>
    <w:p w:rsidR="00C31396" w:rsidRPr="00ED4C18" w:rsidRDefault="00C31396" w:rsidP="00081F9F">
      <w:pPr>
        <w:pStyle w:val="ListParagraph"/>
        <w:numPr>
          <w:ilvl w:val="0"/>
          <w:numId w:val="18"/>
        </w:numPr>
        <w:ind w:left="1134" w:hanging="425"/>
        <w:rPr>
          <w:szCs w:val="22"/>
        </w:rPr>
      </w:pPr>
      <w:r w:rsidRPr="00ED4C18">
        <w:rPr>
          <w:szCs w:val="22"/>
        </w:rPr>
        <w:t>For compliance with current electronic media requirements for listing, the Commentary proposed separate restrictions based on prior treatment, genotype and ability to have IFN treatment, and noted that certain wording of the restriction should align with other restrictions of PBS-listed treatments for HCV.</w:t>
      </w:r>
    </w:p>
    <w:p w:rsidR="002F10DE" w:rsidRPr="00ED4C18" w:rsidRDefault="002F10DE" w:rsidP="00081F9F">
      <w:pPr>
        <w:pStyle w:val="ListParagraph"/>
        <w:numPr>
          <w:ilvl w:val="0"/>
          <w:numId w:val="18"/>
        </w:numPr>
        <w:ind w:left="1134" w:hanging="425"/>
        <w:rPr>
          <w:szCs w:val="22"/>
        </w:rPr>
      </w:pPr>
      <w:r w:rsidRPr="00AC6730">
        <w:rPr>
          <w:szCs w:val="22"/>
        </w:rPr>
        <w:t xml:space="preserve">The ESC noted </w:t>
      </w:r>
      <w:r w:rsidR="00552924" w:rsidRPr="00AC6730">
        <w:rPr>
          <w:szCs w:val="22"/>
        </w:rPr>
        <w:t xml:space="preserve">in </w:t>
      </w:r>
      <w:r w:rsidRPr="00AC6730">
        <w:rPr>
          <w:szCs w:val="22"/>
        </w:rPr>
        <w:t xml:space="preserve">the </w:t>
      </w:r>
      <w:r w:rsidR="00891194" w:rsidRPr="00AC6730">
        <w:rPr>
          <w:szCs w:val="22"/>
        </w:rPr>
        <w:t>PSCR</w:t>
      </w:r>
      <w:r w:rsidRPr="00AC6730">
        <w:rPr>
          <w:szCs w:val="22"/>
        </w:rPr>
        <w:t xml:space="preserve"> that the Sponsor is open to discussion about the optimal </w:t>
      </w:r>
      <w:proofErr w:type="spellStart"/>
      <w:r w:rsidRPr="00AC6730">
        <w:rPr>
          <w:szCs w:val="22"/>
        </w:rPr>
        <w:t>sofosbuvir</w:t>
      </w:r>
      <w:proofErr w:type="spellEnd"/>
      <w:r w:rsidRPr="00AC6730">
        <w:rPr>
          <w:szCs w:val="22"/>
        </w:rPr>
        <w:t xml:space="preserve"> regimen for the management of genotype 3 </w:t>
      </w:r>
      <w:r w:rsidR="00891194" w:rsidRPr="00AC6730">
        <w:rPr>
          <w:szCs w:val="22"/>
        </w:rPr>
        <w:t>diseases</w:t>
      </w:r>
      <w:r w:rsidRPr="00AC6730">
        <w:rPr>
          <w:szCs w:val="22"/>
        </w:rPr>
        <w:t xml:space="preserve"> and consideration of excluding genotype 1 </w:t>
      </w:r>
      <w:r w:rsidR="0056128D" w:rsidRPr="00AC6730">
        <w:rPr>
          <w:szCs w:val="22"/>
        </w:rPr>
        <w:t>treatment naïve</w:t>
      </w:r>
      <w:r w:rsidRPr="00AC6730">
        <w:rPr>
          <w:szCs w:val="22"/>
        </w:rPr>
        <w:t xml:space="preserve"> IFN unsuitable patients if</w:t>
      </w:r>
      <w:r w:rsidR="00AC6730" w:rsidRPr="00AC6730">
        <w:rPr>
          <w:szCs w:val="22"/>
        </w:rPr>
        <w:t xml:space="preserve"> necessary</w:t>
      </w:r>
      <w:r w:rsidR="00AC6730" w:rsidRPr="00ED4C18">
        <w:rPr>
          <w:szCs w:val="22"/>
        </w:rPr>
        <w:t>.</w:t>
      </w:r>
    </w:p>
    <w:p w:rsidR="00D73A55" w:rsidRPr="00ED4C18" w:rsidRDefault="009C52CA" w:rsidP="00081F9F">
      <w:pPr>
        <w:pStyle w:val="ListParagraph"/>
        <w:numPr>
          <w:ilvl w:val="0"/>
          <w:numId w:val="18"/>
        </w:numPr>
        <w:ind w:left="1134" w:hanging="425"/>
        <w:jc w:val="both"/>
        <w:rPr>
          <w:szCs w:val="22"/>
        </w:rPr>
      </w:pPr>
      <w:r w:rsidRPr="00ED4C18">
        <w:rPr>
          <w:szCs w:val="22"/>
        </w:rPr>
        <w:t xml:space="preserve">Specifying 5 </w:t>
      </w:r>
      <w:r w:rsidR="00D73A55" w:rsidRPr="00ED4C18">
        <w:rPr>
          <w:szCs w:val="22"/>
        </w:rPr>
        <w:t xml:space="preserve">repeats was not appropriate for those </w:t>
      </w:r>
      <w:r w:rsidRPr="00ED4C18">
        <w:rPr>
          <w:szCs w:val="22"/>
        </w:rPr>
        <w:t xml:space="preserve">patients </w:t>
      </w:r>
      <w:r w:rsidR="00D73A55" w:rsidRPr="00ED4C18">
        <w:rPr>
          <w:szCs w:val="22"/>
        </w:rPr>
        <w:t>requiring only 12 weeks therapy.</w:t>
      </w:r>
      <w:r w:rsidR="00FA6C51" w:rsidRPr="00ED4C18">
        <w:rPr>
          <w:szCs w:val="22"/>
        </w:rPr>
        <w:t xml:space="preserve"> </w:t>
      </w:r>
    </w:p>
    <w:p w:rsidR="00FA6C51" w:rsidRPr="00ED4C18" w:rsidRDefault="00FA6C51" w:rsidP="00081F9F">
      <w:pPr>
        <w:pStyle w:val="ListParagraph"/>
        <w:numPr>
          <w:ilvl w:val="0"/>
          <w:numId w:val="18"/>
        </w:numPr>
        <w:ind w:left="1134" w:hanging="425"/>
        <w:jc w:val="both"/>
        <w:rPr>
          <w:szCs w:val="22"/>
        </w:rPr>
      </w:pPr>
      <w:r w:rsidRPr="00AC6730">
        <w:rPr>
          <w:szCs w:val="22"/>
        </w:rPr>
        <w:t xml:space="preserve">The PSCR stated that the sponsor would accept making the restriction explicit to exclude </w:t>
      </w:r>
      <w:r w:rsidR="00371564" w:rsidRPr="00AC6730">
        <w:rPr>
          <w:szCs w:val="22"/>
        </w:rPr>
        <w:t xml:space="preserve">a </w:t>
      </w:r>
      <w:r w:rsidRPr="00AC6730">
        <w:rPr>
          <w:szCs w:val="22"/>
        </w:rPr>
        <w:t xml:space="preserve">second </w:t>
      </w:r>
      <w:r w:rsidR="00371564" w:rsidRPr="00AC6730">
        <w:rPr>
          <w:szCs w:val="22"/>
        </w:rPr>
        <w:t xml:space="preserve">course of </w:t>
      </w:r>
      <w:r w:rsidRPr="00AC6730">
        <w:rPr>
          <w:szCs w:val="22"/>
        </w:rPr>
        <w:t>treatment of SOF for genotype 3 diseas</w:t>
      </w:r>
      <w:r w:rsidR="00AC6730" w:rsidRPr="00AC6730">
        <w:rPr>
          <w:szCs w:val="22"/>
        </w:rPr>
        <w:t>e</w:t>
      </w:r>
      <w:r w:rsidR="00AC6730" w:rsidRPr="00ED4C18">
        <w:rPr>
          <w:szCs w:val="22"/>
        </w:rPr>
        <w:t>.</w:t>
      </w:r>
    </w:p>
    <w:p w:rsidR="009C52CA" w:rsidRPr="00ED4C18" w:rsidRDefault="00FA6C51" w:rsidP="00407F40">
      <w:pPr>
        <w:pStyle w:val="ListParagraph"/>
        <w:numPr>
          <w:ilvl w:val="0"/>
          <w:numId w:val="18"/>
        </w:numPr>
        <w:ind w:left="1134" w:hanging="425"/>
        <w:jc w:val="both"/>
        <w:rPr>
          <w:szCs w:val="22"/>
        </w:rPr>
      </w:pPr>
      <w:r w:rsidRPr="00ED4C18">
        <w:rPr>
          <w:szCs w:val="22"/>
        </w:rPr>
        <w:t>The ESC considered that, if the proposed treatment population was based on the progression of liver disease /cirrhosis, a fibrotic score measure may b</w:t>
      </w:r>
      <w:r w:rsidR="00C07C20" w:rsidRPr="00ED4C18">
        <w:rPr>
          <w:szCs w:val="22"/>
        </w:rPr>
        <w:t xml:space="preserve">e required in the restriction. </w:t>
      </w:r>
      <w:r w:rsidR="006F7089" w:rsidRPr="00AC6730">
        <w:rPr>
          <w:szCs w:val="22"/>
        </w:rPr>
        <w:t xml:space="preserve">In the pre-PBAC response, the Sponsor </w:t>
      </w:r>
      <w:r w:rsidR="00891194" w:rsidRPr="00AC6730">
        <w:rPr>
          <w:szCs w:val="22"/>
        </w:rPr>
        <w:t>was</w:t>
      </w:r>
      <w:r w:rsidR="006F7089" w:rsidRPr="00AC6730">
        <w:rPr>
          <w:szCs w:val="22"/>
        </w:rPr>
        <w:t xml:space="preserve"> strongly opposed</w:t>
      </w:r>
      <w:r w:rsidR="00891194" w:rsidRPr="00AC6730">
        <w:rPr>
          <w:szCs w:val="22"/>
        </w:rPr>
        <w:t>, stating that: ‘</w:t>
      </w:r>
      <w:r w:rsidR="006F7089" w:rsidRPr="00AC6730">
        <w:rPr>
          <w:szCs w:val="22"/>
        </w:rPr>
        <w:t xml:space="preserve">The presented evidence supports high cure rates for all patients, regardless of fibrosis stage. In addition, the practical limitations of the </w:t>
      </w:r>
      <w:proofErr w:type="spellStart"/>
      <w:r w:rsidR="006F7089" w:rsidRPr="00AC6730">
        <w:rPr>
          <w:szCs w:val="22"/>
        </w:rPr>
        <w:t>FibroScan</w:t>
      </w:r>
      <w:proofErr w:type="spellEnd"/>
      <w:r w:rsidR="006F7089" w:rsidRPr="00AC6730">
        <w:rPr>
          <w:szCs w:val="22"/>
        </w:rPr>
        <w:t xml:space="preserve"> fibrosis staging method to reliably distinguish contiguous fibrosis stages in patients with moderately severe disease mean the introduction of this element to the PBS restriction would be problematic. Finally, the </w:t>
      </w:r>
      <w:proofErr w:type="spellStart"/>
      <w:r w:rsidR="006F7089" w:rsidRPr="00AC6730">
        <w:rPr>
          <w:szCs w:val="22"/>
        </w:rPr>
        <w:t>FibroScan</w:t>
      </w:r>
      <w:proofErr w:type="spellEnd"/>
      <w:r w:rsidR="006F7089" w:rsidRPr="00AC6730">
        <w:rPr>
          <w:szCs w:val="22"/>
        </w:rPr>
        <w:t xml:space="preserve"> technology is neither widely available nor publicly funded, and clinicians are broadly opposed</w:t>
      </w:r>
      <w:r w:rsidR="006F7089" w:rsidRPr="00ED4C18">
        <w:rPr>
          <w:szCs w:val="22"/>
        </w:rPr>
        <w:t xml:space="preserve"> </w:t>
      </w:r>
      <w:r w:rsidR="006F7089" w:rsidRPr="00AC6730">
        <w:rPr>
          <w:szCs w:val="22"/>
        </w:rPr>
        <w:t>to the introduction of this eligibility criterion, as reported at the HCV stakeholder meetings (25.2.2014 and 4.5.2012)</w:t>
      </w:r>
      <w:r w:rsidR="00891194" w:rsidRPr="00AC6730">
        <w:rPr>
          <w:szCs w:val="22"/>
        </w:rPr>
        <w:t>’</w:t>
      </w:r>
      <w:r w:rsidR="00AC6730" w:rsidRPr="00AC6730">
        <w:rPr>
          <w:szCs w:val="22"/>
        </w:rPr>
        <w:t>.</w:t>
      </w:r>
      <w:r w:rsidR="006F7089" w:rsidRPr="00ED4C18">
        <w:rPr>
          <w:szCs w:val="22"/>
        </w:rPr>
        <w:t xml:space="preserve"> </w:t>
      </w:r>
    </w:p>
    <w:p w:rsidR="00FA6C51" w:rsidRPr="00ED4C18" w:rsidRDefault="004948F4" w:rsidP="00081F9F">
      <w:pPr>
        <w:pStyle w:val="ListParagraph"/>
        <w:numPr>
          <w:ilvl w:val="0"/>
          <w:numId w:val="18"/>
        </w:numPr>
        <w:ind w:left="1134" w:hanging="425"/>
        <w:jc w:val="both"/>
        <w:rPr>
          <w:szCs w:val="22"/>
        </w:rPr>
      </w:pPr>
      <w:r w:rsidRPr="00ED4C18">
        <w:rPr>
          <w:szCs w:val="22"/>
        </w:rPr>
        <w:lastRenderedPageBreak/>
        <w:t xml:space="preserve">The proposed listing for Genotype 1 and Genotype 3 patients states that patients who are unsuitable for a 12 week regimen including interferon would be eligible for a 24 week interferon-free regimen of </w:t>
      </w:r>
      <w:proofErr w:type="spellStart"/>
      <w:r w:rsidRPr="00ED4C18">
        <w:rPr>
          <w:szCs w:val="22"/>
        </w:rPr>
        <w:t>sofosbuvir</w:t>
      </w:r>
      <w:proofErr w:type="spellEnd"/>
      <w:r w:rsidRPr="00ED4C18">
        <w:rPr>
          <w:szCs w:val="22"/>
        </w:rPr>
        <w:t xml:space="preserve">.  The submission has not defined ‘unsuitable’, </w:t>
      </w:r>
      <w:r w:rsidR="00FA6C51" w:rsidRPr="00ED4C18">
        <w:rPr>
          <w:szCs w:val="22"/>
        </w:rPr>
        <w:t xml:space="preserve">The ESC noted that the PSCR proposed the eligibility criteria in the protocol of the POSITRON trial </w:t>
      </w:r>
      <w:r w:rsidR="00552924" w:rsidRPr="00ED4C18">
        <w:rPr>
          <w:szCs w:val="22"/>
        </w:rPr>
        <w:t xml:space="preserve">be used </w:t>
      </w:r>
      <w:r w:rsidR="00FA6C51" w:rsidRPr="00ED4C18">
        <w:rPr>
          <w:szCs w:val="22"/>
        </w:rPr>
        <w:t>as a starting point for the definition “unsuitable</w:t>
      </w:r>
      <w:r w:rsidR="0041564E" w:rsidRPr="00ED4C18">
        <w:rPr>
          <w:szCs w:val="22"/>
        </w:rPr>
        <w:t xml:space="preserve"> for interferon</w:t>
      </w:r>
      <w:r w:rsidR="00FA6C51" w:rsidRPr="00ED4C18">
        <w:rPr>
          <w:szCs w:val="22"/>
        </w:rPr>
        <w:t xml:space="preserve">”. The ESC considered that </w:t>
      </w:r>
      <w:r w:rsidR="00552924" w:rsidRPr="00ED4C18">
        <w:rPr>
          <w:szCs w:val="22"/>
        </w:rPr>
        <w:t xml:space="preserve">the </w:t>
      </w:r>
      <w:r w:rsidR="00FA6C51" w:rsidRPr="00ED4C18">
        <w:rPr>
          <w:szCs w:val="22"/>
        </w:rPr>
        <w:t xml:space="preserve">criteria presented in the PSCR </w:t>
      </w:r>
      <w:r w:rsidR="00552924" w:rsidRPr="00ED4C18">
        <w:rPr>
          <w:szCs w:val="22"/>
        </w:rPr>
        <w:t xml:space="preserve">were </w:t>
      </w:r>
      <w:r w:rsidR="00FA6C51" w:rsidRPr="00ED4C18">
        <w:rPr>
          <w:szCs w:val="22"/>
        </w:rPr>
        <w:t xml:space="preserve">comprehensive, but may be difficult to implement in the restriction. </w:t>
      </w:r>
      <w:r w:rsidR="002F10DE" w:rsidRPr="00ED4C18">
        <w:rPr>
          <w:szCs w:val="22"/>
        </w:rPr>
        <w:t xml:space="preserve">The DUSC considered that ‘unsuitable for interferon’ would be broadly interpreted in practice </w:t>
      </w:r>
      <w:r w:rsidR="00552924" w:rsidRPr="00ED4C18">
        <w:rPr>
          <w:szCs w:val="22"/>
        </w:rPr>
        <w:t xml:space="preserve">and that </w:t>
      </w:r>
      <w:r w:rsidR="002F10DE" w:rsidRPr="00ED4C18">
        <w:rPr>
          <w:szCs w:val="22"/>
        </w:rPr>
        <w:t xml:space="preserve">given patient aversion to interferon, there was a high likelihood of use beyond the requested restriction.  </w:t>
      </w:r>
      <w:r w:rsidR="00D63C5A" w:rsidRPr="00ED4C18">
        <w:rPr>
          <w:szCs w:val="22"/>
        </w:rPr>
        <w:t>The commentary noted that a key trial of patients who were unsuitable for IFN (POSITRON) included patients who were unwilling to receive IFN, but who were not necessarily contraindicated or intolerant to IFN</w:t>
      </w:r>
      <w:r w:rsidR="00552924" w:rsidRPr="00ED4C18">
        <w:rPr>
          <w:szCs w:val="22"/>
        </w:rPr>
        <w:t>.</w:t>
      </w:r>
      <w:r w:rsidR="00D63C5A" w:rsidRPr="00ED4C18">
        <w:rPr>
          <w:szCs w:val="22"/>
        </w:rPr>
        <w:t xml:space="preserve"> In the pre-PBAC response, </w:t>
      </w:r>
      <w:r w:rsidR="00D63C5A" w:rsidRPr="00AC6730">
        <w:t xml:space="preserve">the Sponsor </w:t>
      </w:r>
      <w:r w:rsidR="009C52CA" w:rsidRPr="00AC6730">
        <w:t>stated that it was</w:t>
      </w:r>
      <w:r w:rsidR="00D63C5A" w:rsidRPr="00AC6730">
        <w:t xml:space="preserve"> agreeable to </w:t>
      </w:r>
      <w:r w:rsidR="00C53CDA" w:rsidRPr="00AC6730">
        <w:t xml:space="preserve">specifically </w:t>
      </w:r>
      <w:r w:rsidR="00D63C5A" w:rsidRPr="00AC6730">
        <w:t xml:space="preserve">excluding </w:t>
      </w:r>
      <w:r w:rsidR="009C52CA" w:rsidRPr="00AC6730">
        <w:t>‘</w:t>
      </w:r>
      <w:r w:rsidR="00D63C5A" w:rsidRPr="00AC6730">
        <w:t>unwilling</w:t>
      </w:r>
      <w:r w:rsidR="009C52CA" w:rsidRPr="00AC6730">
        <w:t>’</w:t>
      </w:r>
      <w:r w:rsidR="00D63C5A" w:rsidRPr="00AC6730">
        <w:t xml:space="preserve"> from the definition of “unsuitable for IFN”</w:t>
      </w:r>
      <w:r w:rsidR="009C52CA" w:rsidRPr="00ED4C18">
        <w:t>.</w:t>
      </w:r>
      <w:r w:rsidR="00AC6730" w:rsidRPr="00AC6730">
        <w:t xml:space="preserve"> </w:t>
      </w:r>
      <w:r w:rsidR="00AC6730" w:rsidRPr="00ED4C18">
        <w:t>The</w:t>
      </w:r>
      <w:r w:rsidR="009C52CA" w:rsidRPr="00ED4C18">
        <w:t xml:space="preserve"> Sponsor </w:t>
      </w:r>
      <w:r w:rsidR="00C53CDA" w:rsidRPr="00ED4C18">
        <w:t xml:space="preserve">proposed </w:t>
      </w:r>
      <w:r w:rsidR="00D63C5A" w:rsidRPr="00ED4C18">
        <w:t xml:space="preserve">that </w:t>
      </w:r>
      <w:r w:rsidR="00C53CDA" w:rsidRPr="00ED4C18">
        <w:t>the definition of “unsuitable for IFN” in the</w:t>
      </w:r>
      <w:r w:rsidR="00C53CDA" w:rsidRPr="00ED4C18" w:rsidDel="00C53CDA">
        <w:t xml:space="preserve"> </w:t>
      </w:r>
      <w:r w:rsidR="00D63C5A" w:rsidRPr="00ED4C18">
        <w:t xml:space="preserve">restriction </w:t>
      </w:r>
      <w:r w:rsidR="00C53CDA" w:rsidRPr="00ED4C18">
        <w:t xml:space="preserve">should be </w:t>
      </w:r>
      <w:r w:rsidR="00D63C5A" w:rsidRPr="00ED4C18">
        <w:t>based on clinical parameters that cannot be broadly interpreted in practice is appropriate.</w:t>
      </w:r>
      <w:r w:rsidR="00D63C5A" w:rsidRPr="00ED4C18">
        <w:rPr>
          <w:szCs w:val="22"/>
        </w:rPr>
        <w:t xml:space="preserve"> </w:t>
      </w:r>
    </w:p>
    <w:p w:rsidR="00C07C20" w:rsidRPr="00ED4C18" w:rsidRDefault="004948F4" w:rsidP="00081F9F">
      <w:pPr>
        <w:pStyle w:val="ListParagraph"/>
        <w:numPr>
          <w:ilvl w:val="0"/>
          <w:numId w:val="18"/>
        </w:numPr>
        <w:ind w:left="1134" w:hanging="425"/>
      </w:pPr>
      <w:r w:rsidRPr="00ED4C18">
        <w:t>Ribavirin is not currently listed as a separate product on the PBS, but co-packaged w</w:t>
      </w:r>
      <w:r w:rsidR="00A938DF" w:rsidRPr="00ED4C18">
        <w:t xml:space="preserve">ith </w:t>
      </w:r>
      <w:proofErr w:type="spellStart"/>
      <w:r w:rsidR="00A938DF" w:rsidRPr="00ED4C18">
        <w:t>peginterferon</w:t>
      </w:r>
      <w:proofErr w:type="spellEnd"/>
      <w:r w:rsidR="00A938DF" w:rsidRPr="00ED4C18">
        <w:t>. The PSCR</w:t>
      </w:r>
      <w:r w:rsidRPr="00ED4C18">
        <w:t xml:space="preserve"> indicates that single agent ribavirin may be accessible under Special Access Scheme (of the TGA, where </w:t>
      </w:r>
      <w:r w:rsidR="009C52CA" w:rsidRPr="00ED4C18">
        <w:t xml:space="preserve">prescribers can </w:t>
      </w:r>
      <w:r w:rsidRPr="00ED4C18">
        <w:t xml:space="preserve">apply for supply of the product on a case by case basis). </w:t>
      </w:r>
      <w:r w:rsidRPr="00ED4C18" w:rsidDel="00EE1669">
        <w:t xml:space="preserve"> </w:t>
      </w:r>
      <w:r w:rsidRPr="00ED4C18">
        <w:t xml:space="preserve"> </w:t>
      </w:r>
    </w:p>
    <w:p w:rsidR="004948F4" w:rsidRPr="00ED4C18" w:rsidRDefault="004948F4" w:rsidP="00081F9F">
      <w:pPr>
        <w:pStyle w:val="ListParagraph"/>
        <w:numPr>
          <w:ilvl w:val="0"/>
          <w:numId w:val="18"/>
        </w:numPr>
        <w:ind w:left="1134" w:hanging="425"/>
      </w:pPr>
      <w:r w:rsidRPr="00ED4C18">
        <w:t xml:space="preserve">The current PBS listings of </w:t>
      </w:r>
      <w:proofErr w:type="spellStart"/>
      <w:r w:rsidRPr="00ED4C18">
        <w:t>telaprevir</w:t>
      </w:r>
      <w:proofErr w:type="spellEnd"/>
      <w:r w:rsidRPr="00ED4C18">
        <w:t xml:space="preserve"> and </w:t>
      </w:r>
      <w:proofErr w:type="spellStart"/>
      <w:r w:rsidRPr="00ED4C18">
        <w:t>boceprevir</w:t>
      </w:r>
      <w:proofErr w:type="spellEnd"/>
      <w:r w:rsidRPr="00ED4C18">
        <w:t xml:space="preserve"> do not exclude their use following failure with </w:t>
      </w:r>
      <w:proofErr w:type="spellStart"/>
      <w:r w:rsidRPr="00ED4C18">
        <w:t>sofosbuvir</w:t>
      </w:r>
      <w:proofErr w:type="spellEnd"/>
      <w:r w:rsidRPr="00ED4C18">
        <w:t xml:space="preserve">. </w:t>
      </w:r>
    </w:p>
    <w:p w:rsidR="002F10DE" w:rsidRPr="00ED4C18" w:rsidRDefault="002F10DE" w:rsidP="00A938DF">
      <w:pPr>
        <w:pStyle w:val="ListParagraph"/>
        <w:numPr>
          <w:ilvl w:val="0"/>
          <w:numId w:val="18"/>
        </w:numPr>
        <w:ind w:left="1134" w:hanging="425"/>
        <w:jc w:val="both"/>
        <w:rPr>
          <w:szCs w:val="22"/>
        </w:rPr>
      </w:pPr>
      <w:r w:rsidRPr="00ED4C18">
        <w:rPr>
          <w:szCs w:val="22"/>
        </w:rPr>
        <w:t>The ESC considered that the wording of the PBS listing is dependent on</w:t>
      </w:r>
      <w:r w:rsidR="00A938DF" w:rsidRPr="00ED4C18">
        <w:rPr>
          <w:szCs w:val="22"/>
        </w:rPr>
        <w:t xml:space="preserve"> the </w:t>
      </w:r>
      <w:r w:rsidR="009C52CA" w:rsidRPr="00ED4C18">
        <w:rPr>
          <w:szCs w:val="22"/>
        </w:rPr>
        <w:t xml:space="preserve">final </w:t>
      </w:r>
      <w:r w:rsidRPr="00ED4C18">
        <w:rPr>
          <w:szCs w:val="22"/>
        </w:rPr>
        <w:t>registered product information (PI)</w:t>
      </w:r>
      <w:r w:rsidR="006F7089" w:rsidRPr="00ED4C18">
        <w:rPr>
          <w:szCs w:val="22"/>
        </w:rPr>
        <w:t xml:space="preserve">. As </w:t>
      </w:r>
      <w:proofErr w:type="spellStart"/>
      <w:r w:rsidR="006F7089" w:rsidRPr="00ED4C18">
        <w:rPr>
          <w:szCs w:val="22"/>
        </w:rPr>
        <w:t>sofosbuvir</w:t>
      </w:r>
      <w:proofErr w:type="spellEnd"/>
      <w:r w:rsidR="006F7089" w:rsidRPr="00ED4C18">
        <w:rPr>
          <w:szCs w:val="22"/>
        </w:rPr>
        <w:t xml:space="preserve"> </w:t>
      </w:r>
      <w:r w:rsidR="009C52CA" w:rsidRPr="00ED4C18">
        <w:rPr>
          <w:szCs w:val="22"/>
        </w:rPr>
        <w:t xml:space="preserve">was evaluated </w:t>
      </w:r>
      <w:r w:rsidR="006F7089" w:rsidRPr="00ED4C18">
        <w:rPr>
          <w:szCs w:val="22"/>
        </w:rPr>
        <w:t xml:space="preserve">via the parallel process with the TGA, an updated PI was not provided during the consideration of the submission by the PBAC. </w:t>
      </w:r>
    </w:p>
    <w:p w:rsidR="002F10DE" w:rsidRPr="00EC29E3" w:rsidRDefault="002F10DE" w:rsidP="00081F9F">
      <w:pPr>
        <w:pStyle w:val="ListParagraph"/>
        <w:widowControl w:val="0"/>
        <w:numPr>
          <w:ilvl w:val="0"/>
          <w:numId w:val="18"/>
        </w:numPr>
        <w:ind w:left="1134" w:right="255" w:hanging="425"/>
        <w:jc w:val="both"/>
      </w:pPr>
      <w:r w:rsidRPr="00EC29E3">
        <w:t xml:space="preserve">The proposed PBS listing is inconsistent with the draft </w:t>
      </w:r>
      <w:r w:rsidR="006F7089" w:rsidRPr="00EC29E3">
        <w:t>PI</w:t>
      </w:r>
      <w:r w:rsidRPr="00EC29E3">
        <w:t xml:space="preserve"> provided with submission, including</w:t>
      </w:r>
      <w:r w:rsidR="000F2DC6" w:rsidRPr="00EC29E3">
        <w:t>:</w:t>
      </w:r>
    </w:p>
    <w:p w:rsidR="002F10DE" w:rsidRPr="00EC29E3" w:rsidRDefault="00370338" w:rsidP="00081F9F">
      <w:pPr>
        <w:pStyle w:val="ListParagraph"/>
        <w:widowControl w:val="0"/>
        <w:numPr>
          <w:ilvl w:val="2"/>
          <w:numId w:val="18"/>
        </w:numPr>
        <w:ind w:right="255"/>
        <w:jc w:val="both"/>
      </w:pPr>
      <w:r w:rsidRPr="00EC29E3">
        <w:t>T</w:t>
      </w:r>
      <w:r w:rsidR="002F10DE" w:rsidRPr="00EC29E3">
        <w:t xml:space="preserve">he draft PI </w:t>
      </w:r>
      <w:r w:rsidR="00C26896">
        <w:rPr>
          <w:noProof/>
          <w:color w:val="000000"/>
          <w:highlight w:val="black"/>
        </w:rPr>
        <w:t>''''''''''' ''''''''''''''''''''''''''''''' '''''''''''''''''''''''''''''''''''' ''''''''''''''''''''''''' '''''' ''''''''''''''''' '''''''''' ''''''''''''''''''''' ''' ''''''''''''''''''' ''''' ''''''''''' '''''''''''''''</w:t>
      </w:r>
      <w:r w:rsidR="002F10DE" w:rsidRPr="00EC29E3">
        <w:t xml:space="preserve"> where the proposed listing includes interferon-based regimen</w:t>
      </w:r>
      <w:r w:rsidR="000F2DC6" w:rsidRPr="00EC29E3">
        <w:t>s</w:t>
      </w:r>
      <w:r w:rsidR="002F10DE" w:rsidRPr="00EC29E3">
        <w:t xml:space="preserve">. </w:t>
      </w:r>
    </w:p>
    <w:p w:rsidR="002F10DE" w:rsidRPr="00EC29E3" w:rsidRDefault="00370338" w:rsidP="00081F9F">
      <w:pPr>
        <w:pStyle w:val="ListParagraph"/>
        <w:widowControl w:val="0"/>
        <w:numPr>
          <w:ilvl w:val="2"/>
          <w:numId w:val="18"/>
        </w:numPr>
        <w:ind w:right="255"/>
        <w:jc w:val="both"/>
      </w:pPr>
      <w:r w:rsidRPr="00EC29E3">
        <w:t>T</w:t>
      </w:r>
      <w:r w:rsidR="002F10DE" w:rsidRPr="00EC29E3">
        <w:t xml:space="preserve">he treatment duration recommended in the draft PI for interferon-free treatment of patients with genotype 3 HCV is </w:t>
      </w:r>
      <w:r w:rsidR="00C26896">
        <w:rPr>
          <w:noProof/>
          <w:color w:val="000000"/>
          <w:highlight w:val="black"/>
        </w:rPr>
        <w:t>'''''' '''''''''''''''</w:t>
      </w:r>
      <w:r w:rsidR="002F10DE" w:rsidRPr="00EC29E3">
        <w:t xml:space="preserve">, while the PBS listing proposes 12 or 24 weeks, depending on treatment regimens.  </w:t>
      </w:r>
    </w:p>
    <w:p w:rsidR="00D73A55" w:rsidRPr="00EC29E3" w:rsidRDefault="002F10DE" w:rsidP="00081F9F">
      <w:pPr>
        <w:pStyle w:val="ListParagraph"/>
        <w:numPr>
          <w:ilvl w:val="2"/>
          <w:numId w:val="18"/>
        </w:numPr>
        <w:rPr>
          <w:szCs w:val="22"/>
        </w:rPr>
      </w:pPr>
      <w:r w:rsidRPr="00EC29E3">
        <w:rPr>
          <w:szCs w:val="22"/>
        </w:rPr>
        <w:t xml:space="preserve">The draft PI </w:t>
      </w:r>
      <w:r w:rsidR="00C26896">
        <w:rPr>
          <w:noProof/>
          <w:color w:val="000000"/>
          <w:szCs w:val="22"/>
          <w:highlight w:val="black"/>
        </w:rPr>
        <w:t>'''''''''''' '''''''' '''''''''''''''''''''''''''''' ''''''''''''''''''''''' ''''''''''' ''''''''''''''''''''''' '''''''''' ''''''''' ''''''''''''''''' ''''''' ''''''''''''''''''''' '''''''''' ''''''''''''''''''''''' '''' '''''''''''</w:t>
      </w:r>
      <w:r w:rsidR="00EC29E3" w:rsidRPr="00EC29E3">
        <w:rPr>
          <w:rStyle w:val="CommentReference"/>
        </w:rPr>
        <w:t xml:space="preserve"> </w:t>
      </w:r>
      <w:r w:rsidRPr="00EC29E3">
        <w:rPr>
          <w:szCs w:val="22"/>
        </w:rPr>
        <w:t xml:space="preserve">. </w:t>
      </w:r>
    </w:p>
    <w:p w:rsidR="00E120E2" w:rsidRPr="00ED4C18" w:rsidRDefault="00E120E2" w:rsidP="00E120E2">
      <w:pPr>
        <w:jc w:val="both"/>
        <w:rPr>
          <w:szCs w:val="22"/>
        </w:rPr>
      </w:pPr>
    </w:p>
    <w:p w:rsidR="00196307" w:rsidRPr="00ED4C18" w:rsidRDefault="00E120E2" w:rsidP="00983C54">
      <w:pPr>
        <w:pStyle w:val="ListParagraph"/>
        <w:numPr>
          <w:ilvl w:val="1"/>
          <w:numId w:val="1"/>
        </w:numPr>
        <w:jc w:val="both"/>
        <w:rPr>
          <w:szCs w:val="22"/>
        </w:rPr>
      </w:pPr>
      <w:r w:rsidRPr="00ED4C18">
        <w:rPr>
          <w:szCs w:val="22"/>
        </w:rPr>
        <w:t xml:space="preserve">Listing was sought on a cost effectiveness basis of </w:t>
      </w:r>
      <w:proofErr w:type="spellStart"/>
      <w:r w:rsidRPr="00ED4C18">
        <w:rPr>
          <w:szCs w:val="22"/>
        </w:rPr>
        <w:t>sofosbuvir</w:t>
      </w:r>
      <w:proofErr w:type="spellEnd"/>
      <w:r w:rsidRPr="00ED4C18">
        <w:rPr>
          <w:szCs w:val="22"/>
        </w:rPr>
        <w:t xml:space="preserve"> compared to the comparator appropriate for the HCV Genotype and the patient receiving prior treatment or not and their suitability for treatment with </w:t>
      </w:r>
      <w:proofErr w:type="spellStart"/>
      <w:r w:rsidRPr="00ED4C18">
        <w:rPr>
          <w:szCs w:val="22"/>
        </w:rPr>
        <w:t>peginterferon</w:t>
      </w:r>
      <w:proofErr w:type="spellEnd"/>
      <w:r w:rsidRPr="00ED4C18">
        <w:rPr>
          <w:szCs w:val="22"/>
        </w:rPr>
        <w:t xml:space="preserve"> (PEG)</w:t>
      </w:r>
      <w:r w:rsidR="002B1AE6" w:rsidRPr="00ED4C18">
        <w:rPr>
          <w:szCs w:val="22"/>
        </w:rPr>
        <w:t>.</w:t>
      </w:r>
    </w:p>
    <w:p w:rsidR="00614159" w:rsidRPr="00ED4C18" w:rsidRDefault="00614159" w:rsidP="00882085">
      <w:pPr>
        <w:jc w:val="both"/>
        <w:rPr>
          <w:b/>
          <w:szCs w:val="22"/>
        </w:rPr>
      </w:pPr>
    </w:p>
    <w:p w:rsidR="00BB7EC3" w:rsidRPr="00ED4C18" w:rsidRDefault="00BB7EC3" w:rsidP="00BB7EC3">
      <w:pPr>
        <w:pStyle w:val="ListParagraph"/>
        <w:ind w:left="709"/>
        <w:jc w:val="both"/>
        <w:rPr>
          <w:i/>
          <w:szCs w:val="22"/>
        </w:rPr>
      </w:pPr>
      <w:r w:rsidRPr="00ED4C18">
        <w:rPr>
          <w:i/>
          <w:szCs w:val="22"/>
        </w:rPr>
        <w:t>For more detail on PBAC’s view, see section 7 “PBAC outcome”</w:t>
      </w:r>
      <w:r w:rsidR="009C52CA" w:rsidRPr="00ED4C18">
        <w:rPr>
          <w:i/>
          <w:szCs w:val="22"/>
        </w:rPr>
        <w:t>.</w:t>
      </w:r>
    </w:p>
    <w:p w:rsidR="00BB7EC3" w:rsidRDefault="00BB7EC3" w:rsidP="00882085">
      <w:pPr>
        <w:jc w:val="both"/>
        <w:rPr>
          <w:b/>
          <w:szCs w:val="22"/>
        </w:rPr>
      </w:pPr>
    </w:p>
    <w:p w:rsidR="00E06107" w:rsidRPr="00ED4C18" w:rsidRDefault="00E06107" w:rsidP="00882085">
      <w:pPr>
        <w:jc w:val="both"/>
        <w:rPr>
          <w:b/>
          <w:szCs w:val="22"/>
        </w:rPr>
      </w:pPr>
    </w:p>
    <w:p w:rsidR="00CE10C4" w:rsidRPr="00ED4C18" w:rsidRDefault="00CE10C4" w:rsidP="00983C54">
      <w:pPr>
        <w:pStyle w:val="ListParagraph"/>
        <w:numPr>
          <w:ilvl w:val="0"/>
          <w:numId w:val="1"/>
        </w:numPr>
        <w:jc w:val="both"/>
        <w:rPr>
          <w:szCs w:val="22"/>
        </w:rPr>
      </w:pPr>
      <w:r w:rsidRPr="00ED4C18">
        <w:rPr>
          <w:b/>
          <w:szCs w:val="22"/>
        </w:rPr>
        <w:t>Background</w:t>
      </w:r>
    </w:p>
    <w:p w:rsidR="006A12A5" w:rsidRPr="00ED4C18" w:rsidRDefault="006A12A5" w:rsidP="00882085">
      <w:pPr>
        <w:jc w:val="both"/>
        <w:rPr>
          <w:szCs w:val="22"/>
        </w:rPr>
      </w:pPr>
    </w:p>
    <w:p w:rsidR="00855A73" w:rsidRPr="00ED4C18" w:rsidRDefault="002B1AE6" w:rsidP="00983C54">
      <w:pPr>
        <w:pStyle w:val="ListParagraph"/>
        <w:numPr>
          <w:ilvl w:val="1"/>
          <w:numId w:val="1"/>
        </w:numPr>
        <w:rPr>
          <w:szCs w:val="22"/>
        </w:rPr>
      </w:pPr>
      <w:r w:rsidRPr="00ED4C18">
        <w:rPr>
          <w:szCs w:val="22"/>
        </w:rPr>
        <w:t xml:space="preserve">The submission was made under TGA/PBAC Parallel Process.  </w:t>
      </w:r>
      <w:proofErr w:type="spellStart"/>
      <w:r w:rsidR="00855A73" w:rsidRPr="00ED4C18">
        <w:rPr>
          <w:szCs w:val="22"/>
        </w:rPr>
        <w:t>Sofosbuvir</w:t>
      </w:r>
      <w:proofErr w:type="spellEnd"/>
      <w:r w:rsidR="00370338" w:rsidRPr="00ED4C18">
        <w:rPr>
          <w:szCs w:val="22"/>
        </w:rPr>
        <w:t xml:space="preserve"> was entered onto the ARTG</w:t>
      </w:r>
      <w:r w:rsidR="00855A73" w:rsidRPr="00ED4C18">
        <w:rPr>
          <w:szCs w:val="22"/>
        </w:rPr>
        <w:t xml:space="preserve"> on 30 June 2014, before PBAC consideration.</w:t>
      </w:r>
      <w:r w:rsidRPr="00ED4C18">
        <w:rPr>
          <w:szCs w:val="22"/>
        </w:rPr>
        <w:t xml:space="preserve">  </w:t>
      </w:r>
      <w:r w:rsidR="00855A73" w:rsidRPr="00ED4C18">
        <w:rPr>
          <w:szCs w:val="22"/>
        </w:rPr>
        <w:t xml:space="preserve">As the consideration of </w:t>
      </w:r>
      <w:proofErr w:type="spellStart"/>
      <w:r w:rsidR="00855A73" w:rsidRPr="00ED4C18">
        <w:rPr>
          <w:szCs w:val="22"/>
        </w:rPr>
        <w:t>sofosbuvir</w:t>
      </w:r>
      <w:proofErr w:type="spellEnd"/>
      <w:r w:rsidR="00855A73" w:rsidRPr="00ED4C18">
        <w:rPr>
          <w:szCs w:val="22"/>
        </w:rPr>
        <w:t xml:space="preserve"> advanced via the parallel process with the TGA, an updated PI was not provided. </w:t>
      </w:r>
    </w:p>
    <w:p w:rsidR="006B0D94" w:rsidRPr="00ED4C18" w:rsidRDefault="006B0D94" w:rsidP="00855A73">
      <w:pPr>
        <w:pStyle w:val="ListParagraph"/>
        <w:jc w:val="both"/>
        <w:rPr>
          <w:szCs w:val="22"/>
        </w:rPr>
      </w:pPr>
    </w:p>
    <w:p w:rsidR="00326E79" w:rsidRPr="00ED4C18" w:rsidRDefault="005376CA" w:rsidP="00983C54">
      <w:pPr>
        <w:pStyle w:val="ListParagraph"/>
        <w:numPr>
          <w:ilvl w:val="1"/>
          <w:numId w:val="1"/>
        </w:numPr>
        <w:jc w:val="both"/>
        <w:rPr>
          <w:szCs w:val="22"/>
        </w:rPr>
      </w:pPr>
      <w:r w:rsidRPr="00ED4C18">
        <w:rPr>
          <w:rFonts w:cs="Arial"/>
          <w:szCs w:val="22"/>
        </w:rPr>
        <w:t>This drug had not previously been considered by the PBAC.</w:t>
      </w:r>
    </w:p>
    <w:p w:rsidR="006A12A5" w:rsidRPr="00E06107" w:rsidRDefault="006A12A5" w:rsidP="00882085">
      <w:pPr>
        <w:jc w:val="both"/>
        <w:rPr>
          <w:szCs w:val="22"/>
        </w:rPr>
      </w:pPr>
    </w:p>
    <w:p w:rsidR="00BB7EC3" w:rsidRPr="00ED4C18" w:rsidRDefault="00BB7EC3" w:rsidP="00882085">
      <w:pPr>
        <w:jc w:val="both"/>
        <w:rPr>
          <w:b/>
          <w:szCs w:val="22"/>
        </w:rPr>
      </w:pPr>
    </w:p>
    <w:p w:rsidR="00CE10C4" w:rsidRPr="00ED4C18" w:rsidRDefault="00CE10C4" w:rsidP="00983C54">
      <w:pPr>
        <w:pStyle w:val="ListParagraph"/>
        <w:numPr>
          <w:ilvl w:val="0"/>
          <w:numId w:val="1"/>
        </w:numPr>
        <w:jc w:val="both"/>
        <w:rPr>
          <w:b/>
          <w:szCs w:val="22"/>
        </w:rPr>
      </w:pPr>
      <w:r w:rsidRPr="00ED4C18">
        <w:rPr>
          <w:b/>
          <w:szCs w:val="22"/>
        </w:rPr>
        <w:t>Clinical place for the proposed ther</w:t>
      </w:r>
      <w:r w:rsidR="006A12A5" w:rsidRPr="00ED4C18">
        <w:rPr>
          <w:b/>
          <w:szCs w:val="22"/>
        </w:rPr>
        <w:t>apy</w:t>
      </w:r>
    </w:p>
    <w:p w:rsidR="00CE10C4" w:rsidRPr="00ED4C18" w:rsidRDefault="00CE10C4" w:rsidP="00882085">
      <w:pPr>
        <w:jc w:val="both"/>
        <w:rPr>
          <w:szCs w:val="22"/>
        </w:rPr>
      </w:pPr>
    </w:p>
    <w:p w:rsidR="006A12A5" w:rsidRPr="00ED4C18" w:rsidRDefault="00212A31" w:rsidP="00983C54">
      <w:pPr>
        <w:pStyle w:val="ListParagraph"/>
        <w:numPr>
          <w:ilvl w:val="1"/>
          <w:numId w:val="1"/>
        </w:numPr>
        <w:jc w:val="both"/>
        <w:rPr>
          <w:szCs w:val="22"/>
        </w:rPr>
      </w:pPr>
      <w:r w:rsidRPr="00ED4C18">
        <w:t>HCV infection is a major cause of chronic liver disease. The cycle of viral reproduction within hepatic cells and the response by the host immune system to the infection results in damage to the host’s liver. Chronic infection can lead to scarring of the liver and ultimately to cirrhosis. In some cases, patients with liver cirrhosis develop liver failure, liver cancer or life-threatening oesophageal and gastric</w:t>
      </w:r>
      <w:r w:rsidRPr="00ED4C18" w:rsidDel="00212A31">
        <w:rPr>
          <w:szCs w:val="22"/>
        </w:rPr>
        <w:t xml:space="preserve"> </w:t>
      </w:r>
      <w:r w:rsidR="004E1BBC" w:rsidRPr="00ED4C18">
        <w:rPr>
          <w:szCs w:val="22"/>
        </w:rPr>
        <w:t>HCV</w:t>
      </w:r>
      <w:r w:rsidR="00A938DF" w:rsidRPr="00ED4C18">
        <w:rPr>
          <w:szCs w:val="22"/>
        </w:rPr>
        <w:t>.</w:t>
      </w:r>
      <w:r w:rsidR="004E1BBC" w:rsidRPr="00ED4C18">
        <w:rPr>
          <w:szCs w:val="22"/>
        </w:rPr>
        <w:t xml:space="preserve"> </w:t>
      </w:r>
      <w:r w:rsidR="00790705" w:rsidRPr="00ED4C18">
        <w:rPr>
          <w:szCs w:val="22"/>
        </w:rPr>
        <w:t xml:space="preserve">Currently, </w:t>
      </w:r>
      <w:r w:rsidR="004E1BBC" w:rsidRPr="00ED4C18">
        <w:rPr>
          <w:szCs w:val="22"/>
        </w:rPr>
        <w:t xml:space="preserve">Genotype 1 or Genotype 3 account for 88-92% of infections in Australia. </w:t>
      </w:r>
    </w:p>
    <w:p w:rsidR="004E1BBC" w:rsidRPr="00ED4C18" w:rsidRDefault="004E1BBC" w:rsidP="004E1BBC">
      <w:pPr>
        <w:jc w:val="both"/>
        <w:rPr>
          <w:szCs w:val="22"/>
        </w:rPr>
      </w:pPr>
    </w:p>
    <w:p w:rsidR="004E1BBC" w:rsidRPr="00E06107" w:rsidRDefault="004E1BBC" w:rsidP="00E06107">
      <w:pPr>
        <w:ind w:firstLine="720"/>
        <w:jc w:val="both"/>
        <w:rPr>
          <w:sz w:val="24"/>
          <w:szCs w:val="22"/>
        </w:rPr>
      </w:pPr>
      <w:r w:rsidRPr="00E06107">
        <w:rPr>
          <w:rStyle w:val="CommentReference"/>
          <w:b/>
          <w:sz w:val="18"/>
          <w:szCs w:val="20"/>
        </w:rPr>
        <w:t>Distribution of HCV Genotypes in Australian CHC patients</w:t>
      </w:r>
    </w:p>
    <w:tbl>
      <w:tblPr>
        <w:tblStyle w:val="TableGrid"/>
        <w:tblW w:w="4523" w:type="pct"/>
        <w:tblInd w:w="817" w:type="dxa"/>
        <w:tblLayout w:type="fixed"/>
        <w:tblLook w:val="04A0" w:firstRow="1" w:lastRow="0" w:firstColumn="1" w:lastColumn="0" w:noHBand="0" w:noVBand="1"/>
        <w:tblDescription w:val="Distribution of HCV Genotypes in Australian CHC patients"/>
      </w:tblPr>
      <w:tblGrid>
        <w:gridCol w:w="1701"/>
        <w:gridCol w:w="3827"/>
        <w:gridCol w:w="2832"/>
      </w:tblGrid>
      <w:tr w:rsidR="00ED4C18" w:rsidRPr="00ED4C18" w:rsidTr="00D16494">
        <w:trPr>
          <w:tblHeader/>
        </w:trPr>
        <w:tc>
          <w:tcPr>
            <w:tcW w:w="1701" w:type="dxa"/>
            <w:vAlign w:val="center"/>
          </w:tcPr>
          <w:p w:rsidR="004E1BBC" w:rsidRPr="00ED4C18" w:rsidRDefault="004E1BBC" w:rsidP="00624473">
            <w:pPr>
              <w:jc w:val="center"/>
              <w:rPr>
                <w:rFonts w:ascii="Arial Narrow" w:hAnsi="Arial Narrow"/>
                <w:b/>
                <w:sz w:val="20"/>
              </w:rPr>
            </w:pPr>
            <w:r w:rsidRPr="00ED4C18">
              <w:rPr>
                <w:rFonts w:ascii="Arial Narrow" w:hAnsi="Arial Narrow"/>
                <w:b/>
                <w:sz w:val="20"/>
              </w:rPr>
              <w:t>HCV Genotype</w:t>
            </w:r>
          </w:p>
        </w:tc>
        <w:tc>
          <w:tcPr>
            <w:tcW w:w="3827" w:type="dxa"/>
            <w:vAlign w:val="center"/>
          </w:tcPr>
          <w:p w:rsidR="004E1BBC" w:rsidRPr="00ED4C18" w:rsidRDefault="004E1BBC" w:rsidP="00624473">
            <w:pPr>
              <w:jc w:val="center"/>
              <w:rPr>
                <w:rFonts w:ascii="Arial Narrow" w:hAnsi="Arial Narrow"/>
                <w:b/>
                <w:sz w:val="20"/>
              </w:rPr>
            </w:pPr>
            <w:proofErr w:type="spellStart"/>
            <w:r w:rsidRPr="00ED4C18">
              <w:rPr>
                <w:rFonts w:ascii="Arial Narrow" w:hAnsi="Arial Narrow"/>
                <w:b/>
                <w:sz w:val="20"/>
              </w:rPr>
              <w:t>Gidding</w:t>
            </w:r>
            <w:proofErr w:type="spellEnd"/>
            <w:r w:rsidRPr="00ED4C18">
              <w:rPr>
                <w:rFonts w:ascii="Arial Narrow" w:hAnsi="Arial Narrow"/>
                <w:b/>
                <w:sz w:val="20"/>
              </w:rPr>
              <w:t xml:space="preserve"> et al 2012 (ACHOS subgroup: treatment naïve who went on to receive therapy, used for Section D) (Table C-7 of the submission, </w:t>
            </w:r>
            <w:proofErr w:type="spellStart"/>
            <w:r w:rsidRPr="00ED4C18">
              <w:rPr>
                <w:rFonts w:ascii="Arial Narrow" w:hAnsi="Arial Narrow"/>
                <w:b/>
                <w:sz w:val="20"/>
              </w:rPr>
              <w:t>pg</w:t>
            </w:r>
            <w:proofErr w:type="spellEnd"/>
            <w:r w:rsidRPr="00ED4C18">
              <w:rPr>
                <w:rFonts w:ascii="Arial Narrow" w:hAnsi="Arial Narrow"/>
                <w:b/>
                <w:sz w:val="20"/>
              </w:rPr>
              <w:t xml:space="preserve"> 8)</w:t>
            </w:r>
          </w:p>
        </w:tc>
        <w:tc>
          <w:tcPr>
            <w:tcW w:w="2832" w:type="dxa"/>
            <w:vAlign w:val="center"/>
          </w:tcPr>
          <w:p w:rsidR="004E1BBC" w:rsidRPr="00ED4C18" w:rsidRDefault="004E1BBC" w:rsidP="00624473">
            <w:pPr>
              <w:jc w:val="center"/>
              <w:rPr>
                <w:rFonts w:ascii="Arial Narrow" w:hAnsi="Arial Narrow"/>
                <w:b/>
                <w:sz w:val="20"/>
              </w:rPr>
            </w:pPr>
            <w:r w:rsidRPr="00ED4C18">
              <w:rPr>
                <w:rFonts w:ascii="Arial Narrow" w:hAnsi="Arial Narrow"/>
                <w:b/>
                <w:sz w:val="20"/>
              </w:rPr>
              <w:t xml:space="preserve">Dore et al 2003 (previous Australian studies, 1996-1998, Table C-9 of the submission, </w:t>
            </w:r>
            <w:proofErr w:type="spellStart"/>
            <w:r w:rsidRPr="00ED4C18">
              <w:rPr>
                <w:rFonts w:ascii="Arial Narrow" w:hAnsi="Arial Narrow"/>
                <w:b/>
                <w:sz w:val="20"/>
              </w:rPr>
              <w:t>pg</w:t>
            </w:r>
            <w:proofErr w:type="spellEnd"/>
            <w:r w:rsidRPr="00ED4C18">
              <w:rPr>
                <w:rFonts w:ascii="Arial Narrow" w:hAnsi="Arial Narrow"/>
                <w:b/>
                <w:sz w:val="20"/>
              </w:rPr>
              <w:t xml:space="preserve"> 9)</w:t>
            </w:r>
          </w:p>
        </w:tc>
      </w:tr>
      <w:tr w:rsidR="00ED4C18" w:rsidRPr="00ED4C18" w:rsidTr="00E06107">
        <w:tc>
          <w:tcPr>
            <w:tcW w:w="1701" w:type="dxa"/>
            <w:vAlign w:val="center"/>
          </w:tcPr>
          <w:p w:rsidR="004E1BBC" w:rsidRPr="00ED4C18" w:rsidRDefault="004E1BBC" w:rsidP="00624473">
            <w:pPr>
              <w:jc w:val="center"/>
              <w:rPr>
                <w:rFonts w:ascii="Arial Narrow" w:hAnsi="Arial Narrow"/>
                <w:sz w:val="20"/>
              </w:rPr>
            </w:pPr>
            <w:r w:rsidRPr="00ED4C18">
              <w:rPr>
                <w:rFonts w:ascii="Arial Narrow" w:hAnsi="Arial Narrow"/>
                <w:sz w:val="20"/>
              </w:rPr>
              <w:t>1</w:t>
            </w:r>
          </w:p>
        </w:tc>
        <w:tc>
          <w:tcPr>
            <w:tcW w:w="3827" w:type="dxa"/>
            <w:vAlign w:val="center"/>
          </w:tcPr>
          <w:p w:rsidR="004E1BBC" w:rsidRPr="00ED4C18" w:rsidRDefault="004E1BBC" w:rsidP="00624473">
            <w:pPr>
              <w:jc w:val="center"/>
              <w:rPr>
                <w:rFonts w:ascii="Arial Narrow" w:hAnsi="Arial Narrow"/>
                <w:sz w:val="20"/>
              </w:rPr>
            </w:pPr>
            <w:r w:rsidRPr="00ED4C18">
              <w:rPr>
                <w:rFonts w:ascii="Arial Narrow" w:hAnsi="Arial Narrow"/>
                <w:sz w:val="20"/>
              </w:rPr>
              <w:t>49.6%</w:t>
            </w:r>
          </w:p>
        </w:tc>
        <w:tc>
          <w:tcPr>
            <w:tcW w:w="2832" w:type="dxa"/>
            <w:vAlign w:val="center"/>
          </w:tcPr>
          <w:p w:rsidR="004E1BBC" w:rsidRPr="00ED4C18" w:rsidRDefault="004E1BBC" w:rsidP="00624473">
            <w:pPr>
              <w:jc w:val="center"/>
              <w:rPr>
                <w:rFonts w:ascii="Arial Narrow" w:hAnsi="Arial Narrow"/>
                <w:sz w:val="20"/>
              </w:rPr>
            </w:pPr>
            <w:r w:rsidRPr="00ED4C18">
              <w:rPr>
                <w:rFonts w:ascii="Arial Narrow" w:hAnsi="Arial Narrow"/>
                <w:sz w:val="20"/>
              </w:rPr>
              <w:t>55%</w:t>
            </w:r>
          </w:p>
        </w:tc>
      </w:tr>
      <w:tr w:rsidR="00ED4C18" w:rsidRPr="00ED4C18" w:rsidTr="00E06107">
        <w:tc>
          <w:tcPr>
            <w:tcW w:w="1701" w:type="dxa"/>
            <w:vAlign w:val="center"/>
          </w:tcPr>
          <w:p w:rsidR="004E1BBC" w:rsidRPr="00ED4C18" w:rsidRDefault="004E1BBC" w:rsidP="00624473">
            <w:pPr>
              <w:jc w:val="center"/>
              <w:rPr>
                <w:rFonts w:ascii="Arial Narrow" w:hAnsi="Arial Narrow"/>
                <w:sz w:val="20"/>
              </w:rPr>
            </w:pPr>
            <w:r w:rsidRPr="00ED4C18">
              <w:rPr>
                <w:rFonts w:ascii="Arial Narrow" w:hAnsi="Arial Narrow"/>
                <w:sz w:val="20"/>
              </w:rPr>
              <w:t>2</w:t>
            </w:r>
          </w:p>
        </w:tc>
        <w:tc>
          <w:tcPr>
            <w:tcW w:w="3827" w:type="dxa"/>
            <w:vAlign w:val="center"/>
          </w:tcPr>
          <w:p w:rsidR="004E1BBC" w:rsidRPr="00ED4C18" w:rsidRDefault="004E1BBC" w:rsidP="00624473">
            <w:pPr>
              <w:jc w:val="center"/>
              <w:rPr>
                <w:rFonts w:ascii="Arial Narrow" w:hAnsi="Arial Narrow"/>
                <w:sz w:val="20"/>
              </w:rPr>
            </w:pPr>
            <w:r w:rsidRPr="00ED4C18">
              <w:rPr>
                <w:rFonts w:ascii="Arial Narrow" w:hAnsi="Arial Narrow"/>
                <w:sz w:val="20"/>
              </w:rPr>
              <w:t>5.6%</w:t>
            </w:r>
          </w:p>
        </w:tc>
        <w:tc>
          <w:tcPr>
            <w:tcW w:w="2832" w:type="dxa"/>
            <w:vAlign w:val="center"/>
          </w:tcPr>
          <w:p w:rsidR="004E1BBC" w:rsidRPr="00ED4C18" w:rsidRDefault="004E1BBC" w:rsidP="00624473">
            <w:pPr>
              <w:jc w:val="center"/>
              <w:rPr>
                <w:rFonts w:ascii="Arial Narrow" w:hAnsi="Arial Narrow"/>
                <w:sz w:val="20"/>
              </w:rPr>
            </w:pPr>
            <w:r w:rsidRPr="00ED4C18">
              <w:rPr>
                <w:rFonts w:ascii="Arial Narrow" w:hAnsi="Arial Narrow"/>
                <w:sz w:val="20"/>
              </w:rPr>
              <w:t>8%</w:t>
            </w:r>
          </w:p>
        </w:tc>
      </w:tr>
      <w:tr w:rsidR="00ED4C18" w:rsidRPr="00ED4C18" w:rsidTr="00E06107">
        <w:tc>
          <w:tcPr>
            <w:tcW w:w="1701" w:type="dxa"/>
            <w:vAlign w:val="center"/>
          </w:tcPr>
          <w:p w:rsidR="004E1BBC" w:rsidRPr="00ED4C18" w:rsidRDefault="004E1BBC" w:rsidP="00624473">
            <w:pPr>
              <w:jc w:val="center"/>
              <w:rPr>
                <w:rFonts w:ascii="Arial Narrow" w:hAnsi="Arial Narrow"/>
                <w:sz w:val="20"/>
              </w:rPr>
            </w:pPr>
            <w:r w:rsidRPr="00ED4C18">
              <w:rPr>
                <w:rFonts w:ascii="Arial Narrow" w:hAnsi="Arial Narrow"/>
                <w:sz w:val="20"/>
              </w:rPr>
              <w:t>3</w:t>
            </w:r>
          </w:p>
        </w:tc>
        <w:tc>
          <w:tcPr>
            <w:tcW w:w="3827" w:type="dxa"/>
            <w:vAlign w:val="center"/>
          </w:tcPr>
          <w:p w:rsidR="004E1BBC" w:rsidRPr="00ED4C18" w:rsidRDefault="004E1BBC" w:rsidP="00624473">
            <w:pPr>
              <w:jc w:val="center"/>
              <w:rPr>
                <w:rFonts w:ascii="Arial Narrow" w:hAnsi="Arial Narrow"/>
                <w:sz w:val="20"/>
              </w:rPr>
            </w:pPr>
            <w:r w:rsidRPr="00ED4C18">
              <w:rPr>
                <w:rFonts w:ascii="Arial Narrow" w:hAnsi="Arial Narrow"/>
                <w:sz w:val="20"/>
              </w:rPr>
              <w:t>42.2%</w:t>
            </w:r>
          </w:p>
        </w:tc>
        <w:tc>
          <w:tcPr>
            <w:tcW w:w="2832" w:type="dxa"/>
            <w:vAlign w:val="center"/>
          </w:tcPr>
          <w:p w:rsidR="004E1BBC" w:rsidRPr="00ED4C18" w:rsidRDefault="004E1BBC" w:rsidP="00624473">
            <w:pPr>
              <w:jc w:val="center"/>
              <w:rPr>
                <w:rFonts w:ascii="Arial Narrow" w:hAnsi="Arial Narrow"/>
                <w:sz w:val="20"/>
              </w:rPr>
            </w:pPr>
            <w:r w:rsidRPr="00ED4C18">
              <w:rPr>
                <w:rFonts w:ascii="Arial Narrow" w:hAnsi="Arial Narrow"/>
                <w:sz w:val="20"/>
              </w:rPr>
              <w:t>33%</w:t>
            </w:r>
          </w:p>
        </w:tc>
      </w:tr>
      <w:tr w:rsidR="00ED4C18" w:rsidRPr="00ED4C18" w:rsidTr="00E06107">
        <w:tc>
          <w:tcPr>
            <w:tcW w:w="1701" w:type="dxa"/>
            <w:vAlign w:val="center"/>
          </w:tcPr>
          <w:p w:rsidR="004E1BBC" w:rsidRPr="00ED4C18" w:rsidRDefault="004E1BBC" w:rsidP="00624473">
            <w:pPr>
              <w:jc w:val="center"/>
              <w:rPr>
                <w:rFonts w:ascii="Arial Narrow" w:hAnsi="Arial Narrow"/>
                <w:sz w:val="20"/>
              </w:rPr>
            </w:pPr>
            <w:r w:rsidRPr="00ED4C18">
              <w:rPr>
                <w:rFonts w:ascii="Arial Narrow" w:hAnsi="Arial Narrow"/>
                <w:sz w:val="20"/>
              </w:rPr>
              <w:t>4)</w:t>
            </w:r>
          </w:p>
        </w:tc>
        <w:tc>
          <w:tcPr>
            <w:tcW w:w="3827" w:type="dxa"/>
            <w:vAlign w:val="center"/>
          </w:tcPr>
          <w:p w:rsidR="004E1BBC" w:rsidRPr="00ED4C18" w:rsidRDefault="004E1BBC" w:rsidP="00624473">
            <w:pPr>
              <w:jc w:val="center"/>
              <w:rPr>
                <w:rFonts w:ascii="Arial Narrow" w:hAnsi="Arial Narrow"/>
                <w:sz w:val="20"/>
              </w:rPr>
            </w:pPr>
            <w:r w:rsidRPr="00ED4C18">
              <w:rPr>
                <w:rFonts w:ascii="Arial Narrow" w:hAnsi="Arial Narrow"/>
                <w:sz w:val="20"/>
              </w:rPr>
              <w:t>-</w:t>
            </w:r>
          </w:p>
        </w:tc>
        <w:tc>
          <w:tcPr>
            <w:tcW w:w="2832" w:type="dxa"/>
            <w:vAlign w:val="center"/>
          </w:tcPr>
          <w:p w:rsidR="004E1BBC" w:rsidRPr="00ED4C18" w:rsidRDefault="004E1BBC" w:rsidP="00624473">
            <w:pPr>
              <w:jc w:val="center"/>
              <w:rPr>
                <w:rFonts w:ascii="Arial Narrow" w:hAnsi="Arial Narrow"/>
                <w:sz w:val="20"/>
              </w:rPr>
            </w:pPr>
            <w:r w:rsidRPr="00ED4C18">
              <w:rPr>
                <w:rFonts w:ascii="Arial Narrow" w:hAnsi="Arial Narrow"/>
                <w:sz w:val="20"/>
              </w:rPr>
              <w:t>3%</w:t>
            </w:r>
          </w:p>
        </w:tc>
      </w:tr>
      <w:tr w:rsidR="00ED4C18" w:rsidRPr="00ED4C18" w:rsidTr="00E06107">
        <w:tc>
          <w:tcPr>
            <w:tcW w:w="1701" w:type="dxa"/>
            <w:vAlign w:val="center"/>
          </w:tcPr>
          <w:p w:rsidR="004E1BBC" w:rsidRPr="00ED4C18" w:rsidRDefault="004E1BBC" w:rsidP="00624473">
            <w:pPr>
              <w:jc w:val="center"/>
              <w:rPr>
                <w:rFonts w:ascii="Arial Narrow" w:hAnsi="Arial Narrow"/>
                <w:sz w:val="20"/>
              </w:rPr>
            </w:pPr>
            <w:r w:rsidRPr="00ED4C18">
              <w:rPr>
                <w:rFonts w:ascii="Arial Narrow" w:hAnsi="Arial Narrow"/>
                <w:sz w:val="20"/>
              </w:rPr>
              <w:t>Unknown (4,6)</w:t>
            </w:r>
          </w:p>
        </w:tc>
        <w:tc>
          <w:tcPr>
            <w:tcW w:w="3827" w:type="dxa"/>
            <w:vAlign w:val="center"/>
          </w:tcPr>
          <w:p w:rsidR="004E1BBC" w:rsidRPr="00ED4C18" w:rsidRDefault="004E1BBC" w:rsidP="00624473">
            <w:pPr>
              <w:jc w:val="center"/>
              <w:rPr>
                <w:rFonts w:ascii="Arial Narrow" w:hAnsi="Arial Narrow"/>
                <w:sz w:val="20"/>
              </w:rPr>
            </w:pPr>
            <w:r w:rsidRPr="00ED4C18">
              <w:rPr>
                <w:rFonts w:ascii="Arial Narrow" w:hAnsi="Arial Narrow"/>
                <w:sz w:val="20"/>
              </w:rPr>
              <w:t>2.4%</w:t>
            </w:r>
          </w:p>
        </w:tc>
        <w:tc>
          <w:tcPr>
            <w:tcW w:w="2832" w:type="dxa"/>
            <w:vAlign w:val="center"/>
          </w:tcPr>
          <w:p w:rsidR="004E1BBC" w:rsidRPr="00ED4C18" w:rsidRDefault="004E1BBC" w:rsidP="00624473">
            <w:pPr>
              <w:jc w:val="center"/>
              <w:rPr>
                <w:rFonts w:ascii="Arial Narrow" w:hAnsi="Arial Narrow"/>
                <w:sz w:val="20"/>
              </w:rPr>
            </w:pPr>
            <w:r w:rsidRPr="00ED4C18">
              <w:rPr>
                <w:rFonts w:ascii="Arial Narrow" w:hAnsi="Arial Narrow"/>
                <w:sz w:val="20"/>
              </w:rPr>
              <w:t>-</w:t>
            </w:r>
          </w:p>
        </w:tc>
      </w:tr>
      <w:tr w:rsidR="00ED4C18" w:rsidRPr="00ED4C18" w:rsidTr="00E06107">
        <w:tc>
          <w:tcPr>
            <w:tcW w:w="1701" w:type="dxa"/>
            <w:vAlign w:val="center"/>
          </w:tcPr>
          <w:p w:rsidR="004E1BBC" w:rsidRPr="00ED4C18" w:rsidRDefault="004E1BBC" w:rsidP="00624473">
            <w:pPr>
              <w:jc w:val="center"/>
              <w:rPr>
                <w:rFonts w:ascii="Arial Narrow" w:hAnsi="Arial Narrow"/>
                <w:sz w:val="20"/>
              </w:rPr>
            </w:pPr>
            <w:r w:rsidRPr="00ED4C18">
              <w:rPr>
                <w:rFonts w:ascii="Arial Narrow" w:hAnsi="Arial Narrow"/>
                <w:sz w:val="20"/>
              </w:rPr>
              <w:t>Other/mixed</w:t>
            </w:r>
          </w:p>
        </w:tc>
        <w:tc>
          <w:tcPr>
            <w:tcW w:w="3827" w:type="dxa"/>
            <w:vAlign w:val="center"/>
          </w:tcPr>
          <w:p w:rsidR="004E1BBC" w:rsidRPr="00ED4C18" w:rsidRDefault="004E1BBC" w:rsidP="00624473">
            <w:pPr>
              <w:jc w:val="center"/>
              <w:rPr>
                <w:rFonts w:ascii="Arial Narrow" w:hAnsi="Arial Narrow"/>
                <w:sz w:val="20"/>
              </w:rPr>
            </w:pPr>
            <w:r w:rsidRPr="00ED4C18">
              <w:rPr>
                <w:rFonts w:ascii="Arial Narrow" w:hAnsi="Arial Narrow"/>
                <w:sz w:val="20"/>
              </w:rPr>
              <w:t>-</w:t>
            </w:r>
          </w:p>
        </w:tc>
        <w:tc>
          <w:tcPr>
            <w:tcW w:w="2832" w:type="dxa"/>
            <w:vAlign w:val="center"/>
          </w:tcPr>
          <w:p w:rsidR="004E1BBC" w:rsidRPr="00ED4C18" w:rsidRDefault="004E1BBC" w:rsidP="00624473">
            <w:pPr>
              <w:jc w:val="center"/>
              <w:rPr>
                <w:rFonts w:ascii="Arial Narrow" w:hAnsi="Arial Narrow"/>
                <w:sz w:val="20"/>
              </w:rPr>
            </w:pPr>
            <w:r w:rsidRPr="00ED4C18">
              <w:rPr>
                <w:rFonts w:ascii="Arial Narrow" w:hAnsi="Arial Narrow"/>
                <w:sz w:val="20"/>
              </w:rPr>
              <w:t>1%</w:t>
            </w:r>
          </w:p>
        </w:tc>
      </w:tr>
    </w:tbl>
    <w:p w:rsidR="00C35996" w:rsidRPr="00ED4C18" w:rsidRDefault="00C35996" w:rsidP="001E37DB">
      <w:pPr>
        <w:jc w:val="both"/>
        <w:rPr>
          <w:szCs w:val="22"/>
        </w:rPr>
      </w:pPr>
    </w:p>
    <w:p w:rsidR="003C73CB" w:rsidRPr="00ED4C18" w:rsidRDefault="003C73CB" w:rsidP="00983C54">
      <w:pPr>
        <w:pStyle w:val="ListParagraph"/>
        <w:numPr>
          <w:ilvl w:val="1"/>
          <w:numId w:val="1"/>
        </w:numPr>
        <w:jc w:val="both"/>
        <w:rPr>
          <w:szCs w:val="22"/>
        </w:rPr>
      </w:pPr>
      <w:r w:rsidRPr="00ED4C18">
        <w:rPr>
          <w:szCs w:val="22"/>
        </w:rPr>
        <w:t xml:space="preserve">Currently, the PBS reimburses </w:t>
      </w:r>
      <w:r w:rsidR="00A938DF" w:rsidRPr="00ED4C18">
        <w:t>d</w:t>
      </w:r>
      <w:r w:rsidR="00212A31" w:rsidRPr="00ED4C18">
        <w:t xml:space="preserve">irect </w:t>
      </w:r>
      <w:r w:rsidR="00A938DF" w:rsidRPr="00ED4C18">
        <w:t>a</w:t>
      </w:r>
      <w:r w:rsidR="00586861" w:rsidRPr="00ED4C18">
        <w:t>cting a</w:t>
      </w:r>
      <w:r w:rsidR="00212A31" w:rsidRPr="00ED4C18">
        <w:t xml:space="preserve">ntivirals (DAAs), including </w:t>
      </w:r>
      <w:proofErr w:type="spellStart"/>
      <w:r w:rsidR="00212A31" w:rsidRPr="00ED4C18">
        <w:t>boceprevir</w:t>
      </w:r>
      <w:proofErr w:type="spellEnd"/>
      <w:r w:rsidR="00212A31" w:rsidRPr="00ED4C18">
        <w:t xml:space="preserve"> and </w:t>
      </w:r>
      <w:proofErr w:type="spellStart"/>
      <w:r w:rsidR="00212A31" w:rsidRPr="00ED4C18">
        <w:t>telaprevir</w:t>
      </w:r>
      <w:proofErr w:type="spellEnd"/>
      <w:r w:rsidR="00212A31" w:rsidRPr="00ED4C18">
        <w:t xml:space="preserve"> (</w:t>
      </w:r>
      <w:r w:rsidR="00212A31" w:rsidRPr="00ED4C18">
        <w:rPr>
          <w:szCs w:val="22"/>
        </w:rPr>
        <w:t>two HCV NS3/4A inhibitors,</w:t>
      </w:r>
      <w:r w:rsidR="00212A31" w:rsidRPr="00ED4C18">
        <w:t xml:space="preserve"> both of which must be used in combination with PR), for the treatment of HCV Genotype 1</w:t>
      </w:r>
      <w:r w:rsidRPr="00ED4C18">
        <w:rPr>
          <w:szCs w:val="22"/>
        </w:rPr>
        <w:t xml:space="preserve">.  In addition, the PBS reimburses </w:t>
      </w:r>
      <w:proofErr w:type="spellStart"/>
      <w:r w:rsidRPr="00ED4C18">
        <w:rPr>
          <w:szCs w:val="22"/>
        </w:rPr>
        <w:t>peginterferon</w:t>
      </w:r>
      <w:proofErr w:type="spellEnd"/>
      <w:r w:rsidRPr="00ED4C18">
        <w:rPr>
          <w:szCs w:val="22"/>
        </w:rPr>
        <w:t xml:space="preserve"> alfa-2a or alfa-2b in combination with ribavirin for the treatment of Genotypes 1-6 HCV.</w:t>
      </w:r>
      <w:r w:rsidR="004E1BBC" w:rsidRPr="00ED4C18">
        <w:rPr>
          <w:szCs w:val="22"/>
        </w:rPr>
        <w:t xml:space="preserve"> </w:t>
      </w:r>
    </w:p>
    <w:p w:rsidR="003C73CB" w:rsidRPr="00ED4C18" w:rsidRDefault="003C73CB" w:rsidP="003C73CB">
      <w:pPr>
        <w:pStyle w:val="ListParagraph"/>
        <w:rPr>
          <w:szCs w:val="22"/>
        </w:rPr>
      </w:pPr>
    </w:p>
    <w:p w:rsidR="009C52CA" w:rsidRPr="00ED4C18" w:rsidRDefault="003C73CB" w:rsidP="004E1BBC">
      <w:pPr>
        <w:pStyle w:val="ListParagraph"/>
        <w:numPr>
          <w:ilvl w:val="1"/>
          <w:numId w:val="1"/>
        </w:numPr>
        <w:jc w:val="both"/>
        <w:rPr>
          <w:szCs w:val="22"/>
        </w:rPr>
      </w:pPr>
      <w:proofErr w:type="spellStart"/>
      <w:r w:rsidRPr="00ED4C18">
        <w:rPr>
          <w:szCs w:val="22"/>
        </w:rPr>
        <w:t>Sofosbuvir</w:t>
      </w:r>
      <w:proofErr w:type="spellEnd"/>
      <w:r w:rsidRPr="00ED4C18">
        <w:rPr>
          <w:szCs w:val="22"/>
        </w:rPr>
        <w:t>, which is used in combination w</w:t>
      </w:r>
      <w:r w:rsidR="00794639" w:rsidRPr="00ED4C18">
        <w:rPr>
          <w:szCs w:val="22"/>
        </w:rPr>
        <w:t xml:space="preserve">ith </w:t>
      </w:r>
      <w:proofErr w:type="spellStart"/>
      <w:r w:rsidR="00794639" w:rsidRPr="00ED4C18">
        <w:rPr>
          <w:szCs w:val="22"/>
        </w:rPr>
        <w:t>peginterferon</w:t>
      </w:r>
      <w:proofErr w:type="spellEnd"/>
      <w:r w:rsidR="00794639" w:rsidRPr="00ED4C18">
        <w:rPr>
          <w:szCs w:val="22"/>
        </w:rPr>
        <w:t xml:space="preserve"> and </w:t>
      </w:r>
      <w:proofErr w:type="gramStart"/>
      <w:r w:rsidR="00794639" w:rsidRPr="00ED4C18">
        <w:rPr>
          <w:szCs w:val="22"/>
        </w:rPr>
        <w:t>ribavirin</w:t>
      </w:r>
      <w:proofErr w:type="gramEnd"/>
      <w:r w:rsidRPr="00ED4C18">
        <w:rPr>
          <w:szCs w:val="22"/>
        </w:rPr>
        <w:t xml:space="preserve"> is a first in class nucleotide analogue inhibitor of HCV specific NS5B polymerase with activity against all HCV genotypes. </w:t>
      </w:r>
      <w:proofErr w:type="spellStart"/>
      <w:r w:rsidRPr="00ED4C18">
        <w:rPr>
          <w:szCs w:val="22"/>
        </w:rPr>
        <w:t>Sofosbuvir</w:t>
      </w:r>
      <w:proofErr w:type="spellEnd"/>
      <w:r w:rsidRPr="00ED4C18">
        <w:rPr>
          <w:szCs w:val="22"/>
        </w:rPr>
        <w:t xml:space="preserve"> </w:t>
      </w:r>
      <w:r w:rsidR="00794639" w:rsidRPr="00ED4C18">
        <w:rPr>
          <w:szCs w:val="22"/>
        </w:rPr>
        <w:t>in combination with ribavirin</w:t>
      </w:r>
      <w:r w:rsidR="00A938DF" w:rsidRPr="00ED4C18">
        <w:rPr>
          <w:szCs w:val="22"/>
        </w:rPr>
        <w:t xml:space="preserve"> </w:t>
      </w:r>
      <w:r w:rsidRPr="00ED4C18">
        <w:rPr>
          <w:szCs w:val="22"/>
        </w:rPr>
        <w:t>also provides a therapeutic option for treatment naïve patients with genotypes 1, 2 or 3 HCV and treatment experienced patients with genotypes 2 or 3 HCV who are unsuitable for interferon based therapy.</w:t>
      </w:r>
    </w:p>
    <w:p w:rsidR="004E1BBC" w:rsidRPr="00ED4C18" w:rsidRDefault="00C35996" w:rsidP="00A938DF">
      <w:pPr>
        <w:pStyle w:val="ListParagraph"/>
        <w:jc w:val="both"/>
        <w:rPr>
          <w:szCs w:val="22"/>
        </w:rPr>
      </w:pPr>
      <w:r w:rsidRPr="00ED4C18">
        <w:rPr>
          <w:szCs w:val="22"/>
        </w:rPr>
        <w:tab/>
      </w:r>
    </w:p>
    <w:p w:rsidR="006A12A5" w:rsidRPr="00ED4C18" w:rsidRDefault="00F85932" w:rsidP="00882085">
      <w:pPr>
        <w:pStyle w:val="ListParagraph"/>
        <w:numPr>
          <w:ilvl w:val="1"/>
          <w:numId w:val="1"/>
        </w:numPr>
        <w:jc w:val="both"/>
        <w:rPr>
          <w:szCs w:val="22"/>
        </w:rPr>
      </w:pPr>
      <w:r w:rsidRPr="00ED4C18">
        <w:rPr>
          <w:szCs w:val="22"/>
        </w:rPr>
        <w:t xml:space="preserve">The ESC considered that it is difficult to define how </w:t>
      </w:r>
      <w:proofErr w:type="spellStart"/>
      <w:r w:rsidRPr="00ED4C18">
        <w:rPr>
          <w:szCs w:val="22"/>
        </w:rPr>
        <w:t>sofosbuvir</w:t>
      </w:r>
      <w:proofErr w:type="spellEnd"/>
      <w:r w:rsidRPr="00ED4C18">
        <w:rPr>
          <w:szCs w:val="22"/>
        </w:rPr>
        <w:t xml:space="preserve"> will be used in clinical practice given the rapidly changing treatment combinations </w:t>
      </w:r>
      <w:r w:rsidR="009C52CA" w:rsidRPr="00ED4C18">
        <w:rPr>
          <w:szCs w:val="22"/>
        </w:rPr>
        <w:t xml:space="preserve">that will </w:t>
      </w:r>
      <w:r w:rsidRPr="00ED4C18">
        <w:rPr>
          <w:szCs w:val="22"/>
        </w:rPr>
        <w:t xml:space="preserve">soon be available to patients. The ESC noted that interferon-free therapy will likely be the treatment preference of patients and clinicians, given many patients, particularly those with asymptomatic infection and no or little liver fibrosis, defer treatment for fear of side effects associated with current treatments and the expectation of new treatment options with higher efficacy and/or a better side effect profile. The ESC considered that simplified interferon-free therapy could broaden access of treatment to patients with limited access to specialised treatment centres such those in regional, rural and remote areas. The ESC noted the results of modelling which suggest that broadening the availability of therapy, including to active intravenous drug users, could significantly impact on HCV transmission (Martin, </w:t>
      </w:r>
      <w:proofErr w:type="spellStart"/>
      <w:r w:rsidRPr="00ED4C18">
        <w:rPr>
          <w:szCs w:val="22"/>
        </w:rPr>
        <w:t>Hepatology</w:t>
      </w:r>
      <w:proofErr w:type="spellEnd"/>
      <w:r w:rsidRPr="00ED4C18">
        <w:rPr>
          <w:szCs w:val="22"/>
        </w:rPr>
        <w:t xml:space="preserve">, 2013, 58:1598). </w:t>
      </w:r>
    </w:p>
    <w:p w:rsidR="00C07C20" w:rsidRPr="00ED4C18" w:rsidRDefault="00C07C20" w:rsidP="00C07C20">
      <w:pPr>
        <w:jc w:val="both"/>
        <w:rPr>
          <w:szCs w:val="22"/>
        </w:rPr>
      </w:pPr>
    </w:p>
    <w:p w:rsidR="00BB7EC3" w:rsidRPr="00ED4C18" w:rsidRDefault="00BB7EC3" w:rsidP="00BB7EC3">
      <w:pPr>
        <w:pStyle w:val="ListParagraph"/>
        <w:ind w:left="709"/>
        <w:jc w:val="both"/>
        <w:rPr>
          <w:i/>
          <w:szCs w:val="22"/>
        </w:rPr>
      </w:pPr>
      <w:r w:rsidRPr="00ED4C18">
        <w:rPr>
          <w:i/>
          <w:szCs w:val="22"/>
        </w:rPr>
        <w:t>For more detail on PBAC’s view, see section 7 “PBAC outcome”</w:t>
      </w:r>
      <w:r w:rsidR="00280FCB" w:rsidRPr="00ED4C18">
        <w:rPr>
          <w:i/>
          <w:szCs w:val="22"/>
        </w:rPr>
        <w:t>.</w:t>
      </w:r>
    </w:p>
    <w:p w:rsidR="00BB7EC3" w:rsidRPr="00ED4C18" w:rsidRDefault="00BB7EC3" w:rsidP="00882085">
      <w:pPr>
        <w:pStyle w:val="Header"/>
        <w:tabs>
          <w:tab w:val="clear" w:pos="4153"/>
          <w:tab w:val="clear" w:pos="8306"/>
        </w:tabs>
        <w:jc w:val="both"/>
        <w:rPr>
          <w:szCs w:val="22"/>
        </w:rPr>
      </w:pPr>
    </w:p>
    <w:p w:rsidR="005A3173" w:rsidRPr="00ED4C18" w:rsidRDefault="005A3173" w:rsidP="00983C54">
      <w:pPr>
        <w:pStyle w:val="Header"/>
        <w:numPr>
          <w:ilvl w:val="0"/>
          <w:numId w:val="1"/>
        </w:numPr>
        <w:tabs>
          <w:tab w:val="clear" w:pos="4153"/>
          <w:tab w:val="clear" w:pos="8306"/>
        </w:tabs>
        <w:jc w:val="both"/>
        <w:rPr>
          <w:b/>
          <w:szCs w:val="22"/>
        </w:rPr>
      </w:pPr>
      <w:r w:rsidRPr="00ED4C18">
        <w:rPr>
          <w:b/>
          <w:szCs w:val="22"/>
        </w:rPr>
        <w:t>Comparator</w:t>
      </w:r>
    </w:p>
    <w:p w:rsidR="005A3173" w:rsidRPr="00ED4C18" w:rsidRDefault="005A3173" w:rsidP="00882085">
      <w:pPr>
        <w:pStyle w:val="Header"/>
        <w:tabs>
          <w:tab w:val="clear" w:pos="4153"/>
          <w:tab w:val="clear" w:pos="8306"/>
        </w:tabs>
        <w:jc w:val="both"/>
        <w:rPr>
          <w:b/>
          <w:szCs w:val="22"/>
        </w:rPr>
      </w:pPr>
    </w:p>
    <w:p w:rsidR="00BB7EC3" w:rsidRPr="00ED4C18" w:rsidRDefault="003C73CB" w:rsidP="00983C54">
      <w:pPr>
        <w:pStyle w:val="ListParagraph"/>
        <w:numPr>
          <w:ilvl w:val="1"/>
          <w:numId w:val="1"/>
        </w:numPr>
        <w:jc w:val="both"/>
        <w:rPr>
          <w:szCs w:val="22"/>
        </w:rPr>
      </w:pPr>
      <w:r w:rsidRPr="00ED4C18">
        <w:rPr>
          <w:szCs w:val="22"/>
        </w:rPr>
        <w:t xml:space="preserve">The appropriate comparator for </w:t>
      </w:r>
      <w:proofErr w:type="spellStart"/>
      <w:r w:rsidRPr="00ED4C18">
        <w:rPr>
          <w:szCs w:val="22"/>
        </w:rPr>
        <w:t>sofosbuvir</w:t>
      </w:r>
      <w:proofErr w:type="spellEnd"/>
      <w:r w:rsidRPr="00ED4C18">
        <w:rPr>
          <w:szCs w:val="22"/>
        </w:rPr>
        <w:t xml:space="preserve"> is dependent upon the HCV genotype, prior exposure to treatment and suitability for treatment with interferon.  The duration </w:t>
      </w:r>
      <w:r w:rsidRPr="00ED4C18">
        <w:rPr>
          <w:szCs w:val="22"/>
        </w:rPr>
        <w:lastRenderedPageBreak/>
        <w:t xml:space="preserve">of treatment with the comparator also depends upon the presence or absence of cirrhosis.  The following comparators </w:t>
      </w:r>
      <w:r w:rsidR="00891194" w:rsidRPr="00ED4C18">
        <w:rPr>
          <w:szCs w:val="22"/>
        </w:rPr>
        <w:t>were</w:t>
      </w:r>
      <w:r w:rsidRPr="00ED4C18">
        <w:rPr>
          <w:szCs w:val="22"/>
        </w:rPr>
        <w:t xml:space="preserve"> nominated in the submission:</w:t>
      </w:r>
    </w:p>
    <w:tbl>
      <w:tblPr>
        <w:tblStyle w:val="TableGrid"/>
        <w:tblpPr w:leftFromText="180" w:rightFromText="180" w:vertAnchor="text" w:horzAnchor="margin" w:tblpX="783" w:tblpY="123"/>
        <w:tblW w:w="4542" w:type="pct"/>
        <w:tblLayout w:type="fixed"/>
        <w:tblLook w:val="04A0" w:firstRow="1" w:lastRow="0" w:firstColumn="1" w:lastColumn="0" w:noHBand="0" w:noVBand="1"/>
        <w:tblDescription w:val="comparators were nominated in the submission"/>
      </w:tblPr>
      <w:tblGrid>
        <w:gridCol w:w="2159"/>
        <w:gridCol w:w="3402"/>
        <w:gridCol w:w="2834"/>
      </w:tblGrid>
      <w:tr w:rsidR="00ED4C18" w:rsidRPr="00ED4C18" w:rsidTr="00D16494">
        <w:trPr>
          <w:tblHeader/>
        </w:trPr>
        <w:tc>
          <w:tcPr>
            <w:tcW w:w="2160" w:type="dxa"/>
            <w:vAlign w:val="center"/>
          </w:tcPr>
          <w:p w:rsidR="00064151" w:rsidRPr="00ED4C18" w:rsidRDefault="00064151" w:rsidP="00E06107">
            <w:pPr>
              <w:rPr>
                <w:rFonts w:ascii="Arial Narrow" w:hAnsi="Arial Narrow"/>
                <w:b/>
                <w:sz w:val="20"/>
              </w:rPr>
            </w:pPr>
            <w:r w:rsidRPr="00ED4C18">
              <w:rPr>
                <w:rFonts w:ascii="Arial Narrow" w:hAnsi="Arial Narrow"/>
                <w:b/>
                <w:sz w:val="20"/>
              </w:rPr>
              <w:t>HCV Genotype</w:t>
            </w:r>
          </w:p>
        </w:tc>
        <w:tc>
          <w:tcPr>
            <w:tcW w:w="3402" w:type="dxa"/>
            <w:vAlign w:val="center"/>
          </w:tcPr>
          <w:p w:rsidR="00064151" w:rsidRPr="00ED4C18" w:rsidRDefault="00064151" w:rsidP="00E06107">
            <w:pPr>
              <w:rPr>
                <w:rFonts w:ascii="Arial Narrow" w:hAnsi="Arial Narrow"/>
                <w:b/>
                <w:sz w:val="20"/>
              </w:rPr>
            </w:pPr>
            <w:r w:rsidRPr="00ED4C18">
              <w:rPr>
                <w:rFonts w:ascii="Arial Narrow" w:hAnsi="Arial Narrow"/>
                <w:b/>
                <w:sz w:val="20"/>
              </w:rPr>
              <w:t>Proposed Comparator</w:t>
            </w:r>
            <w:r w:rsidR="00794639" w:rsidRPr="00ED4C18">
              <w:rPr>
                <w:rFonts w:ascii="Arial Narrow" w:hAnsi="Arial Narrow"/>
                <w:b/>
                <w:sz w:val="20"/>
              </w:rPr>
              <w:t xml:space="preserve"> (in submission)</w:t>
            </w:r>
          </w:p>
        </w:tc>
        <w:tc>
          <w:tcPr>
            <w:tcW w:w="2834" w:type="dxa"/>
          </w:tcPr>
          <w:p w:rsidR="00064151" w:rsidRPr="00ED4C18" w:rsidRDefault="00ED15BD" w:rsidP="00E06107">
            <w:pPr>
              <w:rPr>
                <w:rFonts w:ascii="Arial Narrow" w:hAnsi="Arial Narrow"/>
                <w:b/>
                <w:sz w:val="20"/>
              </w:rPr>
            </w:pPr>
            <w:r w:rsidRPr="00ED4C18">
              <w:rPr>
                <w:rFonts w:ascii="Arial Narrow" w:hAnsi="Arial Narrow"/>
                <w:b/>
                <w:sz w:val="20"/>
              </w:rPr>
              <w:t>Alternate Comparator considering the total pool of individuals with HCV including those eligible for, but deferring, IFN-based therapy</w:t>
            </w:r>
            <w:r w:rsidR="00794639" w:rsidRPr="00ED4C18">
              <w:rPr>
                <w:rFonts w:ascii="Arial Narrow" w:hAnsi="Arial Narrow"/>
                <w:b/>
                <w:sz w:val="20"/>
              </w:rPr>
              <w:t xml:space="preserve"> (ESC Advice)</w:t>
            </w:r>
          </w:p>
        </w:tc>
      </w:tr>
      <w:tr w:rsidR="00ED4C18" w:rsidRPr="00ED4C18" w:rsidTr="00E06107">
        <w:tc>
          <w:tcPr>
            <w:tcW w:w="5562" w:type="dxa"/>
            <w:gridSpan w:val="2"/>
            <w:shd w:val="clear" w:color="auto" w:fill="D9D9D9" w:themeFill="background1" w:themeFillShade="D9"/>
            <w:vAlign w:val="center"/>
          </w:tcPr>
          <w:p w:rsidR="00064151" w:rsidRPr="00ED4C18" w:rsidRDefault="00064151" w:rsidP="00E06107">
            <w:pPr>
              <w:rPr>
                <w:rFonts w:ascii="Arial Narrow" w:hAnsi="Arial Narrow"/>
                <w:sz w:val="20"/>
              </w:rPr>
            </w:pPr>
            <w:r w:rsidRPr="00ED4C18">
              <w:rPr>
                <w:rFonts w:ascii="Arial Narrow" w:hAnsi="Arial Narrow"/>
                <w:sz w:val="20"/>
              </w:rPr>
              <w:t>Treatment naïve, suitable for IFN</w:t>
            </w:r>
          </w:p>
        </w:tc>
        <w:tc>
          <w:tcPr>
            <w:tcW w:w="2834" w:type="dxa"/>
            <w:shd w:val="clear" w:color="auto" w:fill="D9D9D9" w:themeFill="background1" w:themeFillShade="D9"/>
          </w:tcPr>
          <w:p w:rsidR="00064151" w:rsidRPr="00ED4C18" w:rsidRDefault="00064151" w:rsidP="00E06107">
            <w:pPr>
              <w:rPr>
                <w:rFonts w:ascii="Arial Narrow" w:hAnsi="Arial Narrow"/>
                <w:sz w:val="20"/>
              </w:rPr>
            </w:pPr>
          </w:p>
        </w:tc>
      </w:tr>
      <w:tr w:rsidR="00ED4C18" w:rsidRPr="00ED4C18" w:rsidTr="00E06107">
        <w:tc>
          <w:tcPr>
            <w:tcW w:w="2160" w:type="dxa"/>
            <w:vAlign w:val="center"/>
          </w:tcPr>
          <w:p w:rsidR="00064151" w:rsidRPr="00ED4C18" w:rsidRDefault="00064151" w:rsidP="00E06107">
            <w:pPr>
              <w:rPr>
                <w:rFonts w:ascii="Arial Narrow" w:hAnsi="Arial Narrow"/>
                <w:sz w:val="20"/>
              </w:rPr>
            </w:pPr>
            <w:r w:rsidRPr="00ED4C18">
              <w:rPr>
                <w:rFonts w:ascii="Arial Narrow" w:hAnsi="Arial Narrow"/>
                <w:sz w:val="20"/>
              </w:rPr>
              <w:t>1</w:t>
            </w:r>
          </w:p>
        </w:tc>
        <w:tc>
          <w:tcPr>
            <w:tcW w:w="3402" w:type="dxa"/>
            <w:vAlign w:val="center"/>
          </w:tcPr>
          <w:p w:rsidR="00064151" w:rsidRPr="00ED4C18" w:rsidRDefault="00064151" w:rsidP="00E06107">
            <w:pPr>
              <w:rPr>
                <w:rFonts w:ascii="Arial Narrow" w:hAnsi="Arial Narrow"/>
                <w:sz w:val="20"/>
              </w:rPr>
            </w:pPr>
            <w:r w:rsidRPr="00ED4C18">
              <w:rPr>
                <w:rFonts w:ascii="Arial Narrow" w:hAnsi="Arial Narrow"/>
                <w:sz w:val="20"/>
              </w:rPr>
              <w:t>TVR+PEG+RBV (RGT 24-48 weeks)</w:t>
            </w:r>
          </w:p>
          <w:p w:rsidR="00064151" w:rsidRPr="00ED4C18" w:rsidRDefault="00064151" w:rsidP="00E06107">
            <w:pPr>
              <w:rPr>
                <w:rFonts w:ascii="Arial Narrow" w:hAnsi="Arial Narrow"/>
                <w:sz w:val="20"/>
              </w:rPr>
            </w:pPr>
            <w:r w:rsidRPr="00ED4C18">
              <w:rPr>
                <w:rFonts w:ascii="Arial Narrow" w:hAnsi="Arial Narrow"/>
                <w:sz w:val="20"/>
              </w:rPr>
              <w:t>BOC+PEG+RBV (RGT 28-48 weeks)</w:t>
            </w:r>
          </w:p>
        </w:tc>
        <w:tc>
          <w:tcPr>
            <w:tcW w:w="2834" w:type="dxa"/>
          </w:tcPr>
          <w:p w:rsidR="00064151" w:rsidRPr="00ED4C18" w:rsidRDefault="00ED15BD" w:rsidP="00E06107">
            <w:pPr>
              <w:rPr>
                <w:rFonts w:ascii="Arial Narrow" w:hAnsi="Arial Narrow"/>
                <w:sz w:val="20"/>
              </w:rPr>
            </w:pPr>
            <w:r w:rsidRPr="00ED4C18">
              <w:rPr>
                <w:rFonts w:ascii="Arial Narrow" w:hAnsi="Arial Narrow"/>
                <w:sz w:val="20"/>
              </w:rPr>
              <w:t>No treatment</w:t>
            </w:r>
          </w:p>
        </w:tc>
      </w:tr>
      <w:tr w:rsidR="00ED4C18" w:rsidRPr="00ED4C18" w:rsidTr="00E06107">
        <w:tc>
          <w:tcPr>
            <w:tcW w:w="2160" w:type="dxa"/>
            <w:vAlign w:val="center"/>
          </w:tcPr>
          <w:p w:rsidR="00064151" w:rsidRPr="00ED4C18" w:rsidRDefault="00064151" w:rsidP="00E06107">
            <w:pPr>
              <w:rPr>
                <w:rFonts w:ascii="Arial Narrow" w:hAnsi="Arial Narrow"/>
                <w:sz w:val="20"/>
              </w:rPr>
            </w:pPr>
            <w:r w:rsidRPr="00ED4C18">
              <w:rPr>
                <w:rFonts w:ascii="Arial Narrow" w:hAnsi="Arial Narrow"/>
                <w:sz w:val="20"/>
              </w:rPr>
              <w:t>2, 3</w:t>
            </w:r>
          </w:p>
        </w:tc>
        <w:tc>
          <w:tcPr>
            <w:tcW w:w="3402" w:type="dxa"/>
            <w:vAlign w:val="center"/>
          </w:tcPr>
          <w:p w:rsidR="00064151" w:rsidRPr="00ED4C18" w:rsidRDefault="00064151" w:rsidP="00E06107">
            <w:pPr>
              <w:rPr>
                <w:rFonts w:ascii="Arial Narrow" w:hAnsi="Arial Narrow"/>
                <w:sz w:val="20"/>
              </w:rPr>
            </w:pPr>
            <w:r w:rsidRPr="00ED4C18">
              <w:rPr>
                <w:rFonts w:ascii="Arial Narrow" w:hAnsi="Arial Narrow"/>
                <w:sz w:val="20"/>
              </w:rPr>
              <w:t>PEG+RBV (RGT 24-48 weeks)</w:t>
            </w:r>
          </w:p>
        </w:tc>
        <w:tc>
          <w:tcPr>
            <w:tcW w:w="2834" w:type="dxa"/>
          </w:tcPr>
          <w:p w:rsidR="00064151" w:rsidRPr="00ED4C18" w:rsidRDefault="00ED15BD" w:rsidP="00E06107">
            <w:pPr>
              <w:rPr>
                <w:rFonts w:ascii="Arial Narrow" w:hAnsi="Arial Narrow"/>
                <w:sz w:val="20"/>
              </w:rPr>
            </w:pPr>
            <w:r w:rsidRPr="00ED4C18">
              <w:rPr>
                <w:rFonts w:ascii="Arial Narrow" w:hAnsi="Arial Narrow"/>
                <w:sz w:val="20"/>
              </w:rPr>
              <w:t>No treatment</w:t>
            </w:r>
          </w:p>
        </w:tc>
      </w:tr>
      <w:tr w:rsidR="00ED4C18" w:rsidRPr="00ED4C18" w:rsidTr="00E06107">
        <w:tc>
          <w:tcPr>
            <w:tcW w:w="2160" w:type="dxa"/>
            <w:vAlign w:val="center"/>
          </w:tcPr>
          <w:p w:rsidR="00064151" w:rsidRPr="00ED4C18" w:rsidRDefault="00064151" w:rsidP="00E06107">
            <w:pPr>
              <w:rPr>
                <w:rFonts w:ascii="Arial Narrow" w:hAnsi="Arial Narrow"/>
                <w:sz w:val="20"/>
              </w:rPr>
            </w:pPr>
            <w:r w:rsidRPr="00ED4C18">
              <w:rPr>
                <w:rFonts w:ascii="Arial Narrow" w:hAnsi="Arial Narrow"/>
                <w:sz w:val="20"/>
              </w:rPr>
              <w:t>4, 5, 6</w:t>
            </w:r>
          </w:p>
        </w:tc>
        <w:tc>
          <w:tcPr>
            <w:tcW w:w="3402" w:type="dxa"/>
            <w:vAlign w:val="center"/>
          </w:tcPr>
          <w:p w:rsidR="00064151" w:rsidRPr="00ED4C18" w:rsidRDefault="00064151" w:rsidP="00E06107">
            <w:pPr>
              <w:rPr>
                <w:rFonts w:ascii="Arial Narrow" w:hAnsi="Arial Narrow"/>
                <w:sz w:val="20"/>
              </w:rPr>
            </w:pPr>
            <w:r w:rsidRPr="00ED4C18">
              <w:rPr>
                <w:rFonts w:ascii="Arial Narrow" w:hAnsi="Arial Narrow"/>
                <w:sz w:val="20"/>
              </w:rPr>
              <w:t>PEG+RBV (RGT 48 weeks)</w:t>
            </w:r>
          </w:p>
        </w:tc>
        <w:tc>
          <w:tcPr>
            <w:tcW w:w="2834" w:type="dxa"/>
          </w:tcPr>
          <w:p w:rsidR="00064151" w:rsidRPr="00ED4C18" w:rsidRDefault="00ED15BD" w:rsidP="00E06107">
            <w:pPr>
              <w:rPr>
                <w:rFonts w:ascii="Arial Narrow" w:hAnsi="Arial Narrow"/>
                <w:sz w:val="20"/>
              </w:rPr>
            </w:pPr>
            <w:r w:rsidRPr="00ED4C18">
              <w:rPr>
                <w:rFonts w:ascii="Arial Narrow" w:hAnsi="Arial Narrow"/>
                <w:sz w:val="20"/>
              </w:rPr>
              <w:t>No treatment</w:t>
            </w:r>
          </w:p>
        </w:tc>
      </w:tr>
      <w:tr w:rsidR="00ED4C18" w:rsidRPr="00ED4C18" w:rsidTr="00E06107">
        <w:tc>
          <w:tcPr>
            <w:tcW w:w="5562" w:type="dxa"/>
            <w:gridSpan w:val="2"/>
            <w:shd w:val="clear" w:color="auto" w:fill="D9D9D9" w:themeFill="background1" w:themeFillShade="D9"/>
            <w:vAlign w:val="center"/>
          </w:tcPr>
          <w:p w:rsidR="00064151" w:rsidRPr="00ED4C18" w:rsidRDefault="00064151" w:rsidP="00E06107">
            <w:pPr>
              <w:rPr>
                <w:rFonts w:ascii="Arial Narrow" w:hAnsi="Arial Narrow"/>
                <w:sz w:val="20"/>
              </w:rPr>
            </w:pPr>
            <w:r w:rsidRPr="00ED4C18">
              <w:rPr>
                <w:rFonts w:ascii="Arial Narrow" w:hAnsi="Arial Narrow"/>
                <w:sz w:val="20"/>
              </w:rPr>
              <w:t>Treatment naïve, unsuitable for IFN</w:t>
            </w:r>
          </w:p>
        </w:tc>
        <w:tc>
          <w:tcPr>
            <w:tcW w:w="2834" w:type="dxa"/>
            <w:shd w:val="clear" w:color="auto" w:fill="D9D9D9" w:themeFill="background1" w:themeFillShade="D9"/>
          </w:tcPr>
          <w:p w:rsidR="00064151" w:rsidRPr="00ED4C18" w:rsidRDefault="00064151" w:rsidP="00E06107">
            <w:pPr>
              <w:rPr>
                <w:rFonts w:ascii="Arial Narrow" w:hAnsi="Arial Narrow"/>
                <w:sz w:val="20"/>
              </w:rPr>
            </w:pPr>
          </w:p>
        </w:tc>
      </w:tr>
      <w:tr w:rsidR="00ED4C18" w:rsidRPr="00ED4C18" w:rsidTr="00E06107">
        <w:tc>
          <w:tcPr>
            <w:tcW w:w="2160" w:type="dxa"/>
            <w:vAlign w:val="center"/>
          </w:tcPr>
          <w:p w:rsidR="00064151" w:rsidRPr="00ED4C18" w:rsidRDefault="00064151" w:rsidP="00E06107">
            <w:pPr>
              <w:rPr>
                <w:rFonts w:ascii="Arial Narrow" w:hAnsi="Arial Narrow"/>
                <w:sz w:val="20"/>
              </w:rPr>
            </w:pPr>
            <w:r w:rsidRPr="00ED4C18">
              <w:rPr>
                <w:rFonts w:ascii="Arial Narrow" w:hAnsi="Arial Narrow"/>
                <w:sz w:val="20"/>
              </w:rPr>
              <w:t>1, 2, 3</w:t>
            </w:r>
          </w:p>
        </w:tc>
        <w:tc>
          <w:tcPr>
            <w:tcW w:w="3402" w:type="dxa"/>
            <w:vAlign w:val="center"/>
          </w:tcPr>
          <w:p w:rsidR="00064151" w:rsidRPr="00ED4C18" w:rsidRDefault="00064151" w:rsidP="00E06107">
            <w:pPr>
              <w:rPr>
                <w:rFonts w:ascii="Arial Narrow" w:hAnsi="Arial Narrow"/>
                <w:sz w:val="20"/>
              </w:rPr>
            </w:pPr>
            <w:r w:rsidRPr="00ED4C18">
              <w:rPr>
                <w:rFonts w:ascii="Arial Narrow" w:hAnsi="Arial Narrow"/>
                <w:sz w:val="20"/>
              </w:rPr>
              <w:t>No treatment</w:t>
            </w:r>
          </w:p>
        </w:tc>
        <w:tc>
          <w:tcPr>
            <w:tcW w:w="2834" w:type="dxa"/>
          </w:tcPr>
          <w:p w:rsidR="00064151" w:rsidRPr="00ED4C18" w:rsidRDefault="00ED15BD" w:rsidP="00E06107">
            <w:pPr>
              <w:rPr>
                <w:rFonts w:ascii="Arial Narrow" w:hAnsi="Arial Narrow"/>
                <w:sz w:val="20"/>
              </w:rPr>
            </w:pPr>
            <w:r w:rsidRPr="00ED4C18">
              <w:rPr>
                <w:rFonts w:ascii="Arial Narrow" w:hAnsi="Arial Narrow"/>
                <w:sz w:val="20"/>
              </w:rPr>
              <w:t>No treatment</w:t>
            </w:r>
          </w:p>
        </w:tc>
      </w:tr>
      <w:tr w:rsidR="00ED4C18" w:rsidRPr="00ED4C18" w:rsidTr="00E06107">
        <w:tc>
          <w:tcPr>
            <w:tcW w:w="5562" w:type="dxa"/>
            <w:gridSpan w:val="2"/>
            <w:shd w:val="clear" w:color="auto" w:fill="D9D9D9" w:themeFill="background1" w:themeFillShade="D9"/>
            <w:vAlign w:val="center"/>
          </w:tcPr>
          <w:p w:rsidR="00064151" w:rsidRPr="00ED4C18" w:rsidRDefault="00064151" w:rsidP="00E06107">
            <w:pPr>
              <w:rPr>
                <w:rFonts w:ascii="Arial Narrow" w:hAnsi="Arial Narrow"/>
                <w:sz w:val="20"/>
              </w:rPr>
            </w:pPr>
            <w:r w:rsidRPr="00ED4C18">
              <w:rPr>
                <w:rFonts w:ascii="Arial Narrow" w:hAnsi="Arial Narrow"/>
                <w:sz w:val="20"/>
              </w:rPr>
              <w:t>Treatment experienced, suitable for IFN</w:t>
            </w:r>
          </w:p>
        </w:tc>
        <w:tc>
          <w:tcPr>
            <w:tcW w:w="2834" w:type="dxa"/>
            <w:shd w:val="clear" w:color="auto" w:fill="D9D9D9" w:themeFill="background1" w:themeFillShade="D9"/>
          </w:tcPr>
          <w:p w:rsidR="00064151" w:rsidRPr="00ED4C18" w:rsidRDefault="00064151" w:rsidP="00E06107">
            <w:pPr>
              <w:rPr>
                <w:rFonts w:ascii="Arial Narrow" w:hAnsi="Arial Narrow"/>
                <w:sz w:val="20"/>
              </w:rPr>
            </w:pPr>
          </w:p>
        </w:tc>
      </w:tr>
      <w:tr w:rsidR="00ED4C18" w:rsidRPr="00ED4C18" w:rsidTr="00E06107">
        <w:tc>
          <w:tcPr>
            <w:tcW w:w="2160" w:type="dxa"/>
            <w:vAlign w:val="center"/>
          </w:tcPr>
          <w:p w:rsidR="00064151" w:rsidRPr="00ED4C18" w:rsidRDefault="00064151" w:rsidP="00E06107">
            <w:pPr>
              <w:rPr>
                <w:rFonts w:ascii="Arial Narrow" w:hAnsi="Arial Narrow"/>
                <w:sz w:val="20"/>
              </w:rPr>
            </w:pPr>
            <w:r w:rsidRPr="00ED4C18">
              <w:rPr>
                <w:rFonts w:ascii="Arial Narrow" w:hAnsi="Arial Narrow"/>
                <w:sz w:val="20"/>
              </w:rPr>
              <w:t>2, 3</w:t>
            </w:r>
          </w:p>
        </w:tc>
        <w:tc>
          <w:tcPr>
            <w:tcW w:w="3402" w:type="dxa"/>
            <w:vAlign w:val="center"/>
          </w:tcPr>
          <w:p w:rsidR="00064151" w:rsidRPr="00ED4C18" w:rsidRDefault="00064151" w:rsidP="00E06107">
            <w:pPr>
              <w:rPr>
                <w:rFonts w:ascii="Arial Narrow" w:hAnsi="Arial Narrow"/>
                <w:sz w:val="20"/>
              </w:rPr>
            </w:pPr>
            <w:r w:rsidRPr="00ED4C18">
              <w:rPr>
                <w:rFonts w:ascii="Arial Narrow" w:hAnsi="Arial Narrow"/>
                <w:sz w:val="20"/>
              </w:rPr>
              <w:t>No treatment</w:t>
            </w:r>
          </w:p>
        </w:tc>
        <w:tc>
          <w:tcPr>
            <w:tcW w:w="2834" w:type="dxa"/>
          </w:tcPr>
          <w:p w:rsidR="00064151" w:rsidRPr="00ED4C18" w:rsidRDefault="00ED15BD" w:rsidP="00E06107">
            <w:pPr>
              <w:rPr>
                <w:rFonts w:ascii="Arial Narrow" w:hAnsi="Arial Narrow"/>
                <w:sz w:val="20"/>
              </w:rPr>
            </w:pPr>
            <w:r w:rsidRPr="00ED4C18">
              <w:rPr>
                <w:rFonts w:ascii="Arial Narrow" w:hAnsi="Arial Narrow"/>
                <w:sz w:val="20"/>
              </w:rPr>
              <w:t>No treatment</w:t>
            </w:r>
          </w:p>
        </w:tc>
      </w:tr>
      <w:tr w:rsidR="00ED4C18" w:rsidRPr="00ED4C18" w:rsidTr="00E06107">
        <w:tc>
          <w:tcPr>
            <w:tcW w:w="5562" w:type="dxa"/>
            <w:gridSpan w:val="2"/>
            <w:shd w:val="clear" w:color="auto" w:fill="D9D9D9" w:themeFill="background1" w:themeFillShade="D9"/>
            <w:vAlign w:val="center"/>
          </w:tcPr>
          <w:p w:rsidR="00064151" w:rsidRPr="00ED4C18" w:rsidRDefault="00064151" w:rsidP="00E06107">
            <w:pPr>
              <w:rPr>
                <w:rFonts w:ascii="Arial Narrow" w:hAnsi="Arial Narrow"/>
                <w:sz w:val="20"/>
              </w:rPr>
            </w:pPr>
            <w:r w:rsidRPr="00ED4C18">
              <w:rPr>
                <w:rFonts w:ascii="Arial Narrow" w:hAnsi="Arial Narrow"/>
                <w:sz w:val="20"/>
              </w:rPr>
              <w:t>Treatment experienced, unsuitable for IFN</w:t>
            </w:r>
          </w:p>
        </w:tc>
        <w:tc>
          <w:tcPr>
            <w:tcW w:w="2834" w:type="dxa"/>
            <w:shd w:val="clear" w:color="auto" w:fill="D9D9D9" w:themeFill="background1" w:themeFillShade="D9"/>
          </w:tcPr>
          <w:p w:rsidR="00064151" w:rsidRPr="00ED4C18" w:rsidRDefault="00064151" w:rsidP="00E06107">
            <w:pPr>
              <w:rPr>
                <w:rFonts w:ascii="Arial Narrow" w:hAnsi="Arial Narrow"/>
                <w:sz w:val="20"/>
              </w:rPr>
            </w:pPr>
          </w:p>
        </w:tc>
      </w:tr>
      <w:tr w:rsidR="00ED4C18" w:rsidRPr="00ED4C18" w:rsidTr="00E06107">
        <w:tc>
          <w:tcPr>
            <w:tcW w:w="2160" w:type="dxa"/>
            <w:vAlign w:val="center"/>
          </w:tcPr>
          <w:p w:rsidR="00064151" w:rsidRPr="00ED4C18" w:rsidRDefault="00064151" w:rsidP="00E06107">
            <w:pPr>
              <w:rPr>
                <w:rFonts w:ascii="Arial Narrow" w:hAnsi="Arial Narrow"/>
                <w:sz w:val="20"/>
              </w:rPr>
            </w:pPr>
            <w:r w:rsidRPr="00ED4C18">
              <w:rPr>
                <w:rFonts w:ascii="Arial Narrow" w:hAnsi="Arial Narrow"/>
                <w:sz w:val="20"/>
              </w:rPr>
              <w:t>2, 3</w:t>
            </w:r>
          </w:p>
        </w:tc>
        <w:tc>
          <w:tcPr>
            <w:tcW w:w="3402" w:type="dxa"/>
            <w:vAlign w:val="center"/>
          </w:tcPr>
          <w:p w:rsidR="00064151" w:rsidRPr="00ED4C18" w:rsidRDefault="00064151" w:rsidP="00E06107">
            <w:pPr>
              <w:rPr>
                <w:rFonts w:ascii="Arial Narrow" w:hAnsi="Arial Narrow"/>
                <w:sz w:val="20"/>
              </w:rPr>
            </w:pPr>
            <w:r w:rsidRPr="00ED4C18">
              <w:rPr>
                <w:rFonts w:ascii="Arial Narrow" w:hAnsi="Arial Narrow"/>
                <w:sz w:val="20"/>
              </w:rPr>
              <w:t>No treatment</w:t>
            </w:r>
          </w:p>
        </w:tc>
        <w:tc>
          <w:tcPr>
            <w:tcW w:w="2834" w:type="dxa"/>
          </w:tcPr>
          <w:p w:rsidR="00064151" w:rsidRPr="00ED4C18" w:rsidRDefault="00ED15BD" w:rsidP="00E06107">
            <w:pPr>
              <w:rPr>
                <w:rFonts w:ascii="Arial Narrow" w:hAnsi="Arial Narrow"/>
                <w:sz w:val="20"/>
              </w:rPr>
            </w:pPr>
            <w:r w:rsidRPr="00ED4C18">
              <w:rPr>
                <w:rFonts w:ascii="Arial Narrow" w:hAnsi="Arial Narrow"/>
                <w:sz w:val="20"/>
              </w:rPr>
              <w:t>No treatment</w:t>
            </w:r>
          </w:p>
        </w:tc>
      </w:tr>
    </w:tbl>
    <w:p w:rsidR="00064151" w:rsidRDefault="00064151" w:rsidP="00064151">
      <w:pPr>
        <w:jc w:val="both"/>
        <w:rPr>
          <w:szCs w:val="22"/>
        </w:rPr>
      </w:pPr>
    </w:p>
    <w:p w:rsidR="00E06107" w:rsidRDefault="00E06107" w:rsidP="00064151">
      <w:pPr>
        <w:jc w:val="both"/>
        <w:rPr>
          <w:szCs w:val="22"/>
        </w:rPr>
      </w:pPr>
    </w:p>
    <w:p w:rsidR="00E06107" w:rsidRDefault="00E06107" w:rsidP="00064151">
      <w:pPr>
        <w:jc w:val="both"/>
        <w:rPr>
          <w:szCs w:val="22"/>
        </w:rPr>
      </w:pPr>
    </w:p>
    <w:p w:rsidR="00E06107" w:rsidRDefault="00E06107" w:rsidP="00064151">
      <w:pPr>
        <w:jc w:val="both"/>
        <w:rPr>
          <w:szCs w:val="22"/>
        </w:rPr>
      </w:pPr>
    </w:p>
    <w:p w:rsidR="00E06107" w:rsidRDefault="00E06107" w:rsidP="00064151">
      <w:pPr>
        <w:jc w:val="both"/>
        <w:rPr>
          <w:szCs w:val="22"/>
        </w:rPr>
      </w:pPr>
    </w:p>
    <w:p w:rsidR="00E06107" w:rsidRDefault="00E06107" w:rsidP="00064151">
      <w:pPr>
        <w:jc w:val="both"/>
        <w:rPr>
          <w:szCs w:val="22"/>
        </w:rPr>
      </w:pPr>
    </w:p>
    <w:p w:rsidR="00E06107" w:rsidRDefault="00E06107" w:rsidP="00064151">
      <w:pPr>
        <w:jc w:val="both"/>
        <w:rPr>
          <w:szCs w:val="22"/>
        </w:rPr>
      </w:pPr>
    </w:p>
    <w:p w:rsidR="00E06107" w:rsidRDefault="00E06107" w:rsidP="00064151">
      <w:pPr>
        <w:jc w:val="both"/>
        <w:rPr>
          <w:szCs w:val="22"/>
        </w:rPr>
      </w:pPr>
    </w:p>
    <w:p w:rsidR="00E06107" w:rsidRDefault="00E06107" w:rsidP="00064151">
      <w:pPr>
        <w:jc w:val="both"/>
        <w:rPr>
          <w:szCs w:val="22"/>
        </w:rPr>
      </w:pPr>
    </w:p>
    <w:p w:rsidR="00E06107" w:rsidRDefault="00E06107" w:rsidP="00064151">
      <w:pPr>
        <w:jc w:val="both"/>
        <w:rPr>
          <w:szCs w:val="22"/>
        </w:rPr>
      </w:pPr>
    </w:p>
    <w:p w:rsidR="00E06107" w:rsidRDefault="00E06107" w:rsidP="00064151">
      <w:pPr>
        <w:jc w:val="both"/>
        <w:rPr>
          <w:szCs w:val="22"/>
        </w:rPr>
      </w:pPr>
    </w:p>
    <w:p w:rsidR="00E06107" w:rsidRDefault="00E06107" w:rsidP="00064151">
      <w:pPr>
        <w:jc w:val="both"/>
        <w:rPr>
          <w:szCs w:val="22"/>
        </w:rPr>
      </w:pPr>
    </w:p>
    <w:p w:rsidR="00E06107" w:rsidRDefault="00E06107" w:rsidP="00064151">
      <w:pPr>
        <w:jc w:val="both"/>
        <w:rPr>
          <w:szCs w:val="22"/>
        </w:rPr>
      </w:pPr>
    </w:p>
    <w:p w:rsidR="00E06107" w:rsidRDefault="00E06107" w:rsidP="00064151">
      <w:pPr>
        <w:jc w:val="both"/>
        <w:rPr>
          <w:szCs w:val="22"/>
        </w:rPr>
      </w:pPr>
    </w:p>
    <w:p w:rsidR="00E06107" w:rsidRDefault="00E06107" w:rsidP="00064151">
      <w:pPr>
        <w:jc w:val="both"/>
        <w:rPr>
          <w:szCs w:val="22"/>
        </w:rPr>
      </w:pPr>
    </w:p>
    <w:p w:rsidR="00E06107" w:rsidRDefault="00E06107" w:rsidP="00064151">
      <w:pPr>
        <w:jc w:val="both"/>
        <w:rPr>
          <w:szCs w:val="22"/>
        </w:rPr>
      </w:pPr>
    </w:p>
    <w:p w:rsidR="00E06107" w:rsidRPr="00ED4C18" w:rsidRDefault="00E06107" w:rsidP="00064151">
      <w:pPr>
        <w:jc w:val="both"/>
        <w:rPr>
          <w:szCs w:val="22"/>
        </w:rPr>
      </w:pPr>
    </w:p>
    <w:p w:rsidR="00ED15BD" w:rsidRPr="00ED4C18" w:rsidRDefault="00064151" w:rsidP="00983C54">
      <w:pPr>
        <w:pStyle w:val="ListParagraph"/>
        <w:numPr>
          <w:ilvl w:val="1"/>
          <w:numId w:val="1"/>
        </w:numPr>
        <w:jc w:val="both"/>
        <w:rPr>
          <w:szCs w:val="22"/>
        </w:rPr>
      </w:pPr>
      <w:r w:rsidRPr="00ED4C18">
        <w:rPr>
          <w:szCs w:val="22"/>
        </w:rPr>
        <w:t>Treatment experienced patients with genotype 2 or 3 HCV who are suitable for IFN therapy are eligible for 48 weeks of PEG+RBV</w:t>
      </w:r>
      <w:r w:rsidR="00ED15BD" w:rsidRPr="00ED4C18">
        <w:rPr>
          <w:szCs w:val="22"/>
        </w:rPr>
        <w:t xml:space="preserve">, which could  be considered to be the comparator. The ESC agreed with the PSCR, that </w:t>
      </w:r>
      <w:r w:rsidR="00280FCB" w:rsidRPr="00ED4C18">
        <w:rPr>
          <w:szCs w:val="22"/>
        </w:rPr>
        <w:t>al</w:t>
      </w:r>
      <w:r w:rsidR="00ED15BD" w:rsidRPr="00ED4C18">
        <w:rPr>
          <w:szCs w:val="22"/>
        </w:rPr>
        <w:t xml:space="preserve">though PEG + RBV (48 weeks) </w:t>
      </w:r>
      <w:proofErr w:type="gramStart"/>
      <w:r w:rsidR="00ED15BD" w:rsidRPr="00ED4C18">
        <w:rPr>
          <w:szCs w:val="22"/>
        </w:rPr>
        <w:t>is</w:t>
      </w:r>
      <w:proofErr w:type="gramEnd"/>
      <w:r w:rsidR="00ED15BD" w:rsidRPr="00ED4C18">
        <w:rPr>
          <w:szCs w:val="22"/>
        </w:rPr>
        <w:t xml:space="preserve"> available, patients are unlikely to be treated with PEG a second time and </w:t>
      </w:r>
      <w:r w:rsidR="00280FCB" w:rsidRPr="00ED4C18">
        <w:rPr>
          <w:szCs w:val="22"/>
        </w:rPr>
        <w:t>‘</w:t>
      </w:r>
      <w:r w:rsidR="00ED15BD" w:rsidRPr="00ED4C18">
        <w:rPr>
          <w:szCs w:val="22"/>
        </w:rPr>
        <w:t>no treatment</w:t>
      </w:r>
      <w:r w:rsidR="00280FCB" w:rsidRPr="00ED4C18">
        <w:rPr>
          <w:szCs w:val="22"/>
        </w:rPr>
        <w:t>’</w:t>
      </w:r>
      <w:r w:rsidR="00ED15BD" w:rsidRPr="00ED4C18">
        <w:rPr>
          <w:szCs w:val="22"/>
        </w:rPr>
        <w:t xml:space="preserve"> is the appropriate comparator. </w:t>
      </w:r>
      <w:r w:rsidRPr="00ED4C18">
        <w:rPr>
          <w:szCs w:val="22"/>
        </w:rPr>
        <w:t xml:space="preserve"> </w:t>
      </w:r>
    </w:p>
    <w:p w:rsidR="00794639" w:rsidRPr="00ED4C18" w:rsidRDefault="00794639" w:rsidP="00794639">
      <w:pPr>
        <w:jc w:val="both"/>
        <w:rPr>
          <w:szCs w:val="22"/>
        </w:rPr>
      </w:pPr>
    </w:p>
    <w:p w:rsidR="003C73CB" w:rsidRPr="00ED4C18" w:rsidRDefault="00ED15BD" w:rsidP="00983C54">
      <w:pPr>
        <w:pStyle w:val="ListParagraph"/>
        <w:numPr>
          <w:ilvl w:val="1"/>
          <w:numId w:val="1"/>
        </w:numPr>
        <w:jc w:val="both"/>
        <w:rPr>
          <w:szCs w:val="22"/>
        </w:rPr>
      </w:pPr>
      <w:r w:rsidRPr="00ED4C18">
        <w:rPr>
          <w:szCs w:val="22"/>
        </w:rPr>
        <w:t>The ESC considered that the</w:t>
      </w:r>
      <w:r w:rsidR="00064151" w:rsidRPr="00ED4C18">
        <w:rPr>
          <w:szCs w:val="22"/>
        </w:rPr>
        <w:t xml:space="preserve"> comparators </w:t>
      </w:r>
      <w:r w:rsidRPr="00ED4C18">
        <w:rPr>
          <w:szCs w:val="22"/>
        </w:rPr>
        <w:t xml:space="preserve">presented in the submission </w:t>
      </w:r>
      <w:r w:rsidR="00064151" w:rsidRPr="00ED4C18">
        <w:rPr>
          <w:szCs w:val="22"/>
        </w:rPr>
        <w:t xml:space="preserve">are appropriate.  </w:t>
      </w:r>
      <w:r w:rsidRPr="00ED4C18">
        <w:rPr>
          <w:szCs w:val="22"/>
        </w:rPr>
        <w:t>In the context of the current population with HCV infection in Australia, the ESC considered that many individuals with HCV were deferring treatment based on the slow progress of disease symptoms and the liver damage of the indolent infection, the access to treatment centres, and the expected development of new treatments with</w:t>
      </w:r>
      <w:r w:rsidR="00790705" w:rsidRPr="00ED4C18">
        <w:rPr>
          <w:szCs w:val="22"/>
        </w:rPr>
        <w:t xml:space="preserve"> shorter, better tolerated,</w:t>
      </w:r>
      <w:r w:rsidRPr="00ED4C18">
        <w:rPr>
          <w:szCs w:val="22"/>
        </w:rPr>
        <w:t xml:space="preserve"> IFN-sparing regimens. Considering the total pool of individuals infected with HCV who might become willing to accept treatment if I</w:t>
      </w:r>
      <w:r w:rsidR="00891194" w:rsidRPr="00ED4C18">
        <w:rPr>
          <w:szCs w:val="22"/>
        </w:rPr>
        <w:t>FN</w:t>
      </w:r>
      <w:r w:rsidRPr="00ED4C18">
        <w:rPr>
          <w:szCs w:val="22"/>
        </w:rPr>
        <w:t xml:space="preserve">-free options become available, a more appropriate comparator for all genotypes may be </w:t>
      </w:r>
      <w:r w:rsidR="00280FCB" w:rsidRPr="00ED4C18">
        <w:rPr>
          <w:szCs w:val="22"/>
        </w:rPr>
        <w:t>‘</w:t>
      </w:r>
      <w:r w:rsidRPr="00ED4C18">
        <w:rPr>
          <w:szCs w:val="22"/>
        </w:rPr>
        <w:t>no treatment</w:t>
      </w:r>
      <w:r w:rsidR="00280FCB" w:rsidRPr="00ED4C18">
        <w:rPr>
          <w:szCs w:val="22"/>
        </w:rPr>
        <w:t>’</w:t>
      </w:r>
      <w:r w:rsidRPr="00ED4C18">
        <w:rPr>
          <w:szCs w:val="22"/>
        </w:rPr>
        <w:t xml:space="preserve">. </w:t>
      </w:r>
    </w:p>
    <w:p w:rsidR="003C73CB" w:rsidRPr="00ED4C18" w:rsidRDefault="003C73CB" w:rsidP="003C73CB">
      <w:pPr>
        <w:jc w:val="both"/>
        <w:rPr>
          <w:szCs w:val="22"/>
        </w:rPr>
      </w:pPr>
    </w:p>
    <w:p w:rsidR="00BB7EC3" w:rsidRPr="00ED4C18" w:rsidRDefault="00BB7EC3" w:rsidP="00BB7EC3">
      <w:pPr>
        <w:pStyle w:val="ListParagraph"/>
        <w:ind w:left="709"/>
        <w:jc w:val="both"/>
        <w:rPr>
          <w:i/>
          <w:szCs w:val="22"/>
        </w:rPr>
      </w:pPr>
      <w:r w:rsidRPr="00ED4C18">
        <w:rPr>
          <w:i/>
          <w:szCs w:val="22"/>
        </w:rPr>
        <w:t>For more detail on PBAC’s view, see section 7 “PBAC outcome”</w:t>
      </w:r>
      <w:r w:rsidR="00794639" w:rsidRPr="00ED4C18">
        <w:rPr>
          <w:i/>
          <w:szCs w:val="22"/>
        </w:rPr>
        <w:t>.</w:t>
      </w:r>
    </w:p>
    <w:p w:rsidR="00E06107" w:rsidRDefault="00C35996" w:rsidP="008D447E">
      <w:pPr>
        <w:pStyle w:val="ListParagraph"/>
        <w:jc w:val="both"/>
        <w:rPr>
          <w:szCs w:val="22"/>
        </w:rPr>
      </w:pPr>
      <w:r w:rsidRPr="00ED4C18">
        <w:rPr>
          <w:szCs w:val="22"/>
        </w:rPr>
        <w:tab/>
      </w:r>
    </w:p>
    <w:p w:rsidR="00E06107" w:rsidRDefault="00E06107">
      <w:pPr>
        <w:rPr>
          <w:szCs w:val="22"/>
        </w:rPr>
      </w:pPr>
      <w:r>
        <w:rPr>
          <w:szCs w:val="22"/>
        </w:rPr>
        <w:br w:type="page"/>
      </w:r>
    </w:p>
    <w:p w:rsidR="00DF26A7" w:rsidRPr="00ED4C18" w:rsidRDefault="00DF26A7" w:rsidP="008D447E">
      <w:pPr>
        <w:pStyle w:val="ListParagraph"/>
        <w:jc w:val="both"/>
        <w:rPr>
          <w:szCs w:val="22"/>
        </w:rPr>
      </w:pPr>
    </w:p>
    <w:p w:rsidR="000B558D" w:rsidRPr="00ED4C18" w:rsidRDefault="00794639" w:rsidP="00E06107">
      <w:pPr>
        <w:pStyle w:val="Header"/>
        <w:numPr>
          <w:ilvl w:val="0"/>
          <w:numId w:val="1"/>
        </w:numPr>
        <w:tabs>
          <w:tab w:val="clear" w:pos="4153"/>
          <w:tab w:val="clear" w:pos="8306"/>
        </w:tabs>
        <w:jc w:val="both"/>
        <w:rPr>
          <w:b/>
          <w:szCs w:val="22"/>
        </w:rPr>
      </w:pPr>
      <w:r w:rsidRPr="00ED4C18">
        <w:rPr>
          <w:b/>
          <w:szCs w:val="22"/>
        </w:rPr>
        <w:t>Consideration</w:t>
      </w:r>
      <w:r w:rsidR="000B558D" w:rsidRPr="00ED4C18">
        <w:rPr>
          <w:b/>
          <w:szCs w:val="22"/>
        </w:rPr>
        <w:t xml:space="preserve"> of the evidence</w:t>
      </w:r>
    </w:p>
    <w:p w:rsidR="006A12A5" w:rsidRPr="00ED4C18" w:rsidRDefault="006A12A5" w:rsidP="00882085">
      <w:pPr>
        <w:jc w:val="both"/>
        <w:rPr>
          <w:b/>
          <w:szCs w:val="22"/>
        </w:rPr>
      </w:pPr>
    </w:p>
    <w:p w:rsidR="00BB7EC3" w:rsidRPr="00A917D4" w:rsidRDefault="00BB7EC3" w:rsidP="00A917D4">
      <w:pPr>
        <w:rPr>
          <w:b/>
        </w:rPr>
      </w:pPr>
      <w:r w:rsidRPr="00A917D4">
        <w:rPr>
          <w:b/>
        </w:rPr>
        <w:t>Sponsor hearing</w:t>
      </w:r>
    </w:p>
    <w:p w:rsidR="00BB7EC3" w:rsidRPr="00ED4C18" w:rsidRDefault="00BB7EC3" w:rsidP="00BB7EC3">
      <w:pPr>
        <w:ind w:left="709"/>
        <w:jc w:val="both"/>
        <w:rPr>
          <w:b/>
          <w:szCs w:val="22"/>
        </w:rPr>
      </w:pPr>
    </w:p>
    <w:p w:rsidR="00BB7EC3" w:rsidRPr="00ED4C18" w:rsidRDefault="00BB7EC3" w:rsidP="00E06107">
      <w:pPr>
        <w:pStyle w:val="ListParagraph"/>
        <w:numPr>
          <w:ilvl w:val="1"/>
          <w:numId w:val="1"/>
        </w:numPr>
        <w:jc w:val="both"/>
        <w:rPr>
          <w:szCs w:val="22"/>
        </w:rPr>
      </w:pPr>
      <w:r w:rsidRPr="00ED4C18">
        <w:rPr>
          <w:szCs w:val="22"/>
        </w:rPr>
        <w:t>The</w:t>
      </w:r>
      <w:r w:rsidR="005E344F" w:rsidRPr="00ED4C18">
        <w:rPr>
          <w:szCs w:val="22"/>
        </w:rPr>
        <w:t>re was no hearing for this item</w:t>
      </w:r>
      <w:r w:rsidRPr="00ED4C18">
        <w:rPr>
          <w:szCs w:val="22"/>
        </w:rPr>
        <w:t>.</w:t>
      </w:r>
    </w:p>
    <w:p w:rsidR="00BB7EC3" w:rsidRPr="00ED4C18" w:rsidRDefault="00BB7EC3" w:rsidP="00BB7EC3">
      <w:pPr>
        <w:pStyle w:val="ListParagraph"/>
        <w:ind w:left="709"/>
        <w:jc w:val="both"/>
        <w:rPr>
          <w:szCs w:val="22"/>
        </w:rPr>
      </w:pPr>
    </w:p>
    <w:p w:rsidR="00BB7EC3" w:rsidRPr="00A917D4" w:rsidRDefault="00BB7EC3" w:rsidP="00A917D4">
      <w:pPr>
        <w:rPr>
          <w:b/>
        </w:rPr>
      </w:pPr>
      <w:r w:rsidRPr="00A917D4">
        <w:rPr>
          <w:b/>
        </w:rPr>
        <w:t>Consumer comments</w:t>
      </w:r>
    </w:p>
    <w:p w:rsidR="00254D66" w:rsidRPr="00ED4C18" w:rsidRDefault="00254D66" w:rsidP="00254D66">
      <w:pPr>
        <w:jc w:val="both"/>
        <w:rPr>
          <w:szCs w:val="22"/>
        </w:rPr>
      </w:pPr>
    </w:p>
    <w:p w:rsidR="00BB7EC3" w:rsidRPr="00ED4C18" w:rsidRDefault="00BB7EC3" w:rsidP="00E06107">
      <w:pPr>
        <w:pStyle w:val="ListParagraph"/>
        <w:numPr>
          <w:ilvl w:val="1"/>
          <w:numId w:val="1"/>
        </w:numPr>
        <w:jc w:val="both"/>
        <w:rPr>
          <w:szCs w:val="22"/>
        </w:rPr>
      </w:pPr>
      <w:r w:rsidRPr="00ED4C18">
        <w:rPr>
          <w:szCs w:val="22"/>
        </w:rPr>
        <w:t>The PBAC noted and welcomed the input from individuals (</w:t>
      </w:r>
      <w:r w:rsidR="00254D66" w:rsidRPr="00ED4C18">
        <w:rPr>
          <w:szCs w:val="22"/>
        </w:rPr>
        <w:t>261</w:t>
      </w:r>
      <w:r w:rsidRPr="00ED4C18">
        <w:rPr>
          <w:szCs w:val="22"/>
        </w:rPr>
        <w:t>), health care professionals (</w:t>
      </w:r>
      <w:r w:rsidR="00254D66" w:rsidRPr="00ED4C18">
        <w:rPr>
          <w:szCs w:val="22"/>
        </w:rPr>
        <w:t>25</w:t>
      </w:r>
      <w:r w:rsidRPr="00ED4C18">
        <w:rPr>
          <w:szCs w:val="22"/>
        </w:rPr>
        <w:t>) and organisations (</w:t>
      </w:r>
      <w:r w:rsidR="00254D66" w:rsidRPr="00ED4C18">
        <w:rPr>
          <w:szCs w:val="22"/>
        </w:rPr>
        <w:t>24</w:t>
      </w:r>
      <w:r w:rsidRPr="00ED4C18">
        <w:rPr>
          <w:szCs w:val="22"/>
        </w:rPr>
        <w:t xml:space="preserve">) via the Consumer Comments facility on the PBS website.  The comments described </w:t>
      </w:r>
      <w:r w:rsidR="00254D66" w:rsidRPr="00ED4C18">
        <w:rPr>
          <w:szCs w:val="22"/>
        </w:rPr>
        <w:t>the</w:t>
      </w:r>
      <w:r w:rsidRPr="00ED4C18">
        <w:rPr>
          <w:szCs w:val="22"/>
        </w:rPr>
        <w:t xml:space="preserve"> benefits of treatment with </w:t>
      </w:r>
      <w:r w:rsidR="005E344F" w:rsidRPr="00ED4C18">
        <w:rPr>
          <w:szCs w:val="22"/>
        </w:rPr>
        <w:t>the new drugs for HCV</w:t>
      </w:r>
      <w:r w:rsidR="00280FCB" w:rsidRPr="00ED4C18">
        <w:rPr>
          <w:szCs w:val="22"/>
        </w:rPr>
        <w:t>. The benefits identified</w:t>
      </w:r>
      <w:r w:rsidR="005E344F" w:rsidRPr="00ED4C18">
        <w:rPr>
          <w:szCs w:val="22"/>
        </w:rPr>
        <w:t xml:space="preserve"> includ</w:t>
      </w:r>
      <w:r w:rsidR="00586861" w:rsidRPr="00ED4C18">
        <w:rPr>
          <w:szCs w:val="22"/>
        </w:rPr>
        <w:t>ed</w:t>
      </w:r>
      <w:r w:rsidR="005E344F" w:rsidRPr="00ED4C18">
        <w:rPr>
          <w:szCs w:val="22"/>
        </w:rPr>
        <w:t xml:space="preserve"> </w:t>
      </w:r>
      <w:r w:rsidR="00280FCB" w:rsidRPr="00ED4C18">
        <w:rPr>
          <w:szCs w:val="22"/>
        </w:rPr>
        <w:t>changing</w:t>
      </w:r>
      <w:r w:rsidR="005E344F" w:rsidRPr="00ED4C18">
        <w:rPr>
          <w:szCs w:val="22"/>
        </w:rPr>
        <w:t xml:space="preserve"> an </w:t>
      </w:r>
      <w:r w:rsidR="00121435" w:rsidRPr="00ED4C18">
        <w:rPr>
          <w:szCs w:val="22"/>
        </w:rPr>
        <w:t>infection with HCV from a chronic disease to one that can be cured</w:t>
      </w:r>
      <w:r w:rsidR="00280FCB" w:rsidRPr="00ED4C18">
        <w:rPr>
          <w:szCs w:val="22"/>
        </w:rPr>
        <w:t>;</w:t>
      </w:r>
      <w:r w:rsidR="00121435" w:rsidRPr="00ED4C18">
        <w:rPr>
          <w:szCs w:val="22"/>
        </w:rPr>
        <w:t xml:space="preserve"> a shorter treatment regimen</w:t>
      </w:r>
      <w:r w:rsidR="00280FCB" w:rsidRPr="00ED4C18">
        <w:rPr>
          <w:szCs w:val="22"/>
        </w:rPr>
        <w:t>;</w:t>
      </w:r>
      <w:r w:rsidR="00121435" w:rsidRPr="00ED4C18">
        <w:rPr>
          <w:szCs w:val="22"/>
        </w:rPr>
        <w:t xml:space="preserve"> reduced side effects</w:t>
      </w:r>
      <w:r w:rsidR="00280FCB" w:rsidRPr="00ED4C18">
        <w:rPr>
          <w:szCs w:val="22"/>
        </w:rPr>
        <w:t>;</w:t>
      </w:r>
      <w:r w:rsidR="00121435" w:rsidRPr="00ED4C18">
        <w:rPr>
          <w:szCs w:val="22"/>
        </w:rPr>
        <w:t xml:space="preserve"> </w:t>
      </w:r>
      <w:r w:rsidR="00280FCB" w:rsidRPr="00ED4C18">
        <w:rPr>
          <w:szCs w:val="22"/>
        </w:rPr>
        <w:t>injection-</w:t>
      </w:r>
      <w:r w:rsidR="00121435" w:rsidRPr="00ED4C18">
        <w:rPr>
          <w:szCs w:val="22"/>
        </w:rPr>
        <w:t xml:space="preserve">free and </w:t>
      </w:r>
      <w:r w:rsidR="00280FCB" w:rsidRPr="00ED4C18">
        <w:rPr>
          <w:szCs w:val="22"/>
        </w:rPr>
        <w:t xml:space="preserve">allowing </w:t>
      </w:r>
      <w:r w:rsidR="00121435" w:rsidRPr="00ED4C18">
        <w:rPr>
          <w:szCs w:val="22"/>
        </w:rPr>
        <w:t>broader access to treatment</w:t>
      </w:r>
      <w:r w:rsidR="00891194" w:rsidRPr="00ED4C18">
        <w:rPr>
          <w:szCs w:val="22"/>
        </w:rPr>
        <w:t>.</w:t>
      </w:r>
      <w:r w:rsidRPr="00ED4C18">
        <w:rPr>
          <w:szCs w:val="22"/>
        </w:rPr>
        <w:t xml:space="preserve"> </w:t>
      </w:r>
    </w:p>
    <w:p w:rsidR="00BB7EC3" w:rsidRPr="00ED4C18" w:rsidRDefault="00BB7EC3" w:rsidP="00BB7EC3">
      <w:pPr>
        <w:pStyle w:val="ListParagraph"/>
        <w:ind w:left="709"/>
        <w:jc w:val="both"/>
        <w:rPr>
          <w:szCs w:val="22"/>
        </w:rPr>
      </w:pPr>
    </w:p>
    <w:p w:rsidR="00BB7EC3" w:rsidRPr="00ED4C18" w:rsidRDefault="00BB7EC3" w:rsidP="00E06107">
      <w:pPr>
        <w:pStyle w:val="ListParagraph"/>
        <w:numPr>
          <w:ilvl w:val="1"/>
          <w:numId w:val="1"/>
        </w:numPr>
        <w:jc w:val="both"/>
        <w:rPr>
          <w:szCs w:val="22"/>
        </w:rPr>
      </w:pPr>
      <w:r w:rsidRPr="00ED4C18">
        <w:rPr>
          <w:szCs w:val="22"/>
        </w:rPr>
        <w:t xml:space="preserve">The PBAC noted </w:t>
      </w:r>
      <w:r w:rsidR="005E344F" w:rsidRPr="00ED4C18">
        <w:rPr>
          <w:szCs w:val="22"/>
        </w:rPr>
        <w:t xml:space="preserve">the correspondence from the </w:t>
      </w:r>
      <w:r w:rsidR="005E344F" w:rsidRPr="00E06107">
        <w:t>Transplantation Society of Australia and New Zealand</w:t>
      </w:r>
      <w:r w:rsidR="004D48C1" w:rsidRPr="00E06107">
        <w:t xml:space="preserve"> </w:t>
      </w:r>
      <w:r w:rsidR="00571E48" w:rsidRPr="00E06107">
        <w:t xml:space="preserve">(TSANZ) </w:t>
      </w:r>
      <w:r w:rsidR="004D48C1" w:rsidRPr="00E06107">
        <w:t>and the Australian Liver Association</w:t>
      </w:r>
      <w:r w:rsidR="00571E48" w:rsidRPr="00E06107">
        <w:t xml:space="preserve"> (ALA) proposing </w:t>
      </w:r>
      <w:r w:rsidR="00571E48" w:rsidRPr="00E06107">
        <w:rPr>
          <w:szCs w:val="22"/>
        </w:rPr>
        <w:t xml:space="preserve">early access to </w:t>
      </w:r>
      <w:proofErr w:type="spellStart"/>
      <w:r w:rsidR="00571E48" w:rsidRPr="00E06107">
        <w:rPr>
          <w:szCs w:val="22"/>
        </w:rPr>
        <w:t>sofosbuvir</w:t>
      </w:r>
      <w:proofErr w:type="spellEnd"/>
      <w:r w:rsidR="00571E48" w:rsidRPr="00E06107">
        <w:rPr>
          <w:szCs w:val="22"/>
        </w:rPr>
        <w:t xml:space="preserve"> containing HCV treatment for liver transplant recipients and patients with cirrhosis complicated by portal hypertension</w:t>
      </w:r>
      <w:r w:rsidR="005E344F" w:rsidRPr="00E06107">
        <w:t xml:space="preserve"> (item 14.8)</w:t>
      </w:r>
      <w:r w:rsidR="00571E48" w:rsidRPr="00E06107">
        <w:t xml:space="preserve">. </w:t>
      </w:r>
    </w:p>
    <w:p w:rsidR="002B1AE6" w:rsidRPr="00ED4C18" w:rsidRDefault="002B1AE6" w:rsidP="00882085">
      <w:pPr>
        <w:jc w:val="both"/>
        <w:rPr>
          <w:b/>
          <w:szCs w:val="22"/>
        </w:rPr>
      </w:pPr>
    </w:p>
    <w:p w:rsidR="00BB7EC3" w:rsidRPr="00ED4C18" w:rsidRDefault="00BB7EC3" w:rsidP="00BB7EC3">
      <w:pPr>
        <w:pStyle w:val="ListParagraph"/>
        <w:ind w:left="709"/>
        <w:jc w:val="both"/>
        <w:rPr>
          <w:i/>
          <w:szCs w:val="22"/>
        </w:rPr>
      </w:pPr>
      <w:r w:rsidRPr="00ED4C18">
        <w:rPr>
          <w:i/>
          <w:szCs w:val="22"/>
        </w:rPr>
        <w:t>For more detail on PBAC’s view, see section 7 “PBAC outcome”</w:t>
      </w:r>
      <w:r w:rsidR="00794639" w:rsidRPr="00ED4C18">
        <w:rPr>
          <w:i/>
          <w:szCs w:val="22"/>
        </w:rPr>
        <w:t>.</w:t>
      </w:r>
    </w:p>
    <w:p w:rsidR="00BB7EC3" w:rsidRPr="00ED4C18" w:rsidRDefault="00BB7EC3" w:rsidP="00BB7EC3">
      <w:pPr>
        <w:ind w:left="709"/>
        <w:jc w:val="both"/>
        <w:rPr>
          <w:b/>
          <w:szCs w:val="22"/>
        </w:rPr>
      </w:pPr>
    </w:p>
    <w:p w:rsidR="00B43E90" w:rsidRPr="00A917D4" w:rsidRDefault="00B43E90" w:rsidP="00A917D4">
      <w:pPr>
        <w:rPr>
          <w:b/>
        </w:rPr>
      </w:pPr>
      <w:r w:rsidRPr="00A917D4">
        <w:rPr>
          <w:b/>
        </w:rPr>
        <w:t>Clinical trials</w:t>
      </w:r>
    </w:p>
    <w:p w:rsidR="002B1AE6" w:rsidRPr="00ED4C18" w:rsidRDefault="002B1AE6" w:rsidP="00882085">
      <w:pPr>
        <w:jc w:val="both"/>
        <w:rPr>
          <w:szCs w:val="22"/>
        </w:rPr>
      </w:pPr>
    </w:p>
    <w:p w:rsidR="000B558D" w:rsidRPr="00ED4C18" w:rsidRDefault="005038A7" w:rsidP="00E06107">
      <w:pPr>
        <w:pStyle w:val="ListParagraph"/>
        <w:numPr>
          <w:ilvl w:val="1"/>
          <w:numId w:val="1"/>
        </w:numPr>
        <w:jc w:val="both"/>
        <w:rPr>
          <w:szCs w:val="22"/>
        </w:rPr>
      </w:pPr>
      <w:r w:rsidRPr="00E06107">
        <w:rPr>
          <w:szCs w:val="22"/>
        </w:rPr>
        <w:t xml:space="preserve">Four clinical studies including </w:t>
      </w:r>
      <w:proofErr w:type="spellStart"/>
      <w:r w:rsidRPr="00E06107">
        <w:rPr>
          <w:szCs w:val="22"/>
        </w:rPr>
        <w:t>sofosbuvir</w:t>
      </w:r>
      <w:proofErr w:type="spellEnd"/>
      <w:r w:rsidRPr="00E06107">
        <w:rPr>
          <w:szCs w:val="22"/>
        </w:rPr>
        <w:t xml:space="preserve"> (NEUTRINO, FISSION, POSITRON, FUSION), one including </w:t>
      </w:r>
      <w:proofErr w:type="spellStart"/>
      <w:r w:rsidRPr="00E06107">
        <w:rPr>
          <w:szCs w:val="22"/>
        </w:rPr>
        <w:t>boceprevir</w:t>
      </w:r>
      <w:proofErr w:type="spellEnd"/>
      <w:r w:rsidRPr="00E06107">
        <w:rPr>
          <w:szCs w:val="22"/>
        </w:rPr>
        <w:t xml:space="preserve"> (SPRINT-2) and one including </w:t>
      </w:r>
      <w:proofErr w:type="spellStart"/>
      <w:r w:rsidRPr="00E06107">
        <w:rPr>
          <w:szCs w:val="22"/>
        </w:rPr>
        <w:t>telaprevir</w:t>
      </w:r>
      <w:proofErr w:type="spellEnd"/>
      <w:r w:rsidRPr="00E06107">
        <w:rPr>
          <w:szCs w:val="22"/>
        </w:rPr>
        <w:t xml:space="preserve"> (ADVANCE) </w:t>
      </w:r>
      <w:r w:rsidR="00280FCB" w:rsidRPr="00E06107">
        <w:rPr>
          <w:szCs w:val="22"/>
        </w:rPr>
        <w:t>were</w:t>
      </w:r>
      <w:r w:rsidRPr="00E06107">
        <w:rPr>
          <w:szCs w:val="22"/>
        </w:rPr>
        <w:t xml:space="preserve"> included in Section B of the submission.</w:t>
      </w:r>
    </w:p>
    <w:p w:rsidR="00794639" w:rsidRPr="00ED4C18" w:rsidRDefault="00794639" w:rsidP="00794639">
      <w:pPr>
        <w:jc w:val="both"/>
        <w:rPr>
          <w:szCs w:val="22"/>
        </w:rPr>
      </w:pPr>
    </w:p>
    <w:p w:rsidR="005038A7" w:rsidRPr="00ED4C18" w:rsidRDefault="005038A7" w:rsidP="00E06107">
      <w:pPr>
        <w:pStyle w:val="ListParagraph"/>
        <w:numPr>
          <w:ilvl w:val="1"/>
          <w:numId w:val="1"/>
        </w:numPr>
        <w:jc w:val="both"/>
        <w:rPr>
          <w:szCs w:val="22"/>
        </w:rPr>
      </w:pPr>
      <w:r w:rsidRPr="00ED4C18">
        <w:rPr>
          <w:szCs w:val="22"/>
        </w:rPr>
        <w:t xml:space="preserve">The submission introduced additional studies in Section </w:t>
      </w:r>
      <w:r w:rsidR="00280FCB" w:rsidRPr="00ED4C18">
        <w:rPr>
          <w:szCs w:val="22"/>
        </w:rPr>
        <w:t xml:space="preserve">C as the basis for </w:t>
      </w:r>
      <w:r w:rsidRPr="00ED4C18">
        <w:rPr>
          <w:szCs w:val="22"/>
        </w:rPr>
        <w:t xml:space="preserve">the </w:t>
      </w:r>
      <w:r w:rsidR="00586861" w:rsidRPr="00ED4C18">
        <w:rPr>
          <w:szCs w:val="22"/>
        </w:rPr>
        <w:t xml:space="preserve">sustained </w:t>
      </w:r>
      <w:proofErr w:type="spellStart"/>
      <w:r w:rsidR="00586861" w:rsidRPr="00ED4C18">
        <w:rPr>
          <w:szCs w:val="22"/>
        </w:rPr>
        <w:t>virologic</w:t>
      </w:r>
      <w:proofErr w:type="spellEnd"/>
      <w:r w:rsidR="00586861" w:rsidRPr="00ED4C18">
        <w:rPr>
          <w:szCs w:val="22"/>
        </w:rPr>
        <w:t xml:space="preserve"> response (</w:t>
      </w:r>
      <w:r w:rsidRPr="00ED4C18">
        <w:rPr>
          <w:szCs w:val="22"/>
        </w:rPr>
        <w:t>SVR</w:t>
      </w:r>
      <w:r w:rsidR="00586861" w:rsidRPr="00ED4C18">
        <w:rPr>
          <w:szCs w:val="22"/>
        </w:rPr>
        <w:t>)</w:t>
      </w:r>
      <w:r w:rsidRPr="00ED4C18">
        <w:rPr>
          <w:szCs w:val="22"/>
        </w:rPr>
        <w:t xml:space="preserve"> rates </w:t>
      </w:r>
      <w:r w:rsidR="00FC5C3B" w:rsidRPr="00ED4C18">
        <w:rPr>
          <w:szCs w:val="22"/>
        </w:rPr>
        <w:t xml:space="preserve">which were </w:t>
      </w:r>
      <w:r w:rsidR="00280FCB" w:rsidRPr="00ED4C18">
        <w:rPr>
          <w:szCs w:val="22"/>
        </w:rPr>
        <w:t>used</w:t>
      </w:r>
      <w:r w:rsidRPr="00ED4C18">
        <w:rPr>
          <w:szCs w:val="22"/>
        </w:rPr>
        <w:t xml:space="preserve"> in the economic analysis for </w:t>
      </w:r>
      <w:proofErr w:type="spellStart"/>
      <w:r w:rsidRPr="00ED4C18">
        <w:rPr>
          <w:szCs w:val="22"/>
        </w:rPr>
        <w:t>sofosbuvir</w:t>
      </w:r>
      <w:proofErr w:type="spellEnd"/>
      <w:r w:rsidRPr="00ED4C18">
        <w:rPr>
          <w:szCs w:val="22"/>
        </w:rPr>
        <w:t xml:space="preserve"> (VALENCE, ELECTRON, PROTON, LONESTAR-2, </w:t>
      </w:r>
      <w:proofErr w:type="gramStart"/>
      <w:r w:rsidRPr="00ED4C18">
        <w:rPr>
          <w:szCs w:val="22"/>
        </w:rPr>
        <w:t>QUANTUM</w:t>
      </w:r>
      <w:proofErr w:type="gramEnd"/>
      <w:r w:rsidRPr="00ED4C18">
        <w:rPr>
          <w:szCs w:val="22"/>
        </w:rPr>
        <w:t>, SPARE) and the comparators (</w:t>
      </w:r>
      <w:proofErr w:type="spellStart"/>
      <w:r w:rsidRPr="00ED4C18">
        <w:rPr>
          <w:szCs w:val="22"/>
        </w:rPr>
        <w:t>boceprevir</w:t>
      </w:r>
      <w:proofErr w:type="spellEnd"/>
      <w:r w:rsidRPr="00ED4C18">
        <w:rPr>
          <w:szCs w:val="22"/>
        </w:rPr>
        <w:t xml:space="preserve">, </w:t>
      </w:r>
      <w:proofErr w:type="spellStart"/>
      <w:r w:rsidRPr="00ED4C18">
        <w:rPr>
          <w:szCs w:val="22"/>
        </w:rPr>
        <w:t>Poordad</w:t>
      </w:r>
      <w:proofErr w:type="spellEnd"/>
      <w:r w:rsidRPr="00ED4C18">
        <w:rPr>
          <w:szCs w:val="22"/>
        </w:rPr>
        <w:t xml:space="preserve"> et al, 2013, and </w:t>
      </w:r>
      <w:proofErr w:type="spellStart"/>
      <w:r w:rsidRPr="00ED4C18">
        <w:rPr>
          <w:szCs w:val="22"/>
        </w:rPr>
        <w:t>peginterferon</w:t>
      </w:r>
      <w:proofErr w:type="spellEnd"/>
      <w:r w:rsidRPr="00ED4C18">
        <w:rPr>
          <w:szCs w:val="22"/>
        </w:rPr>
        <w:t xml:space="preserve"> ribavirin 48 weeks, </w:t>
      </w:r>
      <w:proofErr w:type="spellStart"/>
      <w:r w:rsidRPr="00ED4C18">
        <w:rPr>
          <w:szCs w:val="22"/>
        </w:rPr>
        <w:t>Manns</w:t>
      </w:r>
      <w:proofErr w:type="spellEnd"/>
      <w:r w:rsidRPr="00ED4C18">
        <w:rPr>
          <w:szCs w:val="22"/>
        </w:rPr>
        <w:t xml:space="preserve"> et al, 2001). </w:t>
      </w:r>
      <w:r w:rsidR="00280FCB" w:rsidRPr="00ED4C18">
        <w:rPr>
          <w:szCs w:val="22"/>
        </w:rPr>
        <w:t>All trial</w:t>
      </w:r>
      <w:r w:rsidR="00586861" w:rsidRPr="00ED4C18">
        <w:rPr>
          <w:szCs w:val="22"/>
        </w:rPr>
        <w:t>s</w:t>
      </w:r>
      <w:r w:rsidR="00280FCB" w:rsidRPr="00ED4C18">
        <w:rPr>
          <w:szCs w:val="22"/>
        </w:rPr>
        <w:t xml:space="preserve"> are listed in the Table below.</w:t>
      </w:r>
    </w:p>
    <w:p w:rsidR="00CE4A64" w:rsidRPr="00ED4C18" w:rsidRDefault="00CE4A64" w:rsidP="00CE4A64">
      <w:pPr>
        <w:jc w:val="both"/>
        <w:rPr>
          <w:szCs w:val="22"/>
        </w:rPr>
      </w:pPr>
    </w:p>
    <w:p w:rsidR="00CE4A64" w:rsidRPr="00ED4C18" w:rsidRDefault="00CE4A64" w:rsidP="00CE4A64">
      <w:pPr>
        <w:jc w:val="both"/>
        <w:rPr>
          <w:szCs w:val="22"/>
        </w:rPr>
      </w:pPr>
    </w:p>
    <w:tbl>
      <w:tblPr>
        <w:tblW w:w="4672" w:type="pct"/>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5"/>
        <w:gridCol w:w="704"/>
        <w:gridCol w:w="1422"/>
        <w:gridCol w:w="823"/>
        <w:gridCol w:w="3004"/>
        <w:gridCol w:w="1398"/>
      </w:tblGrid>
      <w:tr w:rsidR="00ED4C18" w:rsidRPr="00ED4C18" w:rsidTr="00E06107">
        <w:tc>
          <w:tcPr>
            <w:tcW w:w="668" w:type="pct"/>
            <w:shd w:val="clear" w:color="auto" w:fill="auto"/>
            <w:vAlign w:val="center"/>
          </w:tcPr>
          <w:p w:rsidR="008B4CF3" w:rsidRPr="00ED4C18" w:rsidRDefault="008B4CF3" w:rsidP="00D964D5">
            <w:pPr>
              <w:rPr>
                <w:rFonts w:ascii="Arial Narrow" w:hAnsi="Arial Narrow"/>
                <w:b/>
                <w:sz w:val="20"/>
                <w:szCs w:val="20"/>
              </w:rPr>
            </w:pPr>
            <w:r w:rsidRPr="00ED4C18">
              <w:rPr>
                <w:rFonts w:ascii="Arial Narrow" w:hAnsi="Arial Narrow"/>
                <w:b/>
                <w:sz w:val="20"/>
                <w:szCs w:val="20"/>
              </w:rPr>
              <w:t>Trial ID</w:t>
            </w:r>
          </w:p>
        </w:tc>
        <w:tc>
          <w:tcPr>
            <w:tcW w:w="415" w:type="pct"/>
            <w:shd w:val="clear" w:color="auto" w:fill="auto"/>
            <w:vAlign w:val="center"/>
          </w:tcPr>
          <w:p w:rsidR="008B4CF3" w:rsidRPr="00ED4C18" w:rsidRDefault="008B4CF3" w:rsidP="00D964D5">
            <w:pPr>
              <w:jc w:val="center"/>
              <w:rPr>
                <w:rFonts w:ascii="Arial Narrow" w:hAnsi="Arial Narrow"/>
                <w:b/>
                <w:sz w:val="20"/>
                <w:szCs w:val="20"/>
              </w:rPr>
            </w:pPr>
            <w:r w:rsidRPr="00ED4C18">
              <w:rPr>
                <w:rFonts w:ascii="Arial Narrow" w:hAnsi="Arial Narrow"/>
                <w:b/>
                <w:sz w:val="20"/>
                <w:szCs w:val="20"/>
              </w:rPr>
              <w:t>N</w:t>
            </w:r>
          </w:p>
        </w:tc>
        <w:tc>
          <w:tcPr>
            <w:tcW w:w="838" w:type="pct"/>
            <w:shd w:val="clear" w:color="auto" w:fill="auto"/>
            <w:vAlign w:val="center"/>
          </w:tcPr>
          <w:p w:rsidR="008B4CF3" w:rsidRPr="00ED4C18" w:rsidRDefault="008B4CF3" w:rsidP="00D964D5">
            <w:pPr>
              <w:jc w:val="center"/>
              <w:rPr>
                <w:rFonts w:ascii="Arial Narrow" w:hAnsi="Arial Narrow"/>
                <w:b/>
                <w:sz w:val="20"/>
                <w:szCs w:val="20"/>
              </w:rPr>
            </w:pPr>
            <w:r w:rsidRPr="00ED4C18">
              <w:rPr>
                <w:rFonts w:ascii="Arial Narrow" w:hAnsi="Arial Narrow"/>
                <w:b/>
                <w:sz w:val="20"/>
                <w:szCs w:val="20"/>
              </w:rPr>
              <w:t xml:space="preserve">Design/ </w:t>
            </w:r>
            <w:proofErr w:type="spellStart"/>
            <w:r w:rsidRPr="00ED4C18">
              <w:rPr>
                <w:rFonts w:ascii="Arial Narrow" w:hAnsi="Arial Narrow"/>
                <w:b/>
                <w:sz w:val="20"/>
                <w:szCs w:val="20"/>
              </w:rPr>
              <w:t>duration</w:t>
            </w:r>
            <w:r w:rsidRPr="00ED4C18">
              <w:rPr>
                <w:rFonts w:ascii="Arial Narrow" w:hAnsi="Arial Narrow"/>
                <w:b/>
                <w:sz w:val="20"/>
                <w:szCs w:val="20"/>
                <w:vertAlign w:val="superscript"/>
              </w:rPr>
              <w:t>a</w:t>
            </w:r>
            <w:proofErr w:type="spellEnd"/>
          </w:p>
        </w:tc>
        <w:tc>
          <w:tcPr>
            <w:tcW w:w="485" w:type="pct"/>
            <w:shd w:val="clear" w:color="auto" w:fill="auto"/>
            <w:vAlign w:val="center"/>
          </w:tcPr>
          <w:p w:rsidR="008B4CF3" w:rsidRPr="00ED4C18" w:rsidRDefault="008B4CF3" w:rsidP="00D964D5">
            <w:pPr>
              <w:jc w:val="center"/>
              <w:rPr>
                <w:rFonts w:ascii="Arial Narrow" w:hAnsi="Arial Narrow"/>
                <w:b/>
                <w:sz w:val="20"/>
                <w:szCs w:val="20"/>
              </w:rPr>
            </w:pPr>
            <w:r w:rsidRPr="00ED4C18">
              <w:rPr>
                <w:rFonts w:ascii="Arial Narrow" w:hAnsi="Arial Narrow"/>
                <w:b/>
                <w:sz w:val="20"/>
                <w:szCs w:val="20"/>
              </w:rPr>
              <w:t xml:space="preserve">Risk of </w:t>
            </w:r>
            <w:proofErr w:type="spellStart"/>
            <w:r w:rsidRPr="00ED4C18">
              <w:rPr>
                <w:rFonts w:ascii="Arial Narrow" w:hAnsi="Arial Narrow"/>
                <w:b/>
                <w:sz w:val="20"/>
                <w:szCs w:val="20"/>
              </w:rPr>
              <w:t>bias</w:t>
            </w:r>
            <w:r w:rsidRPr="00ED4C18">
              <w:rPr>
                <w:rFonts w:ascii="Arial Narrow" w:hAnsi="Arial Narrow"/>
                <w:b/>
                <w:sz w:val="20"/>
                <w:szCs w:val="20"/>
                <w:vertAlign w:val="superscript"/>
              </w:rPr>
              <w:t>c</w:t>
            </w:r>
            <w:proofErr w:type="spellEnd"/>
          </w:p>
        </w:tc>
        <w:tc>
          <w:tcPr>
            <w:tcW w:w="1770" w:type="pct"/>
            <w:shd w:val="clear" w:color="auto" w:fill="auto"/>
            <w:vAlign w:val="center"/>
          </w:tcPr>
          <w:p w:rsidR="008B4CF3" w:rsidRPr="00ED4C18" w:rsidRDefault="008B4CF3" w:rsidP="00D964D5">
            <w:pPr>
              <w:jc w:val="center"/>
              <w:rPr>
                <w:rFonts w:ascii="Arial Narrow" w:hAnsi="Arial Narrow"/>
                <w:b/>
                <w:sz w:val="20"/>
                <w:szCs w:val="20"/>
              </w:rPr>
            </w:pPr>
            <w:r w:rsidRPr="00ED4C18">
              <w:rPr>
                <w:rFonts w:ascii="Arial Narrow" w:hAnsi="Arial Narrow"/>
                <w:b/>
                <w:sz w:val="20"/>
                <w:szCs w:val="20"/>
              </w:rPr>
              <w:t>Protocol title/ Publication title</w:t>
            </w:r>
          </w:p>
        </w:tc>
        <w:tc>
          <w:tcPr>
            <w:tcW w:w="824" w:type="pct"/>
            <w:shd w:val="clear" w:color="auto" w:fill="auto"/>
            <w:vAlign w:val="center"/>
          </w:tcPr>
          <w:p w:rsidR="008B4CF3" w:rsidRPr="00ED4C18" w:rsidRDefault="008B4CF3" w:rsidP="00D964D5">
            <w:pPr>
              <w:jc w:val="center"/>
              <w:rPr>
                <w:rFonts w:ascii="Arial Narrow" w:hAnsi="Arial Narrow"/>
                <w:b/>
                <w:sz w:val="20"/>
                <w:szCs w:val="20"/>
              </w:rPr>
            </w:pPr>
            <w:r w:rsidRPr="00ED4C18">
              <w:rPr>
                <w:rFonts w:ascii="Arial Narrow" w:hAnsi="Arial Narrow"/>
                <w:b/>
                <w:sz w:val="20"/>
                <w:szCs w:val="20"/>
              </w:rPr>
              <w:t>Publication citation</w:t>
            </w:r>
          </w:p>
        </w:tc>
      </w:tr>
      <w:tr w:rsidR="00ED4C18" w:rsidRPr="00ED4C18" w:rsidTr="00E06107">
        <w:tc>
          <w:tcPr>
            <w:tcW w:w="5000" w:type="pct"/>
            <w:gridSpan w:val="6"/>
            <w:shd w:val="clear" w:color="auto" w:fill="auto"/>
            <w:vAlign w:val="center"/>
          </w:tcPr>
          <w:p w:rsidR="00891194" w:rsidRPr="00ED4C18" w:rsidRDefault="00891194" w:rsidP="00D964D5">
            <w:pPr>
              <w:rPr>
                <w:rFonts w:ascii="Arial Narrow" w:hAnsi="Arial Narrow"/>
                <w:b/>
                <w:sz w:val="20"/>
                <w:szCs w:val="20"/>
              </w:rPr>
            </w:pPr>
            <w:proofErr w:type="spellStart"/>
            <w:r w:rsidRPr="00ED4C18">
              <w:rPr>
                <w:rFonts w:ascii="Arial Narrow" w:hAnsi="Arial Narrow"/>
                <w:b/>
                <w:sz w:val="20"/>
                <w:szCs w:val="20"/>
              </w:rPr>
              <w:t>Sofosbuvir</w:t>
            </w:r>
            <w:proofErr w:type="spellEnd"/>
          </w:p>
        </w:tc>
      </w:tr>
      <w:tr w:rsidR="00ED4C18" w:rsidRPr="00ED4C18" w:rsidTr="00E06107">
        <w:tc>
          <w:tcPr>
            <w:tcW w:w="668" w:type="pct"/>
            <w:shd w:val="clear" w:color="auto" w:fill="auto"/>
            <w:vAlign w:val="center"/>
          </w:tcPr>
          <w:p w:rsidR="008B4CF3" w:rsidRPr="00ED4C18" w:rsidRDefault="008B4CF3" w:rsidP="008B4CF3">
            <w:pPr>
              <w:pStyle w:val="TableLeft"/>
              <w:spacing w:line="276" w:lineRule="auto"/>
              <w:rPr>
                <w:rFonts w:ascii="Arial Narrow" w:eastAsia="Times New Roman" w:hAnsi="Arial Narrow"/>
                <w:lang w:bidi="en-US"/>
              </w:rPr>
            </w:pPr>
            <w:r w:rsidRPr="00ED4C18">
              <w:rPr>
                <w:rFonts w:ascii="Arial Narrow" w:eastAsia="Times New Roman" w:hAnsi="Arial Narrow"/>
                <w:lang w:bidi="en-US"/>
              </w:rPr>
              <w:t>GS-US-334-0110</w:t>
            </w:r>
          </w:p>
          <w:p w:rsidR="008B4CF3" w:rsidRPr="00ED4C18" w:rsidRDefault="008B4CF3" w:rsidP="00DD632C">
            <w:pPr>
              <w:rPr>
                <w:rFonts w:ascii="Arial Narrow" w:hAnsi="Arial Narrow"/>
                <w:sz w:val="20"/>
                <w:szCs w:val="20"/>
              </w:rPr>
            </w:pPr>
            <w:r w:rsidRPr="00ED4C18">
              <w:rPr>
                <w:rFonts w:ascii="Arial Narrow" w:hAnsi="Arial Narrow"/>
                <w:sz w:val="20"/>
                <w:szCs w:val="20"/>
              </w:rPr>
              <w:t>NEUTRINO</w:t>
            </w:r>
            <w:r w:rsidR="005D0AAF" w:rsidRPr="00ED4C18">
              <w:rPr>
                <w:rFonts w:ascii="Arial Narrow" w:hAnsi="Arial Narrow"/>
                <w:sz w:val="20"/>
                <w:szCs w:val="20"/>
              </w:rPr>
              <w:t xml:space="preserve"> </w:t>
            </w:r>
          </w:p>
        </w:tc>
        <w:tc>
          <w:tcPr>
            <w:tcW w:w="415" w:type="pct"/>
            <w:shd w:val="clear" w:color="auto" w:fill="auto"/>
            <w:vAlign w:val="center"/>
          </w:tcPr>
          <w:p w:rsidR="008B4CF3" w:rsidRPr="00ED4C18" w:rsidRDefault="008B4CF3" w:rsidP="00D964D5">
            <w:pPr>
              <w:jc w:val="center"/>
              <w:rPr>
                <w:rFonts w:ascii="Arial Narrow" w:hAnsi="Arial Narrow"/>
                <w:sz w:val="20"/>
                <w:szCs w:val="20"/>
              </w:rPr>
            </w:pPr>
            <w:r w:rsidRPr="00ED4C18">
              <w:rPr>
                <w:rFonts w:ascii="Arial Narrow" w:hAnsi="Arial Narrow"/>
                <w:sz w:val="20"/>
                <w:szCs w:val="20"/>
              </w:rPr>
              <w:t>327</w:t>
            </w:r>
          </w:p>
        </w:tc>
        <w:tc>
          <w:tcPr>
            <w:tcW w:w="838" w:type="pct"/>
            <w:shd w:val="clear" w:color="auto" w:fill="auto"/>
            <w:vAlign w:val="center"/>
          </w:tcPr>
          <w:p w:rsidR="008B4CF3" w:rsidRPr="00ED4C18" w:rsidRDefault="008B4CF3" w:rsidP="00D964D5">
            <w:pPr>
              <w:jc w:val="center"/>
              <w:rPr>
                <w:rFonts w:ascii="Arial Narrow" w:hAnsi="Arial Narrow"/>
                <w:sz w:val="20"/>
                <w:szCs w:val="20"/>
              </w:rPr>
            </w:pPr>
            <w:r w:rsidRPr="00ED4C18">
              <w:rPr>
                <w:rFonts w:ascii="Arial Narrow" w:hAnsi="Arial Narrow"/>
                <w:sz w:val="20"/>
                <w:szCs w:val="20"/>
              </w:rPr>
              <w:t>Single arm, MC / 24 weeks</w:t>
            </w:r>
          </w:p>
        </w:tc>
        <w:tc>
          <w:tcPr>
            <w:tcW w:w="485" w:type="pct"/>
            <w:shd w:val="clear" w:color="auto" w:fill="auto"/>
            <w:vAlign w:val="center"/>
          </w:tcPr>
          <w:p w:rsidR="008B4CF3" w:rsidRPr="00ED4C18" w:rsidRDefault="008B4CF3" w:rsidP="00D964D5">
            <w:pPr>
              <w:jc w:val="center"/>
              <w:rPr>
                <w:rFonts w:ascii="Arial Narrow" w:hAnsi="Arial Narrow"/>
                <w:sz w:val="20"/>
                <w:szCs w:val="20"/>
              </w:rPr>
            </w:pPr>
            <w:r w:rsidRPr="00ED4C18">
              <w:rPr>
                <w:rFonts w:ascii="Arial Narrow" w:hAnsi="Arial Narrow"/>
                <w:sz w:val="20"/>
                <w:szCs w:val="20"/>
              </w:rPr>
              <w:t>High</w:t>
            </w:r>
          </w:p>
        </w:tc>
        <w:tc>
          <w:tcPr>
            <w:tcW w:w="1770" w:type="pct"/>
            <w:shd w:val="clear" w:color="auto" w:fill="auto"/>
            <w:vAlign w:val="center"/>
          </w:tcPr>
          <w:p w:rsidR="008B4CF3" w:rsidRPr="00ED4C18" w:rsidRDefault="008B4CF3" w:rsidP="00D964D5">
            <w:pPr>
              <w:jc w:val="center"/>
              <w:rPr>
                <w:rStyle w:val="TableText1"/>
                <w:rFonts w:ascii="Arial Narrow" w:hAnsi="Arial Narrow"/>
                <w:szCs w:val="20"/>
                <w:lang w:bidi="en-US"/>
              </w:rPr>
            </w:pPr>
            <w:r w:rsidRPr="00ED4C18">
              <w:rPr>
                <w:rStyle w:val="TableText1"/>
                <w:rFonts w:ascii="Arial Narrow" w:hAnsi="Arial Narrow"/>
                <w:szCs w:val="20"/>
                <w:lang w:bidi="en-US"/>
              </w:rPr>
              <w:t xml:space="preserve">A phase 3, multicentre, open-label study to investigate the efficacy and safety of GS-7977 with </w:t>
            </w:r>
            <w:proofErr w:type="spellStart"/>
            <w:r w:rsidRPr="00ED4C18">
              <w:rPr>
                <w:rStyle w:val="TableText1"/>
                <w:rFonts w:ascii="Arial Narrow" w:hAnsi="Arial Narrow"/>
                <w:szCs w:val="20"/>
                <w:lang w:bidi="en-US"/>
              </w:rPr>
              <w:t>Peginterferon</w:t>
            </w:r>
            <w:proofErr w:type="spellEnd"/>
            <w:r w:rsidRPr="00ED4C18">
              <w:rPr>
                <w:rStyle w:val="TableText1"/>
                <w:rFonts w:ascii="Arial Narrow" w:hAnsi="Arial Narrow"/>
                <w:szCs w:val="20"/>
                <w:lang w:bidi="en-US"/>
              </w:rPr>
              <w:t xml:space="preserve"> alfa-2a and ribavirin for 12 weeks in treatment-naive subjects with chronic genotype 1,4,5, or 6 HCV infection</w:t>
            </w:r>
            <w:r w:rsidR="00586861" w:rsidRPr="00ED4C18">
              <w:rPr>
                <w:rStyle w:val="TableText1"/>
                <w:rFonts w:ascii="Arial Narrow" w:hAnsi="Arial Narrow"/>
                <w:szCs w:val="20"/>
                <w:lang w:bidi="en-US"/>
              </w:rPr>
              <w:t>.</w:t>
            </w:r>
          </w:p>
          <w:p w:rsidR="008B4CF3" w:rsidRPr="00ED4C18" w:rsidRDefault="008B4CF3" w:rsidP="008B4CF3">
            <w:pPr>
              <w:jc w:val="center"/>
              <w:rPr>
                <w:rFonts w:ascii="Arial Narrow" w:hAnsi="Arial Narrow"/>
                <w:sz w:val="20"/>
                <w:szCs w:val="20"/>
              </w:rPr>
            </w:pPr>
            <w:proofErr w:type="spellStart"/>
            <w:r w:rsidRPr="00ED4C18">
              <w:rPr>
                <w:rFonts w:ascii="Arial Narrow" w:hAnsi="Arial Narrow"/>
                <w:sz w:val="20"/>
                <w:szCs w:val="20"/>
              </w:rPr>
              <w:t>Lawitz</w:t>
            </w:r>
            <w:proofErr w:type="spellEnd"/>
            <w:r w:rsidRPr="00ED4C18">
              <w:rPr>
                <w:rFonts w:ascii="Arial Narrow" w:hAnsi="Arial Narrow"/>
                <w:sz w:val="20"/>
                <w:szCs w:val="20"/>
              </w:rPr>
              <w:t xml:space="preserve"> E et al,  </w:t>
            </w:r>
            <w:proofErr w:type="spellStart"/>
            <w:r w:rsidRPr="00ED4C18">
              <w:rPr>
                <w:rFonts w:ascii="Arial Narrow" w:hAnsi="Arial Narrow"/>
                <w:sz w:val="20"/>
                <w:szCs w:val="20"/>
              </w:rPr>
              <w:t>Sofosbuvir</w:t>
            </w:r>
            <w:proofErr w:type="spellEnd"/>
            <w:r w:rsidRPr="00ED4C18">
              <w:rPr>
                <w:rFonts w:ascii="Arial Narrow" w:hAnsi="Arial Narrow"/>
                <w:sz w:val="20"/>
                <w:szCs w:val="20"/>
              </w:rPr>
              <w:t xml:space="preserve"> for previously untreated chronic hepatitis C infection</w:t>
            </w:r>
          </w:p>
        </w:tc>
        <w:tc>
          <w:tcPr>
            <w:tcW w:w="824" w:type="pct"/>
            <w:shd w:val="clear" w:color="auto" w:fill="auto"/>
            <w:vAlign w:val="center"/>
          </w:tcPr>
          <w:p w:rsidR="008B4CF3" w:rsidRPr="00ED4C18" w:rsidRDefault="008B4CF3" w:rsidP="008B4CF3">
            <w:pPr>
              <w:pStyle w:val="TableLeft"/>
              <w:spacing w:line="276" w:lineRule="auto"/>
              <w:rPr>
                <w:rFonts w:ascii="Arial Narrow" w:hAnsi="Arial Narrow" w:cs="TimesNewRoman"/>
              </w:rPr>
            </w:pPr>
            <w:r w:rsidRPr="00ED4C18">
              <w:rPr>
                <w:rFonts w:ascii="Arial Narrow" w:hAnsi="Arial Narrow" w:cs="TimesNewRoman"/>
              </w:rPr>
              <w:t xml:space="preserve">N </w:t>
            </w:r>
            <w:proofErr w:type="spellStart"/>
            <w:r w:rsidRPr="00ED4C18">
              <w:rPr>
                <w:rFonts w:ascii="Arial Narrow" w:hAnsi="Arial Narrow" w:cs="TimesNewRoman"/>
              </w:rPr>
              <w:t>Engl</w:t>
            </w:r>
            <w:proofErr w:type="spellEnd"/>
            <w:r w:rsidRPr="00ED4C18">
              <w:rPr>
                <w:rFonts w:ascii="Arial Narrow" w:hAnsi="Arial Narrow" w:cs="TimesNewRoman"/>
              </w:rPr>
              <w:t xml:space="preserve"> J Med 2013; 368(20): 1878-87.</w:t>
            </w:r>
          </w:p>
          <w:p w:rsidR="008B4CF3" w:rsidRPr="00ED4C18" w:rsidRDefault="008B4CF3" w:rsidP="00D964D5">
            <w:pPr>
              <w:jc w:val="center"/>
              <w:rPr>
                <w:rFonts w:ascii="Arial Narrow" w:hAnsi="Arial Narrow"/>
                <w:sz w:val="20"/>
                <w:szCs w:val="20"/>
              </w:rPr>
            </w:pPr>
          </w:p>
        </w:tc>
      </w:tr>
      <w:tr w:rsidR="00ED4C18" w:rsidRPr="00ED4C18" w:rsidTr="00E06107">
        <w:tc>
          <w:tcPr>
            <w:tcW w:w="668" w:type="pct"/>
            <w:shd w:val="clear" w:color="auto" w:fill="auto"/>
            <w:vAlign w:val="center"/>
          </w:tcPr>
          <w:p w:rsidR="00DD632C" w:rsidRPr="00ED4C18" w:rsidRDefault="00DD632C" w:rsidP="00DD632C">
            <w:pPr>
              <w:pStyle w:val="TableLeft"/>
              <w:spacing w:line="276" w:lineRule="auto"/>
              <w:rPr>
                <w:rFonts w:ascii="Arial Narrow" w:eastAsia="Times New Roman" w:hAnsi="Arial Narrow"/>
                <w:lang w:bidi="en-US"/>
              </w:rPr>
            </w:pPr>
            <w:r w:rsidRPr="00ED4C18">
              <w:rPr>
                <w:rFonts w:ascii="Arial Narrow" w:eastAsia="Times New Roman" w:hAnsi="Arial Narrow"/>
                <w:lang w:bidi="en-US"/>
              </w:rPr>
              <w:t>P7797-1231</w:t>
            </w:r>
          </w:p>
          <w:p w:rsidR="00DD632C" w:rsidRPr="00ED4C18" w:rsidRDefault="00DD632C" w:rsidP="00DD632C">
            <w:pPr>
              <w:rPr>
                <w:rFonts w:ascii="Arial Narrow" w:hAnsi="Arial Narrow"/>
                <w:sz w:val="20"/>
                <w:szCs w:val="20"/>
              </w:rPr>
            </w:pPr>
            <w:r w:rsidRPr="00ED4C18">
              <w:rPr>
                <w:rFonts w:ascii="Arial Narrow" w:hAnsi="Arial Narrow"/>
                <w:sz w:val="20"/>
                <w:szCs w:val="20"/>
              </w:rPr>
              <w:t>FISSION</w:t>
            </w:r>
          </w:p>
        </w:tc>
        <w:tc>
          <w:tcPr>
            <w:tcW w:w="415" w:type="pct"/>
            <w:shd w:val="clear" w:color="auto" w:fill="auto"/>
            <w:vAlign w:val="center"/>
          </w:tcPr>
          <w:p w:rsidR="00DD632C" w:rsidRPr="00ED4C18" w:rsidRDefault="00DD632C" w:rsidP="00D964D5">
            <w:pPr>
              <w:jc w:val="center"/>
              <w:rPr>
                <w:rFonts w:ascii="Arial Narrow" w:hAnsi="Arial Narrow"/>
                <w:sz w:val="20"/>
                <w:szCs w:val="20"/>
              </w:rPr>
            </w:pPr>
            <w:r w:rsidRPr="00ED4C18">
              <w:rPr>
                <w:rFonts w:ascii="Arial Narrow" w:hAnsi="Arial Narrow"/>
                <w:sz w:val="20"/>
                <w:szCs w:val="20"/>
              </w:rPr>
              <w:t>499</w:t>
            </w:r>
          </w:p>
        </w:tc>
        <w:tc>
          <w:tcPr>
            <w:tcW w:w="838" w:type="pct"/>
            <w:shd w:val="clear" w:color="auto" w:fill="auto"/>
            <w:vAlign w:val="center"/>
          </w:tcPr>
          <w:p w:rsidR="00DD632C" w:rsidRPr="00ED4C18" w:rsidRDefault="00DD632C" w:rsidP="00D964D5">
            <w:pPr>
              <w:jc w:val="center"/>
              <w:rPr>
                <w:rFonts w:ascii="Arial Narrow" w:hAnsi="Arial Narrow"/>
                <w:sz w:val="20"/>
                <w:szCs w:val="20"/>
              </w:rPr>
            </w:pPr>
            <w:r w:rsidRPr="00ED4C18">
              <w:rPr>
                <w:rFonts w:ascii="Arial Narrow" w:hAnsi="Arial Narrow"/>
                <w:sz w:val="20"/>
                <w:szCs w:val="20"/>
              </w:rPr>
              <w:t>R, OL, MC / 24 weeks</w:t>
            </w:r>
          </w:p>
        </w:tc>
        <w:tc>
          <w:tcPr>
            <w:tcW w:w="485" w:type="pct"/>
            <w:shd w:val="clear" w:color="auto" w:fill="auto"/>
            <w:vAlign w:val="center"/>
          </w:tcPr>
          <w:p w:rsidR="00DD632C" w:rsidRPr="00ED4C18" w:rsidRDefault="00DD632C" w:rsidP="00D964D5">
            <w:pPr>
              <w:jc w:val="center"/>
              <w:rPr>
                <w:rFonts w:ascii="Arial Narrow" w:hAnsi="Arial Narrow"/>
                <w:sz w:val="20"/>
                <w:szCs w:val="20"/>
              </w:rPr>
            </w:pPr>
            <w:r w:rsidRPr="00ED4C18">
              <w:rPr>
                <w:rFonts w:ascii="Arial Narrow" w:hAnsi="Arial Narrow"/>
                <w:sz w:val="20"/>
                <w:szCs w:val="20"/>
              </w:rPr>
              <w:t>Low</w:t>
            </w:r>
          </w:p>
        </w:tc>
        <w:tc>
          <w:tcPr>
            <w:tcW w:w="1770" w:type="pct"/>
            <w:shd w:val="clear" w:color="auto" w:fill="auto"/>
            <w:vAlign w:val="center"/>
          </w:tcPr>
          <w:p w:rsidR="00DD632C" w:rsidRPr="00ED4C18" w:rsidRDefault="00DD632C" w:rsidP="00D964D5">
            <w:pPr>
              <w:jc w:val="center"/>
              <w:rPr>
                <w:rStyle w:val="TableText1"/>
                <w:rFonts w:ascii="Arial Narrow" w:hAnsi="Arial Narrow"/>
                <w:szCs w:val="20"/>
                <w:lang w:bidi="en-US"/>
              </w:rPr>
            </w:pPr>
            <w:r w:rsidRPr="00ED4C18">
              <w:rPr>
                <w:rStyle w:val="TableText1"/>
                <w:rFonts w:ascii="Arial Narrow" w:hAnsi="Arial Narrow"/>
                <w:szCs w:val="20"/>
                <w:lang w:bidi="en-US"/>
              </w:rPr>
              <w:t xml:space="preserve">A phase 3, multicentre, randomised, active-controlled study to investigate the safety and efficacy of PSI-7977 and ribavirin for 12 weeks compared to </w:t>
            </w:r>
            <w:proofErr w:type="spellStart"/>
            <w:r w:rsidRPr="00ED4C18">
              <w:rPr>
                <w:rStyle w:val="TableText1"/>
                <w:rFonts w:ascii="Arial Narrow" w:hAnsi="Arial Narrow"/>
                <w:szCs w:val="20"/>
                <w:lang w:bidi="en-US"/>
              </w:rPr>
              <w:t>pegylated</w:t>
            </w:r>
            <w:proofErr w:type="spellEnd"/>
            <w:r w:rsidRPr="00ED4C18">
              <w:rPr>
                <w:rStyle w:val="TableText1"/>
                <w:rFonts w:ascii="Arial Narrow" w:hAnsi="Arial Narrow"/>
                <w:szCs w:val="20"/>
                <w:lang w:bidi="en-US"/>
              </w:rPr>
              <w:t xml:space="preserve"> interferon and ribavirin for 24 weeks in treatment-naive patients with chronic genotype 2 or 3 HCV infection.</w:t>
            </w:r>
          </w:p>
          <w:p w:rsidR="00DD632C" w:rsidRPr="00ED4C18" w:rsidRDefault="00DD632C" w:rsidP="00D964D5">
            <w:pPr>
              <w:jc w:val="center"/>
              <w:rPr>
                <w:rFonts w:ascii="Arial Narrow" w:hAnsi="Arial Narrow"/>
                <w:sz w:val="20"/>
                <w:szCs w:val="20"/>
              </w:rPr>
            </w:pPr>
            <w:proofErr w:type="spellStart"/>
            <w:r w:rsidRPr="00ED4C18">
              <w:rPr>
                <w:rFonts w:ascii="Arial Narrow" w:hAnsi="Arial Narrow"/>
                <w:sz w:val="20"/>
                <w:szCs w:val="20"/>
              </w:rPr>
              <w:t>Lawitz</w:t>
            </w:r>
            <w:proofErr w:type="spellEnd"/>
            <w:r w:rsidRPr="00ED4C18">
              <w:rPr>
                <w:rFonts w:ascii="Arial Narrow" w:hAnsi="Arial Narrow"/>
                <w:sz w:val="20"/>
                <w:szCs w:val="20"/>
              </w:rPr>
              <w:t xml:space="preserve"> E et al,  </w:t>
            </w:r>
            <w:proofErr w:type="spellStart"/>
            <w:r w:rsidRPr="00ED4C18">
              <w:rPr>
                <w:rFonts w:ascii="Arial Narrow" w:hAnsi="Arial Narrow"/>
                <w:sz w:val="20"/>
                <w:szCs w:val="20"/>
              </w:rPr>
              <w:t>Sofosbuvir</w:t>
            </w:r>
            <w:proofErr w:type="spellEnd"/>
            <w:r w:rsidRPr="00ED4C18">
              <w:rPr>
                <w:rFonts w:ascii="Arial Narrow" w:hAnsi="Arial Narrow"/>
                <w:sz w:val="20"/>
                <w:szCs w:val="20"/>
              </w:rPr>
              <w:t xml:space="preserve"> for previously untreated chronic hepatitis C infection</w:t>
            </w:r>
          </w:p>
        </w:tc>
        <w:tc>
          <w:tcPr>
            <w:tcW w:w="824" w:type="pct"/>
            <w:shd w:val="clear" w:color="auto" w:fill="auto"/>
            <w:vAlign w:val="center"/>
          </w:tcPr>
          <w:p w:rsidR="00DD632C" w:rsidRPr="00ED4C18" w:rsidRDefault="00DD632C" w:rsidP="00624473">
            <w:pPr>
              <w:pStyle w:val="TableLeft"/>
              <w:spacing w:line="276" w:lineRule="auto"/>
              <w:rPr>
                <w:rFonts w:ascii="Arial Narrow" w:hAnsi="Arial Narrow" w:cs="TimesNewRoman"/>
              </w:rPr>
            </w:pPr>
            <w:r w:rsidRPr="00ED4C18">
              <w:rPr>
                <w:rFonts w:ascii="Arial Narrow" w:hAnsi="Arial Narrow" w:cs="TimesNewRoman"/>
              </w:rPr>
              <w:t xml:space="preserve">N </w:t>
            </w:r>
            <w:proofErr w:type="spellStart"/>
            <w:r w:rsidRPr="00ED4C18">
              <w:rPr>
                <w:rFonts w:ascii="Arial Narrow" w:hAnsi="Arial Narrow" w:cs="TimesNewRoman"/>
              </w:rPr>
              <w:t>Engl</w:t>
            </w:r>
            <w:proofErr w:type="spellEnd"/>
            <w:r w:rsidRPr="00ED4C18">
              <w:rPr>
                <w:rFonts w:ascii="Arial Narrow" w:hAnsi="Arial Narrow" w:cs="TimesNewRoman"/>
              </w:rPr>
              <w:t xml:space="preserve"> J Med 2013; 368(20): 1878-87.</w:t>
            </w:r>
          </w:p>
          <w:p w:rsidR="00DD632C" w:rsidRPr="00ED4C18" w:rsidRDefault="00DD632C" w:rsidP="00624473">
            <w:pPr>
              <w:jc w:val="center"/>
              <w:rPr>
                <w:rFonts w:ascii="Arial Narrow" w:hAnsi="Arial Narrow"/>
                <w:sz w:val="20"/>
                <w:szCs w:val="20"/>
              </w:rPr>
            </w:pPr>
          </w:p>
        </w:tc>
      </w:tr>
      <w:tr w:rsidR="00ED4C18" w:rsidRPr="00ED4C18" w:rsidTr="00E06107">
        <w:tc>
          <w:tcPr>
            <w:tcW w:w="668" w:type="pct"/>
            <w:shd w:val="clear" w:color="auto" w:fill="auto"/>
            <w:vAlign w:val="center"/>
          </w:tcPr>
          <w:p w:rsidR="00DD632C" w:rsidRPr="00ED4C18" w:rsidRDefault="00E31A26" w:rsidP="00E31A26">
            <w:pPr>
              <w:rPr>
                <w:rFonts w:ascii="Arial Narrow" w:hAnsi="Arial Narrow"/>
                <w:sz w:val="20"/>
                <w:szCs w:val="20"/>
              </w:rPr>
            </w:pPr>
            <w:r w:rsidRPr="00ED4C18">
              <w:rPr>
                <w:rFonts w:ascii="Arial Narrow" w:hAnsi="Arial Narrow"/>
                <w:sz w:val="20"/>
                <w:szCs w:val="20"/>
              </w:rPr>
              <w:lastRenderedPageBreak/>
              <w:t xml:space="preserve">GS-US-334-0107 </w:t>
            </w:r>
            <w:r w:rsidR="00DD632C" w:rsidRPr="00ED4C18">
              <w:rPr>
                <w:rFonts w:ascii="Arial Narrow" w:hAnsi="Arial Narrow"/>
                <w:sz w:val="20"/>
                <w:szCs w:val="20"/>
              </w:rPr>
              <w:t>POSITRON</w:t>
            </w:r>
          </w:p>
        </w:tc>
        <w:tc>
          <w:tcPr>
            <w:tcW w:w="415" w:type="pct"/>
            <w:shd w:val="clear" w:color="auto" w:fill="auto"/>
            <w:vAlign w:val="center"/>
          </w:tcPr>
          <w:p w:rsidR="00DD632C" w:rsidRPr="00ED4C18" w:rsidRDefault="00DD632C" w:rsidP="00D964D5">
            <w:pPr>
              <w:jc w:val="center"/>
              <w:rPr>
                <w:rFonts w:ascii="Arial Narrow" w:hAnsi="Arial Narrow"/>
                <w:sz w:val="20"/>
                <w:szCs w:val="20"/>
              </w:rPr>
            </w:pPr>
            <w:r w:rsidRPr="00ED4C18">
              <w:rPr>
                <w:rFonts w:ascii="Arial Narrow" w:hAnsi="Arial Narrow"/>
                <w:sz w:val="20"/>
                <w:szCs w:val="20"/>
              </w:rPr>
              <w:t>278</w:t>
            </w:r>
          </w:p>
        </w:tc>
        <w:tc>
          <w:tcPr>
            <w:tcW w:w="838" w:type="pct"/>
            <w:shd w:val="clear" w:color="auto" w:fill="auto"/>
            <w:vAlign w:val="center"/>
          </w:tcPr>
          <w:p w:rsidR="00DD632C" w:rsidRPr="00ED4C18" w:rsidRDefault="00DD632C" w:rsidP="00D964D5">
            <w:pPr>
              <w:jc w:val="center"/>
              <w:rPr>
                <w:rFonts w:ascii="Arial Narrow" w:hAnsi="Arial Narrow"/>
                <w:sz w:val="20"/>
                <w:szCs w:val="20"/>
              </w:rPr>
            </w:pPr>
            <w:r w:rsidRPr="00ED4C18">
              <w:rPr>
                <w:rFonts w:ascii="Arial Narrow" w:hAnsi="Arial Narrow"/>
                <w:sz w:val="20"/>
                <w:szCs w:val="20"/>
              </w:rPr>
              <w:t>R, DB, MC / 24 weeks</w:t>
            </w:r>
          </w:p>
        </w:tc>
        <w:tc>
          <w:tcPr>
            <w:tcW w:w="485" w:type="pct"/>
            <w:shd w:val="clear" w:color="auto" w:fill="auto"/>
            <w:vAlign w:val="center"/>
          </w:tcPr>
          <w:p w:rsidR="00DD632C" w:rsidRPr="00ED4C18" w:rsidRDefault="00DD632C" w:rsidP="00D964D5">
            <w:pPr>
              <w:jc w:val="center"/>
              <w:rPr>
                <w:rFonts w:ascii="Arial Narrow" w:hAnsi="Arial Narrow"/>
                <w:sz w:val="20"/>
                <w:szCs w:val="20"/>
              </w:rPr>
            </w:pPr>
            <w:r w:rsidRPr="00ED4C18">
              <w:rPr>
                <w:rFonts w:ascii="Arial Narrow" w:hAnsi="Arial Narrow"/>
                <w:sz w:val="20"/>
                <w:szCs w:val="20"/>
              </w:rPr>
              <w:t>Low</w:t>
            </w:r>
          </w:p>
        </w:tc>
        <w:tc>
          <w:tcPr>
            <w:tcW w:w="1770" w:type="pct"/>
            <w:shd w:val="clear" w:color="auto" w:fill="auto"/>
            <w:vAlign w:val="center"/>
          </w:tcPr>
          <w:p w:rsidR="00DD632C" w:rsidRPr="00ED4C18" w:rsidRDefault="00D8371A" w:rsidP="00D964D5">
            <w:pPr>
              <w:jc w:val="center"/>
              <w:rPr>
                <w:rFonts w:ascii="Arial Narrow" w:hAnsi="Arial Narrow"/>
                <w:sz w:val="20"/>
                <w:szCs w:val="20"/>
              </w:rPr>
            </w:pPr>
            <w:r w:rsidRPr="00ED4C18">
              <w:rPr>
                <w:rFonts w:ascii="Arial Narrow" w:hAnsi="Arial Narrow"/>
                <w:sz w:val="20"/>
                <w:szCs w:val="20"/>
              </w:rPr>
              <w:t xml:space="preserve">A phase 3, multicentre, randomised, double-blind, placebo-controlled study to investigate the efficacy and safety of GS-7977 + ribavirin for 12 weeks in subjects with chronic genotype 2 or 3 HCV infection who are interferon intolerant, interferon ineligible or unwilling to take interferon. </w:t>
            </w:r>
          </w:p>
          <w:p w:rsidR="00D8371A" w:rsidRPr="00ED4C18" w:rsidRDefault="00D8371A" w:rsidP="00D8371A">
            <w:pPr>
              <w:jc w:val="center"/>
              <w:rPr>
                <w:rFonts w:ascii="Arial Narrow" w:hAnsi="Arial Narrow"/>
                <w:sz w:val="20"/>
                <w:szCs w:val="20"/>
              </w:rPr>
            </w:pPr>
            <w:r w:rsidRPr="00ED4C18">
              <w:rPr>
                <w:rFonts w:ascii="Arial Narrow" w:hAnsi="Arial Narrow"/>
                <w:sz w:val="20"/>
                <w:szCs w:val="20"/>
              </w:rPr>
              <w:t xml:space="preserve">Jacobson IM et al, </w:t>
            </w:r>
            <w:proofErr w:type="spellStart"/>
            <w:r w:rsidRPr="00ED4C18">
              <w:rPr>
                <w:rFonts w:ascii="Arial Narrow" w:hAnsi="Arial Narrow"/>
                <w:sz w:val="20"/>
                <w:szCs w:val="20"/>
              </w:rPr>
              <w:t>Sofosbuvir</w:t>
            </w:r>
            <w:proofErr w:type="spellEnd"/>
            <w:r w:rsidRPr="00ED4C18">
              <w:rPr>
                <w:rFonts w:ascii="Arial Narrow" w:hAnsi="Arial Narrow"/>
                <w:sz w:val="20"/>
                <w:szCs w:val="20"/>
              </w:rPr>
              <w:t xml:space="preserve"> for hepatitis C genotype 2 or 3 in patients without treatment options.</w:t>
            </w:r>
          </w:p>
        </w:tc>
        <w:tc>
          <w:tcPr>
            <w:tcW w:w="824" w:type="pct"/>
            <w:shd w:val="clear" w:color="auto" w:fill="auto"/>
            <w:vAlign w:val="center"/>
          </w:tcPr>
          <w:p w:rsidR="00DD632C" w:rsidRPr="00ED4C18" w:rsidRDefault="00D8371A" w:rsidP="00D964D5">
            <w:pPr>
              <w:jc w:val="center"/>
              <w:rPr>
                <w:rFonts w:ascii="Arial Narrow" w:hAnsi="Arial Narrow"/>
                <w:sz w:val="20"/>
                <w:szCs w:val="20"/>
              </w:rPr>
            </w:pPr>
            <w:r w:rsidRPr="00ED4C18">
              <w:rPr>
                <w:rFonts w:ascii="Arial Narrow" w:hAnsi="Arial Narrow"/>
                <w:sz w:val="20"/>
                <w:szCs w:val="20"/>
              </w:rPr>
              <w:t xml:space="preserve">N </w:t>
            </w:r>
            <w:proofErr w:type="spellStart"/>
            <w:r w:rsidRPr="00ED4C18">
              <w:rPr>
                <w:rFonts w:ascii="Arial Narrow" w:hAnsi="Arial Narrow"/>
                <w:sz w:val="20"/>
                <w:szCs w:val="20"/>
              </w:rPr>
              <w:t>Engl</w:t>
            </w:r>
            <w:proofErr w:type="spellEnd"/>
            <w:r w:rsidRPr="00ED4C18">
              <w:rPr>
                <w:rFonts w:ascii="Arial Narrow" w:hAnsi="Arial Narrow"/>
                <w:sz w:val="20"/>
                <w:szCs w:val="20"/>
              </w:rPr>
              <w:t xml:space="preserve"> J Med 2013. 368(20): 1867-77</w:t>
            </w:r>
          </w:p>
        </w:tc>
      </w:tr>
      <w:tr w:rsidR="00ED4C18" w:rsidRPr="00ED4C18" w:rsidTr="00E06107">
        <w:tc>
          <w:tcPr>
            <w:tcW w:w="668" w:type="pct"/>
            <w:shd w:val="clear" w:color="auto" w:fill="auto"/>
            <w:vAlign w:val="center"/>
          </w:tcPr>
          <w:p w:rsidR="00DD632C" w:rsidRPr="00ED4C18" w:rsidRDefault="00D8371A" w:rsidP="00D8371A">
            <w:pPr>
              <w:rPr>
                <w:rFonts w:ascii="Arial Narrow" w:hAnsi="Arial Narrow"/>
                <w:sz w:val="20"/>
                <w:szCs w:val="20"/>
              </w:rPr>
            </w:pPr>
            <w:r w:rsidRPr="00ED4C18">
              <w:rPr>
                <w:rStyle w:val="TableText1"/>
                <w:rFonts w:ascii="Arial Narrow" w:hAnsi="Arial Narrow"/>
                <w:szCs w:val="20"/>
                <w:lang w:bidi="en-US"/>
              </w:rPr>
              <w:t xml:space="preserve">GS-US-334-0108 </w:t>
            </w:r>
            <w:r w:rsidR="00DD632C" w:rsidRPr="00ED4C18">
              <w:rPr>
                <w:rFonts w:ascii="Arial Narrow" w:hAnsi="Arial Narrow"/>
                <w:sz w:val="20"/>
                <w:szCs w:val="20"/>
              </w:rPr>
              <w:t>FUSION</w:t>
            </w:r>
          </w:p>
        </w:tc>
        <w:tc>
          <w:tcPr>
            <w:tcW w:w="415" w:type="pct"/>
            <w:shd w:val="clear" w:color="auto" w:fill="auto"/>
            <w:vAlign w:val="center"/>
          </w:tcPr>
          <w:p w:rsidR="00DD632C" w:rsidRPr="00ED4C18" w:rsidRDefault="00DD632C" w:rsidP="00D964D5">
            <w:pPr>
              <w:jc w:val="center"/>
              <w:rPr>
                <w:rFonts w:ascii="Arial Narrow" w:hAnsi="Arial Narrow"/>
                <w:sz w:val="20"/>
                <w:szCs w:val="20"/>
              </w:rPr>
            </w:pPr>
            <w:r w:rsidRPr="00ED4C18">
              <w:rPr>
                <w:rFonts w:ascii="Arial Narrow" w:hAnsi="Arial Narrow"/>
                <w:sz w:val="20"/>
                <w:szCs w:val="20"/>
              </w:rPr>
              <w:t>103</w:t>
            </w:r>
          </w:p>
        </w:tc>
        <w:tc>
          <w:tcPr>
            <w:tcW w:w="838" w:type="pct"/>
            <w:shd w:val="clear" w:color="auto" w:fill="auto"/>
            <w:vAlign w:val="center"/>
          </w:tcPr>
          <w:p w:rsidR="00DD632C" w:rsidRPr="00ED4C18" w:rsidRDefault="00DD632C" w:rsidP="00D964D5">
            <w:pPr>
              <w:jc w:val="center"/>
              <w:rPr>
                <w:rFonts w:ascii="Arial Narrow" w:hAnsi="Arial Narrow"/>
                <w:sz w:val="20"/>
                <w:szCs w:val="20"/>
              </w:rPr>
            </w:pPr>
            <w:r w:rsidRPr="00ED4C18">
              <w:rPr>
                <w:rFonts w:ascii="Arial Narrow" w:hAnsi="Arial Narrow"/>
                <w:sz w:val="20"/>
                <w:szCs w:val="20"/>
              </w:rPr>
              <w:t xml:space="preserve">Single </w:t>
            </w:r>
            <w:proofErr w:type="spellStart"/>
            <w:r w:rsidRPr="00ED4C18">
              <w:rPr>
                <w:rFonts w:ascii="Arial Narrow" w:hAnsi="Arial Narrow"/>
                <w:sz w:val="20"/>
                <w:szCs w:val="20"/>
              </w:rPr>
              <w:t>arm</w:t>
            </w:r>
            <w:r w:rsidRPr="00ED4C18">
              <w:rPr>
                <w:rFonts w:ascii="Arial Narrow" w:hAnsi="Arial Narrow"/>
                <w:sz w:val="20"/>
                <w:szCs w:val="20"/>
                <w:vertAlign w:val="superscript"/>
              </w:rPr>
              <w:t>b</w:t>
            </w:r>
            <w:proofErr w:type="spellEnd"/>
            <w:r w:rsidRPr="00ED4C18">
              <w:rPr>
                <w:rFonts w:ascii="Arial Narrow" w:hAnsi="Arial Narrow"/>
                <w:sz w:val="20"/>
                <w:szCs w:val="20"/>
              </w:rPr>
              <w:t>, MC / 24 weeks</w:t>
            </w:r>
          </w:p>
        </w:tc>
        <w:tc>
          <w:tcPr>
            <w:tcW w:w="485" w:type="pct"/>
            <w:shd w:val="clear" w:color="auto" w:fill="auto"/>
            <w:vAlign w:val="center"/>
          </w:tcPr>
          <w:p w:rsidR="00DD632C" w:rsidRPr="00ED4C18" w:rsidRDefault="00DD632C" w:rsidP="00D964D5">
            <w:pPr>
              <w:jc w:val="center"/>
              <w:rPr>
                <w:rFonts w:ascii="Arial Narrow" w:hAnsi="Arial Narrow"/>
                <w:sz w:val="20"/>
                <w:szCs w:val="20"/>
              </w:rPr>
            </w:pPr>
            <w:r w:rsidRPr="00ED4C18">
              <w:rPr>
                <w:rFonts w:ascii="Arial Narrow" w:hAnsi="Arial Narrow"/>
                <w:sz w:val="20"/>
                <w:szCs w:val="20"/>
              </w:rPr>
              <w:t>High</w:t>
            </w:r>
          </w:p>
        </w:tc>
        <w:tc>
          <w:tcPr>
            <w:tcW w:w="1770" w:type="pct"/>
            <w:shd w:val="clear" w:color="auto" w:fill="auto"/>
            <w:vAlign w:val="center"/>
          </w:tcPr>
          <w:p w:rsidR="00DD632C" w:rsidRPr="00ED4C18" w:rsidRDefault="00D8371A" w:rsidP="00D964D5">
            <w:pPr>
              <w:jc w:val="center"/>
              <w:rPr>
                <w:rFonts w:ascii="Arial Narrow" w:hAnsi="Arial Narrow"/>
                <w:sz w:val="20"/>
                <w:szCs w:val="20"/>
              </w:rPr>
            </w:pPr>
            <w:r w:rsidRPr="00ED4C18">
              <w:rPr>
                <w:rFonts w:ascii="Arial Narrow" w:hAnsi="Arial Narrow"/>
                <w:sz w:val="20"/>
                <w:szCs w:val="20"/>
              </w:rPr>
              <w:t xml:space="preserve">A phase 3, multicentre, </w:t>
            </w:r>
            <w:proofErr w:type="gramStart"/>
            <w:r w:rsidRPr="00ED4C18">
              <w:rPr>
                <w:rFonts w:ascii="Arial Narrow" w:hAnsi="Arial Narrow"/>
                <w:sz w:val="20"/>
                <w:szCs w:val="20"/>
              </w:rPr>
              <w:t>randomised,</w:t>
            </w:r>
            <w:proofErr w:type="gramEnd"/>
            <w:r w:rsidRPr="00ED4C18">
              <w:rPr>
                <w:rFonts w:ascii="Arial Narrow" w:hAnsi="Arial Narrow"/>
                <w:sz w:val="20"/>
                <w:szCs w:val="20"/>
              </w:rPr>
              <w:t xml:space="preserve"> double-blind study to investigate the efficacy and safety of GS-7977 + ribavirin for 12 or 16 weeks in treatment experienced subjects with chronic genotype 2 or 3 HCV infection. Jacobson IM et al, </w:t>
            </w:r>
            <w:proofErr w:type="spellStart"/>
            <w:r w:rsidRPr="00ED4C18">
              <w:rPr>
                <w:rFonts w:ascii="Arial Narrow" w:hAnsi="Arial Narrow"/>
                <w:sz w:val="20"/>
                <w:szCs w:val="20"/>
              </w:rPr>
              <w:t>Sofosbuvir</w:t>
            </w:r>
            <w:proofErr w:type="spellEnd"/>
            <w:r w:rsidRPr="00ED4C18">
              <w:rPr>
                <w:rFonts w:ascii="Arial Narrow" w:hAnsi="Arial Narrow"/>
                <w:sz w:val="20"/>
                <w:szCs w:val="20"/>
              </w:rPr>
              <w:t xml:space="preserve"> for hepatitis C genotype 2 or 3 in patients without treatment options.</w:t>
            </w:r>
          </w:p>
        </w:tc>
        <w:tc>
          <w:tcPr>
            <w:tcW w:w="824" w:type="pct"/>
            <w:shd w:val="clear" w:color="auto" w:fill="auto"/>
            <w:vAlign w:val="center"/>
          </w:tcPr>
          <w:p w:rsidR="00DD632C" w:rsidRPr="00ED4C18" w:rsidRDefault="00D8371A" w:rsidP="00D964D5">
            <w:pPr>
              <w:jc w:val="center"/>
              <w:rPr>
                <w:rFonts w:ascii="Arial Narrow" w:hAnsi="Arial Narrow"/>
                <w:sz w:val="20"/>
                <w:szCs w:val="20"/>
              </w:rPr>
            </w:pPr>
            <w:r w:rsidRPr="00ED4C18">
              <w:rPr>
                <w:rFonts w:ascii="Arial Narrow" w:hAnsi="Arial Narrow"/>
                <w:sz w:val="20"/>
                <w:szCs w:val="20"/>
              </w:rPr>
              <w:t xml:space="preserve">N </w:t>
            </w:r>
            <w:proofErr w:type="spellStart"/>
            <w:r w:rsidRPr="00ED4C18">
              <w:rPr>
                <w:rFonts w:ascii="Arial Narrow" w:hAnsi="Arial Narrow"/>
                <w:sz w:val="20"/>
                <w:szCs w:val="20"/>
              </w:rPr>
              <w:t>Engl</w:t>
            </w:r>
            <w:proofErr w:type="spellEnd"/>
            <w:r w:rsidRPr="00ED4C18">
              <w:rPr>
                <w:rFonts w:ascii="Arial Narrow" w:hAnsi="Arial Narrow"/>
                <w:sz w:val="20"/>
                <w:szCs w:val="20"/>
              </w:rPr>
              <w:t xml:space="preserve"> J Med 2013. 368(20): 1867-77</w:t>
            </w:r>
          </w:p>
        </w:tc>
      </w:tr>
      <w:tr w:rsidR="00ED4C18" w:rsidRPr="00ED4C18" w:rsidTr="00E06107">
        <w:tc>
          <w:tcPr>
            <w:tcW w:w="668" w:type="pct"/>
            <w:shd w:val="clear" w:color="auto" w:fill="auto"/>
            <w:vAlign w:val="center"/>
          </w:tcPr>
          <w:p w:rsidR="00DD632C" w:rsidRPr="00ED4C18" w:rsidRDefault="00DD632C" w:rsidP="00CE4A64">
            <w:pPr>
              <w:rPr>
                <w:rFonts w:ascii="Arial Narrow" w:hAnsi="Arial Narrow"/>
                <w:sz w:val="20"/>
                <w:szCs w:val="20"/>
              </w:rPr>
            </w:pPr>
            <w:r w:rsidRPr="00ED4C18">
              <w:rPr>
                <w:rFonts w:ascii="Arial Narrow" w:hAnsi="Arial Narrow"/>
                <w:sz w:val="20"/>
                <w:szCs w:val="20"/>
              </w:rPr>
              <w:t>VALENCE</w:t>
            </w:r>
          </w:p>
          <w:p w:rsidR="00DD632C" w:rsidRPr="00ED4C18" w:rsidRDefault="00DD632C" w:rsidP="00CE4A64">
            <w:pPr>
              <w:rPr>
                <w:rFonts w:ascii="Arial Narrow" w:hAnsi="Arial Narrow"/>
                <w:sz w:val="20"/>
                <w:szCs w:val="20"/>
              </w:rPr>
            </w:pPr>
            <w:r w:rsidRPr="00ED4C18">
              <w:rPr>
                <w:rFonts w:ascii="Arial Narrow" w:hAnsi="Arial Narrow"/>
                <w:sz w:val="20"/>
                <w:szCs w:val="20"/>
              </w:rPr>
              <w:t>SOF12+R12</w:t>
            </w:r>
          </w:p>
          <w:p w:rsidR="00DD632C" w:rsidRPr="00ED4C18" w:rsidRDefault="00DD632C" w:rsidP="00D964D5">
            <w:pPr>
              <w:rPr>
                <w:rFonts w:ascii="Arial Narrow" w:hAnsi="Arial Narrow"/>
                <w:sz w:val="20"/>
                <w:szCs w:val="20"/>
              </w:rPr>
            </w:pPr>
            <w:r w:rsidRPr="00ED4C18">
              <w:rPr>
                <w:rFonts w:ascii="Arial Narrow" w:hAnsi="Arial Narrow"/>
                <w:sz w:val="20"/>
                <w:szCs w:val="20"/>
              </w:rPr>
              <w:t>(Section C</w:t>
            </w:r>
            <w:r w:rsidR="00E42966" w:rsidRPr="00ED4C18">
              <w:rPr>
                <w:rFonts w:ascii="Arial Narrow" w:hAnsi="Arial Narrow"/>
                <w:sz w:val="20"/>
                <w:szCs w:val="20"/>
              </w:rPr>
              <w:t xml:space="preserve"> of the submission</w:t>
            </w:r>
            <w:r w:rsidRPr="00ED4C18">
              <w:rPr>
                <w:rFonts w:ascii="Arial Narrow" w:hAnsi="Arial Narrow"/>
                <w:sz w:val="20"/>
                <w:szCs w:val="20"/>
              </w:rPr>
              <w:t>, GT2</w:t>
            </w:r>
          </w:p>
        </w:tc>
        <w:tc>
          <w:tcPr>
            <w:tcW w:w="415" w:type="pct"/>
            <w:shd w:val="clear" w:color="auto" w:fill="auto"/>
            <w:vAlign w:val="center"/>
          </w:tcPr>
          <w:p w:rsidR="00DD632C" w:rsidRPr="00ED4C18" w:rsidRDefault="00B95A9F" w:rsidP="00D964D5">
            <w:pPr>
              <w:jc w:val="center"/>
              <w:rPr>
                <w:rFonts w:ascii="Arial Narrow" w:hAnsi="Arial Narrow"/>
                <w:sz w:val="20"/>
                <w:szCs w:val="20"/>
              </w:rPr>
            </w:pPr>
            <w:r w:rsidRPr="00ED4C18">
              <w:rPr>
                <w:rFonts w:ascii="Arial Narrow" w:hAnsi="Arial Narrow"/>
                <w:sz w:val="20"/>
                <w:szCs w:val="20"/>
              </w:rPr>
              <w:t>323</w:t>
            </w:r>
          </w:p>
        </w:tc>
        <w:tc>
          <w:tcPr>
            <w:tcW w:w="838" w:type="pct"/>
            <w:shd w:val="clear" w:color="auto" w:fill="auto"/>
            <w:vAlign w:val="center"/>
          </w:tcPr>
          <w:p w:rsidR="00DD632C" w:rsidRPr="00ED4C18" w:rsidRDefault="00DD632C" w:rsidP="00D964D5">
            <w:pPr>
              <w:jc w:val="center"/>
              <w:rPr>
                <w:rFonts w:ascii="Arial Narrow" w:hAnsi="Arial Narrow"/>
                <w:sz w:val="20"/>
                <w:szCs w:val="20"/>
              </w:rPr>
            </w:pPr>
          </w:p>
        </w:tc>
        <w:tc>
          <w:tcPr>
            <w:tcW w:w="485" w:type="pct"/>
            <w:shd w:val="clear" w:color="auto" w:fill="auto"/>
            <w:vAlign w:val="center"/>
          </w:tcPr>
          <w:p w:rsidR="00DD632C" w:rsidRPr="00ED4C18" w:rsidRDefault="00DD632C" w:rsidP="00D964D5">
            <w:pPr>
              <w:jc w:val="center"/>
              <w:rPr>
                <w:rFonts w:ascii="Arial Narrow" w:hAnsi="Arial Narrow"/>
                <w:sz w:val="20"/>
                <w:szCs w:val="20"/>
              </w:rPr>
            </w:pPr>
          </w:p>
        </w:tc>
        <w:tc>
          <w:tcPr>
            <w:tcW w:w="1770" w:type="pct"/>
            <w:shd w:val="clear" w:color="auto" w:fill="auto"/>
            <w:vAlign w:val="center"/>
          </w:tcPr>
          <w:p w:rsidR="00DD632C" w:rsidRPr="00ED4C18" w:rsidRDefault="00D8371A" w:rsidP="00D964D5">
            <w:pPr>
              <w:jc w:val="center"/>
              <w:rPr>
                <w:rFonts w:ascii="Arial Narrow" w:hAnsi="Arial Narrow"/>
                <w:sz w:val="20"/>
                <w:szCs w:val="20"/>
              </w:rPr>
            </w:pPr>
            <w:proofErr w:type="gramStart"/>
            <w:r w:rsidRPr="00ED4C18">
              <w:rPr>
                <w:rFonts w:ascii="Arial Narrow" w:hAnsi="Arial Narrow"/>
                <w:sz w:val="20"/>
                <w:szCs w:val="20"/>
              </w:rPr>
              <w:t>an</w:t>
            </w:r>
            <w:proofErr w:type="gramEnd"/>
            <w:r w:rsidRPr="00ED4C18">
              <w:rPr>
                <w:rFonts w:ascii="Arial Narrow" w:hAnsi="Arial Narrow"/>
                <w:sz w:val="20"/>
                <w:szCs w:val="20"/>
              </w:rPr>
              <w:t xml:space="preserve"> ongoing phase 3, randomised, double-blind, placebo-controlled study of </w:t>
            </w:r>
            <w:proofErr w:type="spellStart"/>
            <w:r w:rsidRPr="00ED4C18">
              <w:rPr>
                <w:rFonts w:ascii="Arial Narrow" w:hAnsi="Arial Narrow"/>
                <w:sz w:val="20"/>
                <w:szCs w:val="20"/>
              </w:rPr>
              <w:t>sofosbuvir</w:t>
            </w:r>
            <w:proofErr w:type="spellEnd"/>
            <w:r w:rsidRPr="00ED4C18">
              <w:rPr>
                <w:rFonts w:ascii="Arial Narrow" w:hAnsi="Arial Narrow"/>
                <w:sz w:val="20"/>
                <w:szCs w:val="20"/>
              </w:rPr>
              <w:t xml:space="preserve"> + RBV in treatment-naïve or treatment-experienced patients with chronic genotype 2 or 3 HCV infection. The genotype 3 HCV infected patient group received an extended course of treatment with </w:t>
            </w:r>
            <w:proofErr w:type="spellStart"/>
            <w:r w:rsidRPr="00ED4C18">
              <w:rPr>
                <w:rFonts w:ascii="Arial Narrow" w:hAnsi="Arial Narrow"/>
                <w:sz w:val="20"/>
                <w:szCs w:val="20"/>
              </w:rPr>
              <w:t>sofosbuvir</w:t>
            </w:r>
            <w:proofErr w:type="spellEnd"/>
            <w:r w:rsidRPr="00ED4C18">
              <w:rPr>
                <w:rFonts w:ascii="Arial Narrow" w:hAnsi="Arial Narrow"/>
                <w:sz w:val="20"/>
                <w:szCs w:val="20"/>
              </w:rPr>
              <w:t xml:space="preserve"> + RBV, of 24 weeks duration </w:t>
            </w:r>
          </w:p>
          <w:p w:rsidR="00D8371A" w:rsidRPr="00ED4C18" w:rsidRDefault="00D8371A" w:rsidP="00D964D5">
            <w:pPr>
              <w:jc w:val="center"/>
              <w:rPr>
                <w:rFonts w:ascii="Arial Narrow" w:hAnsi="Arial Narrow"/>
                <w:sz w:val="20"/>
                <w:szCs w:val="20"/>
              </w:rPr>
            </w:pPr>
          </w:p>
        </w:tc>
        <w:tc>
          <w:tcPr>
            <w:tcW w:w="824" w:type="pct"/>
            <w:shd w:val="clear" w:color="auto" w:fill="auto"/>
            <w:vAlign w:val="center"/>
          </w:tcPr>
          <w:p w:rsidR="00DD632C" w:rsidRPr="00ED4C18" w:rsidRDefault="00D8371A" w:rsidP="00D964D5">
            <w:pPr>
              <w:jc w:val="center"/>
              <w:rPr>
                <w:rFonts w:ascii="Arial Narrow" w:hAnsi="Arial Narrow"/>
                <w:sz w:val="20"/>
                <w:szCs w:val="20"/>
              </w:rPr>
            </w:pPr>
            <w:r w:rsidRPr="00ED4C18">
              <w:rPr>
                <w:rFonts w:ascii="Arial Narrow" w:hAnsi="Arial Narrow"/>
                <w:sz w:val="20"/>
                <w:szCs w:val="20"/>
              </w:rPr>
              <w:t>VALENCE Interim Synoptic CSR 08 October 2013</w:t>
            </w:r>
          </w:p>
        </w:tc>
      </w:tr>
      <w:tr w:rsidR="00ED4C18" w:rsidRPr="00ED4C18" w:rsidTr="00E06107">
        <w:tc>
          <w:tcPr>
            <w:tcW w:w="668" w:type="pct"/>
            <w:shd w:val="clear" w:color="auto" w:fill="auto"/>
            <w:vAlign w:val="center"/>
          </w:tcPr>
          <w:p w:rsidR="00DD632C" w:rsidRPr="00ED4C18" w:rsidRDefault="00DD632C" w:rsidP="00CE4A64">
            <w:pPr>
              <w:rPr>
                <w:rFonts w:ascii="Arial Narrow" w:hAnsi="Arial Narrow"/>
                <w:sz w:val="20"/>
                <w:szCs w:val="20"/>
              </w:rPr>
            </w:pPr>
            <w:r w:rsidRPr="00ED4C18">
              <w:rPr>
                <w:rFonts w:ascii="Arial Narrow" w:hAnsi="Arial Narrow"/>
                <w:sz w:val="20"/>
                <w:szCs w:val="20"/>
              </w:rPr>
              <w:t>PROTON</w:t>
            </w:r>
          </w:p>
          <w:p w:rsidR="00DD632C" w:rsidRPr="00ED4C18" w:rsidRDefault="00DD632C" w:rsidP="00CE4A64">
            <w:pPr>
              <w:rPr>
                <w:rFonts w:ascii="Arial Narrow" w:hAnsi="Arial Narrow"/>
                <w:sz w:val="20"/>
                <w:szCs w:val="20"/>
              </w:rPr>
            </w:pPr>
            <w:r w:rsidRPr="00ED4C18">
              <w:rPr>
                <w:rFonts w:ascii="Arial Narrow" w:hAnsi="Arial Narrow"/>
                <w:sz w:val="20"/>
                <w:szCs w:val="20"/>
              </w:rPr>
              <w:t>SOF12+PR12</w:t>
            </w:r>
          </w:p>
          <w:p w:rsidR="00DD632C" w:rsidRPr="00ED4C18" w:rsidRDefault="00DD632C" w:rsidP="00CE4A64">
            <w:pPr>
              <w:rPr>
                <w:rFonts w:ascii="Arial Narrow" w:hAnsi="Arial Narrow"/>
                <w:sz w:val="20"/>
                <w:szCs w:val="20"/>
              </w:rPr>
            </w:pPr>
            <w:r w:rsidRPr="00ED4C18">
              <w:rPr>
                <w:rFonts w:ascii="Arial Narrow" w:hAnsi="Arial Narrow"/>
                <w:sz w:val="20"/>
                <w:szCs w:val="20"/>
              </w:rPr>
              <w:t>(</w:t>
            </w:r>
            <w:r w:rsidR="00E42966" w:rsidRPr="00ED4C18">
              <w:rPr>
                <w:rFonts w:ascii="Arial Narrow" w:hAnsi="Arial Narrow"/>
                <w:sz w:val="20"/>
                <w:szCs w:val="20"/>
              </w:rPr>
              <w:t>Section C of the submission</w:t>
            </w:r>
            <w:r w:rsidRPr="00ED4C18">
              <w:rPr>
                <w:rFonts w:ascii="Arial Narrow" w:hAnsi="Arial Narrow"/>
                <w:sz w:val="20"/>
                <w:szCs w:val="20"/>
              </w:rPr>
              <w:t>, GT3)</w:t>
            </w:r>
          </w:p>
        </w:tc>
        <w:tc>
          <w:tcPr>
            <w:tcW w:w="415" w:type="pct"/>
            <w:shd w:val="clear" w:color="auto" w:fill="auto"/>
            <w:vAlign w:val="center"/>
          </w:tcPr>
          <w:p w:rsidR="00DD632C" w:rsidRPr="00ED4C18" w:rsidRDefault="00E42966" w:rsidP="00D964D5">
            <w:pPr>
              <w:jc w:val="center"/>
              <w:rPr>
                <w:rFonts w:ascii="Arial Narrow" w:hAnsi="Arial Narrow"/>
                <w:sz w:val="20"/>
                <w:szCs w:val="20"/>
              </w:rPr>
            </w:pPr>
            <w:r w:rsidRPr="00ED4C18">
              <w:rPr>
                <w:rFonts w:ascii="Arial Narrow" w:hAnsi="Arial Narrow"/>
                <w:sz w:val="20"/>
                <w:szCs w:val="20"/>
              </w:rPr>
              <w:t>25 (10 GT3)</w:t>
            </w:r>
          </w:p>
        </w:tc>
        <w:tc>
          <w:tcPr>
            <w:tcW w:w="838" w:type="pct"/>
            <w:shd w:val="clear" w:color="auto" w:fill="auto"/>
            <w:vAlign w:val="center"/>
          </w:tcPr>
          <w:p w:rsidR="00DD632C" w:rsidRPr="00ED4C18" w:rsidRDefault="00DD632C" w:rsidP="00D964D5">
            <w:pPr>
              <w:jc w:val="center"/>
              <w:rPr>
                <w:rFonts w:ascii="Arial Narrow" w:hAnsi="Arial Narrow"/>
                <w:sz w:val="20"/>
                <w:szCs w:val="20"/>
              </w:rPr>
            </w:pPr>
          </w:p>
        </w:tc>
        <w:tc>
          <w:tcPr>
            <w:tcW w:w="485" w:type="pct"/>
            <w:shd w:val="clear" w:color="auto" w:fill="auto"/>
            <w:vAlign w:val="center"/>
          </w:tcPr>
          <w:p w:rsidR="00DD632C" w:rsidRPr="00ED4C18" w:rsidRDefault="00DD632C" w:rsidP="00D964D5">
            <w:pPr>
              <w:jc w:val="center"/>
              <w:rPr>
                <w:rFonts w:ascii="Arial Narrow" w:hAnsi="Arial Narrow"/>
                <w:sz w:val="20"/>
                <w:szCs w:val="20"/>
              </w:rPr>
            </w:pPr>
          </w:p>
        </w:tc>
        <w:tc>
          <w:tcPr>
            <w:tcW w:w="1770" w:type="pct"/>
            <w:shd w:val="clear" w:color="auto" w:fill="auto"/>
            <w:vAlign w:val="center"/>
          </w:tcPr>
          <w:p w:rsidR="00DD632C" w:rsidRPr="00ED4C18" w:rsidRDefault="00E42966" w:rsidP="00D964D5">
            <w:pPr>
              <w:jc w:val="center"/>
              <w:rPr>
                <w:rFonts w:ascii="Arial Narrow" w:hAnsi="Arial Narrow"/>
                <w:sz w:val="20"/>
                <w:szCs w:val="20"/>
              </w:rPr>
            </w:pPr>
            <w:r w:rsidRPr="00ED4C18">
              <w:rPr>
                <w:rFonts w:ascii="Arial Narrow" w:hAnsi="Arial Narrow"/>
                <w:sz w:val="20"/>
                <w:szCs w:val="20"/>
              </w:rPr>
              <w:t xml:space="preserve">Phase 2 dose ranging study in treatment naïve HCV genotype 1, 2, and 3 infected patients. The trial enrolled 25 patients who were treated with </w:t>
            </w:r>
            <w:proofErr w:type="spellStart"/>
            <w:r w:rsidRPr="00ED4C18">
              <w:rPr>
                <w:rFonts w:ascii="Arial Narrow" w:hAnsi="Arial Narrow"/>
                <w:sz w:val="20"/>
                <w:szCs w:val="20"/>
              </w:rPr>
              <w:t>sofosbuvir</w:t>
            </w:r>
            <w:proofErr w:type="spellEnd"/>
            <w:r w:rsidRPr="00ED4C18">
              <w:rPr>
                <w:rFonts w:ascii="Arial Narrow" w:hAnsi="Arial Narrow"/>
                <w:sz w:val="20"/>
                <w:szCs w:val="20"/>
              </w:rPr>
              <w:t xml:space="preserve"> + Peg-IFN + RBV for 12 weeks, of whom 10 were HCV genotype 3 infected patients.</w:t>
            </w:r>
          </w:p>
        </w:tc>
        <w:tc>
          <w:tcPr>
            <w:tcW w:w="824" w:type="pct"/>
            <w:shd w:val="clear" w:color="auto" w:fill="auto"/>
            <w:vAlign w:val="center"/>
          </w:tcPr>
          <w:p w:rsidR="00DD632C" w:rsidRPr="00ED4C18" w:rsidRDefault="00E42966" w:rsidP="00D964D5">
            <w:pPr>
              <w:jc w:val="center"/>
              <w:rPr>
                <w:rFonts w:ascii="Arial Narrow" w:hAnsi="Arial Narrow"/>
                <w:sz w:val="20"/>
                <w:szCs w:val="20"/>
              </w:rPr>
            </w:pPr>
            <w:r w:rsidRPr="00ED4C18">
              <w:rPr>
                <w:rFonts w:ascii="Arial Narrow" w:hAnsi="Arial Narrow"/>
                <w:sz w:val="20"/>
                <w:szCs w:val="20"/>
              </w:rPr>
              <w:t>European Medicines Agency, Annex 1: Summary of Product Characteristics (</w:t>
            </w:r>
            <w:proofErr w:type="spellStart"/>
            <w:r w:rsidRPr="00ED4C18">
              <w:rPr>
                <w:rFonts w:ascii="Arial Narrow" w:hAnsi="Arial Narrow"/>
                <w:sz w:val="20"/>
                <w:szCs w:val="20"/>
              </w:rPr>
              <w:t>Sovaldi</w:t>
            </w:r>
            <w:proofErr w:type="spellEnd"/>
            <w:r w:rsidRPr="00ED4C18">
              <w:rPr>
                <w:rFonts w:ascii="Arial Narrow" w:hAnsi="Arial Narrow"/>
                <w:sz w:val="20"/>
                <w:szCs w:val="20"/>
              </w:rPr>
              <w:t>) 2014</w:t>
            </w:r>
          </w:p>
        </w:tc>
      </w:tr>
      <w:tr w:rsidR="00ED4C18" w:rsidRPr="00ED4C18" w:rsidTr="00E06107">
        <w:tc>
          <w:tcPr>
            <w:tcW w:w="668" w:type="pct"/>
            <w:shd w:val="clear" w:color="auto" w:fill="auto"/>
            <w:vAlign w:val="center"/>
          </w:tcPr>
          <w:p w:rsidR="00DD632C" w:rsidRPr="00ED4C18" w:rsidRDefault="00DD632C" w:rsidP="00CE4A64">
            <w:pPr>
              <w:rPr>
                <w:rFonts w:ascii="Arial Narrow" w:hAnsi="Arial Narrow"/>
                <w:sz w:val="20"/>
                <w:szCs w:val="20"/>
              </w:rPr>
            </w:pPr>
            <w:r w:rsidRPr="00ED4C18">
              <w:rPr>
                <w:rFonts w:ascii="Arial Narrow" w:hAnsi="Arial Narrow"/>
                <w:sz w:val="20"/>
                <w:szCs w:val="20"/>
              </w:rPr>
              <w:t>ELECTRON SOF12+PR12</w:t>
            </w:r>
          </w:p>
          <w:p w:rsidR="00DD632C" w:rsidRPr="00ED4C18" w:rsidRDefault="00DD632C" w:rsidP="00CE4A64">
            <w:pPr>
              <w:rPr>
                <w:rFonts w:ascii="Arial Narrow" w:hAnsi="Arial Narrow"/>
                <w:sz w:val="20"/>
                <w:szCs w:val="20"/>
              </w:rPr>
            </w:pPr>
            <w:r w:rsidRPr="00ED4C18">
              <w:rPr>
                <w:rFonts w:ascii="Arial Narrow" w:hAnsi="Arial Narrow"/>
                <w:sz w:val="20"/>
                <w:szCs w:val="20"/>
              </w:rPr>
              <w:t>(</w:t>
            </w:r>
            <w:r w:rsidR="00E42966" w:rsidRPr="00ED4C18">
              <w:rPr>
                <w:rFonts w:ascii="Arial Narrow" w:hAnsi="Arial Narrow"/>
                <w:sz w:val="20"/>
                <w:szCs w:val="20"/>
              </w:rPr>
              <w:t>Section C of the submission</w:t>
            </w:r>
            <w:r w:rsidR="00586861" w:rsidRPr="00ED4C18">
              <w:rPr>
                <w:rFonts w:ascii="Arial Narrow" w:hAnsi="Arial Narrow"/>
                <w:sz w:val="20"/>
                <w:szCs w:val="20"/>
              </w:rPr>
              <w:t>,</w:t>
            </w:r>
            <w:r w:rsidR="00E42966" w:rsidRPr="00ED4C18">
              <w:rPr>
                <w:rFonts w:ascii="Arial Narrow" w:hAnsi="Arial Narrow"/>
                <w:sz w:val="20"/>
                <w:szCs w:val="20"/>
              </w:rPr>
              <w:t xml:space="preserve"> </w:t>
            </w:r>
            <w:r w:rsidRPr="00ED4C18">
              <w:rPr>
                <w:rFonts w:ascii="Arial Narrow" w:hAnsi="Arial Narrow"/>
                <w:sz w:val="20"/>
                <w:szCs w:val="20"/>
              </w:rPr>
              <w:t>GT3)</w:t>
            </w:r>
          </w:p>
        </w:tc>
        <w:tc>
          <w:tcPr>
            <w:tcW w:w="415" w:type="pct"/>
            <w:shd w:val="clear" w:color="auto" w:fill="auto"/>
            <w:vAlign w:val="center"/>
          </w:tcPr>
          <w:p w:rsidR="00DD632C" w:rsidRPr="00ED4C18" w:rsidRDefault="00E42966" w:rsidP="00D964D5">
            <w:pPr>
              <w:jc w:val="center"/>
              <w:rPr>
                <w:rFonts w:ascii="Arial Narrow" w:hAnsi="Arial Narrow"/>
                <w:sz w:val="20"/>
                <w:szCs w:val="20"/>
              </w:rPr>
            </w:pPr>
            <w:r w:rsidRPr="00ED4C18">
              <w:rPr>
                <w:rFonts w:ascii="Arial Narrow" w:hAnsi="Arial Narrow"/>
                <w:sz w:val="20"/>
                <w:szCs w:val="20"/>
              </w:rPr>
              <w:t>11 (7 GT3)</w:t>
            </w:r>
          </w:p>
        </w:tc>
        <w:tc>
          <w:tcPr>
            <w:tcW w:w="838" w:type="pct"/>
            <w:shd w:val="clear" w:color="auto" w:fill="auto"/>
            <w:vAlign w:val="center"/>
          </w:tcPr>
          <w:p w:rsidR="00DD632C" w:rsidRPr="00ED4C18" w:rsidRDefault="00DD632C" w:rsidP="00D964D5">
            <w:pPr>
              <w:jc w:val="center"/>
              <w:rPr>
                <w:rFonts w:ascii="Arial Narrow" w:hAnsi="Arial Narrow"/>
                <w:sz w:val="20"/>
                <w:szCs w:val="20"/>
              </w:rPr>
            </w:pPr>
          </w:p>
        </w:tc>
        <w:tc>
          <w:tcPr>
            <w:tcW w:w="485" w:type="pct"/>
            <w:shd w:val="clear" w:color="auto" w:fill="auto"/>
            <w:vAlign w:val="center"/>
          </w:tcPr>
          <w:p w:rsidR="00DD632C" w:rsidRPr="00ED4C18" w:rsidRDefault="00DD632C" w:rsidP="00D964D5">
            <w:pPr>
              <w:jc w:val="center"/>
              <w:rPr>
                <w:rFonts w:ascii="Arial Narrow" w:hAnsi="Arial Narrow"/>
                <w:sz w:val="20"/>
                <w:szCs w:val="20"/>
              </w:rPr>
            </w:pPr>
          </w:p>
        </w:tc>
        <w:tc>
          <w:tcPr>
            <w:tcW w:w="1770" w:type="pct"/>
            <w:shd w:val="clear" w:color="auto" w:fill="auto"/>
            <w:vAlign w:val="center"/>
          </w:tcPr>
          <w:p w:rsidR="00DD632C" w:rsidRPr="00ED4C18" w:rsidRDefault="00E42966" w:rsidP="00D964D5">
            <w:pPr>
              <w:jc w:val="center"/>
              <w:rPr>
                <w:rFonts w:ascii="Arial Narrow" w:hAnsi="Arial Narrow"/>
                <w:sz w:val="20"/>
                <w:szCs w:val="20"/>
              </w:rPr>
            </w:pPr>
            <w:r w:rsidRPr="00ED4C18">
              <w:rPr>
                <w:rFonts w:ascii="Arial Narrow" w:hAnsi="Arial Narrow"/>
                <w:sz w:val="20"/>
                <w:szCs w:val="20"/>
              </w:rPr>
              <w:t xml:space="preserve">Phase 2 open label study of </w:t>
            </w:r>
            <w:proofErr w:type="spellStart"/>
            <w:r w:rsidRPr="00ED4C18">
              <w:rPr>
                <w:rFonts w:ascii="Arial Narrow" w:hAnsi="Arial Narrow"/>
                <w:sz w:val="20"/>
                <w:szCs w:val="20"/>
              </w:rPr>
              <w:t>sofosbuvir</w:t>
            </w:r>
            <w:proofErr w:type="spellEnd"/>
            <w:r w:rsidRPr="00ED4C18">
              <w:rPr>
                <w:rFonts w:ascii="Arial Narrow" w:hAnsi="Arial Narrow"/>
                <w:sz w:val="20"/>
                <w:szCs w:val="20"/>
              </w:rPr>
              <w:t xml:space="preserve"> in treatment naïve HCV genotype 2 or 3 infected patients. The trial enrolled 11 patients who were treated with </w:t>
            </w:r>
            <w:proofErr w:type="spellStart"/>
            <w:r w:rsidRPr="00ED4C18">
              <w:rPr>
                <w:rFonts w:ascii="Arial Narrow" w:hAnsi="Arial Narrow"/>
                <w:sz w:val="20"/>
                <w:szCs w:val="20"/>
              </w:rPr>
              <w:t>sofosbuvir</w:t>
            </w:r>
            <w:proofErr w:type="spellEnd"/>
            <w:r w:rsidRPr="00ED4C18">
              <w:rPr>
                <w:rFonts w:ascii="Arial Narrow" w:hAnsi="Arial Narrow"/>
                <w:sz w:val="20"/>
                <w:szCs w:val="20"/>
              </w:rPr>
              <w:t xml:space="preserve"> + Peg-IFN + RBV for 12 weeks, of whom 7 were HCV genotype 3 infected patients.</w:t>
            </w:r>
          </w:p>
        </w:tc>
        <w:tc>
          <w:tcPr>
            <w:tcW w:w="824" w:type="pct"/>
            <w:shd w:val="clear" w:color="auto" w:fill="auto"/>
            <w:vAlign w:val="center"/>
          </w:tcPr>
          <w:p w:rsidR="00DD632C" w:rsidRPr="00ED4C18" w:rsidRDefault="00E42966" w:rsidP="00D964D5">
            <w:pPr>
              <w:jc w:val="center"/>
              <w:rPr>
                <w:rFonts w:ascii="Arial Narrow" w:hAnsi="Arial Narrow"/>
                <w:sz w:val="20"/>
                <w:szCs w:val="20"/>
              </w:rPr>
            </w:pPr>
            <w:r w:rsidRPr="00ED4C18">
              <w:rPr>
                <w:rFonts w:ascii="Arial Narrow" w:hAnsi="Arial Narrow"/>
                <w:sz w:val="20"/>
                <w:szCs w:val="20"/>
              </w:rPr>
              <w:t>European Medicines Agency, Annex 1: Summary of Product Characteristics (</w:t>
            </w:r>
            <w:proofErr w:type="spellStart"/>
            <w:r w:rsidRPr="00ED4C18">
              <w:rPr>
                <w:rFonts w:ascii="Arial Narrow" w:hAnsi="Arial Narrow"/>
                <w:sz w:val="20"/>
                <w:szCs w:val="20"/>
              </w:rPr>
              <w:t>Sovaldi</w:t>
            </w:r>
            <w:proofErr w:type="spellEnd"/>
            <w:r w:rsidRPr="00ED4C18">
              <w:rPr>
                <w:rFonts w:ascii="Arial Narrow" w:hAnsi="Arial Narrow"/>
                <w:sz w:val="20"/>
                <w:szCs w:val="20"/>
              </w:rPr>
              <w:t>) 2014</w:t>
            </w:r>
          </w:p>
        </w:tc>
      </w:tr>
      <w:tr w:rsidR="00ED4C18" w:rsidRPr="00ED4C18" w:rsidTr="00E06107">
        <w:tc>
          <w:tcPr>
            <w:tcW w:w="668" w:type="pct"/>
            <w:shd w:val="clear" w:color="auto" w:fill="auto"/>
            <w:vAlign w:val="center"/>
          </w:tcPr>
          <w:p w:rsidR="00DD632C" w:rsidRPr="00ED4C18" w:rsidRDefault="00DD632C" w:rsidP="008D0534">
            <w:pPr>
              <w:rPr>
                <w:rFonts w:ascii="Arial Narrow" w:hAnsi="Arial Narrow"/>
                <w:sz w:val="20"/>
                <w:szCs w:val="20"/>
              </w:rPr>
            </w:pPr>
            <w:r w:rsidRPr="00ED4C18">
              <w:rPr>
                <w:rFonts w:ascii="Arial Narrow" w:hAnsi="Arial Narrow"/>
                <w:sz w:val="20"/>
                <w:szCs w:val="20"/>
              </w:rPr>
              <w:t>LONESTAR-2</w:t>
            </w:r>
          </w:p>
          <w:p w:rsidR="00DD632C" w:rsidRPr="00ED4C18" w:rsidRDefault="00DD632C" w:rsidP="008D0534">
            <w:pPr>
              <w:rPr>
                <w:rFonts w:ascii="Arial Narrow" w:hAnsi="Arial Narrow"/>
                <w:sz w:val="20"/>
                <w:szCs w:val="20"/>
              </w:rPr>
            </w:pPr>
            <w:r w:rsidRPr="00ED4C18">
              <w:rPr>
                <w:rFonts w:ascii="Arial Narrow" w:hAnsi="Arial Narrow"/>
                <w:sz w:val="20"/>
                <w:szCs w:val="20"/>
              </w:rPr>
              <w:t>SOF12+PR12</w:t>
            </w:r>
          </w:p>
          <w:p w:rsidR="00DD632C" w:rsidRPr="00ED4C18" w:rsidRDefault="00DD632C" w:rsidP="00D964D5">
            <w:pPr>
              <w:rPr>
                <w:rFonts w:ascii="Arial Narrow" w:hAnsi="Arial Narrow"/>
                <w:sz w:val="20"/>
                <w:szCs w:val="20"/>
              </w:rPr>
            </w:pPr>
            <w:r w:rsidRPr="00ED4C18">
              <w:rPr>
                <w:rFonts w:ascii="Arial Narrow" w:hAnsi="Arial Narrow"/>
                <w:sz w:val="20"/>
                <w:szCs w:val="20"/>
              </w:rPr>
              <w:t>(</w:t>
            </w:r>
            <w:r w:rsidR="00E42966" w:rsidRPr="00ED4C18">
              <w:rPr>
                <w:rFonts w:ascii="Arial Narrow" w:hAnsi="Arial Narrow"/>
                <w:sz w:val="20"/>
                <w:szCs w:val="20"/>
              </w:rPr>
              <w:t>Section C of the submission</w:t>
            </w:r>
            <w:r w:rsidR="00586861" w:rsidRPr="00ED4C18">
              <w:rPr>
                <w:rFonts w:ascii="Arial Narrow" w:hAnsi="Arial Narrow"/>
                <w:sz w:val="20"/>
                <w:szCs w:val="20"/>
              </w:rPr>
              <w:t>,</w:t>
            </w:r>
            <w:r w:rsidR="00E42966" w:rsidRPr="00ED4C18">
              <w:rPr>
                <w:rFonts w:ascii="Arial Narrow" w:hAnsi="Arial Narrow"/>
                <w:sz w:val="20"/>
                <w:szCs w:val="20"/>
              </w:rPr>
              <w:t xml:space="preserve"> </w:t>
            </w:r>
            <w:r w:rsidRPr="00ED4C18">
              <w:rPr>
                <w:rFonts w:ascii="Arial Narrow" w:hAnsi="Arial Narrow"/>
                <w:sz w:val="20"/>
                <w:szCs w:val="20"/>
              </w:rPr>
              <w:t>GT3)</w:t>
            </w:r>
          </w:p>
        </w:tc>
        <w:tc>
          <w:tcPr>
            <w:tcW w:w="415" w:type="pct"/>
            <w:shd w:val="clear" w:color="auto" w:fill="auto"/>
            <w:vAlign w:val="center"/>
          </w:tcPr>
          <w:p w:rsidR="00DD632C" w:rsidRPr="00ED4C18" w:rsidRDefault="00E42966" w:rsidP="00D964D5">
            <w:pPr>
              <w:jc w:val="center"/>
              <w:rPr>
                <w:rFonts w:ascii="Arial Narrow" w:hAnsi="Arial Narrow"/>
                <w:sz w:val="20"/>
                <w:szCs w:val="20"/>
              </w:rPr>
            </w:pPr>
            <w:r w:rsidRPr="00ED4C18">
              <w:rPr>
                <w:rFonts w:ascii="Arial Narrow" w:hAnsi="Arial Narrow"/>
                <w:sz w:val="20"/>
                <w:szCs w:val="20"/>
              </w:rPr>
              <w:t>47</w:t>
            </w:r>
          </w:p>
        </w:tc>
        <w:tc>
          <w:tcPr>
            <w:tcW w:w="838" w:type="pct"/>
            <w:shd w:val="clear" w:color="auto" w:fill="auto"/>
            <w:vAlign w:val="center"/>
          </w:tcPr>
          <w:p w:rsidR="00DD632C" w:rsidRPr="00ED4C18" w:rsidRDefault="00DD632C" w:rsidP="00D964D5">
            <w:pPr>
              <w:jc w:val="center"/>
              <w:rPr>
                <w:rFonts w:ascii="Arial Narrow" w:hAnsi="Arial Narrow"/>
                <w:sz w:val="20"/>
                <w:szCs w:val="20"/>
              </w:rPr>
            </w:pPr>
          </w:p>
        </w:tc>
        <w:tc>
          <w:tcPr>
            <w:tcW w:w="485" w:type="pct"/>
            <w:shd w:val="clear" w:color="auto" w:fill="auto"/>
            <w:vAlign w:val="center"/>
          </w:tcPr>
          <w:p w:rsidR="00DD632C" w:rsidRPr="00ED4C18" w:rsidRDefault="00DD632C" w:rsidP="00D964D5">
            <w:pPr>
              <w:jc w:val="center"/>
              <w:rPr>
                <w:rFonts w:ascii="Arial Narrow" w:hAnsi="Arial Narrow"/>
                <w:sz w:val="20"/>
                <w:szCs w:val="20"/>
              </w:rPr>
            </w:pPr>
          </w:p>
        </w:tc>
        <w:tc>
          <w:tcPr>
            <w:tcW w:w="1770" w:type="pct"/>
            <w:shd w:val="clear" w:color="auto" w:fill="auto"/>
            <w:vAlign w:val="center"/>
          </w:tcPr>
          <w:p w:rsidR="00DD632C" w:rsidRPr="00ED4C18" w:rsidRDefault="00E42966" w:rsidP="00D964D5">
            <w:pPr>
              <w:jc w:val="center"/>
              <w:rPr>
                <w:rFonts w:ascii="Arial Narrow" w:hAnsi="Arial Narrow"/>
                <w:sz w:val="20"/>
                <w:szCs w:val="20"/>
              </w:rPr>
            </w:pPr>
            <w:proofErr w:type="gramStart"/>
            <w:r w:rsidRPr="00ED4C18">
              <w:rPr>
                <w:rFonts w:ascii="Arial Narrow" w:hAnsi="Arial Narrow"/>
                <w:sz w:val="20"/>
                <w:szCs w:val="20"/>
              </w:rPr>
              <w:t>open-label</w:t>
            </w:r>
            <w:proofErr w:type="gramEnd"/>
            <w:r w:rsidRPr="00ED4C18">
              <w:rPr>
                <w:rFonts w:ascii="Arial Narrow" w:hAnsi="Arial Narrow"/>
                <w:sz w:val="20"/>
                <w:szCs w:val="20"/>
              </w:rPr>
              <w:t xml:space="preserve">, single-arm, Phase 2 study of a 12-week course of </w:t>
            </w:r>
            <w:proofErr w:type="spellStart"/>
            <w:r w:rsidRPr="00ED4C18">
              <w:rPr>
                <w:rFonts w:ascii="Arial Narrow" w:hAnsi="Arial Narrow"/>
                <w:sz w:val="20"/>
                <w:szCs w:val="20"/>
              </w:rPr>
              <w:t>sofosbuvir</w:t>
            </w:r>
            <w:proofErr w:type="spellEnd"/>
            <w:r w:rsidRPr="00ED4C18">
              <w:rPr>
                <w:rFonts w:ascii="Arial Narrow" w:hAnsi="Arial Narrow"/>
                <w:sz w:val="20"/>
                <w:szCs w:val="20"/>
              </w:rPr>
              <w:t xml:space="preserve"> + RBV + Peg-IFN in patients with genotype 2 or 3 HCV infection who had previously failed treatment with an interferon-based regimen.  </w:t>
            </w:r>
          </w:p>
        </w:tc>
        <w:tc>
          <w:tcPr>
            <w:tcW w:w="824" w:type="pct"/>
            <w:shd w:val="clear" w:color="auto" w:fill="auto"/>
            <w:vAlign w:val="center"/>
          </w:tcPr>
          <w:p w:rsidR="00DD632C" w:rsidRPr="00ED4C18" w:rsidRDefault="00E42966" w:rsidP="00D964D5">
            <w:pPr>
              <w:jc w:val="center"/>
              <w:rPr>
                <w:rFonts w:ascii="Arial Narrow" w:hAnsi="Arial Narrow"/>
                <w:sz w:val="20"/>
                <w:szCs w:val="20"/>
              </w:rPr>
            </w:pPr>
            <w:r w:rsidRPr="00ED4C18">
              <w:rPr>
                <w:rFonts w:ascii="Arial Narrow" w:hAnsi="Arial Narrow"/>
                <w:sz w:val="20"/>
                <w:szCs w:val="20"/>
              </w:rPr>
              <w:t>A full clinical study report is not yet available for the LONESTAR-2 study, although a summary of results is included in the European summary of product characteristics (</w:t>
            </w:r>
            <w:proofErr w:type="spellStart"/>
            <w:r w:rsidRPr="00ED4C18">
              <w:rPr>
                <w:rFonts w:ascii="Arial Narrow" w:hAnsi="Arial Narrow"/>
                <w:sz w:val="20"/>
                <w:szCs w:val="20"/>
              </w:rPr>
              <w:t>SmPC</w:t>
            </w:r>
            <w:proofErr w:type="spellEnd"/>
            <w:r w:rsidRPr="00ED4C18">
              <w:rPr>
                <w:rFonts w:ascii="Arial Narrow" w:hAnsi="Arial Narrow"/>
                <w:sz w:val="20"/>
                <w:szCs w:val="20"/>
              </w:rPr>
              <w:t>)</w:t>
            </w:r>
          </w:p>
        </w:tc>
      </w:tr>
      <w:tr w:rsidR="00ED4C18" w:rsidRPr="00ED4C18" w:rsidTr="00E06107">
        <w:tc>
          <w:tcPr>
            <w:tcW w:w="668" w:type="pct"/>
            <w:shd w:val="clear" w:color="auto" w:fill="auto"/>
            <w:vAlign w:val="center"/>
          </w:tcPr>
          <w:p w:rsidR="00DD632C" w:rsidRPr="00ED4C18" w:rsidRDefault="00DD632C" w:rsidP="005D0E30">
            <w:pPr>
              <w:rPr>
                <w:rFonts w:ascii="Arial Narrow" w:hAnsi="Arial Narrow"/>
                <w:sz w:val="20"/>
                <w:szCs w:val="20"/>
              </w:rPr>
            </w:pPr>
            <w:r w:rsidRPr="00ED4C18">
              <w:rPr>
                <w:rFonts w:ascii="Arial Narrow" w:hAnsi="Arial Narrow"/>
                <w:sz w:val="20"/>
                <w:szCs w:val="20"/>
              </w:rPr>
              <w:t xml:space="preserve">QUANTUM </w:t>
            </w:r>
          </w:p>
          <w:p w:rsidR="00DD632C" w:rsidRPr="00ED4C18" w:rsidRDefault="00DD632C" w:rsidP="005D0E30">
            <w:pPr>
              <w:rPr>
                <w:rFonts w:ascii="Arial Narrow" w:hAnsi="Arial Narrow"/>
                <w:sz w:val="20"/>
                <w:szCs w:val="20"/>
              </w:rPr>
            </w:pPr>
            <w:r w:rsidRPr="00ED4C18">
              <w:rPr>
                <w:rFonts w:ascii="Arial Narrow" w:hAnsi="Arial Narrow"/>
                <w:sz w:val="20"/>
                <w:szCs w:val="20"/>
              </w:rPr>
              <w:t>SOF24+R24</w:t>
            </w:r>
          </w:p>
          <w:p w:rsidR="00DD632C" w:rsidRPr="00ED4C18" w:rsidRDefault="00DD632C" w:rsidP="005D0E30">
            <w:pPr>
              <w:rPr>
                <w:rFonts w:ascii="Arial Narrow" w:hAnsi="Arial Narrow"/>
                <w:sz w:val="20"/>
                <w:szCs w:val="20"/>
              </w:rPr>
            </w:pPr>
            <w:r w:rsidRPr="00ED4C18">
              <w:rPr>
                <w:rFonts w:ascii="Arial Narrow" w:hAnsi="Arial Narrow"/>
                <w:sz w:val="20"/>
                <w:szCs w:val="20"/>
              </w:rPr>
              <w:t>(</w:t>
            </w:r>
            <w:r w:rsidR="00E42966" w:rsidRPr="00ED4C18">
              <w:rPr>
                <w:rFonts w:ascii="Arial Narrow" w:hAnsi="Arial Narrow"/>
                <w:sz w:val="20"/>
                <w:szCs w:val="20"/>
              </w:rPr>
              <w:t xml:space="preserve">Section C of the </w:t>
            </w:r>
            <w:r w:rsidR="00E42966" w:rsidRPr="00ED4C18">
              <w:rPr>
                <w:rFonts w:ascii="Arial Narrow" w:hAnsi="Arial Narrow"/>
                <w:sz w:val="20"/>
                <w:szCs w:val="20"/>
              </w:rPr>
              <w:lastRenderedPageBreak/>
              <w:t>submission</w:t>
            </w:r>
            <w:r w:rsidRPr="00ED4C18">
              <w:rPr>
                <w:rFonts w:ascii="Arial Narrow" w:hAnsi="Arial Narrow"/>
                <w:sz w:val="20"/>
                <w:szCs w:val="20"/>
              </w:rPr>
              <w:t>, GT1)</w:t>
            </w:r>
          </w:p>
        </w:tc>
        <w:tc>
          <w:tcPr>
            <w:tcW w:w="415" w:type="pct"/>
            <w:shd w:val="clear" w:color="auto" w:fill="auto"/>
            <w:vAlign w:val="center"/>
          </w:tcPr>
          <w:p w:rsidR="00DD632C" w:rsidRPr="00ED4C18" w:rsidRDefault="00B95A9F" w:rsidP="00D964D5">
            <w:pPr>
              <w:jc w:val="center"/>
              <w:rPr>
                <w:rFonts w:ascii="Arial Narrow" w:hAnsi="Arial Narrow"/>
                <w:sz w:val="20"/>
                <w:szCs w:val="20"/>
              </w:rPr>
            </w:pPr>
            <w:r w:rsidRPr="00ED4C18">
              <w:rPr>
                <w:rFonts w:ascii="Arial Narrow" w:hAnsi="Arial Narrow"/>
                <w:sz w:val="20"/>
                <w:szCs w:val="20"/>
              </w:rPr>
              <w:lastRenderedPageBreak/>
              <w:t>157</w:t>
            </w:r>
          </w:p>
        </w:tc>
        <w:tc>
          <w:tcPr>
            <w:tcW w:w="838" w:type="pct"/>
            <w:shd w:val="clear" w:color="auto" w:fill="auto"/>
            <w:vAlign w:val="center"/>
          </w:tcPr>
          <w:p w:rsidR="00DD632C" w:rsidRPr="00ED4C18" w:rsidRDefault="00DD632C" w:rsidP="00D964D5">
            <w:pPr>
              <w:jc w:val="center"/>
              <w:rPr>
                <w:rFonts w:ascii="Arial Narrow" w:hAnsi="Arial Narrow"/>
                <w:sz w:val="20"/>
                <w:szCs w:val="20"/>
              </w:rPr>
            </w:pPr>
          </w:p>
        </w:tc>
        <w:tc>
          <w:tcPr>
            <w:tcW w:w="485" w:type="pct"/>
            <w:shd w:val="clear" w:color="auto" w:fill="auto"/>
            <w:vAlign w:val="center"/>
          </w:tcPr>
          <w:p w:rsidR="00DD632C" w:rsidRPr="00ED4C18" w:rsidRDefault="00DD632C" w:rsidP="00D964D5">
            <w:pPr>
              <w:jc w:val="center"/>
              <w:rPr>
                <w:rFonts w:ascii="Arial Narrow" w:hAnsi="Arial Narrow"/>
                <w:sz w:val="20"/>
                <w:szCs w:val="20"/>
              </w:rPr>
            </w:pPr>
          </w:p>
        </w:tc>
        <w:tc>
          <w:tcPr>
            <w:tcW w:w="1770" w:type="pct"/>
            <w:shd w:val="clear" w:color="auto" w:fill="auto"/>
            <w:vAlign w:val="center"/>
          </w:tcPr>
          <w:p w:rsidR="00DD632C" w:rsidRPr="00ED4C18" w:rsidRDefault="00E42966" w:rsidP="00D964D5">
            <w:pPr>
              <w:jc w:val="center"/>
              <w:rPr>
                <w:rFonts w:ascii="Arial Narrow" w:hAnsi="Arial Narrow"/>
                <w:sz w:val="20"/>
                <w:szCs w:val="20"/>
              </w:rPr>
            </w:pPr>
            <w:proofErr w:type="gramStart"/>
            <w:r w:rsidRPr="00ED4C18">
              <w:rPr>
                <w:rFonts w:ascii="Arial Narrow" w:hAnsi="Arial Narrow"/>
                <w:sz w:val="20"/>
                <w:szCs w:val="20"/>
              </w:rPr>
              <w:t>an</w:t>
            </w:r>
            <w:proofErr w:type="gramEnd"/>
            <w:r w:rsidRPr="00ED4C18">
              <w:rPr>
                <w:rFonts w:ascii="Arial Narrow" w:hAnsi="Arial Narrow"/>
                <w:sz w:val="20"/>
                <w:szCs w:val="20"/>
              </w:rPr>
              <w:t xml:space="preserve"> adaptive study, originally designed to investigate a range of regimens including the investigational agent GS-0938 with and without </w:t>
            </w:r>
            <w:proofErr w:type="spellStart"/>
            <w:r w:rsidRPr="00ED4C18">
              <w:rPr>
                <w:rFonts w:ascii="Arial Narrow" w:hAnsi="Arial Narrow"/>
                <w:sz w:val="20"/>
                <w:szCs w:val="20"/>
              </w:rPr>
              <w:t>sofosbuvir</w:t>
            </w:r>
            <w:proofErr w:type="spellEnd"/>
            <w:r w:rsidRPr="00ED4C18">
              <w:rPr>
                <w:rFonts w:ascii="Arial Narrow" w:hAnsi="Arial Narrow"/>
                <w:sz w:val="20"/>
                <w:szCs w:val="20"/>
              </w:rPr>
              <w:t xml:space="preserve"> and/or </w:t>
            </w:r>
            <w:r w:rsidRPr="00ED4C18">
              <w:rPr>
                <w:rFonts w:ascii="Arial Narrow" w:hAnsi="Arial Narrow"/>
                <w:sz w:val="20"/>
                <w:szCs w:val="20"/>
              </w:rPr>
              <w:lastRenderedPageBreak/>
              <w:t xml:space="preserve">ribavirin.  The study enrolled treatment naive patients of all HCV genotypes, of whom approximately 80% were genotype 1 and 10% cirrhotic.  The study was re-purposed to evaluate the efficacy of </w:t>
            </w:r>
            <w:proofErr w:type="spellStart"/>
            <w:r w:rsidRPr="00ED4C18">
              <w:rPr>
                <w:rFonts w:ascii="Arial Narrow" w:hAnsi="Arial Narrow"/>
                <w:sz w:val="20"/>
                <w:szCs w:val="20"/>
              </w:rPr>
              <w:t>sofosbuvir</w:t>
            </w:r>
            <w:proofErr w:type="spellEnd"/>
            <w:r w:rsidRPr="00ED4C18">
              <w:rPr>
                <w:rFonts w:ascii="Arial Narrow" w:hAnsi="Arial Narrow"/>
                <w:sz w:val="20"/>
                <w:szCs w:val="20"/>
              </w:rPr>
              <w:t>+ ribavirin, after a safety signal mandated discontinuation of the various GS-0938 regimens.</w:t>
            </w:r>
          </w:p>
        </w:tc>
        <w:tc>
          <w:tcPr>
            <w:tcW w:w="824" w:type="pct"/>
            <w:shd w:val="clear" w:color="auto" w:fill="auto"/>
            <w:vAlign w:val="center"/>
          </w:tcPr>
          <w:p w:rsidR="00DD632C" w:rsidRPr="00ED4C18" w:rsidRDefault="00E36168" w:rsidP="00D964D5">
            <w:pPr>
              <w:jc w:val="center"/>
              <w:rPr>
                <w:rFonts w:ascii="Arial Narrow" w:hAnsi="Arial Narrow"/>
                <w:sz w:val="20"/>
                <w:szCs w:val="20"/>
              </w:rPr>
            </w:pPr>
            <w:r w:rsidRPr="00ED4C18">
              <w:rPr>
                <w:rFonts w:ascii="Arial Narrow" w:hAnsi="Arial Narrow"/>
                <w:sz w:val="20"/>
                <w:szCs w:val="20"/>
              </w:rPr>
              <w:lastRenderedPageBreak/>
              <w:t>QUANTUM Abbreviated final CSR 10 July 2013</w:t>
            </w:r>
          </w:p>
        </w:tc>
      </w:tr>
      <w:tr w:rsidR="00ED4C18" w:rsidRPr="00ED4C18" w:rsidTr="00E06107">
        <w:tc>
          <w:tcPr>
            <w:tcW w:w="668" w:type="pct"/>
            <w:shd w:val="clear" w:color="auto" w:fill="auto"/>
            <w:vAlign w:val="center"/>
          </w:tcPr>
          <w:p w:rsidR="00DD632C" w:rsidRPr="00ED4C18" w:rsidRDefault="00DD632C" w:rsidP="005D0E30">
            <w:pPr>
              <w:rPr>
                <w:rFonts w:ascii="Arial Narrow" w:hAnsi="Arial Narrow"/>
                <w:sz w:val="20"/>
                <w:szCs w:val="20"/>
              </w:rPr>
            </w:pPr>
            <w:r w:rsidRPr="00ED4C18">
              <w:rPr>
                <w:rFonts w:ascii="Arial Narrow" w:hAnsi="Arial Narrow"/>
                <w:sz w:val="20"/>
                <w:szCs w:val="20"/>
              </w:rPr>
              <w:lastRenderedPageBreak/>
              <w:t>SPARE</w:t>
            </w:r>
          </w:p>
          <w:p w:rsidR="00DD632C" w:rsidRPr="00ED4C18" w:rsidRDefault="00DD632C" w:rsidP="005D0E30">
            <w:pPr>
              <w:rPr>
                <w:rFonts w:ascii="Arial Narrow" w:hAnsi="Arial Narrow"/>
                <w:sz w:val="20"/>
                <w:szCs w:val="20"/>
              </w:rPr>
            </w:pPr>
            <w:r w:rsidRPr="00ED4C18">
              <w:rPr>
                <w:rFonts w:ascii="Arial Narrow" w:hAnsi="Arial Narrow"/>
                <w:sz w:val="20"/>
                <w:szCs w:val="20"/>
              </w:rPr>
              <w:t>SOF24+R24</w:t>
            </w:r>
          </w:p>
          <w:p w:rsidR="00DD632C" w:rsidRPr="00ED4C18" w:rsidRDefault="00DD632C" w:rsidP="005D0E30">
            <w:pPr>
              <w:rPr>
                <w:rFonts w:ascii="Arial Narrow" w:hAnsi="Arial Narrow"/>
                <w:sz w:val="20"/>
                <w:szCs w:val="20"/>
              </w:rPr>
            </w:pPr>
            <w:r w:rsidRPr="00ED4C18">
              <w:rPr>
                <w:rFonts w:ascii="Arial Narrow" w:hAnsi="Arial Narrow"/>
                <w:sz w:val="20"/>
                <w:szCs w:val="20"/>
              </w:rPr>
              <w:t>(Section C</w:t>
            </w:r>
            <w:r w:rsidR="00E42966" w:rsidRPr="00ED4C18">
              <w:rPr>
                <w:rFonts w:ascii="Arial Narrow" w:hAnsi="Arial Narrow"/>
                <w:sz w:val="20"/>
                <w:szCs w:val="20"/>
              </w:rPr>
              <w:t xml:space="preserve"> of the submission</w:t>
            </w:r>
            <w:r w:rsidRPr="00ED4C18">
              <w:rPr>
                <w:rFonts w:ascii="Arial Narrow" w:hAnsi="Arial Narrow"/>
                <w:sz w:val="20"/>
                <w:szCs w:val="20"/>
              </w:rPr>
              <w:t>, GT1)</w:t>
            </w:r>
          </w:p>
        </w:tc>
        <w:tc>
          <w:tcPr>
            <w:tcW w:w="415" w:type="pct"/>
            <w:shd w:val="clear" w:color="auto" w:fill="auto"/>
            <w:vAlign w:val="center"/>
          </w:tcPr>
          <w:p w:rsidR="00DD632C" w:rsidRPr="00ED4C18" w:rsidRDefault="00DD632C" w:rsidP="00D964D5">
            <w:pPr>
              <w:jc w:val="center"/>
              <w:rPr>
                <w:rFonts w:ascii="Arial Narrow" w:hAnsi="Arial Narrow"/>
                <w:sz w:val="20"/>
                <w:szCs w:val="20"/>
              </w:rPr>
            </w:pPr>
          </w:p>
        </w:tc>
        <w:tc>
          <w:tcPr>
            <w:tcW w:w="838" w:type="pct"/>
            <w:shd w:val="clear" w:color="auto" w:fill="auto"/>
            <w:vAlign w:val="center"/>
          </w:tcPr>
          <w:p w:rsidR="00DD632C" w:rsidRPr="00ED4C18" w:rsidRDefault="00DD632C" w:rsidP="00D964D5">
            <w:pPr>
              <w:jc w:val="center"/>
              <w:rPr>
                <w:rFonts w:ascii="Arial Narrow" w:hAnsi="Arial Narrow"/>
                <w:sz w:val="20"/>
                <w:szCs w:val="20"/>
              </w:rPr>
            </w:pPr>
          </w:p>
        </w:tc>
        <w:tc>
          <w:tcPr>
            <w:tcW w:w="485" w:type="pct"/>
            <w:shd w:val="clear" w:color="auto" w:fill="auto"/>
            <w:vAlign w:val="center"/>
          </w:tcPr>
          <w:p w:rsidR="00DD632C" w:rsidRPr="00ED4C18" w:rsidRDefault="00DD632C" w:rsidP="00D964D5">
            <w:pPr>
              <w:jc w:val="center"/>
              <w:rPr>
                <w:rFonts w:ascii="Arial Narrow" w:hAnsi="Arial Narrow"/>
                <w:sz w:val="20"/>
                <w:szCs w:val="20"/>
              </w:rPr>
            </w:pPr>
          </w:p>
        </w:tc>
        <w:tc>
          <w:tcPr>
            <w:tcW w:w="1770" w:type="pct"/>
            <w:shd w:val="clear" w:color="auto" w:fill="auto"/>
            <w:vAlign w:val="center"/>
          </w:tcPr>
          <w:p w:rsidR="00E36168" w:rsidRPr="00ED4C18" w:rsidRDefault="00E36168" w:rsidP="00E36168">
            <w:pPr>
              <w:jc w:val="center"/>
              <w:rPr>
                <w:rFonts w:ascii="Arial Narrow" w:hAnsi="Arial Narrow"/>
                <w:sz w:val="20"/>
                <w:szCs w:val="20"/>
              </w:rPr>
            </w:pPr>
            <w:r w:rsidRPr="00ED4C18">
              <w:rPr>
                <w:rFonts w:ascii="Arial Narrow" w:hAnsi="Arial Narrow"/>
                <w:sz w:val="20"/>
                <w:szCs w:val="20"/>
              </w:rPr>
              <w:t>Single-</w:t>
            </w:r>
            <w:proofErr w:type="spellStart"/>
            <w:r w:rsidRPr="00ED4C18">
              <w:rPr>
                <w:rFonts w:ascii="Arial Narrow" w:hAnsi="Arial Narrow"/>
                <w:sz w:val="20"/>
                <w:szCs w:val="20"/>
              </w:rPr>
              <w:t>center</w:t>
            </w:r>
            <w:proofErr w:type="spellEnd"/>
            <w:r w:rsidRPr="00ED4C18">
              <w:rPr>
                <w:rFonts w:ascii="Arial Narrow" w:hAnsi="Arial Narrow"/>
                <w:sz w:val="20"/>
                <w:szCs w:val="20"/>
              </w:rPr>
              <w:t>, randomized, 2-part, open-label phase 2 study involving 60 treatment-naive patients with hepatitis C virus (HCV) genotype 1 enrolled at the National Institutes of Health.</w:t>
            </w:r>
          </w:p>
          <w:p w:rsidR="00DD632C" w:rsidRPr="00ED4C18" w:rsidRDefault="00E36168" w:rsidP="00E36168">
            <w:pPr>
              <w:jc w:val="center"/>
              <w:rPr>
                <w:rFonts w:ascii="Arial Narrow" w:hAnsi="Arial Narrow"/>
                <w:sz w:val="20"/>
                <w:szCs w:val="20"/>
              </w:rPr>
            </w:pPr>
            <w:proofErr w:type="spellStart"/>
            <w:r w:rsidRPr="00ED4C18">
              <w:rPr>
                <w:rFonts w:ascii="Arial Narrow" w:hAnsi="Arial Narrow"/>
                <w:sz w:val="20"/>
                <w:szCs w:val="20"/>
              </w:rPr>
              <w:t>Osinusi</w:t>
            </w:r>
            <w:proofErr w:type="spellEnd"/>
            <w:r w:rsidRPr="00ED4C18">
              <w:rPr>
                <w:rFonts w:ascii="Arial Narrow" w:hAnsi="Arial Narrow"/>
                <w:sz w:val="20"/>
                <w:szCs w:val="20"/>
              </w:rPr>
              <w:t>, A, et al. "</w:t>
            </w:r>
            <w:proofErr w:type="spellStart"/>
            <w:r w:rsidRPr="00ED4C18">
              <w:rPr>
                <w:rFonts w:ascii="Arial Narrow" w:hAnsi="Arial Narrow"/>
                <w:sz w:val="20"/>
                <w:szCs w:val="20"/>
              </w:rPr>
              <w:t>Sofosbuvir</w:t>
            </w:r>
            <w:proofErr w:type="spellEnd"/>
            <w:r w:rsidRPr="00ED4C18">
              <w:rPr>
                <w:rFonts w:ascii="Arial Narrow" w:hAnsi="Arial Narrow"/>
                <w:sz w:val="20"/>
                <w:szCs w:val="20"/>
              </w:rPr>
              <w:t xml:space="preserve"> and ribavirin for hepatitis C genotype 1 patients with unfavourable treatment characteristics: A randomised clinical trial." </w:t>
            </w:r>
          </w:p>
        </w:tc>
        <w:tc>
          <w:tcPr>
            <w:tcW w:w="824" w:type="pct"/>
            <w:shd w:val="clear" w:color="auto" w:fill="auto"/>
            <w:vAlign w:val="center"/>
          </w:tcPr>
          <w:p w:rsidR="00DD632C" w:rsidRPr="00ED4C18" w:rsidRDefault="00E36168" w:rsidP="00D964D5">
            <w:pPr>
              <w:jc w:val="center"/>
              <w:rPr>
                <w:rFonts w:ascii="Arial Narrow" w:hAnsi="Arial Narrow"/>
                <w:sz w:val="20"/>
                <w:szCs w:val="20"/>
              </w:rPr>
            </w:pPr>
            <w:r w:rsidRPr="00ED4C18">
              <w:rPr>
                <w:rFonts w:ascii="Arial Narrow" w:hAnsi="Arial Narrow"/>
                <w:sz w:val="20"/>
                <w:szCs w:val="20"/>
              </w:rPr>
              <w:t>JAMA, 2013: 804-811.</w:t>
            </w:r>
          </w:p>
        </w:tc>
      </w:tr>
      <w:tr w:rsidR="00ED4C18" w:rsidRPr="00ED4C18" w:rsidTr="00E06107">
        <w:tc>
          <w:tcPr>
            <w:tcW w:w="5000" w:type="pct"/>
            <w:gridSpan w:val="6"/>
            <w:shd w:val="clear" w:color="auto" w:fill="auto"/>
            <w:vAlign w:val="center"/>
          </w:tcPr>
          <w:p w:rsidR="00891194" w:rsidRPr="00ED4C18" w:rsidRDefault="00891194" w:rsidP="00D964D5">
            <w:pPr>
              <w:rPr>
                <w:rFonts w:ascii="Arial Narrow" w:hAnsi="Arial Narrow"/>
                <w:b/>
                <w:sz w:val="20"/>
                <w:szCs w:val="20"/>
              </w:rPr>
            </w:pPr>
            <w:proofErr w:type="spellStart"/>
            <w:r w:rsidRPr="00ED4C18">
              <w:rPr>
                <w:rFonts w:ascii="Arial Narrow" w:hAnsi="Arial Narrow"/>
                <w:b/>
                <w:sz w:val="20"/>
                <w:szCs w:val="20"/>
              </w:rPr>
              <w:t>Boceprevir</w:t>
            </w:r>
            <w:proofErr w:type="spellEnd"/>
          </w:p>
        </w:tc>
      </w:tr>
      <w:tr w:rsidR="00ED4C18" w:rsidRPr="00ED4C18" w:rsidTr="00E06107">
        <w:tc>
          <w:tcPr>
            <w:tcW w:w="668" w:type="pct"/>
            <w:shd w:val="clear" w:color="auto" w:fill="auto"/>
            <w:vAlign w:val="center"/>
          </w:tcPr>
          <w:p w:rsidR="00DD632C" w:rsidRPr="00ED4C18" w:rsidRDefault="00DD632C" w:rsidP="00DD632C">
            <w:pPr>
              <w:rPr>
                <w:rStyle w:val="TableText1"/>
                <w:rFonts w:ascii="Arial Narrow" w:hAnsi="Arial Narrow"/>
                <w:szCs w:val="20"/>
                <w:lang w:bidi="en-US"/>
              </w:rPr>
            </w:pPr>
            <w:r w:rsidRPr="00ED4C18">
              <w:rPr>
                <w:rStyle w:val="TableText1"/>
                <w:rFonts w:ascii="Arial Narrow" w:hAnsi="Arial Narrow"/>
                <w:szCs w:val="20"/>
                <w:lang w:bidi="en-US"/>
              </w:rPr>
              <w:t>P05216AM2</w:t>
            </w:r>
          </w:p>
          <w:p w:rsidR="00DD632C" w:rsidRPr="00ED4C18" w:rsidRDefault="00DD632C" w:rsidP="00DD632C">
            <w:pPr>
              <w:rPr>
                <w:rFonts w:ascii="Arial Narrow" w:hAnsi="Arial Narrow"/>
                <w:sz w:val="20"/>
                <w:szCs w:val="20"/>
              </w:rPr>
            </w:pPr>
            <w:r w:rsidRPr="00ED4C18">
              <w:rPr>
                <w:rFonts w:ascii="Arial Narrow" w:hAnsi="Arial Narrow"/>
                <w:sz w:val="20"/>
                <w:szCs w:val="20"/>
              </w:rPr>
              <w:t>SPRINT-2</w:t>
            </w:r>
            <w:r w:rsidRPr="00ED4C18">
              <w:rPr>
                <w:rFonts w:ascii="Arial Narrow" w:hAnsi="Arial Narrow"/>
                <w:sz w:val="20"/>
                <w:szCs w:val="20"/>
                <w:vertAlign w:val="superscript"/>
              </w:rPr>
              <w:t>d</w:t>
            </w:r>
          </w:p>
        </w:tc>
        <w:tc>
          <w:tcPr>
            <w:tcW w:w="415" w:type="pct"/>
            <w:shd w:val="clear" w:color="auto" w:fill="auto"/>
            <w:vAlign w:val="center"/>
          </w:tcPr>
          <w:p w:rsidR="00DD632C" w:rsidRPr="00ED4C18" w:rsidRDefault="00DD632C" w:rsidP="00D964D5">
            <w:pPr>
              <w:jc w:val="center"/>
              <w:rPr>
                <w:rFonts w:ascii="Arial Narrow" w:hAnsi="Arial Narrow"/>
                <w:sz w:val="20"/>
                <w:szCs w:val="20"/>
              </w:rPr>
            </w:pPr>
            <w:r w:rsidRPr="00ED4C18">
              <w:rPr>
                <w:rFonts w:ascii="Arial Narrow" w:hAnsi="Arial Narrow"/>
                <w:sz w:val="20"/>
                <w:szCs w:val="20"/>
              </w:rPr>
              <w:t>368</w:t>
            </w:r>
          </w:p>
        </w:tc>
        <w:tc>
          <w:tcPr>
            <w:tcW w:w="838" w:type="pct"/>
            <w:shd w:val="clear" w:color="auto" w:fill="auto"/>
            <w:vAlign w:val="center"/>
          </w:tcPr>
          <w:p w:rsidR="00DD632C" w:rsidRPr="00ED4C18" w:rsidRDefault="00DD632C" w:rsidP="00D964D5">
            <w:pPr>
              <w:jc w:val="center"/>
              <w:rPr>
                <w:rFonts w:ascii="Arial Narrow" w:hAnsi="Arial Narrow"/>
                <w:sz w:val="20"/>
                <w:szCs w:val="20"/>
              </w:rPr>
            </w:pPr>
            <w:r w:rsidRPr="00ED4C18">
              <w:rPr>
                <w:rFonts w:ascii="Arial Narrow" w:hAnsi="Arial Narrow"/>
                <w:sz w:val="20"/>
                <w:szCs w:val="20"/>
              </w:rPr>
              <w:t xml:space="preserve">Single arm of R </w:t>
            </w:r>
            <w:proofErr w:type="spellStart"/>
            <w:r w:rsidRPr="00ED4C18">
              <w:rPr>
                <w:rFonts w:ascii="Arial Narrow" w:hAnsi="Arial Narrow"/>
                <w:sz w:val="20"/>
                <w:szCs w:val="20"/>
              </w:rPr>
              <w:t>trial</w:t>
            </w:r>
            <w:r w:rsidRPr="00ED4C18">
              <w:rPr>
                <w:rFonts w:ascii="Arial Narrow" w:hAnsi="Arial Narrow"/>
                <w:sz w:val="20"/>
                <w:szCs w:val="20"/>
                <w:vertAlign w:val="superscript"/>
              </w:rPr>
              <w:t>d</w:t>
            </w:r>
            <w:proofErr w:type="spellEnd"/>
            <w:r w:rsidRPr="00ED4C18">
              <w:rPr>
                <w:rFonts w:ascii="Arial Narrow" w:hAnsi="Arial Narrow"/>
                <w:sz w:val="20"/>
                <w:szCs w:val="20"/>
              </w:rPr>
              <w:t>, MC / up to 72 weeks</w:t>
            </w:r>
          </w:p>
        </w:tc>
        <w:tc>
          <w:tcPr>
            <w:tcW w:w="485" w:type="pct"/>
            <w:shd w:val="clear" w:color="auto" w:fill="auto"/>
            <w:vAlign w:val="center"/>
          </w:tcPr>
          <w:p w:rsidR="00DD632C" w:rsidRPr="00ED4C18" w:rsidRDefault="00DD632C" w:rsidP="00D964D5">
            <w:pPr>
              <w:jc w:val="center"/>
              <w:rPr>
                <w:rFonts w:ascii="Arial Narrow" w:hAnsi="Arial Narrow"/>
                <w:sz w:val="20"/>
                <w:szCs w:val="20"/>
              </w:rPr>
            </w:pPr>
            <w:r w:rsidRPr="00ED4C18">
              <w:rPr>
                <w:rFonts w:ascii="Arial Narrow" w:hAnsi="Arial Narrow"/>
                <w:sz w:val="20"/>
                <w:szCs w:val="20"/>
              </w:rPr>
              <w:t>High</w:t>
            </w:r>
          </w:p>
        </w:tc>
        <w:tc>
          <w:tcPr>
            <w:tcW w:w="1770" w:type="pct"/>
            <w:shd w:val="clear" w:color="auto" w:fill="auto"/>
            <w:vAlign w:val="center"/>
          </w:tcPr>
          <w:p w:rsidR="00DD632C" w:rsidRPr="00ED4C18" w:rsidRDefault="00DD632C" w:rsidP="00D964D5">
            <w:pPr>
              <w:jc w:val="center"/>
              <w:rPr>
                <w:rFonts w:ascii="Arial Narrow" w:hAnsi="Arial Narrow"/>
                <w:sz w:val="20"/>
                <w:szCs w:val="20"/>
              </w:rPr>
            </w:pPr>
            <w:r w:rsidRPr="00ED4C18">
              <w:rPr>
                <w:rFonts w:ascii="Arial Narrow" w:hAnsi="Arial Narrow"/>
                <w:sz w:val="20"/>
                <w:szCs w:val="20"/>
              </w:rPr>
              <w:t xml:space="preserve">A Phase 3, Safety and Efficacy Study of </w:t>
            </w:r>
            <w:proofErr w:type="spellStart"/>
            <w:r w:rsidRPr="00ED4C18">
              <w:rPr>
                <w:rFonts w:ascii="Arial Narrow" w:hAnsi="Arial Narrow"/>
                <w:sz w:val="20"/>
                <w:szCs w:val="20"/>
              </w:rPr>
              <w:t>Boceprevir</w:t>
            </w:r>
            <w:proofErr w:type="spellEnd"/>
            <w:r w:rsidRPr="00ED4C18">
              <w:rPr>
                <w:rFonts w:ascii="Arial Narrow" w:hAnsi="Arial Narrow"/>
                <w:sz w:val="20"/>
                <w:szCs w:val="20"/>
              </w:rPr>
              <w:t xml:space="preserve"> in Previously Untreated Subjects With Chronic Hepatitis C Genotype 1</w:t>
            </w:r>
          </w:p>
          <w:p w:rsidR="00DD632C" w:rsidRPr="00ED4C18" w:rsidRDefault="00DD632C" w:rsidP="000F2DC6">
            <w:pPr>
              <w:jc w:val="center"/>
              <w:rPr>
                <w:rFonts w:ascii="Arial Narrow" w:hAnsi="Arial Narrow"/>
                <w:sz w:val="20"/>
                <w:szCs w:val="20"/>
              </w:rPr>
            </w:pPr>
            <w:proofErr w:type="spellStart"/>
            <w:r w:rsidRPr="00ED4C18">
              <w:rPr>
                <w:rFonts w:ascii="Arial Narrow" w:hAnsi="Arial Narrow"/>
                <w:sz w:val="20"/>
                <w:szCs w:val="20"/>
              </w:rPr>
              <w:t>Poordad</w:t>
            </w:r>
            <w:proofErr w:type="spellEnd"/>
            <w:r w:rsidRPr="00ED4C18">
              <w:rPr>
                <w:rFonts w:ascii="Arial Narrow" w:hAnsi="Arial Narrow"/>
                <w:sz w:val="20"/>
                <w:szCs w:val="20"/>
              </w:rPr>
              <w:t xml:space="preserve"> F. et al  '</w:t>
            </w:r>
            <w:proofErr w:type="spellStart"/>
            <w:r w:rsidRPr="00ED4C18">
              <w:rPr>
                <w:rFonts w:ascii="Arial Narrow" w:hAnsi="Arial Narrow"/>
                <w:sz w:val="20"/>
                <w:szCs w:val="20"/>
              </w:rPr>
              <w:t>Boceprevir</w:t>
            </w:r>
            <w:proofErr w:type="spellEnd"/>
            <w:r w:rsidRPr="00ED4C18">
              <w:rPr>
                <w:rFonts w:ascii="Arial Narrow" w:hAnsi="Arial Narrow"/>
                <w:sz w:val="20"/>
                <w:szCs w:val="20"/>
              </w:rPr>
              <w:t xml:space="preserve"> for untreated chronic HCV genotype 1 infection</w:t>
            </w:r>
            <w:r w:rsidR="000F2DC6" w:rsidRPr="00ED4C18">
              <w:rPr>
                <w:rFonts w:ascii="Arial Narrow" w:hAnsi="Arial Narrow"/>
                <w:sz w:val="20"/>
                <w:szCs w:val="20"/>
              </w:rPr>
              <w:t>:</w:t>
            </w:r>
          </w:p>
        </w:tc>
        <w:tc>
          <w:tcPr>
            <w:tcW w:w="824" w:type="pct"/>
            <w:shd w:val="clear" w:color="auto" w:fill="auto"/>
            <w:vAlign w:val="center"/>
          </w:tcPr>
          <w:p w:rsidR="00DD632C" w:rsidRPr="00ED4C18" w:rsidRDefault="00DD632C" w:rsidP="00D964D5">
            <w:pPr>
              <w:jc w:val="center"/>
              <w:rPr>
                <w:rFonts w:ascii="Arial Narrow" w:hAnsi="Arial Narrow"/>
                <w:sz w:val="20"/>
                <w:szCs w:val="20"/>
              </w:rPr>
            </w:pPr>
            <w:r w:rsidRPr="00ED4C18">
              <w:rPr>
                <w:rFonts w:ascii="Arial Narrow" w:hAnsi="Arial Narrow"/>
                <w:sz w:val="20"/>
                <w:szCs w:val="20"/>
              </w:rPr>
              <w:t>New England Journal of Medicine,2011,  vol. 364, no. 13, pp. 1195-1206</w:t>
            </w:r>
          </w:p>
        </w:tc>
      </w:tr>
      <w:tr w:rsidR="00ED4C18" w:rsidRPr="00ED4C18" w:rsidTr="00E06107">
        <w:tc>
          <w:tcPr>
            <w:tcW w:w="668" w:type="pct"/>
            <w:shd w:val="clear" w:color="auto" w:fill="auto"/>
            <w:vAlign w:val="center"/>
          </w:tcPr>
          <w:p w:rsidR="00DD632C" w:rsidRPr="00ED4C18" w:rsidRDefault="00DD632C" w:rsidP="00CE4A64">
            <w:pPr>
              <w:rPr>
                <w:rFonts w:ascii="Arial Narrow" w:hAnsi="Arial Narrow"/>
                <w:sz w:val="20"/>
                <w:szCs w:val="20"/>
              </w:rPr>
            </w:pPr>
            <w:proofErr w:type="spellStart"/>
            <w:r w:rsidRPr="00ED4C18">
              <w:rPr>
                <w:rFonts w:ascii="Arial Narrow" w:hAnsi="Arial Narrow"/>
                <w:sz w:val="20"/>
                <w:szCs w:val="20"/>
              </w:rPr>
              <w:t>Poordad</w:t>
            </w:r>
            <w:proofErr w:type="spellEnd"/>
            <w:r w:rsidRPr="00ED4C18">
              <w:rPr>
                <w:rFonts w:ascii="Arial Narrow" w:hAnsi="Arial Narrow"/>
                <w:sz w:val="20"/>
                <w:szCs w:val="20"/>
              </w:rPr>
              <w:t xml:space="preserve"> et al, 2013</w:t>
            </w:r>
          </w:p>
          <w:p w:rsidR="00DD632C" w:rsidRPr="00ED4C18" w:rsidRDefault="005D0AAF" w:rsidP="00D964D5">
            <w:pPr>
              <w:rPr>
                <w:rFonts w:ascii="Arial Narrow" w:hAnsi="Arial Narrow"/>
                <w:sz w:val="20"/>
                <w:szCs w:val="20"/>
              </w:rPr>
            </w:pPr>
            <w:r w:rsidRPr="00ED4C18">
              <w:rPr>
                <w:rFonts w:ascii="Arial Narrow" w:hAnsi="Arial Narrow"/>
                <w:sz w:val="20"/>
                <w:szCs w:val="20"/>
              </w:rPr>
              <w:t xml:space="preserve">(Section C of the submission, </w:t>
            </w:r>
            <w:r w:rsidR="00DD632C" w:rsidRPr="00ED4C18">
              <w:rPr>
                <w:rFonts w:ascii="Arial Narrow" w:hAnsi="Arial Narrow"/>
                <w:sz w:val="20"/>
                <w:szCs w:val="20"/>
              </w:rPr>
              <w:t>GT1</w:t>
            </w:r>
            <w:r w:rsidRPr="00ED4C18">
              <w:rPr>
                <w:rFonts w:ascii="Arial Narrow" w:hAnsi="Arial Narrow"/>
                <w:sz w:val="20"/>
                <w:szCs w:val="20"/>
              </w:rPr>
              <w:t>)</w:t>
            </w:r>
          </w:p>
        </w:tc>
        <w:tc>
          <w:tcPr>
            <w:tcW w:w="415" w:type="pct"/>
            <w:shd w:val="clear" w:color="auto" w:fill="auto"/>
            <w:vAlign w:val="center"/>
          </w:tcPr>
          <w:p w:rsidR="00DD632C" w:rsidRPr="00ED4C18" w:rsidRDefault="00B30807" w:rsidP="00D964D5">
            <w:pPr>
              <w:jc w:val="center"/>
              <w:rPr>
                <w:rFonts w:ascii="Arial Narrow" w:hAnsi="Arial Narrow"/>
                <w:sz w:val="20"/>
                <w:szCs w:val="20"/>
              </w:rPr>
            </w:pPr>
            <w:r w:rsidRPr="00ED4C18">
              <w:rPr>
                <w:rFonts w:ascii="Arial Narrow" w:hAnsi="Arial Narrow"/>
                <w:sz w:val="20"/>
                <w:szCs w:val="20"/>
              </w:rPr>
              <w:t>687</w:t>
            </w:r>
          </w:p>
        </w:tc>
        <w:tc>
          <w:tcPr>
            <w:tcW w:w="838" w:type="pct"/>
            <w:shd w:val="clear" w:color="auto" w:fill="auto"/>
            <w:vAlign w:val="center"/>
          </w:tcPr>
          <w:p w:rsidR="00DD632C" w:rsidRPr="00ED4C18" w:rsidRDefault="00DD632C" w:rsidP="00D964D5">
            <w:pPr>
              <w:jc w:val="center"/>
              <w:rPr>
                <w:rFonts w:ascii="Arial Narrow" w:hAnsi="Arial Narrow"/>
                <w:sz w:val="20"/>
                <w:szCs w:val="20"/>
              </w:rPr>
            </w:pPr>
          </w:p>
        </w:tc>
        <w:tc>
          <w:tcPr>
            <w:tcW w:w="485" w:type="pct"/>
            <w:shd w:val="clear" w:color="auto" w:fill="auto"/>
            <w:vAlign w:val="center"/>
          </w:tcPr>
          <w:p w:rsidR="00DD632C" w:rsidRPr="00ED4C18" w:rsidRDefault="00DD632C" w:rsidP="00D964D5">
            <w:pPr>
              <w:jc w:val="center"/>
              <w:rPr>
                <w:rFonts w:ascii="Arial Narrow" w:hAnsi="Arial Narrow"/>
                <w:sz w:val="20"/>
                <w:szCs w:val="20"/>
              </w:rPr>
            </w:pPr>
          </w:p>
        </w:tc>
        <w:tc>
          <w:tcPr>
            <w:tcW w:w="1770" w:type="pct"/>
            <w:shd w:val="clear" w:color="auto" w:fill="auto"/>
            <w:vAlign w:val="center"/>
          </w:tcPr>
          <w:p w:rsidR="00DD632C" w:rsidRPr="00ED4C18" w:rsidRDefault="00B95A9F" w:rsidP="00D964D5">
            <w:pPr>
              <w:jc w:val="center"/>
              <w:rPr>
                <w:rFonts w:ascii="Arial Narrow" w:hAnsi="Arial Narrow"/>
                <w:sz w:val="20"/>
                <w:szCs w:val="20"/>
              </w:rPr>
            </w:pPr>
            <w:proofErr w:type="gramStart"/>
            <w:r w:rsidRPr="00ED4C18">
              <w:rPr>
                <w:rFonts w:ascii="Arial Narrow" w:hAnsi="Arial Narrow"/>
                <w:sz w:val="20"/>
                <w:szCs w:val="20"/>
              </w:rPr>
              <w:t>a</w:t>
            </w:r>
            <w:proofErr w:type="gramEnd"/>
            <w:r w:rsidRPr="00ED4C18">
              <w:rPr>
                <w:rFonts w:ascii="Arial Narrow" w:hAnsi="Arial Narrow"/>
                <w:sz w:val="20"/>
                <w:szCs w:val="20"/>
              </w:rPr>
              <w:t xml:space="preserve"> randomised study in genotype 1 patients treated with </w:t>
            </w:r>
            <w:proofErr w:type="spellStart"/>
            <w:r w:rsidRPr="00ED4C18">
              <w:rPr>
                <w:rFonts w:ascii="Arial Narrow" w:hAnsi="Arial Narrow"/>
                <w:sz w:val="20"/>
                <w:szCs w:val="20"/>
              </w:rPr>
              <w:t>boceprevir</w:t>
            </w:r>
            <w:proofErr w:type="spellEnd"/>
            <w:r w:rsidRPr="00ED4C18">
              <w:rPr>
                <w:rFonts w:ascii="Arial Narrow" w:hAnsi="Arial Narrow"/>
                <w:sz w:val="20"/>
                <w:szCs w:val="20"/>
              </w:rPr>
              <w:t xml:space="preserve"> + Peg-IFN,</w:t>
            </w:r>
            <w:r w:rsidR="000F2DC6" w:rsidRPr="00ED4C18">
              <w:rPr>
                <w:rFonts w:ascii="Arial Narrow" w:hAnsi="Arial Narrow"/>
                <w:sz w:val="20"/>
                <w:szCs w:val="20"/>
              </w:rPr>
              <w:t>’</w:t>
            </w:r>
            <w:r w:rsidRPr="00ED4C18">
              <w:rPr>
                <w:rFonts w:ascii="Arial Narrow" w:hAnsi="Arial Narrow"/>
                <w:sz w:val="20"/>
                <w:szCs w:val="20"/>
              </w:rPr>
              <w:t xml:space="preserve"> which assessed the impact on anaemia of RBV dose reduction or erythropoietin</w:t>
            </w:r>
            <w:r w:rsidR="00B30807" w:rsidRPr="00ED4C18">
              <w:rPr>
                <w:rFonts w:ascii="Arial Narrow" w:hAnsi="Arial Narrow"/>
                <w:sz w:val="20"/>
                <w:szCs w:val="20"/>
              </w:rPr>
              <w:t xml:space="preserve">. </w:t>
            </w:r>
          </w:p>
          <w:p w:rsidR="00B30807" w:rsidRPr="00ED4C18" w:rsidRDefault="00B30807" w:rsidP="00B30807">
            <w:pPr>
              <w:jc w:val="center"/>
              <w:rPr>
                <w:rFonts w:ascii="Arial Narrow" w:hAnsi="Arial Narrow"/>
                <w:sz w:val="20"/>
                <w:szCs w:val="20"/>
              </w:rPr>
            </w:pPr>
            <w:proofErr w:type="spellStart"/>
            <w:r w:rsidRPr="00ED4C18">
              <w:rPr>
                <w:rFonts w:ascii="Arial Narrow" w:hAnsi="Arial Narrow"/>
                <w:sz w:val="20"/>
                <w:szCs w:val="20"/>
              </w:rPr>
              <w:t>Poordad</w:t>
            </w:r>
            <w:proofErr w:type="spellEnd"/>
            <w:r w:rsidRPr="00ED4C18">
              <w:rPr>
                <w:rFonts w:ascii="Arial Narrow" w:hAnsi="Arial Narrow"/>
                <w:sz w:val="20"/>
                <w:szCs w:val="20"/>
              </w:rPr>
              <w:t xml:space="preserve">, F et al. "Effects of ribavirin dose reduction vs erythropoietin for </w:t>
            </w:r>
            <w:proofErr w:type="spellStart"/>
            <w:r w:rsidRPr="00ED4C18">
              <w:rPr>
                <w:rFonts w:ascii="Arial Narrow" w:hAnsi="Arial Narrow"/>
                <w:sz w:val="20"/>
                <w:szCs w:val="20"/>
              </w:rPr>
              <w:t>boceprevir</w:t>
            </w:r>
            <w:proofErr w:type="spellEnd"/>
            <w:r w:rsidRPr="00ED4C18">
              <w:rPr>
                <w:rFonts w:ascii="Arial Narrow" w:hAnsi="Arial Narrow"/>
                <w:sz w:val="20"/>
                <w:szCs w:val="20"/>
              </w:rPr>
              <w:t xml:space="preserve">-related </w:t>
            </w:r>
            <w:proofErr w:type="spellStart"/>
            <w:r w:rsidRPr="00ED4C18">
              <w:rPr>
                <w:rFonts w:ascii="Arial Narrow" w:hAnsi="Arial Narrow"/>
                <w:sz w:val="20"/>
                <w:szCs w:val="20"/>
              </w:rPr>
              <w:t>anemia</w:t>
            </w:r>
            <w:proofErr w:type="spellEnd"/>
            <w:r w:rsidRPr="00ED4C18">
              <w:rPr>
                <w:rFonts w:ascii="Arial Narrow" w:hAnsi="Arial Narrow"/>
                <w:sz w:val="20"/>
                <w:szCs w:val="20"/>
              </w:rPr>
              <w:t xml:space="preserve"> in patients with chronic hepatitis C virus genotype 1 infection - a randomized tr</w:t>
            </w:r>
            <w:r w:rsidR="000F2DC6" w:rsidRPr="00ED4C18">
              <w:rPr>
                <w:rFonts w:ascii="Arial Narrow" w:hAnsi="Arial Narrow"/>
                <w:sz w:val="20"/>
                <w:szCs w:val="20"/>
              </w:rPr>
              <w:t>i</w:t>
            </w:r>
            <w:r w:rsidRPr="00ED4C18">
              <w:rPr>
                <w:rFonts w:ascii="Arial Narrow" w:hAnsi="Arial Narrow"/>
                <w:sz w:val="20"/>
                <w:szCs w:val="20"/>
              </w:rPr>
              <w:t>al.</w:t>
            </w:r>
            <w:r w:rsidRPr="00ED4C18">
              <w:rPr>
                <w:rFonts w:ascii="Arial Narrow" w:hAnsi="Arial Narrow"/>
                <w:b/>
                <w:sz w:val="20"/>
                <w:szCs w:val="20"/>
              </w:rPr>
              <w:t>"</w:t>
            </w:r>
            <w:r w:rsidRPr="00ED4C18">
              <w:rPr>
                <w:rFonts w:ascii="Arial Narrow" w:hAnsi="Arial Narrow"/>
                <w:sz w:val="20"/>
                <w:szCs w:val="20"/>
              </w:rPr>
              <w:t xml:space="preserve"> </w:t>
            </w:r>
          </w:p>
        </w:tc>
        <w:tc>
          <w:tcPr>
            <w:tcW w:w="824" w:type="pct"/>
            <w:shd w:val="clear" w:color="auto" w:fill="auto"/>
            <w:vAlign w:val="center"/>
          </w:tcPr>
          <w:p w:rsidR="00DD632C" w:rsidRPr="00ED4C18" w:rsidRDefault="00B30807" w:rsidP="00D964D5">
            <w:pPr>
              <w:jc w:val="center"/>
              <w:rPr>
                <w:rFonts w:ascii="Arial Narrow" w:hAnsi="Arial Narrow"/>
                <w:sz w:val="20"/>
                <w:szCs w:val="20"/>
              </w:rPr>
            </w:pPr>
            <w:r w:rsidRPr="00ED4C18">
              <w:rPr>
                <w:rFonts w:ascii="Arial Narrow" w:hAnsi="Arial Narrow"/>
                <w:sz w:val="20"/>
                <w:szCs w:val="20"/>
              </w:rPr>
              <w:t>Gastroenterology, 2013: 1035-1044.</w:t>
            </w:r>
          </w:p>
        </w:tc>
      </w:tr>
      <w:tr w:rsidR="00ED4C18" w:rsidRPr="00ED4C18" w:rsidTr="00E06107">
        <w:tc>
          <w:tcPr>
            <w:tcW w:w="5000" w:type="pct"/>
            <w:gridSpan w:val="6"/>
            <w:shd w:val="clear" w:color="auto" w:fill="auto"/>
            <w:vAlign w:val="center"/>
          </w:tcPr>
          <w:p w:rsidR="00891194" w:rsidRPr="00ED4C18" w:rsidRDefault="00891194" w:rsidP="00D964D5">
            <w:pPr>
              <w:rPr>
                <w:rFonts w:ascii="Arial Narrow" w:hAnsi="Arial Narrow"/>
                <w:b/>
                <w:sz w:val="20"/>
                <w:szCs w:val="20"/>
              </w:rPr>
            </w:pPr>
            <w:proofErr w:type="spellStart"/>
            <w:r w:rsidRPr="00ED4C18">
              <w:rPr>
                <w:rFonts w:ascii="Arial Narrow" w:hAnsi="Arial Narrow"/>
                <w:b/>
                <w:sz w:val="20"/>
                <w:szCs w:val="20"/>
              </w:rPr>
              <w:t>Telaprevir</w:t>
            </w:r>
            <w:proofErr w:type="spellEnd"/>
          </w:p>
        </w:tc>
      </w:tr>
      <w:tr w:rsidR="00ED4C18" w:rsidRPr="00ED4C18" w:rsidTr="00E06107">
        <w:tc>
          <w:tcPr>
            <w:tcW w:w="668" w:type="pct"/>
            <w:shd w:val="clear" w:color="auto" w:fill="auto"/>
            <w:vAlign w:val="center"/>
          </w:tcPr>
          <w:p w:rsidR="00DD632C" w:rsidRPr="00ED4C18" w:rsidRDefault="00DD632C" w:rsidP="00E31A26">
            <w:pPr>
              <w:rPr>
                <w:rFonts w:ascii="Arial Narrow" w:hAnsi="Arial Narrow"/>
                <w:sz w:val="20"/>
                <w:szCs w:val="20"/>
              </w:rPr>
            </w:pPr>
            <w:r w:rsidRPr="00ED4C18">
              <w:rPr>
                <w:rStyle w:val="TableText1"/>
                <w:rFonts w:ascii="Arial Narrow" w:hAnsi="Arial Narrow"/>
                <w:szCs w:val="20"/>
                <w:lang w:bidi="en-US"/>
              </w:rPr>
              <w:t xml:space="preserve">VX07-950-108  </w:t>
            </w:r>
            <w:proofErr w:type="spellStart"/>
            <w:r w:rsidRPr="00ED4C18">
              <w:rPr>
                <w:rFonts w:ascii="Arial Narrow" w:hAnsi="Arial Narrow"/>
                <w:sz w:val="20"/>
                <w:szCs w:val="20"/>
              </w:rPr>
              <w:t>ADVANCE</w:t>
            </w:r>
            <w:r w:rsidRPr="00ED4C18">
              <w:rPr>
                <w:rFonts w:ascii="Arial Narrow" w:hAnsi="Arial Narrow"/>
                <w:sz w:val="20"/>
                <w:szCs w:val="20"/>
                <w:vertAlign w:val="superscript"/>
              </w:rPr>
              <w:t>d</w:t>
            </w:r>
            <w:proofErr w:type="spellEnd"/>
          </w:p>
        </w:tc>
        <w:tc>
          <w:tcPr>
            <w:tcW w:w="415" w:type="pct"/>
            <w:shd w:val="clear" w:color="auto" w:fill="auto"/>
            <w:vAlign w:val="center"/>
          </w:tcPr>
          <w:p w:rsidR="00DD632C" w:rsidRPr="00ED4C18" w:rsidRDefault="00DD632C" w:rsidP="00D964D5">
            <w:pPr>
              <w:jc w:val="center"/>
              <w:rPr>
                <w:rFonts w:ascii="Arial Narrow" w:hAnsi="Arial Narrow"/>
                <w:sz w:val="20"/>
                <w:szCs w:val="20"/>
              </w:rPr>
            </w:pPr>
            <w:r w:rsidRPr="00ED4C18">
              <w:rPr>
                <w:rFonts w:ascii="Arial Narrow" w:hAnsi="Arial Narrow"/>
                <w:sz w:val="20"/>
                <w:szCs w:val="20"/>
              </w:rPr>
              <w:t>365</w:t>
            </w:r>
          </w:p>
        </w:tc>
        <w:tc>
          <w:tcPr>
            <w:tcW w:w="838" w:type="pct"/>
            <w:shd w:val="clear" w:color="auto" w:fill="auto"/>
            <w:vAlign w:val="center"/>
          </w:tcPr>
          <w:p w:rsidR="00DD632C" w:rsidRPr="00ED4C18" w:rsidRDefault="00DD632C" w:rsidP="00D964D5">
            <w:pPr>
              <w:jc w:val="center"/>
              <w:rPr>
                <w:rFonts w:ascii="Arial Narrow" w:hAnsi="Arial Narrow"/>
                <w:sz w:val="20"/>
                <w:szCs w:val="20"/>
              </w:rPr>
            </w:pPr>
            <w:r w:rsidRPr="00ED4C18">
              <w:rPr>
                <w:rFonts w:ascii="Arial Narrow" w:hAnsi="Arial Narrow"/>
                <w:sz w:val="20"/>
                <w:szCs w:val="20"/>
              </w:rPr>
              <w:t xml:space="preserve">Single arm of R </w:t>
            </w:r>
            <w:proofErr w:type="spellStart"/>
            <w:r w:rsidRPr="00ED4C18">
              <w:rPr>
                <w:rFonts w:ascii="Arial Narrow" w:hAnsi="Arial Narrow"/>
                <w:sz w:val="20"/>
                <w:szCs w:val="20"/>
              </w:rPr>
              <w:t>trial</w:t>
            </w:r>
            <w:r w:rsidRPr="00ED4C18">
              <w:rPr>
                <w:rFonts w:ascii="Arial Narrow" w:hAnsi="Arial Narrow"/>
                <w:sz w:val="20"/>
                <w:szCs w:val="20"/>
                <w:vertAlign w:val="superscript"/>
              </w:rPr>
              <w:t>d</w:t>
            </w:r>
            <w:proofErr w:type="spellEnd"/>
            <w:r w:rsidRPr="00ED4C18">
              <w:rPr>
                <w:rFonts w:ascii="Arial Narrow" w:hAnsi="Arial Narrow"/>
                <w:sz w:val="20"/>
                <w:szCs w:val="20"/>
              </w:rPr>
              <w:t>, MC / up to 72 weeks</w:t>
            </w:r>
          </w:p>
        </w:tc>
        <w:tc>
          <w:tcPr>
            <w:tcW w:w="485" w:type="pct"/>
            <w:shd w:val="clear" w:color="auto" w:fill="auto"/>
            <w:vAlign w:val="center"/>
          </w:tcPr>
          <w:p w:rsidR="00DD632C" w:rsidRPr="00ED4C18" w:rsidRDefault="00DD632C" w:rsidP="00D964D5">
            <w:pPr>
              <w:jc w:val="center"/>
              <w:rPr>
                <w:rFonts w:ascii="Arial Narrow" w:hAnsi="Arial Narrow"/>
                <w:sz w:val="20"/>
                <w:szCs w:val="20"/>
              </w:rPr>
            </w:pPr>
            <w:r w:rsidRPr="00ED4C18">
              <w:rPr>
                <w:rFonts w:ascii="Arial Narrow" w:hAnsi="Arial Narrow"/>
                <w:sz w:val="20"/>
                <w:szCs w:val="20"/>
              </w:rPr>
              <w:t>High</w:t>
            </w:r>
          </w:p>
        </w:tc>
        <w:tc>
          <w:tcPr>
            <w:tcW w:w="1770" w:type="pct"/>
            <w:shd w:val="clear" w:color="auto" w:fill="auto"/>
            <w:vAlign w:val="center"/>
          </w:tcPr>
          <w:p w:rsidR="00DD632C" w:rsidRPr="00ED4C18" w:rsidRDefault="00DD632C" w:rsidP="00D964D5">
            <w:pPr>
              <w:jc w:val="center"/>
              <w:rPr>
                <w:rFonts w:ascii="Arial Narrow" w:hAnsi="Arial Narrow"/>
                <w:sz w:val="20"/>
                <w:szCs w:val="20"/>
              </w:rPr>
            </w:pPr>
            <w:r w:rsidRPr="00ED4C18">
              <w:rPr>
                <w:rFonts w:ascii="Arial Narrow" w:hAnsi="Arial Narrow"/>
                <w:sz w:val="20"/>
                <w:szCs w:val="20"/>
              </w:rPr>
              <w:t xml:space="preserve">A Phase 3 study to evaluate the efficacy and safety of two dosing regimens of </w:t>
            </w:r>
            <w:proofErr w:type="spellStart"/>
            <w:r w:rsidRPr="00ED4C18">
              <w:rPr>
                <w:rFonts w:ascii="Arial Narrow" w:hAnsi="Arial Narrow"/>
                <w:sz w:val="20"/>
                <w:szCs w:val="20"/>
              </w:rPr>
              <w:t>telaprevir</w:t>
            </w:r>
            <w:proofErr w:type="spellEnd"/>
            <w:r w:rsidRPr="00ED4C18">
              <w:rPr>
                <w:rFonts w:ascii="Arial Narrow" w:hAnsi="Arial Narrow"/>
                <w:sz w:val="20"/>
                <w:szCs w:val="20"/>
              </w:rPr>
              <w:t xml:space="preserve"> in combination with </w:t>
            </w:r>
            <w:proofErr w:type="spellStart"/>
            <w:r w:rsidRPr="00ED4C18">
              <w:rPr>
                <w:rFonts w:ascii="Arial Narrow" w:hAnsi="Arial Narrow"/>
                <w:sz w:val="20"/>
                <w:szCs w:val="20"/>
              </w:rPr>
              <w:t>peginterferon</w:t>
            </w:r>
            <w:proofErr w:type="spellEnd"/>
            <w:r w:rsidRPr="00ED4C18">
              <w:rPr>
                <w:rFonts w:ascii="Arial Narrow" w:hAnsi="Arial Narrow"/>
                <w:sz w:val="20"/>
                <w:szCs w:val="20"/>
              </w:rPr>
              <w:t xml:space="preserve"> alfa-2a and ribavirin in Treatment-Naive Subjects With Genotype 1 Chronic Hepatitis C</w:t>
            </w:r>
          </w:p>
          <w:p w:rsidR="00DD632C" w:rsidRPr="00ED4C18" w:rsidRDefault="00DD632C" w:rsidP="00DD632C">
            <w:pPr>
              <w:jc w:val="center"/>
              <w:rPr>
                <w:rFonts w:ascii="Arial Narrow" w:hAnsi="Arial Narrow"/>
                <w:sz w:val="20"/>
                <w:szCs w:val="20"/>
              </w:rPr>
            </w:pPr>
            <w:r w:rsidRPr="00ED4C18">
              <w:rPr>
                <w:rFonts w:ascii="Arial Narrow" w:hAnsi="Arial Narrow"/>
                <w:sz w:val="20"/>
                <w:szCs w:val="20"/>
              </w:rPr>
              <w:t>Jacobson et al  '</w:t>
            </w:r>
            <w:proofErr w:type="spellStart"/>
            <w:r w:rsidRPr="00ED4C18">
              <w:rPr>
                <w:rFonts w:ascii="Arial Narrow" w:hAnsi="Arial Narrow"/>
                <w:sz w:val="20"/>
                <w:szCs w:val="20"/>
              </w:rPr>
              <w:t>Telaprevir</w:t>
            </w:r>
            <w:proofErr w:type="spellEnd"/>
            <w:r w:rsidRPr="00ED4C18">
              <w:rPr>
                <w:rFonts w:ascii="Arial Narrow" w:hAnsi="Arial Narrow"/>
                <w:sz w:val="20"/>
                <w:szCs w:val="20"/>
              </w:rPr>
              <w:t xml:space="preserve"> for previously untreated chronic hepatitis C virus infection</w:t>
            </w:r>
          </w:p>
        </w:tc>
        <w:tc>
          <w:tcPr>
            <w:tcW w:w="824" w:type="pct"/>
            <w:shd w:val="clear" w:color="auto" w:fill="auto"/>
            <w:vAlign w:val="center"/>
          </w:tcPr>
          <w:p w:rsidR="00DD632C" w:rsidRPr="00ED4C18" w:rsidRDefault="00DD632C" w:rsidP="00D964D5">
            <w:pPr>
              <w:jc w:val="center"/>
              <w:rPr>
                <w:rFonts w:ascii="Arial Narrow" w:hAnsi="Arial Narrow"/>
                <w:sz w:val="20"/>
                <w:szCs w:val="20"/>
              </w:rPr>
            </w:pPr>
            <w:r w:rsidRPr="00ED4C18">
              <w:rPr>
                <w:rFonts w:ascii="Arial Narrow" w:hAnsi="Arial Narrow"/>
                <w:sz w:val="20"/>
                <w:szCs w:val="20"/>
              </w:rPr>
              <w:t>New England Journal of Medicine, 2011, vol. 364, no. 25, pp. 2405-2416</w:t>
            </w:r>
          </w:p>
        </w:tc>
      </w:tr>
      <w:tr w:rsidR="00ED4C18" w:rsidRPr="00ED4C18" w:rsidTr="00E06107">
        <w:tc>
          <w:tcPr>
            <w:tcW w:w="5000" w:type="pct"/>
            <w:gridSpan w:val="6"/>
            <w:shd w:val="clear" w:color="auto" w:fill="auto"/>
            <w:vAlign w:val="center"/>
          </w:tcPr>
          <w:p w:rsidR="00891194" w:rsidRPr="00ED4C18" w:rsidRDefault="00891194" w:rsidP="00891194">
            <w:pPr>
              <w:rPr>
                <w:rFonts w:ascii="Arial Narrow" w:hAnsi="Arial Narrow"/>
                <w:sz w:val="20"/>
                <w:szCs w:val="20"/>
              </w:rPr>
            </w:pPr>
            <w:r w:rsidRPr="00ED4C18">
              <w:rPr>
                <w:rFonts w:ascii="Arial Narrow" w:hAnsi="Arial Narrow"/>
                <w:b/>
                <w:sz w:val="20"/>
                <w:szCs w:val="20"/>
              </w:rPr>
              <w:t>Peg-IFN + RBV</w:t>
            </w:r>
          </w:p>
        </w:tc>
      </w:tr>
      <w:tr w:rsidR="00ED4C18" w:rsidRPr="00ED4C18" w:rsidTr="00E06107">
        <w:tc>
          <w:tcPr>
            <w:tcW w:w="668" w:type="pct"/>
            <w:shd w:val="clear" w:color="auto" w:fill="auto"/>
            <w:vAlign w:val="center"/>
          </w:tcPr>
          <w:p w:rsidR="00DD632C" w:rsidRPr="00ED4C18" w:rsidRDefault="00DD632C" w:rsidP="008D0534">
            <w:pPr>
              <w:rPr>
                <w:rFonts w:ascii="Arial Narrow" w:hAnsi="Arial Narrow"/>
                <w:sz w:val="20"/>
                <w:szCs w:val="20"/>
                <w:u w:val="single"/>
              </w:rPr>
            </w:pPr>
            <w:proofErr w:type="spellStart"/>
            <w:r w:rsidRPr="00ED4C18">
              <w:rPr>
                <w:rFonts w:ascii="Arial Narrow" w:hAnsi="Arial Narrow"/>
                <w:sz w:val="20"/>
                <w:szCs w:val="20"/>
                <w:u w:val="single"/>
              </w:rPr>
              <w:t>Manns</w:t>
            </w:r>
            <w:proofErr w:type="spellEnd"/>
            <w:r w:rsidRPr="00ED4C18">
              <w:rPr>
                <w:rFonts w:ascii="Arial Narrow" w:hAnsi="Arial Narrow"/>
                <w:sz w:val="20"/>
                <w:szCs w:val="20"/>
                <w:u w:val="single"/>
              </w:rPr>
              <w:t xml:space="preserve"> et al 2001</w:t>
            </w:r>
          </w:p>
          <w:p w:rsidR="00DD632C" w:rsidRPr="00ED4C18" w:rsidRDefault="00DD632C" w:rsidP="008D0534">
            <w:pPr>
              <w:rPr>
                <w:rFonts w:ascii="Arial Narrow" w:hAnsi="Arial Narrow"/>
                <w:sz w:val="20"/>
                <w:szCs w:val="20"/>
              </w:rPr>
            </w:pPr>
            <w:r w:rsidRPr="00ED4C18">
              <w:rPr>
                <w:rFonts w:ascii="Arial Narrow" w:hAnsi="Arial Narrow"/>
                <w:sz w:val="20"/>
                <w:szCs w:val="20"/>
              </w:rPr>
              <w:t>PR48</w:t>
            </w:r>
          </w:p>
          <w:p w:rsidR="00D8371A" w:rsidRPr="00ED4C18" w:rsidRDefault="00D8371A" w:rsidP="008D0534">
            <w:pPr>
              <w:rPr>
                <w:rFonts w:ascii="Arial Narrow" w:hAnsi="Arial Narrow"/>
                <w:sz w:val="20"/>
                <w:szCs w:val="20"/>
              </w:rPr>
            </w:pPr>
            <w:r w:rsidRPr="00ED4C18">
              <w:rPr>
                <w:rFonts w:ascii="Arial Narrow" w:hAnsi="Arial Narrow"/>
                <w:sz w:val="20"/>
                <w:szCs w:val="20"/>
              </w:rPr>
              <w:t>(Section C</w:t>
            </w:r>
            <w:r w:rsidR="00E42966" w:rsidRPr="00ED4C18">
              <w:rPr>
                <w:rFonts w:ascii="Arial Narrow" w:hAnsi="Arial Narrow"/>
                <w:sz w:val="20"/>
                <w:szCs w:val="20"/>
              </w:rPr>
              <w:t xml:space="preserve"> of the submission</w:t>
            </w:r>
            <w:r w:rsidRPr="00ED4C18">
              <w:rPr>
                <w:rFonts w:ascii="Arial Narrow" w:hAnsi="Arial Narrow"/>
                <w:sz w:val="20"/>
                <w:szCs w:val="20"/>
              </w:rPr>
              <w:t>)</w:t>
            </w:r>
          </w:p>
        </w:tc>
        <w:tc>
          <w:tcPr>
            <w:tcW w:w="415" w:type="pct"/>
            <w:shd w:val="clear" w:color="auto" w:fill="auto"/>
            <w:vAlign w:val="center"/>
          </w:tcPr>
          <w:p w:rsidR="00DD632C" w:rsidRPr="00ED4C18" w:rsidRDefault="00DD632C" w:rsidP="00D964D5">
            <w:pPr>
              <w:jc w:val="center"/>
              <w:rPr>
                <w:rFonts w:ascii="Arial Narrow" w:hAnsi="Arial Narrow"/>
                <w:sz w:val="20"/>
                <w:szCs w:val="20"/>
              </w:rPr>
            </w:pPr>
          </w:p>
        </w:tc>
        <w:tc>
          <w:tcPr>
            <w:tcW w:w="838" w:type="pct"/>
            <w:shd w:val="clear" w:color="auto" w:fill="auto"/>
            <w:vAlign w:val="center"/>
          </w:tcPr>
          <w:p w:rsidR="00DD632C" w:rsidRPr="00ED4C18" w:rsidRDefault="00DD632C" w:rsidP="00D964D5">
            <w:pPr>
              <w:jc w:val="center"/>
              <w:rPr>
                <w:rFonts w:ascii="Arial Narrow" w:hAnsi="Arial Narrow"/>
                <w:sz w:val="20"/>
                <w:szCs w:val="20"/>
              </w:rPr>
            </w:pPr>
          </w:p>
        </w:tc>
        <w:tc>
          <w:tcPr>
            <w:tcW w:w="485" w:type="pct"/>
            <w:shd w:val="clear" w:color="auto" w:fill="auto"/>
            <w:vAlign w:val="center"/>
          </w:tcPr>
          <w:p w:rsidR="00DD632C" w:rsidRPr="00ED4C18" w:rsidRDefault="00DD632C" w:rsidP="00D964D5">
            <w:pPr>
              <w:jc w:val="center"/>
              <w:rPr>
                <w:rFonts w:ascii="Arial Narrow" w:hAnsi="Arial Narrow"/>
                <w:sz w:val="20"/>
                <w:szCs w:val="20"/>
              </w:rPr>
            </w:pPr>
          </w:p>
        </w:tc>
        <w:tc>
          <w:tcPr>
            <w:tcW w:w="1770" w:type="pct"/>
            <w:shd w:val="clear" w:color="auto" w:fill="auto"/>
            <w:vAlign w:val="center"/>
          </w:tcPr>
          <w:p w:rsidR="00B95A9F" w:rsidRPr="00ED4C18" w:rsidRDefault="00B95A9F" w:rsidP="00B95A9F">
            <w:pPr>
              <w:jc w:val="center"/>
              <w:rPr>
                <w:rFonts w:ascii="Arial Narrow" w:hAnsi="Arial Narrow"/>
                <w:sz w:val="20"/>
                <w:szCs w:val="20"/>
              </w:rPr>
            </w:pPr>
            <w:r w:rsidRPr="00ED4C18">
              <w:rPr>
                <w:rFonts w:ascii="Arial Narrow" w:hAnsi="Arial Narrow"/>
                <w:sz w:val="20"/>
                <w:szCs w:val="20"/>
              </w:rPr>
              <w:t>an open label parallel group study evaluating the optimal Peg-IFN + RBV regimen for use in patients with HCV genotype 1, 4, 5, 6 infection</w:t>
            </w:r>
          </w:p>
          <w:p w:rsidR="00DD632C" w:rsidRPr="00ED4C18" w:rsidRDefault="00B95A9F" w:rsidP="000F2DC6">
            <w:pPr>
              <w:jc w:val="center"/>
              <w:rPr>
                <w:rFonts w:ascii="Arial Narrow" w:hAnsi="Arial Narrow"/>
                <w:sz w:val="20"/>
                <w:szCs w:val="20"/>
              </w:rPr>
            </w:pPr>
            <w:proofErr w:type="spellStart"/>
            <w:r w:rsidRPr="00ED4C18">
              <w:rPr>
                <w:rFonts w:ascii="Arial Narrow" w:hAnsi="Arial Narrow"/>
                <w:sz w:val="20"/>
                <w:szCs w:val="20"/>
              </w:rPr>
              <w:t>Manns</w:t>
            </w:r>
            <w:proofErr w:type="spellEnd"/>
            <w:r w:rsidRPr="00ED4C18">
              <w:rPr>
                <w:rFonts w:ascii="Arial Narrow" w:hAnsi="Arial Narrow"/>
                <w:sz w:val="20"/>
                <w:szCs w:val="20"/>
              </w:rPr>
              <w:t>, MP et al. "</w:t>
            </w:r>
            <w:proofErr w:type="spellStart"/>
            <w:r w:rsidRPr="00ED4C18">
              <w:rPr>
                <w:rFonts w:ascii="Arial Narrow" w:hAnsi="Arial Narrow"/>
                <w:sz w:val="20"/>
                <w:szCs w:val="20"/>
              </w:rPr>
              <w:t>Peginterferon</w:t>
            </w:r>
            <w:proofErr w:type="spellEnd"/>
            <w:r w:rsidRPr="00ED4C18">
              <w:rPr>
                <w:rFonts w:ascii="Arial Narrow" w:hAnsi="Arial Narrow"/>
                <w:sz w:val="20"/>
                <w:szCs w:val="20"/>
              </w:rPr>
              <w:t xml:space="preserve"> alfa-2b plus ribavirin compared with interferon alfa-2b plus ribavirin for initial treatment of chronic he</w:t>
            </w:r>
            <w:r w:rsidR="000F2DC6" w:rsidRPr="00ED4C18">
              <w:rPr>
                <w:rFonts w:ascii="Arial Narrow" w:hAnsi="Arial Narrow"/>
                <w:sz w:val="20"/>
                <w:szCs w:val="20"/>
              </w:rPr>
              <w:t>p</w:t>
            </w:r>
            <w:r w:rsidRPr="00ED4C18">
              <w:rPr>
                <w:rFonts w:ascii="Arial Narrow" w:hAnsi="Arial Narrow"/>
                <w:sz w:val="20"/>
                <w:szCs w:val="20"/>
              </w:rPr>
              <w:t xml:space="preserve">atitis C: a randomised trial." </w:t>
            </w:r>
          </w:p>
        </w:tc>
        <w:tc>
          <w:tcPr>
            <w:tcW w:w="824" w:type="pct"/>
            <w:shd w:val="clear" w:color="auto" w:fill="auto"/>
            <w:vAlign w:val="center"/>
          </w:tcPr>
          <w:p w:rsidR="00DD632C" w:rsidRPr="00ED4C18" w:rsidRDefault="00B95A9F" w:rsidP="00D964D5">
            <w:pPr>
              <w:jc w:val="center"/>
              <w:rPr>
                <w:rFonts w:ascii="Arial Narrow" w:hAnsi="Arial Narrow"/>
                <w:sz w:val="20"/>
                <w:szCs w:val="20"/>
              </w:rPr>
            </w:pPr>
            <w:r w:rsidRPr="00ED4C18">
              <w:rPr>
                <w:rFonts w:ascii="Arial Narrow" w:hAnsi="Arial Narrow"/>
                <w:sz w:val="20"/>
                <w:szCs w:val="20"/>
              </w:rPr>
              <w:t>The Lancet, 2001: 958.</w:t>
            </w:r>
          </w:p>
        </w:tc>
      </w:tr>
    </w:tbl>
    <w:p w:rsidR="00121435" w:rsidRPr="00ED4C18" w:rsidRDefault="00121435" w:rsidP="00E06107">
      <w:pPr>
        <w:pStyle w:val="TableFooter"/>
        <w:ind w:firstLine="720"/>
        <w:rPr>
          <w:sz w:val="20"/>
        </w:rPr>
      </w:pPr>
      <w:proofErr w:type="spellStart"/>
      <w:proofErr w:type="gramStart"/>
      <w:r w:rsidRPr="00ED4C18">
        <w:rPr>
          <w:sz w:val="20"/>
          <w:vertAlign w:val="superscript"/>
        </w:rPr>
        <w:t>a</w:t>
      </w:r>
      <w:r w:rsidRPr="00ED4C18">
        <w:rPr>
          <w:sz w:val="20"/>
        </w:rPr>
        <w:t>Duration</w:t>
      </w:r>
      <w:proofErr w:type="spellEnd"/>
      <w:proofErr w:type="gramEnd"/>
      <w:r w:rsidRPr="00ED4C18">
        <w:rPr>
          <w:sz w:val="20"/>
        </w:rPr>
        <w:t xml:space="preserve"> of trial is calculated as duration of treatment + required follow up to measure primary efficacy outcome.</w:t>
      </w:r>
    </w:p>
    <w:p w:rsidR="00121435" w:rsidRPr="00ED4C18" w:rsidRDefault="00121435" w:rsidP="00E06107">
      <w:pPr>
        <w:pStyle w:val="TableFooter"/>
        <w:ind w:left="720"/>
        <w:rPr>
          <w:sz w:val="20"/>
        </w:rPr>
      </w:pPr>
      <w:proofErr w:type="spellStart"/>
      <w:proofErr w:type="gramStart"/>
      <w:r w:rsidRPr="00ED4C18">
        <w:rPr>
          <w:sz w:val="20"/>
          <w:vertAlign w:val="superscript"/>
        </w:rPr>
        <w:t>b</w:t>
      </w:r>
      <w:r w:rsidRPr="00ED4C18">
        <w:rPr>
          <w:sz w:val="20"/>
        </w:rPr>
        <w:t>FUSION</w:t>
      </w:r>
      <w:proofErr w:type="spellEnd"/>
      <w:proofErr w:type="gramEnd"/>
      <w:r w:rsidRPr="00ED4C18">
        <w:rPr>
          <w:sz w:val="20"/>
        </w:rPr>
        <w:t xml:space="preserve"> is a randomised trial of </w:t>
      </w:r>
      <w:proofErr w:type="spellStart"/>
      <w:r w:rsidRPr="00ED4C18">
        <w:rPr>
          <w:sz w:val="20"/>
        </w:rPr>
        <w:t>sofosbuvir</w:t>
      </w:r>
      <w:proofErr w:type="spellEnd"/>
      <w:r w:rsidR="00624A3F" w:rsidRPr="00ED4C18">
        <w:rPr>
          <w:sz w:val="20"/>
        </w:rPr>
        <w:t xml:space="preserve"> </w:t>
      </w:r>
      <w:r w:rsidRPr="00ED4C18">
        <w:rPr>
          <w:sz w:val="20"/>
        </w:rPr>
        <w:t>+</w:t>
      </w:r>
      <w:r w:rsidR="00624A3F" w:rsidRPr="00ED4C18">
        <w:rPr>
          <w:sz w:val="20"/>
        </w:rPr>
        <w:t xml:space="preserve"> </w:t>
      </w:r>
      <w:r w:rsidRPr="00ED4C18">
        <w:rPr>
          <w:sz w:val="20"/>
        </w:rPr>
        <w:t>RBV for 12 weeks vs 16 weeks.  The latter arm is not relevant to the submission and the SVR rates (primary outcome) are therefore naïve.</w:t>
      </w:r>
    </w:p>
    <w:p w:rsidR="00121435" w:rsidRPr="00ED4C18" w:rsidRDefault="00121435" w:rsidP="00E06107">
      <w:pPr>
        <w:pStyle w:val="TableFooter"/>
        <w:ind w:left="720"/>
        <w:rPr>
          <w:sz w:val="20"/>
        </w:rPr>
      </w:pPr>
      <w:proofErr w:type="spellStart"/>
      <w:proofErr w:type="gramStart"/>
      <w:r w:rsidRPr="00ED4C18">
        <w:rPr>
          <w:sz w:val="20"/>
          <w:vertAlign w:val="superscript"/>
        </w:rPr>
        <w:t>c</w:t>
      </w:r>
      <w:r w:rsidRPr="00ED4C18">
        <w:rPr>
          <w:sz w:val="20"/>
        </w:rPr>
        <w:t>Overall</w:t>
      </w:r>
      <w:proofErr w:type="spellEnd"/>
      <w:proofErr w:type="gramEnd"/>
      <w:r w:rsidRPr="00ED4C18">
        <w:rPr>
          <w:sz w:val="20"/>
        </w:rPr>
        <w:t xml:space="preserve"> estimate of risk of bias includes bias associated with the nature of the comparison (</w:t>
      </w:r>
      <w:proofErr w:type="spellStart"/>
      <w:r w:rsidRPr="00ED4C18">
        <w:rPr>
          <w:sz w:val="20"/>
        </w:rPr>
        <w:t>ie</w:t>
      </w:r>
      <w:proofErr w:type="spellEnd"/>
      <w:r w:rsidRPr="00ED4C18">
        <w:rPr>
          <w:sz w:val="20"/>
        </w:rPr>
        <w:t xml:space="preserve">, a comparison of </w:t>
      </w:r>
      <w:r w:rsidRPr="00ED4C18">
        <w:rPr>
          <w:sz w:val="20"/>
        </w:rPr>
        <w:lastRenderedPageBreak/>
        <w:t>single arms from different trials has a high risk of bias).</w:t>
      </w:r>
    </w:p>
    <w:p w:rsidR="00121435" w:rsidRPr="00ED4C18" w:rsidRDefault="00121435" w:rsidP="00E06107">
      <w:pPr>
        <w:pStyle w:val="TableFooter"/>
        <w:ind w:left="720"/>
        <w:rPr>
          <w:sz w:val="20"/>
        </w:rPr>
      </w:pPr>
      <w:proofErr w:type="gramStart"/>
      <w:r w:rsidRPr="00ED4C18">
        <w:rPr>
          <w:sz w:val="20"/>
          <w:vertAlign w:val="superscript"/>
        </w:rPr>
        <w:t>d</w:t>
      </w:r>
      <w:r w:rsidRPr="00ED4C18">
        <w:rPr>
          <w:sz w:val="20"/>
        </w:rPr>
        <w:t>SPRINT-2</w:t>
      </w:r>
      <w:proofErr w:type="gramEnd"/>
      <w:r w:rsidRPr="00ED4C18">
        <w:rPr>
          <w:sz w:val="20"/>
        </w:rPr>
        <w:t xml:space="preserve"> and ADVANCE were both randomised, double blind, three arm trials.  Only one arm is used in the submission as NEUTRINO has no common comparator arm and therefore a single arm comparison is made.  Risk of bias associated with this type of comparison is high.</w:t>
      </w:r>
    </w:p>
    <w:p w:rsidR="00121435" w:rsidRPr="00ED4C18" w:rsidRDefault="00121435" w:rsidP="00E06107">
      <w:pPr>
        <w:pStyle w:val="TableFooter"/>
        <w:ind w:left="709"/>
        <w:rPr>
          <w:sz w:val="20"/>
        </w:rPr>
      </w:pPr>
      <w:r w:rsidRPr="00ED4C18">
        <w:rPr>
          <w:sz w:val="20"/>
        </w:rPr>
        <w:t xml:space="preserve">DB=double blind; MC=multi-centre; OL=open label; R=randomised, IFN=interferon; SVR12/24=sustained </w:t>
      </w:r>
      <w:proofErr w:type="spellStart"/>
      <w:r w:rsidRPr="00ED4C18">
        <w:rPr>
          <w:sz w:val="20"/>
        </w:rPr>
        <w:t>virologic</w:t>
      </w:r>
      <w:proofErr w:type="spellEnd"/>
      <w:r w:rsidRPr="00ED4C18">
        <w:rPr>
          <w:sz w:val="20"/>
        </w:rPr>
        <w:t xml:space="preserve"> response measured at 12 weeks / 24 weeks following end of treatment; </w:t>
      </w:r>
      <w:r w:rsidR="005D0AAF" w:rsidRPr="00ED4C18">
        <w:rPr>
          <w:sz w:val="20"/>
        </w:rPr>
        <w:t>GT, genotype</w:t>
      </w:r>
    </w:p>
    <w:p w:rsidR="000B558D" w:rsidRPr="00ED4C18" w:rsidRDefault="000B558D" w:rsidP="00882085">
      <w:pPr>
        <w:jc w:val="both"/>
        <w:rPr>
          <w:szCs w:val="22"/>
        </w:rPr>
      </w:pPr>
    </w:p>
    <w:p w:rsidR="00880C3B" w:rsidRPr="00ED4C18" w:rsidRDefault="00880C3B" w:rsidP="00E06107">
      <w:pPr>
        <w:pStyle w:val="ListParagraph"/>
        <w:numPr>
          <w:ilvl w:val="1"/>
          <w:numId w:val="1"/>
        </w:numPr>
        <w:jc w:val="both"/>
        <w:rPr>
          <w:szCs w:val="22"/>
        </w:rPr>
      </w:pPr>
      <w:r w:rsidRPr="00E06107">
        <w:rPr>
          <w:szCs w:val="22"/>
        </w:rPr>
        <w:t xml:space="preserve">The ESC noted that the SVR rates from FISSION and POSITRON, the trials with the lowest risk of bias, were not used to inform the economic model. The ESC, also noting the discussion by the Sponsor in the PSCR, considered that the evidence provided in the submission was the best available as the development program of </w:t>
      </w:r>
      <w:proofErr w:type="spellStart"/>
      <w:r w:rsidRPr="00E06107">
        <w:rPr>
          <w:szCs w:val="22"/>
        </w:rPr>
        <w:t>sofosbuvir</w:t>
      </w:r>
      <w:proofErr w:type="spellEnd"/>
      <w:r w:rsidRPr="00E06107">
        <w:rPr>
          <w:szCs w:val="22"/>
        </w:rPr>
        <w:t xml:space="preserve"> has been based predominately on single arm trials. To a significant extent the use of single arm trials was due to the perceived loss of clinical equipoise between </w:t>
      </w:r>
      <w:proofErr w:type="spellStart"/>
      <w:r w:rsidRPr="00E06107">
        <w:rPr>
          <w:szCs w:val="22"/>
        </w:rPr>
        <w:t>sofosbuvir</w:t>
      </w:r>
      <w:proofErr w:type="spellEnd"/>
      <w:r w:rsidRPr="00E06107">
        <w:rPr>
          <w:szCs w:val="22"/>
        </w:rPr>
        <w:t>-containing and comparator regimens.</w:t>
      </w:r>
    </w:p>
    <w:p w:rsidR="00880C3B" w:rsidRPr="00ED4C18" w:rsidRDefault="00880C3B" w:rsidP="001E37DB">
      <w:pPr>
        <w:jc w:val="both"/>
        <w:rPr>
          <w:szCs w:val="22"/>
        </w:rPr>
      </w:pPr>
    </w:p>
    <w:p w:rsidR="00BB7EC3" w:rsidRPr="00ED4C18" w:rsidRDefault="00BB7EC3" w:rsidP="00BB7EC3">
      <w:pPr>
        <w:pStyle w:val="ListParagraph"/>
        <w:ind w:left="709"/>
        <w:jc w:val="both"/>
        <w:rPr>
          <w:i/>
          <w:szCs w:val="22"/>
        </w:rPr>
      </w:pPr>
      <w:r w:rsidRPr="00ED4C18">
        <w:rPr>
          <w:i/>
          <w:szCs w:val="22"/>
        </w:rPr>
        <w:t>For more detail on PBAC’s view, see section 7 “PBAC outcome”</w:t>
      </w:r>
      <w:r w:rsidR="00794639" w:rsidRPr="00ED4C18">
        <w:rPr>
          <w:i/>
          <w:szCs w:val="22"/>
        </w:rPr>
        <w:t>.</w:t>
      </w:r>
    </w:p>
    <w:p w:rsidR="00BB7EC3" w:rsidRPr="00ED4C18" w:rsidRDefault="00BB7EC3" w:rsidP="00BB7EC3">
      <w:pPr>
        <w:ind w:left="709"/>
        <w:jc w:val="both"/>
        <w:rPr>
          <w:szCs w:val="22"/>
        </w:rPr>
      </w:pPr>
    </w:p>
    <w:p w:rsidR="005A3173" w:rsidRPr="00A917D4" w:rsidRDefault="005A3173" w:rsidP="00A917D4">
      <w:pPr>
        <w:rPr>
          <w:b/>
        </w:rPr>
      </w:pPr>
      <w:r w:rsidRPr="00A917D4">
        <w:rPr>
          <w:b/>
        </w:rPr>
        <w:t>Comparative effectiveness</w:t>
      </w:r>
    </w:p>
    <w:p w:rsidR="00132DAC" w:rsidRPr="00ED4C18" w:rsidRDefault="00132DAC" w:rsidP="00784E39">
      <w:pPr>
        <w:jc w:val="both"/>
        <w:rPr>
          <w:szCs w:val="22"/>
        </w:rPr>
      </w:pPr>
    </w:p>
    <w:p w:rsidR="006B4DA3" w:rsidRPr="00ED4C18" w:rsidRDefault="00132DAC" w:rsidP="00E06107">
      <w:pPr>
        <w:pStyle w:val="ListParagraph"/>
        <w:numPr>
          <w:ilvl w:val="1"/>
          <w:numId w:val="1"/>
        </w:numPr>
        <w:jc w:val="both"/>
        <w:rPr>
          <w:szCs w:val="22"/>
        </w:rPr>
      </w:pPr>
      <w:r w:rsidRPr="00ED4C18">
        <w:rPr>
          <w:szCs w:val="22"/>
        </w:rPr>
        <w:t xml:space="preserve">The primary outcome for the clinical trials is whether a patient achieves a sustained </w:t>
      </w:r>
      <w:proofErr w:type="spellStart"/>
      <w:r w:rsidRPr="00ED4C18">
        <w:rPr>
          <w:szCs w:val="22"/>
        </w:rPr>
        <w:t>virologic</w:t>
      </w:r>
      <w:proofErr w:type="spellEnd"/>
      <w:r w:rsidRPr="00ED4C18">
        <w:rPr>
          <w:szCs w:val="22"/>
        </w:rPr>
        <w:t xml:space="preserve"> response (SVR)</w:t>
      </w:r>
      <w:r w:rsidR="007C2F33" w:rsidRPr="00ED4C18">
        <w:rPr>
          <w:szCs w:val="22"/>
        </w:rPr>
        <w:t xml:space="preserve"> at 12 weeks </w:t>
      </w:r>
      <w:r w:rsidRPr="00ED4C18">
        <w:rPr>
          <w:szCs w:val="22"/>
        </w:rPr>
        <w:t xml:space="preserve">(absence of detectable RNA of the hepatitis C virus 12 weeks after completion of antiviral therapy: SVR12). </w:t>
      </w:r>
      <w:r w:rsidR="00983C54" w:rsidRPr="00ED4C18">
        <w:rPr>
          <w:szCs w:val="22"/>
        </w:rPr>
        <w:t>The ESC provided the following summary</w:t>
      </w:r>
      <w:r w:rsidR="005D0AAF" w:rsidRPr="00ED4C18">
        <w:rPr>
          <w:szCs w:val="22"/>
        </w:rPr>
        <w:t xml:space="preserve"> table</w:t>
      </w:r>
      <w:r w:rsidR="00983C54" w:rsidRPr="00ED4C18">
        <w:rPr>
          <w:szCs w:val="22"/>
        </w:rPr>
        <w:t xml:space="preserve"> of the clinical efficacy of </w:t>
      </w:r>
      <w:proofErr w:type="spellStart"/>
      <w:r w:rsidR="00983C54" w:rsidRPr="00ED4C18">
        <w:rPr>
          <w:szCs w:val="22"/>
        </w:rPr>
        <w:t>sofosbuvir</w:t>
      </w:r>
      <w:proofErr w:type="spellEnd"/>
      <w:r w:rsidR="00983C54" w:rsidRPr="00ED4C18">
        <w:rPr>
          <w:szCs w:val="22"/>
        </w:rPr>
        <w:t xml:space="preserve"> against the comparators presented in Section B and Section C</w:t>
      </w:r>
      <w:r w:rsidR="00624473" w:rsidRPr="00ED4C18">
        <w:rPr>
          <w:szCs w:val="22"/>
        </w:rPr>
        <w:t xml:space="preserve">, and noted that: </w:t>
      </w:r>
    </w:p>
    <w:p w:rsidR="00983C54" w:rsidRPr="00ED4C18" w:rsidRDefault="00983C54" w:rsidP="003E54CD">
      <w:pPr>
        <w:pStyle w:val="TableFooter"/>
        <w:numPr>
          <w:ilvl w:val="1"/>
          <w:numId w:val="19"/>
        </w:numPr>
        <w:rPr>
          <w:rFonts w:ascii="Arial" w:hAnsi="Arial"/>
          <w:sz w:val="22"/>
          <w:szCs w:val="22"/>
        </w:rPr>
      </w:pPr>
      <w:r w:rsidRPr="00ED4C18">
        <w:rPr>
          <w:rFonts w:ascii="Arial" w:hAnsi="Arial"/>
          <w:sz w:val="22"/>
          <w:szCs w:val="22"/>
        </w:rPr>
        <w:t xml:space="preserve">For all </w:t>
      </w:r>
      <w:r w:rsidR="00FA0560" w:rsidRPr="00ED4C18">
        <w:rPr>
          <w:rFonts w:ascii="Arial" w:hAnsi="Arial"/>
          <w:sz w:val="22"/>
          <w:szCs w:val="22"/>
        </w:rPr>
        <w:t>g</w:t>
      </w:r>
      <w:r w:rsidRPr="00ED4C18">
        <w:rPr>
          <w:rFonts w:ascii="Arial" w:hAnsi="Arial"/>
          <w:sz w:val="22"/>
          <w:szCs w:val="22"/>
        </w:rPr>
        <w:t xml:space="preserve">enotypes, the SVR </w:t>
      </w:r>
      <w:r w:rsidR="00FA0560" w:rsidRPr="00ED4C18">
        <w:rPr>
          <w:rFonts w:ascii="Arial" w:hAnsi="Arial"/>
          <w:sz w:val="22"/>
          <w:szCs w:val="22"/>
        </w:rPr>
        <w:t>following</w:t>
      </w:r>
      <w:r w:rsidRPr="00ED4C18">
        <w:rPr>
          <w:rFonts w:ascii="Arial" w:hAnsi="Arial"/>
          <w:sz w:val="22"/>
          <w:szCs w:val="22"/>
        </w:rPr>
        <w:t xml:space="preserve"> SOF-containing regimens is greater than the SVR of the comparator</w:t>
      </w:r>
    </w:p>
    <w:p w:rsidR="00983C54" w:rsidRPr="00ED4C18" w:rsidRDefault="00983C54" w:rsidP="003E54CD">
      <w:pPr>
        <w:pStyle w:val="TableFooter"/>
        <w:numPr>
          <w:ilvl w:val="1"/>
          <w:numId w:val="19"/>
        </w:numPr>
        <w:rPr>
          <w:rFonts w:ascii="Arial" w:hAnsi="Arial"/>
          <w:sz w:val="22"/>
          <w:szCs w:val="22"/>
        </w:rPr>
      </w:pPr>
      <w:r w:rsidRPr="00ED4C18">
        <w:rPr>
          <w:rFonts w:ascii="Arial" w:hAnsi="Arial"/>
          <w:sz w:val="22"/>
          <w:szCs w:val="22"/>
        </w:rPr>
        <w:t xml:space="preserve">For </w:t>
      </w:r>
      <w:r w:rsidR="003176B3" w:rsidRPr="00ED4C18">
        <w:rPr>
          <w:rFonts w:ascii="Arial" w:hAnsi="Arial"/>
          <w:sz w:val="22"/>
          <w:szCs w:val="22"/>
        </w:rPr>
        <w:t xml:space="preserve">treatment naïve </w:t>
      </w:r>
      <w:r w:rsidR="00FA0560" w:rsidRPr="00ED4C18">
        <w:rPr>
          <w:rFonts w:ascii="Arial" w:hAnsi="Arial"/>
          <w:sz w:val="22"/>
          <w:szCs w:val="22"/>
        </w:rPr>
        <w:t>p</w:t>
      </w:r>
      <w:r w:rsidRPr="00ED4C18">
        <w:rPr>
          <w:rFonts w:ascii="Arial" w:hAnsi="Arial"/>
          <w:sz w:val="22"/>
          <w:szCs w:val="22"/>
        </w:rPr>
        <w:t>atients with Genotype 1</w:t>
      </w:r>
      <w:r w:rsidR="003176B3" w:rsidRPr="00ED4C18">
        <w:rPr>
          <w:rFonts w:ascii="Arial" w:hAnsi="Arial"/>
          <w:sz w:val="22"/>
          <w:szCs w:val="22"/>
        </w:rPr>
        <w:t xml:space="preserve"> </w:t>
      </w:r>
      <w:r w:rsidRPr="00ED4C18">
        <w:rPr>
          <w:rFonts w:ascii="Arial" w:hAnsi="Arial"/>
          <w:sz w:val="22"/>
          <w:szCs w:val="22"/>
        </w:rPr>
        <w:t xml:space="preserve">(approximately 50% of all </w:t>
      </w:r>
      <w:r w:rsidR="005D0AAF" w:rsidRPr="00ED4C18">
        <w:rPr>
          <w:rFonts w:ascii="Arial" w:hAnsi="Arial"/>
          <w:sz w:val="22"/>
          <w:szCs w:val="22"/>
        </w:rPr>
        <w:t xml:space="preserve">CHC </w:t>
      </w:r>
      <w:r w:rsidRPr="00ED4C18">
        <w:rPr>
          <w:rFonts w:ascii="Arial" w:hAnsi="Arial"/>
          <w:sz w:val="22"/>
          <w:szCs w:val="22"/>
        </w:rPr>
        <w:t xml:space="preserve">patients), the SVR </w:t>
      </w:r>
      <w:r w:rsidR="00FA0560" w:rsidRPr="00ED4C18">
        <w:rPr>
          <w:rFonts w:ascii="Arial" w:hAnsi="Arial"/>
          <w:sz w:val="22"/>
          <w:szCs w:val="22"/>
        </w:rPr>
        <w:t xml:space="preserve">following </w:t>
      </w:r>
      <w:r w:rsidRPr="00ED4C18">
        <w:rPr>
          <w:rFonts w:ascii="Arial" w:hAnsi="Arial"/>
          <w:sz w:val="22"/>
          <w:szCs w:val="22"/>
        </w:rPr>
        <w:t xml:space="preserve">SOF is greater than the SVR of the comparator. </w:t>
      </w:r>
      <w:r w:rsidR="00707A4D" w:rsidRPr="00ED4C18">
        <w:rPr>
          <w:rFonts w:ascii="Arial" w:hAnsi="Arial"/>
          <w:sz w:val="22"/>
          <w:szCs w:val="22"/>
        </w:rPr>
        <w:t xml:space="preserve">The SVR </w:t>
      </w:r>
      <w:r w:rsidR="003176B3" w:rsidRPr="00ED4C18">
        <w:rPr>
          <w:rFonts w:ascii="Arial" w:hAnsi="Arial"/>
          <w:sz w:val="22"/>
          <w:szCs w:val="22"/>
        </w:rPr>
        <w:t xml:space="preserve">was 89% </w:t>
      </w:r>
      <w:r w:rsidR="00707A4D" w:rsidRPr="00ED4C18">
        <w:rPr>
          <w:rFonts w:ascii="Arial" w:hAnsi="Arial"/>
          <w:sz w:val="22"/>
          <w:szCs w:val="22"/>
        </w:rPr>
        <w:t xml:space="preserve">following treatment with SOF12 + PR12 and </w:t>
      </w:r>
      <w:r w:rsidR="005D0AAF" w:rsidRPr="00ED4C18">
        <w:rPr>
          <w:rFonts w:ascii="Arial" w:hAnsi="Arial"/>
          <w:sz w:val="22"/>
          <w:szCs w:val="22"/>
        </w:rPr>
        <w:t xml:space="preserve">65% following treatment with </w:t>
      </w:r>
      <w:r w:rsidR="003176B3" w:rsidRPr="00ED4C18">
        <w:rPr>
          <w:rFonts w:ascii="Arial" w:hAnsi="Arial"/>
          <w:sz w:val="22"/>
          <w:szCs w:val="22"/>
        </w:rPr>
        <w:t xml:space="preserve">the IFN-free regimen of </w:t>
      </w:r>
      <w:r w:rsidR="005D0AAF" w:rsidRPr="00ED4C18">
        <w:rPr>
          <w:rFonts w:ascii="Arial" w:hAnsi="Arial"/>
          <w:sz w:val="22"/>
          <w:szCs w:val="22"/>
        </w:rPr>
        <w:t xml:space="preserve">SOF24 + R24. </w:t>
      </w:r>
      <w:r w:rsidRPr="00ED4C18">
        <w:rPr>
          <w:rFonts w:ascii="Arial" w:hAnsi="Arial"/>
          <w:sz w:val="22"/>
          <w:szCs w:val="22"/>
        </w:rPr>
        <w:t xml:space="preserve">If patients </w:t>
      </w:r>
      <w:r w:rsidR="00FA0560" w:rsidRPr="00ED4C18">
        <w:rPr>
          <w:rFonts w:ascii="Arial" w:hAnsi="Arial"/>
          <w:sz w:val="22"/>
          <w:szCs w:val="22"/>
        </w:rPr>
        <w:t xml:space="preserve">who were </w:t>
      </w:r>
      <w:r w:rsidRPr="00ED4C18">
        <w:rPr>
          <w:rFonts w:ascii="Arial" w:hAnsi="Arial"/>
          <w:sz w:val="22"/>
          <w:szCs w:val="22"/>
        </w:rPr>
        <w:t>unwilling but suitable for IFN were to be treate</w:t>
      </w:r>
      <w:r w:rsidR="008458CE" w:rsidRPr="00ED4C18">
        <w:rPr>
          <w:rFonts w:ascii="Arial" w:hAnsi="Arial"/>
          <w:sz w:val="22"/>
          <w:szCs w:val="22"/>
        </w:rPr>
        <w:t>d w</w:t>
      </w:r>
      <w:r w:rsidRPr="00ED4C18">
        <w:rPr>
          <w:rFonts w:ascii="Arial" w:hAnsi="Arial"/>
          <w:sz w:val="22"/>
          <w:szCs w:val="22"/>
        </w:rPr>
        <w:t>ith</w:t>
      </w:r>
      <w:r w:rsidR="008458CE" w:rsidRPr="00ED4C18">
        <w:rPr>
          <w:rFonts w:ascii="Arial" w:hAnsi="Arial"/>
          <w:sz w:val="22"/>
          <w:szCs w:val="22"/>
        </w:rPr>
        <w:t xml:space="preserve"> the</w:t>
      </w:r>
      <w:r w:rsidRPr="00ED4C18">
        <w:rPr>
          <w:rFonts w:ascii="Arial" w:hAnsi="Arial"/>
          <w:sz w:val="22"/>
          <w:szCs w:val="22"/>
        </w:rPr>
        <w:t xml:space="preserve"> IFN-free regimen, they </w:t>
      </w:r>
      <w:r w:rsidR="003176B3" w:rsidRPr="00ED4C18">
        <w:rPr>
          <w:rFonts w:ascii="Arial" w:hAnsi="Arial"/>
          <w:sz w:val="22"/>
          <w:szCs w:val="22"/>
        </w:rPr>
        <w:t>would be predicted to achieve a 65% SVR (</w:t>
      </w:r>
      <w:r w:rsidRPr="00ED4C18">
        <w:rPr>
          <w:rFonts w:ascii="Arial" w:hAnsi="Arial"/>
          <w:sz w:val="22"/>
          <w:szCs w:val="22"/>
        </w:rPr>
        <w:t xml:space="preserve">which is similar to current treatments available on the PBS, 55-75%) </w:t>
      </w:r>
      <w:r w:rsidR="003176B3" w:rsidRPr="00ED4C18">
        <w:rPr>
          <w:rFonts w:ascii="Arial" w:hAnsi="Arial"/>
          <w:sz w:val="22"/>
          <w:szCs w:val="22"/>
        </w:rPr>
        <w:t xml:space="preserve">instead of an 89% SVR with the IFN-containing 12 week regimen and </w:t>
      </w:r>
      <w:r w:rsidR="008458CE" w:rsidRPr="00ED4C18">
        <w:rPr>
          <w:rFonts w:ascii="Arial" w:hAnsi="Arial"/>
          <w:sz w:val="22"/>
          <w:szCs w:val="22"/>
        </w:rPr>
        <w:t>at</w:t>
      </w:r>
      <w:r w:rsidRPr="00ED4C18">
        <w:rPr>
          <w:rFonts w:ascii="Arial" w:hAnsi="Arial"/>
          <w:sz w:val="22"/>
          <w:szCs w:val="22"/>
        </w:rPr>
        <w:t xml:space="preserve"> </w:t>
      </w:r>
      <w:r w:rsidR="008458CE" w:rsidRPr="00ED4C18">
        <w:rPr>
          <w:rFonts w:ascii="Arial" w:hAnsi="Arial"/>
          <w:sz w:val="22"/>
          <w:szCs w:val="22"/>
        </w:rPr>
        <w:t xml:space="preserve">a </w:t>
      </w:r>
      <w:r w:rsidRPr="00ED4C18">
        <w:rPr>
          <w:rFonts w:ascii="Arial" w:hAnsi="Arial"/>
          <w:sz w:val="22"/>
          <w:szCs w:val="22"/>
        </w:rPr>
        <w:t>cost</w:t>
      </w:r>
      <w:r w:rsidR="008458CE" w:rsidRPr="00ED4C18">
        <w:rPr>
          <w:rFonts w:ascii="Arial" w:hAnsi="Arial"/>
          <w:sz w:val="22"/>
          <w:szCs w:val="22"/>
        </w:rPr>
        <w:t xml:space="preserve"> of an additional 12 weeks of SOF</w:t>
      </w:r>
      <w:r w:rsidRPr="00ED4C18">
        <w:rPr>
          <w:rFonts w:ascii="Arial" w:hAnsi="Arial"/>
          <w:sz w:val="22"/>
          <w:szCs w:val="22"/>
        </w:rPr>
        <w:t xml:space="preserve">.  </w:t>
      </w:r>
    </w:p>
    <w:p w:rsidR="00983C54" w:rsidRPr="00ED4C18" w:rsidRDefault="00983C54" w:rsidP="003E54CD">
      <w:pPr>
        <w:pStyle w:val="TableFooter"/>
        <w:numPr>
          <w:ilvl w:val="1"/>
          <w:numId w:val="19"/>
        </w:numPr>
        <w:rPr>
          <w:rFonts w:ascii="Arial" w:hAnsi="Arial"/>
          <w:sz w:val="22"/>
          <w:szCs w:val="22"/>
        </w:rPr>
      </w:pPr>
      <w:r w:rsidRPr="00ED4C18">
        <w:rPr>
          <w:rFonts w:ascii="Arial" w:hAnsi="Arial"/>
          <w:sz w:val="22"/>
          <w:szCs w:val="22"/>
        </w:rPr>
        <w:t xml:space="preserve">For </w:t>
      </w:r>
      <w:r w:rsidR="00110EA9" w:rsidRPr="00ED4C18">
        <w:rPr>
          <w:rFonts w:ascii="Arial" w:hAnsi="Arial"/>
          <w:sz w:val="22"/>
          <w:szCs w:val="22"/>
        </w:rPr>
        <w:t xml:space="preserve">treatment naïve/experienced </w:t>
      </w:r>
      <w:r w:rsidR="00177A5C" w:rsidRPr="00ED4C18">
        <w:rPr>
          <w:rFonts w:ascii="Arial" w:hAnsi="Arial"/>
          <w:sz w:val="22"/>
          <w:szCs w:val="22"/>
        </w:rPr>
        <w:t>p</w:t>
      </w:r>
      <w:r w:rsidRPr="00ED4C18">
        <w:rPr>
          <w:rFonts w:ascii="Arial" w:hAnsi="Arial"/>
          <w:sz w:val="22"/>
          <w:szCs w:val="22"/>
        </w:rPr>
        <w:t>atients with Genotype 3 (approximately 42% of patients with HCV), the SVR with SOF-containing regimens is greater than the SVR of the comparator.  If patients unwilling but suitable for IFN were to be treated with the IFN-free regimen, SOF24</w:t>
      </w:r>
      <w:r w:rsidR="00624A3F" w:rsidRPr="00ED4C18">
        <w:rPr>
          <w:rFonts w:ascii="Arial" w:hAnsi="Arial"/>
          <w:sz w:val="22"/>
          <w:szCs w:val="22"/>
        </w:rPr>
        <w:t xml:space="preserve"> </w:t>
      </w:r>
      <w:r w:rsidRPr="00ED4C18">
        <w:rPr>
          <w:rFonts w:ascii="Arial" w:hAnsi="Arial"/>
          <w:sz w:val="22"/>
          <w:szCs w:val="22"/>
        </w:rPr>
        <w:t>+</w:t>
      </w:r>
      <w:r w:rsidR="00624A3F" w:rsidRPr="00ED4C18">
        <w:rPr>
          <w:rFonts w:ascii="Arial" w:hAnsi="Arial"/>
          <w:sz w:val="22"/>
          <w:szCs w:val="22"/>
        </w:rPr>
        <w:t xml:space="preserve"> </w:t>
      </w:r>
      <w:r w:rsidRPr="00ED4C18">
        <w:rPr>
          <w:rFonts w:ascii="Arial" w:hAnsi="Arial"/>
          <w:sz w:val="22"/>
          <w:szCs w:val="22"/>
        </w:rPr>
        <w:t>R24, rather than with the IFN-containing regimen, SOF12 + PR12, they could achieve no greater absolute treatment effect but there would be an additional cost</w:t>
      </w:r>
      <w:r w:rsidR="00240305" w:rsidRPr="00ED4C18">
        <w:rPr>
          <w:rFonts w:ascii="Arial" w:hAnsi="Arial"/>
          <w:sz w:val="22"/>
          <w:szCs w:val="22"/>
        </w:rPr>
        <w:t xml:space="preserve"> for the longer treatment regimen</w:t>
      </w:r>
      <w:r w:rsidRPr="00ED4C18">
        <w:rPr>
          <w:rFonts w:ascii="Arial" w:hAnsi="Arial"/>
          <w:sz w:val="22"/>
          <w:szCs w:val="22"/>
        </w:rPr>
        <w:t>.  The SVR rates of patients treated with SOF12 + PR12 are derived from small numbers of patients (24-51).</w:t>
      </w:r>
    </w:p>
    <w:p w:rsidR="00624473" w:rsidRPr="00ED4C18" w:rsidRDefault="00624473" w:rsidP="00624473">
      <w:pPr>
        <w:pStyle w:val="ListParagraph"/>
        <w:ind w:left="709"/>
        <w:jc w:val="both"/>
        <w:rPr>
          <w:rFonts w:cs="Arial"/>
          <w:sz w:val="20"/>
          <w:szCs w:val="22"/>
        </w:rPr>
        <w:sectPr w:rsidR="00624473" w:rsidRPr="00ED4C18" w:rsidSect="00E06107">
          <w:headerReference w:type="default" r:id="rId9"/>
          <w:footerReference w:type="default" r:id="rId10"/>
          <w:pgSz w:w="11906" w:h="16838"/>
          <w:pgMar w:top="1440" w:right="1440" w:bottom="1440" w:left="1440" w:header="851" w:footer="733" w:gutter="0"/>
          <w:cols w:space="708"/>
          <w:docGrid w:linePitch="360"/>
        </w:sectPr>
      </w:pPr>
    </w:p>
    <w:p w:rsidR="00624473" w:rsidRPr="00ED4C18" w:rsidRDefault="00624473" w:rsidP="00624473">
      <w:pPr>
        <w:pStyle w:val="TableFooter"/>
        <w:rPr>
          <w:b/>
          <w:sz w:val="20"/>
        </w:rPr>
      </w:pPr>
      <w:r w:rsidRPr="00ED4C18">
        <w:rPr>
          <w:b/>
          <w:sz w:val="20"/>
        </w:rPr>
        <w:lastRenderedPageBreak/>
        <w:t>Summary of the clinical evidence provided in Section B and Section C, ICERs and population weights used in Section D</w:t>
      </w:r>
      <w:r w:rsidR="005C1E01" w:rsidRPr="00ED4C18">
        <w:rPr>
          <w:b/>
          <w:sz w:val="20"/>
        </w:rPr>
        <w:t xml:space="preserve"> of the submission</w:t>
      </w:r>
      <w:r w:rsidR="00621A46" w:rsidRPr="00ED4C18">
        <w:rPr>
          <w:b/>
          <w:sz w:val="20"/>
        </w:rPr>
        <w:t>, summarised</w:t>
      </w:r>
      <w:r w:rsidRPr="00ED4C18">
        <w:rPr>
          <w:b/>
          <w:sz w:val="20"/>
        </w:rPr>
        <w:t xml:space="preserve"> by ESC. </w:t>
      </w:r>
    </w:p>
    <w:p w:rsidR="00624473" w:rsidRPr="00ED4C18" w:rsidRDefault="00624473" w:rsidP="00624473"/>
    <w:tbl>
      <w:tblPr>
        <w:tblStyle w:val="TableGrid"/>
        <w:tblW w:w="14000" w:type="dxa"/>
        <w:tblLayout w:type="fixed"/>
        <w:tblLook w:val="04A0" w:firstRow="1" w:lastRow="0" w:firstColumn="1" w:lastColumn="0" w:noHBand="0" w:noVBand="1"/>
        <w:tblDescription w:val="Summary of the clinical evidence provided in Section B and Section C, ICERs and population weights used in Section D of the submission, summarised by ESC"/>
      </w:tblPr>
      <w:tblGrid>
        <w:gridCol w:w="1007"/>
        <w:gridCol w:w="1230"/>
        <w:gridCol w:w="1699"/>
        <w:gridCol w:w="1842"/>
        <w:gridCol w:w="1985"/>
        <w:gridCol w:w="1276"/>
        <w:gridCol w:w="1275"/>
        <w:gridCol w:w="1276"/>
        <w:gridCol w:w="1134"/>
        <w:gridCol w:w="1276"/>
      </w:tblGrid>
      <w:tr w:rsidR="00ED4C18" w:rsidRPr="00E06107" w:rsidTr="00624473">
        <w:trPr>
          <w:cantSplit/>
          <w:trHeight w:val="873"/>
          <w:tblHeader/>
        </w:trPr>
        <w:tc>
          <w:tcPr>
            <w:tcW w:w="1007" w:type="dxa"/>
          </w:tcPr>
          <w:p w:rsidR="00624473" w:rsidRPr="00E06107" w:rsidRDefault="00624473" w:rsidP="00624473">
            <w:pPr>
              <w:jc w:val="center"/>
              <w:rPr>
                <w:rFonts w:ascii="Arial Narrow" w:hAnsi="Arial Narrow"/>
                <w:b/>
                <w:sz w:val="20"/>
              </w:rPr>
            </w:pPr>
            <w:r w:rsidRPr="00E06107">
              <w:rPr>
                <w:rFonts w:ascii="Arial Narrow" w:hAnsi="Arial Narrow"/>
                <w:b/>
                <w:sz w:val="20"/>
              </w:rPr>
              <w:t>Genotype</w:t>
            </w:r>
          </w:p>
        </w:tc>
        <w:tc>
          <w:tcPr>
            <w:tcW w:w="1230" w:type="dxa"/>
          </w:tcPr>
          <w:p w:rsidR="00624473" w:rsidRPr="00E06107" w:rsidRDefault="00624473" w:rsidP="00624473">
            <w:pPr>
              <w:jc w:val="center"/>
              <w:rPr>
                <w:rFonts w:ascii="Arial Narrow" w:hAnsi="Arial Narrow"/>
                <w:b/>
                <w:sz w:val="20"/>
              </w:rPr>
            </w:pPr>
            <w:r w:rsidRPr="00E06107">
              <w:rPr>
                <w:rFonts w:ascii="Arial Narrow" w:hAnsi="Arial Narrow"/>
                <w:b/>
                <w:sz w:val="20"/>
              </w:rPr>
              <w:t>Treatment subgroup</w:t>
            </w:r>
          </w:p>
        </w:tc>
        <w:tc>
          <w:tcPr>
            <w:tcW w:w="1699" w:type="dxa"/>
          </w:tcPr>
          <w:p w:rsidR="00624473" w:rsidRPr="00E06107" w:rsidRDefault="00624473" w:rsidP="00624473">
            <w:pPr>
              <w:jc w:val="center"/>
              <w:rPr>
                <w:rFonts w:ascii="Arial Narrow" w:hAnsi="Arial Narrow"/>
                <w:b/>
                <w:sz w:val="20"/>
              </w:rPr>
            </w:pPr>
            <w:r w:rsidRPr="00E06107">
              <w:rPr>
                <w:rFonts w:ascii="Arial Narrow" w:hAnsi="Arial Narrow"/>
                <w:b/>
                <w:sz w:val="20"/>
              </w:rPr>
              <w:t>Proposed</w:t>
            </w:r>
          </w:p>
        </w:tc>
        <w:tc>
          <w:tcPr>
            <w:tcW w:w="1842" w:type="dxa"/>
          </w:tcPr>
          <w:p w:rsidR="00624473" w:rsidRPr="00E06107" w:rsidRDefault="00624473" w:rsidP="00624473">
            <w:pPr>
              <w:jc w:val="center"/>
              <w:rPr>
                <w:rFonts w:ascii="Arial Narrow" w:hAnsi="Arial Narrow"/>
                <w:b/>
                <w:sz w:val="20"/>
              </w:rPr>
            </w:pPr>
            <w:r w:rsidRPr="00E06107">
              <w:rPr>
                <w:rFonts w:ascii="Arial Narrow" w:hAnsi="Arial Narrow"/>
                <w:b/>
                <w:sz w:val="20"/>
              </w:rPr>
              <w:t>Comparator</w:t>
            </w:r>
          </w:p>
        </w:tc>
        <w:tc>
          <w:tcPr>
            <w:tcW w:w="1985" w:type="dxa"/>
          </w:tcPr>
          <w:p w:rsidR="00624473" w:rsidRPr="00E06107" w:rsidRDefault="00624473" w:rsidP="00624473">
            <w:pPr>
              <w:jc w:val="center"/>
              <w:rPr>
                <w:rFonts w:ascii="Arial Narrow" w:hAnsi="Arial Narrow"/>
                <w:b/>
                <w:sz w:val="20"/>
              </w:rPr>
            </w:pPr>
            <w:r w:rsidRPr="00E06107">
              <w:rPr>
                <w:rFonts w:ascii="Arial Narrow" w:hAnsi="Arial Narrow"/>
                <w:b/>
                <w:sz w:val="20"/>
              </w:rPr>
              <w:t>Trial</w:t>
            </w:r>
          </w:p>
        </w:tc>
        <w:tc>
          <w:tcPr>
            <w:tcW w:w="1276" w:type="dxa"/>
          </w:tcPr>
          <w:p w:rsidR="00624473" w:rsidRPr="00E06107" w:rsidRDefault="00624473" w:rsidP="00624473">
            <w:pPr>
              <w:jc w:val="center"/>
              <w:rPr>
                <w:rFonts w:ascii="Arial Narrow" w:hAnsi="Arial Narrow"/>
                <w:b/>
                <w:sz w:val="20"/>
              </w:rPr>
            </w:pPr>
            <w:r w:rsidRPr="00E06107">
              <w:rPr>
                <w:rFonts w:ascii="Arial Narrow" w:hAnsi="Arial Narrow"/>
                <w:b/>
                <w:sz w:val="20"/>
              </w:rPr>
              <w:t>SOF SVR</w:t>
            </w:r>
          </w:p>
        </w:tc>
        <w:tc>
          <w:tcPr>
            <w:tcW w:w="1275" w:type="dxa"/>
          </w:tcPr>
          <w:p w:rsidR="00624473" w:rsidRPr="00E06107" w:rsidRDefault="00624473" w:rsidP="00624473">
            <w:pPr>
              <w:jc w:val="center"/>
              <w:rPr>
                <w:rFonts w:ascii="Arial Narrow" w:hAnsi="Arial Narrow"/>
                <w:b/>
                <w:sz w:val="20"/>
              </w:rPr>
            </w:pPr>
            <w:r w:rsidRPr="00E06107">
              <w:rPr>
                <w:rFonts w:ascii="Arial Narrow" w:hAnsi="Arial Narrow"/>
                <w:b/>
                <w:sz w:val="20"/>
              </w:rPr>
              <w:t>Comparator</w:t>
            </w:r>
          </w:p>
          <w:p w:rsidR="00624473" w:rsidRPr="00E06107" w:rsidRDefault="00624473" w:rsidP="00624473">
            <w:pPr>
              <w:jc w:val="center"/>
              <w:rPr>
                <w:rFonts w:ascii="Arial Narrow" w:hAnsi="Arial Narrow"/>
                <w:b/>
                <w:sz w:val="20"/>
              </w:rPr>
            </w:pPr>
            <w:r w:rsidRPr="00E06107">
              <w:rPr>
                <w:rFonts w:ascii="Arial Narrow" w:hAnsi="Arial Narrow"/>
                <w:b/>
                <w:sz w:val="20"/>
              </w:rPr>
              <w:t>SVR</w:t>
            </w:r>
          </w:p>
        </w:tc>
        <w:tc>
          <w:tcPr>
            <w:tcW w:w="1276" w:type="dxa"/>
          </w:tcPr>
          <w:p w:rsidR="00624473" w:rsidRPr="00E06107" w:rsidRDefault="00624473" w:rsidP="00624473">
            <w:pPr>
              <w:jc w:val="center"/>
              <w:rPr>
                <w:rFonts w:ascii="Arial Narrow" w:hAnsi="Arial Narrow"/>
                <w:b/>
                <w:sz w:val="20"/>
              </w:rPr>
            </w:pPr>
            <w:r w:rsidRPr="00E06107">
              <w:rPr>
                <w:rFonts w:ascii="Arial Narrow" w:hAnsi="Arial Narrow"/>
                <w:b/>
                <w:sz w:val="20"/>
              </w:rPr>
              <w:t>Extra SVRs /100</w:t>
            </w:r>
          </w:p>
        </w:tc>
        <w:tc>
          <w:tcPr>
            <w:tcW w:w="1134" w:type="dxa"/>
          </w:tcPr>
          <w:p w:rsidR="00624473" w:rsidRPr="00E06107" w:rsidRDefault="00624473" w:rsidP="00624473">
            <w:pPr>
              <w:jc w:val="center"/>
              <w:rPr>
                <w:rFonts w:ascii="Arial Narrow" w:hAnsi="Arial Narrow"/>
                <w:b/>
                <w:sz w:val="20"/>
              </w:rPr>
            </w:pPr>
            <w:r w:rsidRPr="00E06107">
              <w:rPr>
                <w:rFonts w:ascii="Arial Narrow" w:hAnsi="Arial Narrow"/>
                <w:b/>
                <w:sz w:val="20"/>
              </w:rPr>
              <w:t>ICER for population (submission section D)</w:t>
            </w:r>
          </w:p>
        </w:tc>
        <w:tc>
          <w:tcPr>
            <w:tcW w:w="1276" w:type="dxa"/>
          </w:tcPr>
          <w:p w:rsidR="00624473" w:rsidRPr="00E06107" w:rsidRDefault="00624473" w:rsidP="002E499A">
            <w:pPr>
              <w:jc w:val="center"/>
              <w:rPr>
                <w:rFonts w:ascii="Arial Narrow" w:hAnsi="Arial Narrow"/>
                <w:b/>
                <w:sz w:val="20"/>
              </w:rPr>
            </w:pPr>
            <w:r w:rsidRPr="00E06107">
              <w:rPr>
                <w:rFonts w:ascii="Arial Narrow" w:hAnsi="Arial Narrow"/>
                <w:b/>
                <w:sz w:val="20"/>
              </w:rPr>
              <w:t>Po</w:t>
            </w:r>
            <w:r w:rsidR="002E499A" w:rsidRPr="00E06107">
              <w:rPr>
                <w:rFonts w:ascii="Arial Narrow" w:hAnsi="Arial Narrow"/>
                <w:b/>
                <w:sz w:val="20"/>
              </w:rPr>
              <w:t>pulation Weights (section D of submission</w:t>
            </w:r>
            <w:r w:rsidRPr="00E06107">
              <w:rPr>
                <w:rFonts w:ascii="Arial Narrow" w:hAnsi="Arial Narrow"/>
                <w:b/>
                <w:sz w:val="20"/>
              </w:rPr>
              <w:t>)</w:t>
            </w:r>
          </w:p>
        </w:tc>
      </w:tr>
      <w:tr w:rsidR="00ED4C18" w:rsidRPr="00ED4C18" w:rsidTr="00624473">
        <w:trPr>
          <w:trHeight w:val="737"/>
        </w:trPr>
        <w:tc>
          <w:tcPr>
            <w:tcW w:w="1007" w:type="dxa"/>
          </w:tcPr>
          <w:p w:rsidR="00624473" w:rsidRPr="00ED4C18" w:rsidRDefault="00624473" w:rsidP="00624473">
            <w:pPr>
              <w:jc w:val="center"/>
              <w:rPr>
                <w:rFonts w:ascii="Arial Narrow" w:hAnsi="Arial Narrow"/>
                <w:sz w:val="20"/>
              </w:rPr>
            </w:pPr>
            <w:r w:rsidRPr="00ED4C18">
              <w:rPr>
                <w:rFonts w:ascii="Arial Narrow" w:hAnsi="Arial Narrow"/>
                <w:sz w:val="20"/>
              </w:rPr>
              <w:t>GT1</w:t>
            </w:r>
          </w:p>
        </w:tc>
        <w:tc>
          <w:tcPr>
            <w:tcW w:w="1230" w:type="dxa"/>
          </w:tcPr>
          <w:p w:rsidR="00624473" w:rsidRPr="00ED4C18" w:rsidRDefault="00624473" w:rsidP="00624473">
            <w:pPr>
              <w:jc w:val="center"/>
              <w:rPr>
                <w:rFonts w:ascii="Arial Narrow" w:hAnsi="Arial Narrow"/>
                <w:sz w:val="20"/>
              </w:rPr>
            </w:pPr>
            <w:r w:rsidRPr="00ED4C18">
              <w:rPr>
                <w:rFonts w:ascii="Arial Narrow" w:hAnsi="Arial Narrow"/>
                <w:sz w:val="20"/>
              </w:rPr>
              <w:t>Naïve (N)</w:t>
            </w:r>
          </w:p>
        </w:tc>
        <w:tc>
          <w:tcPr>
            <w:tcW w:w="1699" w:type="dxa"/>
          </w:tcPr>
          <w:p w:rsidR="00624473" w:rsidRPr="00ED4C18" w:rsidRDefault="00624473" w:rsidP="00624473">
            <w:pPr>
              <w:jc w:val="center"/>
              <w:rPr>
                <w:rFonts w:ascii="Arial Narrow" w:hAnsi="Arial Narrow"/>
                <w:sz w:val="20"/>
              </w:rPr>
            </w:pPr>
            <w:r w:rsidRPr="00ED4C18">
              <w:rPr>
                <w:rFonts w:ascii="Arial Narrow" w:hAnsi="Arial Narrow"/>
                <w:sz w:val="20"/>
              </w:rPr>
              <w:t>SOF12 + PR12</w:t>
            </w:r>
          </w:p>
        </w:tc>
        <w:tc>
          <w:tcPr>
            <w:tcW w:w="1842" w:type="dxa"/>
          </w:tcPr>
          <w:p w:rsidR="00624473" w:rsidRPr="00ED4C18" w:rsidRDefault="00624473" w:rsidP="00624473">
            <w:pPr>
              <w:jc w:val="center"/>
              <w:rPr>
                <w:rFonts w:ascii="Arial Narrow" w:hAnsi="Arial Narrow"/>
                <w:sz w:val="20"/>
              </w:rPr>
            </w:pPr>
            <w:r w:rsidRPr="00ED4C18">
              <w:rPr>
                <w:rFonts w:ascii="Arial Narrow" w:hAnsi="Arial Narrow"/>
                <w:sz w:val="20"/>
              </w:rPr>
              <w:t>TVR/BOC + PR24/48</w:t>
            </w:r>
          </w:p>
        </w:tc>
        <w:tc>
          <w:tcPr>
            <w:tcW w:w="1985" w:type="dxa"/>
          </w:tcPr>
          <w:p w:rsidR="00624473" w:rsidRPr="00ED4C18" w:rsidRDefault="00624473" w:rsidP="00624473">
            <w:pPr>
              <w:jc w:val="center"/>
              <w:rPr>
                <w:rFonts w:ascii="Arial Narrow" w:hAnsi="Arial Narrow"/>
                <w:sz w:val="20"/>
              </w:rPr>
            </w:pPr>
            <w:r w:rsidRPr="00ED4C18">
              <w:rPr>
                <w:rFonts w:ascii="Arial Narrow" w:hAnsi="Arial Narrow"/>
                <w:sz w:val="20"/>
              </w:rPr>
              <w:t>NEUTRINO</w:t>
            </w:r>
          </w:p>
          <w:p w:rsidR="00624473" w:rsidRPr="00ED4C18" w:rsidRDefault="00624473" w:rsidP="00624473">
            <w:pPr>
              <w:jc w:val="center"/>
              <w:rPr>
                <w:rFonts w:ascii="Arial Narrow" w:hAnsi="Arial Narrow"/>
                <w:sz w:val="20"/>
              </w:rPr>
            </w:pPr>
            <w:r w:rsidRPr="00ED4C18">
              <w:rPr>
                <w:rFonts w:ascii="Arial Narrow" w:hAnsi="Arial Narrow"/>
                <w:sz w:val="20"/>
              </w:rPr>
              <w:t>Vs</w:t>
            </w:r>
          </w:p>
          <w:p w:rsidR="00624473" w:rsidRPr="00ED4C18" w:rsidRDefault="00624473" w:rsidP="00624473">
            <w:pPr>
              <w:jc w:val="center"/>
              <w:rPr>
                <w:rFonts w:ascii="Arial Narrow" w:hAnsi="Arial Narrow"/>
                <w:sz w:val="20"/>
              </w:rPr>
            </w:pPr>
            <w:r w:rsidRPr="00ED4C18">
              <w:rPr>
                <w:rFonts w:ascii="Arial Narrow" w:hAnsi="Arial Narrow"/>
                <w:sz w:val="20"/>
              </w:rPr>
              <w:t>mixed</w:t>
            </w:r>
          </w:p>
        </w:tc>
        <w:tc>
          <w:tcPr>
            <w:tcW w:w="1276" w:type="dxa"/>
          </w:tcPr>
          <w:p w:rsidR="00624473" w:rsidRPr="00ED4C18" w:rsidRDefault="00624473" w:rsidP="00624473">
            <w:pPr>
              <w:jc w:val="center"/>
              <w:rPr>
                <w:rFonts w:ascii="Arial Narrow" w:hAnsi="Arial Narrow"/>
                <w:sz w:val="20"/>
              </w:rPr>
            </w:pPr>
            <w:r w:rsidRPr="00ED4C18">
              <w:rPr>
                <w:rFonts w:ascii="Arial Narrow" w:hAnsi="Arial Narrow"/>
                <w:sz w:val="20"/>
              </w:rPr>
              <w:t>89%</w:t>
            </w:r>
          </w:p>
        </w:tc>
        <w:tc>
          <w:tcPr>
            <w:tcW w:w="1275" w:type="dxa"/>
          </w:tcPr>
          <w:p w:rsidR="00624473" w:rsidRPr="00ED4C18" w:rsidRDefault="00624473" w:rsidP="00624473">
            <w:pPr>
              <w:jc w:val="center"/>
              <w:rPr>
                <w:rFonts w:ascii="Arial Narrow" w:hAnsi="Arial Narrow"/>
                <w:sz w:val="20"/>
              </w:rPr>
            </w:pPr>
            <w:r w:rsidRPr="00ED4C18">
              <w:rPr>
                <w:rFonts w:ascii="Arial Narrow" w:hAnsi="Arial Narrow"/>
                <w:sz w:val="20"/>
              </w:rPr>
              <w:t>55-75%</w:t>
            </w:r>
          </w:p>
        </w:tc>
        <w:tc>
          <w:tcPr>
            <w:tcW w:w="1276" w:type="dxa"/>
          </w:tcPr>
          <w:p w:rsidR="00624473" w:rsidRPr="00ED4C18" w:rsidRDefault="00624473" w:rsidP="00624473">
            <w:pPr>
              <w:jc w:val="center"/>
              <w:rPr>
                <w:rFonts w:ascii="Arial Narrow" w:hAnsi="Arial Narrow"/>
                <w:sz w:val="20"/>
              </w:rPr>
            </w:pPr>
            <w:r w:rsidRPr="00ED4C18">
              <w:rPr>
                <w:rFonts w:ascii="Arial Narrow" w:hAnsi="Arial Narrow"/>
                <w:sz w:val="20"/>
              </w:rPr>
              <w:t>15 or 26</w:t>
            </w:r>
          </w:p>
        </w:tc>
        <w:tc>
          <w:tcPr>
            <w:tcW w:w="1134" w:type="dxa"/>
          </w:tcPr>
          <w:p w:rsidR="00FA2C18" w:rsidRPr="00ED4C18" w:rsidRDefault="00624473" w:rsidP="00FA2C18">
            <w:pPr>
              <w:jc w:val="center"/>
              <w:rPr>
                <w:rFonts w:ascii="Arial Narrow" w:hAnsi="Arial Narrow"/>
                <w:sz w:val="20"/>
              </w:rPr>
            </w:pPr>
            <w:r w:rsidRPr="00ED4C18">
              <w:rPr>
                <w:rFonts w:ascii="Arial Narrow" w:hAnsi="Arial Narrow"/>
                <w:sz w:val="20"/>
              </w:rPr>
              <w:t xml:space="preserve">BOC: </w:t>
            </w:r>
            <w:r w:rsidR="00FA2C18">
              <w:rPr>
                <w:rFonts w:ascii="Arial Narrow" w:hAnsi="Arial Narrow"/>
                <w:sz w:val="20"/>
              </w:rPr>
              <w:t>$45,000/QALY-$75,000QALY</w:t>
            </w:r>
          </w:p>
          <w:p w:rsidR="00FA2C18" w:rsidRPr="00ED4C18" w:rsidRDefault="00FA2C18" w:rsidP="00FA2C18">
            <w:pPr>
              <w:jc w:val="center"/>
              <w:rPr>
                <w:rFonts w:ascii="Arial Narrow" w:hAnsi="Arial Narrow"/>
                <w:sz w:val="20"/>
              </w:rPr>
            </w:pPr>
          </w:p>
          <w:p w:rsidR="00624473" w:rsidRPr="00ED4C18" w:rsidRDefault="00FA2C18" w:rsidP="00010779">
            <w:pPr>
              <w:jc w:val="center"/>
              <w:rPr>
                <w:rFonts w:ascii="Arial Narrow" w:hAnsi="Arial Narrow"/>
                <w:sz w:val="20"/>
              </w:rPr>
            </w:pPr>
            <w:r w:rsidRPr="00ED4C18">
              <w:rPr>
                <w:rFonts w:ascii="Arial Narrow" w:hAnsi="Arial Narrow"/>
                <w:sz w:val="20"/>
              </w:rPr>
              <w:t xml:space="preserve">TEL: </w:t>
            </w:r>
            <w:r>
              <w:rPr>
                <w:rFonts w:ascii="Arial Narrow" w:hAnsi="Arial Narrow"/>
                <w:sz w:val="20"/>
              </w:rPr>
              <w:t>$45,000/QALY-$75,000QALY</w:t>
            </w:r>
          </w:p>
        </w:tc>
        <w:tc>
          <w:tcPr>
            <w:tcW w:w="1276" w:type="dxa"/>
          </w:tcPr>
          <w:p w:rsidR="00624473" w:rsidRPr="00ED4C18" w:rsidRDefault="00624473" w:rsidP="00624473">
            <w:pPr>
              <w:jc w:val="center"/>
              <w:rPr>
                <w:rFonts w:ascii="Arial Narrow" w:hAnsi="Arial Narrow"/>
                <w:sz w:val="20"/>
              </w:rPr>
            </w:pPr>
            <w:r w:rsidRPr="00ED4C18">
              <w:rPr>
                <w:rFonts w:ascii="Arial Narrow" w:hAnsi="Arial Narrow"/>
                <w:sz w:val="20"/>
              </w:rPr>
              <w:t xml:space="preserve">BOC: </w:t>
            </w:r>
            <w:r w:rsidR="00C26896">
              <w:rPr>
                <w:rFonts w:ascii="Arial Narrow" w:hAnsi="Arial Narrow"/>
                <w:noProof/>
                <w:color w:val="000000"/>
                <w:sz w:val="20"/>
                <w:highlight w:val="black"/>
              </w:rPr>
              <w:t>''''''''''''''</w:t>
            </w:r>
            <w:r w:rsidRPr="0056382A">
              <w:rPr>
                <w:rFonts w:ascii="Arial Narrow" w:hAnsi="Arial Narrow"/>
                <w:sz w:val="20"/>
              </w:rPr>
              <w:t>%</w:t>
            </w:r>
          </w:p>
          <w:p w:rsidR="00624473" w:rsidRPr="00ED4C18" w:rsidRDefault="00624473" w:rsidP="00624473">
            <w:pPr>
              <w:jc w:val="center"/>
              <w:rPr>
                <w:rFonts w:ascii="Arial Narrow" w:hAnsi="Arial Narrow"/>
                <w:sz w:val="20"/>
              </w:rPr>
            </w:pPr>
          </w:p>
          <w:p w:rsidR="00624473" w:rsidRPr="00ED4C18" w:rsidRDefault="00624473" w:rsidP="00624473">
            <w:pPr>
              <w:jc w:val="center"/>
              <w:rPr>
                <w:rFonts w:ascii="Arial Narrow" w:hAnsi="Arial Narrow"/>
                <w:sz w:val="20"/>
              </w:rPr>
            </w:pPr>
            <w:r w:rsidRPr="00ED4C18">
              <w:rPr>
                <w:rFonts w:ascii="Arial Narrow" w:hAnsi="Arial Narrow"/>
                <w:sz w:val="20"/>
              </w:rPr>
              <w:t xml:space="preserve">TEL: </w:t>
            </w:r>
            <w:r w:rsidR="00C26896">
              <w:rPr>
                <w:rFonts w:ascii="Arial Narrow" w:hAnsi="Arial Narrow"/>
                <w:noProof/>
                <w:color w:val="000000"/>
                <w:sz w:val="20"/>
                <w:highlight w:val="black"/>
              </w:rPr>
              <w:t>'''''''''''''</w:t>
            </w:r>
            <w:r w:rsidRPr="0056382A">
              <w:rPr>
                <w:rFonts w:ascii="Arial Narrow" w:hAnsi="Arial Narrow"/>
                <w:sz w:val="20"/>
              </w:rPr>
              <w:t>%</w:t>
            </w:r>
          </w:p>
        </w:tc>
      </w:tr>
      <w:tr w:rsidR="00ED4C18" w:rsidRPr="00ED4C18" w:rsidTr="00624473">
        <w:trPr>
          <w:trHeight w:val="483"/>
        </w:trPr>
        <w:tc>
          <w:tcPr>
            <w:tcW w:w="1007" w:type="dxa"/>
          </w:tcPr>
          <w:p w:rsidR="00624473" w:rsidRPr="00ED4C18" w:rsidRDefault="00624473" w:rsidP="00624473">
            <w:pPr>
              <w:jc w:val="center"/>
              <w:rPr>
                <w:rFonts w:ascii="Arial Narrow" w:hAnsi="Arial Narrow"/>
                <w:sz w:val="20"/>
              </w:rPr>
            </w:pPr>
          </w:p>
        </w:tc>
        <w:tc>
          <w:tcPr>
            <w:tcW w:w="1230" w:type="dxa"/>
          </w:tcPr>
          <w:p w:rsidR="00624473" w:rsidRPr="00ED4C18" w:rsidRDefault="00624473" w:rsidP="00624473">
            <w:pPr>
              <w:jc w:val="center"/>
              <w:rPr>
                <w:rFonts w:ascii="Arial Narrow" w:hAnsi="Arial Narrow"/>
                <w:sz w:val="20"/>
              </w:rPr>
            </w:pPr>
            <w:r w:rsidRPr="00ED4C18">
              <w:rPr>
                <w:rFonts w:ascii="Arial Narrow" w:hAnsi="Arial Narrow"/>
                <w:sz w:val="20"/>
              </w:rPr>
              <w:t>N, IFN-free</w:t>
            </w:r>
          </w:p>
        </w:tc>
        <w:tc>
          <w:tcPr>
            <w:tcW w:w="1699" w:type="dxa"/>
          </w:tcPr>
          <w:p w:rsidR="00624473" w:rsidRPr="00ED4C18" w:rsidRDefault="00624473" w:rsidP="00624473">
            <w:pPr>
              <w:jc w:val="center"/>
              <w:rPr>
                <w:rFonts w:ascii="Arial Narrow" w:hAnsi="Arial Narrow"/>
                <w:sz w:val="20"/>
              </w:rPr>
            </w:pPr>
            <w:r w:rsidRPr="00ED4C18">
              <w:rPr>
                <w:rFonts w:ascii="Arial Narrow" w:hAnsi="Arial Narrow"/>
                <w:sz w:val="20"/>
              </w:rPr>
              <w:t>SOF24 + R24</w:t>
            </w:r>
          </w:p>
        </w:tc>
        <w:tc>
          <w:tcPr>
            <w:tcW w:w="1842" w:type="dxa"/>
          </w:tcPr>
          <w:p w:rsidR="00624473" w:rsidRPr="00ED4C18" w:rsidRDefault="00624473" w:rsidP="00624473">
            <w:pPr>
              <w:jc w:val="center"/>
              <w:rPr>
                <w:rFonts w:ascii="Arial Narrow" w:hAnsi="Arial Narrow"/>
                <w:sz w:val="20"/>
              </w:rPr>
            </w:pPr>
            <w:r w:rsidRPr="00ED4C18">
              <w:rPr>
                <w:rFonts w:ascii="Arial Narrow" w:hAnsi="Arial Narrow"/>
                <w:sz w:val="20"/>
              </w:rPr>
              <w:t>None</w:t>
            </w:r>
          </w:p>
        </w:tc>
        <w:tc>
          <w:tcPr>
            <w:tcW w:w="1985" w:type="dxa"/>
          </w:tcPr>
          <w:p w:rsidR="00624473" w:rsidRPr="00ED4C18" w:rsidRDefault="00624473" w:rsidP="00624473">
            <w:pPr>
              <w:jc w:val="center"/>
              <w:rPr>
                <w:rFonts w:ascii="Arial Narrow" w:hAnsi="Arial Narrow"/>
                <w:sz w:val="20"/>
              </w:rPr>
            </w:pPr>
            <w:r w:rsidRPr="00ED4C18">
              <w:rPr>
                <w:rFonts w:ascii="Arial Narrow" w:hAnsi="Arial Narrow"/>
                <w:sz w:val="20"/>
              </w:rPr>
              <w:t>QUANTUM &amp; SPARE (Sect C)</w:t>
            </w:r>
          </w:p>
        </w:tc>
        <w:tc>
          <w:tcPr>
            <w:tcW w:w="1276" w:type="dxa"/>
          </w:tcPr>
          <w:p w:rsidR="00624473" w:rsidRPr="00ED4C18" w:rsidRDefault="00624473" w:rsidP="00624473">
            <w:pPr>
              <w:jc w:val="center"/>
              <w:rPr>
                <w:rFonts w:ascii="Arial Narrow" w:hAnsi="Arial Narrow"/>
                <w:sz w:val="20"/>
              </w:rPr>
            </w:pPr>
            <w:r w:rsidRPr="00ED4C18">
              <w:rPr>
                <w:rFonts w:ascii="Arial Narrow" w:hAnsi="Arial Narrow"/>
                <w:sz w:val="20"/>
              </w:rPr>
              <w:t>65%</w:t>
            </w:r>
          </w:p>
        </w:tc>
        <w:tc>
          <w:tcPr>
            <w:tcW w:w="1275" w:type="dxa"/>
          </w:tcPr>
          <w:p w:rsidR="00624473" w:rsidRPr="00ED4C18" w:rsidRDefault="00624473" w:rsidP="00624473">
            <w:pPr>
              <w:jc w:val="center"/>
              <w:rPr>
                <w:rFonts w:ascii="Arial Narrow" w:hAnsi="Arial Narrow"/>
                <w:sz w:val="20"/>
              </w:rPr>
            </w:pPr>
            <w:r w:rsidRPr="00ED4C18">
              <w:rPr>
                <w:rFonts w:ascii="Arial Narrow" w:hAnsi="Arial Narrow"/>
                <w:sz w:val="20"/>
              </w:rPr>
              <w:t>0</w:t>
            </w:r>
          </w:p>
        </w:tc>
        <w:tc>
          <w:tcPr>
            <w:tcW w:w="1276" w:type="dxa"/>
          </w:tcPr>
          <w:p w:rsidR="00624473" w:rsidRPr="00ED4C18" w:rsidRDefault="00624473" w:rsidP="00624473">
            <w:pPr>
              <w:jc w:val="center"/>
              <w:rPr>
                <w:rFonts w:ascii="Arial Narrow" w:hAnsi="Arial Narrow"/>
                <w:sz w:val="20"/>
              </w:rPr>
            </w:pPr>
            <w:r w:rsidRPr="00ED4C18">
              <w:rPr>
                <w:rFonts w:ascii="Arial Narrow" w:hAnsi="Arial Narrow"/>
                <w:sz w:val="20"/>
              </w:rPr>
              <w:t>65</w:t>
            </w:r>
          </w:p>
        </w:tc>
        <w:tc>
          <w:tcPr>
            <w:tcW w:w="1134" w:type="dxa"/>
          </w:tcPr>
          <w:p w:rsidR="00624473" w:rsidRPr="00ED4C18" w:rsidRDefault="00624473" w:rsidP="0056382A">
            <w:pPr>
              <w:jc w:val="center"/>
              <w:rPr>
                <w:rFonts w:ascii="Arial Narrow" w:hAnsi="Arial Narrow"/>
                <w:sz w:val="20"/>
              </w:rPr>
            </w:pPr>
            <w:r w:rsidRPr="00ED4C18">
              <w:rPr>
                <w:rFonts w:ascii="Arial Narrow" w:hAnsi="Arial Narrow"/>
                <w:sz w:val="20"/>
              </w:rPr>
              <w:t xml:space="preserve">IFN unsuitable: </w:t>
            </w:r>
            <w:r w:rsidR="00FA2C18">
              <w:rPr>
                <w:rFonts w:ascii="Arial Narrow" w:hAnsi="Arial Narrow"/>
                <w:sz w:val="20"/>
              </w:rPr>
              <w:t>$105,000/QALY -200,000/QALY</w:t>
            </w:r>
          </w:p>
        </w:tc>
        <w:tc>
          <w:tcPr>
            <w:tcW w:w="1276" w:type="dxa"/>
          </w:tcPr>
          <w:p w:rsidR="00624473" w:rsidRPr="00ED4C18" w:rsidRDefault="00624473" w:rsidP="00624473">
            <w:pPr>
              <w:jc w:val="center"/>
              <w:rPr>
                <w:rFonts w:ascii="Arial Narrow" w:hAnsi="Arial Narrow"/>
                <w:sz w:val="20"/>
              </w:rPr>
            </w:pPr>
            <w:r w:rsidRPr="00ED4C18">
              <w:rPr>
                <w:rFonts w:ascii="Arial Narrow" w:hAnsi="Arial Narrow"/>
                <w:sz w:val="20"/>
              </w:rPr>
              <w:t xml:space="preserve">IFN unsuitable: </w:t>
            </w:r>
            <w:r w:rsidR="00C26896">
              <w:rPr>
                <w:rFonts w:ascii="Arial Narrow" w:hAnsi="Arial Narrow"/>
                <w:noProof/>
                <w:color w:val="000000"/>
                <w:sz w:val="20"/>
                <w:highlight w:val="black"/>
              </w:rPr>
              <w:t>''''''''''</w:t>
            </w:r>
            <w:r w:rsidRPr="0056382A">
              <w:rPr>
                <w:rFonts w:ascii="Arial Narrow" w:hAnsi="Arial Narrow"/>
                <w:sz w:val="20"/>
              </w:rPr>
              <w:t>%</w:t>
            </w:r>
          </w:p>
        </w:tc>
      </w:tr>
      <w:tr w:rsidR="00ED4C18" w:rsidRPr="00ED4C18" w:rsidTr="00624473">
        <w:trPr>
          <w:trHeight w:val="501"/>
        </w:trPr>
        <w:tc>
          <w:tcPr>
            <w:tcW w:w="1007" w:type="dxa"/>
          </w:tcPr>
          <w:p w:rsidR="00624473" w:rsidRPr="00ED4C18" w:rsidRDefault="00624473" w:rsidP="00624473">
            <w:pPr>
              <w:jc w:val="center"/>
              <w:rPr>
                <w:rFonts w:ascii="Arial Narrow" w:hAnsi="Arial Narrow"/>
                <w:sz w:val="20"/>
              </w:rPr>
            </w:pPr>
            <w:r w:rsidRPr="00ED4C18">
              <w:rPr>
                <w:rFonts w:ascii="Arial Narrow" w:hAnsi="Arial Narrow"/>
                <w:sz w:val="20"/>
              </w:rPr>
              <w:t>GT2</w:t>
            </w:r>
          </w:p>
        </w:tc>
        <w:tc>
          <w:tcPr>
            <w:tcW w:w="1230" w:type="dxa"/>
          </w:tcPr>
          <w:p w:rsidR="00624473" w:rsidRPr="00ED4C18" w:rsidRDefault="00624473" w:rsidP="00624473">
            <w:pPr>
              <w:jc w:val="center"/>
              <w:rPr>
                <w:rFonts w:ascii="Arial Narrow" w:hAnsi="Arial Narrow"/>
                <w:sz w:val="20"/>
              </w:rPr>
            </w:pPr>
            <w:r w:rsidRPr="00ED4C18">
              <w:rPr>
                <w:rFonts w:ascii="Arial Narrow" w:hAnsi="Arial Narrow"/>
                <w:sz w:val="20"/>
              </w:rPr>
              <w:t>Naïve</w:t>
            </w:r>
          </w:p>
        </w:tc>
        <w:tc>
          <w:tcPr>
            <w:tcW w:w="1699" w:type="dxa"/>
          </w:tcPr>
          <w:p w:rsidR="00624473" w:rsidRPr="00ED4C18" w:rsidRDefault="00624473" w:rsidP="00624473">
            <w:pPr>
              <w:jc w:val="center"/>
              <w:rPr>
                <w:rFonts w:ascii="Arial Narrow" w:hAnsi="Arial Narrow"/>
                <w:sz w:val="20"/>
              </w:rPr>
            </w:pPr>
            <w:r w:rsidRPr="00ED4C18">
              <w:rPr>
                <w:rFonts w:ascii="Arial Narrow" w:hAnsi="Arial Narrow"/>
                <w:sz w:val="20"/>
              </w:rPr>
              <w:t>SOF12 + R12</w:t>
            </w:r>
          </w:p>
        </w:tc>
        <w:tc>
          <w:tcPr>
            <w:tcW w:w="1842" w:type="dxa"/>
          </w:tcPr>
          <w:p w:rsidR="00624473" w:rsidRPr="00ED4C18" w:rsidRDefault="00624473" w:rsidP="00624473">
            <w:pPr>
              <w:jc w:val="center"/>
              <w:rPr>
                <w:rFonts w:ascii="Arial Narrow" w:hAnsi="Arial Narrow"/>
                <w:sz w:val="20"/>
              </w:rPr>
            </w:pPr>
            <w:r w:rsidRPr="00ED4C18">
              <w:rPr>
                <w:rFonts w:ascii="Arial Narrow" w:hAnsi="Arial Narrow"/>
                <w:sz w:val="20"/>
              </w:rPr>
              <w:t>PR24</w:t>
            </w:r>
          </w:p>
        </w:tc>
        <w:tc>
          <w:tcPr>
            <w:tcW w:w="1985" w:type="dxa"/>
          </w:tcPr>
          <w:p w:rsidR="00624473" w:rsidRPr="00ED4C18" w:rsidRDefault="00624473" w:rsidP="00624473">
            <w:pPr>
              <w:jc w:val="center"/>
              <w:rPr>
                <w:rFonts w:ascii="Arial Narrow" w:hAnsi="Arial Narrow"/>
                <w:sz w:val="20"/>
              </w:rPr>
            </w:pPr>
            <w:r w:rsidRPr="00ED4C18">
              <w:rPr>
                <w:rFonts w:ascii="Arial Narrow" w:hAnsi="Arial Narrow"/>
                <w:sz w:val="20"/>
              </w:rPr>
              <w:t>FISSION</w:t>
            </w:r>
          </w:p>
        </w:tc>
        <w:tc>
          <w:tcPr>
            <w:tcW w:w="1276" w:type="dxa"/>
          </w:tcPr>
          <w:p w:rsidR="00624473" w:rsidRPr="00ED4C18" w:rsidRDefault="00624473" w:rsidP="00624473">
            <w:pPr>
              <w:jc w:val="center"/>
              <w:rPr>
                <w:rFonts w:ascii="Arial Narrow" w:hAnsi="Arial Narrow"/>
                <w:sz w:val="20"/>
              </w:rPr>
            </w:pPr>
            <w:r w:rsidRPr="00ED4C18">
              <w:rPr>
                <w:rFonts w:ascii="Arial Narrow" w:hAnsi="Arial Narrow"/>
                <w:sz w:val="20"/>
              </w:rPr>
              <w:t>97%</w:t>
            </w:r>
          </w:p>
        </w:tc>
        <w:tc>
          <w:tcPr>
            <w:tcW w:w="1275" w:type="dxa"/>
          </w:tcPr>
          <w:p w:rsidR="00624473" w:rsidRPr="00ED4C18" w:rsidRDefault="00624473" w:rsidP="00624473">
            <w:pPr>
              <w:jc w:val="center"/>
              <w:rPr>
                <w:rFonts w:ascii="Arial Narrow" w:hAnsi="Arial Narrow"/>
                <w:sz w:val="20"/>
              </w:rPr>
            </w:pPr>
            <w:r w:rsidRPr="00ED4C18">
              <w:rPr>
                <w:rFonts w:ascii="Arial Narrow" w:hAnsi="Arial Narrow"/>
                <w:sz w:val="20"/>
              </w:rPr>
              <w:t>78%</w:t>
            </w:r>
          </w:p>
        </w:tc>
        <w:tc>
          <w:tcPr>
            <w:tcW w:w="1276" w:type="dxa"/>
          </w:tcPr>
          <w:p w:rsidR="00624473" w:rsidRPr="00ED4C18" w:rsidRDefault="00624473" w:rsidP="00624473">
            <w:pPr>
              <w:jc w:val="center"/>
              <w:rPr>
                <w:rFonts w:ascii="Arial Narrow" w:hAnsi="Arial Narrow"/>
                <w:sz w:val="20"/>
              </w:rPr>
            </w:pPr>
            <w:r w:rsidRPr="00ED4C18">
              <w:rPr>
                <w:rFonts w:ascii="Arial Narrow" w:hAnsi="Arial Narrow"/>
                <w:sz w:val="20"/>
              </w:rPr>
              <w:t>19</w:t>
            </w:r>
          </w:p>
        </w:tc>
        <w:tc>
          <w:tcPr>
            <w:tcW w:w="1134" w:type="dxa"/>
          </w:tcPr>
          <w:p w:rsidR="00624473" w:rsidRPr="00ED4C18" w:rsidRDefault="00624473" w:rsidP="00624473">
            <w:pPr>
              <w:jc w:val="center"/>
              <w:rPr>
                <w:rFonts w:ascii="Arial Narrow" w:hAnsi="Arial Narrow"/>
                <w:sz w:val="20"/>
              </w:rPr>
            </w:pPr>
            <w:r w:rsidRPr="00ED4C18">
              <w:rPr>
                <w:rFonts w:ascii="Arial Narrow" w:hAnsi="Arial Narrow"/>
                <w:sz w:val="20"/>
              </w:rPr>
              <w:t xml:space="preserve">IFN eligible: </w:t>
            </w:r>
          </w:p>
          <w:p w:rsidR="00FA2C18" w:rsidRPr="00ED4C18" w:rsidRDefault="00FA2C18" w:rsidP="00FA2C18">
            <w:pPr>
              <w:jc w:val="center"/>
              <w:rPr>
                <w:rFonts w:ascii="Arial Narrow" w:hAnsi="Arial Narrow"/>
                <w:sz w:val="20"/>
              </w:rPr>
            </w:pPr>
            <w:r>
              <w:rPr>
                <w:rFonts w:ascii="Arial Narrow" w:hAnsi="Arial Narrow"/>
                <w:sz w:val="20"/>
              </w:rPr>
              <w:t>$105,000/QALY-$200,000/QALY</w:t>
            </w:r>
          </w:p>
          <w:p w:rsidR="00FA2C18" w:rsidRPr="00ED4C18" w:rsidRDefault="00FA2C18" w:rsidP="00FA2C18">
            <w:pPr>
              <w:jc w:val="center"/>
              <w:rPr>
                <w:rFonts w:ascii="Arial Narrow" w:hAnsi="Arial Narrow"/>
                <w:sz w:val="20"/>
              </w:rPr>
            </w:pPr>
          </w:p>
          <w:p w:rsidR="00624473" w:rsidRPr="00ED4C18" w:rsidRDefault="00FA2C18" w:rsidP="0056382A">
            <w:pPr>
              <w:jc w:val="center"/>
              <w:rPr>
                <w:rFonts w:ascii="Arial Narrow" w:hAnsi="Arial Narrow"/>
                <w:sz w:val="20"/>
              </w:rPr>
            </w:pPr>
            <w:r w:rsidRPr="00ED4C18">
              <w:rPr>
                <w:rFonts w:ascii="Arial Narrow" w:hAnsi="Arial Narrow"/>
                <w:sz w:val="20"/>
              </w:rPr>
              <w:t xml:space="preserve">IFN unsuitable: </w:t>
            </w:r>
            <w:r>
              <w:rPr>
                <w:rFonts w:ascii="Arial Narrow" w:hAnsi="Arial Narrow"/>
                <w:sz w:val="20"/>
              </w:rPr>
              <w:t>$15,000/QALY-</w:t>
            </w:r>
          </w:p>
        </w:tc>
        <w:tc>
          <w:tcPr>
            <w:tcW w:w="1276" w:type="dxa"/>
          </w:tcPr>
          <w:p w:rsidR="00624473" w:rsidRPr="00C26896" w:rsidRDefault="00624473" w:rsidP="00624473">
            <w:pPr>
              <w:jc w:val="center"/>
              <w:rPr>
                <w:rFonts w:ascii="Arial Narrow" w:hAnsi="Arial Narrow"/>
                <w:sz w:val="20"/>
              </w:rPr>
            </w:pPr>
            <w:r w:rsidRPr="00ED4C18">
              <w:rPr>
                <w:rFonts w:ascii="Arial Narrow" w:hAnsi="Arial Narrow"/>
                <w:sz w:val="20"/>
              </w:rPr>
              <w:t xml:space="preserve">IFN eligible: </w:t>
            </w:r>
            <w:r w:rsidR="00C26896">
              <w:rPr>
                <w:rFonts w:ascii="Arial Narrow" w:hAnsi="Arial Narrow"/>
                <w:noProof/>
                <w:color w:val="000000"/>
                <w:sz w:val="20"/>
                <w:highlight w:val="black"/>
              </w:rPr>
              <w:t>'''''''''''</w:t>
            </w:r>
            <w:r w:rsidRPr="0056382A">
              <w:rPr>
                <w:rFonts w:ascii="Arial Narrow" w:hAnsi="Arial Narrow"/>
                <w:sz w:val="20"/>
              </w:rPr>
              <w:t>%</w:t>
            </w:r>
          </w:p>
          <w:p w:rsidR="00624473" w:rsidRPr="00ED4C18" w:rsidRDefault="00624473" w:rsidP="00624473">
            <w:pPr>
              <w:jc w:val="center"/>
              <w:rPr>
                <w:rFonts w:ascii="Arial Narrow" w:hAnsi="Arial Narrow"/>
                <w:sz w:val="20"/>
              </w:rPr>
            </w:pPr>
          </w:p>
          <w:p w:rsidR="00624473" w:rsidRPr="00ED4C18" w:rsidRDefault="00624473" w:rsidP="00624473">
            <w:pPr>
              <w:jc w:val="center"/>
              <w:rPr>
                <w:rFonts w:ascii="Arial Narrow" w:hAnsi="Arial Narrow"/>
                <w:sz w:val="20"/>
              </w:rPr>
            </w:pPr>
            <w:r w:rsidRPr="00ED4C18">
              <w:rPr>
                <w:rFonts w:ascii="Arial Narrow" w:hAnsi="Arial Narrow"/>
                <w:sz w:val="20"/>
              </w:rPr>
              <w:t xml:space="preserve">IFN unsuitable: </w:t>
            </w:r>
            <w:r w:rsidR="00C26896">
              <w:rPr>
                <w:rFonts w:ascii="Arial Narrow" w:hAnsi="Arial Narrow"/>
                <w:noProof/>
                <w:color w:val="000000"/>
                <w:sz w:val="20"/>
                <w:highlight w:val="black"/>
              </w:rPr>
              <w:t>'''''''''''</w:t>
            </w:r>
            <w:r w:rsidRPr="0056382A">
              <w:rPr>
                <w:rFonts w:ascii="Arial Narrow" w:hAnsi="Arial Narrow"/>
                <w:sz w:val="20"/>
              </w:rPr>
              <w:t>%</w:t>
            </w:r>
          </w:p>
        </w:tc>
      </w:tr>
      <w:tr w:rsidR="00ED4C18" w:rsidRPr="00ED4C18" w:rsidTr="00624473">
        <w:trPr>
          <w:trHeight w:val="326"/>
        </w:trPr>
        <w:tc>
          <w:tcPr>
            <w:tcW w:w="1007" w:type="dxa"/>
          </w:tcPr>
          <w:p w:rsidR="00624473" w:rsidRPr="00ED4C18" w:rsidRDefault="00624473" w:rsidP="00624473">
            <w:pPr>
              <w:jc w:val="center"/>
              <w:rPr>
                <w:rFonts w:ascii="Arial Narrow" w:hAnsi="Arial Narrow"/>
                <w:sz w:val="20"/>
              </w:rPr>
            </w:pPr>
          </w:p>
        </w:tc>
        <w:tc>
          <w:tcPr>
            <w:tcW w:w="1230" w:type="dxa"/>
          </w:tcPr>
          <w:p w:rsidR="00624473" w:rsidRPr="00ED4C18" w:rsidRDefault="002E499A" w:rsidP="00624473">
            <w:pPr>
              <w:jc w:val="center"/>
              <w:rPr>
                <w:rFonts w:ascii="Arial Narrow" w:hAnsi="Arial Narrow"/>
                <w:sz w:val="20"/>
              </w:rPr>
            </w:pPr>
            <w:r w:rsidRPr="00ED4C18">
              <w:rPr>
                <w:rFonts w:ascii="Arial Narrow" w:hAnsi="Arial Narrow"/>
                <w:sz w:val="20"/>
              </w:rPr>
              <w:t>Experienced (</w:t>
            </w:r>
            <w:proofErr w:type="spellStart"/>
            <w:r w:rsidR="00624473" w:rsidRPr="00ED4C18">
              <w:rPr>
                <w:rFonts w:ascii="Arial Narrow" w:hAnsi="Arial Narrow"/>
                <w:sz w:val="20"/>
              </w:rPr>
              <w:t>Exp</w:t>
            </w:r>
            <w:proofErr w:type="spellEnd"/>
            <w:r w:rsidRPr="00ED4C18">
              <w:rPr>
                <w:rFonts w:ascii="Arial Narrow" w:hAnsi="Arial Narrow"/>
                <w:sz w:val="20"/>
              </w:rPr>
              <w:t>)</w:t>
            </w:r>
          </w:p>
        </w:tc>
        <w:tc>
          <w:tcPr>
            <w:tcW w:w="1699" w:type="dxa"/>
          </w:tcPr>
          <w:p w:rsidR="00624473" w:rsidRPr="00ED4C18" w:rsidRDefault="00624473" w:rsidP="00624473">
            <w:pPr>
              <w:jc w:val="center"/>
              <w:rPr>
                <w:rFonts w:ascii="Arial Narrow" w:hAnsi="Arial Narrow"/>
                <w:sz w:val="20"/>
              </w:rPr>
            </w:pPr>
            <w:r w:rsidRPr="00ED4C18">
              <w:rPr>
                <w:rFonts w:ascii="Arial Narrow" w:hAnsi="Arial Narrow"/>
                <w:sz w:val="20"/>
              </w:rPr>
              <w:t>SOF12 + R12</w:t>
            </w:r>
          </w:p>
        </w:tc>
        <w:tc>
          <w:tcPr>
            <w:tcW w:w="1842" w:type="dxa"/>
          </w:tcPr>
          <w:p w:rsidR="00624473" w:rsidRPr="00ED4C18" w:rsidRDefault="00624473" w:rsidP="00624473">
            <w:pPr>
              <w:jc w:val="center"/>
              <w:rPr>
                <w:rFonts w:ascii="Arial Narrow" w:hAnsi="Arial Narrow"/>
                <w:sz w:val="20"/>
              </w:rPr>
            </w:pPr>
            <w:r w:rsidRPr="00ED4C18">
              <w:rPr>
                <w:rFonts w:ascii="Arial Narrow" w:hAnsi="Arial Narrow"/>
                <w:sz w:val="20"/>
              </w:rPr>
              <w:t>None</w:t>
            </w:r>
          </w:p>
        </w:tc>
        <w:tc>
          <w:tcPr>
            <w:tcW w:w="1985" w:type="dxa"/>
          </w:tcPr>
          <w:p w:rsidR="00624473" w:rsidRPr="00ED4C18" w:rsidRDefault="00624473" w:rsidP="00624473">
            <w:pPr>
              <w:jc w:val="center"/>
              <w:rPr>
                <w:rFonts w:ascii="Arial Narrow" w:hAnsi="Arial Narrow"/>
                <w:sz w:val="20"/>
              </w:rPr>
            </w:pPr>
            <w:r w:rsidRPr="00ED4C18">
              <w:rPr>
                <w:rFonts w:ascii="Arial Narrow" w:hAnsi="Arial Narrow"/>
                <w:sz w:val="20"/>
              </w:rPr>
              <w:t>FUSION</w:t>
            </w:r>
          </w:p>
        </w:tc>
        <w:tc>
          <w:tcPr>
            <w:tcW w:w="1276" w:type="dxa"/>
          </w:tcPr>
          <w:p w:rsidR="00624473" w:rsidRPr="00ED4C18" w:rsidRDefault="00624473" w:rsidP="00624473">
            <w:pPr>
              <w:jc w:val="center"/>
              <w:rPr>
                <w:rFonts w:ascii="Arial Narrow" w:hAnsi="Arial Narrow"/>
                <w:sz w:val="20"/>
              </w:rPr>
            </w:pPr>
            <w:r w:rsidRPr="00ED4C18">
              <w:rPr>
                <w:rFonts w:ascii="Arial Narrow" w:hAnsi="Arial Narrow"/>
                <w:sz w:val="20"/>
              </w:rPr>
              <w:t>31/36 =86%</w:t>
            </w:r>
          </w:p>
        </w:tc>
        <w:tc>
          <w:tcPr>
            <w:tcW w:w="1275" w:type="dxa"/>
          </w:tcPr>
          <w:p w:rsidR="00624473" w:rsidRPr="00ED4C18" w:rsidRDefault="00624473" w:rsidP="00624473">
            <w:pPr>
              <w:jc w:val="center"/>
              <w:rPr>
                <w:rFonts w:ascii="Arial Narrow" w:hAnsi="Arial Narrow"/>
                <w:sz w:val="20"/>
              </w:rPr>
            </w:pPr>
            <w:r w:rsidRPr="00ED4C18">
              <w:rPr>
                <w:rFonts w:ascii="Arial Narrow" w:hAnsi="Arial Narrow"/>
                <w:sz w:val="20"/>
              </w:rPr>
              <w:t>0</w:t>
            </w:r>
          </w:p>
        </w:tc>
        <w:tc>
          <w:tcPr>
            <w:tcW w:w="1276" w:type="dxa"/>
          </w:tcPr>
          <w:p w:rsidR="00624473" w:rsidRPr="00ED4C18" w:rsidRDefault="00624473" w:rsidP="00624473">
            <w:pPr>
              <w:jc w:val="center"/>
              <w:rPr>
                <w:rFonts w:ascii="Arial Narrow" w:hAnsi="Arial Narrow"/>
                <w:sz w:val="20"/>
              </w:rPr>
            </w:pPr>
            <w:r w:rsidRPr="00ED4C18">
              <w:rPr>
                <w:rFonts w:ascii="Arial Narrow" w:hAnsi="Arial Narrow"/>
                <w:sz w:val="20"/>
              </w:rPr>
              <w:t>86</w:t>
            </w:r>
          </w:p>
        </w:tc>
        <w:tc>
          <w:tcPr>
            <w:tcW w:w="1134" w:type="dxa"/>
          </w:tcPr>
          <w:p w:rsidR="00624473" w:rsidRPr="00ED4C18" w:rsidRDefault="00624473" w:rsidP="00624473">
            <w:pPr>
              <w:jc w:val="center"/>
              <w:rPr>
                <w:rFonts w:ascii="Arial Narrow" w:hAnsi="Arial Narrow"/>
                <w:sz w:val="20"/>
              </w:rPr>
            </w:pPr>
            <w:r w:rsidRPr="00ED4C18">
              <w:rPr>
                <w:rFonts w:ascii="Arial Narrow" w:hAnsi="Arial Narrow"/>
                <w:sz w:val="20"/>
              </w:rPr>
              <w:t xml:space="preserve">IFN eligible: </w:t>
            </w:r>
          </w:p>
          <w:p w:rsidR="00FA2C18" w:rsidRPr="00ED4C18" w:rsidRDefault="00FA2C18" w:rsidP="00FA2C18">
            <w:pPr>
              <w:jc w:val="center"/>
              <w:rPr>
                <w:rFonts w:ascii="Arial Narrow" w:hAnsi="Arial Narrow"/>
                <w:sz w:val="20"/>
              </w:rPr>
            </w:pPr>
            <w:r>
              <w:rPr>
                <w:rFonts w:ascii="Arial Narrow" w:hAnsi="Arial Narrow"/>
                <w:sz w:val="20"/>
              </w:rPr>
              <w:t>$15,000/QALY-$45,000/QA</w:t>
            </w:r>
            <w:r>
              <w:rPr>
                <w:rFonts w:ascii="Arial Narrow" w:hAnsi="Arial Narrow"/>
                <w:sz w:val="20"/>
              </w:rPr>
              <w:lastRenderedPageBreak/>
              <w:t>LY</w:t>
            </w:r>
          </w:p>
          <w:p w:rsidR="00FA2C18" w:rsidRPr="00ED4C18" w:rsidRDefault="00FA2C18" w:rsidP="00FA2C18">
            <w:pPr>
              <w:jc w:val="center"/>
              <w:rPr>
                <w:rFonts w:ascii="Arial Narrow" w:hAnsi="Arial Narrow"/>
                <w:sz w:val="20"/>
              </w:rPr>
            </w:pPr>
          </w:p>
          <w:p w:rsidR="00624473" w:rsidRPr="00ED4C18" w:rsidRDefault="00FA2C18" w:rsidP="0056382A">
            <w:pPr>
              <w:jc w:val="center"/>
              <w:rPr>
                <w:rFonts w:ascii="Arial Narrow" w:hAnsi="Arial Narrow"/>
                <w:sz w:val="20"/>
              </w:rPr>
            </w:pPr>
            <w:r w:rsidRPr="00ED4C18">
              <w:rPr>
                <w:rFonts w:ascii="Arial Narrow" w:hAnsi="Arial Narrow"/>
                <w:sz w:val="20"/>
              </w:rPr>
              <w:t xml:space="preserve">IFN unsuitable: </w:t>
            </w:r>
            <w:r>
              <w:rPr>
                <w:rFonts w:ascii="Arial Narrow" w:hAnsi="Arial Narrow"/>
                <w:sz w:val="20"/>
              </w:rPr>
              <w:t>$15,000/QALY-$45,000/QALY</w:t>
            </w:r>
          </w:p>
        </w:tc>
        <w:tc>
          <w:tcPr>
            <w:tcW w:w="1276" w:type="dxa"/>
          </w:tcPr>
          <w:p w:rsidR="00624473" w:rsidRPr="00ED4C18" w:rsidRDefault="00624473" w:rsidP="00624473">
            <w:pPr>
              <w:jc w:val="center"/>
              <w:rPr>
                <w:rFonts w:ascii="Arial Narrow" w:hAnsi="Arial Narrow"/>
                <w:sz w:val="20"/>
              </w:rPr>
            </w:pPr>
            <w:r w:rsidRPr="00ED4C18">
              <w:rPr>
                <w:rFonts w:ascii="Arial Narrow" w:hAnsi="Arial Narrow"/>
                <w:sz w:val="20"/>
              </w:rPr>
              <w:lastRenderedPageBreak/>
              <w:t xml:space="preserve">IFN eligible: </w:t>
            </w:r>
          </w:p>
          <w:p w:rsidR="00624473" w:rsidRPr="00C26896" w:rsidRDefault="00C26896" w:rsidP="00624473">
            <w:pPr>
              <w:jc w:val="center"/>
              <w:rPr>
                <w:rFonts w:ascii="Arial Narrow" w:hAnsi="Arial Narrow"/>
                <w:sz w:val="20"/>
              </w:rPr>
            </w:pPr>
            <w:r>
              <w:rPr>
                <w:rFonts w:ascii="Arial Narrow" w:hAnsi="Arial Narrow"/>
                <w:noProof/>
                <w:color w:val="000000"/>
                <w:sz w:val="20"/>
                <w:highlight w:val="black"/>
              </w:rPr>
              <w:t>''''''''''''</w:t>
            </w:r>
            <w:r w:rsidR="00624473" w:rsidRPr="0056382A">
              <w:rPr>
                <w:rFonts w:ascii="Arial Narrow" w:hAnsi="Arial Narrow"/>
                <w:sz w:val="20"/>
              </w:rPr>
              <w:t>%</w:t>
            </w:r>
          </w:p>
          <w:p w:rsidR="00624473" w:rsidRPr="00ED4C18" w:rsidRDefault="00624473" w:rsidP="00624473">
            <w:pPr>
              <w:jc w:val="center"/>
              <w:rPr>
                <w:rFonts w:ascii="Arial Narrow" w:hAnsi="Arial Narrow"/>
                <w:sz w:val="20"/>
              </w:rPr>
            </w:pPr>
          </w:p>
          <w:p w:rsidR="00624473" w:rsidRPr="00ED4C18" w:rsidRDefault="00624473" w:rsidP="00624473">
            <w:pPr>
              <w:jc w:val="center"/>
              <w:rPr>
                <w:rFonts w:ascii="Arial Narrow" w:hAnsi="Arial Narrow"/>
                <w:sz w:val="20"/>
              </w:rPr>
            </w:pPr>
            <w:r w:rsidRPr="00ED4C18">
              <w:rPr>
                <w:rFonts w:ascii="Arial Narrow" w:hAnsi="Arial Narrow"/>
                <w:sz w:val="20"/>
              </w:rPr>
              <w:t xml:space="preserve">IFN </w:t>
            </w:r>
            <w:r w:rsidRPr="00ED4C18">
              <w:rPr>
                <w:rFonts w:ascii="Arial Narrow" w:hAnsi="Arial Narrow"/>
                <w:sz w:val="20"/>
              </w:rPr>
              <w:lastRenderedPageBreak/>
              <w:t xml:space="preserve">unsuitable: </w:t>
            </w:r>
            <w:r w:rsidR="00C26896">
              <w:rPr>
                <w:rFonts w:ascii="Arial Narrow" w:hAnsi="Arial Narrow"/>
                <w:noProof/>
                <w:color w:val="000000"/>
                <w:sz w:val="20"/>
                <w:highlight w:val="black"/>
              </w:rPr>
              <w:t>'''''''''''</w:t>
            </w:r>
            <w:r w:rsidRPr="0056382A">
              <w:rPr>
                <w:rFonts w:ascii="Arial Narrow" w:hAnsi="Arial Narrow"/>
                <w:sz w:val="20"/>
              </w:rPr>
              <w:t>%</w:t>
            </w:r>
          </w:p>
        </w:tc>
      </w:tr>
      <w:tr w:rsidR="00ED4C18" w:rsidRPr="00ED4C18" w:rsidTr="00624473">
        <w:trPr>
          <w:trHeight w:val="1112"/>
        </w:trPr>
        <w:tc>
          <w:tcPr>
            <w:tcW w:w="1007" w:type="dxa"/>
          </w:tcPr>
          <w:p w:rsidR="00624473" w:rsidRPr="00ED4C18" w:rsidRDefault="00624473" w:rsidP="00624473">
            <w:pPr>
              <w:jc w:val="center"/>
              <w:rPr>
                <w:rFonts w:ascii="Arial Narrow" w:hAnsi="Arial Narrow"/>
                <w:sz w:val="20"/>
              </w:rPr>
            </w:pPr>
            <w:r w:rsidRPr="00ED4C18">
              <w:rPr>
                <w:rFonts w:ascii="Arial Narrow" w:hAnsi="Arial Narrow"/>
                <w:sz w:val="20"/>
              </w:rPr>
              <w:lastRenderedPageBreak/>
              <w:t>GT3</w:t>
            </w:r>
          </w:p>
        </w:tc>
        <w:tc>
          <w:tcPr>
            <w:tcW w:w="1230" w:type="dxa"/>
          </w:tcPr>
          <w:p w:rsidR="00624473" w:rsidRPr="00ED4C18" w:rsidRDefault="00624473" w:rsidP="00624473">
            <w:pPr>
              <w:jc w:val="center"/>
              <w:rPr>
                <w:rFonts w:ascii="Arial Narrow" w:hAnsi="Arial Narrow"/>
                <w:sz w:val="20"/>
              </w:rPr>
            </w:pPr>
            <w:r w:rsidRPr="00ED4C18">
              <w:rPr>
                <w:rFonts w:ascii="Arial Narrow" w:hAnsi="Arial Narrow"/>
                <w:sz w:val="20"/>
              </w:rPr>
              <w:t>Naïve</w:t>
            </w:r>
          </w:p>
        </w:tc>
        <w:tc>
          <w:tcPr>
            <w:tcW w:w="1699" w:type="dxa"/>
          </w:tcPr>
          <w:p w:rsidR="00624473" w:rsidRPr="00ED4C18" w:rsidRDefault="00624473" w:rsidP="00624473">
            <w:pPr>
              <w:jc w:val="center"/>
              <w:rPr>
                <w:rFonts w:ascii="Arial Narrow" w:hAnsi="Arial Narrow"/>
                <w:sz w:val="20"/>
              </w:rPr>
            </w:pPr>
            <w:r w:rsidRPr="00ED4C18">
              <w:rPr>
                <w:rFonts w:ascii="Arial Narrow" w:hAnsi="Arial Narrow"/>
                <w:sz w:val="20"/>
              </w:rPr>
              <w:t>SOF12 + PR12</w:t>
            </w:r>
          </w:p>
        </w:tc>
        <w:tc>
          <w:tcPr>
            <w:tcW w:w="1842" w:type="dxa"/>
          </w:tcPr>
          <w:p w:rsidR="00624473" w:rsidRPr="00ED4C18" w:rsidRDefault="00624473" w:rsidP="00624473">
            <w:pPr>
              <w:jc w:val="center"/>
              <w:rPr>
                <w:rFonts w:ascii="Arial Narrow" w:hAnsi="Arial Narrow"/>
                <w:sz w:val="20"/>
              </w:rPr>
            </w:pPr>
            <w:r w:rsidRPr="00ED4C18">
              <w:rPr>
                <w:rFonts w:ascii="Arial Narrow" w:hAnsi="Arial Narrow"/>
                <w:sz w:val="20"/>
              </w:rPr>
              <w:t>PR24</w:t>
            </w:r>
          </w:p>
        </w:tc>
        <w:tc>
          <w:tcPr>
            <w:tcW w:w="1985" w:type="dxa"/>
          </w:tcPr>
          <w:p w:rsidR="00624473" w:rsidRPr="00ED4C18" w:rsidRDefault="00624473" w:rsidP="00624473">
            <w:pPr>
              <w:jc w:val="center"/>
              <w:rPr>
                <w:rFonts w:ascii="Arial Narrow" w:hAnsi="Arial Narrow"/>
                <w:sz w:val="20"/>
              </w:rPr>
            </w:pPr>
            <w:r w:rsidRPr="00ED4C18">
              <w:rPr>
                <w:rFonts w:ascii="Arial Narrow" w:hAnsi="Arial Narrow"/>
                <w:sz w:val="20"/>
              </w:rPr>
              <w:t>PROTON/ ELECTRON/ LONESTAR (Sect C)</w:t>
            </w:r>
          </w:p>
          <w:p w:rsidR="00624473" w:rsidRPr="00ED4C18" w:rsidRDefault="00624473" w:rsidP="00624473">
            <w:pPr>
              <w:jc w:val="center"/>
              <w:rPr>
                <w:rFonts w:ascii="Arial Narrow" w:hAnsi="Arial Narrow"/>
                <w:sz w:val="20"/>
              </w:rPr>
            </w:pPr>
            <w:r w:rsidRPr="00ED4C18">
              <w:rPr>
                <w:rFonts w:ascii="Arial Narrow" w:hAnsi="Arial Narrow"/>
                <w:sz w:val="20"/>
              </w:rPr>
              <w:t>Vs</w:t>
            </w:r>
          </w:p>
          <w:p w:rsidR="00624473" w:rsidRPr="00ED4C18" w:rsidRDefault="00624473" w:rsidP="00624473">
            <w:pPr>
              <w:jc w:val="center"/>
              <w:rPr>
                <w:rFonts w:ascii="Arial Narrow" w:hAnsi="Arial Narrow"/>
                <w:sz w:val="20"/>
              </w:rPr>
            </w:pPr>
            <w:r w:rsidRPr="00ED4C18">
              <w:rPr>
                <w:rFonts w:ascii="Arial Narrow" w:hAnsi="Arial Narrow"/>
                <w:sz w:val="20"/>
              </w:rPr>
              <w:t>FISSION(comp)</w:t>
            </w:r>
          </w:p>
        </w:tc>
        <w:tc>
          <w:tcPr>
            <w:tcW w:w="1276" w:type="dxa"/>
          </w:tcPr>
          <w:p w:rsidR="00624473" w:rsidRPr="00ED4C18" w:rsidRDefault="00624473" w:rsidP="00624473">
            <w:pPr>
              <w:jc w:val="center"/>
              <w:rPr>
                <w:rFonts w:ascii="Arial Narrow" w:hAnsi="Arial Narrow"/>
                <w:sz w:val="20"/>
              </w:rPr>
            </w:pPr>
            <w:r w:rsidRPr="00ED4C18">
              <w:rPr>
                <w:rFonts w:ascii="Arial Narrow" w:hAnsi="Arial Narrow"/>
                <w:sz w:val="20"/>
              </w:rPr>
              <w:t>48/51</w:t>
            </w:r>
          </w:p>
          <w:p w:rsidR="00624473" w:rsidRPr="00ED4C18" w:rsidRDefault="00624473" w:rsidP="00624473">
            <w:pPr>
              <w:jc w:val="center"/>
              <w:rPr>
                <w:rFonts w:ascii="Arial Narrow" w:hAnsi="Arial Narrow"/>
                <w:sz w:val="20"/>
              </w:rPr>
            </w:pPr>
            <w:r w:rsidRPr="00ED4C18">
              <w:rPr>
                <w:rFonts w:ascii="Arial Narrow" w:hAnsi="Arial Narrow"/>
                <w:sz w:val="20"/>
              </w:rPr>
              <w:t>=94%</w:t>
            </w:r>
          </w:p>
        </w:tc>
        <w:tc>
          <w:tcPr>
            <w:tcW w:w="1275" w:type="dxa"/>
          </w:tcPr>
          <w:p w:rsidR="00624473" w:rsidRPr="00ED4C18" w:rsidRDefault="00624473" w:rsidP="00624473">
            <w:pPr>
              <w:jc w:val="center"/>
              <w:rPr>
                <w:rFonts w:ascii="Arial Narrow" w:hAnsi="Arial Narrow"/>
                <w:sz w:val="20"/>
              </w:rPr>
            </w:pPr>
            <w:r w:rsidRPr="00ED4C18">
              <w:rPr>
                <w:rFonts w:ascii="Arial Narrow" w:hAnsi="Arial Narrow"/>
                <w:sz w:val="20"/>
              </w:rPr>
              <w:t>63%</w:t>
            </w:r>
          </w:p>
        </w:tc>
        <w:tc>
          <w:tcPr>
            <w:tcW w:w="1276" w:type="dxa"/>
          </w:tcPr>
          <w:p w:rsidR="00624473" w:rsidRPr="00ED4C18" w:rsidRDefault="00624473" w:rsidP="00624473">
            <w:pPr>
              <w:jc w:val="center"/>
              <w:rPr>
                <w:rFonts w:ascii="Arial Narrow" w:hAnsi="Arial Narrow"/>
                <w:sz w:val="20"/>
              </w:rPr>
            </w:pPr>
            <w:r w:rsidRPr="00ED4C18">
              <w:rPr>
                <w:rFonts w:ascii="Arial Narrow" w:hAnsi="Arial Narrow"/>
                <w:sz w:val="20"/>
              </w:rPr>
              <w:t>34</w:t>
            </w:r>
          </w:p>
        </w:tc>
        <w:tc>
          <w:tcPr>
            <w:tcW w:w="1134" w:type="dxa"/>
          </w:tcPr>
          <w:p w:rsidR="00FA2C18" w:rsidRPr="00C26896" w:rsidRDefault="00624473" w:rsidP="00624473">
            <w:pPr>
              <w:jc w:val="center"/>
              <w:rPr>
                <w:rFonts w:ascii="Arial Narrow" w:hAnsi="Arial Narrow"/>
                <w:sz w:val="20"/>
              </w:rPr>
            </w:pPr>
            <w:r w:rsidRPr="00ED4C18">
              <w:rPr>
                <w:rFonts w:ascii="Arial Narrow" w:hAnsi="Arial Narrow"/>
                <w:sz w:val="20"/>
              </w:rPr>
              <w:t xml:space="preserve">IFN eligible: </w:t>
            </w:r>
          </w:p>
          <w:p w:rsidR="00624473" w:rsidRPr="00ED4C18" w:rsidRDefault="00FA2C18" w:rsidP="00624473">
            <w:pPr>
              <w:jc w:val="center"/>
              <w:rPr>
                <w:rFonts w:ascii="Arial Narrow" w:hAnsi="Arial Narrow"/>
                <w:sz w:val="20"/>
              </w:rPr>
            </w:pPr>
            <w:r>
              <w:rPr>
                <w:rFonts w:ascii="Arial Narrow" w:hAnsi="Arial Narrow"/>
                <w:sz w:val="20"/>
              </w:rPr>
              <w:t>$45,000/QALY-$75,000/QALY</w:t>
            </w:r>
          </w:p>
        </w:tc>
        <w:tc>
          <w:tcPr>
            <w:tcW w:w="1276" w:type="dxa"/>
          </w:tcPr>
          <w:p w:rsidR="00624473" w:rsidRPr="00ED4C18" w:rsidRDefault="00624473" w:rsidP="00624473">
            <w:pPr>
              <w:jc w:val="center"/>
              <w:rPr>
                <w:rFonts w:ascii="Arial Narrow" w:hAnsi="Arial Narrow"/>
                <w:sz w:val="20"/>
              </w:rPr>
            </w:pPr>
            <w:r w:rsidRPr="00ED4C18">
              <w:rPr>
                <w:rFonts w:ascii="Arial Narrow" w:hAnsi="Arial Narrow"/>
                <w:sz w:val="20"/>
              </w:rPr>
              <w:t xml:space="preserve">IFN eligible </w:t>
            </w:r>
            <w:r w:rsidR="00C26896">
              <w:rPr>
                <w:rFonts w:ascii="Arial Narrow" w:hAnsi="Arial Narrow"/>
                <w:noProof/>
                <w:color w:val="000000"/>
                <w:sz w:val="20"/>
                <w:highlight w:val="black"/>
              </w:rPr>
              <w:t>''''''''''''''</w:t>
            </w:r>
            <w:r w:rsidRPr="0056382A">
              <w:rPr>
                <w:rFonts w:ascii="Arial Narrow" w:hAnsi="Arial Narrow"/>
                <w:sz w:val="20"/>
              </w:rPr>
              <w:t>%</w:t>
            </w:r>
          </w:p>
        </w:tc>
      </w:tr>
      <w:tr w:rsidR="00ED4C18" w:rsidRPr="00ED4C18" w:rsidTr="00624473">
        <w:trPr>
          <w:trHeight w:val="486"/>
        </w:trPr>
        <w:tc>
          <w:tcPr>
            <w:tcW w:w="1007" w:type="dxa"/>
          </w:tcPr>
          <w:p w:rsidR="00624473" w:rsidRPr="00ED4C18" w:rsidRDefault="00624473" w:rsidP="00624473">
            <w:pPr>
              <w:jc w:val="center"/>
              <w:rPr>
                <w:rFonts w:ascii="Arial Narrow" w:hAnsi="Arial Narrow"/>
                <w:sz w:val="20"/>
              </w:rPr>
            </w:pPr>
          </w:p>
        </w:tc>
        <w:tc>
          <w:tcPr>
            <w:tcW w:w="1230" w:type="dxa"/>
          </w:tcPr>
          <w:p w:rsidR="00624473" w:rsidRPr="00ED4C18" w:rsidRDefault="00624473" w:rsidP="00624473">
            <w:pPr>
              <w:jc w:val="center"/>
              <w:rPr>
                <w:rFonts w:ascii="Arial Narrow" w:hAnsi="Arial Narrow"/>
                <w:sz w:val="20"/>
              </w:rPr>
            </w:pPr>
            <w:proofErr w:type="spellStart"/>
            <w:r w:rsidRPr="00ED4C18">
              <w:rPr>
                <w:rFonts w:ascii="Arial Narrow" w:hAnsi="Arial Narrow"/>
                <w:sz w:val="20"/>
              </w:rPr>
              <w:t>Exp</w:t>
            </w:r>
            <w:proofErr w:type="spellEnd"/>
          </w:p>
        </w:tc>
        <w:tc>
          <w:tcPr>
            <w:tcW w:w="1699" w:type="dxa"/>
          </w:tcPr>
          <w:p w:rsidR="00624473" w:rsidRPr="00ED4C18" w:rsidRDefault="00624473" w:rsidP="00624473">
            <w:pPr>
              <w:jc w:val="center"/>
              <w:rPr>
                <w:rFonts w:ascii="Arial Narrow" w:hAnsi="Arial Narrow"/>
                <w:sz w:val="20"/>
              </w:rPr>
            </w:pPr>
            <w:r w:rsidRPr="00ED4C18">
              <w:rPr>
                <w:rFonts w:ascii="Arial Narrow" w:hAnsi="Arial Narrow"/>
                <w:sz w:val="20"/>
              </w:rPr>
              <w:t>SOF12 + PR12</w:t>
            </w:r>
          </w:p>
        </w:tc>
        <w:tc>
          <w:tcPr>
            <w:tcW w:w="1842" w:type="dxa"/>
          </w:tcPr>
          <w:p w:rsidR="00624473" w:rsidRPr="00ED4C18" w:rsidRDefault="00624473" w:rsidP="00624473">
            <w:pPr>
              <w:jc w:val="center"/>
              <w:rPr>
                <w:rFonts w:ascii="Arial Narrow" w:hAnsi="Arial Narrow"/>
                <w:sz w:val="20"/>
              </w:rPr>
            </w:pPr>
            <w:r w:rsidRPr="00ED4C18">
              <w:rPr>
                <w:rFonts w:ascii="Arial Narrow" w:hAnsi="Arial Narrow"/>
                <w:sz w:val="20"/>
              </w:rPr>
              <w:t>None</w:t>
            </w:r>
          </w:p>
        </w:tc>
        <w:tc>
          <w:tcPr>
            <w:tcW w:w="1985" w:type="dxa"/>
          </w:tcPr>
          <w:p w:rsidR="00624473" w:rsidRPr="00ED4C18" w:rsidRDefault="00624473" w:rsidP="00624473">
            <w:pPr>
              <w:jc w:val="center"/>
              <w:rPr>
                <w:rFonts w:ascii="Arial Narrow" w:hAnsi="Arial Narrow"/>
                <w:sz w:val="20"/>
              </w:rPr>
            </w:pPr>
            <w:r w:rsidRPr="00ED4C18">
              <w:rPr>
                <w:rFonts w:ascii="Arial Narrow" w:hAnsi="Arial Narrow"/>
                <w:sz w:val="20"/>
              </w:rPr>
              <w:t>LONESTAR</w:t>
            </w:r>
          </w:p>
        </w:tc>
        <w:tc>
          <w:tcPr>
            <w:tcW w:w="1276" w:type="dxa"/>
          </w:tcPr>
          <w:p w:rsidR="00624473" w:rsidRPr="00ED4C18" w:rsidRDefault="00624473" w:rsidP="00624473">
            <w:pPr>
              <w:jc w:val="center"/>
              <w:rPr>
                <w:rFonts w:ascii="Arial Narrow" w:hAnsi="Arial Narrow"/>
                <w:sz w:val="20"/>
              </w:rPr>
            </w:pPr>
            <w:r w:rsidRPr="00ED4C18">
              <w:rPr>
                <w:rFonts w:ascii="Arial Narrow" w:hAnsi="Arial Narrow"/>
                <w:sz w:val="20"/>
              </w:rPr>
              <w:t>20/24</w:t>
            </w:r>
          </w:p>
          <w:p w:rsidR="00624473" w:rsidRPr="00ED4C18" w:rsidRDefault="00624473" w:rsidP="00624473">
            <w:pPr>
              <w:jc w:val="center"/>
              <w:rPr>
                <w:rFonts w:ascii="Arial Narrow" w:hAnsi="Arial Narrow"/>
                <w:sz w:val="20"/>
              </w:rPr>
            </w:pPr>
            <w:r w:rsidRPr="00ED4C18">
              <w:rPr>
                <w:rFonts w:ascii="Arial Narrow" w:hAnsi="Arial Narrow"/>
                <w:sz w:val="20"/>
              </w:rPr>
              <w:t>=83%</w:t>
            </w:r>
          </w:p>
        </w:tc>
        <w:tc>
          <w:tcPr>
            <w:tcW w:w="1275" w:type="dxa"/>
          </w:tcPr>
          <w:p w:rsidR="00624473" w:rsidRPr="00ED4C18" w:rsidRDefault="00624473" w:rsidP="00624473">
            <w:pPr>
              <w:jc w:val="center"/>
              <w:rPr>
                <w:rFonts w:ascii="Arial Narrow" w:hAnsi="Arial Narrow"/>
                <w:sz w:val="20"/>
              </w:rPr>
            </w:pPr>
            <w:r w:rsidRPr="00ED4C18">
              <w:rPr>
                <w:rFonts w:ascii="Arial Narrow" w:hAnsi="Arial Narrow"/>
                <w:sz w:val="20"/>
              </w:rPr>
              <w:t>0</w:t>
            </w:r>
          </w:p>
        </w:tc>
        <w:tc>
          <w:tcPr>
            <w:tcW w:w="1276" w:type="dxa"/>
          </w:tcPr>
          <w:p w:rsidR="00624473" w:rsidRPr="00ED4C18" w:rsidRDefault="00624473" w:rsidP="00624473">
            <w:pPr>
              <w:jc w:val="center"/>
              <w:rPr>
                <w:rFonts w:ascii="Arial Narrow" w:hAnsi="Arial Narrow"/>
                <w:sz w:val="20"/>
              </w:rPr>
            </w:pPr>
            <w:r w:rsidRPr="00ED4C18">
              <w:rPr>
                <w:rFonts w:ascii="Arial Narrow" w:hAnsi="Arial Narrow"/>
                <w:sz w:val="20"/>
              </w:rPr>
              <w:t>83</w:t>
            </w:r>
          </w:p>
        </w:tc>
        <w:tc>
          <w:tcPr>
            <w:tcW w:w="1134" w:type="dxa"/>
          </w:tcPr>
          <w:p w:rsidR="00624473" w:rsidRPr="00C26896" w:rsidRDefault="00624473" w:rsidP="00624473">
            <w:pPr>
              <w:rPr>
                <w:rFonts w:ascii="Arial Narrow" w:hAnsi="Arial Narrow"/>
                <w:sz w:val="20"/>
              </w:rPr>
            </w:pPr>
            <w:r w:rsidRPr="00ED4C18">
              <w:rPr>
                <w:rFonts w:ascii="Arial Narrow" w:hAnsi="Arial Narrow"/>
                <w:sz w:val="20"/>
              </w:rPr>
              <w:t xml:space="preserve">IFN eligible: </w:t>
            </w:r>
          </w:p>
          <w:p w:rsidR="00FA2C18" w:rsidRPr="00ED4C18" w:rsidRDefault="00FA2C18" w:rsidP="00624473">
            <w:pPr>
              <w:rPr>
                <w:rFonts w:ascii="Arial Narrow" w:hAnsi="Arial Narrow"/>
                <w:sz w:val="20"/>
              </w:rPr>
            </w:pPr>
            <w:r>
              <w:rPr>
                <w:rFonts w:ascii="Arial Narrow" w:hAnsi="Arial Narrow"/>
                <w:sz w:val="20"/>
              </w:rPr>
              <w:t>$15,000/QALY-$45,000/QALY</w:t>
            </w:r>
          </w:p>
        </w:tc>
        <w:tc>
          <w:tcPr>
            <w:tcW w:w="1276" w:type="dxa"/>
          </w:tcPr>
          <w:p w:rsidR="00624473" w:rsidRPr="00ED4C18" w:rsidRDefault="00624473" w:rsidP="00624473">
            <w:pPr>
              <w:jc w:val="center"/>
              <w:rPr>
                <w:rFonts w:ascii="Arial Narrow" w:hAnsi="Arial Narrow"/>
                <w:sz w:val="20"/>
              </w:rPr>
            </w:pPr>
            <w:r w:rsidRPr="00ED4C18">
              <w:rPr>
                <w:rFonts w:ascii="Arial Narrow" w:hAnsi="Arial Narrow"/>
                <w:sz w:val="20"/>
              </w:rPr>
              <w:t xml:space="preserve">IFN eligible: </w:t>
            </w:r>
            <w:r w:rsidR="00C26896">
              <w:rPr>
                <w:rFonts w:ascii="Arial Narrow" w:hAnsi="Arial Narrow"/>
                <w:noProof/>
                <w:color w:val="000000"/>
                <w:sz w:val="20"/>
                <w:highlight w:val="black"/>
              </w:rPr>
              <w:t>'''''''''''''</w:t>
            </w:r>
            <w:r w:rsidRPr="0056382A">
              <w:rPr>
                <w:rFonts w:ascii="Arial Narrow" w:hAnsi="Arial Narrow"/>
                <w:sz w:val="20"/>
              </w:rPr>
              <w:t>%</w:t>
            </w:r>
          </w:p>
        </w:tc>
      </w:tr>
    </w:tbl>
    <w:p w:rsidR="00E06107" w:rsidRDefault="00E06107">
      <w:r>
        <w:br w:type="page"/>
      </w:r>
    </w:p>
    <w:tbl>
      <w:tblPr>
        <w:tblStyle w:val="TableGrid"/>
        <w:tblW w:w="14000" w:type="dxa"/>
        <w:tblLayout w:type="fixed"/>
        <w:tblLook w:val="04A0" w:firstRow="1" w:lastRow="0" w:firstColumn="1" w:lastColumn="0" w:noHBand="0" w:noVBand="1"/>
        <w:tblDescription w:val="Summary of the clinical evidence provided in Section B and Section C, ICERs and population weights used in Section D of the submission, summarised by ESC"/>
      </w:tblPr>
      <w:tblGrid>
        <w:gridCol w:w="1007"/>
        <w:gridCol w:w="1230"/>
        <w:gridCol w:w="1699"/>
        <w:gridCol w:w="1842"/>
        <w:gridCol w:w="1985"/>
        <w:gridCol w:w="1276"/>
        <w:gridCol w:w="1275"/>
        <w:gridCol w:w="1276"/>
        <w:gridCol w:w="1134"/>
        <w:gridCol w:w="1276"/>
      </w:tblGrid>
      <w:tr w:rsidR="00ED4C18" w:rsidRPr="00ED4C18" w:rsidTr="00624473">
        <w:trPr>
          <w:trHeight w:val="501"/>
        </w:trPr>
        <w:tc>
          <w:tcPr>
            <w:tcW w:w="1007" w:type="dxa"/>
          </w:tcPr>
          <w:p w:rsidR="00624473" w:rsidRPr="00ED4C18" w:rsidRDefault="00624473" w:rsidP="00624473">
            <w:pPr>
              <w:jc w:val="center"/>
              <w:rPr>
                <w:rFonts w:ascii="Arial Narrow" w:hAnsi="Arial Narrow"/>
                <w:sz w:val="20"/>
              </w:rPr>
            </w:pPr>
            <w:bookmarkStart w:id="0" w:name="_GoBack" w:colFirst="0" w:colLast="10"/>
            <w:r w:rsidRPr="00ED4C18">
              <w:rPr>
                <w:rFonts w:ascii="Arial Narrow" w:hAnsi="Arial Narrow"/>
                <w:sz w:val="20"/>
              </w:rPr>
              <w:lastRenderedPageBreak/>
              <w:t>GT3</w:t>
            </w:r>
          </w:p>
        </w:tc>
        <w:tc>
          <w:tcPr>
            <w:tcW w:w="1230" w:type="dxa"/>
          </w:tcPr>
          <w:p w:rsidR="00624473" w:rsidRPr="00ED4C18" w:rsidRDefault="00624473" w:rsidP="00624473">
            <w:pPr>
              <w:jc w:val="center"/>
              <w:rPr>
                <w:rFonts w:ascii="Arial Narrow" w:hAnsi="Arial Narrow"/>
                <w:sz w:val="20"/>
              </w:rPr>
            </w:pPr>
            <w:r w:rsidRPr="00ED4C18">
              <w:rPr>
                <w:rFonts w:ascii="Arial Narrow" w:hAnsi="Arial Narrow"/>
                <w:sz w:val="20"/>
              </w:rPr>
              <w:t>N/</w:t>
            </w:r>
            <w:proofErr w:type="spellStart"/>
            <w:r w:rsidRPr="00ED4C18">
              <w:rPr>
                <w:rFonts w:ascii="Arial Narrow" w:hAnsi="Arial Narrow"/>
                <w:sz w:val="20"/>
              </w:rPr>
              <w:t>Exp</w:t>
            </w:r>
            <w:proofErr w:type="spellEnd"/>
            <w:r w:rsidRPr="00ED4C18">
              <w:rPr>
                <w:rFonts w:ascii="Arial Narrow" w:hAnsi="Arial Narrow"/>
                <w:sz w:val="20"/>
              </w:rPr>
              <w:t xml:space="preserve"> IFN-free</w:t>
            </w:r>
          </w:p>
        </w:tc>
        <w:tc>
          <w:tcPr>
            <w:tcW w:w="1699" w:type="dxa"/>
          </w:tcPr>
          <w:p w:rsidR="00624473" w:rsidRPr="00ED4C18" w:rsidRDefault="00624473" w:rsidP="00624473">
            <w:pPr>
              <w:jc w:val="center"/>
              <w:rPr>
                <w:rFonts w:ascii="Arial Narrow" w:hAnsi="Arial Narrow"/>
                <w:sz w:val="20"/>
              </w:rPr>
            </w:pPr>
            <w:r w:rsidRPr="00ED4C18">
              <w:rPr>
                <w:rFonts w:ascii="Arial Narrow" w:hAnsi="Arial Narrow"/>
                <w:sz w:val="20"/>
              </w:rPr>
              <w:t>SOF24 + R24</w:t>
            </w:r>
          </w:p>
        </w:tc>
        <w:tc>
          <w:tcPr>
            <w:tcW w:w="1842" w:type="dxa"/>
          </w:tcPr>
          <w:p w:rsidR="00624473" w:rsidRPr="00ED4C18" w:rsidRDefault="00624473" w:rsidP="00624473">
            <w:pPr>
              <w:jc w:val="center"/>
              <w:rPr>
                <w:rFonts w:ascii="Arial Narrow" w:hAnsi="Arial Narrow"/>
                <w:sz w:val="20"/>
              </w:rPr>
            </w:pPr>
            <w:r w:rsidRPr="00ED4C18">
              <w:rPr>
                <w:rFonts w:ascii="Arial Narrow" w:hAnsi="Arial Narrow"/>
                <w:sz w:val="20"/>
              </w:rPr>
              <w:t>None</w:t>
            </w:r>
          </w:p>
        </w:tc>
        <w:tc>
          <w:tcPr>
            <w:tcW w:w="1985" w:type="dxa"/>
          </w:tcPr>
          <w:p w:rsidR="00624473" w:rsidRPr="00ED4C18" w:rsidRDefault="00624473" w:rsidP="00624473">
            <w:pPr>
              <w:jc w:val="center"/>
              <w:rPr>
                <w:rFonts w:ascii="Arial Narrow" w:hAnsi="Arial Narrow"/>
                <w:sz w:val="20"/>
              </w:rPr>
            </w:pPr>
            <w:r w:rsidRPr="00ED4C18">
              <w:rPr>
                <w:rFonts w:ascii="Arial Narrow" w:hAnsi="Arial Narrow"/>
                <w:sz w:val="20"/>
              </w:rPr>
              <w:t>VALENCE</w:t>
            </w:r>
          </w:p>
        </w:tc>
        <w:tc>
          <w:tcPr>
            <w:tcW w:w="1276" w:type="dxa"/>
          </w:tcPr>
          <w:p w:rsidR="00624473" w:rsidRPr="00ED4C18" w:rsidRDefault="00624473" w:rsidP="00624473">
            <w:pPr>
              <w:jc w:val="center"/>
              <w:rPr>
                <w:rFonts w:ascii="Arial Narrow" w:hAnsi="Arial Narrow"/>
                <w:sz w:val="20"/>
              </w:rPr>
            </w:pPr>
            <w:r w:rsidRPr="00ED4C18">
              <w:rPr>
                <w:rFonts w:ascii="Arial Narrow" w:hAnsi="Arial Narrow"/>
                <w:sz w:val="20"/>
              </w:rPr>
              <w:t>98/105</w:t>
            </w:r>
          </w:p>
          <w:p w:rsidR="00624473" w:rsidRPr="00ED4C18" w:rsidRDefault="00624473" w:rsidP="00624473">
            <w:pPr>
              <w:jc w:val="center"/>
              <w:rPr>
                <w:rFonts w:ascii="Arial Narrow" w:hAnsi="Arial Narrow"/>
                <w:sz w:val="20"/>
              </w:rPr>
            </w:pPr>
            <w:r w:rsidRPr="00ED4C18">
              <w:rPr>
                <w:rFonts w:ascii="Arial Narrow" w:hAnsi="Arial Narrow"/>
                <w:sz w:val="20"/>
              </w:rPr>
              <w:t>=93% (N) to</w:t>
            </w:r>
          </w:p>
          <w:p w:rsidR="00624473" w:rsidRPr="00ED4C18" w:rsidRDefault="00624473" w:rsidP="00624473">
            <w:pPr>
              <w:jc w:val="center"/>
              <w:rPr>
                <w:rFonts w:ascii="Arial Narrow" w:hAnsi="Arial Narrow"/>
                <w:sz w:val="20"/>
              </w:rPr>
            </w:pPr>
            <w:r w:rsidRPr="00ED4C18">
              <w:rPr>
                <w:rFonts w:ascii="Arial Narrow" w:hAnsi="Arial Narrow"/>
                <w:sz w:val="20"/>
              </w:rPr>
              <w:t>113/145</w:t>
            </w:r>
          </w:p>
          <w:p w:rsidR="00624473" w:rsidRPr="00ED4C18" w:rsidRDefault="00624473" w:rsidP="00624473">
            <w:pPr>
              <w:jc w:val="center"/>
              <w:rPr>
                <w:rFonts w:ascii="Arial Narrow" w:hAnsi="Arial Narrow"/>
                <w:sz w:val="20"/>
              </w:rPr>
            </w:pPr>
            <w:r w:rsidRPr="00ED4C18">
              <w:rPr>
                <w:rFonts w:ascii="Arial Narrow" w:hAnsi="Arial Narrow"/>
                <w:sz w:val="20"/>
              </w:rPr>
              <w:t>=78% (</w:t>
            </w:r>
            <w:proofErr w:type="spellStart"/>
            <w:r w:rsidRPr="00ED4C18">
              <w:rPr>
                <w:rFonts w:ascii="Arial Narrow" w:hAnsi="Arial Narrow"/>
                <w:sz w:val="20"/>
              </w:rPr>
              <w:t>Exp</w:t>
            </w:r>
            <w:proofErr w:type="spellEnd"/>
            <w:r w:rsidRPr="00ED4C18">
              <w:rPr>
                <w:rFonts w:ascii="Arial Narrow" w:hAnsi="Arial Narrow"/>
                <w:sz w:val="20"/>
              </w:rPr>
              <w:t>)</w:t>
            </w:r>
          </w:p>
        </w:tc>
        <w:tc>
          <w:tcPr>
            <w:tcW w:w="1275" w:type="dxa"/>
          </w:tcPr>
          <w:p w:rsidR="00624473" w:rsidRPr="00ED4C18" w:rsidRDefault="00624473" w:rsidP="00624473">
            <w:pPr>
              <w:jc w:val="center"/>
              <w:rPr>
                <w:rFonts w:ascii="Arial Narrow" w:hAnsi="Arial Narrow"/>
                <w:sz w:val="20"/>
              </w:rPr>
            </w:pPr>
            <w:r w:rsidRPr="00ED4C18">
              <w:rPr>
                <w:rFonts w:ascii="Arial Narrow" w:hAnsi="Arial Narrow"/>
                <w:sz w:val="20"/>
              </w:rPr>
              <w:t>0</w:t>
            </w:r>
          </w:p>
        </w:tc>
        <w:tc>
          <w:tcPr>
            <w:tcW w:w="1276" w:type="dxa"/>
          </w:tcPr>
          <w:p w:rsidR="00624473" w:rsidRPr="00ED4C18" w:rsidRDefault="00624473" w:rsidP="00624473">
            <w:pPr>
              <w:jc w:val="center"/>
              <w:rPr>
                <w:rFonts w:ascii="Arial Narrow" w:hAnsi="Arial Narrow"/>
                <w:sz w:val="20"/>
              </w:rPr>
            </w:pPr>
            <w:r w:rsidRPr="00ED4C18">
              <w:rPr>
                <w:rFonts w:ascii="Arial Narrow" w:hAnsi="Arial Narrow"/>
                <w:sz w:val="20"/>
              </w:rPr>
              <w:t>78-93</w:t>
            </w:r>
          </w:p>
        </w:tc>
        <w:tc>
          <w:tcPr>
            <w:tcW w:w="1134" w:type="dxa"/>
          </w:tcPr>
          <w:p w:rsidR="00FA2C18" w:rsidRPr="00ED4C18" w:rsidRDefault="00FA2C18" w:rsidP="00FA2C18">
            <w:pPr>
              <w:jc w:val="center"/>
              <w:rPr>
                <w:rFonts w:ascii="Arial Narrow" w:hAnsi="Arial Narrow"/>
                <w:sz w:val="20"/>
              </w:rPr>
            </w:pPr>
            <w:r w:rsidRPr="00ED4C18">
              <w:rPr>
                <w:rFonts w:ascii="Arial Narrow" w:hAnsi="Arial Narrow"/>
                <w:sz w:val="20"/>
              </w:rPr>
              <w:t xml:space="preserve">N;IFN eligible: </w:t>
            </w:r>
          </w:p>
          <w:p w:rsidR="00FA2C18" w:rsidRPr="00ED4C18" w:rsidRDefault="00FA2C18" w:rsidP="00FA2C18">
            <w:pPr>
              <w:jc w:val="center"/>
              <w:rPr>
                <w:rFonts w:ascii="Arial Narrow" w:hAnsi="Arial Narrow"/>
                <w:sz w:val="20"/>
              </w:rPr>
            </w:pPr>
            <w:r>
              <w:rPr>
                <w:rFonts w:ascii="Arial Narrow" w:hAnsi="Arial Narrow"/>
                <w:sz w:val="20"/>
              </w:rPr>
              <w:t>$105,000/QALY-$200,000/QALY</w:t>
            </w:r>
          </w:p>
          <w:p w:rsidR="00FA2C18" w:rsidRPr="00ED4C18" w:rsidRDefault="00FA2C18" w:rsidP="00FA2C18">
            <w:pPr>
              <w:jc w:val="center"/>
              <w:rPr>
                <w:rFonts w:ascii="Arial Narrow" w:hAnsi="Arial Narrow"/>
                <w:sz w:val="20"/>
              </w:rPr>
            </w:pPr>
          </w:p>
          <w:p w:rsidR="00FA2C18" w:rsidRPr="00ED4C18" w:rsidRDefault="00FA2C18" w:rsidP="00FA2C18">
            <w:pPr>
              <w:jc w:val="center"/>
              <w:rPr>
                <w:rFonts w:ascii="Arial Narrow" w:hAnsi="Arial Narrow"/>
                <w:sz w:val="20"/>
              </w:rPr>
            </w:pPr>
            <w:r w:rsidRPr="00ED4C18">
              <w:rPr>
                <w:rFonts w:ascii="Arial Narrow" w:hAnsi="Arial Narrow"/>
                <w:sz w:val="20"/>
              </w:rPr>
              <w:t>N; IFN unsuitable: $63,433</w:t>
            </w:r>
            <w:r>
              <w:rPr>
                <w:rFonts w:ascii="Arial Narrow" w:hAnsi="Arial Narrow"/>
                <w:sz w:val="20"/>
              </w:rPr>
              <w:t xml:space="preserve"> $45,000/QALY-$75,000/QALY</w:t>
            </w:r>
          </w:p>
          <w:p w:rsidR="00FA2C18" w:rsidRPr="00ED4C18" w:rsidRDefault="00FA2C18" w:rsidP="00FA2C18">
            <w:pPr>
              <w:jc w:val="center"/>
              <w:rPr>
                <w:rFonts w:ascii="Arial Narrow" w:hAnsi="Arial Narrow"/>
                <w:sz w:val="20"/>
              </w:rPr>
            </w:pPr>
          </w:p>
          <w:p w:rsidR="00FA2C18" w:rsidRPr="00ED4C18" w:rsidRDefault="00FA2C18" w:rsidP="00FA2C18">
            <w:pPr>
              <w:jc w:val="center"/>
              <w:rPr>
                <w:rFonts w:ascii="Arial Narrow" w:hAnsi="Arial Narrow"/>
                <w:sz w:val="20"/>
              </w:rPr>
            </w:pPr>
            <w:proofErr w:type="spellStart"/>
            <w:r w:rsidRPr="00ED4C18">
              <w:rPr>
                <w:rFonts w:ascii="Arial Narrow" w:hAnsi="Arial Narrow"/>
                <w:sz w:val="20"/>
              </w:rPr>
              <w:t>Exp</w:t>
            </w:r>
            <w:proofErr w:type="spellEnd"/>
            <w:r w:rsidRPr="00ED4C18">
              <w:rPr>
                <w:rFonts w:ascii="Arial Narrow" w:hAnsi="Arial Narrow"/>
                <w:sz w:val="20"/>
              </w:rPr>
              <w:t>; IFN eligible:</w:t>
            </w:r>
          </w:p>
          <w:p w:rsidR="00FA2C18" w:rsidRPr="00ED4C18" w:rsidRDefault="00FA2C18" w:rsidP="00FA2C18">
            <w:pPr>
              <w:jc w:val="center"/>
              <w:rPr>
                <w:rFonts w:ascii="Arial Narrow" w:hAnsi="Arial Narrow"/>
                <w:sz w:val="20"/>
              </w:rPr>
            </w:pPr>
            <w:r>
              <w:rPr>
                <w:rFonts w:ascii="Arial Narrow" w:hAnsi="Arial Narrow"/>
                <w:sz w:val="20"/>
              </w:rPr>
              <w:t>$75,000/QALY-$105,000/QALY</w:t>
            </w:r>
          </w:p>
          <w:p w:rsidR="00FA2C18" w:rsidRPr="00ED4C18" w:rsidRDefault="00FA2C18" w:rsidP="00FA2C18">
            <w:pPr>
              <w:jc w:val="center"/>
              <w:rPr>
                <w:rFonts w:ascii="Arial Narrow" w:hAnsi="Arial Narrow"/>
                <w:sz w:val="20"/>
              </w:rPr>
            </w:pPr>
          </w:p>
          <w:p w:rsidR="00624473" w:rsidRPr="00ED4C18" w:rsidRDefault="00FA2C18" w:rsidP="0056382A">
            <w:pPr>
              <w:jc w:val="center"/>
              <w:rPr>
                <w:rFonts w:ascii="Arial Narrow" w:hAnsi="Arial Narrow"/>
                <w:sz w:val="20"/>
              </w:rPr>
            </w:pPr>
            <w:proofErr w:type="spellStart"/>
            <w:r w:rsidRPr="00ED4C18">
              <w:rPr>
                <w:rFonts w:ascii="Arial Narrow" w:hAnsi="Arial Narrow"/>
                <w:sz w:val="20"/>
              </w:rPr>
              <w:t>Exp</w:t>
            </w:r>
            <w:proofErr w:type="spellEnd"/>
            <w:r w:rsidRPr="00ED4C18">
              <w:rPr>
                <w:rFonts w:ascii="Arial Narrow" w:hAnsi="Arial Narrow"/>
                <w:sz w:val="20"/>
              </w:rPr>
              <w:t xml:space="preserve">; IFN unsuitable: </w:t>
            </w:r>
            <w:r>
              <w:rPr>
                <w:rFonts w:ascii="Arial Narrow" w:hAnsi="Arial Narrow"/>
                <w:sz w:val="20"/>
              </w:rPr>
              <w:t>75,000/QALY-$105,000/QALY</w:t>
            </w:r>
          </w:p>
        </w:tc>
        <w:tc>
          <w:tcPr>
            <w:tcW w:w="1276" w:type="dxa"/>
          </w:tcPr>
          <w:p w:rsidR="00624473" w:rsidRPr="00ED4C18" w:rsidRDefault="00624473" w:rsidP="00624473">
            <w:pPr>
              <w:jc w:val="center"/>
              <w:rPr>
                <w:rFonts w:ascii="Arial Narrow" w:hAnsi="Arial Narrow"/>
                <w:sz w:val="20"/>
              </w:rPr>
            </w:pPr>
            <w:r w:rsidRPr="00ED4C18">
              <w:rPr>
                <w:rFonts w:ascii="Arial Narrow" w:hAnsi="Arial Narrow"/>
                <w:sz w:val="20"/>
              </w:rPr>
              <w:t>N; IFN eligible:</w:t>
            </w:r>
          </w:p>
          <w:p w:rsidR="00624473" w:rsidRPr="0056382A" w:rsidRDefault="00C26896" w:rsidP="00624473">
            <w:pPr>
              <w:jc w:val="center"/>
              <w:rPr>
                <w:rFonts w:ascii="Arial Narrow" w:hAnsi="Arial Narrow"/>
                <w:sz w:val="20"/>
              </w:rPr>
            </w:pPr>
            <w:r>
              <w:rPr>
                <w:rFonts w:ascii="Arial Narrow" w:hAnsi="Arial Narrow"/>
                <w:noProof/>
                <w:color w:val="000000"/>
                <w:sz w:val="20"/>
                <w:highlight w:val="black"/>
              </w:rPr>
              <w:t>''''''''''</w:t>
            </w:r>
            <w:r w:rsidR="00624473" w:rsidRPr="0056382A">
              <w:rPr>
                <w:rFonts w:ascii="Arial Narrow" w:hAnsi="Arial Narrow"/>
                <w:sz w:val="20"/>
              </w:rPr>
              <w:t>%</w:t>
            </w:r>
          </w:p>
          <w:p w:rsidR="00624473" w:rsidRPr="00ED4C18" w:rsidRDefault="00624473" w:rsidP="00624473">
            <w:pPr>
              <w:jc w:val="center"/>
              <w:rPr>
                <w:rFonts w:ascii="Arial Narrow" w:hAnsi="Arial Narrow"/>
                <w:sz w:val="20"/>
              </w:rPr>
            </w:pPr>
          </w:p>
          <w:p w:rsidR="00624473" w:rsidRPr="00ED4C18" w:rsidRDefault="00624473" w:rsidP="00624473">
            <w:pPr>
              <w:jc w:val="center"/>
              <w:rPr>
                <w:rFonts w:ascii="Arial Narrow" w:hAnsi="Arial Narrow"/>
                <w:sz w:val="20"/>
              </w:rPr>
            </w:pPr>
            <w:r w:rsidRPr="00ED4C18">
              <w:rPr>
                <w:rFonts w:ascii="Arial Narrow" w:hAnsi="Arial Narrow"/>
                <w:sz w:val="20"/>
              </w:rPr>
              <w:t>N; IFN unsuitable:</w:t>
            </w:r>
          </w:p>
          <w:p w:rsidR="00624473" w:rsidRPr="00C26896" w:rsidRDefault="00C26896" w:rsidP="00624473">
            <w:pPr>
              <w:jc w:val="center"/>
              <w:rPr>
                <w:rFonts w:ascii="Arial Narrow" w:hAnsi="Arial Narrow"/>
                <w:sz w:val="20"/>
              </w:rPr>
            </w:pPr>
            <w:r>
              <w:rPr>
                <w:rFonts w:ascii="Arial Narrow" w:hAnsi="Arial Narrow"/>
                <w:noProof/>
                <w:color w:val="000000"/>
                <w:sz w:val="20"/>
                <w:highlight w:val="black"/>
              </w:rPr>
              <w:t>'''''''''''</w:t>
            </w:r>
            <w:r w:rsidR="00624473" w:rsidRPr="0056382A">
              <w:rPr>
                <w:rFonts w:ascii="Arial Narrow" w:hAnsi="Arial Narrow"/>
                <w:sz w:val="20"/>
              </w:rPr>
              <w:t>%</w:t>
            </w:r>
            <w:r>
              <w:rPr>
                <w:rFonts w:ascii="Arial Narrow" w:hAnsi="Arial Narrow"/>
                <w:noProof/>
                <w:color w:val="000000"/>
                <w:sz w:val="20"/>
                <w:highlight w:val="black"/>
              </w:rPr>
              <w:t xml:space="preserve"> </w:t>
            </w:r>
          </w:p>
          <w:p w:rsidR="00624473" w:rsidRPr="00ED4C18" w:rsidRDefault="00624473" w:rsidP="00624473">
            <w:pPr>
              <w:jc w:val="center"/>
              <w:rPr>
                <w:rFonts w:ascii="Arial Narrow" w:hAnsi="Arial Narrow"/>
                <w:sz w:val="20"/>
              </w:rPr>
            </w:pPr>
          </w:p>
          <w:p w:rsidR="00624473" w:rsidRPr="00ED4C18" w:rsidRDefault="00624473" w:rsidP="00624473">
            <w:pPr>
              <w:jc w:val="center"/>
              <w:rPr>
                <w:rFonts w:ascii="Arial Narrow" w:hAnsi="Arial Narrow"/>
                <w:sz w:val="20"/>
              </w:rPr>
            </w:pPr>
            <w:proofErr w:type="spellStart"/>
            <w:r w:rsidRPr="00ED4C18">
              <w:rPr>
                <w:rFonts w:ascii="Arial Narrow" w:hAnsi="Arial Narrow"/>
                <w:sz w:val="20"/>
              </w:rPr>
              <w:t>Exp</w:t>
            </w:r>
            <w:proofErr w:type="spellEnd"/>
            <w:r w:rsidRPr="00ED4C18">
              <w:rPr>
                <w:rFonts w:ascii="Arial Narrow" w:hAnsi="Arial Narrow"/>
                <w:sz w:val="20"/>
              </w:rPr>
              <w:t>; IFN eligible:</w:t>
            </w:r>
          </w:p>
          <w:p w:rsidR="00624473" w:rsidRPr="0056382A" w:rsidRDefault="00C26896" w:rsidP="00624473">
            <w:pPr>
              <w:jc w:val="center"/>
              <w:rPr>
                <w:rFonts w:ascii="Arial Narrow" w:hAnsi="Arial Narrow"/>
                <w:sz w:val="20"/>
              </w:rPr>
            </w:pPr>
            <w:r>
              <w:rPr>
                <w:rFonts w:ascii="Arial Narrow" w:hAnsi="Arial Narrow"/>
                <w:noProof/>
                <w:color w:val="000000"/>
                <w:sz w:val="20"/>
                <w:highlight w:val="black"/>
              </w:rPr>
              <w:t>'''''''''''</w:t>
            </w:r>
            <w:r w:rsidR="00624473" w:rsidRPr="0056382A">
              <w:rPr>
                <w:rFonts w:ascii="Arial Narrow" w:hAnsi="Arial Narrow"/>
                <w:sz w:val="20"/>
              </w:rPr>
              <w:t>%</w:t>
            </w:r>
          </w:p>
          <w:p w:rsidR="00624473" w:rsidRPr="00ED4C18" w:rsidRDefault="00624473" w:rsidP="00624473">
            <w:pPr>
              <w:jc w:val="center"/>
              <w:rPr>
                <w:rFonts w:ascii="Arial Narrow" w:hAnsi="Arial Narrow"/>
                <w:sz w:val="20"/>
              </w:rPr>
            </w:pPr>
          </w:p>
          <w:p w:rsidR="00624473" w:rsidRPr="00ED4C18" w:rsidRDefault="00624473" w:rsidP="00624473">
            <w:pPr>
              <w:jc w:val="center"/>
              <w:rPr>
                <w:rFonts w:ascii="Arial Narrow" w:hAnsi="Arial Narrow"/>
                <w:sz w:val="20"/>
              </w:rPr>
            </w:pPr>
            <w:proofErr w:type="spellStart"/>
            <w:r w:rsidRPr="00ED4C18">
              <w:rPr>
                <w:rFonts w:ascii="Arial Narrow" w:hAnsi="Arial Narrow"/>
                <w:sz w:val="20"/>
              </w:rPr>
              <w:t>Exp</w:t>
            </w:r>
            <w:proofErr w:type="spellEnd"/>
            <w:r w:rsidRPr="00ED4C18">
              <w:rPr>
                <w:rFonts w:ascii="Arial Narrow" w:hAnsi="Arial Narrow"/>
                <w:sz w:val="20"/>
              </w:rPr>
              <w:t>; IFN unsuitable;</w:t>
            </w:r>
            <w:r w:rsidR="00C26896">
              <w:rPr>
                <w:rFonts w:ascii="Arial Narrow" w:hAnsi="Arial Narrow"/>
                <w:noProof/>
                <w:color w:val="000000"/>
                <w:sz w:val="20"/>
                <w:highlight w:val="black"/>
              </w:rPr>
              <w:t>'''''''''''</w:t>
            </w:r>
            <w:r w:rsidRPr="0056382A">
              <w:rPr>
                <w:rFonts w:ascii="Arial Narrow" w:hAnsi="Arial Narrow"/>
                <w:sz w:val="20"/>
              </w:rPr>
              <w:t>%</w:t>
            </w:r>
            <w:r w:rsidRPr="00ED4C18">
              <w:rPr>
                <w:rFonts w:ascii="Arial Narrow" w:hAnsi="Arial Narrow"/>
                <w:sz w:val="20"/>
              </w:rPr>
              <w:t xml:space="preserve"> </w:t>
            </w:r>
          </w:p>
        </w:tc>
      </w:tr>
      <w:bookmarkEnd w:id="0"/>
      <w:tr w:rsidR="00ED4C18" w:rsidRPr="00ED4C18" w:rsidTr="00624473">
        <w:trPr>
          <w:trHeight w:val="141"/>
        </w:trPr>
        <w:tc>
          <w:tcPr>
            <w:tcW w:w="1007" w:type="dxa"/>
          </w:tcPr>
          <w:p w:rsidR="00624473" w:rsidRPr="00ED4C18" w:rsidRDefault="00624473" w:rsidP="00624473">
            <w:pPr>
              <w:jc w:val="center"/>
              <w:rPr>
                <w:rFonts w:ascii="Arial Narrow" w:hAnsi="Arial Narrow"/>
                <w:sz w:val="20"/>
              </w:rPr>
            </w:pPr>
            <w:r w:rsidRPr="00ED4C18">
              <w:rPr>
                <w:rFonts w:ascii="Arial Narrow" w:hAnsi="Arial Narrow"/>
                <w:sz w:val="20"/>
              </w:rPr>
              <w:t>GT4-6</w:t>
            </w:r>
          </w:p>
        </w:tc>
        <w:tc>
          <w:tcPr>
            <w:tcW w:w="1230" w:type="dxa"/>
          </w:tcPr>
          <w:p w:rsidR="00624473" w:rsidRPr="00ED4C18" w:rsidRDefault="00624473" w:rsidP="00624473">
            <w:pPr>
              <w:jc w:val="center"/>
              <w:rPr>
                <w:rFonts w:ascii="Arial Narrow" w:hAnsi="Arial Narrow"/>
                <w:sz w:val="20"/>
              </w:rPr>
            </w:pPr>
            <w:r w:rsidRPr="00ED4C18">
              <w:rPr>
                <w:rFonts w:ascii="Arial Narrow" w:hAnsi="Arial Narrow"/>
                <w:sz w:val="20"/>
              </w:rPr>
              <w:t>Naïve</w:t>
            </w:r>
          </w:p>
        </w:tc>
        <w:tc>
          <w:tcPr>
            <w:tcW w:w="1699" w:type="dxa"/>
          </w:tcPr>
          <w:p w:rsidR="00624473" w:rsidRPr="00ED4C18" w:rsidRDefault="00624473" w:rsidP="00624473">
            <w:pPr>
              <w:jc w:val="center"/>
              <w:rPr>
                <w:rFonts w:ascii="Arial Narrow" w:hAnsi="Arial Narrow"/>
                <w:sz w:val="20"/>
              </w:rPr>
            </w:pPr>
            <w:r w:rsidRPr="00ED4C18">
              <w:rPr>
                <w:rFonts w:ascii="Arial Narrow" w:hAnsi="Arial Narrow"/>
                <w:sz w:val="20"/>
              </w:rPr>
              <w:t>SOF12 + PR12</w:t>
            </w:r>
          </w:p>
        </w:tc>
        <w:tc>
          <w:tcPr>
            <w:tcW w:w="1842" w:type="dxa"/>
          </w:tcPr>
          <w:p w:rsidR="00624473" w:rsidRPr="00ED4C18" w:rsidRDefault="00624473" w:rsidP="00624473">
            <w:pPr>
              <w:jc w:val="center"/>
              <w:rPr>
                <w:rFonts w:ascii="Arial Narrow" w:hAnsi="Arial Narrow"/>
                <w:sz w:val="20"/>
              </w:rPr>
            </w:pPr>
            <w:r w:rsidRPr="00ED4C18">
              <w:rPr>
                <w:rFonts w:ascii="Arial Narrow" w:hAnsi="Arial Narrow"/>
                <w:sz w:val="20"/>
              </w:rPr>
              <w:t>PR48</w:t>
            </w:r>
          </w:p>
        </w:tc>
        <w:tc>
          <w:tcPr>
            <w:tcW w:w="1985" w:type="dxa"/>
          </w:tcPr>
          <w:p w:rsidR="00624473" w:rsidRPr="00ED4C18" w:rsidRDefault="00624473" w:rsidP="00624473">
            <w:pPr>
              <w:jc w:val="center"/>
              <w:rPr>
                <w:rFonts w:ascii="Arial Narrow" w:hAnsi="Arial Narrow"/>
                <w:sz w:val="20"/>
              </w:rPr>
            </w:pPr>
            <w:r w:rsidRPr="00ED4C18">
              <w:rPr>
                <w:rFonts w:ascii="Arial Narrow" w:hAnsi="Arial Narrow"/>
                <w:sz w:val="20"/>
              </w:rPr>
              <w:t>NEUTRINO</w:t>
            </w:r>
          </w:p>
          <w:p w:rsidR="00624473" w:rsidRPr="00ED4C18" w:rsidRDefault="00624473" w:rsidP="00624473">
            <w:pPr>
              <w:jc w:val="center"/>
              <w:rPr>
                <w:rFonts w:ascii="Arial Narrow" w:hAnsi="Arial Narrow"/>
                <w:sz w:val="20"/>
              </w:rPr>
            </w:pPr>
            <w:r w:rsidRPr="00ED4C18">
              <w:rPr>
                <w:rFonts w:ascii="Arial Narrow" w:hAnsi="Arial Narrow"/>
                <w:sz w:val="20"/>
              </w:rPr>
              <w:t>Vs</w:t>
            </w:r>
          </w:p>
          <w:p w:rsidR="00624473" w:rsidRPr="00ED4C18" w:rsidRDefault="00624473" w:rsidP="00624473">
            <w:pPr>
              <w:jc w:val="center"/>
              <w:rPr>
                <w:rFonts w:ascii="Arial Narrow" w:hAnsi="Arial Narrow"/>
                <w:sz w:val="20"/>
              </w:rPr>
            </w:pPr>
            <w:proofErr w:type="spellStart"/>
            <w:r w:rsidRPr="00ED4C18">
              <w:rPr>
                <w:rFonts w:ascii="Arial Narrow" w:hAnsi="Arial Narrow"/>
                <w:sz w:val="20"/>
              </w:rPr>
              <w:t>Manns</w:t>
            </w:r>
            <w:proofErr w:type="spellEnd"/>
            <w:r w:rsidRPr="00ED4C18">
              <w:rPr>
                <w:rFonts w:ascii="Arial Narrow" w:hAnsi="Arial Narrow"/>
                <w:sz w:val="20"/>
              </w:rPr>
              <w:t xml:space="preserve"> et al.</w:t>
            </w:r>
          </w:p>
        </w:tc>
        <w:tc>
          <w:tcPr>
            <w:tcW w:w="1276" w:type="dxa"/>
          </w:tcPr>
          <w:p w:rsidR="00624473" w:rsidRPr="00ED4C18" w:rsidRDefault="00624473" w:rsidP="00624473">
            <w:pPr>
              <w:jc w:val="center"/>
              <w:rPr>
                <w:rFonts w:ascii="Arial Narrow" w:hAnsi="Arial Narrow"/>
                <w:sz w:val="20"/>
              </w:rPr>
            </w:pPr>
            <w:r w:rsidRPr="00ED4C18">
              <w:rPr>
                <w:rFonts w:ascii="Arial Narrow" w:hAnsi="Arial Narrow"/>
                <w:sz w:val="20"/>
              </w:rPr>
              <w:t>34/35</w:t>
            </w:r>
          </w:p>
          <w:p w:rsidR="00624473" w:rsidRPr="00ED4C18" w:rsidRDefault="00624473" w:rsidP="00624473">
            <w:pPr>
              <w:jc w:val="center"/>
              <w:rPr>
                <w:rFonts w:ascii="Arial Narrow" w:hAnsi="Arial Narrow"/>
                <w:sz w:val="20"/>
              </w:rPr>
            </w:pPr>
            <w:r w:rsidRPr="00ED4C18">
              <w:rPr>
                <w:rFonts w:ascii="Arial Narrow" w:hAnsi="Arial Narrow"/>
                <w:sz w:val="20"/>
              </w:rPr>
              <w:t>=97%</w:t>
            </w:r>
          </w:p>
        </w:tc>
        <w:tc>
          <w:tcPr>
            <w:tcW w:w="1275" w:type="dxa"/>
          </w:tcPr>
          <w:p w:rsidR="00624473" w:rsidRPr="00ED4C18" w:rsidRDefault="00624473" w:rsidP="00624473">
            <w:pPr>
              <w:jc w:val="center"/>
              <w:rPr>
                <w:rFonts w:ascii="Arial Narrow" w:hAnsi="Arial Narrow"/>
                <w:sz w:val="20"/>
              </w:rPr>
            </w:pPr>
            <w:r w:rsidRPr="00ED4C18">
              <w:rPr>
                <w:rFonts w:ascii="Arial Narrow" w:hAnsi="Arial Narrow"/>
                <w:sz w:val="20"/>
              </w:rPr>
              <w:t>~50%</w:t>
            </w:r>
          </w:p>
        </w:tc>
        <w:tc>
          <w:tcPr>
            <w:tcW w:w="1276" w:type="dxa"/>
          </w:tcPr>
          <w:p w:rsidR="00624473" w:rsidRPr="00ED4C18" w:rsidRDefault="00624473" w:rsidP="00624473">
            <w:pPr>
              <w:jc w:val="center"/>
              <w:rPr>
                <w:rFonts w:ascii="Arial Narrow" w:hAnsi="Arial Narrow"/>
                <w:sz w:val="20"/>
              </w:rPr>
            </w:pPr>
            <w:r w:rsidRPr="00ED4C18">
              <w:rPr>
                <w:rFonts w:ascii="Arial Narrow" w:hAnsi="Arial Narrow"/>
                <w:sz w:val="20"/>
              </w:rPr>
              <w:t>~47</w:t>
            </w:r>
          </w:p>
        </w:tc>
        <w:tc>
          <w:tcPr>
            <w:tcW w:w="1134" w:type="dxa"/>
          </w:tcPr>
          <w:p w:rsidR="00FA2C18" w:rsidRPr="00ED4C18" w:rsidRDefault="00624473" w:rsidP="0056382A">
            <w:pPr>
              <w:jc w:val="center"/>
              <w:rPr>
                <w:rFonts w:ascii="Arial Narrow" w:hAnsi="Arial Narrow"/>
                <w:sz w:val="20"/>
              </w:rPr>
            </w:pPr>
            <w:r w:rsidRPr="00ED4C18">
              <w:rPr>
                <w:rFonts w:ascii="Arial Narrow" w:hAnsi="Arial Narrow"/>
                <w:sz w:val="20"/>
              </w:rPr>
              <w:t xml:space="preserve">IFN eligible: </w:t>
            </w:r>
            <w:r w:rsidR="00FA2C18">
              <w:rPr>
                <w:rFonts w:ascii="Arial Narrow" w:hAnsi="Arial Narrow"/>
                <w:sz w:val="20"/>
              </w:rPr>
              <w:t>$75,000/QALY-$105,000/QALY</w:t>
            </w:r>
          </w:p>
        </w:tc>
        <w:tc>
          <w:tcPr>
            <w:tcW w:w="1276" w:type="dxa"/>
          </w:tcPr>
          <w:p w:rsidR="00624473" w:rsidRPr="00ED4C18" w:rsidRDefault="00624473" w:rsidP="00624473">
            <w:pPr>
              <w:jc w:val="center"/>
              <w:rPr>
                <w:rFonts w:ascii="Arial Narrow" w:hAnsi="Arial Narrow"/>
                <w:sz w:val="20"/>
              </w:rPr>
            </w:pPr>
            <w:r w:rsidRPr="00ED4C18">
              <w:rPr>
                <w:rFonts w:ascii="Arial Narrow" w:hAnsi="Arial Narrow"/>
                <w:sz w:val="20"/>
              </w:rPr>
              <w:t xml:space="preserve">IFN eligible; </w:t>
            </w:r>
            <w:r w:rsidR="00C26896">
              <w:rPr>
                <w:rFonts w:ascii="Arial Narrow" w:hAnsi="Arial Narrow"/>
                <w:noProof/>
                <w:color w:val="000000"/>
                <w:sz w:val="20"/>
                <w:highlight w:val="black"/>
              </w:rPr>
              <w:t>'''''''''''</w:t>
            </w:r>
            <w:r w:rsidRPr="0056382A">
              <w:rPr>
                <w:rFonts w:ascii="Arial Narrow" w:hAnsi="Arial Narrow"/>
                <w:sz w:val="20"/>
              </w:rPr>
              <w:t>%</w:t>
            </w:r>
          </w:p>
        </w:tc>
      </w:tr>
    </w:tbl>
    <w:p w:rsidR="00E06107" w:rsidRDefault="00E06107" w:rsidP="00624473">
      <w:pPr>
        <w:rPr>
          <w:rStyle w:val="CommentReference"/>
        </w:rPr>
      </w:pPr>
    </w:p>
    <w:p w:rsidR="00E06107" w:rsidRPr="00E06107" w:rsidRDefault="00E06107" w:rsidP="00E06107">
      <w:pPr>
        <w:jc w:val="both"/>
        <w:rPr>
          <w:i/>
          <w:szCs w:val="22"/>
        </w:rPr>
      </w:pPr>
      <w:r w:rsidRPr="00E06107">
        <w:rPr>
          <w:i/>
          <w:szCs w:val="22"/>
        </w:rPr>
        <w:t>For more detail on PBAC’s view, see section 7 “PBAC outcome”.</w:t>
      </w:r>
    </w:p>
    <w:p w:rsidR="00E06107" w:rsidRDefault="00E06107" w:rsidP="00624473">
      <w:pPr>
        <w:rPr>
          <w:rStyle w:val="CommentReference"/>
        </w:rPr>
      </w:pPr>
    </w:p>
    <w:p w:rsidR="00624473" w:rsidRDefault="00624473" w:rsidP="00624473">
      <w:pPr>
        <w:rPr>
          <w:rStyle w:val="CommentReference"/>
        </w:rPr>
      </w:pPr>
      <w:r w:rsidRPr="00ED4C18">
        <w:rPr>
          <w:rStyle w:val="CommentReference"/>
        </w:rPr>
        <w:br w:type="page"/>
      </w:r>
    </w:p>
    <w:p w:rsidR="00E06107" w:rsidRPr="00ED4C18" w:rsidRDefault="00E06107" w:rsidP="00624473">
      <w:pPr>
        <w:rPr>
          <w:rStyle w:val="CommentReference"/>
          <w:b/>
        </w:rPr>
        <w:sectPr w:rsidR="00E06107" w:rsidRPr="00ED4C18" w:rsidSect="00E06107">
          <w:pgSz w:w="16838" w:h="11906" w:orient="landscape"/>
          <w:pgMar w:top="1440" w:right="1440" w:bottom="1440" w:left="1440" w:header="851" w:footer="629" w:gutter="0"/>
          <w:cols w:space="708"/>
          <w:docGrid w:linePitch="360"/>
        </w:sectPr>
      </w:pPr>
    </w:p>
    <w:p w:rsidR="005A3173" w:rsidRPr="00A917D4" w:rsidRDefault="005A3173" w:rsidP="00A917D4">
      <w:pPr>
        <w:rPr>
          <w:b/>
        </w:rPr>
      </w:pPr>
      <w:r w:rsidRPr="00A917D4">
        <w:rPr>
          <w:b/>
        </w:rPr>
        <w:lastRenderedPageBreak/>
        <w:t>Comparative harms</w:t>
      </w:r>
    </w:p>
    <w:p w:rsidR="006B4DA3" w:rsidRPr="00ED4C18" w:rsidRDefault="006B4DA3" w:rsidP="00624473">
      <w:pPr>
        <w:jc w:val="both"/>
        <w:rPr>
          <w:rFonts w:cs="Arial"/>
          <w:sz w:val="20"/>
          <w:szCs w:val="22"/>
        </w:rPr>
      </w:pPr>
    </w:p>
    <w:p w:rsidR="00FA6055" w:rsidRPr="00E06107" w:rsidRDefault="00F05C83" w:rsidP="00E06107">
      <w:pPr>
        <w:pStyle w:val="ListParagraph"/>
        <w:numPr>
          <w:ilvl w:val="1"/>
          <w:numId w:val="1"/>
        </w:numPr>
        <w:jc w:val="both"/>
        <w:rPr>
          <w:szCs w:val="22"/>
        </w:rPr>
      </w:pPr>
      <w:r w:rsidRPr="00E06107">
        <w:rPr>
          <w:szCs w:val="22"/>
        </w:rPr>
        <w:t xml:space="preserve">The </w:t>
      </w:r>
      <w:proofErr w:type="spellStart"/>
      <w:r w:rsidRPr="00E06107">
        <w:rPr>
          <w:szCs w:val="22"/>
        </w:rPr>
        <w:t>sofosbuvir</w:t>
      </w:r>
      <w:proofErr w:type="spellEnd"/>
      <w:r w:rsidRPr="00E06107">
        <w:rPr>
          <w:szCs w:val="22"/>
        </w:rPr>
        <w:t xml:space="preserve"> treatment regimens were shorter (12 weeks) than those of the active comparators (24-48 weeks) and (except for NEUTRINO</w:t>
      </w:r>
      <w:r w:rsidR="00182D29" w:rsidRPr="00E06107">
        <w:rPr>
          <w:szCs w:val="22"/>
        </w:rPr>
        <w:t xml:space="preserve"> and LONESTAR</w:t>
      </w:r>
      <w:r w:rsidRPr="00E06107">
        <w:rPr>
          <w:szCs w:val="22"/>
        </w:rPr>
        <w:t xml:space="preserve">) did not contain </w:t>
      </w:r>
      <w:proofErr w:type="spellStart"/>
      <w:r w:rsidRPr="00E06107">
        <w:rPr>
          <w:szCs w:val="22"/>
        </w:rPr>
        <w:t>peginterferon</w:t>
      </w:r>
      <w:proofErr w:type="spellEnd"/>
      <w:r w:rsidRPr="00E06107">
        <w:rPr>
          <w:szCs w:val="22"/>
        </w:rPr>
        <w:t xml:space="preserve">.  The safety profile of </w:t>
      </w:r>
      <w:proofErr w:type="spellStart"/>
      <w:r w:rsidRPr="00E06107">
        <w:rPr>
          <w:szCs w:val="22"/>
        </w:rPr>
        <w:t>sofosbuvir</w:t>
      </w:r>
      <w:proofErr w:type="spellEnd"/>
      <w:r w:rsidRPr="00E06107">
        <w:rPr>
          <w:szCs w:val="22"/>
        </w:rPr>
        <w:t xml:space="preserve"> appears to be no worse, and may be superior, to those of the active comparators.  Compared with placebo, patients receiving </w:t>
      </w:r>
      <w:proofErr w:type="spellStart"/>
      <w:r w:rsidRPr="00E06107">
        <w:rPr>
          <w:szCs w:val="22"/>
        </w:rPr>
        <w:t>sofosbuvir</w:t>
      </w:r>
      <w:proofErr w:type="spellEnd"/>
      <w:r w:rsidRPr="00E06107">
        <w:rPr>
          <w:szCs w:val="22"/>
        </w:rPr>
        <w:t xml:space="preserve"> had a greater number of adverse events, although many of these events may </w:t>
      </w:r>
      <w:r w:rsidR="00790705" w:rsidRPr="00E06107">
        <w:rPr>
          <w:szCs w:val="22"/>
        </w:rPr>
        <w:t xml:space="preserve">have </w:t>
      </w:r>
      <w:r w:rsidRPr="00E06107">
        <w:rPr>
          <w:szCs w:val="22"/>
        </w:rPr>
        <w:t>be</w:t>
      </w:r>
      <w:r w:rsidR="00790705" w:rsidRPr="00E06107">
        <w:rPr>
          <w:szCs w:val="22"/>
        </w:rPr>
        <w:t>en</w:t>
      </w:r>
      <w:r w:rsidRPr="00E06107">
        <w:rPr>
          <w:szCs w:val="22"/>
        </w:rPr>
        <w:t xml:space="preserve"> associated with the co-administered ribavirin.  No adverse events unique to </w:t>
      </w:r>
      <w:proofErr w:type="spellStart"/>
      <w:r w:rsidRPr="00E06107">
        <w:rPr>
          <w:szCs w:val="22"/>
        </w:rPr>
        <w:t>sofosbuvir</w:t>
      </w:r>
      <w:proofErr w:type="spellEnd"/>
      <w:r w:rsidRPr="00E06107">
        <w:rPr>
          <w:szCs w:val="22"/>
        </w:rPr>
        <w:t xml:space="preserve"> were identified in the included studies. </w:t>
      </w:r>
      <w:r w:rsidR="00177A5C" w:rsidRPr="00E06107">
        <w:rPr>
          <w:szCs w:val="22"/>
        </w:rPr>
        <w:t>T</w:t>
      </w:r>
      <w:r w:rsidRPr="00E06107">
        <w:rPr>
          <w:szCs w:val="22"/>
        </w:rPr>
        <w:t>he data</w:t>
      </w:r>
      <w:r w:rsidR="00177A5C" w:rsidRPr="00E06107">
        <w:rPr>
          <w:szCs w:val="22"/>
        </w:rPr>
        <w:t xml:space="preserve"> for</w:t>
      </w:r>
      <w:r w:rsidRPr="00E06107">
        <w:rPr>
          <w:szCs w:val="22"/>
        </w:rPr>
        <w:t xml:space="preserve"> harms </w:t>
      </w:r>
      <w:r w:rsidR="00E0545C" w:rsidRPr="00E06107">
        <w:rPr>
          <w:szCs w:val="22"/>
        </w:rPr>
        <w:t>were</w:t>
      </w:r>
      <w:r w:rsidRPr="00E06107">
        <w:rPr>
          <w:szCs w:val="22"/>
        </w:rPr>
        <w:t xml:space="preserve"> not presented by HCV genotype</w:t>
      </w:r>
      <w:r w:rsidR="00E0545C" w:rsidRPr="00E06107">
        <w:rPr>
          <w:szCs w:val="22"/>
        </w:rPr>
        <w:t xml:space="preserve"> or treatment experience</w:t>
      </w:r>
      <w:r w:rsidRPr="00E06107">
        <w:rPr>
          <w:szCs w:val="22"/>
        </w:rPr>
        <w:t xml:space="preserve"> as it is unlikely that these characteristics would modify treatment toxicity.</w:t>
      </w:r>
    </w:p>
    <w:p w:rsidR="00E0545C" w:rsidRPr="00ED4C18" w:rsidRDefault="00E0545C" w:rsidP="00E0545C">
      <w:pPr>
        <w:jc w:val="both"/>
        <w:rPr>
          <w:rFonts w:cs="Arial"/>
          <w:sz w:val="20"/>
          <w:szCs w:val="22"/>
        </w:rPr>
      </w:pPr>
    </w:p>
    <w:tbl>
      <w:tblPr>
        <w:tblStyle w:val="TableGrid"/>
        <w:tblW w:w="4612" w:type="pct"/>
        <w:tblInd w:w="737" w:type="dxa"/>
        <w:tblCellMar>
          <w:left w:w="28" w:type="dxa"/>
          <w:right w:w="28" w:type="dxa"/>
        </w:tblCellMar>
        <w:tblLook w:val="04A0" w:firstRow="1" w:lastRow="0" w:firstColumn="1" w:lastColumn="0" w:noHBand="0" w:noVBand="1"/>
        <w:tblDescription w:val="comparison for sofosbuvir"/>
      </w:tblPr>
      <w:tblGrid>
        <w:gridCol w:w="1381"/>
        <w:gridCol w:w="1057"/>
        <w:gridCol w:w="612"/>
        <w:gridCol w:w="514"/>
        <w:gridCol w:w="1092"/>
        <w:gridCol w:w="985"/>
        <w:gridCol w:w="253"/>
        <w:gridCol w:w="385"/>
        <w:gridCol w:w="679"/>
        <w:gridCol w:w="702"/>
        <w:gridCol w:w="717"/>
      </w:tblGrid>
      <w:tr w:rsidR="00ED4C18" w:rsidRPr="00ED4C18" w:rsidTr="00D16494">
        <w:trPr>
          <w:trHeight w:val="153"/>
          <w:tblHeader/>
        </w:trPr>
        <w:tc>
          <w:tcPr>
            <w:tcW w:w="824" w:type="pct"/>
            <w:vMerge w:val="restart"/>
            <w:shd w:val="clear" w:color="auto" w:fill="auto"/>
            <w:vAlign w:val="center"/>
          </w:tcPr>
          <w:p w:rsidR="00F05C83" w:rsidRPr="00ED4C18" w:rsidRDefault="00F05C83" w:rsidP="00D964D5">
            <w:pPr>
              <w:rPr>
                <w:rFonts w:ascii="Arial Narrow" w:hAnsi="Arial Narrow"/>
                <w:b/>
                <w:sz w:val="20"/>
              </w:rPr>
            </w:pPr>
          </w:p>
        </w:tc>
        <w:tc>
          <w:tcPr>
            <w:tcW w:w="631" w:type="pct"/>
            <w:vMerge w:val="restart"/>
            <w:vAlign w:val="center"/>
          </w:tcPr>
          <w:p w:rsidR="00F05C83" w:rsidRPr="00ED4C18" w:rsidRDefault="00F05C83" w:rsidP="00D964D5">
            <w:pPr>
              <w:jc w:val="center"/>
              <w:rPr>
                <w:rFonts w:ascii="Arial Narrow" w:hAnsi="Arial Narrow"/>
                <w:b/>
                <w:sz w:val="20"/>
              </w:rPr>
            </w:pPr>
            <w:proofErr w:type="spellStart"/>
            <w:r w:rsidRPr="00ED4C18">
              <w:rPr>
                <w:rFonts w:ascii="Arial Narrow" w:hAnsi="Arial Narrow"/>
                <w:b/>
                <w:sz w:val="20"/>
              </w:rPr>
              <w:t>Sofosbuvir</w:t>
            </w:r>
            <w:proofErr w:type="spellEnd"/>
          </w:p>
        </w:tc>
        <w:tc>
          <w:tcPr>
            <w:tcW w:w="1324" w:type="pct"/>
            <w:gridSpan w:val="3"/>
            <w:vMerge w:val="restart"/>
            <w:vAlign w:val="center"/>
          </w:tcPr>
          <w:p w:rsidR="00F05C83" w:rsidRPr="00ED4C18" w:rsidRDefault="00F05C83" w:rsidP="00D964D5">
            <w:pPr>
              <w:jc w:val="center"/>
              <w:rPr>
                <w:rFonts w:ascii="Arial Narrow" w:hAnsi="Arial Narrow"/>
                <w:b/>
                <w:sz w:val="20"/>
              </w:rPr>
            </w:pPr>
            <w:r w:rsidRPr="00ED4C18">
              <w:rPr>
                <w:rFonts w:ascii="Arial Narrow" w:hAnsi="Arial Narrow"/>
                <w:b/>
                <w:sz w:val="20"/>
              </w:rPr>
              <w:t>Comparator</w:t>
            </w:r>
          </w:p>
        </w:tc>
        <w:tc>
          <w:tcPr>
            <w:tcW w:w="1373" w:type="pct"/>
            <w:gridSpan w:val="4"/>
            <w:vAlign w:val="center"/>
          </w:tcPr>
          <w:p w:rsidR="00F05C83" w:rsidRPr="00ED4C18" w:rsidRDefault="00F05C83" w:rsidP="00D964D5">
            <w:pPr>
              <w:jc w:val="center"/>
              <w:rPr>
                <w:rFonts w:ascii="Arial Narrow" w:hAnsi="Arial Narrow"/>
                <w:b/>
                <w:sz w:val="20"/>
              </w:rPr>
            </w:pPr>
            <w:r w:rsidRPr="00ED4C18">
              <w:rPr>
                <w:rFonts w:ascii="Arial Narrow" w:hAnsi="Arial Narrow"/>
                <w:b/>
                <w:sz w:val="20"/>
              </w:rPr>
              <w:t>Event rate/100 patients</w:t>
            </w:r>
          </w:p>
        </w:tc>
        <w:tc>
          <w:tcPr>
            <w:tcW w:w="848" w:type="pct"/>
            <w:gridSpan w:val="2"/>
            <w:vMerge w:val="restart"/>
            <w:vAlign w:val="center"/>
          </w:tcPr>
          <w:p w:rsidR="00F05C83" w:rsidRPr="00ED4C18" w:rsidRDefault="00F05C83" w:rsidP="00D964D5">
            <w:pPr>
              <w:jc w:val="center"/>
              <w:rPr>
                <w:rFonts w:ascii="Arial Narrow" w:hAnsi="Arial Narrow"/>
                <w:b/>
                <w:sz w:val="20"/>
              </w:rPr>
            </w:pPr>
            <w:r w:rsidRPr="00ED4C18">
              <w:rPr>
                <w:rFonts w:ascii="Arial Narrow" w:hAnsi="Arial Narrow"/>
                <w:b/>
                <w:sz w:val="20"/>
              </w:rPr>
              <w:t>Risk Difference</w:t>
            </w:r>
          </w:p>
          <w:p w:rsidR="00F05C83" w:rsidRPr="00ED4C18" w:rsidRDefault="00F05C83" w:rsidP="00D964D5">
            <w:pPr>
              <w:jc w:val="center"/>
              <w:rPr>
                <w:rFonts w:ascii="Arial Narrow" w:hAnsi="Arial Narrow"/>
                <w:b/>
                <w:sz w:val="20"/>
                <w:vertAlign w:val="superscript"/>
              </w:rPr>
            </w:pPr>
            <w:r w:rsidRPr="00ED4C18">
              <w:rPr>
                <w:rFonts w:ascii="Arial Narrow" w:hAnsi="Arial Narrow"/>
                <w:b/>
                <w:sz w:val="20"/>
              </w:rPr>
              <w:t>(unadjusted)</w:t>
            </w:r>
            <w:r w:rsidRPr="00ED4C18">
              <w:rPr>
                <w:rFonts w:ascii="Arial Narrow" w:hAnsi="Arial Narrow"/>
                <w:b/>
                <w:sz w:val="20"/>
                <w:vertAlign w:val="superscript"/>
              </w:rPr>
              <w:t>a</w:t>
            </w:r>
          </w:p>
        </w:tc>
      </w:tr>
      <w:tr w:rsidR="00ED4C18" w:rsidRPr="00ED4C18" w:rsidTr="00D16494">
        <w:trPr>
          <w:trHeight w:val="321"/>
          <w:tblHeader/>
        </w:trPr>
        <w:tc>
          <w:tcPr>
            <w:tcW w:w="824" w:type="pct"/>
            <w:vMerge/>
            <w:shd w:val="clear" w:color="auto" w:fill="auto"/>
            <w:vAlign w:val="center"/>
          </w:tcPr>
          <w:p w:rsidR="00F05C83" w:rsidRPr="00ED4C18" w:rsidRDefault="00F05C83" w:rsidP="00D964D5">
            <w:pPr>
              <w:rPr>
                <w:rFonts w:ascii="Arial Narrow" w:hAnsi="Arial Narrow"/>
                <w:b/>
                <w:sz w:val="20"/>
              </w:rPr>
            </w:pPr>
          </w:p>
        </w:tc>
        <w:tc>
          <w:tcPr>
            <w:tcW w:w="631" w:type="pct"/>
            <w:vMerge/>
            <w:vAlign w:val="center"/>
          </w:tcPr>
          <w:p w:rsidR="00F05C83" w:rsidRPr="00ED4C18" w:rsidRDefault="00F05C83" w:rsidP="00D964D5">
            <w:pPr>
              <w:jc w:val="center"/>
              <w:rPr>
                <w:rFonts w:ascii="Arial Narrow" w:hAnsi="Arial Narrow"/>
                <w:b/>
                <w:sz w:val="20"/>
              </w:rPr>
            </w:pPr>
          </w:p>
        </w:tc>
        <w:tc>
          <w:tcPr>
            <w:tcW w:w="1324" w:type="pct"/>
            <w:gridSpan w:val="3"/>
            <w:vMerge/>
            <w:vAlign w:val="center"/>
          </w:tcPr>
          <w:p w:rsidR="00F05C83" w:rsidRPr="00ED4C18" w:rsidRDefault="00F05C83" w:rsidP="00D964D5">
            <w:pPr>
              <w:jc w:val="center"/>
              <w:rPr>
                <w:rFonts w:ascii="Arial Narrow" w:hAnsi="Arial Narrow"/>
                <w:b/>
                <w:sz w:val="20"/>
              </w:rPr>
            </w:pPr>
          </w:p>
        </w:tc>
        <w:tc>
          <w:tcPr>
            <w:tcW w:w="588" w:type="pct"/>
            <w:vAlign w:val="center"/>
          </w:tcPr>
          <w:p w:rsidR="00F05C83" w:rsidRPr="00ED4C18" w:rsidRDefault="00F05C83" w:rsidP="00D964D5">
            <w:pPr>
              <w:jc w:val="center"/>
              <w:rPr>
                <w:rFonts w:ascii="Arial Narrow" w:hAnsi="Arial Narrow"/>
                <w:b/>
                <w:sz w:val="20"/>
              </w:rPr>
            </w:pPr>
            <w:proofErr w:type="spellStart"/>
            <w:r w:rsidRPr="00ED4C18">
              <w:rPr>
                <w:rFonts w:ascii="Arial Narrow" w:hAnsi="Arial Narrow"/>
                <w:b/>
                <w:sz w:val="20"/>
              </w:rPr>
              <w:t>Sofosbuvir</w:t>
            </w:r>
            <w:proofErr w:type="spellEnd"/>
          </w:p>
        </w:tc>
        <w:tc>
          <w:tcPr>
            <w:tcW w:w="785" w:type="pct"/>
            <w:gridSpan w:val="3"/>
            <w:vAlign w:val="center"/>
          </w:tcPr>
          <w:p w:rsidR="00F05C83" w:rsidRPr="00ED4C18" w:rsidRDefault="00F05C83" w:rsidP="00D964D5">
            <w:pPr>
              <w:jc w:val="center"/>
              <w:rPr>
                <w:rFonts w:ascii="Arial Narrow" w:hAnsi="Arial Narrow"/>
                <w:b/>
                <w:sz w:val="20"/>
              </w:rPr>
            </w:pPr>
            <w:r w:rsidRPr="00ED4C18">
              <w:rPr>
                <w:rFonts w:ascii="Arial Narrow" w:hAnsi="Arial Narrow"/>
                <w:b/>
                <w:sz w:val="20"/>
              </w:rPr>
              <w:t>Comparator</w:t>
            </w:r>
          </w:p>
        </w:tc>
        <w:tc>
          <w:tcPr>
            <w:tcW w:w="848" w:type="pct"/>
            <w:gridSpan w:val="2"/>
            <w:vMerge/>
            <w:vAlign w:val="center"/>
          </w:tcPr>
          <w:p w:rsidR="00F05C83" w:rsidRPr="00ED4C18" w:rsidRDefault="00F05C83" w:rsidP="00D964D5">
            <w:pPr>
              <w:jc w:val="center"/>
              <w:rPr>
                <w:rFonts w:ascii="Arial Narrow" w:hAnsi="Arial Narrow"/>
                <w:b/>
                <w:sz w:val="20"/>
              </w:rPr>
            </w:pPr>
          </w:p>
        </w:tc>
      </w:tr>
      <w:tr w:rsidR="00E06107" w:rsidRPr="00ED4C18" w:rsidTr="00E06107">
        <w:trPr>
          <w:trHeight w:val="461"/>
        </w:trPr>
        <w:tc>
          <w:tcPr>
            <w:tcW w:w="824" w:type="pct"/>
            <w:shd w:val="clear" w:color="auto" w:fill="auto"/>
            <w:vAlign w:val="center"/>
          </w:tcPr>
          <w:p w:rsidR="00F05C83" w:rsidRPr="00ED4C18" w:rsidRDefault="00F05C83" w:rsidP="00D964D5">
            <w:pPr>
              <w:rPr>
                <w:rFonts w:ascii="Arial Narrow" w:hAnsi="Arial Narrow"/>
                <w:b/>
                <w:sz w:val="20"/>
              </w:rPr>
            </w:pPr>
          </w:p>
        </w:tc>
        <w:tc>
          <w:tcPr>
            <w:tcW w:w="631" w:type="pct"/>
            <w:vAlign w:val="center"/>
          </w:tcPr>
          <w:p w:rsidR="00F05C83" w:rsidRPr="00ED4C18" w:rsidRDefault="00F05C83" w:rsidP="00D964D5">
            <w:pPr>
              <w:jc w:val="center"/>
              <w:rPr>
                <w:rFonts w:ascii="Arial Narrow" w:hAnsi="Arial Narrow"/>
                <w:b/>
                <w:sz w:val="18"/>
                <w:szCs w:val="18"/>
              </w:rPr>
            </w:pPr>
            <w:r w:rsidRPr="00ED4C18">
              <w:rPr>
                <w:rFonts w:ascii="Arial Narrow" w:hAnsi="Arial Narrow"/>
                <w:b/>
                <w:sz w:val="18"/>
                <w:szCs w:val="18"/>
              </w:rPr>
              <w:t>NEUTRINO</w:t>
            </w:r>
          </w:p>
          <w:p w:rsidR="00F05C83" w:rsidRPr="00ED4C18" w:rsidRDefault="00F05C83" w:rsidP="00D964D5">
            <w:pPr>
              <w:jc w:val="center"/>
              <w:rPr>
                <w:rFonts w:ascii="Arial Narrow" w:hAnsi="Arial Narrow"/>
                <w:b/>
                <w:sz w:val="18"/>
                <w:szCs w:val="18"/>
              </w:rPr>
            </w:pPr>
            <w:r w:rsidRPr="00ED4C18">
              <w:rPr>
                <w:rFonts w:ascii="Arial Narrow" w:hAnsi="Arial Narrow"/>
                <w:b/>
                <w:sz w:val="18"/>
                <w:szCs w:val="18"/>
              </w:rPr>
              <w:t>SOF12+PR12</w:t>
            </w:r>
          </w:p>
        </w:tc>
        <w:tc>
          <w:tcPr>
            <w:tcW w:w="672" w:type="pct"/>
            <w:gridSpan w:val="2"/>
            <w:vAlign w:val="center"/>
          </w:tcPr>
          <w:p w:rsidR="00F05C83" w:rsidRPr="00ED4C18" w:rsidRDefault="00F05C83" w:rsidP="00D964D5">
            <w:pPr>
              <w:jc w:val="center"/>
              <w:rPr>
                <w:rFonts w:ascii="Arial Narrow" w:hAnsi="Arial Narrow"/>
                <w:b/>
                <w:sz w:val="18"/>
                <w:szCs w:val="18"/>
              </w:rPr>
            </w:pPr>
            <w:r w:rsidRPr="00ED4C18">
              <w:rPr>
                <w:rFonts w:ascii="Arial Narrow" w:hAnsi="Arial Narrow"/>
                <w:b/>
                <w:sz w:val="18"/>
                <w:szCs w:val="18"/>
              </w:rPr>
              <w:t>SPRINT-2</w:t>
            </w:r>
          </w:p>
          <w:p w:rsidR="00F05C83" w:rsidRPr="00ED4C18" w:rsidRDefault="00F05C83" w:rsidP="00D964D5">
            <w:pPr>
              <w:jc w:val="center"/>
              <w:rPr>
                <w:rFonts w:ascii="Arial Narrow" w:hAnsi="Arial Narrow"/>
                <w:b/>
                <w:sz w:val="18"/>
                <w:szCs w:val="18"/>
              </w:rPr>
            </w:pPr>
            <w:r w:rsidRPr="00ED4C18">
              <w:rPr>
                <w:rFonts w:ascii="Arial Narrow" w:hAnsi="Arial Narrow"/>
                <w:b/>
                <w:sz w:val="18"/>
                <w:szCs w:val="18"/>
              </w:rPr>
              <w:t>BOC+PR28/48</w:t>
            </w:r>
          </w:p>
        </w:tc>
        <w:tc>
          <w:tcPr>
            <w:tcW w:w="652" w:type="pct"/>
            <w:vAlign w:val="center"/>
          </w:tcPr>
          <w:p w:rsidR="00F05C83" w:rsidRPr="00ED4C18" w:rsidRDefault="00F05C83" w:rsidP="00D964D5">
            <w:pPr>
              <w:jc w:val="center"/>
              <w:rPr>
                <w:rFonts w:ascii="Arial Narrow" w:hAnsi="Arial Narrow"/>
                <w:b/>
                <w:sz w:val="18"/>
                <w:szCs w:val="18"/>
              </w:rPr>
            </w:pPr>
            <w:r w:rsidRPr="00ED4C18">
              <w:rPr>
                <w:rFonts w:ascii="Arial Narrow" w:hAnsi="Arial Narrow"/>
                <w:b/>
                <w:sz w:val="18"/>
                <w:szCs w:val="18"/>
              </w:rPr>
              <w:t>ADVANCE</w:t>
            </w:r>
          </w:p>
          <w:p w:rsidR="00F05C83" w:rsidRPr="00ED4C18" w:rsidRDefault="00F05C83" w:rsidP="00D964D5">
            <w:pPr>
              <w:jc w:val="center"/>
              <w:rPr>
                <w:rFonts w:ascii="Arial Narrow" w:hAnsi="Arial Narrow"/>
                <w:b/>
                <w:sz w:val="18"/>
                <w:szCs w:val="18"/>
              </w:rPr>
            </w:pPr>
            <w:r w:rsidRPr="00ED4C18">
              <w:rPr>
                <w:rFonts w:ascii="Arial Narrow" w:hAnsi="Arial Narrow"/>
                <w:b/>
                <w:sz w:val="18"/>
                <w:szCs w:val="18"/>
              </w:rPr>
              <w:t>TVR+PR24/48</w:t>
            </w:r>
          </w:p>
        </w:tc>
        <w:tc>
          <w:tcPr>
            <w:tcW w:w="588" w:type="pct"/>
            <w:vAlign w:val="center"/>
          </w:tcPr>
          <w:p w:rsidR="00F05C83" w:rsidRPr="00ED4C18" w:rsidRDefault="00F05C83" w:rsidP="00D964D5">
            <w:pPr>
              <w:jc w:val="center"/>
              <w:rPr>
                <w:rFonts w:ascii="Arial Narrow" w:hAnsi="Arial Narrow"/>
                <w:b/>
                <w:sz w:val="20"/>
              </w:rPr>
            </w:pPr>
            <w:r w:rsidRPr="00ED4C18">
              <w:rPr>
                <w:rFonts w:ascii="Arial Narrow" w:hAnsi="Arial Narrow"/>
                <w:b/>
                <w:sz w:val="20"/>
              </w:rPr>
              <w:t>SOF</w:t>
            </w:r>
          </w:p>
        </w:tc>
        <w:tc>
          <w:tcPr>
            <w:tcW w:w="381" w:type="pct"/>
            <w:gridSpan w:val="2"/>
            <w:vAlign w:val="center"/>
          </w:tcPr>
          <w:p w:rsidR="00F05C83" w:rsidRPr="00ED4C18" w:rsidRDefault="00F05C83" w:rsidP="00D964D5">
            <w:pPr>
              <w:jc w:val="center"/>
              <w:rPr>
                <w:rFonts w:ascii="Arial Narrow" w:hAnsi="Arial Narrow"/>
                <w:b/>
                <w:sz w:val="20"/>
              </w:rPr>
            </w:pPr>
            <w:r w:rsidRPr="00ED4C18">
              <w:rPr>
                <w:rFonts w:ascii="Arial Narrow" w:hAnsi="Arial Narrow"/>
                <w:b/>
                <w:sz w:val="20"/>
              </w:rPr>
              <w:t>BOC</w:t>
            </w:r>
          </w:p>
        </w:tc>
        <w:tc>
          <w:tcPr>
            <w:tcW w:w="405" w:type="pct"/>
            <w:vAlign w:val="center"/>
          </w:tcPr>
          <w:p w:rsidR="00F05C83" w:rsidRPr="00ED4C18" w:rsidRDefault="00F05C83" w:rsidP="00D964D5">
            <w:pPr>
              <w:jc w:val="center"/>
              <w:rPr>
                <w:rFonts w:ascii="Arial Narrow" w:hAnsi="Arial Narrow"/>
                <w:b/>
                <w:sz w:val="20"/>
              </w:rPr>
            </w:pPr>
            <w:r w:rsidRPr="00ED4C18">
              <w:rPr>
                <w:rFonts w:ascii="Arial Narrow" w:hAnsi="Arial Narrow"/>
                <w:b/>
                <w:sz w:val="20"/>
              </w:rPr>
              <w:t>TVR</w:t>
            </w:r>
          </w:p>
        </w:tc>
        <w:tc>
          <w:tcPr>
            <w:tcW w:w="419" w:type="pct"/>
            <w:vAlign w:val="center"/>
          </w:tcPr>
          <w:p w:rsidR="00F05C83" w:rsidRPr="00ED4C18" w:rsidRDefault="00F05C83" w:rsidP="00D964D5">
            <w:pPr>
              <w:jc w:val="center"/>
              <w:rPr>
                <w:rFonts w:ascii="Arial Narrow" w:hAnsi="Arial Narrow"/>
                <w:b/>
                <w:sz w:val="20"/>
              </w:rPr>
            </w:pPr>
            <w:r w:rsidRPr="00ED4C18">
              <w:rPr>
                <w:rFonts w:ascii="Arial Narrow" w:hAnsi="Arial Narrow"/>
                <w:b/>
                <w:sz w:val="20"/>
              </w:rPr>
              <w:t>SOF vs BOC</w:t>
            </w:r>
          </w:p>
        </w:tc>
        <w:tc>
          <w:tcPr>
            <w:tcW w:w="429" w:type="pct"/>
            <w:vAlign w:val="center"/>
          </w:tcPr>
          <w:p w:rsidR="00F05C83" w:rsidRPr="00ED4C18" w:rsidRDefault="00F05C83" w:rsidP="00D964D5">
            <w:pPr>
              <w:jc w:val="center"/>
              <w:rPr>
                <w:rFonts w:ascii="Arial Narrow" w:hAnsi="Arial Narrow"/>
                <w:b/>
                <w:sz w:val="20"/>
              </w:rPr>
            </w:pPr>
            <w:r w:rsidRPr="00ED4C18">
              <w:rPr>
                <w:rFonts w:ascii="Arial Narrow" w:hAnsi="Arial Narrow"/>
                <w:b/>
                <w:sz w:val="20"/>
              </w:rPr>
              <w:t>SOF vs TVR</w:t>
            </w:r>
          </w:p>
        </w:tc>
      </w:tr>
      <w:tr w:rsidR="00E06107" w:rsidRPr="00ED4C18" w:rsidTr="00E06107">
        <w:trPr>
          <w:trHeight w:val="461"/>
        </w:trPr>
        <w:tc>
          <w:tcPr>
            <w:tcW w:w="824" w:type="pct"/>
            <w:shd w:val="clear" w:color="auto" w:fill="auto"/>
            <w:vAlign w:val="center"/>
          </w:tcPr>
          <w:p w:rsidR="00F05C83" w:rsidRPr="00ED4C18" w:rsidRDefault="00F05C83" w:rsidP="00D964D5">
            <w:pPr>
              <w:rPr>
                <w:rFonts w:ascii="Arial Narrow" w:hAnsi="Arial Narrow"/>
                <w:sz w:val="20"/>
              </w:rPr>
            </w:pPr>
            <w:r w:rsidRPr="00ED4C18">
              <w:rPr>
                <w:rFonts w:ascii="Arial Narrow" w:hAnsi="Arial Narrow"/>
                <w:sz w:val="20"/>
              </w:rPr>
              <w:t>Treatment-emergent SAE</w:t>
            </w:r>
          </w:p>
        </w:tc>
        <w:tc>
          <w:tcPr>
            <w:tcW w:w="631" w:type="pct"/>
            <w:vAlign w:val="center"/>
          </w:tcPr>
          <w:p w:rsidR="00F05C83" w:rsidRPr="00ED4C18" w:rsidRDefault="00F05C83" w:rsidP="00D964D5">
            <w:pPr>
              <w:pStyle w:val="TableText0"/>
              <w:spacing w:before="0" w:after="0"/>
              <w:jc w:val="center"/>
              <w:rPr>
                <w:rFonts w:cs="Arial"/>
              </w:rPr>
            </w:pPr>
            <w:r w:rsidRPr="00ED4C18">
              <w:rPr>
                <w:rFonts w:cs="Arial"/>
              </w:rPr>
              <w:t>4/327</w:t>
            </w:r>
          </w:p>
        </w:tc>
        <w:tc>
          <w:tcPr>
            <w:tcW w:w="672" w:type="pct"/>
            <w:gridSpan w:val="2"/>
            <w:vAlign w:val="center"/>
          </w:tcPr>
          <w:p w:rsidR="00F05C83" w:rsidRPr="00ED4C18" w:rsidRDefault="00F05C83" w:rsidP="00D964D5">
            <w:pPr>
              <w:jc w:val="center"/>
              <w:rPr>
                <w:rFonts w:ascii="Arial Narrow" w:hAnsi="Arial Narrow"/>
                <w:sz w:val="20"/>
              </w:rPr>
            </w:pPr>
            <w:r w:rsidRPr="00ED4C18">
              <w:rPr>
                <w:rFonts w:ascii="Arial Narrow" w:hAnsi="Arial Narrow"/>
                <w:sz w:val="20"/>
              </w:rPr>
              <w:t>42/368</w:t>
            </w:r>
          </w:p>
        </w:tc>
        <w:tc>
          <w:tcPr>
            <w:tcW w:w="652" w:type="pct"/>
            <w:vAlign w:val="center"/>
          </w:tcPr>
          <w:p w:rsidR="00F05C83" w:rsidRPr="00ED4C18" w:rsidRDefault="00F05C83" w:rsidP="00D964D5">
            <w:pPr>
              <w:jc w:val="center"/>
              <w:rPr>
                <w:rFonts w:ascii="Arial Narrow" w:hAnsi="Arial Narrow"/>
                <w:sz w:val="20"/>
              </w:rPr>
            </w:pPr>
            <w:r w:rsidRPr="00ED4C18">
              <w:rPr>
                <w:rFonts w:ascii="Arial Narrow" w:hAnsi="Arial Narrow"/>
                <w:sz w:val="20"/>
              </w:rPr>
              <w:t>33/363</w:t>
            </w:r>
          </w:p>
        </w:tc>
        <w:tc>
          <w:tcPr>
            <w:tcW w:w="588" w:type="pct"/>
            <w:vAlign w:val="center"/>
          </w:tcPr>
          <w:p w:rsidR="00F05C83" w:rsidRPr="00ED4C18" w:rsidRDefault="00F05C83" w:rsidP="00D964D5">
            <w:pPr>
              <w:jc w:val="center"/>
              <w:rPr>
                <w:rFonts w:ascii="Arial Narrow" w:hAnsi="Arial Narrow"/>
                <w:sz w:val="20"/>
              </w:rPr>
            </w:pPr>
            <w:r w:rsidRPr="00ED4C18">
              <w:rPr>
                <w:rFonts w:ascii="Arial Narrow" w:hAnsi="Arial Narrow"/>
                <w:sz w:val="20"/>
              </w:rPr>
              <w:t>1.2</w:t>
            </w:r>
          </w:p>
        </w:tc>
        <w:tc>
          <w:tcPr>
            <w:tcW w:w="381" w:type="pct"/>
            <w:gridSpan w:val="2"/>
            <w:vAlign w:val="center"/>
          </w:tcPr>
          <w:p w:rsidR="00F05C83" w:rsidRPr="00ED4C18" w:rsidRDefault="00F05C83" w:rsidP="00D964D5">
            <w:pPr>
              <w:jc w:val="center"/>
              <w:rPr>
                <w:rFonts w:ascii="Arial Narrow" w:hAnsi="Arial Narrow"/>
                <w:sz w:val="20"/>
              </w:rPr>
            </w:pPr>
            <w:r w:rsidRPr="00ED4C18">
              <w:rPr>
                <w:rFonts w:ascii="Arial Narrow" w:hAnsi="Arial Narrow"/>
                <w:sz w:val="20"/>
              </w:rPr>
              <w:t>11.4</w:t>
            </w:r>
          </w:p>
        </w:tc>
        <w:tc>
          <w:tcPr>
            <w:tcW w:w="405" w:type="pct"/>
            <w:vAlign w:val="center"/>
          </w:tcPr>
          <w:p w:rsidR="00F05C83" w:rsidRPr="00ED4C18" w:rsidRDefault="00F05C83" w:rsidP="00D964D5">
            <w:pPr>
              <w:jc w:val="center"/>
              <w:rPr>
                <w:rFonts w:ascii="Arial Narrow" w:hAnsi="Arial Narrow"/>
                <w:sz w:val="20"/>
              </w:rPr>
            </w:pPr>
            <w:r w:rsidRPr="00ED4C18">
              <w:rPr>
                <w:rFonts w:ascii="Arial Narrow" w:hAnsi="Arial Narrow"/>
                <w:sz w:val="20"/>
              </w:rPr>
              <w:t>9.1</w:t>
            </w:r>
          </w:p>
        </w:tc>
        <w:tc>
          <w:tcPr>
            <w:tcW w:w="419" w:type="pct"/>
            <w:vAlign w:val="center"/>
          </w:tcPr>
          <w:p w:rsidR="00F05C83" w:rsidRPr="00ED4C18" w:rsidRDefault="00F05C83" w:rsidP="00D964D5">
            <w:pPr>
              <w:jc w:val="center"/>
              <w:rPr>
                <w:rFonts w:ascii="Arial Narrow" w:hAnsi="Arial Narrow"/>
                <w:sz w:val="20"/>
              </w:rPr>
            </w:pPr>
            <w:r w:rsidRPr="00ED4C18">
              <w:rPr>
                <w:rFonts w:ascii="Arial Narrow" w:hAnsi="Arial Narrow"/>
                <w:sz w:val="20"/>
              </w:rPr>
              <w:t>-10.2</w:t>
            </w:r>
          </w:p>
        </w:tc>
        <w:tc>
          <w:tcPr>
            <w:tcW w:w="429" w:type="pct"/>
            <w:vAlign w:val="center"/>
          </w:tcPr>
          <w:p w:rsidR="00F05C83" w:rsidRPr="00ED4C18" w:rsidRDefault="00F05C83" w:rsidP="00D964D5">
            <w:pPr>
              <w:jc w:val="center"/>
              <w:rPr>
                <w:rFonts w:ascii="Arial Narrow" w:hAnsi="Arial Narrow"/>
                <w:sz w:val="20"/>
              </w:rPr>
            </w:pPr>
            <w:r w:rsidRPr="00ED4C18">
              <w:rPr>
                <w:rFonts w:ascii="Arial Narrow" w:hAnsi="Arial Narrow"/>
                <w:sz w:val="20"/>
              </w:rPr>
              <w:t>-7.9</w:t>
            </w:r>
          </w:p>
        </w:tc>
      </w:tr>
      <w:tr w:rsidR="00E06107" w:rsidRPr="00ED4C18" w:rsidTr="00E06107">
        <w:trPr>
          <w:trHeight w:val="461"/>
        </w:trPr>
        <w:tc>
          <w:tcPr>
            <w:tcW w:w="824" w:type="pct"/>
            <w:shd w:val="clear" w:color="auto" w:fill="auto"/>
            <w:vAlign w:val="center"/>
          </w:tcPr>
          <w:p w:rsidR="00F05C83" w:rsidRPr="00ED4C18" w:rsidRDefault="00F05C83" w:rsidP="00D964D5">
            <w:pPr>
              <w:rPr>
                <w:rFonts w:ascii="Arial Narrow" w:hAnsi="Arial Narrow"/>
                <w:sz w:val="20"/>
              </w:rPr>
            </w:pPr>
            <w:r w:rsidRPr="00ED4C18">
              <w:rPr>
                <w:rFonts w:ascii="Arial Narrow" w:hAnsi="Arial Narrow"/>
                <w:sz w:val="20"/>
              </w:rPr>
              <w:t>AE leading to study discontinuation</w:t>
            </w:r>
          </w:p>
        </w:tc>
        <w:tc>
          <w:tcPr>
            <w:tcW w:w="631" w:type="pct"/>
            <w:vAlign w:val="center"/>
          </w:tcPr>
          <w:p w:rsidR="00F05C83" w:rsidRPr="00ED4C18" w:rsidRDefault="00F05C83" w:rsidP="00D964D5">
            <w:pPr>
              <w:pStyle w:val="TableText0"/>
              <w:spacing w:before="0" w:after="0"/>
              <w:jc w:val="center"/>
              <w:rPr>
                <w:rFonts w:cs="Arial"/>
              </w:rPr>
            </w:pPr>
            <w:r w:rsidRPr="00ED4C18">
              <w:rPr>
                <w:rFonts w:cs="Arial"/>
              </w:rPr>
              <w:t>5/327</w:t>
            </w:r>
          </w:p>
        </w:tc>
        <w:tc>
          <w:tcPr>
            <w:tcW w:w="672" w:type="pct"/>
            <w:gridSpan w:val="2"/>
            <w:vAlign w:val="center"/>
          </w:tcPr>
          <w:p w:rsidR="00F05C83" w:rsidRPr="00ED4C18" w:rsidRDefault="00F05C83" w:rsidP="00D964D5">
            <w:pPr>
              <w:jc w:val="center"/>
              <w:rPr>
                <w:rFonts w:ascii="Arial Narrow" w:hAnsi="Arial Narrow"/>
                <w:sz w:val="20"/>
              </w:rPr>
            </w:pPr>
            <w:r w:rsidRPr="00ED4C18">
              <w:rPr>
                <w:rFonts w:ascii="Arial Narrow" w:hAnsi="Arial Narrow"/>
                <w:sz w:val="20"/>
              </w:rPr>
              <w:t>45/368</w:t>
            </w:r>
          </w:p>
        </w:tc>
        <w:tc>
          <w:tcPr>
            <w:tcW w:w="652" w:type="pct"/>
            <w:vAlign w:val="center"/>
          </w:tcPr>
          <w:p w:rsidR="00F05C83" w:rsidRPr="00ED4C18" w:rsidRDefault="00F05C83" w:rsidP="00D964D5">
            <w:pPr>
              <w:jc w:val="center"/>
              <w:rPr>
                <w:rFonts w:ascii="Arial Narrow" w:hAnsi="Arial Narrow"/>
                <w:sz w:val="20"/>
              </w:rPr>
            </w:pPr>
            <w:r w:rsidRPr="00ED4C18">
              <w:rPr>
                <w:rFonts w:ascii="Arial Narrow" w:hAnsi="Arial Narrow"/>
                <w:sz w:val="20"/>
              </w:rPr>
              <w:t>36/363</w:t>
            </w:r>
          </w:p>
        </w:tc>
        <w:tc>
          <w:tcPr>
            <w:tcW w:w="588" w:type="pct"/>
            <w:vAlign w:val="center"/>
          </w:tcPr>
          <w:p w:rsidR="00F05C83" w:rsidRPr="00ED4C18" w:rsidRDefault="00F05C83" w:rsidP="00D964D5">
            <w:pPr>
              <w:jc w:val="center"/>
              <w:rPr>
                <w:rFonts w:ascii="Arial Narrow" w:hAnsi="Arial Narrow"/>
                <w:sz w:val="20"/>
              </w:rPr>
            </w:pPr>
            <w:r w:rsidRPr="00ED4C18">
              <w:rPr>
                <w:rFonts w:ascii="Arial Narrow" w:hAnsi="Arial Narrow"/>
                <w:sz w:val="20"/>
              </w:rPr>
              <w:t>1.5</w:t>
            </w:r>
          </w:p>
        </w:tc>
        <w:tc>
          <w:tcPr>
            <w:tcW w:w="381" w:type="pct"/>
            <w:gridSpan w:val="2"/>
            <w:vAlign w:val="center"/>
          </w:tcPr>
          <w:p w:rsidR="00F05C83" w:rsidRPr="00ED4C18" w:rsidRDefault="00F05C83" w:rsidP="00D964D5">
            <w:pPr>
              <w:jc w:val="center"/>
              <w:rPr>
                <w:rFonts w:ascii="Arial Narrow" w:hAnsi="Arial Narrow"/>
                <w:sz w:val="20"/>
              </w:rPr>
            </w:pPr>
            <w:r w:rsidRPr="00ED4C18">
              <w:rPr>
                <w:rFonts w:ascii="Arial Narrow" w:hAnsi="Arial Narrow"/>
                <w:sz w:val="20"/>
              </w:rPr>
              <w:t>12.2</w:t>
            </w:r>
          </w:p>
        </w:tc>
        <w:tc>
          <w:tcPr>
            <w:tcW w:w="405" w:type="pct"/>
            <w:vAlign w:val="center"/>
          </w:tcPr>
          <w:p w:rsidR="00F05C83" w:rsidRPr="00ED4C18" w:rsidRDefault="00F05C83" w:rsidP="00D964D5">
            <w:pPr>
              <w:jc w:val="center"/>
              <w:rPr>
                <w:rFonts w:ascii="Arial Narrow" w:hAnsi="Arial Narrow"/>
                <w:sz w:val="20"/>
              </w:rPr>
            </w:pPr>
            <w:r w:rsidRPr="00ED4C18">
              <w:rPr>
                <w:rFonts w:ascii="Arial Narrow" w:hAnsi="Arial Narrow"/>
                <w:sz w:val="20"/>
              </w:rPr>
              <w:t>9.9</w:t>
            </w:r>
          </w:p>
        </w:tc>
        <w:tc>
          <w:tcPr>
            <w:tcW w:w="419" w:type="pct"/>
            <w:vAlign w:val="center"/>
          </w:tcPr>
          <w:p w:rsidR="00F05C83" w:rsidRPr="00ED4C18" w:rsidRDefault="00F05C83" w:rsidP="00D964D5">
            <w:pPr>
              <w:jc w:val="center"/>
              <w:rPr>
                <w:rFonts w:ascii="Arial Narrow" w:hAnsi="Arial Narrow"/>
                <w:sz w:val="20"/>
              </w:rPr>
            </w:pPr>
            <w:r w:rsidRPr="00ED4C18">
              <w:rPr>
                <w:rFonts w:ascii="Arial Narrow" w:hAnsi="Arial Narrow"/>
                <w:sz w:val="20"/>
              </w:rPr>
              <w:t>-10.7</w:t>
            </w:r>
          </w:p>
        </w:tc>
        <w:tc>
          <w:tcPr>
            <w:tcW w:w="429" w:type="pct"/>
            <w:vAlign w:val="center"/>
          </w:tcPr>
          <w:p w:rsidR="00F05C83" w:rsidRPr="00ED4C18" w:rsidRDefault="00F05C83" w:rsidP="00D964D5">
            <w:pPr>
              <w:jc w:val="center"/>
              <w:rPr>
                <w:rFonts w:ascii="Arial Narrow" w:hAnsi="Arial Narrow"/>
                <w:sz w:val="20"/>
              </w:rPr>
            </w:pPr>
            <w:r w:rsidRPr="00ED4C18">
              <w:rPr>
                <w:rFonts w:ascii="Arial Narrow" w:hAnsi="Arial Narrow"/>
                <w:sz w:val="20"/>
              </w:rPr>
              <w:t>-8.4</w:t>
            </w:r>
          </w:p>
        </w:tc>
      </w:tr>
      <w:tr w:rsidR="00E06107" w:rsidRPr="00ED4C18" w:rsidTr="00E06107">
        <w:trPr>
          <w:trHeight w:val="922"/>
        </w:trPr>
        <w:tc>
          <w:tcPr>
            <w:tcW w:w="824" w:type="pct"/>
            <w:tcBorders>
              <w:bottom w:val="double" w:sz="4" w:space="0" w:color="auto"/>
            </w:tcBorders>
            <w:shd w:val="clear" w:color="auto" w:fill="auto"/>
            <w:vAlign w:val="center"/>
          </w:tcPr>
          <w:p w:rsidR="00F05C83" w:rsidRPr="00ED4C18" w:rsidRDefault="00F05C83" w:rsidP="00D964D5">
            <w:pPr>
              <w:rPr>
                <w:rFonts w:ascii="Arial Narrow" w:hAnsi="Arial Narrow"/>
                <w:sz w:val="20"/>
              </w:rPr>
            </w:pPr>
            <w:r w:rsidRPr="00ED4C18">
              <w:rPr>
                <w:rFonts w:ascii="Arial Narrow" w:hAnsi="Arial Narrow"/>
                <w:sz w:val="20"/>
              </w:rPr>
              <w:t>AE leading to modification / interruption of study drug</w:t>
            </w:r>
          </w:p>
        </w:tc>
        <w:tc>
          <w:tcPr>
            <w:tcW w:w="631" w:type="pct"/>
            <w:tcBorders>
              <w:bottom w:val="double" w:sz="4" w:space="0" w:color="auto"/>
            </w:tcBorders>
            <w:vAlign w:val="center"/>
          </w:tcPr>
          <w:p w:rsidR="00F05C83" w:rsidRPr="00ED4C18" w:rsidRDefault="00F05C83" w:rsidP="00D964D5">
            <w:pPr>
              <w:jc w:val="center"/>
              <w:rPr>
                <w:rFonts w:ascii="Arial Narrow" w:hAnsi="Arial Narrow"/>
                <w:sz w:val="20"/>
              </w:rPr>
            </w:pPr>
            <w:r w:rsidRPr="00ED4C18">
              <w:rPr>
                <w:rFonts w:ascii="Arial Narrow" w:hAnsi="Arial Narrow"/>
                <w:sz w:val="20"/>
              </w:rPr>
              <w:t>109/327</w:t>
            </w:r>
          </w:p>
        </w:tc>
        <w:tc>
          <w:tcPr>
            <w:tcW w:w="672" w:type="pct"/>
            <w:gridSpan w:val="2"/>
            <w:tcBorders>
              <w:bottom w:val="double" w:sz="4" w:space="0" w:color="auto"/>
            </w:tcBorders>
            <w:vAlign w:val="center"/>
          </w:tcPr>
          <w:p w:rsidR="00F05C83" w:rsidRPr="00ED4C18" w:rsidRDefault="00F05C83" w:rsidP="00D964D5">
            <w:pPr>
              <w:jc w:val="center"/>
              <w:rPr>
                <w:rFonts w:ascii="Arial Narrow" w:hAnsi="Arial Narrow"/>
                <w:sz w:val="20"/>
              </w:rPr>
            </w:pPr>
            <w:r w:rsidRPr="00ED4C18">
              <w:rPr>
                <w:rFonts w:ascii="Arial Narrow" w:hAnsi="Arial Narrow"/>
                <w:sz w:val="20"/>
              </w:rPr>
              <w:t>146/368</w:t>
            </w:r>
          </w:p>
        </w:tc>
        <w:tc>
          <w:tcPr>
            <w:tcW w:w="652" w:type="pct"/>
            <w:tcBorders>
              <w:bottom w:val="double" w:sz="4" w:space="0" w:color="auto"/>
            </w:tcBorders>
            <w:vAlign w:val="center"/>
          </w:tcPr>
          <w:p w:rsidR="00F05C83" w:rsidRPr="00ED4C18" w:rsidRDefault="00F05C83" w:rsidP="00D964D5">
            <w:pPr>
              <w:jc w:val="center"/>
              <w:rPr>
                <w:rFonts w:ascii="Arial Narrow" w:hAnsi="Arial Narrow"/>
                <w:sz w:val="20"/>
              </w:rPr>
            </w:pPr>
            <w:r w:rsidRPr="00ED4C18">
              <w:rPr>
                <w:rFonts w:ascii="Arial Narrow" w:hAnsi="Arial Narrow"/>
                <w:sz w:val="20"/>
              </w:rPr>
              <w:t>NR</w:t>
            </w:r>
          </w:p>
        </w:tc>
        <w:tc>
          <w:tcPr>
            <w:tcW w:w="588" w:type="pct"/>
            <w:tcBorders>
              <w:bottom w:val="double" w:sz="4" w:space="0" w:color="auto"/>
            </w:tcBorders>
            <w:vAlign w:val="center"/>
          </w:tcPr>
          <w:p w:rsidR="00F05C83" w:rsidRPr="00ED4C18" w:rsidRDefault="00F05C83" w:rsidP="00D964D5">
            <w:pPr>
              <w:jc w:val="center"/>
              <w:rPr>
                <w:rFonts w:ascii="Arial Narrow" w:hAnsi="Arial Narrow"/>
                <w:sz w:val="20"/>
              </w:rPr>
            </w:pPr>
            <w:r w:rsidRPr="00ED4C18">
              <w:rPr>
                <w:rFonts w:ascii="Arial Narrow" w:hAnsi="Arial Narrow"/>
                <w:sz w:val="20"/>
              </w:rPr>
              <w:t>33.3</w:t>
            </w:r>
          </w:p>
        </w:tc>
        <w:tc>
          <w:tcPr>
            <w:tcW w:w="381" w:type="pct"/>
            <w:gridSpan w:val="2"/>
            <w:tcBorders>
              <w:bottom w:val="double" w:sz="4" w:space="0" w:color="auto"/>
            </w:tcBorders>
            <w:vAlign w:val="center"/>
          </w:tcPr>
          <w:p w:rsidR="00F05C83" w:rsidRPr="00ED4C18" w:rsidRDefault="00F05C83" w:rsidP="00D964D5">
            <w:pPr>
              <w:jc w:val="center"/>
              <w:rPr>
                <w:rFonts w:ascii="Arial Narrow" w:hAnsi="Arial Narrow"/>
                <w:sz w:val="20"/>
              </w:rPr>
            </w:pPr>
            <w:r w:rsidRPr="00ED4C18">
              <w:rPr>
                <w:rFonts w:ascii="Arial Narrow" w:hAnsi="Arial Narrow"/>
                <w:sz w:val="20"/>
              </w:rPr>
              <w:t>39.7</w:t>
            </w:r>
          </w:p>
        </w:tc>
        <w:tc>
          <w:tcPr>
            <w:tcW w:w="405" w:type="pct"/>
            <w:tcBorders>
              <w:bottom w:val="double" w:sz="4" w:space="0" w:color="auto"/>
            </w:tcBorders>
            <w:vAlign w:val="center"/>
          </w:tcPr>
          <w:p w:rsidR="00F05C83" w:rsidRPr="00ED4C18" w:rsidRDefault="00F05C83" w:rsidP="00D964D5">
            <w:pPr>
              <w:jc w:val="center"/>
              <w:rPr>
                <w:rFonts w:ascii="Arial Narrow" w:hAnsi="Arial Narrow"/>
                <w:sz w:val="20"/>
              </w:rPr>
            </w:pPr>
            <w:r w:rsidRPr="00ED4C18">
              <w:rPr>
                <w:rFonts w:ascii="Arial Narrow" w:hAnsi="Arial Narrow"/>
                <w:sz w:val="20"/>
              </w:rPr>
              <w:t>-</w:t>
            </w:r>
          </w:p>
        </w:tc>
        <w:tc>
          <w:tcPr>
            <w:tcW w:w="419" w:type="pct"/>
            <w:tcBorders>
              <w:bottom w:val="double" w:sz="4" w:space="0" w:color="auto"/>
            </w:tcBorders>
            <w:vAlign w:val="center"/>
          </w:tcPr>
          <w:p w:rsidR="00F05C83" w:rsidRPr="00ED4C18" w:rsidRDefault="00F05C83" w:rsidP="00D964D5">
            <w:pPr>
              <w:jc w:val="center"/>
              <w:rPr>
                <w:rFonts w:ascii="Arial Narrow" w:hAnsi="Arial Narrow"/>
                <w:sz w:val="20"/>
              </w:rPr>
            </w:pPr>
            <w:r w:rsidRPr="00ED4C18">
              <w:rPr>
                <w:rFonts w:ascii="Arial Narrow" w:hAnsi="Arial Narrow"/>
                <w:sz w:val="20"/>
              </w:rPr>
              <w:t>-6.3</w:t>
            </w:r>
          </w:p>
        </w:tc>
        <w:tc>
          <w:tcPr>
            <w:tcW w:w="429" w:type="pct"/>
            <w:tcBorders>
              <w:bottom w:val="double" w:sz="4" w:space="0" w:color="auto"/>
            </w:tcBorders>
            <w:vAlign w:val="center"/>
          </w:tcPr>
          <w:p w:rsidR="00F05C83" w:rsidRPr="00ED4C18" w:rsidRDefault="00F05C83" w:rsidP="00D964D5">
            <w:pPr>
              <w:jc w:val="center"/>
              <w:rPr>
                <w:rFonts w:ascii="Arial Narrow" w:hAnsi="Arial Narrow"/>
                <w:sz w:val="20"/>
              </w:rPr>
            </w:pPr>
            <w:r w:rsidRPr="00ED4C18">
              <w:rPr>
                <w:rFonts w:ascii="Arial Narrow" w:hAnsi="Arial Narrow"/>
                <w:sz w:val="20"/>
              </w:rPr>
              <w:t>-</w:t>
            </w:r>
          </w:p>
        </w:tc>
      </w:tr>
      <w:tr w:rsidR="00ED4C18" w:rsidRPr="00ED4C18" w:rsidTr="00E06107">
        <w:trPr>
          <w:trHeight w:val="223"/>
        </w:trPr>
        <w:tc>
          <w:tcPr>
            <w:tcW w:w="824" w:type="pct"/>
            <w:vMerge w:val="restart"/>
            <w:tcBorders>
              <w:top w:val="double" w:sz="4" w:space="0" w:color="auto"/>
            </w:tcBorders>
            <w:shd w:val="clear" w:color="auto" w:fill="auto"/>
            <w:vAlign w:val="center"/>
          </w:tcPr>
          <w:p w:rsidR="00F05C83" w:rsidRPr="00ED4C18" w:rsidRDefault="00F05C83" w:rsidP="00D964D5">
            <w:pPr>
              <w:rPr>
                <w:rFonts w:ascii="Arial Narrow" w:hAnsi="Arial Narrow"/>
                <w:sz w:val="20"/>
              </w:rPr>
            </w:pPr>
          </w:p>
        </w:tc>
        <w:tc>
          <w:tcPr>
            <w:tcW w:w="996" w:type="pct"/>
            <w:gridSpan w:val="2"/>
            <w:vMerge w:val="restart"/>
            <w:tcBorders>
              <w:top w:val="double" w:sz="4" w:space="0" w:color="auto"/>
            </w:tcBorders>
            <w:vAlign w:val="center"/>
          </w:tcPr>
          <w:p w:rsidR="00F05C83" w:rsidRPr="00ED4C18" w:rsidRDefault="00F05C83" w:rsidP="00D964D5">
            <w:pPr>
              <w:jc w:val="center"/>
              <w:rPr>
                <w:rFonts w:ascii="Arial Narrow" w:hAnsi="Arial Narrow"/>
                <w:b/>
                <w:sz w:val="20"/>
              </w:rPr>
            </w:pPr>
            <w:proofErr w:type="spellStart"/>
            <w:r w:rsidRPr="00ED4C18">
              <w:rPr>
                <w:rFonts w:ascii="Arial Narrow" w:hAnsi="Arial Narrow"/>
                <w:b/>
                <w:sz w:val="20"/>
              </w:rPr>
              <w:t>Sofosbuvir</w:t>
            </w:r>
            <w:proofErr w:type="spellEnd"/>
          </w:p>
        </w:tc>
        <w:tc>
          <w:tcPr>
            <w:tcW w:w="959" w:type="pct"/>
            <w:gridSpan w:val="2"/>
            <w:vMerge w:val="restart"/>
            <w:tcBorders>
              <w:top w:val="double" w:sz="4" w:space="0" w:color="auto"/>
            </w:tcBorders>
            <w:vAlign w:val="center"/>
          </w:tcPr>
          <w:p w:rsidR="00F05C83" w:rsidRPr="00ED4C18" w:rsidRDefault="00F05C83" w:rsidP="00D964D5">
            <w:pPr>
              <w:keepNext/>
              <w:jc w:val="center"/>
              <w:rPr>
                <w:rFonts w:ascii="Arial Narrow" w:hAnsi="Arial Narrow"/>
                <w:b/>
                <w:sz w:val="20"/>
              </w:rPr>
            </w:pPr>
            <w:r w:rsidRPr="00ED4C18">
              <w:rPr>
                <w:rFonts w:ascii="Arial Narrow" w:hAnsi="Arial Narrow"/>
                <w:b/>
                <w:sz w:val="20"/>
              </w:rPr>
              <w:t>Comparator</w:t>
            </w:r>
          </w:p>
        </w:tc>
        <w:tc>
          <w:tcPr>
            <w:tcW w:w="1373" w:type="pct"/>
            <w:gridSpan w:val="4"/>
            <w:tcBorders>
              <w:top w:val="double" w:sz="4" w:space="0" w:color="auto"/>
            </w:tcBorders>
            <w:vAlign w:val="center"/>
          </w:tcPr>
          <w:p w:rsidR="00F05C83" w:rsidRPr="00ED4C18" w:rsidRDefault="00F05C83" w:rsidP="00D964D5">
            <w:pPr>
              <w:jc w:val="center"/>
              <w:rPr>
                <w:rFonts w:ascii="Arial Narrow" w:hAnsi="Arial Narrow"/>
                <w:b/>
                <w:sz w:val="20"/>
              </w:rPr>
            </w:pPr>
            <w:r w:rsidRPr="00ED4C18">
              <w:rPr>
                <w:rFonts w:ascii="Arial Narrow" w:hAnsi="Arial Narrow"/>
                <w:b/>
                <w:sz w:val="20"/>
              </w:rPr>
              <w:t>Event rate/100 patients</w:t>
            </w:r>
          </w:p>
        </w:tc>
        <w:tc>
          <w:tcPr>
            <w:tcW w:w="848" w:type="pct"/>
            <w:gridSpan w:val="2"/>
            <w:vMerge w:val="restart"/>
            <w:tcBorders>
              <w:top w:val="double" w:sz="4" w:space="0" w:color="auto"/>
            </w:tcBorders>
            <w:vAlign w:val="center"/>
          </w:tcPr>
          <w:p w:rsidR="00F05C83" w:rsidRPr="00ED4C18" w:rsidRDefault="00F05C83" w:rsidP="00D964D5">
            <w:pPr>
              <w:jc w:val="center"/>
              <w:rPr>
                <w:rFonts w:ascii="Arial Narrow" w:hAnsi="Arial Narrow"/>
                <w:b/>
                <w:sz w:val="20"/>
                <w:vertAlign w:val="superscript"/>
              </w:rPr>
            </w:pPr>
            <w:r w:rsidRPr="00ED4C18">
              <w:rPr>
                <w:rFonts w:ascii="Arial Narrow" w:hAnsi="Arial Narrow"/>
                <w:b/>
                <w:sz w:val="20"/>
              </w:rPr>
              <w:t xml:space="preserve">Risk </w:t>
            </w:r>
            <w:proofErr w:type="spellStart"/>
            <w:r w:rsidRPr="00ED4C18">
              <w:rPr>
                <w:rFonts w:ascii="Arial Narrow" w:hAnsi="Arial Narrow"/>
                <w:b/>
                <w:sz w:val="20"/>
              </w:rPr>
              <w:t>Difference</w:t>
            </w:r>
            <w:r w:rsidRPr="00ED4C18">
              <w:rPr>
                <w:rFonts w:ascii="Arial Narrow" w:hAnsi="Arial Narrow"/>
                <w:b/>
                <w:sz w:val="20"/>
                <w:vertAlign w:val="superscript"/>
              </w:rPr>
              <w:t>b</w:t>
            </w:r>
            <w:proofErr w:type="spellEnd"/>
          </w:p>
        </w:tc>
      </w:tr>
      <w:tr w:rsidR="00ED4C18" w:rsidRPr="00ED4C18" w:rsidTr="00E06107">
        <w:trPr>
          <w:trHeight w:val="147"/>
        </w:trPr>
        <w:tc>
          <w:tcPr>
            <w:tcW w:w="824" w:type="pct"/>
            <w:vMerge/>
            <w:shd w:val="clear" w:color="auto" w:fill="auto"/>
            <w:vAlign w:val="center"/>
          </w:tcPr>
          <w:p w:rsidR="00F05C83" w:rsidRPr="00ED4C18" w:rsidRDefault="00F05C83" w:rsidP="00D964D5">
            <w:pPr>
              <w:rPr>
                <w:rFonts w:ascii="Arial Narrow" w:hAnsi="Arial Narrow"/>
                <w:sz w:val="20"/>
              </w:rPr>
            </w:pPr>
          </w:p>
        </w:tc>
        <w:tc>
          <w:tcPr>
            <w:tcW w:w="996" w:type="pct"/>
            <w:gridSpan w:val="2"/>
            <w:vMerge/>
            <w:vAlign w:val="center"/>
          </w:tcPr>
          <w:p w:rsidR="00F05C83" w:rsidRPr="00ED4C18" w:rsidRDefault="00F05C83" w:rsidP="00D964D5">
            <w:pPr>
              <w:jc w:val="center"/>
              <w:rPr>
                <w:rFonts w:ascii="Arial Narrow" w:hAnsi="Arial Narrow"/>
                <w:b/>
                <w:sz w:val="20"/>
              </w:rPr>
            </w:pPr>
          </w:p>
        </w:tc>
        <w:tc>
          <w:tcPr>
            <w:tcW w:w="959" w:type="pct"/>
            <w:gridSpan w:val="2"/>
            <w:vMerge/>
            <w:vAlign w:val="center"/>
          </w:tcPr>
          <w:p w:rsidR="00F05C83" w:rsidRPr="00ED4C18" w:rsidRDefault="00F05C83" w:rsidP="00D964D5">
            <w:pPr>
              <w:keepNext/>
              <w:jc w:val="center"/>
              <w:rPr>
                <w:rFonts w:ascii="Arial Narrow" w:hAnsi="Arial Narrow"/>
                <w:b/>
                <w:sz w:val="20"/>
              </w:rPr>
            </w:pPr>
          </w:p>
        </w:tc>
        <w:tc>
          <w:tcPr>
            <w:tcW w:w="739" w:type="pct"/>
            <w:gridSpan w:val="2"/>
            <w:vAlign w:val="center"/>
          </w:tcPr>
          <w:p w:rsidR="00F05C83" w:rsidRPr="00ED4C18" w:rsidRDefault="00F05C83" w:rsidP="00D964D5">
            <w:pPr>
              <w:jc w:val="center"/>
              <w:rPr>
                <w:rFonts w:ascii="Arial Narrow" w:hAnsi="Arial Narrow"/>
                <w:b/>
                <w:sz w:val="20"/>
              </w:rPr>
            </w:pPr>
            <w:proofErr w:type="spellStart"/>
            <w:r w:rsidRPr="00ED4C18">
              <w:rPr>
                <w:rFonts w:ascii="Arial Narrow" w:hAnsi="Arial Narrow"/>
                <w:b/>
                <w:sz w:val="20"/>
              </w:rPr>
              <w:t>Sofosbuvir</w:t>
            </w:r>
            <w:proofErr w:type="spellEnd"/>
          </w:p>
        </w:tc>
        <w:tc>
          <w:tcPr>
            <w:tcW w:w="634" w:type="pct"/>
            <w:gridSpan w:val="2"/>
            <w:vAlign w:val="center"/>
          </w:tcPr>
          <w:p w:rsidR="00F05C83" w:rsidRPr="00ED4C18" w:rsidRDefault="00F05C83" w:rsidP="00D964D5">
            <w:pPr>
              <w:jc w:val="center"/>
              <w:rPr>
                <w:rFonts w:ascii="Arial Narrow" w:hAnsi="Arial Narrow"/>
                <w:b/>
                <w:sz w:val="20"/>
              </w:rPr>
            </w:pPr>
            <w:r w:rsidRPr="00ED4C18">
              <w:rPr>
                <w:rFonts w:ascii="Arial Narrow" w:hAnsi="Arial Narrow"/>
                <w:b/>
                <w:sz w:val="20"/>
              </w:rPr>
              <w:t>Comparator</w:t>
            </w:r>
          </w:p>
        </w:tc>
        <w:tc>
          <w:tcPr>
            <w:tcW w:w="848" w:type="pct"/>
            <w:gridSpan w:val="2"/>
            <w:vMerge/>
            <w:vAlign w:val="center"/>
          </w:tcPr>
          <w:p w:rsidR="00F05C83" w:rsidRPr="00ED4C18" w:rsidRDefault="00F05C83" w:rsidP="00D964D5">
            <w:pPr>
              <w:jc w:val="center"/>
              <w:rPr>
                <w:rFonts w:ascii="Arial Narrow" w:hAnsi="Arial Narrow"/>
                <w:b/>
                <w:sz w:val="20"/>
              </w:rPr>
            </w:pPr>
          </w:p>
        </w:tc>
      </w:tr>
      <w:tr w:rsidR="00ED4C18" w:rsidRPr="00ED4C18" w:rsidTr="00E06107">
        <w:trPr>
          <w:trHeight w:val="223"/>
        </w:trPr>
        <w:tc>
          <w:tcPr>
            <w:tcW w:w="824" w:type="pct"/>
            <w:shd w:val="clear" w:color="auto" w:fill="auto"/>
            <w:vAlign w:val="center"/>
          </w:tcPr>
          <w:p w:rsidR="00F05C83" w:rsidRPr="00ED4C18" w:rsidRDefault="00F05C83" w:rsidP="00D964D5">
            <w:pPr>
              <w:rPr>
                <w:rFonts w:ascii="Arial Narrow" w:hAnsi="Arial Narrow"/>
                <w:b/>
                <w:sz w:val="20"/>
              </w:rPr>
            </w:pPr>
            <w:r w:rsidRPr="00ED4C18">
              <w:rPr>
                <w:rFonts w:ascii="Arial Narrow" w:hAnsi="Arial Narrow"/>
                <w:b/>
                <w:sz w:val="20"/>
              </w:rPr>
              <w:t>FISSION</w:t>
            </w:r>
          </w:p>
        </w:tc>
        <w:tc>
          <w:tcPr>
            <w:tcW w:w="996" w:type="pct"/>
            <w:gridSpan w:val="2"/>
            <w:vAlign w:val="center"/>
          </w:tcPr>
          <w:p w:rsidR="00F05C83" w:rsidRPr="00ED4C18" w:rsidRDefault="00F05C83" w:rsidP="00D964D5">
            <w:pPr>
              <w:jc w:val="center"/>
              <w:rPr>
                <w:rFonts w:ascii="Arial Narrow" w:hAnsi="Arial Narrow"/>
                <w:b/>
                <w:sz w:val="20"/>
              </w:rPr>
            </w:pPr>
            <w:r w:rsidRPr="00ED4C18">
              <w:rPr>
                <w:rFonts w:ascii="Arial Narrow" w:hAnsi="Arial Narrow"/>
                <w:b/>
                <w:sz w:val="20"/>
              </w:rPr>
              <w:t>SOF12+R12</w:t>
            </w:r>
          </w:p>
        </w:tc>
        <w:tc>
          <w:tcPr>
            <w:tcW w:w="959" w:type="pct"/>
            <w:gridSpan w:val="2"/>
            <w:vAlign w:val="center"/>
          </w:tcPr>
          <w:p w:rsidR="00F05C83" w:rsidRPr="00ED4C18" w:rsidRDefault="00F05C83" w:rsidP="00D964D5">
            <w:pPr>
              <w:jc w:val="center"/>
              <w:rPr>
                <w:rFonts w:ascii="Arial Narrow" w:hAnsi="Arial Narrow"/>
                <w:b/>
                <w:sz w:val="20"/>
              </w:rPr>
            </w:pPr>
            <w:r w:rsidRPr="00ED4C18">
              <w:rPr>
                <w:rFonts w:ascii="Arial Narrow" w:hAnsi="Arial Narrow"/>
                <w:b/>
                <w:sz w:val="20"/>
              </w:rPr>
              <w:t>PR24</w:t>
            </w:r>
          </w:p>
        </w:tc>
        <w:tc>
          <w:tcPr>
            <w:tcW w:w="739" w:type="pct"/>
            <w:gridSpan w:val="2"/>
            <w:vAlign w:val="center"/>
          </w:tcPr>
          <w:p w:rsidR="00F05C83" w:rsidRPr="00ED4C18" w:rsidRDefault="00F05C83" w:rsidP="00D964D5">
            <w:pPr>
              <w:jc w:val="center"/>
              <w:rPr>
                <w:rFonts w:ascii="Arial Narrow" w:hAnsi="Arial Narrow"/>
                <w:sz w:val="20"/>
              </w:rPr>
            </w:pPr>
          </w:p>
        </w:tc>
        <w:tc>
          <w:tcPr>
            <w:tcW w:w="634" w:type="pct"/>
            <w:gridSpan w:val="2"/>
            <w:vAlign w:val="center"/>
          </w:tcPr>
          <w:p w:rsidR="00F05C83" w:rsidRPr="00ED4C18" w:rsidRDefault="00F05C83" w:rsidP="00D964D5">
            <w:pPr>
              <w:jc w:val="center"/>
              <w:rPr>
                <w:rFonts w:ascii="Arial Narrow" w:hAnsi="Arial Narrow"/>
                <w:sz w:val="20"/>
              </w:rPr>
            </w:pPr>
          </w:p>
        </w:tc>
        <w:tc>
          <w:tcPr>
            <w:tcW w:w="848" w:type="pct"/>
            <w:gridSpan w:val="2"/>
            <w:vAlign w:val="center"/>
          </w:tcPr>
          <w:p w:rsidR="00F05C83" w:rsidRPr="00ED4C18" w:rsidRDefault="00F05C83" w:rsidP="00D964D5">
            <w:pPr>
              <w:jc w:val="center"/>
              <w:rPr>
                <w:rFonts w:ascii="Arial Narrow" w:hAnsi="Arial Narrow"/>
                <w:b/>
                <w:sz w:val="20"/>
              </w:rPr>
            </w:pPr>
          </w:p>
        </w:tc>
      </w:tr>
      <w:tr w:rsidR="00ED4C18" w:rsidRPr="00ED4C18" w:rsidTr="00E06107">
        <w:trPr>
          <w:trHeight w:val="701"/>
        </w:trPr>
        <w:tc>
          <w:tcPr>
            <w:tcW w:w="824" w:type="pct"/>
            <w:shd w:val="clear" w:color="auto" w:fill="auto"/>
            <w:vAlign w:val="center"/>
          </w:tcPr>
          <w:p w:rsidR="00F05C83" w:rsidRPr="00ED4C18" w:rsidRDefault="00F05C83" w:rsidP="00D964D5">
            <w:pPr>
              <w:rPr>
                <w:rFonts w:ascii="Arial Narrow" w:hAnsi="Arial Narrow"/>
                <w:sz w:val="20"/>
              </w:rPr>
            </w:pPr>
            <w:r w:rsidRPr="00ED4C18">
              <w:rPr>
                <w:rFonts w:ascii="Arial Narrow" w:hAnsi="Arial Narrow"/>
                <w:sz w:val="20"/>
              </w:rPr>
              <w:t>Treatment-emergent treatment related Grade 3 AE</w:t>
            </w:r>
          </w:p>
        </w:tc>
        <w:tc>
          <w:tcPr>
            <w:tcW w:w="996" w:type="pct"/>
            <w:gridSpan w:val="2"/>
            <w:vAlign w:val="center"/>
          </w:tcPr>
          <w:p w:rsidR="00F05C83" w:rsidRPr="00ED4C18" w:rsidRDefault="00F05C83" w:rsidP="00D964D5">
            <w:pPr>
              <w:jc w:val="center"/>
              <w:rPr>
                <w:rFonts w:ascii="Arial Narrow" w:hAnsi="Arial Narrow"/>
                <w:sz w:val="20"/>
              </w:rPr>
            </w:pPr>
            <w:r w:rsidRPr="00ED4C18">
              <w:rPr>
                <w:rFonts w:ascii="Arial Narrow" w:hAnsi="Arial Narrow"/>
                <w:sz w:val="20"/>
              </w:rPr>
              <w:t>8/256</w:t>
            </w:r>
          </w:p>
        </w:tc>
        <w:tc>
          <w:tcPr>
            <w:tcW w:w="959" w:type="pct"/>
            <w:gridSpan w:val="2"/>
            <w:vAlign w:val="center"/>
          </w:tcPr>
          <w:p w:rsidR="00F05C83" w:rsidRPr="00ED4C18" w:rsidRDefault="00F05C83" w:rsidP="00D964D5">
            <w:pPr>
              <w:keepNext/>
              <w:jc w:val="center"/>
              <w:rPr>
                <w:rFonts w:ascii="Arial Narrow" w:hAnsi="Arial Narrow"/>
                <w:sz w:val="20"/>
              </w:rPr>
            </w:pPr>
            <w:r w:rsidRPr="00ED4C18">
              <w:rPr>
                <w:rFonts w:ascii="Arial Narrow" w:hAnsi="Arial Narrow"/>
                <w:sz w:val="20"/>
              </w:rPr>
              <w:t>39/243</w:t>
            </w:r>
          </w:p>
        </w:tc>
        <w:tc>
          <w:tcPr>
            <w:tcW w:w="739" w:type="pct"/>
            <w:gridSpan w:val="2"/>
            <w:vAlign w:val="center"/>
          </w:tcPr>
          <w:p w:rsidR="00F05C83" w:rsidRPr="00ED4C18" w:rsidRDefault="00F05C83" w:rsidP="00D964D5">
            <w:pPr>
              <w:jc w:val="center"/>
              <w:rPr>
                <w:rFonts w:ascii="Arial Narrow" w:hAnsi="Arial Narrow"/>
                <w:sz w:val="20"/>
              </w:rPr>
            </w:pPr>
            <w:r w:rsidRPr="00ED4C18">
              <w:rPr>
                <w:rFonts w:ascii="Arial Narrow" w:hAnsi="Arial Narrow"/>
                <w:sz w:val="20"/>
              </w:rPr>
              <w:t>3.1</w:t>
            </w:r>
          </w:p>
        </w:tc>
        <w:tc>
          <w:tcPr>
            <w:tcW w:w="634" w:type="pct"/>
            <w:gridSpan w:val="2"/>
            <w:vAlign w:val="center"/>
          </w:tcPr>
          <w:p w:rsidR="00F05C83" w:rsidRPr="00ED4C18" w:rsidRDefault="00F05C83" w:rsidP="00D964D5">
            <w:pPr>
              <w:jc w:val="center"/>
              <w:rPr>
                <w:rFonts w:ascii="Arial Narrow" w:hAnsi="Arial Narrow"/>
                <w:sz w:val="20"/>
              </w:rPr>
            </w:pPr>
            <w:r w:rsidRPr="00ED4C18">
              <w:rPr>
                <w:rFonts w:ascii="Arial Narrow" w:hAnsi="Arial Narrow"/>
                <w:sz w:val="20"/>
              </w:rPr>
              <w:t>16.0</w:t>
            </w:r>
          </w:p>
        </w:tc>
        <w:tc>
          <w:tcPr>
            <w:tcW w:w="848" w:type="pct"/>
            <w:gridSpan w:val="2"/>
            <w:vAlign w:val="center"/>
          </w:tcPr>
          <w:p w:rsidR="00F05C83" w:rsidRPr="00ED4C18" w:rsidRDefault="00F05C83" w:rsidP="00D964D5">
            <w:pPr>
              <w:jc w:val="center"/>
              <w:rPr>
                <w:rFonts w:ascii="Arial Narrow" w:hAnsi="Arial Narrow"/>
                <w:sz w:val="20"/>
              </w:rPr>
            </w:pPr>
            <w:r w:rsidRPr="00ED4C18">
              <w:rPr>
                <w:rFonts w:ascii="Arial Narrow" w:hAnsi="Arial Narrow"/>
                <w:sz w:val="20"/>
              </w:rPr>
              <w:t>-12.9</w:t>
            </w:r>
          </w:p>
        </w:tc>
      </w:tr>
      <w:tr w:rsidR="00ED4C18" w:rsidRPr="00ED4C18" w:rsidTr="00E06107">
        <w:trPr>
          <w:trHeight w:val="461"/>
        </w:trPr>
        <w:tc>
          <w:tcPr>
            <w:tcW w:w="824" w:type="pct"/>
            <w:shd w:val="clear" w:color="auto" w:fill="auto"/>
            <w:vAlign w:val="center"/>
          </w:tcPr>
          <w:p w:rsidR="00F05C83" w:rsidRPr="00ED4C18" w:rsidRDefault="00F05C83" w:rsidP="00D964D5">
            <w:pPr>
              <w:rPr>
                <w:rFonts w:ascii="Arial Narrow" w:hAnsi="Arial Narrow"/>
                <w:sz w:val="20"/>
              </w:rPr>
            </w:pPr>
            <w:r w:rsidRPr="00ED4C18">
              <w:rPr>
                <w:rFonts w:ascii="Arial Narrow" w:hAnsi="Arial Narrow"/>
                <w:sz w:val="20"/>
              </w:rPr>
              <w:t>Treatment-emergent SAE</w:t>
            </w:r>
          </w:p>
        </w:tc>
        <w:tc>
          <w:tcPr>
            <w:tcW w:w="996" w:type="pct"/>
            <w:gridSpan w:val="2"/>
            <w:vAlign w:val="center"/>
          </w:tcPr>
          <w:p w:rsidR="00F05C83" w:rsidRPr="00ED4C18" w:rsidRDefault="00F05C83" w:rsidP="00D964D5">
            <w:pPr>
              <w:jc w:val="center"/>
              <w:rPr>
                <w:rFonts w:ascii="Arial Narrow" w:hAnsi="Arial Narrow"/>
                <w:sz w:val="20"/>
              </w:rPr>
            </w:pPr>
            <w:r w:rsidRPr="00ED4C18">
              <w:rPr>
                <w:rFonts w:ascii="Arial Narrow" w:hAnsi="Arial Narrow"/>
                <w:sz w:val="20"/>
              </w:rPr>
              <w:t>7/256</w:t>
            </w:r>
          </w:p>
        </w:tc>
        <w:tc>
          <w:tcPr>
            <w:tcW w:w="959" w:type="pct"/>
            <w:gridSpan w:val="2"/>
            <w:vAlign w:val="center"/>
          </w:tcPr>
          <w:p w:rsidR="00F05C83" w:rsidRPr="00ED4C18" w:rsidRDefault="00F05C83" w:rsidP="00D964D5">
            <w:pPr>
              <w:jc w:val="center"/>
              <w:rPr>
                <w:rFonts w:ascii="Arial Narrow" w:hAnsi="Arial Narrow"/>
                <w:sz w:val="20"/>
              </w:rPr>
            </w:pPr>
            <w:r w:rsidRPr="00ED4C18">
              <w:rPr>
                <w:rFonts w:ascii="Arial Narrow" w:hAnsi="Arial Narrow"/>
                <w:sz w:val="20"/>
              </w:rPr>
              <w:t>3/243</w:t>
            </w:r>
          </w:p>
        </w:tc>
        <w:tc>
          <w:tcPr>
            <w:tcW w:w="739" w:type="pct"/>
            <w:gridSpan w:val="2"/>
            <w:vAlign w:val="center"/>
          </w:tcPr>
          <w:p w:rsidR="00F05C83" w:rsidRPr="00ED4C18" w:rsidRDefault="00F05C83" w:rsidP="00D964D5">
            <w:pPr>
              <w:jc w:val="center"/>
              <w:rPr>
                <w:rFonts w:ascii="Arial Narrow" w:hAnsi="Arial Narrow"/>
                <w:sz w:val="20"/>
              </w:rPr>
            </w:pPr>
            <w:r w:rsidRPr="00ED4C18">
              <w:rPr>
                <w:rFonts w:ascii="Arial Narrow" w:hAnsi="Arial Narrow"/>
                <w:sz w:val="20"/>
              </w:rPr>
              <w:t>2.7</w:t>
            </w:r>
          </w:p>
        </w:tc>
        <w:tc>
          <w:tcPr>
            <w:tcW w:w="634" w:type="pct"/>
            <w:gridSpan w:val="2"/>
            <w:vAlign w:val="center"/>
          </w:tcPr>
          <w:p w:rsidR="00F05C83" w:rsidRPr="00ED4C18" w:rsidRDefault="00F05C83" w:rsidP="00D964D5">
            <w:pPr>
              <w:jc w:val="center"/>
              <w:rPr>
                <w:rFonts w:ascii="Arial Narrow" w:hAnsi="Arial Narrow"/>
                <w:sz w:val="20"/>
              </w:rPr>
            </w:pPr>
            <w:r w:rsidRPr="00ED4C18">
              <w:rPr>
                <w:rFonts w:ascii="Arial Narrow" w:hAnsi="Arial Narrow"/>
                <w:sz w:val="20"/>
              </w:rPr>
              <w:t>1.2</w:t>
            </w:r>
          </w:p>
        </w:tc>
        <w:tc>
          <w:tcPr>
            <w:tcW w:w="848" w:type="pct"/>
            <w:gridSpan w:val="2"/>
            <w:vAlign w:val="center"/>
          </w:tcPr>
          <w:p w:rsidR="00F05C83" w:rsidRPr="00ED4C18" w:rsidRDefault="00F05C83" w:rsidP="00D964D5">
            <w:pPr>
              <w:jc w:val="center"/>
              <w:rPr>
                <w:rFonts w:ascii="Arial Narrow" w:hAnsi="Arial Narrow"/>
                <w:sz w:val="20"/>
              </w:rPr>
            </w:pPr>
            <w:r w:rsidRPr="00ED4C18">
              <w:rPr>
                <w:rFonts w:ascii="Arial Narrow" w:hAnsi="Arial Narrow"/>
                <w:sz w:val="20"/>
              </w:rPr>
              <w:t>1.5</w:t>
            </w:r>
          </w:p>
        </w:tc>
      </w:tr>
      <w:tr w:rsidR="00ED4C18" w:rsidRPr="00ED4C18" w:rsidTr="00E06107">
        <w:trPr>
          <w:trHeight w:val="922"/>
        </w:trPr>
        <w:tc>
          <w:tcPr>
            <w:tcW w:w="824" w:type="pct"/>
            <w:shd w:val="clear" w:color="auto" w:fill="auto"/>
            <w:vAlign w:val="center"/>
          </w:tcPr>
          <w:p w:rsidR="00F05C83" w:rsidRPr="00ED4C18" w:rsidRDefault="00F05C83" w:rsidP="00D964D5">
            <w:pPr>
              <w:rPr>
                <w:rFonts w:ascii="Arial Narrow" w:hAnsi="Arial Narrow"/>
                <w:sz w:val="20"/>
              </w:rPr>
            </w:pPr>
            <w:r w:rsidRPr="00ED4C18">
              <w:rPr>
                <w:rFonts w:ascii="Arial Narrow" w:hAnsi="Arial Narrow"/>
                <w:sz w:val="20"/>
              </w:rPr>
              <w:t>AE leading to modification / interruption of study drug</w:t>
            </w:r>
          </w:p>
        </w:tc>
        <w:tc>
          <w:tcPr>
            <w:tcW w:w="996" w:type="pct"/>
            <w:gridSpan w:val="2"/>
            <w:vAlign w:val="center"/>
          </w:tcPr>
          <w:p w:rsidR="00F05C83" w:rsidRPr="00ED4C18" w:rsidRDefault="00F05C83" w:rsidP="00D964D5">
            <w:pPr>
              <w:jc w:val="center"/>
              <w:rPr>
                <w:rFonts w:ascii="Arial Narrow" w:hAnsi="Arial Narrow"/>
                <w:sz w:val="20"/>
              </w:rPr>
            </w:pPr>
            <w:r w:rsidRPr="00ED4C18">
              <w:rPr>
                <w:rFonts w:ascii="Arial Narrow" w:hAnsi="Arial Narrow"/>
                <w:sz w:val="20"/>
              </w:rPr>
              <w:t>25/256</w:t>
            </w:r>
          </w:p>
        </w:tc>
        <w:tc>
          <w:tcPr>
            <w:tcW w:w="959" w:type="pct"/>
            <w:gridSpan w:val="2"/>
            <w:vAlign w:val="center"/>
          </w:tcPr>
          <w:p w:rsidR="00F05C83" w:rsidRPr="00ED4C18" w:rsidRDefault="00F05C83" w:rsidP="00D964D5">
            <w:pPr>
              <w:jc w:val="center"/>
              <w:rPr>
                <w:rFonts w:ascii="Arial Narrow" w:hAnsi="Arial Narrow"/>
                <w:sz w:val="20"/>
              </w:rPr>
            </w:pPr>
            <w:r w:rsidRPr="00ED4C18">
              <w:rPr>
                <w:rFonts w:ascii="Arial Narrow" w:hAnsi="Arial Narrow"/>
                <w:sz w:val="20"/>
              </w:rPr>
              <w:t>65/243</w:t>
            </w:r>
          </w:p>
        </w:tc>
        <w:tc>
          <w:tcPr>
            <w:tcW w:w="739" w:type="pct"/>
            <w:gridSpan w:val="2"/>
            <w:vAlign w:val="center"/>
          </w:tcPr>
          <w:p w:rsidR="00F05C83" w:rsidRPr="00ED4C18" w:rsidRDefault="00F05C83" w:rsidP="00D964D5">
            <w:pPr>
              <w:jc w:val="center"/>
              <w:rPr>
                <w:rFonts w:ascii="Arial Narrow" w:hAnsi="Arial Narrow"/>
                <w:sz w:val="20"/>
              </w:rPr>
            </w:pPr>
            <w:r w:rsidRPr="00ED4C18">
              <w:rPr>
                <w:rFonts w:ascii="Arial Narrow" w:hAnsi="Arial Narrow"/>
                <w:sz w:val="20"/>
              </w:rPr>
              <w:t>9.8</w:t>
            </w:r>
          </w:p>
        </w:tc>
        <w:tc>
          <w:tcPr>
            <w:tcW w:w="634" w:type="pct"/>
            <w:gridSpan w:val="2"/>
            <w:vAlign w:val="center"/>
          </w:tcPr>
          <w:p w:rsidR="00F05C83" w:rsidRPr="00ED4C18" w:rsidRDefault="00F05C83" w:rsidP="00D964D5">
            <w:pPr>
              <w:jc w:val="center"/>
              <w:rPr>
                <w:rFonts w:ascii="Arial Narrow" w:hAnsi="Arial Narrow"/>
                <w:sz w:val="20"/>
              </w:rPr>
            </w:pPr>
            <w:r w:rsidRPr="00ED4C18">
              <w:rPr>
                <w:rFonts w:ascii="Arial Narrow" w:hAnsi="Arial Narrow"/>
                <w:sz w:val="20"/>
              </w:rPr>
              <w:t>26.7</w:t>
            </w:r>
          </w:p>
        </w:tc>
        <w:tc>
          <w:tcPr>
            <w:tcW w:w="848" w:type="pct"/>
            <w:gridSpan w:val="2"/>
            <w:vAlign w:val="center"/>
          </w:tcPr>
          <w:p w:rsidR="00F05C83" w:rsidRPr="00ED4C18" w:rsidRDefault="00F05C83" w:rsidP="00D964D5">
            <w:pPr>
              <w:jc w:val="center"/>
              <w:rPr>
                <w:rFonts w:ascii="Arial Narrow" w:hAnsi="Arial Narrow"/>
                <w:sz w:val="20"/>
              </w:rPr>
            </w:pPr>
            <w:r w:rsidRPr="00ED4C18">
              <w:rPr>
                <w:rFonts w:ascii="Arial Narrow" w:hAnsi="Arial Narrow"/>
                <w:sz w:val="20"/>
              </w:rPr>
              <w:t>-17.0</w:t>
            </w:r>
          </w:p>
        </w:tc>
      </w:tr>
      <w:tr w:rsidR="00ED4C18" w:rsidRPr="00ED4C18" w:rsidTr="00E06107">
        <w:trPr>
          <w:trHeight w:val="239"/>
        </w:trPr>
        <w:tc>
          <w:tcPr>
            <w:tcW w:w="824" w:type="pct"/>
            <w:shd w:val="clear" w:color="auto" w:fill="auto"/>
            <w:vAlign w:val="center"/>
          </w:tcPr>
          <w:p w:rsidR="00F05C83" w:rsidRPr="00ED4C18" w:rsidRDefault="00F05C83" w:rsidP="00D964D5">
            <w:pPr>
              <w:rPr>
                <w:rFonts w:ascii="Arial Narrow" w:hAnsi="Arial Narrow"/>
                <w:b/>
                <w:sz w:val="20"/>
              </w:rPr>
            </w:pPr>
            <w:r w:rsidRPr="00ED4C18">
              <w:rPr>
                <w:rFonts w:ascii="Arial Narrow" w:hAnsi="Arial Narrow"/>
                <w:b/>
                <w:sz w:val="20"/>
              </w:rPr>
              <w:t>POSITRON</w:t>
            </w:r>
          </w:p>
        </w:tc>
        <w:tc>
          <w:tcPr>
            <w:tcW w:w="996" w:type="pct"/>
            <w:gridSpan w:val="2"/>
            <w:vAlign w:val="center"/>
          </w:tcPr>
          <w:p w:rsidR="00F05C83" w:rsidRPr="00ED4C18" w:rsidRDefault="00F05C83" w:rsidP="00D964D5">
            <w:pPr>
              <w:jc w:val="center"/>
              <w:rPr>
                <w:rFonts w:ascii="Arial Narrow" w:hAnsi="Arial Narrow"/>
                <w:b/>
                <w:sz w:val="20"/>
              </w:rPr>
            </w:pPr>
            <w:r w:rsidRPr="00ED4C18">
              <w:rPr>
                <w:rFonts w:ascii="Arial Narrow" w:hAnsi="Arial Narrow"/>
                <w:b/>
                <w:sz w:val="20"/>
              </w:rPr>
              <w:t>SOF12+R12</w:t>
            </w:r>
          </w:p>
        </w:tc>
        <w:tc>
          <w:tcPr>
            <w:tcW w:w="959" w:type="pct"/>
            <w:gridSpan w:val="2"/>
            <w:vAlign w:val="center"/>
          </w:tcPr>
          <w:p w:rsidR="00F05C83" w:rsidRPr="00ED4C18" w:rsidRDefault="00F05C83" w:rsidP="00D964D5">
            <w:pPr>
              <w:jc w:val="center"/>
              <w:rPr>
                <w:rFonts w:ascii="Arial Narrow" w:hAnsi="Arial Narrow"/>
                <w:b/>
                <w:sz w:val="20"/>
              </w:rPr>
            </w:pPr>
            <w:r w:rsidRPr="00ED4C18">
              <w:rPr>
                <w:rFonts w:ascii="Arial Narrow" w:hAnsi="Arial Narrow"/>
                <w:b/>
                <w:sz w:val="20"/>
              </w:rPr>
              <w:t>PBO</w:t>
            </w:r>
          </w:p>
        </w:tc>
        <w:tc>
          <w:tcPr>
            <w:tcW w:w="739" w:type="pct"/>
            <w:gridSpan w:val="2"/>
            <w:vAlign w:val="center"/>
          </w:tcPr>
          <w:p w:rsidR="00F05C83" w:rsidRPr="00ED4C18" w:rsidRDefault="00F05C83" w:rsidP="00D964D5">
            <w:pPr>
              <w:jc w:val="center"/>
              <w:rPr>
                <w:rFonts w:ascii="Arial Narrow" w:hAnsi="Arial Narrow"/>
                <w:sz w:val="20"/>
              </w:rPr>
            </w:pPr>
          </w:p>
        </w:tc>
        <w:tc>
          <w:tcPr>
            <w:tcW w:w="634" w:type="pct"/>
            <w:gridSpan w:val="2"/>
            <w:vAlign w:val="center"/>
          </w:tcPr>
          <w:p w:rsidR="00F05C83" w:rsidRPr="00ED4C18" w:rsidRDefault="00F05C83" w:rsidP="00D964D5">
            <w:pPr>
              <w:jc w:val="center"/>
              <w:rPr>
                <w:rFonts w:ascii="Arial Narrow" w:hAnsi="Arial Narrow"/>
                <w:sz w:val="20"/>
              </w:rPr>
            </w:pPr>
          </w:p>
        </w:tc>
        <w:tc>
          <w:tcPr>
            <w:tcW w:w="848" w:type="pct"/>
            <w:gridSpan w:val="2"/>
            <w:vAlign w:val="center"/>
          </w:tcPr>
          <w:p w:rsidR="00F05C83" w:rsidRPr="00ED4C18" w:rsidRDefault="00F05C83" w:rsidP="00D964D5">
            <w:pPr>
              <w:jc w:val="center"/>
              <w:rPr>
                <w:rFonts w:ascii="Arial Narrow" w:hAnsi="Arial Narrow"/>
                <w:sz w:val="20"/>
              </w:rPr>
            </w:pPr>
          </w:p>
        </w:tc>
      </w:tr>
      <w:tr w:rsidR="00ED4C18" w:rsidRPr="00ED4C18" w:rsidTr="00E06107">
        <w:trPr>
          <w:trHeight w:val="461"/>
        </w:trPr>
        <w:tc>
          <w:tcPr>
            <w:tcW w:w="824" w:type="pct"/>
            <w:shd w:val="clear" w:color="auto" w:fill="auto"/>
            <w:vAlign w:val="center"/>
          </w:tcPr>
          <w:p w:rsidR="00F05C83" w:rsidRPr="00ED4C18" w:rsidRDefault="00F05C83" w:rsidP="00D964D5">
            <w:pPr>
              <w:rPr>
                <w:rFonts w:ascii="Arial Narrow" w:hAnsi="Arial Narrow"/>
                <w:sz w:val="20"/>
              </w:rPr>
            </w:pPr>
            <w:r w:rsidRPr="00ED4C18">
              <w:rPr>
                <w:rFonts w:ascii="Arial Narrow" w:hAnsi="Arial Narrow"/>
                <w:sz w:val="20"/>
              </w:rPr>
              <w:t>Treatment related Grade 2 or higher AE</w:t>
            </w:r>
          </w:p>
        </w:tc>
        <w:tc>
          <w:tcPr>
            <w:tcW w:w="996" w:type="pct"/>
            <w:gridSpan w:val="2"/>
            <w:vAlign w:val="center"/>
          </w:tcPr>
          <w:p w:rsidR="00F05C83" w:rsidRPr="00ED4C18" w:rsidRDefault="00F05C83" w:rsidP="00D964D5">
            <w:pPr>
              <w:jc w:val="center"/>
              <w:rPr>
                <w:rFonts w:ascii="Arial Narrow" w:hAnsi="Arial Narrow"/>
                <w:sz w:val="20"/>
              </w:rPr>
            </w:pPr>
            <w:r w:rsidRPr="00ED4C18">
              <w:rPr>
                <w:rFonts w:ascii="Arial Narrow" w:hAnsi="Arial Narrow"/>
                <w:sz w:val="20"/>
              </w:rPr>
              <w:t>59/207</w:t>
            </w:r>
          </w:p>
        </w:tc>
        <w:tc>
          <w:tcPr>
            <w:tcW w:w="959" w:type="pct"/>
            <w:gridSpan w:val="2"/>
            <w:vAlign w:val="center"/>
          </w:tcPr>
          <w:p w:rsidR="00F05C83" w:rsidRPr="00ED4C18" w:rsidRDefault="00F05C83" w:rsidP="00D964D5">
            <w:pPr>
              <w:jc w:val="center"/>
              <w:rPr>
                <w:rFonts w:ascii="Arial Narrow" w:hAnsi="Arial Narrow"/>
                <w:sz w:val="20"/>
              </w:rPr>
            </w:pPr>
            <w:r w:rsidRPr="00ED4C18">
              <w:rPr>
                <w:rFonts w:ascii="Arial Narrow" w:hAnsi="Arial Narrow"/>
                <w:sz w:val="20"/>
              </w:rPr>
              <w:t>12/71</w:t>
            </w:r>
          </w:p>
        </w:tc>
        <w:tc>
          <w:tcPr>
            <w:tcW w:w="739" w:type="pct"/>
            <w:gridSpan w:val="2"/>
            <w:vAlign w:val="center"/>
          </w:tcPr>
          <w:p w:rsidR="00F05C83" w:rsidRPr="00ED4C18" w:rsidRDefault="00F05C83" w:rsidP="00D964D5">
            <w:pPr>
              <w:jc w:val="center"/>
              <w:rPr>
                <w:rFonts w:ascii="Arial Narrow" w:hAnsi="Arial Narrow"/>
                <w:sz w:val="20"/>
              </w:rPr>
            </w:pPr>
            <w:r w:rsidRPr="00ED4C18">
              <w:rPr>
                <w:rFonts w:ascii="Arial Narrow" w:hAnsi="Arial Narrow"/>
                <w:sz w:val="20"/>
              </w:rPr>
              <w:t>28.5</w:t>
            </w:r>
          </w:p>
        </w:tc>
        <w:tc>
          <w:tcPr>
            <w:tcW w:w="634" w:type="pct"/>
            <w:gridSpan w:val="2"/>
            <w:vAlign w:val="center"/>
          </w:tcPr>
          <w:p w:rsidR="00F05C83" w:rsidRPr="00ED4C18" w:rsidRDefault="00F05C83" w:rsidP="00D964D5">
            <w:pPr>
              <w:jc w:val="center"/>
              <w:rPr>
                <w:rFonts w:ascii="Arial Narrow" w:hAnsi="Arial Narrow"/>
                <w:sz w:val="20"/>
              </w:rPr>
            </w:pPr>
            <w:r w:rsidRPr="00ED4C18">
              <w:rPr>
                <w:rFonts w:ascii="Arial Narrow" w:hAnsi="Arial Narrow"/>
                <w:sz w:val="20"/>
              </w:rPr>
              <w:t>16.9</w:t>
            </w:r>
          </w:p>
        </w:tc>
        <w:tc>
          <w:tcPr>
            <w:tcW w:w="848" w:type="pct"/>
            <w:gridSpan w:val="2"/>
            <w:vAlign w:val="center"/>
          </w:tcPr>
          <w:p w:rsidR="00F05C83" w:rsidRPr="00ED4C18" w:rsidRDefault="00F05C83" w:rsidP="00D964D5">
            <w:pPr>
              <w:jc w:val="center"/>
              <w:rPr>
                <w:rFonts w:ascii="Arial Narrow" w:hAnsi="Arial Narrow"/>
                <w:sz w:val="20"/>
              </w:rPr>
            </w:pPr>
            <w:r w:rsidRPr="00ED4C18">
              <w:rPr>
                <w:rFonts w:ascii="Arial Narrow" w:hAnsi="Arial Narrow"/>
                <w:sz w:val="20"/>
              </w:rPr>
              <w:t>11.6</w:t>
            </w:r>
          </w:p>
        </w:tc>
      </w:tr>
      <w:tr w:rsidR="00ED4C18" w:rsidRPr="00ED4C18" w:rsidTr="00E06107">
        <w:trPr>
          <w:trHeight w:val="223"/>
        </w:trPr>
        <w:tc>
          <w:tcPr>
            <w:tcW w:w="824" w:type="pct"/>
            <w:shd w:val="clear" w:color="auto" w:fill="auto"/>
            <w:vAlign w:val="center"/>
          </w:tcPr>
          <w:p w:rsidR="00F05C83" w:rsidRPr="00ED4C18" w:rsidRDefault="00F05C83" w:rsidP="00D964D5">
            <w:pPr>
              <w:rPr>
                <w:rFonts w:ascii="Arial Narrow" w:hAnsi="Arial Narrow"/>
                <w:sz w:val="20"/>
              </w:rPr>
            </w:pPr>
            <w:r w:rsidRPr="00ED4C18">
              <w:rPr>
                <w:rFonts w:ascii="Arial Narrow" w:hAnsi="Arial Narrow"/>
                <w:sz w:val="20"/>
              </w:rPr>
              <w:t>SAE</w:t>
            </w:r>
          </w:p>
        </w:tc>
        <w:tc>
          <w:tcPr>
            <w:tcW w:w="996" w:type="pct"/>
            <w:gridSpan w:val="2"/>
            <w:vAlign w:val="center"/>
          </w:tcPr>
          <w:p w:rsidR="00F05C83" w:rsidRPr="00ED4C18" w:rsidRDefault="00F05C83" w:rsidP="00D964D5">
            <w:pPr>
              <w:jc w:val="center"/>
              <w:rPr>
                <w:rFonts w:ascii="Arial Narrow" w:hAnsi="Arial Narrow"/>
                <w:sz w:val="20"/>
              </w:rPr>
            </w:pPr>
            <w:r w:rsidRPr="00ED4C18">
              <w:rPr>
                <w:rFonts w:ascii="Arial Narrow" w:hAnsi="Arial Narrow"/>
                <w:sz w:val="20"/>
              </w:rPr>
              <w:t>11/207</w:t>
            </w:r>
          </w:p>
        </w:tc>
        <w:tc>
          <w:tcPr>
            <w:tcW w:w="959" w:type="pct"/>
            <w:gridSpan w:val="2"/>
            <w:vAlign w:val="center"/>
          </w:tcPr>
          <w:p w:rsidR="00F05C83" w:rsidRPr="00ED4C18" w:rsidRDefault="00F05C83" w:rsidP="00D964D5">
            <w:pPr>
              <w:jc w:val="center"/>
              <w:rPr>
                <w:rFonts w:ascii="Arial Narrow" w:hAnsi="Arial Narrow"/>
                <w:sz w:val="20"/>
              </w:rPr>
            </w:pPr>
            <w:r w:rsidRPr="00ED4C18">
              <w:rPr>
                <w:rFonts w:ascii="Arial Narrow" w:hAnsi="Arial Narrow"/>
                <w:sz w:val="20"/>
              </w:rPr>
              <w:t>2/71</w:t>
            </w:r>
          </w:p>
        </w:tc>
        <w:tc>
          <w:tcPr>
            <w:tcW w:w="739" w:type="pct"/>
            <w:gridSpan w:val="2"/>
            <w:vAlign w:val="center"/>
          </w:tcPr>
          <w:p w:rsidR="00F05C83" w:rsidRPr="00ED4C18" w:rsidRDefault="00F05C83" w:rsidP="00D964D5">
            <w:pPr>
              <w:jc w:val="center"/>
              <w:rPr>
                <w:rFonts w:ascii="Arial Narrow" w:hAnsi="Arial Narrow"/>
                <w:sz w:val="20"/>
              </w:rPr>
            </w:pPr>
            <w:r w:rsidRPr="00ED4C18">
              <w:rPr>
                <w:rFonts w:ascii="Arial Narrow" w:hAnsi="Arial Narrow"/>
                <w:sz w:val="20"/>
              </w:rPr>
              <w:t>5.3</w:t>
            </w:r>
          </w:p>
        </w:tc>
        <w:tc>
          <w:tcPr>
            <w:tcW w:w="634" w:type="pct"/>
            <w:gridSpan w:val="2"/>
            <w:vAlign w:val="center"/>
          </w:tcPr>
          <w:p w:rsidR="00F05C83" w:rsidRPr="00ED4C18" w:rsidRDefault="00F05C83" w:rsidP="00D964D5">
            <w:pPr>
              <w:jc w:val="center"/>
              <w:rPr>
                <w:rFonts w:ascii="Arial Narrow" w:hAnsi="Arial Narrow"/>
                <w:sz w:val="20"/>
              </w:rPr>
            </w:pPr>
            <w:r w:rsidRPr="00ED4C18">
              <w:rPr>
                <w:rFonts w:ascii="Arial Narrow" w:hAnsi="Arial Narrow"/>
                <w:sz w:val="20"/>
              </w:rPr>
              <w:t>2.8</w:t>
            </w:r>
          </w:p>
        </w:tc>
        <w:tc>
          <w:tcPr>
            <w:tcW w:w="848" w:type="pct"/>
            <w:gridSpan w:val="2"/>
            <w:vAlign w:val="center"/>
          </w:tcPr>
          <w:p w:rsidR="00F05C83" w:rsidRPr="00ED4C18" w:rsidRDefault="00F05C83" w:rsidP="00D964D5">
            <w:pPr>
              <w:jc w:val="center"/>
              <w:rPr>
                <w:rFonts w:ascii="Arial Narrow" w:hAnsi="Arial Narrow"/>
                <w:sz w:val="20"/>
              </w:rPr>
            </w:pPr>
            <w:r w:rsidRPr="00ED4C18">
              <w:rPr>
                <w:rFonts w:ascii="Arial Narrow" w:hAnsi="Arial Narrow"/>
                <w:sz w:val="20"/>
              </w:rPr>
              <w:t>2.5</w:t>
            </w:r>
          </w:p>
        </w:tc>
      </w:tr>
      <w:tr w:rsidR="00ED4C18" w:rsidRPr="00ED4C18" w:rsidTr="00E06107">
        <w:trPr>
          <w:trHeight w:val="922"/>
        </w:trPr>
        <w:tc>
          <w:tcPr>
            <w:tcW w:w="824" w:type="pct"/>
            <w:shd w:val="clear" w:color="auto" w:fill="auto"/>
            <w:vAlign w:val="center"/>
          </w:tcPr>
          <w:p w:rsidR="00F05C83" w:rsidRPr="00ED4C18" w:rsidRDefault="00F05C83" w:rsidP="00D964D5">
            <w:pPr>
              <w:rPr>
                <w:rFonts w:ascii="Arial Narrow" w:hAnsi="Arial Narrow"/>
                <w:sz w:val="20"/>
              </w:rPr>
            </w:pPr>
            <w:r w:rsidRPr="00ED4C18">
              <w:rPr>
                <w:rFonts w:ascii="Arial Narrow" w:hAnsi="Arial Narrow"/>
                <w:sz w:val="20"/>
              </w:rPr>
              <w:t>AE leading to modification or interruption of study drug</w:t>
            </w:r>
          </w:p>
        </w:tc>
        <w:tc>
          <w:tcPr>
            <w:tcW w:w="996" w:type="pct"/>
            <w:gridSpan w:val="2"/>
            <w:vAlign w:val="center"/>
          </w:tcPr>
          <w:p w:rsidR="00F05C83" w:rsidRPr="00ED4C18" w:rsidRDefault="00F05C83" w:rsidP="00D964D5">
            <w:pPr>
              <w:jc w:val="center"/>
              <w:rPr>
                <w:rFonts w:ascii="Arial Narrow" w:hAnsi="Arial Narrow"/>
                <w:sz w:val="20"/>
              </w:rPr>
            </w:pPr>
            <w:r w:rsidRPr="00ED4C18">
              <w:rPr>
                <w:rFonts w:ascii="Arial Narrow" w:hAnsi="Arial Narrow"/>
                <w:sz w:val="20"/>
              </w:rPr>
              <w:t>29/207</w:t>
            </w:r>
          </w:p>
        </w:tc>
        <w:tc>
          <w:tcPr>
            <w:tcW w:w="959" w:type="pct"/>
            <w:gridSpan w:val="2"/>
            <w:vAlign w:val="center"/>
          </w:tcPr>
          <w:p w:rsidR="00F05C83" w:rsidRPr="00ED4C18" w:rsidRDefault="00F05C83" w:rsidP="00D964D5">
            <w:pPr>
              <w:jc w:val="center"/>
              <w:rPr>
                <w:rFonts w:ascii="Arial Narrow" w:hAnsi="Arial Narrow"/>
                <w:sz w:val="20"/>
              </w:rPr>
            </w:pPr>
            <w:r w:rsidRPr="00ED4C18">
              <w:rPr>
                <w:rFonts w:ascii="Arial Narrow" w:hAnsi="Arial Narrow"/>
                <w:sz w:val="20"/>
              </w:rPr>
              <w:t>0/71</w:t>
            </w:r>
          </w:p>
        </w:tc>
        <w:tc>
          <w:tcPr>
            <w:tcW w:w="739" w:type="pct"/>
            <w:gridSpan w:val="2"/>
            <w:vAlign w:val="center"/>
          </w:tcPr>
          <w:p w:rsidR="00F05C83" w:rsidRPr="00ED4C18" w:rsidRDefault="00F05C83" w:rsidP="00D964D5">
            <w:pPr>
              <w:jc w:val="center"/>
              <w:rPr>
                <w:rFonts w:ascii="Arial Narrow" w:hAnsi="Arial Narrow"/>
                <w:sz w:val="20"/>
              </w:rPr>
            </w:pPr>
            <w:r w:rsidRPr="00ED4C18">
              <w:rPr>
                <w:rFonts w:ascii="Arial Narrow" w:hAnsi="Arial Narrow"/>
                <w:sz w:val="20"/>
              </w:rPr>
              <w:t>14.0</w:t>
            </w:r>
          </w:p>
        </w:tc>
        <w:tc>
          <w:tcPr>
            <w:tcW w:w="634" w:type="pct"/>
            <w:gridSpan w:val="2"/>
            <w:vAlign w:val="center"/>
          </w:tcPr>
          <w:p w:rsidR="00F05C83" w:rsidRPr="00ED4C18" w:rsidRDefault="00F05C83" w:rsidP="00D964D5">
            <w:pPr>
              <w:jc w:val="center"/>
              <w:rPr>
                <w:rFonts w:ascii="Arial Narrow" w:hAnsi="Arial Narrow"/>
                <w:sz w:val="20"/>
              </w:rPr>
            </w:pPr>
            <w:r w:rsidRPr="00ED4C18">
              <w:rPr>
                <w:rFonts w:ascii="Arial Narrow" w:hAnsi="Arial Narrow"/>
                <w:sz w:val="20"/>
              </w:rPr>
              <w:t>0</w:t>
            </w:r>
          </w:p>
        </w:tc>
        <w:tc>
          <w:tcPr>
            <w:tcW w:w="848" w:type="pct"/>
            <w:gridSpan w:val="2"/>
            <w:vAlign w:val="center"/>
          </w:tcPr>
          <w:p w:rsidR="00F05C83" w:rsidRPr="00ED4C18" w:rsidRDefault="00F05C83" w:rsidP="00D964D5">
            <w:pPr>
              <w:jc w:val="center"/>
              <w:rPr>
                <w:rFonts w:ascii="Arial Narrow" w:hAnsi="Arial Narrow"/>
                <w:sz w:val="20"/>
              </w:rPr>
            </w:pPr>
            <w:r w:rsidRPr="00ED4C18">
              <w:rPr>
                <w:rFonts w:ascii="Arial Narrow" w:hAnsi="Arial Narrow"/>
                <w:sz w:val="20"/>
              </w:rPr>
              <w:t>14.0</w:t>
            </w:r>
          </w:p>
        </w:tc>
      </w:tr>
      <w:tr w:rsidR="00ED4C18" w:rsidRPr="00ED4C18" w:rsidTr="00E06107">
        <w:trPr>
          <w:trHeight w:val="239"/>
        </w:trPr>
        <w:tc>
          <w:tcPr>
            <w:tcW w:w="824" w:type="pct"/>
            <w:shd w:val="clear" w:color="auto" w:fill="auto"/>
            <w:vAlign w:val="center"/>
          </w:tcPr>
          <w:p w:rsidR="00F05C83" w:rsidRPr="00ED4C18" w:rsidRDefault="00F05C83" w:rsidP="00D964D5">
            <w:pPr>
              <w:rPr>
                <w:rFonts w:ascii="Arial Narrow" w:hAnsi="Arial Narrow"/>
                <w:b/>
                <w:sz w:val="20"/>
              </w:rPr>
            </w:pPr>
            <w:r w:rsidRPr="00ED4C18">
              <w:rPr>
                <w:rFonts w:ascii="Arial Narrow" w:hAnsi="Arial Narrow"/>
                <w:b/>
                <w:sz w:val="20"/>
              </w:rPr>
              <w:t>FUSION</w:t>
            </w:r>
          </w:p>
        </w:tc>
        <w:tc>
          <w:tcPr>
            <w:tcW w:w="996" w:type="pct"/>
            <w:gridSpan w:val="2"/>
            <w:vAlign w:val="center"/>
          </w:tcPr>
          <w:p w:rsidR="00F05C83" w:rsidRPr="00ED4C18" w:rsidRDefault="00F05C83" w:rsidP="00D964D5">
            <w:pPr>
              <w:jc w:val="center"/>
              <w:rPr>
                <w:rFonts w:ascii="Arial Narrow" w:hAnsi="Arial Narrow"/>
                <w:b/>
                <w:sz w:val="20"/>
              </w:rPr>
            </w:pPr>
            <w:r w:rsidRPr="00ED4C18">
              <w:rPr>
                <w:rFonts w:ascii="Arial Narrow" w:hAnsi="Arial Narrow"/>
                <w:b/>
                <w:sz w:val="20"/>
              </w:rPr>
              <w:t>SOF12+R12</w:t>
            </w:r>
          </w:p>
        </w:tc>
        <w:tc>
          <w:tcPr>
            <w:tcW w:w="959" w:type="pct"/>
            <w:gridSpan w:val="2"/>
            <w:vAlign w:val="center"/>
          </w:tcPr>
          <w:p w:rsidR="00F05C83" w:rsidRPr="00ED4C18" w:rsidRDefault="00F05C83" w:rsidP="00D964D5">
            <w:pPr>
              <w:jc w:val="center"/>
              <w:rPr>
                <w:rFonts w:ascii="Arial Narrow" w:hAnsi="Arial Narrow"/>
                <w:b/>
                <w:sz w:val="20"/>
              </w:rPr>
            </w:pPr>
            <w:r w:rsidRPr="00ED4C18">
              <w:rPr>
                <w:rFonts w:ascii="Arial Narrow" w:hAnsi="Arial Narrow"/>
                <w:b/>
                <w:sz w:val="20"/>
              </w:rPr>
              <w:t>SOF16+R16</w:t>
            </w:r>
          </w:p>
        </w:tc>
        <w:tc>
          <w:tcPr>
            <w:tcW w:w="739" w:type="pct"/>
            <w:gridSpan w:val="2"/>
            <w:vAlign w:val="center"/>
          </w:tcPr>
          <w:p w:rsidR="00F05C83" w:rsidRPr="00ED4C18" w:rsidRDefault="00F05C83" w:rsidP="00D964D5">
            <w:pPr>
              <w:jc w:val="center"/>
              <w:rPr>
                <w:rFonts w:ascii="Arial Narrow" w:hAnsi="Arial Narrow"/>
                <w:sz w:val="20"/>
              </w:rPr>
            </w:pPr>
          </w:p>
        </w:tc>
        <w:tc>
          <w:tcPr>
            <w:tcW w:w="634" w:type="pct"/>
            <w:gridSpan w:val="2"/>
            <w:vAlign w:val="center"/>
          </w:tcPr>
          <w:p w:rsidR="00F05C83" w:rsidRPr="00ED4C18" w:rsidRDefault="00F05C83" w:rsidP="00D964D5">
            <w:pPr>
              <w:jc w:val="center"/>
              <w:rPr>
                <w:rFonts w:ascii="Arial Narrow" w:hAnsi="Arial Narrow"/>
                <w:sz w:val="20"/>
              </w:rPr>
            </w:pPr>
          </w:p>
        </w:tc>
        <w:tc>
          <w:tcPr>
            <w:tcW w:w="848" w:type="pct"/>
            <w:gridSpan w:val="2"/>
            <w:vAlign w:val="center"/>
          </w:tcPr>
          <w:p w:rsidR="00F05C83" w:rsidRPr="00ED4C18" w:rsidRDefault="00F05C83" w:rsidP="00D964D5">
            <w:pPr>
              <w:jc w:val="center"/>
              <w:rPr>
                <w:rFonts w:ascii="Arial Narrow" w:hAnsi="Arial Narrow"/>
                <w:sz w:val="20"/>
              </w:rPr>
            </w:pPr>
          </w:p>
        </w:tc>
      </w:tr>
      <w:tr w:rsidR="00ED4C18" w:rsidRPr="00ED4C18" w:rsidTr="00E06107">
        <w:trPr>
          <w:trHeight w:val="461"/>
        </w:trPr>
        <w:tc>
          <w:tcPr>
            <w:tcW w:w="824" w:type="pct"/>
            <w:shd w:val="clear" w:color="auto" w:fill="auto"/>
            <w:vAlign w:val="center"/>
          </w:tcPr>
          <w:p w:rsidR="00F05C83" w:rsidRPr="00ED4C18" w:rsidRDefault="00F05C83" w:rsidP="00D964D5">
            <w:pPr>
              <w:rPr>
                <w:rFonts w:ascii="Arial Narrow" w:hAnsi="Arial Narrow"/>
                <w:sz w:val="20"/>
              </w:rPr>
            </w:pPr>
            <w:r w:rsidRPr="00ED4C18">
              <w:rPr>
                <w:rFonts w:ascii="Arial Narrow" w:hAnsi="Arial Narrow"/>
                <w:sz w:val="20"/>
              </w:rPr>
              <w:t>Treatment related Grade 2 or higher AE</w:t>
            </w:r>
          </w:p>
        </w:tc>
        <w:tc>
          <w:tcPr>
            <w:tcW w:w="996" w:type="pct"/>
            <w:gridSpan w:val="2"/>
            <w:vAlign w:val="center"/>
          </w:tcPr>
          <w:p w:rsidR="00F05C83" w:rsidRPr="00ED4C18" w:rsidRDefault="00F05C83" w:rsidP="00D964D5">
            <w:pPr>
              <w:jc w:val="center"/>
              <w:rPr>
                <w:rFonts w:ascii="Arial Narrow" w:hAnsi="Arial Narrow"/>
                <w:sz w:val="20"/>
              </w:rPr>
            </w:pPr>
            <w:r w:rsidRPr="00ED4C18">
              <w:rPr>
                <w:rFonts w:ascii="Arial Narrow" w:hAnsi="Arial Narrow"/>
                <w:sz w:val="20"/>
              </w:rPr>
              <w:t>29/103</w:t>
            </w:r>
          </w:p>
        </w:tc>
        <w:tc>
          <w:tcPr>
            <w:tcW w:w="959" w:type="pct"/>
            <w:gridSpan w:val="2"/>
            <w:vAlign w:val="center"/>
          </w:tcPr>
          <w:p w:rsidR="00F05C83" w:rsidRPr="00ED4C18" w:rsidRDefault="00F05C83" w:rsidP="00D964D5">
            <w:pPr>
              <w:jc w:val="center"/>
              <w:rPr>
                <w:rFonts w:ascii="Arial Narrow" w:hAnsi="Arial Narrow"/>
                <w:sz w:val="20"/>
              </w:rPr>
            </w:pPr>
            <w:r w:rsidRPr="00ED4C18">
              <w:rPr>
                <w:rFonts w:ascii="Arial Narrow" w:hAnsi="Arial Narrow"/>
                <w:sz w:val="20"/>
              </w:rPr>
              <w:t>22/98</w:t>
            </w:r>
          </w:p>
        </w:tc>
        <w:tc>
          <w:tcPr>
            <w:tcW w:w="739" w:type="pct"/>
            <w:gridSpan w:val="2"/>
            <w:vAlign w:val="center"/>
          </w:tcPr>
          <w:p w:rsidR="00F05C83" w:rsidRPr="00ED4C18" w:rsidRDefault="00F05C83" w:rsidP="00D964D5">
            <w:pPr>
              <w:jc w:val="center"/>
              <w:rPr>
                <w:rFonts w:ascii="Arial Narrow" w:hAnsi="Arial Narrow"/>
                <w:sz w:val="20"/>
              </w:rPr>
            </w:pPr>
            <w:r w:rsidRPr="00ED4C18">
              <w:rPr>
                <w:rFonts w:ascii="Arial Narrow" w:hAnsi="Arial Narrow"/>
                <w:sz w:val="20"/>
              </w:rPr>
              <w:t>28.2</w:t>
            </w:r>
          </w:p>
        </w:tc>
        <w:tc>
          <w:tcPr>
            <w:tcW w:w="634" w:type="pct"/>
            <w:gridSpan w:val="2"/>
            <w:vAlign w:val="center"/>
          </w:tcPr>
          <w:p w:rsidR="00F05C83" w:rsidRPr="00ED4C18" w:rsidRDefault="00F05C83" w:rsidP="00D964D5">
            <w:pPr>
              <w:jc w:val="center"/>
              <w:rPr>
                <w:rFonts w:ascii="Arial Narrow" w:hAnsi="Arial Narrow"/>
                <w:sz w:val="20"/>
              </w:rPr>
            </w:pPr>
            <w:r w:rsidRPr="00ED4C18">
              <w:rPr>
                <w:rFonts w:ascii="Arial Narrow" w:hAnsi="Arial Narrow"/>
                <w:sz w:val="20"/>
              </w:rPr>
              <w:t>22.4</w:t>
            </w:r>
          </w:p>
        </w:tc>
        <w:tc>
          <w:tcPr>
            <w:tcW w:w="848" w:type="pct"/>
            <w:gridSpan w:val="2"/>
            <w:vAlign w:val="center"/>
          </w:tcPr>
          <w:p w:rsidR="00F05C83" w:rsidRPr="00ED4C18" w:rsidRDefault="00F05C83" w:rsidP="00D964D5">
            <w:pPr>
              <w:jc w:val="center"/>
              <w:rPr>
                <w:rFonts w:ascii="Arial Narrow" w:hAnsi="Arial Narrow"/>
                <w:sz w:val="20"/>
              </w:rPr>
            </w:pPr>
            <w:r w:rsidRPr="00ED4C18">
              <w:rPr>
                <w:rFonts w:ascii="Arial Narrow" w:hAnsi="Arial Narrow"/>
                <w:sz w:val="20"/>
              </w:rPr>
              <w:t>-</w:t>
            </w:r>
          </w:p>
        </w:tc>
      </w:tr>
      <w:tr w:rsidR="00ED4C18" w:rsidRPr="00ED4C18" w:rsidTr="00E06107">
        <w:trPr>
          <w:trHeight w:val="223"/>
        </w:trPr>
        <w:tc>
          <w:tcPr>
            <w:tcW w:w="824" w:type="pct"/>
            <w:shd w:val="clear" w:color="auto" w:fill="auto"/>
            <w:vAlign w:val="center"/>
          </w:tcPr>
          <w:p w:rsidR="00F05C83" w:rsidRPr="00ED4C18" w:rsidRDefault="00F05C83" w:rsidP="00D964D5">
            <w:pPr>
              <w:rPr>
                <w:rFonts w:ascii="Arial Narrow" w:hAnsi="Arial Narrow"/>
                <w:sz w:val="20"/>
              </w:rPr>
            </w:pPr>
            <w:r w:rsidRPr="00ED4C18">
              <w:rPr>
                <w:rFonts w:ascii="Arial Narrow" w:hAnsi="Arial Narrow"/>
                <w:sz w:val="20"/>
              </w:rPr>
              <w:t>SAE</w:t>
            </w:r>
          </w:p>
        </w:tc>
        <w:tc>
          <w:tcPr>
            <w:tcW w:w="996" w:type="pct"/>
            <w:gridSpan w:val="2"/>
            <w:vAlign w:val="center"/>
          </w:tcPr>
          <w:p w:rsidR="00F05C83" w:rsidRPr="00ED4C18" w:rsidRDefault="00F05C83" w:rsidP="00D964D5">
            <w:pPr>
              <w:jc w:val="center"/>
              <w:rPr>
                <w:rFonts w:ascii="Arial Narrow" w:hAnsi="Arial Narrow"/>
                <w:sz w:val="20"/>
              </w:rPr>
            </w:pPr>
            <w:r w:rsidRPr="00ED4C18">
              <w:rPr>
                <w:rFonts w:ascii="Arial Narrow" w:hAnsi="Arial Narrow"/>
                <w:sz w:val="20"/>
              </w:rPr>
              <w:t>5/103</w:t>
            </w:r>
          </w:p>
        </w:tc>
        <w:tc>
          <w:tcPr>
            <w:tcW w:w="959" w:type="pct"/>
            <w:gridSpan w:val="2"/>
            <w:vAlign w:val="center"/>
          </w:tcPr>
          <w:p w:rsidR="00F05C83" w:rsidRPr="00ED4C18" w:rsidRDefault="00F05C83" w:rsidP="00D964D5">
            <w:pPr>
              <w:jc w:val="center"/>
              <w:rPr>
                <w:rFonts w:ascii="Arial Narrow" w:hAnsi="Arial Narrow"/>
                <w:sz w:val="20"/>
              </w:rPr>
            </w:pPr>
            <w:r w:rsidRPr="00ED4C18">
              <w:rPr>
                <w:rFonts w:ascii="Arial Narrow" w:hAnsi="Arial Narrow"/>
                <w:sz w:val="20"/>
              </w:rPr>
              <w:t>3/98</w:t>
            </w:r>
          </w:p>
        </w:tc>
        <w:tc>
          <w:tcPr>
            <w:tcW w:w="739" w:type="pct"/>
            <w:gridSpan w:val="2"/>
            <w:vAlign w:val="center"/>
          </w:tcPr>
          <w:p w:rsidR="00F05C83" w:rsidRPr="00ED4C18" w:rsidRDefault="00F05C83" w:rsidP="00D964D5">
            <w:pPr>
              <w:jc w:val="center"/>
              <w:rPr>
                <w:rFonts w:ascii="Arial Narrow" w:hAnsi="Arial Narrow"/>
                <w:sz w:val="20"/>
              </w:rPr>
            </w:pPr>
            <w:r w:rsidRPr="00ED4C18">
              <w:rPr>
                <w:rFonts w:ascii="Arial Narrow" w:hAnsi="Arial Narrow"/>
                <w:sz w:val="20"/>
              </w:rPr>
              <w:t>4.9</w:t>
            </w:r>
          </w:p>
        </w:tc>
        <w:tc>
          <w:tcPr>
            <w:tcW w:w="634" w:type="pct"/>
            <w:gridSpan w:val="2"/>
            <w:vAlign w:val="center"/>
          </w:tcPr>
          <w:p w:rsidR="00F05C83" w:rsidRPr="00ED4C18" w:rsidRDefault="00F05C83" w:rsidP="00D964D5">
            <w:pPr>
              <w:jc w:val="center"/>
              <w:rPr>
                <w:rFonts w:ascii="Arial Narrow" w:hAnsi="Arial Narrow"/>
                <w:sz w:val="20"/>
              </w:rPr>
            </w:pPr>
            <w:r w:rsidRPr="00ED4C18">
              <w:rPr>
                <w:rFonts w:ascii="Arial Narrow" w:hAnsi="Arial Narrow"/>
                <w:sz w:val="20"/>
              </w:rPr>
              <w:t>3.1</w:t>
            </w:r>
          </w:p>
        </w:tc>
        <w:tc>
          <w:tcPr>
            <w:tcW w:w="848" w:type="pct"/>
            <w:gridSpan w:val="2"/>
            <w:vAlign w:val="center"/>
          </w:tcPr>
          <w:p w:rsidR="00F05C83" w:rsidRPr="00ED4C18" w:rsidRDefault="00F05C83" w:rsidP="00D964D5">
            <w:pPr>
              <w:jc w:val="center"/>
              <w:rPr>
                <w:rFonts w:ascii="Arial Narrow" w:hAnsi="Arial Narrow"/>
                <w:sz w:val="20"/>
              </w:rPr>
            </w:pPr>
            <w:r w:rsidRPr="00ED4C18">
              <w:rPr>
                <w:rFonts w:ascii="Arial Narrow" w:hAnsi="Arial Narrow"/>
                <w:sz w:val="20"/>
              </w:rPr>
              <w:t>-</w:t>
            </w:r>
          </w:p>
        </w:tc>
      </w:tr>
      <w:tr w:rsidR="00ED4C18" w:rsidRPr="00ED4C18" w:rsidTr="00E06107">
        <w:trPr>
          <w:trHeight w:val="940"/>
        </w:trPr>
        <w:tc>
          <w:tcPr>
            <w:tcW w:w="824" w:type="pct"/>
            <w:shd w:val="clear" w:color="auto" w:fill="auto"/>
            <w:vAlign w:val="center"/>
          </w:tcPr>
          <w:p w:rsidR="00F05C83" w:rsidRPr="00ED4C18" w:rsidRDefault="00F05C83" w:rsidP="00D964D5">
            <w:pPr>
              <w:rPr>
                <w:rFonts w:ascii="Arial Narrow" w:hAnsi="Arial Narrow"/>
                <w:sz w:val="20"/>
              </w:rPr>
            </w:pPr>
            <w:r w:rsidRPr="00ED4C18">
              <w:rPr>
                <w:rFonts w:ascii="Arial Narrow" w:hAnsi="Arial Narrow"/>
                <w:sz w:val="20"/>
              </w:rPr>
              <w:t>AE leading to modification or interruption of study drug</w:t>
            </w:r>
          </w:p>
        </w:tc>
        <w:tc>
          <w:tcPr>
            <w:tcW w:w="996" w:type="pct"/>
            <w:gridSpan w:val="2"/>
            <w:vAlign w:val="center"/>
          </w:tcPr>
          <w:p w:rsidR="00F05C83" w:rsidRPr="00ED4C18" w:rsidRDefault="00F05C83" w:rsidP="00D964D5">
            <w:pPr>
              <w:jc w:val="center"/>
              <w:rPr>
                <w:rFonts w:ascii="Arial Narrow" w:hAnsi="Arial Narrow"/>
                <w:sz w:val="20"/>
              </w:rPr>
            </w:pPr>
            <w:r w:rsidRPr="00ED4C18">
              <w:rPr>
                <w:rFonts w:ascii="Arial Narrow" w:hAnsi="Arial Narrow"/>
                <w:sz w:val="20"/>
              </w:rPr>
              <w:t>9/103</w:t>
            </w:r>
          </w:p>
        </w:tc>
        <w:tc>
          <w:tcPr>
            <w:tcW w:w="959" w:type="pct"/>
            <w:gridSpan w:val="2"/>
            <w:vAlign w:val="center"/>
          </w:tcPr>
          <w:p w:rsidR="00F05C83" w:rsidRPr="00ED4C18" w:rsidRDefault="00F05C83" w:rsidP="00D964D5">
            <w:pPr>
              <w:jc w:val="center"/>
              <w:rPr>
                <w:rFonts w:ascii="Arial Narrow" w:hAnsi="Arial Narrow"/>
                <w:sz w:val="20"/>
              </w:rPr>
            </w:pPr>
            <w:r w:rsidRPr="00ED4C18">
              <w:rPr>
                <w:rFonts w:ascii="Arial Narrow" w:hAnsi="Arial Narrow"/>
                <w:sz w:val="20"/>
              </w:rPr>
              <w:t>7/98</w:t>
            </w:r>
          </w:p>
        </w:tc>
        <w:tc>
          <w:tcPr>
            <w:tcW w:w="739" w:type="pct"/>
            <w:gridSpan w:val="2"/>
            <w:vAlign w:val="center"/>
          </w:tcPr>
          <w:p w:rsidR="00F05C83" w:rsidRPr="00ED4C18" w:rsidRDefault="00F05C83" w:rsidP="00D964D5">
            <w:pPr>
              <w:jc w:val="center"/>
              <w:rPr>
                <w:rFonts w:ascii="Arial Narrow" w:hAnsi="Arial Narrow"/>
                <w:sz w:val="20"/>
              </w:rPr>
            </w:pPr>
            <w:r w:rsidRPr="00ED4C18">
              <w:rPr>
                <w:rFonts w:ascii="Arial Narrow" w:hAnsi="Arial Narrow"/>
                <w:sz w:val="20"/>
              </w:rPr>
              <w:t>8.7</w:t>
            </w:r>
          </w:p>
        </w:tc>
        <w:tc>
          <w:tcPr>
            <w:tcW w:w="634" w:type="pct"/>
            <w:gridSpan w:val="2"/>
            <w:vAlign w:val="center"/>
          </w:tcPr>
          <w:p w:rsidR="00F05C83" w:rsidRPr="00ED4C18" w:rsidRDefault="00F05C83" w:rsidP="00D964D5">
            <w:pPr>
              <w:jc w:val="center"/>
              <w:rPr>
                <w:rFonts w:ascii="Arial Narrow" w:hAnsi="Arial Narrow"/>
                <w:sz w:val="20"/>
              </w:rPr>
            </w:pPr>
            <w:r w:rsidRPr="00ED4C18">
              <w:rPr>
                <w:rFonts w:ascii="Arial Narrow" w:hAnsi="Arial Narrow"/>
                <w:sz w:val="20"/>
              </w:rPr>
              <w:t>7.1</w:t>
            </w:r>
          </w:p>
        </w:tc>
        <w:tc>
          <w:tcPr>
            <w:tcW w:w="848" w:type="pct"/>
            <w:gridSpan w:val="2"/>
            <w:vAlign w:val="center"/>
          </w:tcPr>
          <w:p w:rsidR="00F05C83" w:rsidRPr="00ED4C18" w:rsidRDefault="00F05C83" w:rsidP="00D964D5">
            <w:pPr>
              <w:jc w:val="center"/>
              <w:rPr>
                <w:rFonts w:ascii="Arial Narrow" w:hAnsi="Arial Narrow"/>
                <w:sz w:val="20"/>
              </w:rPr>
            </w:pPr>
            <w:r w:rsidRPr="00ED4C18">
              <w:rPr>
                <w:rFonts w:ascii="Arial Narrow" w:hAnsi="Arial Narrow"/>
                <w:sz w:val="20"/>
              </w:rPr>
              <w:t>-</w:t>
            </w:r>
          </w:p>
        </w:tc>
      </w:tr>
    </w:tbl>
    <w:p w:rsidR="00F05C83" w:rsidRPr="00ED4C18" w:rsidRDefault="00F05C83" w:rsidP="00B85146">
      <w:pPr>
        <w:ind w:left="720"/>
        <w:rPr>
          <w:rFonts w:ascii="Arial Narrow" w:hAnsi="Arial Narrow"/>
          <w:sz w:val="20"/>
        </w:rPr>
      </w:pPr>
      <w:proofErr w:type="spellStart"/>
      <w:proofErr w:type="gramStart"/>
      <w:r w:rsidRPr="00ED4C18">
        <w:rPr>
          <w:rFonts w:ascii="Arial Narrow" w:hAnsi="Arial Narrow"/>
          <w:sz w:val="20"/>
          <w:vertAlign w:val="superscript"/>
        </w:rPr>
        <w:t>a</w:t>
      </w:r>
      <w:r w:rsidRPr="00ED4C18">
        <w:rPr>
          <w:rFonts w:ascii="Arial Narrow" w:hAnsi="Arial Narrow"/>
          <w:sz w:val="20"/>
        </w:rPr>
        <w:t>Comparison</w:t>
      </w:r>
      <w:proofErr w:type="spellEnd"/>
      <w:proofErr w:type="gramEnd"/>
      <w:r w:rsidRPr="00ED4C18">
        <w:rPr>
          <w:rFonts w:ascii="Arial Narrow" w:hAnsi="Arial Narrow"/>
          <w:sz w:val="20"/>
        </w:rPr>
        <w:t xml:space="preserve"> of harms between NEUTRINO and SPRINT-2 or ADVANCE is not adjusted using a common comparator indirect analysis approach.  Differences in populations may explain some of the differences in </w:t>
      </w:r>
      <w:r w:rsidRPr="00ED4C18">
        <w:rPr>
          <w:rFonts w:ascii="Arial Narrow" w:hAnsi="Arial Narrow"/>
          <w:sz w:val="20"/>
        </w:rPr>
        <w:lastRenderedPageBreak/>
        <w:t xml:space="preserve">observed adverse events; </w:t>
      </w:r>
      <w:r w:rsidRPr="00ED4C18">
        <w:rPr>
          <w:rFonts w:ascii="Arial Narrow" w:hAnsi="Arial Narrow"/>
          <w:sz w:val="20"/>
          <w:vertAlign w:val="superscript"/>
        </w:rPr>
        <w:t>b</w:t>
      </w:r>
      <w:r w:rsidRPr="00ED4C18">
        <w:rPr>
          <w:rFonts w:ascii="Arial Narrow" w:hAnsi="Arial Narrow"/>
          <w:sz w:val="20"/>
        </w:rPr>
        <w:t xml:space="preserve"> bolding indicates harms as measured by the point estimate of the risk difference – only </w:t>
      </w:r>
      <w:proofErr w:type="gramStart"/>
      <w:r w:rsidRPr="00ED4C18">
        <w:rPr>
          <w:rFonts w:ascii="Arial Narrow" w:hAnsi="Arial Narrow"/>
          <w:sz w:val="20"/>
        </w:rPr>
        <w:t>one harm</w:t>
      </w:r>
      <w:proofErr w:type="gramEnd"/>
      <w:r w:rsidRPr="00ED4C18">
        <w:rPr>
          <w:rFonts w:ascii="Arial Narrow" w:hAnsi="Arial Narrow"/>
          <w:sz w:val="20"/>
        </w:rPr>
        <w:t xml:space="preserve"> disfavoured </w:t>
      </w:r>
      <w:proofErr w:type="spellStart"/>
      <w:r w:rsidRPr="00ED4C18">
        <w:rPr>
          <w:rFonts w:ascii="Arial Narrow" w:hAnsi="Arial Narrow"/>
          <w:sz w:val="20"/>
        </w:rPr>
        <w:t>sofosbuvir</w:t>
      </w:r>
      <w:proofErr w:type="spellEnd"/>
      <w:r w:rsidRPr="00ED4C18">
        <w:rPr>
          <w:rFonts w:ascii="Arial Narrow" w:hAnsi="Arial Narrow"/>
          <w:sz w:val="20"/>
        </w:rPr>
        <w:t xml:space="preserve"> relative to an active treatment.</w:t>
      </w:r>
    </w:p>
    <w:p w:rsidR="00F05C83" w:rsidRPr="00ED4C18" w:rsidRDefault="00F05C83" w:rsidP="00B85146">
      <w:pPr>
        <w:ind w:firstLine="720"/>
        <w:rPr>
          <w:rFonts w:ascii="Arial Narrow" w:hAnsi="Arial Narrow"/>
          <w:sz w:val="20"/>
        </w:rPr>
      </w:pPr>
      <w:r w:rsidRPr="00ED4C18">
        <w:rPr>
          <w:rFonts w:ascii="Arial Narrow" w:hAnsi="Arial Narrow"/>
          <w:sz w:val="20"/>
        </w:rPr>
        <w:t>Source: Compiled during the evaluation, Table B.6.14 and Table B.6.16 in the commentary.</w:t>
      </w:r>
    </w:p>
    <w:p w:rsidR="008E5870" w:rsidRPr="00ED4C18" w:rsidRDefault="008E5870" w:rsidP="00882085">
      <w:pPr>
        <w:jc w:val="both"/>
        <w:rPr>
          <w:szCs w:val="22"/>
        </w:rPr>
      </w:pPr>
    </w:p>
    <w:p w:rsidR="00DB3105" w:rsidRPr="00E06107" w:rsidRDefault="008E5870" w:rsidP="00E06107">
      <w:pPr>
        <w:pStyle w:val="ListParagraph"/>
        <w:numPr>
          <w:ilvl w:val="1"/>
          <w:numId w:val="1"/>
        </w:numPr>
        <w:jc w:val="both"/>
        <w:rPr>
          <w:szCs w:val="22"/>
        </w:rPr>
      </w:pPr>
      <w:r w:rsidRPr="00ED4C18">
        <w:rPr>
          <w:szCs w:val="22"/>
        </w:rPr>
        <w:t xml:space="preserve">The PBAC noted that </w:t>
      </w:r>
      <w:r w:rsidR="00DB3105" w:rsidRPr="00E06107">
        <w:rPr>
          <w:szCs w:val="22"/>
        </w:rPr>
        <w:t xml:space="preserve">for Genotypes 1 and 3 (noting that other genotypes represent a much smaller proportion of the </w:t>
      </w:r>
      <w:r w:rsidR="00182D29" w:rsidRPr="00E06107">
        <w:rPr>
          <w:szCs w:val="22"/>
        </w:rPr>
        <w:t>CHC</w:t>
      </w:r>
      <w:r w:rsidR="00DB3105" w:rsidRPr="00E06107">
        <w:rPr>
          <w:szCs w:val="22"/>
        </w:rPr>
        <w:t xml:space="preserve"> population</w:t>
      </w:r>
      <w:r w:rsidR="000236A6" w:rsidRPr="00E06107">
        <w:rPr>
          <w:szCs w:val="22"/>
        </w:rPr>
        <w:t>), the following comparative benefits and harms were estimated. From the evidence in the submission.</w:t>
      </w:r>
    </w:p>
    <w:p w:rsidR="000236A6" w:rsidRPr="00ED4C18" w:rsidRDefault="000236A6" w:rsidP="00DB3105">
      <w:pPr>
        <w:jc w:val="both"/>
        <w:rPr>
          <w:rFonts w:cs="Arial"/>
        </w:rPr>
      </w:pPr>
    </w:p>
    <w:tbl>
      <w:tblPr>
        <w:tblStyle w:val="TableGrid"/>
        <w:tblW w:w="0" w:type="auto"/>
        <w:tblInd w:w="817" w:type="dxa"/>
        <w:tblLook w:val="04A0" w:firstRow="1" w:lastRow="0" w:firstColumn="1" w:lastColumn="0" w:noHBand="0" w:noVBand="1"/>
        <w:tblDescription w:val="benefits/harms comparison for patient group"/>
      </w:tblPr>
      <w:tblGrid>
        <w:gridCol w:w="1418"/>
        <w:gridCol w:w="2693"/>
        <w:gridCol w:w="4314"/>
      </w:tblGrid>
      <w:tr w:rsidR="00ED4C18" w:rsidRPr="00ED4C18" w:rsidTr="00D16494">
        <w:trPr>
          <w:tblHeader/>
        </w:trPr>
        <w:tc>
          <w:tcPr>
            <w:tcW w:w="1418" w:type="dxa"/>
          </w:tcPr>
          <w:p w:rsidR="000236A6" w:rsidRPr="00ED4C18" w:rsidRDefault="000236A6" w:rsidP="00DB3105">
            <w:pPr>
              <w:jc w:val="both"/>
              <w:rPr>
                <w:rFonts w:ascii="Arial Narrow" w:hAnsi="Arial Narrow" w:cs="Arial"/>
                <w:sz w:val="20"/>
                <w:szCs w:val="20"/>
              </w:rPr>
            </w:pPr>
            <w:r w:rsidRPr="00ED4C18">
              <w:rPr>
                <w:rFonts w:ascii="Arial Narrow" w:hAnsi="Arial Narrow" w:cs="Arial"/>
                <w:sz w:val="20"/>
                <w:szCs w:val="20"/>
              </w:rPr>
              <w:t>Patient group</w:t>
            </w:r>
          </w:p>
        </w:tc>
        <w:tc>
          <w:tcPr>
            <w:tcW w:w="2693" w:type="dxa"/>
          </w:tcPr>
          <w:p w:rsidR="000236A6" w:rsidRPr="00ED4C18" w:rsidRDefault="000236A6" w:rsidP="00DB3105">
            <w:pPr>
              <w:jc w:val="both"/>
              <w:rPr>
                <w:rFonts w:ascii="Arial Narrow" w:hAnsi="Arial Narrow" w:cs="Arial"/>
                <w:sz w:val="20"/>
                <w:szCs w:val="20"/>
              </w:rPr>
            </w:pPr>
            <w:r w:rsidRPr="00ED4C18">
              <w:rPr>
                <w:rFonts w:ascii="Arial Narrow" w:hAnsi="Arial Narrow" w:cs="Arial"/>
                <w:sz w:val="20"/>
                <w:szCs w:val="20"/>
              </w:rPr>
              <w:t>comparison</w:t>
            </w:r>
          </w:p>
        </w:tc>
        <w:tc>
          <w:tcPr>
            <w:tcW w:w="4314" w:type="dxa"/>
          </w:tcPr>
          <w:p w:rsidR="000236A6" w:rsidRPr="00ED4C18" w:rsidRDefault="000236A6" w:rsidP="00DB3105">
            <w:pPr>
              <w:jc w:val="both"/>
              <w:rPr>
                <w:rFonts w:ascii="Arial Narrow" w:hAnsi="Arial Narrow" w:cs="Arial"/>
                <w:sz w:val="20"/>
                <w:szCs w:val="20"/>
              </w:rPr>
            </w:pPr>
            <w:r w:rsidRPr="00ED4C18">
              <w:rPr>
                <w:rFonts w:ascii="Arial Narrow" w:hAnsi="Arial Narrow" w:cs="Arial"/>
                <w:sz w:val="20"/>
                <w:szCs w:val="20"/>
              </w:rPr>
              <w:t>Benefits/harms</w:t>
            </w:r>
          </w:p>
        </w:tc>
      </w:tr>
      <w:tr w:rsidR="00ED4C18" w:rsidRPr="00ED4C18" w:rsidTr="00B85146">
        <w:tc>
          <w:tcPr>
            <w:tcW w:w="1418" w:type="dxa"/>
            <w:vMerge w:val="restart"/>
          </w:tcPr>
          <w:p w:rsidR="00E0545C" w:rsidRPr="00ED4C18" w:rsidRDefault="00E0545C" w:rsidP="00E0545C">
            <w:pPr>
              <w:jc w:val="both"/>
              <w:rPr>
                <w:rFonts w:ascii="Arial Narrow" w:hAnsi="Arial Narrow" w:cs="Arial"/>
                <w:b/>
                <w:sz w:val="20"/>
                <w:szCs w:val="20"/>
              </w:rPr>
            </w:pPr>
            <w:r w:rsidRPr="00ED4C18">
              <w:rPr>
                <w:rFonts w:ascii="Arial Narrow" w:hAnsi="Arial Narrow" w:cs="Arial"/>
                <w:b/>
                <w:sz w:val="20"/>
                <w:szCs w:val="20"/>
              </w:rPr>
              <w:t>Genotype 1, treatment naïve, suitable for IFN</w:t>
            </w:r>
          </w:p>
        </w:tc>
        <w:tc>
          <w:tcPr>
            <w:tcW w:w="2693" w:type="dxa"/>
          </w:tcPr>
          <w:p w:rsidR="00E0545C" w:rsidRPr="00ED4C18" w:rsidRDefault="00E0545C" w:rsidP="00E0545C">
            <w:pPr>
              <w:rPr>
                <w:rFonts w:ascii="Arial Narrow" w:hAnsi="Arial Narrow" w:cs="Arial"/>
                <w:sz w:val="20"/>
                <w:szCs w:val="20"/>
              </w:rPr>
            </w:pPr>
            <w:r w:rsidRPr="00ED4C18">
              <w:rPr>
                <w:rFonts w:ascii="Arial Narrow" w:hAnsi="Arial Narrow" w:cs="Arial"/>
                <w:sz w:val="20"/>
                <w:szCs w:val="20"/>
              </w:rPr>
              <w:t xml:space="preserve">for every 100 patients treated with SOF12+PR12 in comparison to </w:t>
            </w:r>
            <w:r w:rsidRPr="00ED4C18">
              <w:rPr>
                <w:rFonts w:ascii="Arial Narrow" w:hAnsi="Arial Narrow" w:cs="Arial"/>
                <w:sz w:val="20"/>
                <w:szCs w:val="20"/>
                <w:u w:val="single"/>
              </w:rPr>
              <w:t>BOC24+PR28/48 and TEL24+PR24/48</w:t>
            </w:r>
          </w:p>
        </w:tc>
        <w:tc>
          <w:tcPr>
            <w:tcW w:w="4314" w:type="dxa"/>
          </w:tcPr>
          <w:p w:rsidR="00E0545C" w:rsidRPr="00ED4C18" w:rsidRDefault="00E0545C" w:rsidP="00542F7C">
            <w:pPr>
              <w:pStyle w:val="ListParagraph"/>
              <w:numPr>
                <w:ilvl w:val="0"/>
                <w:numId w:val="10"/>
              </w:numPr>
              <w:ind w:left="218" w:hanging="142"/>
              <w:jc w:val="both"/>
              <w:rPr>
                <w:rFonts w:ascii="Arial Narrow" w:hAnsi="Arial Narrow" w:cs="Arial"/>
                <w:sz w:val="20"/>
                <w:szCs w:val="20"/>
              </w:rPr>
            </w:pPr>
            <w:r w:rsidRPr="00ED4C18">
              <w:rPr>
                <w:rFonts w:ascii="Arial Narrow" w:hAnsi="Arial Narrow" w:cs="Arial"/>
                <w:sz w:val="20"/>
                <w:szCs w:val="20"/>
              </w:rPr>
              <w:t>Approximately 15-26 additional patients would be expected to achieve an SVR;</w:t>
            </w:r>
          </w:p>
          <w:p w:rsidR="00E0545C" w:rsidRPr="00ED4C18" w:rsidRDefault="00E0545C" w:rsidP="00542F7C">
            <w:pPr>
              <w:pStyle w:val="ListParagraph"/>
              <w:numPr>
                <w:ilvl w:val="0"/>
                <w:numId w:val="10"/>
              </w:numPr>
              <w:ind w:left="218" w:hanging="142"/>
              <w:jc w:val="both"/>
              <w:rPr>
                <w:rFonts w:ascii="Arial Narrow" w:hAnsi="Arial Narrow" w:cs="Arial"/>
                <w:sz w:val="20"/>
                <w:szCs w:val="20"/>
              </w:rPr>
            </w:pPr>
            <w:r w:rsidRPr="00ED4C18">
              <w:rPr>
                <w:rFonts w:ascii="Arial Narrow" w:hAnsi="Arial Narrow" w:cs="Arial"/>
                <w:sz w:val="20"/>
                <w:szCs w:val="20"/>
              </w:rPr>
              <w:t>Approximately 8-10 fewer patients would experience a serious adverse event; and</w:t>
            </w:r>
          </w:p>
          <w:p w:rsidR="00E0545C" w:rsidRPr="00ED4C18" w:rsidRDefault="00E0545C" w:rsidP="00542F7C">
            <w:pPr>
              <w:pStyle w:val="ListParagraph"/>
              <w:numPr>
                <w:ilvl w:val="0"/>
                <w:numId w:val="10"/>
              </w:numPr>
              <w:ind w:left="218" w:hanging="142"/>
              <w:jc w:val="both"/>
              <w:rPr>
                <w:rFonts w:ascii="Arial Narrow" w:hAnsi="Arial Narrow" w:cs="Arial"/>
                <w:sz w:val="20"/>
                <w:szCs w:val="20"/>
              </w:rPr>
            </w:pPr>
            <w:r w:rsidRPr="00ED4C18">
              <w:rPr>
                <w:rFonts w:ascii="Arial Narrow" w:hAnsi="Arial Narrow" w:cs="Arial"/>
                <w:sz w:val="20"/>
                <w:szCs w:val="20"/>
              </w:rPr>
              <w:t>Approximately 6 fewer patients would have an adverse event that leads to modification or interruption of the study drug, compared to BOC24+PR28/48.</w:t>
            </w:r>
          </w:p>
        </w:tc>
      </w:tr>
      <w:tr w:rsidR="00ED4C18" w:rsidRPr="00ED4C18" w:rsidTr="00B85146">
        <w:tc>
          <w:tcPr>
            <w:tcW w:w="1418" w:type="dxa"/>
            <w:vMerge/>
          </w:tcPr>
          <w:p w:rsidR="00E0545C" w:rsidRPr="00ED4C18" w:rsidRDefault="00E0545C" w:rsidP="00DB3105">
            <w:pPr>
              <w:jc w:val="both"/>
              <w:rPr>
                <w:rFonts w:ascii="Arial Narrow" w:hAnsi="Arial Narrow" w:cs="Arial"/>
                <w:b/>
                <w:sz w:val="20"/>
                <w:szCs w:val="20"/>
              </w:rPr>
            </w:pPr>
          </w:p>
        </w:tc>
        <w:tc>
          <w:tcPr>
            <w:tcW w:w="2693" w:type="dxa"/>
          </w:tcPr>
          <w:p w:rsidR="00E0545C" w:rsidRPr="00ED4C18" w:rsidRDefault="00E0545C" w:rsidP="00DB3105">
            <w:pPr>
              <w:jc w:val="both"/>
              <w:rPr>
                <w:rFonts w:ascii="Arial Narrow" w:hAnsi="Arial Narrow" w:cs="Arial"/>
                <w:sz w:val="20"/>
                <w:szCs w:val="20"/>
              </w:rPr>
            </w:pPr>
            <w:r w:rsidRPr="00ED4C18">
              <w:rPr>
                <w:rFonts w:ascii="Arial Narrow" w:hAnsi="Arial Narrow" w:cs="Arial"/>
                <w:sz w:val="20"/>
                <w:szCs w:val="20"/>
              </w:rPr>
              <w:t xml:space="preserve">for every 100 patients treated with SOF12+PR12 in comparison to </w:t>
            </w:r>
            <w:r w:rsidRPr="00ED4C18">
              <w:rPr>
                <w:rFonts w:ascii="Arial Narrow" w:hAnsi="Arial Narrow" w:cs="Arial"/>
                <w:sz w:val="20"/>
                <w:szCs w:val="20"/>
                <w:u w:val="single"/>
              </w:rPr>
              <w:t xml:space="preserve">no treatment </w:t>
            </w:r>
            <w:r w:rsidRPr="00ED4C18">
              <w:rPr>
                <w:rFonts w:ascii="Arial Narrow" w:hAnsi="Arial Narrow" w:cs="Arial"/>
                <w:sz w:val="20"/>
                <w:szCs w:val="20"/>
              </w:rPr>
              <w:t>(based on the NEUTRINO trial):</w:t>
            </w:r>
          </w:p>
        </w:tc>
        <w:tc>
          <w:tcPr>
            <w:tcW w:w="4314" w:type="dxa"/>
          </w:tcPr>
          <w:p w:rsidR="00E0545C" w:rsidRPr="00ED4C18" w:rsidRDefault="00E0545C" w:rsidP="00542F7C">
            <w:pPr>
              <w:pStyle w:val="ListParagraph"/>
              <w:numPr>
                <w:ilvl w:val="0"/>
                <w:numId w:val="10"/>
              </w:numPr>
              <w:ind w:left="218" w:hanging="142"/>
              <w:jc w:val="both"/>
              <w:rPr>
                <w:rFonts w:ascii="Arial Narrow" w:hAnsi="Arial Narrow" w:cs="Arial"/>
                <w:sz w:val="20"/>
                <w:szCs w:val="20"/>
              </w:rPr>
            </w:pPr>
            <w:r w:rsidRPr="00ED4C18">
              <w:rPr>
                <w:rFonts w:ascii="Arial Narrow" w:hAnsi="Arial Narrow" w:cs="Arial"/>
                <w:sz w:val="20"/>
                <w:szCs w:val="20"/>
              </w:rPr>
              <w:t>Approximately 89 additional patients would be expected to achieve an SVR; and</w:t>
            </w:r>
          </w:p>
          <w:p w:rsidR="00E0545C" w:rsidRPr="00ED4C18" w:rsidRDefault="00E0545C" w:rsidP="00542F7C">
            <w:pPr>
              <w:pStyle w:val="ListParagraph"/>
              <w:numPr>
                <w:ilvl w:val="0"/>
                <w:numId w:val="10"/>
              </w:numPr>
              <w:ind w:left="218" w:hanging="142"/>
              <w:jc w:val="both"/>
              <w:rPr>
                <w:rFonts w:ascii="Arial Narrow" w:hAnsi="Arial Narrow" w:cs="Arial"/>
                <w:sz w:val="20"/>
                <w:szCs w:val="20"/>
              </w:rPr>
            </w:pPr>
            <w:r w:rsidRPr="00ED4C18">
              <w:rPr>
                <w:rFonts w:ascii="Arial Narrow" w:hAnsi="Arial Narrow" w:cs="Arial"/>
                <w:sz w:val="20"/>
                <w:szCs w:val="20"/>
              </w:rPr>
              <w:t>Approximately 1 additional patient would experience a serious adverse event.</w:t>
            </w:r>
          </w:p>
          <w:p w:rsidR="00E0545C" w:rsidRPr="00ED4C18" w:rsidRDefault="00E0545C" w:rsidP="00542F7C">
            <w:pPr>
              <w:pStyle w:val="ListParagraph"/>
              <w:numPr>
                <w:ilvl w:val="0"/>
                <w:numId w:val="10"/>
              </w:numPr>
              <w:ind w:left="218" w:hanging="142"/>
              <w:jc w:val="both"/>
              <w:rPr>
                <w:rFonts w:ascii="Arial Narrow" w:hAnsi="Arial Narrow" w:cs="Arial"/>
                <w:sz w:val="20"/>
                <w:szCs w:val="20"/>
              </w:rPr>
            </w:pPr>
            <w:r w:rsidRPr="00ED4C18">
              <w:rPr>
                <w:rFonts w:ascii="Arial Narrow" w:hAnsi="Arial Narrow" w:cs="Arial"/>
                <w:sz w:val="20"/>
                <w:szCs w:val="20"/>
              </w:rPr>
              <w:t>Approximately 33 additional patients would have an adverse event that leads to modification or interruption of the study drug</w:t>
            </w:r>
          </w:p>
        </w:tc>
      </w:tr>
      <w:tr w:rsidR="00ED4C18" w:rsidRPr="00ED4C18" w:rsidTr="00B85146">
        <w:tc>
          <w:tcPr>
            <w:tcW w:w="1418" w:type="dxa"/>
            <w:vMerge w:val="restart"/>
          </w:tcPr>
          <w:p w:rsidR="00542F7C" w:rsidRPr="00ED4C18" w:rsidRDefault="00542F7C" w:rsidP="00E0545C">
            <w:pPr>
              <w:pStyle w:val="Heading3"/>
              <w:rPr>
                <w:rFonts w:ascii="Arial Narrow" w:hAnsi="Arial Narrow" w:cs="Arial"/>
                <w:color w:val="auto"/>
                <w:sz w:val="20"/>
                <w:szCs w:val="20"/>
              </w:rPr>
            </w:pPr>
            <w:r w:rsidRPr="00ED4C18">
              <w:rPr>
                <w:rFonts w:ascii="Arial Narrow" w:hAnsi="Arial Narrow" w:cs="Arial"/>
                <w:color w:val="auto"/>
                <w:sz w:val="20"/>
                <w:szCs w:val="20"/>
              </w:rPr>
              <w:t>Genotype 3, treatment naïve, suitable for IFN</w:t>
            </w:r>
          </w:p>
        </w:tc>
        <w:tc>
          <w:tcPr>
            <w:tcW w:w="2693" w:type="dxa"/>
          </w:tcPr>
          <w:p w:rsidR="00542F7C" w:rsidRPr="00ED4C18" w:rsidRDefault="00542F7C" w:rsidP="00DB3105">
            <w:pPr>
              <w:jc w:val="both"/>
              <w:rPr>
                <w:rFonts w:ascii="Arial Narrow" w:hAnsi="Arial Narrow" w:cs="Arial"/>
                <w:sz w:val="20"/>
                <w:szCs w:val="20"/>
              </w:rPr>
            </w:pPr>
            <w:r w:rsidRPr="00ED4C18">
              <w:rPr>
                <w:rFonts w:ascii="Arial Narrow" w:hAnsi="Arial Narrow" w:cs="Arial"/>
                <w:sz w:val="20"/>
                <w:szCs w:val="20"/>
              </w:rPr>
              <w:t xml:space="preserve">for every 100 patients treated with SOF12+PR12 in </w:t>
            </w:r>
            <w:r w:rsidRPr="00ED4C18">
              <w:rPr>
                <w:rFonts w:ascii="Arial Narrow" w:hAnsi="Arial Narrow" w:cs="Arial"/>
                <w:sz w:val="20"/>
                <w:szCs w:val="20"/>
                <w:u w:val="single"/>
              </w:rPr>
              <w:t>comparison to PR24</w:t>
            </w:r>
            <w:r w:rsidRPr="00ED4C18">
              <w:rPr>
                <w:rFonts w:ascii="Arial Narrow" w:hAnsi="Arial Narrow" w:cs="Arial"/>
                <w:sz w:val="20"/>
                <w:szCs w:val="20"/>
              </w:rPr>
              <w:t>:</w:t>
            </w:r>
          </w:p>
        </w:tc>
        <w:tc>
          <w:tcPr>
            <w:tcW w:w="4314" w:type="dxa"/>
          </w:tcPr>
          <w:p w:rsidR="00542F7C" w:rsidRPr="00ED4C18" w:rsidRDefault="00542F7C" w:rsidP="00542F7C">
            <w:pPr>
              <w:pStyle w:val="ListParagraph"/>
              <w:numPr>
                <w:ilvl w:val="0"/>
                <w:numId w:val="10"/>
              </w:numPr>
              <w:ind w:left="218" w:hanging="142"/>
              <w:jc w:val="both"/>
              <w:rPr>
                <w:rFonts w:ascii="Arial Narrow" w:hAnsi="Arial Narrow" w:cs="Arial"/>
                <w:sz w:val="20"/>
                <w:szCs w:val="20"/>
              </w:rPr>
            </w:pPr>
            <w:r w:rsidRPr="00ED4C18">
              <w:rPr>
                <w:rFonts w:ascii="Arial Narrow" w:hAnsi="Arial Narrow" w:cs="Arial"/>
                <w:sz w:val="20"/>
                <w:szCs w:val="20"/>
              </w:rPr>
              <w:t xml:space="preserve">Approximately 34 additional patients would be expected to achieve SVR </w:t>
            </w:r>
          </w:p>
          <w:p w:rsidR="00542F7C" w:rsidRPr="00ED4C18" w:rsidRDefault="00542F7C" w:rsidP="00542F7C">
            <w:pPr>
              <w:ind w:left="218" w:hanging="142"/>
              <w:rPr>
                <w:rFonts w:ascii="Arial Narrow" w:hAnsi="Arial Narrow" w:cs="Arial"/>
                <w:sz w:val="20"/>
                <w:szCs w:val="20"/>
              </w:rPr>
            </w:pPr>
            <w:r w:rsidRPr="00ED4C18">
              <w:rPr>
                <w:rFonts w:ascii="Arial Narrow" w:hAnsi="Arial Narrow" w:cs="Arial"/>
                <w:sz w:val="20"/>
                <w:szCs w:val="20"/>
              </w:rPr>
              <w:t>Based on the FISSION trial (SOF12+R12, including patients with Genotype 2 and 3), then:</w:t>
            </w:r>
          </w:p>
          <w:p w:rsidR="00542F7C" w:rsidRPr="00ED4C18" w:rsidRDefault="00542F7C" w:rsidP="00542F7C">
            <w:pPr>
              <w:pStyle w:val="ListParagraph"/>
              <w:numPr>
                <w:ilvl w:val="0"/>
                <w:numId w:val="10"/>
              </w:numPr>
              <w:ind w:left="218" w:hanging="142"/>
              <w:jc w:val="both"/>
              <w:rPr>
                <w:rFonts w:ascii="Arial Narrow" w:hAnsi="Arial Narrow" w:cs="Arial"/>
                <w:sz w:val="20"/>
                <w:szCs w:val="20"/>
              </w:rPr>
            </w:pPr>
            <w:r w:rsidRPr="00ED4C18">
              <w:rPr>
                <w:rFonts w:ascii="Arial Narrow" w:hAnsi="Arial Narrow" w:cs="Arial"/>
                <w:sz w:val="20"/>
                <w:szCs w:val="20"/>
              </w:rPr>
              <w:t xml:space="preserve">Approximately 1 to 2 additional patients would experience a serious adverse event; </w:t>
            </w:r>
          </w:p>
          <w:p w:rsidR="00542F7C" w:rsidRPr="00ED4C18" w:rsidRDefault="00542F7C" w:rsidP="00542F7C">
            <w:pPr>
              <w:pStyle w:val="ListParagraph"/>
              <w:numPr>
                <w:ilvl w:val="0"/>
                <w:numId w:val="10"/>
              </w:numPr>
              <w:ind w:left="218" w:hanging="142"/>
              <w:jc w:val="both"/>
              <w:rPr>
                <w:rFonts w:ascii="Arial Narrow" w:hAnsi="Arial Narrow" w:cs="Arial"/>
                <w:sz w:val="20"/>
                <w:szCs w:val="20"/>
              </w:rPr>
            </w:pPr>
            <w:r w:rsidRPr="00ED4C18">
              <w:rPr>
                <w:rFonts w:ascii="Arial Narrow" w:hAnsi="Arial Narrow" w:cs="Arial"/>
                <w:sz w:val="20"/>
                <w:szCs w:val="20"/>
              </w:rPr>
              <w:t>Approximately 17 fewer patients would have an adverse event that leads to the modification or interruption of the study drug.</w:t>
            </w:r>
          </w:p>
          <w:p w:rsidR="00542F7C" w:rsidRPr="00ED4C18" w:rsidRDefault="00542F7C" w:rsidP="00542F7C">
            <w:pPr>
              <w:ind w:left="218" w:hanging="142"/>
              <w:jc w:val="both"/>
              <w:rPr>
                <w:rFonts w:ascii="Arial Narrow" w:hAnsi="Arial Narrow" w:cs="Arial"/>
                <w:sz w:val="20"/>
                <w:szCs w:val="20"/>
              </w:rPr>
            </w:pPr>
          </w:p>
        </w:tc>
      </w:tr>
      <w:tr w:rsidR="00ED4C18" w:rsidRPr="00ED4C18" w:rsidTr="00B85146">
        <w:tc>
          <w:tcPr>
            <w:tcW w:w="1418" w:type="dxa"/>
            <w:vMerge/>
          </w:tcPr>
          <w:p w:rsidR="00542F7C" w:rsidRPr="00ED4C18" w:rsidRDefault="00542F7C">
            <w:pPr>
              <w:pStyle w:val="Heading3"/>
              <w:rPr>
                <w:rFonts w:ascii="Arial Narrow" w:hAnsi="Arial Narrow" w:cs="Arial"/>
                <w:color w:val="auto"/>
                <w:sz w:val="20"/>
                <w:szCs w:val="20"/>
              </w:rPr>
            </w:pPr>
          </w:p>
        </w:tc>
        <w:tc>
          <w:tcPr>
            <w:tcW w:w="2693" w:type="dxa"/>
          </w:tcPr>
          <w:p w:rsidR="00542F7C" w:rsidRPr="00ED4C18" w:rsidRDefault="00542F7C" w:rsidP="00E0545C">
            <w:pPr>
              <w:rPr>
                <w:rFonts w:ascii="Arial Narrow" w:hAnsi="Arial Narrow" w:cs="Arial"/>
                <w:sz w:val="20"/>
                <w:szCs w:val="20"/>
              </w:rPr>
            </w:pPr>
            <w:r w:rsidRPr="00ED4C18">
              <w:rPr>
                <w:rFonts w:ascii="Arial Narrow" w:hAnsi="Arial Narrow" w:cs="Arial"/>
                <w:sz w:val="20"/>
                <w:szCs w:val="20"/>
              </w:rPr>
              <w:t xml:space="preserve">On the basis of evidence presented by the submission, for every 100 patients treated with SOF12+PR12 in comparison to </w:t>
            </w:r>
            <w:r w:rsidRPr="00ED4C18">
              <w:rPr>
                <w:rFonts w:ascii="Arial Narrow" w:hAnsi="Arial Narrow" w:cs="Arial"/>
                <w:sz w:val="20"/>
                <w:szCs w:val="20"/>
                <w:u w:val="single"/>
              </w:rPr>
              <w:t>no treatment</w:t>
            </w:r>
            <w:r w:rsidRPr="00ED4C18">
              <w:rPr>
                <w:rFonts w:ascii="Arial Narrow" w:hAnsi="Arial Narrow" w:cs="Arial"/>
                <w:sz w:val="20"/>
                <w:szCs w:val="20"/>
              </w:rPr>
              <w:t>:</w:t>
            </w:r>
          </w:p>
          <w:p w:rsidR="00542F7C" w:rsidRPr="00ED4C18" w:rsidRDefault="00542F7C" w:rsidP="00DB3105">
            <w:pPr>
              <w:jc w:val="both"/>
              <w:rPr>
                <w:rFonts w:ascii="Arial Narrow" w:hAnsi="Arial Narrow" w:cs="Arial"/>
                <w:sz w:val="20"/>
                <w:szCs w:val="20"/>
              </w:rPr>
            </w:pPr>
          </w:p>
        </w:tc>
        <w:tc>
          <w:tcPr>
            <w:tcW w:w="4314" w:type="dxa"/>
          </w:tcPr>
          <w:p w:rsidR="00542F7C" w:rsidRPr="00ED4C18" w:rsidRDefault="00542F7C" w:rsidP="00542F7C">
            <w:pPr>
              <w:pStyle w:val="ListParagraph"/>
              <w:numPr>
                <w:ilvl w:val="0"/>
                <w:numId w:val="10"/>
              </w:numPr>
              <w:ind w:left="218" w:hanging="142"/>
              <w:jc w:val="both"/>
              <w:rPr>
                <w:rFonts w:ascii="Arial Narrow" w:hAnsi="Arial Narrow" w:cs="Arial"/>
                <w:sz w:val="20"/>
                <w:szCs w:val="20"/>
              </w:rPr>
            </w:pPr>
            <w:r w:rsidRPr="00ED4C18">
              <w:rPr>
                <w:rFonts w:ascii="Arial Narrow" w:hAnsi="Arial Narrow" w:cs="Arial"/>
                <w:sz w:val="20"/>
                <w:szCs w:val="20"/>
              </w:rPr>
              <w:t xml:space="preserve">Approximately 94 additional patients would be expected to achieve SVR </w:t>
            </w:r>
          </w:p>
          <w:p w:rsidR="00542F7C" w:rsidRPr="00ED4C18" w:rsidRDefault="00542F7C" w:rsidP="00542F7C">
            <w:pPr>
              <w:ind w:left="218" w:hanging="142"/>
              <w:rPr>
                <w:rFonts w:ascii="Arial Narrow" w:hAnsi="Arial Narrow" w:cs="Arial"/>
                <w:sz w:val="20"/>
                <w:szCs w:val="20"/>
              </w:rPr>
            </w:pPr>
            <w:r w:rsidRPr="00ED4C18">
              <w:rPr>
                <w:rFonts w:ascii="Arial Narrow" w:hAnsi="Arial Narrow" w:cs="Arial"/>
                <w:sz w:val="20"/>
                <w:szCs w:val="20"/>
              </w:rPr>
              <w:t>Based on the FISSION trial (SOF12+R12, including patients with Genotype 2 and 3), then:</w:t>
            </w:r>
          </w:p>
          <w:p w:rsidR="00542F7C" w:rsidRPr="00ED4C18" w:rsidRDefault="00542F7C" w:rsidP="00542F7C">
            <w:pPr>
              <w:pStyle w:val="ListParagraph"/>
              <w:numPr>
                <w:ilvl w:val="0"/>
                <w:numId w:val="10"/>
              </w:numPr>
              <w:ind w:left="218" w:hanging="142"/>
              <w:jc w:val="both"/>
              <w:rPr>
                <w:rFonts w:ascii="Arial Narrow" w:hAnsi="Arial Narrow" w:cs="Arial"/>
                <w:sz w:val="20"/>
                <w:szCs w:val="20"/>
              </w:rPr>
            </w:pPr>
            <w:r w:rsidRPr="00ED4C18">
              <w:rPr>
                <w:rFonts w:ascii="Arial Narrow" w:hAnsi="Arial Narrow" w:cs="Arial"/>
                <w:sz w:val="20"/>
                <w:szCs w:val="20"/>
              </w:rPr>
              <w:t>Approximately 3 additional patients would experience a serious adverse event</w:t>
            </w:r>
          </w:p>
          <w:p w:rsidR="00542F7C" w:rsidRPr="00ED4C18" w:rsidRDefault="00542F7C" w:rsidP="00542F7C">
            <w:pPr>
              <w:pStyle w:val="ListParagraph"/>
              <w:numPr>
                <w:ilvl w:val="0"/>
                <w:numId w:val="10"/>
              </w:numPr>
              <w:ind w:left="218" w:hanging="142"/>
              <w:jc w:val="both"/>
              <w:rPr>
                <w:rFonts w:ascii="Arial Narrow" w:hAnsi="Arial Narrow" w:cs="Arial"/>
                <w:sz w:val="20"/>
                <w:szCs w:val="20"/>
              </w:rPr>
            </w:pPr>
            <w:r w:rsidRPr="00ED4C18">
              <w:rPr>
                <w:rFonts w:ascii="Arial Narrow" w:hAnsi="Arial Narrow" w:cs="Arial"/>
                <w:sz w:val="20"/>
                <w:szCs w:val="20"/>
              </w:rPr>
              <w:t>Approximately 10 additional patients would have an adverse event that leads to the modification or interruption of the study drug.</w:t>
            </w:r>
          </w:p>
          <w:p w:rsidR="00542F7C" w:rsidRPr="00ED4C18" w:rsidRDefault="00542F7C" w:rsidP="00542F7C">
            <w:pPr>
              <w:pStyle w:val="ListParagraph"/>
              <w:numPr>
                <w:ilvl w:val="0"/>
                <w:numId w:val="10"/>
              </w:numPr>
              <w:ind w:left="218" w:hanging="142"/>
              <w:jc w:val="both"/>
              <w:rPr>
                <w:rFonts w:ascii="Arial Narrow" w:hAnsi="Arial Narrow" w:cs="Arial"/>
                <w:sz w:val="20"/>
                <w:szCs w:val="20"/>
              </w:rPr>
            </w:pPr>
          </w:p>
        </w:tc>
      </w:tr>
      <w:tr w:rsidR="00ED4C18" w:rsidRPr="00ED4C18" w:rsidTr="00B85146">
        <w:tc>
          <w:tcPr>
            <w:tcW w:w="1418" w:type="dxa"/>
          </w:tcPr>
          <w:p w:rsidR="00E0545C" w:rsidRPr="00ED4C18" w:rsidRDefault="00E0545C" w:rsidP="00E0545C">
            <w:pPr>
              <w:pStyle w:val="Heading3"/>
              <w:rPr>
                <w:rFonts w:ascii="Arial Narrow" w:hAnsi="Arial Narrow" w:cs="Arial"/>
                <w:color w:val="auto"/>
                <w:sz w:val="20"/>
                <w:szCs w:val="20"/>
              </w:rPr>
            </w:pPr>
            <w:r w:rsidRPr="00ED4C18">
              <w:rPr>
                <w:rFonts w:ascii="Arial Narrow" w:hAnsi="Arial Narrow" w:cs="Arial"/>
                <w:color w:val="auto"/>
                <w:sz w:val="20"/>
                <w:szCs w:val="20"/>
              </w:rPr>
              <w:t>Genotype 1, treatment naïve, not suitable for IFN</w:t>
            </w:r>
          </w:p>
          <w:p w:rsidR="00E0545C" w:rsidRPr="00ED4C18" w:rsidRDefault="00E0545C" w:rsidP="00E0545C">
            <w:pPr>
              <w:jc w:val="both"/>
              <w:rPr>
                <w:rFonts w:ascii="Arial Narrow" w:hAnsi="Arial Narrow" w:cs="Arial"/>
                <w:b/>
                <w:sz w:val="20"/>
                <w:szCs w:val="20"/>
              </w:rPr>
            </w:pPr>
          </w:p>
        </w:tc>
        <w:tc>
          <w:tcPr>
            <w:tcW w:w="2693" w:type="dxa"/>
          </w:tcPr>
          <w:p w:rsidR="00E0545C" w:rsidRPr="00ED4C18" w:rsidRDefault="00E0545C" w:rsidP="00E0545C">
            <w:pPr>
              <w:rPr>
                <w:rFonts w:ascii="Arial Narrow" w:hAnsi="Arial Narrow" w:cs="Arial"/>
                <w:sz w:val="20"/>
                <w:szCs w:val="20"/>
              </w:rPr>
            </w:pPr>
            <w:r w:rsidRPr="00ED4C18">
              <w:rPr>
                <w:rFonts w:ascii="Arial Narrow" w:hAnsi="Arial Narrow" w:cs="Arial"/>
                <w:sz w:val="20"/>
                <w:szCs w:val="20"/>
              </w:rPr>
              <w:t xml:space="preserve">On the basis of the evidence presented by the submission, for every 100 patients treated with SOF12+R12 in comparison to </w:t>
            </w:r>
            <w:r w:rsidRPr="00ED4C18">
              <w:rPr>
                <w:rFonts w:ascii="Arial Narrow" w:hAnsi="Arial Narrow" w:cs="Arial"/>
                <w:sz w:val="20"/>
                <w:szCs w:val="20"/>
                <w:u w:val="single"/>
              </w:rPr>
              <w:t>no treatment</w:t>
            </w:r>
            <w:r w:rsidRPr="00ED4C18">
              <w:rPr>
                <w:rFonts w:ascii="Arial Narrow" w:hAnsi="Arial Narrow" w:cs="Arial"/>
                <w:sz w:val="20"/>
                <w:szCs w:val="20"/>
              </w:rPr>
              <w:t>:</w:t>
            </w:r>
          </w:p>
          <w:p w:rsidR="00E0545C" w:rsidRPr="00ED4C18" w:rsidRDefault="00E0545C" w:rsidP="00DB3105">
            <w:pPr>
              <w:jc w:val="both"/>
              <w:rPr>
                <w:rFonts w:ascii="Arial Narrow" w:hAnsi="Arial Narrow" w:cs="Arial"/>
                <w:sz w:val="20"/>
                <w:szCs w:val="20"/>
              </w:rPr>
            </w:pPr>
          </w:p>
        </w:tc>
        <w:tc>
          <w:tcPr>
            <w:tcW w:w="4314" w:type="dxa"/>
          </w:tcPr>
          <w:p w:rsidR="00542F7C" w:rsidRPr="00ED4C18" w:rsidRDefault="00E0545C" w:rsidP="00542F7C">
            <w:pPr>
              <w:pStyle w:val="ListParagraph"/>
              <w:numPr>
                <w:ilvl w:val="0"/>
                <w:numId w:val="10"/>
              </w:numPr>
              <w:ind w:left="218" w:hanging="142"/>
              <w:jc w:val="both"/>
              <w:rPr>
                <w:rFonts w:ascii="Arial Narrow" w:hAnsi="Arial Narrow" w:cs="Arial"/>
                <w:sz w:val="20"/>
                <w:szCs w:val="20"/>
              </w:rPr>
            </w:pPr>
            <w:r w:rsidRPr="00ED4C18">
              <w:rPr>
                <w:rFonts w:ascii="Arial Narrow" w:hAnsi="Arial Narrow" w:cs="Arial"/>
                <w:sz w:val="20"/>
                <w:szCs w:val="20"/>
              </w:rPr>
              <w:t>Approximately 65 additional patients would be expected to achieve an SVR</w:t>
            </w:r>
          </w:p>
          <w:p w:rsidR="00E0545C" w:rsidRPr="00ED4C18" w:rsidRDefault="00E0545C" w:rsidP="00542F7C">
            <w:pPr>
              <w:pStyle w:val="ListParagraph"/>
              <w:numPr>
                <w:ilvl w:val="0"/>
                <w:numId w:val="10"/>
              </w:numPr>
              <w:ind w:left="218" w:hanging="142"/>
              <w:jc w:val="both"/>
              <w:rPr>
                <w:rFonts w:ascii="Arial Narrow" w:hAnsi="Arial Narrow" w:cs="Arial"/>
                <w:sz w:val="20"/>
                <w:szCs w:val="20"/>
              </w:rPr>
            </w:pPr>
            <w:r w:rsidRPr="00ED4C18">
              <w:rPr>
                <w:rFonts w:ascii="Arial Narrow" w:hAnsi="Arial Narrow" w:cs="Arial"/>
                <w:sz w:val="20"/>
                <w:szCs w:val="20"/>
              </w:rPr>
              <w:t>Comparative harms of the QUANTUM and SPARE trials were not presented in Section B of the submission.</w:t>
            </w:r>
          </w:p>
        </w:tc>
      </w:tr>
    </w:tbl>
    <w:p w:rsidR="00B85146" w:rsidRDefault="00B85146">
      <w:r>
        <w:rPr>
          <w:b/>
          <w:bCs/>
        </w:rPr>
        <w:br w:type="page"/>
      </w:r>
    </w:p>
    <w:tbl>
      <w:tblPr>
        <w:tblStyle w:val="TableGrid"/>
        <w:tblW w:w="0" w:type="auto"/>
        <w:tblInd w:w="817" w:type="dxa"/>
        <w:tblLook w:val="04A0" w:firstRow="1" w:lastRow="0" w:firstColumn="1" w:lastColumn="0" w:noHBand="0" w:noVBand="1"/>
        <w:tblDescription w:val="benefits/harms comparison for patient group"/>
      </w:tblPr>
      <w:tblGrid>
        <w:gridCol w:w="1418"/>
        <w:gridCol w:w="2693"/>
        <w:gridCol w:w="4314"/>
      </w:tblGrid>
      <w:tr w:rsidR="00ED4C18" w:rsidRPr="00ED4C18" w:rsidTr="00B85146">
        <w:tc>
          <w:tcPr>
            <w:tcW w:w="1418" w:type="dxa"/>
          </w:tcPr>
          <w:p w:rsidR="00E0545C" w:rsidRPr="00ED4C18" w:rsidRDefault="00E0545C" w:rsidP="00E0545C">
            <w:pPr>
              <w:pStyle w:val="Heading3"/>
              <w:rPr>
                <w:rFonts w:ascii="Arial Narrow" w:hAnsi="Arial Narrow" w:cs="Arial"/>
                <w:color w:val="auto"/>
                <w:sz w:val="20"/>
                <w:szCs w:val="20"/>
              </w:rPr>
            </w:pPr>
            <w:r w:rsidRPr="00ED4C18">
              <w:rPr>
                <w:rFonts w:ascii="Arial Narrow" w:hAnsi="Arial Narrow" w:cs="Arial"/>
                <w:color w:val="auto"/>
                <w:sz w:val="20"/>
                <w:szCs w:val="20"/>
              </w:rPr>
              <w:lastRenderedPageBreak/>
              <w:t>Genotype 3, treatment naive, not suitable for IFN</w:t>
            </w:r>
          </w:p>
          <w:p w:rsidR="00E0545C" w:rsidRPr="00ED4C18" w:rsidRDefault="00E0545C" w:rsidP="00E0545C">
            <w:pPr>
              <w:jc w:val="both"/>
              <w:rPr>
                <w:rFonts w:ascii="Arial Narrow" w:hAnsi="Arial Narrow" w:cs="Arial"/>
                <w:b/>
                <w:sz w:val="20"/>
                <w:szCs w:val="20"/>
              </w:rPr>
            </w:pPr>
          </w:p>
        </w:tc>
        <w:tc>
          <w:tcPr>
            <w:tcW w:w="2693" w:type="dxa"/>
          </w:tcPr>
          <w:p w:rsidR="00E0545C" w:rsidRPr="00ED4C18" w:rsidRDefault="00E0545C" w:rsidP="00E0545C">
            <w:pPr>
              <w:rPr>
                <w:rFonts w:ascii="Arial Narrow" w:hAnsi="Arial Narrow" w:cs="Arial"/>
                <w:sz w:val="20"/>
                <w:szCs w:val="20"/>
              </w:rPr>
            </w:pPr>
            <w:r w:rsidRPr="00ED4C18">
              <w:rPr>
                <w:rFonts w:ascii="Arial Narrow" w:hAnsi="Arial Narrow" w:cs="Arial"/>
                <w:sz w:val="20"/>
                <w:szCs w:val="20"/>
              </w:rPr>
              <w:t xml:space="preserve">On the basis of evidence presented by the submission, for every 100 patients treated with SOF24+R24 in comparison to </w:t>
            </w:r>
            <w:r w:rsidRPr="00ED4C18">
              <w:rPr>
                <w:rFonts w:ascii="Arial Narrow" w:hAnsi="Arial Narrow" w:cs="Arial"/>
                <w:sz w:val="20"/>
                <w:szCs w:val="20"/>
                <w:u w:val="single"/>
              </w:rPr>
              <w:t>no treatment</w:t>
            </w:r>
            <w:r w:rsidRPr="00ED4C18">
              <w:rPr>
                <w:rFonts w:ascii="Arial Narrow" w:hAnsi="Arial Narrow" w:cs="Arial"/>
                <w:sz w:val="20"/>
                <w:szCs w:val="20"/>
              </w:rPr>
              <w:t>:</w:t>
            </w:r>
          </w:p>
          <w:p w:rsidR="00E0545C" w:rsidRPr="00ED4C18" w:rsidRDefault="00E0545C" w:rsidP="00DB3105">
            <w:pPr>
              <w:jc w:val="both"/>
              <w:rPr>
                <w:rFonts w:ascii="Arial Narrow" w:hAnsi="Arial Narrow" w:cs="Arial"/>
                <w:sz w:val="20"/>
                <w:szCs w:val="20"/>
              </w:rPr>
            </w:pPr>
          </w:p>
        </w:tc>
        <w:tc>
          <w:tcPr>
            <w:tcW w:w="4314" w:type="dxa"/>
          </w:tcPr>
          <w:p w:rsidR="00542F7C" w:rsidRPr="00ED4C18" w:rsidRDefault="00E0545C" w:rsidP="00542F7C">
            <w:pPr>
              <w:pStyle w:val="ListParagraph"/>
              <w:numPr>
                <w:ilvl w:val="0"/>
                <w:numId w:val="10"/>
              </w:numPr>
              <w:ind w:left="218" w:hanging="142"/>
              <w:jc w:val="both"/>
              <w:rPr>
                <w:rFonts w:ascii="Arial Narrow" w:hAnsi="Arial Narrow" w:cs="Arial"/>
                <w:sz w:val="20"/>
                <w:szCs w:val="20"/>
              </w:rPr>
            </w:pPr>
            <w:r w:rsidRPr="00ED4C18">
              <w:rPr>
                <w:rFonts w:ascii="Arial Narrow" w:hAnsi="Arial Narrow" w:cs="Arial"/>
                <w:sz w:val="20"/>
                <w:szCs w:val="20"/>
              </w:rPr>
              <w:t>Approximately 93 additional patients would be expected to achieve</w:t>
            </w:r>
            <w:r w:rsidR="00542F7C" w:rsidRPr="00ED4C18">
              <w:rPr>
                <w:rFonts w:ascii="Arial Narrow" w:hAnsi="Arial Narrow" w:cs="Arial"/>
                <w:sz w:val="20"/>
                <w:szCs w:val="20"/>
              </w:rPr>
              <w:t xml:space="preserve"> an SVR</w:t>
            </w:r>
          </w:p>
          <w:p w:rsidR="00E0545C" w:rsidRPr="00ED4C18" w:rsidRDefault="00E0545C" w:rsidP="00542F7C">
            <w:pPr>
              <w:pStyle w:val="ListParagraph"/>
              <w:numPr>
                <w:ilvl w:val="0"/>
                <w:numId w:val="10"/>
              </w:numPr>
              <w:ind w:left="218" w:hanging="142"/>
              <w:jc w:val="both"/>
              <w:rPr>
                <w:rFonts w:ascii="Arial Narrow" w:hAnsi="Arial Narrow" w:cs="Arial"/>
                <w:sz w:val="20"/>
                <w:szCs w:val="20"/>
              </w:rPr>
            </w:pPr>
            <w:r w:rsidRPr="00ED4C18">
              <w:rPr>
                <w:rFonts w:ascii="Arial Narrow" w:hAnsi="Arial Narrow" w:cs="Arial"/>
                <w:sz w:val="20"/>
                <w:szCs w:val="20"/>
              </w:rPr>
              <w:t>Comparative harms of the VALAENCE trial was not presented in Section B of the submission.</w:t>
            </w:r>
          </w:p>
        </w:tc>
      </w:tr>
      <w:tr w:rsidR="00ED4C18" w:rsidRPr="00ED4C18" w:rsidTr="00B85146">
        <w:tc>
          <w:tcPr>
            <w:tcW w:w="1418" w:type="dxa"/>
          </w:tcPr>
          <w:p w:rsidR="00E0545C" w:rsidRPr="00ED4C18" w:rsidRDefault="00E0545C" w:rsidP="00E0545C">
            <w:pPr>
              <w:pStyle w:val="Heading3"/>
              <w:rPr>
                <w:rFonts w:ascii="Arial Narrow" w:hAnsi="Arial Narrow" w:cs="Arial"/>
                <w:color w:val="auto"/>
                <w:sz w:val="20"/>
                <w:szCs w:val="20"/>
              </w:rPr>
            </w:pPr>
            <w:r w:rsidRPr="00ED4C18">
              <w:rPr>
                <w:rFonts w:ascii="Arial Narrow" w:hAnsi="Arial Narrow" w:cs="Arial"/>
                <w:color w:val="auto"/>
                <w:sz w:val="20"/>
                <w:szCs w:val="20"/>
              </w:rPr>
              <w:t>Genotype 3, treatment experien</w:t>
            </w:r>
            <w:r w:rsidR="00542F7C" w:rsidRPr="00ED4C18">
              <w:rPr>
                <w:rFonts w:ascii="Arial Narrow" w:hAnsi="Arial Narrow" w:cs="Arial"/>
                <w:color w:val="auto"/>
                <w:sz w:val="20"/>
                <w:szCs w:val="20"/>
              </w:rPr>
              <w:t>ced,</w:t>
            </w:r>
            <w:r w:rsidRPr="00ED4C18">
              <w:rPr>
                <w:rFonts w:ascii="Arial Narrow" w:hAnsi="Arial Narrow" w:cs="Arial"/>
                <w:color w:val="auto"/>
                <w:sz w:val="20"/>
                <w:szCs w:val="20"/>
              </w:rPr>
              <w:t xml:space="preserve"> suitable for IFN</w:t>
            </w:r>
          </w:p>
          <w:p w:rsidR="00E0545C" w:rsidRPr="00ED4C18" w:rsidRDefault="00E0545C" w:rsidP="00E0545C">
            <w:pPr>
              <w:jc w:val="both"/>
              <w:rPr>
                <w:rFonts w:ascii="Arial Narrow" w:hAnsi="Arial Narrow" w:cs="Arial"/>
                <w:b/>
                <w:sz w:val="20"/>
                <w:szCs w:val="20"/>
              </w:rPr>
            </w:pPr>
          </w:p>
        </w:tc>
        <w:tc>
          <w:tcPr>
            <w:tcW w:w="2693" w:type="dxa"/>
          </w:tcPr>
          <w:p w:rsidR="00E0545C" w:rsidRPr="00ED4C18" w:rsidRDefault="00542F7C" w:rsidP="00DB3105">
            <w:pPr>
              <w:jc w:val="both"/>
              <w:rPr>
                <w:rFonts w:ascii="Arial Narrow" w:hAnsi="Arial Narrow" w:cs="Arial"/>
                <w:sz w:val="20"/>
                <w:szCs w:val="20"/>
              </w:rPr>
            </w:pPr>
            <w:r w:rsidRPr="00ED4C18">
              <w:rPr>
                <w:rFonts w:ascii="Arial Narrow" w:hAnsi="Arial Narrow" w:cs="Arial"/>
                <w:sz w:val="20"/>
                <w:szCs w:val="20"/>
              </w:rPr>
              <w:t>On the basis of evidence presented by the submission, for every 100 patients treated with SOF12+PR12 in comparison to no treatment:</w:t>
            </w:r>
          </w:p>
        </w:tc>
        <w:tc>
          <w:tcPr>
            <w:tcW w:w="4314" w:type="dxa"/>
          </w:tcPr>
          <w:p w:rsidR="00542F7C" w:rsidRPr="00ED4C18" w:rsidRDefault="00542F7C" w:rsidP="00542F7C">
            <w:pPr>
              <w:pStyle w:val="ListParagraph"/>
              <w:numPr>
                <w:ilvl w:val="0"/>
                <w:numId w:val="10"/>
              </w:numPr>
              <w:ind w:left="218" w:hanging="142"/>
              <w:jc w:val="both"/>
              <w:rPr>
                <w:rFonts w:ascii="Arial Narrow" w:hAnsi="Arial Narrow" w:cs="Arial"/>
                <w:sz w:val="20"/>
                <w:szCs w:val="20"/>
              </w:rPr>
            </w:pPr>
            <w:r w:rsidRPr="00ED4C18">
              <w:rPr>
                <w:rFonts w:ascii="Arial Narrow" w:hAnsi="Arial Narrow" w:cs="Arial"/>
                <w:sz w:val="20"/>
                <w:szCs w:val="20"/>
              </w:rPr>
              <w:t xml:space="preserve">Approximately 83 additional patients would be expected to achieve an SVR </w:t>
            </w:r>
          </w:p>
          <w:p w:rsidR="00542F7C" w:rsidRPr="00ED4C18" w:rsidRDefault="00542F7C" w:rsidP="00542F7C">
            <w:pPr>
              <w:ind w:left="218" w:hanging="142"/>
              <w:jc w:val="both"/>
              <w:rPr>
                <w:rFonts w:ascii="Arial Narrow" w:hAnsi="Arial Narrow" w:cs="Arial"/>
                <w:sz w:val="20"/>
                <w:szCs w:val="20"/>
              </w:rPr>
            </w:pPr>
            <w:r w:rsidRPr="00ED4C18">
              <w:rPr>
                <w:rFonts w:ascii="Arial Narrow" w:hAnsi="Arial Narrow" w:cs="Arial"/>
                <w:sz w:val="20"/>
                <w:szCs w:val="20"/>
              </w:rPr>
              <w:t xml:space="preserve">Based on the FUSION trial (SOF12+R12, patients with Genotype 2 and 3), then: </w:t>
            </w:r>
          </w:p>
          <w:p w:rsidR="00542F7C" w:rsidRPr="00ED4C18" w:rsidRDefault="00542F7C" w:rsidP="00542F7C">
            <w:pPr>
              <w:pStyle w:val="ListParagraph"/>
              <w:numPr>
                <w:ilvl w:val="0"/>
                <w:numId w:val="10"/>
              </w:numPr>
              <w:ind w:left="218" w:hanging="142"/>
              <w:jc w:val="both"/>
              <w:rPr>
                <w:rFonts w:ascii="Arial Narrow" w:hAnsi="Arial Narrow" w:cs="Arial"/>
                <w:sz w:val="20"/>
                <w:szCs w:val="20"/>
              </w:rPr>
            </w:pPr>
            <w:r w:rsidRPr="00ED4C18">
              <w:rPr>
                <w:rFonts w:ascii="Arial Narrow" w:hAnsi="Arial Narrow" w:cs="Arial"/>
                <w:sz w:val="20"/>
                <w:szCs w:val="20"/>
              </w:rPr>
              <w:t>Approximately 5 additional patients would experience a serious adverse event; and</w:t>
            </w:r>
          </w:p>
          <w:p w:rsidR="00542F7C" w:rsidRPr="00ED4C18" w:rsidRDefault="00542F7C" w:rsidP="00542F7C">
            <w:pPr>
              <w:pStyle w:val="ListParagraph"/>
              <w:numPr>
                <w:ilvl w:val="0"/>
                <w:numId w:val="10"/>
              </w:numPr>
              <w:ind w:left="218" w:hanging="142"/>
              <w:jc w:val="both"/>
              <w:rPr>
                <w:rFonts w:ascii="Arial Narrow" w:hAnsi="Arial Narrow" w:cs="Arial"/>
                <w:sz w:val="20"/>
                <w:szCs w:val="20"/>
              </w:rPr>
            </w:pPr>
            <w:r w:rsidRPr="00ED4C18">
              <w:rPr>
                <w:rFonts w:ascii="Arial Narrow" w:hAnsi="Arial Narrow" w:cs="Arial"/>
                <w:sz w:val="20"/>
                <w:szCs w:val="20"/>
              </w:rPr>
              <w:t>Approximately 9 additional patients would have an adverse event that leads to the modification or interruption of the study drug.</w:t>
            </w:r>
          </w:p>
          <w:p w:rsidR="00542F7C" w:rsidRPr="00ED4C18" w:rsidRDefault="00542F7C" w:rsidP="00542F7C">
            <w:pPr>
              <w:pStyle w:val="ListParagraph"/>
              <w:numPr>
                <w:ilvl w:val="0"/>
                <w:numId w:val="10"/>
              </w:numPr>
              <w:ind w:left="218" w:hanging="142"/>
              <w:jc w:val="both"/>
              <w:rPr>
                <w:rFonts w:ascii="Arial Narrow" w:hAnsi="Arial Narrow" w:cs="Arial"/>
                <w:sz w:val="20"/>
                <w:szCs w:val="20"/>
              </w:rPr>
            </w:pPr>
            <w:r w:rsidRPr="00ED4C18">
              <w:rPr>
                <w:rFonts w:ascii="Arial Narrow" w:hAnsi="Arial Narrow" w:cs="Arial"/>
                <w:sz w:val="20"/>
                <w:szCs w:val="20"/>
              </w:rPr>
              <w:t>Comparative harms of the LONESTAR trial were not presented in Section B of the submission.</w:t>
            </w:r>
          </w:p>
          <w:p w:rsidR="00E0545C" w:rsidRPr="00ED4C18" w:rsidRDefault="00E0545C" w:rsidP="00542F7C">
            <w:pPr>
              <w:pStyle w:val="ListParagraph"/>
              <w:ind w:left="218"/>
              <w:jc w:val="both"/>
              <w:rPr>
                <w:rFonts w:ascii="Arial Narrow" w:hAnsi="Arial Narrow" w:cs="Arial"/>
                <w:sz w:val="20"/>
                <w:szCs w:val="20"/>
              </w:rPr>
            </w:pPr>
          </w:p>
        </w:tc>
      </w:tr>
      <w:tr w:rsidR="00542F7C" w:rsidRPr="00ED4C18" w:rsidTr="00B85146">
        <w:tc>
          <w:tcPr>
            <w:tcW w:w="1418" w:type="dxa"/>
          </w:tcPr>
          <w:p w:rsidR="00542F7C" w:rsidRPr="00ED4C18" w:rsidRDefault="00542F7C" w:rsidP="00B02266">
            <w:pPr>
              <w:pStyle w:val="Heading3"/>
              <w:rPr>
                <w:rFonts w:ascii="Arial Narrow" w:hAnsi="Arial Narrow" w:cs="Arial"/>
                <w:color w:val="auto"/>
                <w:sz w:val="20"/>
                <w:szCs w:val="20"/>
              </w:rPr>
            </w:pPr>
            <w:r w:rsidRPr="00ED4C18">
              <w:rPr>
                <w:rFonts w:ascii="Arial Narrow" w:hAnsi="Arial Narrow" w:cs="Arial"/>
                <w:color w:val="auto"/>
                <w:sz w:val="20"/>
                <w:szCs w:val="20"/>
              </w:rPr>
              <w:t>Genotype 3, treatment experienced, not suitable for IFN</w:t>
            </w:r>
          </w:p>
          <w:p w:rsidR="00542F7C" w:rsidRPr="00ED4C18" w:rsidRDefault="00542F7C">
            <w:pPr>
              <w:pStyle w:val="Heading3"/>
              <w:rPr>
                <w:rFonts w:ascii="Arial Narrow" w:hAnsi="Arial Narrow" w:cs="Arial"/>
                <w:color w:val="auto"/>
                <w:sz w:val="20"/>
                <w:szCs w:val="20"/>
              </w:rPr>
            </w:pPr>
          </w:p>
        </w:tc>
        <w:tc>
          <w:tcPr>
            <w:tcW w:w="2693" w:type="dxa"/>
          </w:tcPr>
          <w:p w:rsidR="00542F7C" w:rsidRPr="00ED4C18" w:rsidRDefault="00542F7C" w:rsidP="00B02266">
            <w:pPr>
              <w:rPr>
                <w:rFonts w:ascii="Arial Narrow" w:hAnsi="Arial Narrow" w:cs="Arial"/>
                <w:sz w:val="20"/>
                <w:szCs w:val="20"/>
              </w:rPr>
            </w:pPr>
            <w:r w:rsidRPr="00ED4C18">
              <w:rPr>
                <w:rFonts w:ascii="Arial Narrow" w:hAnsi="Arial Narrow" w:cs="Arial"/>
                <w:sz w:val="20"/>
                <w:szCs w:val="20"/>
              </w:rPr>
              <w:t xml:space="preserve">On the basis of evidence presented by the submission, for every 100 patients treated with SOF24+R24 in comparison to </w:t>
            </w:r>
            <w:r w:rsidRPr="00ED4C18">
              <w:rPr>
                <w:rFonts w:ascii="Arial Narrow" w:hAnsi="Arial Narrow" w:cs="Arial"/>
                <w:sz w:val="20"/>
                <w:szCs w:val="20"/>
                <w:u w:val="single"/>
              </w:rPr>
              <w:t>no treatment</w:t>
            </w:r>
            <w:r w:rsidRPr="00ED4C18">
              <w:rPr>
                <w:rFonts w:ascii="Arial Narrow" w:hAnsi="Arial Narrow" w:cs="Arial"/>
                <w:sz w:val="20"/>
                <w:szCs w:val="20"/>
              </w:rPr>
              <w:t>:</w:t>
            </w:r>
          </w:p>
          <w:p w:rsidR="00542F7C" w:rsidRPr="00ED4C18" w:rsidRDefault="00542F7C" w:rsidP="00DB3105">
            <w:pPr>
              <w:jc w:val="both"/>
              <w:rPr>
                <w:rFonts w:ascii="Arial Narrow" w:hAnsi="Arial Narrow" w:cs="Arial"/>
                <w:sz w:val="20"/>
                <w:szCs w:val="20"/>
              </w:rPr>
            </w:pPr>
          </w:p>
        </w:tc>
        <w:tc>
          <w:tcPr>
            <w:tcW w:w="4314" w:type="dxa"/>
          </w:tcPr>
          <w:p w:rsidR="00542F7C" w:rsidRPr="00ED4C18" w:rsidRDefault="00542F7C" w:rsidP="00B02266">
            <w:pPr>
              <w:pStyle w:val="ListParagraph"/>
              <w:numPr>
                <w:ilvl w:val="0"/>
                <w:numId w:val="10"/>
              </w:numPr>
              <w:ind w:left="218" w:hanging="142"/>
              <w:jc w:val="both"/>
              <w:rPr>
                <w:rFonts w:ascii="Arial Narrow" w:hAnsi="Arial Narrow" w:cs="Arial"/>
                <w:sz w:val="20"/>
                <w:szCs w:val="20"/>
              </w:rPr>
            </w:pPr>
            <w:r w:rsidRPr="00ED4C18">
              <w:rPr>
                <w:rFonts w:ascii="Arial Narrow" w:hAnsi="Arial Narrow" w:cs="Arial"/>
                <w:sz w:val="20"/>
                <w:szCs w:val="20"/>
              </w:rPr>
              <w:t>Approximately 78 additional patients would be expected to achieve an SVR</w:t>
            </w:r>
          </w:p>
          <w:p w:rsidR="00542F7C" w:rsidRPr="00ED4C18" w:rsidRDefault="00542F7C" w:rsidP="00B02266">
            <w:pPr>
              <w:pStyle w:val="ListParagraph"/>
              <w:numPr>
                <w:ilvl w:val="0"/>
                <w:numId w:val="10"/>
              </w:numPr>
              <w:ind w:left="218" w:hanging="142"/>
              <w:jc w:val="both"/>
              <w:rPr>
                <w:rFonts w:ascii="Arial Narrow" w:hAnsi="Arial Narrow" w:cs="Arial"/>
                <w:sz w:val="20"/>
                <w:szCs w:val="20"/>
              </w:rPr>
            </w:pPr>
            <w:r w:rsidRPr="00ED4C18">
              <w:rPr>
                <w:rFonts w:ascii="Arial Narrow" w:hAnsi="Arial Narrow" w:cs="Arial"/>
                <w:sz w:val="20"/>
                <w:szCs w:val="20"/>
              </w:rPr>
              <w:t>Comparative harms of the VALAENCE trial were not presented in Section B of the submission.</w:t>
            </w:r>
          </w:p>
          <w:p w:rsidR="00542F7C" w:rsidRPr="00ED4C18" w:rsidRDefault="00542F7C" w:rsidP="00542F7C">
            <w:pPr>
              <w:ind w:left="76"/>
              <w:jc w:val="both"/>
              <w:rPr>
                <w:rFonts w:ascii="Arial Narrow" w:hAnsi="Arial Narrow" w:cs="Arial"/>
                <w:sz w:val="20"/>
                <w:szCs w:val="20"/>
              </w:rPr>
            </w:pPr>
          </w:p>
        </w:tc>
      </w:tr>
    </w:tbl>
    <w:p w:rsidR="00F05C83" w:rsidRPr="00ED4C18" w:rsidRDefault="00F05C83" w:rsidP="00F05C83">
      <w:pPr>
        <w:jc w:val="both"/>
        <w:rPr>
          <w:szCs w:val="22"/>
        </w:rPr>
      </w:pPr>
    </w:p>
    <w:p w:rsidR="00BB7EC3" w:rsidRPr="00ED4C18" w:rsidRDefault="00BB7EC3" w:rsidP="00BB7EC3">
      <w:pPr>
        <w:pStyle w:val="ListParagraph"/>
        <w:ind w:left="709"/>
        <w:jc w:val="both"/>
        <w:rPr>
          <w:i/>
          <w:szCs w:val="22"/>
        </w:rPr>
      </w:pPr>
      <w:r w:rsidRPr="00ED4C18">
        <w:rPr>
          <w:i/>
          <w:szCs w:val="22"/>
        </w:rPr>
        <w:t>For more detail on PBAC’s view, see section 7 “PBAC outcome”</w:t>
      </w:r>
      <w:r w:rsidR="00542F7C" w:rsidRPr="00ED4C18">
        <w:rPr>
          <w:i/>
          <w:szCs w:val="22"/>
        </w:rPr>
        <w:t>.</w:t>
      </w:r>
    </w:p>
    <w:p w:rsidR="00882085" w:rsidRPr="00ED4C18" w:rsidRDefault="00882085" w:rsidP="00882085">
      <w:pPr>
        <w:jc w:val="both"/>
        <w:rPr>
          <w:b/>
          <w:szCs w:val="22"/>
        </w:rPr>
      </w:pPr>
    </w:p>
    <w:p w:rsidR="005A3173" w:rsidRPr="00A917D4" w:rsidRDefault="005A3173" w:rsidP="00A917D4">
      <w:pPr>
        <w:rPr>
          <w:b/>
        </w:rPr>
      </w:pPr>
      <w:r w:rsidRPr="00A917D4">
        <w:rPr>
          <w:b/>
        </w:rPr>
        <w:t>Clinical claim</w:t>
      </w:r>
    </w:p>
    <w:p w:rsidR="005A3173" w:rsidRPr="00ED4C18" w:rsidRDefault="005A3173" w:rsidP="00882085">
      <w:pPr>
        <w:ind w:left="720" w:hanging="720"/>
        <w:jc w:val="both"/>
        <w:rPr>
          <w:szCs w:val="22"/>
        </w:rPr>
      </w:pPr>
    </w:p>
    <w:p w:rsidR="000B558D" w:rsidRPr="00ED4C18" w:rsidRDefault="00424524" w:rsidP="00B85146">
      <w:pPr>
        <w:pStyle w:val="ListParagraph"/>
        <w:numPr>
          <w:ilvl w:val="1"/>
          <w:numId w:val="1"/>
        </w:numPr>
        <w:jc w:val="both"/>
        <w:rPr>
          <w:szCs w:val="22"/>
        </w:rPr>
      </w:pPr>
      <w:r w:rsidRPr="00ED4C18">
        <w:rPr>
          <w:szCs w:val="22"/>
        </w:rPr>
        <w:t xml:space="preserve">The submission claims that treatment with </w:t>
      </w:r>
      <w:proofErr w:type="spellStart"/>
      <w:r w:rsidRPr="00ED4C18">
        <w:rPr>
          <w:szCs w:val="22"/>
        </w:rPr>
        <w:t>sofosbuvir</w:t>
      </w:r>
      <w:proofErr w:type="spellEnd"/>
      <w:r w:rsidRPr="00ED4C18">
        <w:rPr>
          <w:szCs w:val="22"/>
        </w:rPr>
        <w:t xml:space="preserve"> is superior in efficacy and safety to current standard of care for treatment naïve patients of any genotype, and treatment experienced patients with genotype 2 or 3 hepatitis C.</w:t>
      </w:r>
    </w:p>
    <w:p w:rsidR="00BB7EC3" w:rsidRPr="00ED4C18" w:rsidRDefault="00BB7EC3" w:rsidP="00424524">
      <w:pPr>
        <w:pStyle w:val="ListParagraph"/>
        <w:ind w:left="709" w:hanging="709"/>
        <w:jc w:val="both"/>
        <w:rPr>
          <w:szCs w:val="22"/>
        </w:rPr>
      </w:pPr>
    </w:p>
    <w:p w:rsidR="00624473" w:rsidRPr="00ED4C18" w:rsidRDefault="00624473" w:rsidP="00B85146">
      <w:pPr>
        <w:pStyle w:val="ListParagraph"/>
        <w:numPr>
          <w:ilvl w:val="1"/>
          <w:numId w:val="1"/>
        </w:numPr>
        <w:jc w:val="both"/>
        <w:rPr>
          <w:szCs w:val="22"/>
        </w:rPr>
      </w:pPr>
      <w:r w:rsidRPr="00B85146">
        <w:rPr>
          <w:szCs w:val="22"/>
        </w:rPr>
        <w:t xml:space="preserve">The ESC considered that the claim of efficacy, with </w:t>
      </w:r>
      <w:proofErr w:type="spellStart"/>
      <w:r w:rsidRPr="00B85146">
        <w:rPr>
          <w:szCs w:val="22"/>
        </w:rPr>
        <w:t>sofosbuvir</w:t>
      </w:r>
      <w:proofErr w:type="spellEnd"/>
      <w:r w:rsidRPr="00B85146">
        <w:rPr>
          <w:szCs w:val="22"/>
        </w:rPr>
        <w:t xml:space="preserve"> prescribed according to the proposed listing, compared with current standard of care, is:</w:t>
      </w:r>
    </w:p>
    <w:p w:rsidR="00175F05" w:rsidRPr="00ED4C18" w:rsidRDefault="00624473" w:rsidP="00624473">
      <w:pPr>
        <w:pStyle w:val="ListParagraph"/>
        <w:widowControl w:val="0"/>
        <w:numPr>
          <w:ilvl w:val="0"/>
          <w:numId w:val="23"/>
        </w:numPr>
        <w:jc w:val="both"/>
      </w:pPr>
      <w:r w:rsidRPr="00ED4C18">
        <w:t>SOF12</w:t>
      </w:r>
      <w:r w:rsidR="00624A3F" w:rsidRPr="00ED4C18">
        <w:t xml:space="preserve"> </w:t>
      </w:r>
      <w:r w:rsidRPr="00ED4C18">
        <w:t>+</w:t>
      </w:r>
      <w:r w:rsidR="00624A3F" w:rsidRPr="00ED4C18">
        <w:t xml:space="preserve"> </w:t>
      </w:r>
      <w:r w:rsidRPr="00ED4C18">
        <w:t xml:space="preserve">R12 is superior to no treatment for Genotypes 2 and 3 </w:t>
      </w:r>
      <w:r w:rsidR="00175F05" w:rsidRPr="00ED4C18">
        <w:t xml:space="preserve">(treatment experienced or naïve) and </w:t>
      </w:r>
      <w:r w:rsidRPr="00ED4C18">
        <w:t xml:space="preserve">not eligible for IFN </w:t>
      </w:r>
    </w:p>
    <w:p w:rsidR="00624473" w:rsidRPr="00ED4C18" w:rsidRDefault="00624473" w:rsidP="00624473">
      <w:pPr>
        <w:pStyle w:val="ListParagraph"/>
        <w:widowControl w:val="0"/>
        <w:numPr>
          <w:ilvl w:val="0"/>
          <w:numId w:val="23"/>
        </w:numPr>
        <w:jc w:val="both"/>
      </w:pPr>
      <w:r w:rsidRPr="00ED4C18">
        <w:t>SOF12</w:t>
      </w:r>
      <w:r w:rsidR="00624A3F" w:rsidRPr="00ED4C18">
        <w:t xml:space="preserve"> </w:t>
      </w:r>
      <w:r w:rsidRPr="00ED4C18">
        <w:t>+</w:t>
      </w:r>
      <w:r w:rsidR="00624A3F" w:rsidRPr="00ED4C18">
        <w:t xml:space="preserve"> </w:t>
      </w:r>
      <w:r w:rsidRPr="00ED4C18">
        <w:t xml:space="preserve">R12 is superior to PR24 for Genotype 2, treatment naïve patients; and </w:t>
      </w:r>
    </w:p>
    <w:p w:rsidR="00624473" w:rsidRPr="00ED4C18" w:rsidRDefault="00624473" w:rsidP="00624473">
      <w:pPr>
        <w:pStyle w:val="ListParagraph"/>
        <w:widowControl w:val="0"/>
        <w:numPr>
          <w:ilvl w:val="0"/>
          <w:numId w:val="23"/>
        </w:numPr>
        <w:jc w:val="both"/>
      </w:pPr>
      <w:r w:rsidRPr="00ED4C18">
        <w:t>SOF12</w:t>
      </w:r>
      <w:r w:rsidR="00624A3F" w:rsidRPr="00ED4C18">
        <w:t xml:space="preserve"> </w:t>
      </w:r>
      <w:r w:rsidRPr="00ED4C18">
        <w:t>+</w:t>
      </w:r>
      <w:r w:rsidR="00624A3F" w:rsidRPr="00ED4C18">
        <w:t xml:space="preserve"> </w:t>
      </w:r>
      <w:r w:rsidRPr="00ED4C18">
        <w:t xml:space="preserve">PR12 </w:t>
      </w:r>
      <w:proofErr w:type="gramStart"/>
      <w:r w:rsidRPr="00ED4C18">
        <w:t>is</w:t>
      </w:r>
      <w:proofErr w:type="gramEnd"/>
      <w:r w:rsidRPr="00ED4C18">
        <w:t xml:space="preserve"> superior to TVR/BOC</w:t>
      </w:r>
      <w:r w:rsidR="00624A3F" w:rsidRPr="00ED4C18">
        <w:t xml:space="preserve"> </w:t>
      </w:r>
      <w:r w:rsidRPr="00ED4C18">
        <w:t>+</w:t>
      </w:r>
      <w:r w:rsidR="00624A3F" w:rsidRPr="00ED4C18">
        <w:t xml:space="preserve"> </w:t>
      </w:r>
      <w:r w:rsidRPr="00ED4C18">
        <w:t>PR24 for Genotype 1, treatment naïve patients suitable for IFN therapy.</w:t>
      </w:r>
    </w:p>
    <w:p w:rsidR="00624473" w:rsidRPr="00ED4C18" w:rsidRDefault="00624473" w:rsidP="00624473"/>
    <w:p w:rsidR="00624473" w:rsidRPr="00ED4C18" w:rsidRDefault="00624473" w:rsidP="00624473">
      <w:pPr>
        <w:ind w:left="851" w:hanging="142"/>
      </w:pPr>
      <w:r w:rsidRPr="00ED4C18">
        <w:t>Based on supplementary data provided in Section C, there is also some evidence to support:</w:t>
      </w:r>
    </w:p>
    <w:p w:rsidR="00624473" w:rsidRPr="00ED4C18" w:rsidRDefault="00624473" w:rsidP="00624473">
      <w:pPr>
        <w:pStyle w:val="ListParagraph"/>
        <w:widowControl w:val="0"/>
        <w:numPr>
          <w:ilvl w:val="0"/>
          <w:numId w:val="24"/>
        </w:numPr>
        <w:jc w:val="both"/>
      </w:pPr>
      <w:r w:rsidRPr="00ED4C18">
        <w:t>SOF24</w:t>
      </w:r>
      <w:r w:rsidR="00624A3F" w:rsidRPr="00ED4C18">
        <w:t xml:space="preserve"> </w:t>
      </w:r>
      <w:r w:rsidRPr="00ED4C18">
        <w:t>+</w:t>
      </w:r>
      <w:r w:rsidR="00624A3F" w:rsidRPr="00ED4C18">
        <w:t xml:space="preserve"> </w:t>
      </w:r>
      <w:r w:rsidRPr="00ED4C18">
        <w:t xml:space="preserve">R24 is superior to no treatment for Genotype 1, treatment naïve </w:t>
      </w:r>
      <w:r w:rsidR="00175F05" w:rsidRPr="00ED4C18">
        <w:t>and not eligible for IFN</w:t>
      </w:r>
    </w:p>
    <w:p w:rsidR="00624473" w:rsidRPr="00ED4C18" w:rsidRDefault="00624473" w:rsidP="00624473">
      <w:pPr>
        <w:pStyle w:val="ListParagraph"/>
        <w:widowControl w:val="0"/>
        <w:numPr>
          <w:ilvl w:val="0"/>
          <w:numId w:val="24"/>
        </w:numPr>
        <w:jc w:val="both"/>
      </w:pPr>
      <w:r w:rsidRPr="00ED4C18">
        <w:t>SOF12</w:t>
      </w:r>
      <w:r w:rsidR="00624A3F" w:rsidRPr="00ED4C18">
        <w:t xml:space="preserve"> </w:t>
      </w:r>
      <w:r w:rsidRPr="00ED4C18">
        <w:t>+</w:t>
      </w:r>
      <w:r w:rsidR="00624A3F" w:rsidRPr="00ED4C18">
        <w:t xml:space="preserve"> </w:t>
      </w:r>
      <w:r w:rsidRPr="00ED4C18">
        <w:t>PR12 is superior to PR24 for Genotype 3, treatment naïve</w:t>
      </w:r>
    </w:p>
    <w:p w:rsidR="00624473" w:rsidRPr="00ED4C18" w:rsidRDefault="00624473" w:rsidP="00624473">
      <w:pPr>
        <w:pStyle w:val="ListParagraph"/>
        <w:widowControl w:val="0"/>
        <w:numPr>
          <w:ilvl w:val="0"/>
          <w:numId w:val="24"/>
        </w:numPr>
        <w:jc w:val="both"/>
      </w:pPr>
      <w:r w:rsidRPr="00ED4C18">
        <w:t>SOF24</w:t>
      </w:r>
      <w:r w:rsidR="00624A3F" w:rsidRPr="00ED4C18">
        <w:t xml:space="preserve"> </w:t>
      </w:r>
      <w:r w:rsidRPr="00ED4C18">
        <w:t>+</w:t>
      </w:r>
      <w:r w:rsidR="00624A3F" w:rsidRPr="00ED4C18">
        <w:t xml:space="preserve"> </w:t>
      </w:r>
      <w:r w:rsidRPr="00ED4C18">
        <w:t xml:space="preserve">R24 is superior </w:t>
      </w:r>
      <w:r w:rsidR="00175F05" w:rsidRPr="00ED4C18">
        <w:t xml:space="preserve">to no treatment for Genotype 3 (treatment experienced or naïve) and not eligible for IFN </w:t>
      </w:r>
      <w:r w:rsidRPr="00ED4C18">
        <w:t>treatment.</w:t>
      </w:r>
    </w:p>
    <w:p w:rsidR="00624473" w:rsidRPr="00ED4C18" w:rsidRDefault="00624473" w:rsidP="00624473">
      <w:pPr>
        <w:pStyle w:val="ListParagraph"/>
        <w:rPr>
          <w:szCs w:val="22"/>
        </w:rPr>
      </w:pPr>
    </w:p>
    <w:p w:rsidR="00007CA6" w:rsidRPr="00ED4C18" w:rsidRDefault="00007CA6" w:rsidP="00B85146">
      <w:pPr>
        <w:pStyle w:val="ListParagraph"/>
        <w:numPr>
          <w:ilvl w:val="1"/>
          <w:numId w:val="1"/>
        </w:numPr>
        <w:jc w:val="both"/>
        <w:rPr>
          <w:szCs w:val="22"/>
        </w:rPr>
      </w:pPr>
      <w:r w:rsidRPr="00ED4C18">
        <w:rPr>
          <w:szCs w:val="22"/>
        </w:rPr>
        <w:t xml:space="preserve">If no treatment is </w:t>
      </w:r>
      <w:r w:rsidR="00175F05" w:rsidRPr="00ED4C18">
        <w:rPr>
          <w:szCs w:val="22"/>
        </w:rPr>
        <w:t>the accepted</w:t>
      </w:r>
      <w:r w:rsidRPr="00ED4C18">
        <w:rPr>
          <w:szCs w:val="22"/>
        </w:rPr>
        <w:t xml:space="preserve"> comparator for all genotypes, </w:t>
      </w:r>
      <w:proofErr w:type="spellStart"/>
      <w:r w:rsidR="00A37222" w:rsidRPr="00ED4C18">
        <w:rPr>
          <w:szCs w:val="22"/>
        </w:rPr>
        <w:t>sofosbuvir</w:t>
      </w:r>
      <w:proofErr w:type="spellEnd"/>
      <w:r w:rsidRPr="00ED4C18">
        <w:rPr>
          <w:szCs w:val="22"/>
        </w:rPr>
        <w:t xml:space="preserve"> is superior to no treatment. </w:t>
      </w:r>
    </w:p>
    <w:p w:rsidR="00BF4486" w:rsidRPr="00ED4C18" w:rsidRDefault="00BF4486" w:rsidP="00BF4486">
      <w:pPr>
        <w:jc w:val="both"/>
        <w:rPr>
          <w:szCs w:val="22"/>
        </w:rPr>
      </w:pPr>
    </w:p>
    <w:p w:rsidR="00007CA6" w:rsidRPr="00ED4C18" w:rsidRDefault="00007CA6" w:rsidP="00B85146">
      <w:pPr>
        <w:pStyle w:val="ListParagraph"/>
        <w:numPr>
          <w:ilvl w:val="1"/>
          <w:numId w:val="1"/>
        </w:numPr>
        <w:jc w:val="both"/>
        <w:rPr>
          <w:szCs w:val="22"/>
        </w:rPr>
      </w:pPr>
      <w:r w:rsidRPr="00ED4C18">
        <w:rPr>
          <w:szCs w:val="22"/>
        </w:rPr>
        <w:t xml:space="preserve">The claim of superior safety is not well supported by the evidence presented.  Overall, the safety profile of </w:t>
      </w:r>
      <w:proofErr w:type="spellStart"/>
      <w:r w:rsidRPr="00ED4C18">
        <w:rPr>
          <w:szCs w:val="22"/>
        </w:rPr>
        <w:t>sofosbuvir</w:t>
      </w:r>
      <w:proofErr w:type="spellEnd"/>
      <w:r w:rsidRPr="00ED4C18">
        <w:rPr>
          <w:szCs w:val="22"/>
        </w:rPr>
        <w:t xml:space="preserve">-containing regimens appears to be superior to active comparators.  However, the safety claims for </w:t>
      </w:r>
      <w:proofErr w:type="spellStart"/>
      <w:r w:rsidRPr="00ED4C18">
        <w:rPr>
          <w:szCs w:val="22"/>
        </w:rPr>
        <w:t>sofosbuvir</w:t>
      </w:r>
      <w:proofErr w:type="spellEnd"/>
      <w:r w:rsidRPr="00ED4C18">
        <w:rPr>
          <w:szCs w:val="22"/>
        </w:rPr>
        <w:t xml:space="preserve"> presented in Section </w:t>
      </w:r>
      <w:r w:rsidRPr="00ED4C18">
        <w:rPr>
          <w:szCs w:val="22"/>
        </w:rPr>
        <w:lastRenderedPageBreak/>
        <w:t>B</w:t>
      </w:r>
      <w:r w:rsidR="00175F05" w:rsidRPr="00ED4C18">
        <w:rPr>
          <w:szCs w:val="22"/>
        </w:rPr>
        <w:t xml:space="preserve"> </w:t>
      </w:r>
      <w:r w:rsidRPr="00ED4C18">
        <w:rPr>
          <w:szCs w:val="22"/>
        </w:rPr>
        <w:t xml:space="preserve">of the submission are often non-comparative, or require unadjusted indirect comparisons with appropriate comparators.  Currently, patients who are unsuitable for IFN therapy will receive no treatment and in this population, a conclusion of superior safety for </w:t>
      </w:r>
      <w:proofErr w:type="spellStart"/>
      <w:r w:rsidRPr="00ED4C18">
        <w:rPr>
          <w:szCs w:val="22"/>
        </w:rPr>
        <w:t>sofosbuvir</w:t>
      </w:r>
      <w:proofErr w:type="spellEnd"/>
      <w:r w:rsidRPr="00ED4C18">
        <w:rPr>
          <w:szCs w:val="22"/>
        </w:rPr>
        <w:t xml:space="preserve"> </w:t>
      </w:r>
      <w:r w:rsidR="00175F05" w:rsidRPr="00ED4C18">
        <w:rPr>
          <w:szCs w:val="22"/>
        </w:rPr>
        <w:t xml:space="preserve">may be </w:t>
      </w:r>
      <w:r w:rsidRPr="00ED4C18">
        <w:rPr>
          <w:szCs w:val="22"/>
        </w:rPr>
        <w:t>inappropriate.</w:t>
      </w:r>
    </w:p>
    <w:p w:rsidR="00BF4486" w:rsidRPr="00ED4C18" w:rsidRDefault="00BF4486" w:rsidP="00BF4486">
      <w:pPr>
        <w:jc w:val="both"/>
        <w:rPr>
          <w:szCs w:val="22"/>
        </w:rPr>
      </w:pPr>
    </w:p>
    <w:p w:rsidR="00624473" w:rsidRPr="00ED4C18" w:rsidRDefault="00007CA6" w:rsidP="00B85146">
      <w:pPr>
        <w:pStyle w:val="ListParagraph"/>
        <w:numPr>
          <w:ilvl w:val="1"/>
          <w:numId w:val="1"/>
        </w:numPr>
        <w:jc w:val="both"/>
        <w:rPr>
          <w:szCs w:val="22"/>
        </w:rPr>
      </w:pPr>
      <w:r w:rsidRPr="00ED4C18">
        <w:rPr>
          <w:szCs w:val="22"/>
        </w:rPr>
        <w:t xml:space="preserve">Overall, the ESC considered that </w:t>
      </w:r>
      <w:proofErr w:type="spellStart"/>
      <w:r w:rsidRPr="00ED4C18">
        <w:rPr>
          <w:szCs w:val="22"/>
        </w:rPr>
        <w:t>sofosbuvir</w:t>
      </w:r>
      <w:proofErr w:type="spellEnd"/>
      <w:r w:rsidRPr="00ED4C18">
        <w:rPr>
          <w:szCs w:val="22"/>
        </w:rPr>
        <w:t xml:space="preserve"> has superior safety compared to the active comparators and inferior safety compared to no treatment.</w:t>
      </w:r>
    </w:p>
    <w:p w:rsidR="00BB7EC3" w:rsidRPr="00ED4C18" w:rsidRDefault="00BB7EC3" w:rsidP="00424524">
      <w:pPr>
        <w:pStyle w:val="ListParagraph"/>
        <w:ind w:left="709"/>
        <w:jc w:val="both"/>
        <w:rPr>
          <w:szCs w:val="22"/>
        </w:rPr>
      </w:pPr>
    </w:p>
    <w:p w:rsidR="00BB7EC3" w:rsidRPr="00ED4C18" w:rsidRDefault="00BB7EC3" w:rsidP="00B85146">
      <w:pPr>
        <w:pStyle w:val="ListParagraph"/>
        <w:numPr>
          <w:ilvl w:val="1"/>
          <w:numId w:val="1"/>
        </w:numPr>
        <w:jc w:val="both"/>
        <w:rPr>
          <w:szCs w:val="22"/>
        </w:rPr>
      </w:pPr>
      <w:r w:rsidRPr="00ED4C18">
        <w:rPr>
          <w:szCs w:val="22"/>
        </w:rPr>
        <w:t xml:space="preserve">The PBAC considered that the claim of superior comparative effectiveness </w:t>
      </w:r>
      <w:r w:rsidR="00175F05" w:rsidRPr="00ED4C18">
        <w:rPr>
          <w:szCs w:val="22"/>
        </w:rPr>
        <w:t>was reasonably</w:t>
      </w:r>
      <w:r w:rsidRPr="00ED4C18">
        <w:rPr>
          <w:szCs w:val="22"/>
        </w:rPr>
        <w:t xml:space="preserve"> supported by the data</w:t>
      </w:r>
      <w:r w:rsidR="00175F05" w:rsidRPr="00ED4C18">
        <w:rPr>
          <w:szCs w:val="22"/>
        </w:rPr>
        <w:t xml:space="preserve"> in the submission</w:t>
      </w:r>
      <w:r w:rsidRPr="00ED4C18">
        <w:rPr>
          <w:szCs w:val="22"/>
        </w:rPr>
        <w:t>.</w:t>
      </w:r>
    </w:p>
    <w:p w:rsidR="00BB7EC3" w:rsidRPr="00ED4C18" w:rsidRDefault="00BB7EC3" w:rsidP="00BB7EC3">
      <w:pPr>
        <w:pStyle w:val="ListParagraph"/>
        <w:rPr>
          <w:szCs w:val="22"/>
        </w:rPr>
      </w:pPr>
    </w:p>
    <w:p w:rsidR="00BB7EC3" w:rsidRPr="00ED4C18" w:rsidRDefault="00BB7EC3" w:rsidP="00B85146">
      <w:pPr>
        <w:pStyle w:val="ListParagraph"/>
        <w:numPr>
          <w:ilvl w:val="1"/>
          <w:numId w:val="1"/>
        </w:numPr>
        <w:jc w:val="both"/>
        <w:rPr>
          <w:szCs w:val="22"/>
        </w:rPr>
      </w:pPr>
      <w:r w:rsidRPr="00ED4C18">
        <w:rPr>
          <w:szCs w:val="22"/>
        </w:rPr>
        <w:t xml:space="preserve">The PBAC considered that the claim of </w:t>
      </w:r>
      <w:r w:rsidR="00175F05" w:rsidRPr="00ED4C18">
        <w:rPr>
          <w:szCs w:val="22"/>
        </w:rPr>
        <w:t>inferior</w:t>
      </w:r>
      <w:r w:rsidRPr="00ED4C18">
        <w:rPr>
          <w:szCs w:val="22"/>
        </w:rPr>
        <w:t xml:space="preserve"> comparative safety </w:t>
      </w:r>
      <w:r w:rsidR="00175F05" w:rsidRPr="00ED4C18">
        <w:rPr>
          <w:szCs w:val="22"/>
        </w:rPr>
        <w:t xml:space="preserve">to no treatment and superior comparative safety to </w:t>
      </w:r>
      <w:proofErr w:type="spellStart"/>
      <w:r w:rsidR="00175F05" w:rsidRPr="00ED4C18">
        <w:rPr>
          <w:szCs w:val="22"/>
        </w:rPr>
        <w:t>peginterferon</w:t>
      </w:r>
      <w:proofErr w:type="spellEnd"/>
      <w:r w:rsidR="00175F05" w:rsidRPr="00ED4C18">
        <w:rPr>
          <w:szCs w:val="22"/>
        </w:rPr>
        <w:t xml:space="preserve">-containing active treatments </w:t>
      </w:r>
      <w:r w:rsidRPr="00ED4C18">
        <w:rPr>
          <w:szCs w:val="22"/>
        </w:rPr>
        <w:t xml:space="preserve">was </w:t>
      </w:r>
      <w:r w:rsidR="00175F05" w:rsidRPr="00ED4C18">
        <w:rPr>
          <w:szCs w:val="22"/>
        </w:rPr>
        <w:t>reasonably supported by the data in the submission</w:t>
      </w:r>
      <w:r w:rsidRPr="00ED4C18">
        <w:rPr>
          <w:szCs w:val="22"/>
        </w:rPr>
        <w:t>.</w:t>
      </w:r>
    </w:p>
    <w:p w:rsidR="00F57A6D" w:rsidRPr="00ED4C18" w:rsidRDefault="00F57A6D" w:rsidP="00882085">
      <w:pPr>
        <w:ind w:left="720" w:hanging="720"/>
        <w:jc w:val="both"/>
        <w:rPr>
          <w:szCs w:val="22"/>
        </w:rPr>
      </w:pPr>
    </w:p>
    <w:p w:rsidR="005A3173" w:rsidRPr="00A917D4" w:rsidRDefault="005A3173" w:rsidP="00A917D4">
      <w:pPr>
        <w:rPr>
          <w:b/>
          <w:iCs/>
        </w:rPr>
      </w:pPr>
      <w:r w:rsidRPr="00A917D4">
        <w:rPr>
          <w:b/>
          <w:iCs/>
        </w:rPr>
        <w:t>Economic analysis</w:t>
      </w:r>
    </w:p>
    <w:p w:rsidR="005A3173" w:rsidRPr="00ED4C18" w:rsidRDefault="005A3173" w:rsidP="00882085">
      <w:pPr>
        <w:ind w:left="720" w:hanging="720"/>
        <w:jc w:val="both"/>
        <w:rPr>
          <w:szCs w:val="22"/>
        </w:rPr>
      </w:pPr>
    </w:p>
    <w:p w:rsidR="008A683E" w:rsidRPr="00ED4C18" w:rsidRDefault="0097514E" w:rsidP="00B85146">
      <w:pPr>
        <w:pStyle w:val="ListParagraph"/>
        <w:numPr>
          <w:ilvl w:val="1"/>
          <w:numId w:val="1"/>
        </w:numPr>
        <w:jc w:val="both"/>
        <w:rPr>
          <w:szCs w:val="22"/>
        </w:rPr>
      </w:pPr>
      <w:r w:rsidRPr="00ED4C18">
        <w:rPr>
          <w:szCs w:val="22"/>
        </w:rPr>
        <w:t xml:space="preserve">The submission presents a modelled economic evaluation based on an unadjusted comparison of results from single arms of different studies. The evaluation is structured as a Markov state-transition model with nine health states, that describes the progression of disease over the lifetime. The model captures both on-treatment and off-treatment phases. </w:t>
      </w:r>
      <w:r w:rsidR="008A683E" w:rsidRPr="00ED4C18">
        <w:rPr>
          <w:szCs w:val="22"/>
        </w:rPr>
        <w:t>The ESC considered that the economic model appears appropriate for each single genotype, regimen</w:t>
      </w:r>
      <w:r w:rsidR="00C31157" w:rsidRPr="00ED4C18">
        <w:rPr>
          <w:szCs w:val="22"/>
        </w:rPr>
        <w:t>, comparator</w:t>
      </w:r>
      <w:r w:rsidR="008A683E" w:rsidRPr="00ED4C18">
        <w:rPr>
          <w:szCs w:val="22"/>
        </w:rPr>
        <w:t xml:space="preserve">, treatment experience, interferon suitability, </w:t>
      </w:r>
      <w:r w:rsidR="00C31157" w:rsidRPr="00ED4C18">
        <w:rPr>
          <w:szCs w:val="22"/>
        </w:rPr>
        <w:t>cirrhotic status</w:t>
      </w:r>
      <w:r w:rsidR="008A683E" w:rsidRPr="00ED4C18">
        <w:rPr>
          <w:szCs w:val="22"/>
        </w:rPr>
        <w:t>. The submission presents 28 separate estimates of the cost-effectiveness and a weighted ICER</w:t>
      </w:r>
      <w:r w:rsidR="000236A6" w:rsidRPr="00ED4C18">
        <w:rPr>
          <w:szCs w:val="22"/>
        </w:rPr>
        <w:t xml:space="preserve"> </w:t>
      </w:r>
      <w:r w:rsidR="00D63190" w:rsidRPr="00ED4C18">
        <w:rPr>
          <w:szCs w:val="22"/>
        </w:rPr>
        <w:t xml:space="preserve">calculated from the </w:t>
      </w:r>
      <w:r w:rsidR="00C31157" w:rsidRPr="00ED4C18">
        <w:rPr>
          <w:szCs w:val="22"/>
        </w:rPr>
        <w:t xml:space="preserve">assumed patient </w:t>
      </w:r>
      <w:r w:rsidR="00D63190" w:rsidRPr="00ED4C18">
        <w:rPr>
          <w:szCs w:val="22"/>
        </w:rPr>
        <w:t>distribution</w:t>
      </w:r>
      <w:r w:rsidR="00C31157" w:rsidRPr="00ED4C18">
        <w:rPr>
          <w:szCs w:val="22"/>
        </w:rPr>
        <w:t xml:space="preserve"> in the 28 separate </w:t>
      </w:r>
      <w:r w:rsidR="00D63190" w:rsidRPr="00ED4C18">
        <w:rPr>
          <w:szCs w:val="22"/>
        </w:rPr>
        <w:t xml:space="preserve">treatment comparisons. </w:t>
      </w:r>
    </w:p>
    <w:p w:rsidR="008253AA" w:rsidRPr="00ED4C18" w:rsidRDefault="008253AA" w:rsidP="008253AA">
      <w:pPr>
        <w:jc w:val="both"/>
        <w:rPr>
          <w:szCs w:val="22"/>
        </w:rPr>
      </w:pPr>
    </w:p>
    <w:p w:rsidR="008253AA" w:rsidRPr="00ED4C18" w:rsidRDefault="008253AA" w:rsidP="00B85146">
      <w:pPr>
        <w:ind w:firstLine="720"/>
        <w:jc w:val="both"/>
        <w:rPr>
          <w:b/>
          <w:sz w:val="20"/>
          <w:szCs w:val="22"/>
        </w:rPr>
      </w:pPr>
      <w:r w:rsidRPr="00ED4C18">
        <w:rPr>
          <w:b/>
          <w:sz w:val="20"/>
          <w:szCs w:val="22"/>
        </w:rPr>
        <w:t>Summary of model structure and rationale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412"/>
        <w:gridCol w:w="5933"/>
      </w:tblGrid>
      <w:tr w:rsidR="00ED4C18" w:rsidRPr="00ED4C18" w:rsidTr="00B85146">
        <w:trPr>
          <w:tblHeader/>
        </w:trPr>
        <w:tc>
          <w:tcPr>
            <w:tcW w:w="1445" w:type="pct"/>
            <w:tcBorders>
              <w:top w:val="single" w:sz="4" w:space="0" w:color="auto"/>
              <w:left w:val="single" w:sz="4" w:space="0" w:color="auto"/>
              <w:bottom w:val="single" w:sz="4" w:space="0" w:color="auto"/>
              <w:right w:val="single" w:sz="4" w:space="0" w:color="auto"/>
            </w:tcBorders>
            <w:shd w:val="clear" w:color="auto" w:fill="auto"/>
            <w:vAlign w:val="center"/>
          </w:tcPr>
          <w:p w:rsidR="008253AA" w:rsidRPr="00ED4C18" w:rsidRDefault="008253AA" w:rsidP="00586861">
            <w:pPr>
              <w:rPr>
                <w:rFonts w:ascii="Arial Narrow" w:hAnsi="Arial Narrow"/>
                <w:b/>
                <w:sz w:val="20"/>
              </w:rPr>
            </w:pPr>
            <w:r w:rsidRPr="00ED4C18">
              <w:rPr>
                <w:rFonts w:ascii="Arial Narrow" w:hAnsi="Arial Narrow"/>
                <w:b/>
                <w:sz w:val="20"/>
              </w:rPr>
              <w:t>Component</w:t>
            </w:r>
          </w:p>
        </w:tc>
        <w:tc>
          <w:tcPr>
            <w:tcW w:w="3555" w:type="pct"/>
            <w:tcBorders>
              <w:top w:val="single" w:sz="4" w:space="0" w:color="auto"/>
              <w:left w:val="single" w:sz="4" w:space="0" w:color="auto"/>
              <w:bottom w:val="single" w:sz="4" w:space="0" w:color="auto"/>
              <w:right w:val="single" w:sz="4" w:space="0" w:color="auto"/>
            </w:tcBorders>
            <w:shd w:val="clear" w:color="auto" w:fill="auto"/>
            <w:vAlign w:val="center"/>
          </w:tcPr>
          <w:p w:rsidR="008253AA" w:rsidRPr="00ED4C18" w:rsidRDefault="008253AA" w:rsidP="00586861">
            <w:pPr>
              <w:rPr>
                <w:rFonts w:ascii="Arial Narrow" w:hAnsi="Arial Narrow"/>
                <w:b/>
                <w:sz w:val="20"/>
              </w:rPr>
            </w:pPr>
            <w:r w:rsidRPr="00ED4C18">
              <w:rPr>
                <w:rFonts w:ascii="Arial Narrow" w:hAnsi="Arial Narrow"/>
                <w:b/>
                <w:sz w:val="20"/>
              </w:rPr>
              <w:t>Summary</w:t>
            </w:r>
          </w:p>
        </w:tc>
      </w:tr>
      <w:tr w:rsidR="00ED4C18" w:rsidRPr="00ED4C18" w:rsidTr="00B85146">
        <w:trPr>
          <w:tblHeader/>
        </w:trPr>
        <w:tc>
          <w:tcPr>
            <w:tcW w:w="1445" w:type="pct"/>
            <w:tcBorders>
              <w:top w:val="single" w:sz="4" w:space="0" w:color="auto"/>
              <w:left w:val="single" w:sz="4" w:space="0" w:color="auto"/>
              <w:bottom w:val="single" w:sz="4" w:space="0" w:color="auto"/>
              <w:right w:val="single" w:sz="4" w:space="0" w:color="auto"/>
            </w:tcBorders>
            <w:shd w:val="clear" w:color="auto" w:fill="auto"/>
            <w:vAlign w:val="center"/>
          </w:tcPr>
          <w:p w:rsidR="008253AA" w:rsidRPr="00ED4C18" w:rsidRDefault="008253AA" w:rsidP="00586861">
            <w:pPr>
              <w:rPr>
                <w:rFonts w:ascii="Arial Narrow" w:hAnsi="Arial Narrow"/>
                <w:b/>
                <w:sz w:val="20"/>
              </w:rPr>
            </w:pPr>
            <w:r w:rsidRPr="00ED4C18">
              <w:rPr>
                <w:rFonts w:ascii="Arial Narrow" w:hAnsi="Arial Narrow"/>
                <w:b/>
                <w:sz w:val="20"/>
              </w:rPr>
              <w:t>Cohort size</w:t>
            </w:r>
          </w:p>
        </w:tc>
        <w:tc>
          <w:tcPr>
            <w:tcW w:w="3555" w:type="pct"/>
            <w:tcBorders>
              <w:top w:val="single" w:sz="4" w:space="0" w:color="auto"/>
              <w:left w:val="single" w:sz="4" w:space="0" w:color="auto"/>
              <w:bottom w:val="single" w:sz="4" w:space="0" w:color="auto"/>
              <w:right w:val="single" w:sz="4" w:space="0" w:color="auto"/>
            </w:tcBorders>
            <w:shd w:val="clear" w:color="auto" w:fill="auto"/>
            <w:vAlign w:val="center"/>
          </w:tcPr>
          <w:p w:rsidR="008253AA" w:rsidRPr="00ED4C18" w:rsidRDefault="008253AA" w:rsidP="00586861">
            <w:pPr>
              <w:rPr>
                <w:rFonts w:ascii="Arial Narrow" w:hAnsi="Arial Narrow"/>
                <w:sz w:val="20"/>
              </w:rPr>
            </w:pPr>
            <w:r w:rsidRPr="00ED4C18">
              <w:rPr>
                <w:rFonts w:ascii="Arial Narrow" w:hAnsi="Arial Narrow"/>
                <w:sz w:val="20"/>
              </w:rPr>
              <w:t>10,000</w:t>
            </w:r>
          </w:p>
        </w:tc>
      </w:tr>
      <w:tr w:rsidR="00ED4C18" w:rsidRPr="00ED4C18" w:rsidTr="00B85146">
        <w:trPr>
          <w:tblHeader/>
        </w:trPr>
        <w:tc>
          <w:tcPr>
            <w:tcW w:w="1445" w:type="pct"/>
            <w:tcBorders>
              <w:top w:val="single" w:sz="4" w:space="0" w:color="auto"/>
              <w:left w:val="single" w:sz="4" w:space="0" w:color="auto"/>
              <w:bottom w:val="single" w:sz="4" w:space="0" w:color="auto"/>
              <w:right w:val="single" w:sz="4" w:space="0" w:color="auto"/>
            </w:tcBorders>
            <w:shd w:val="clear" w:color="auto" w:fill="auto"/>
            <w:vAlign w:val="center"/>
          </w:tcPr>
          <w:p w:rsidR="008253AA" w:rsidRPr="00ED4C18" w:rsidRDefault="008253AA" w:rsidP="00586861">
            <w:pPr>
              <w:rPr>
                <w:rFonts w:ascii="Arial Narrow" w:hAnsi="Arial Narrow"/>
                <w:b/>
                <w:sz w:val="20"/>
              </w:rPr>
            </w:pPr>
            <w:r w:rsidRPr="00ED4C18">
              <w:rPr>
                <w:rFonts w:ascii="Arial Narrow" w:hAnsi="Arial Narrow"/>
                <w:b/>
                <w:sz w:val="20"/>
              </w:rPr>
              <w:t>Time horizon</w:t>
            </w:r>
          </w:p>
        </w:tc>
        <w:tc>
          <w:tcPr>
            <w:tcW w:w="3555" w:type="pct"/>
            <w:tcBorders>
              <w:top w:val="single" w:sz="4" w:space="0" w:color="auto"/>
              <w:left w:val="single" w:sz="4" w:space="0" w:color="auto"/>
              <w:bottom w:val="single" w:sz="4" w:space="0" w:color="auto"/>
              <w:right w:val="single" w:sz="4" w:space="0" w:color="auto"/>
            </w:tcBorders>
            <w:shd w:val="clear" w:color="auto" w:fill="auto"/>
            <w:vAlign w:val="center"/>
          </w:tcPr>
          <w:p w:rsidR="008253AA" w:rsidRPr="00ED4C18" w:rsidRDefault="008253AA" w:rsidP="00586861">
            <w:pPr>
              <w:rPr>
                <w:rFonts w:ascii="Arial Narrow" w:hAnsi="Arial Narrow"/>
                <w:sz w:val="20"/>
                <w:szCs w:val="20"/>
              </w:rPr>
            </w:pPr>
            <w:r w:rsidRPr="00ED4C18">
              <w:rPr>
                <w:rFonts w:ascii="Arial Narrow" w:hAnsi="Arial Narrow"/>
                <w:sz w:val="20"/>
                <w:szCs w:val="20"/>
              </w:rPr>
              <w:t xml:space="preserve">Lifetime (cycles until cohort reaches 100 years of age – Patients enter the model at age </w:t>
            </w:r>
            <w:r w:rsidR="00231A7D" w:rsidRPr="00ED4C18">
              <w:rPr>
                <w:rFonts w:ascii="Arial Narrow" w:hAnsi="Arial Narrow"/>
                <w:sz w:val="20"/>
                <w:szCs w:val="20"/>
              </w:rPr>
              <w:t xml:space="preserve">47 and the model continues for </w:t>
            </w:r>
            <w:r w:rsidRPr="00ED4C18">
              <w:rPr>
                <w:rFonts w:ascii="Arial Narrow" w:hAnsi="Arial Narrow"/>
                <w:sz w:val="20"/>
                <w:szCs w:val="20"/>
              </w:rPr>
              <w:t xml:space="preserve">53 years in the base case). </w:t>
            </w:r>
          </w:p>
        </w:tc>
      </w:tr>
      <w:tr w:rsidR="00ED4C18" w:rsidRPr="00ED4C18" w:rsidTr="00B85146">
        <w:trPr>
          <w:tblHeader/>
        </w:trPr>
        <w:tc>
          <w:tcPr>
            <w:tcW w:w="1445" w:type="pct"/>
            <w:tcBorders>
              <w:top w:val="single" w:sz="4" w:space="0" w:color="auto"/>
              <w:left w:val="single" w:sz="4" w:space="0" w:color="auto"/>
              <w:bottom w:val="single" w:sz="4" w:space="0" w:color="auto"/>
              <w:right w:val="single" w:sz="4" w:space="0" w:color="auto"/>
            </w:tcBorders>
            <w:shd w:val="clear" w:color="auto" w:fill="auto"/>
            <w:vAlign w:val="center"/>
          </w:tcPr>
          <w:p w:rsidR="008253AA" w:rsidRPr="00ED4C18" w:rsidRDefault="008253AA" w:rsidP="00586861">
            <w:pPr>
              <w:rPr>
                <w:rFonts w:ascii="Arial Narrow" w:hAnsi="Arial Narrow"/>
                <w:b/>
                <w:sz w:val="20"/>
              </w:rPr>
            </w:pPr>
            <w:r w:rsidRPr="00ED4C18">
              <w:rPr>
                <w:rFonts w:ascii="Arial Narrow" w:hAnsi="Arial Narrow"/>
                <w:b/>
                <w:sz w:val="20"/>
              </w:rPr>
              <w:t>Outcomes</w:t>
            </w:r>
          </w:p>
        </w:tc>
        <w:tc>
          <w:tcPr>
            <w:tcW w:w="3555" w:type="pct"/>
            <w:tcBorders>
              <w:top w:val="single" w:sz="4" w:space="0" w:color="auto"/>
              <w:left w:val="single" w:sz="4" w:space="0" w:color="auto"/>
              <w:bottom w:val="single" w:sz="4" w:space="0" w:color="auto"/>
              <w:right w:val="single" w:sz="4" w:space="0" w:color="auto"/>
            </w:tcBorders>
            <w:shd w:val="clear" w:color="auto" w:fill="auto"/>
            <w:vAlign w:val="center"/>
          </w:tcPr>
          <w:p w:rsidR="008253AA" w:rsidRPr="00ED4C18" w:rsidRDefault="008253AA" w:rsidP="00586861">
            <w:pPr>
              <w:rPr>
                <w:rFonts w:ascii="Arial Narrow" w:hAnsi="Arial Narrow"/>
                <w:sz w:val="20"/>
              </w:rPr>
            </w:pPr>
            <w:r w:rsidRPr="00ED4C18">
              <w:rPr>
                <w:rFonts w:ascii="Arial Narrow" w:hAnsi="Arial Narrow"/>
                <w:sz w:val="20"/>
              </w:rPr>
              <w:t xml:space="preserve">QALY, LYG, cases of compensated cirrhosis avoided, cases of decompensated cirrhosis avoided, hepatocellular carcinoma cases avoided, liver transplants avoided, </w:t>
            </w:r>
            <w:proofErr w:type="gramStart"/>
            <w:r w:rsidRPr="00ED4C18">
              <w:rPr>
                <w:rFonts w:ascii="Arial Narrow" w:hAnsi="Arial Narrow"/>
                <w:sz w:val="20"/>
              </w:rPr>
              <w:t>deaths</w:t>
            </w:r>
            <w:proofErr w:type="gramEnd"/>
            <w:r w:rsidRPr="00ED4C18">
              <w:rPr>
                <w:rFonts w:ascii="Arial Narrow" w:hAnsi="Arial Narrow"/>
                <w:sz w:val="20"/>
              </w:rPr>
              <w:t xml:space="preserve"> avoided.</w:t>
            </w:r>
          </w:p>
        </w:tc>
      </w:tr>
      <w:tr w:rsidR="00ED4C18" w:rsidRPr="00ED4C18" w:rsidTr="00B85146">
        <w:trPr>
          <w:tblHeader/>
        </w:trPr>
        <w:tc>
          <w:tcPr>
            <w:tcW w:w="1445" w:type="pct"/>
            <w:tcBorders>
              <w:top w:val="single" w:sz="4" w:space="0" w:color="auto"/>
              <w:left w:val="single" w:sz="4" w:space="0" w:color="auto"/>
              <w:bottom w:val="single" w:sz="4" w:space="0" w:color="auto"/>
              <w:right w:val="single" w:sz="4" w:space="0" w:color="auto"/>
            </w:tcBorders>
            <w:shd w:val="clear" w:color="auto" w:fill="auto"/>
            <w:vAlign w:val="center"/>
          </w:tcPr>
          <w:p w:rsidR="008253AA" w:rsidRPr="00ED4C18" w:rsidRDefault="008253AA" w:rsidP="00586861">
            <w:pPr>
              <w:rPr>
                <w:rFonts w:ascii="Arial Narrow" w:hAnsi="Arial Narrow"/>
                <w:b/>
                <w:sz w:val="20"/>
              </w:rPr>
            </w:pPr>
            <w:r w:rsidRPr="00ED4C18">
              <w:rPr>
                <w:rFonts w:ascii="Arial Narrow" w:hAnsi="Arial Narrow"/>
                <w:b/>
                <w:sz w:val="20"/>
              </w:rPr>
              <w:t>Methods used to generate results</w:t>
            </w:r>
          </w:p>
        </w:tc>
        <w:tc>
          <w:tcPr>
            <w:tcW w:w="3555" w:type="pct"/>
            <w:tcBorders>
              <w:top w:val="single" w:sz="4" w:space="0" w:color="auto"/>
              <w:left w:val="single" w:sz="4" w:space="0" w:color="auto"/>
              <w:bottom w:val="single" w:sz="4" w:space="0" w:color="auto"/>
              <w:right w:val="single" w:sz="4" w:space="0" w:color="auto"/>
            </w:tcBorders>
            <w:shd w:val="clear" w:color="auto" w:fill="auto"/>
            <w:vAlign w:val="center"/>
          </w:tcPr>
          <w:p w:rsidR="008253AA" w:rsidRPr="00ED4C18" w:rsidRDefault="008253AA" w:rsidP="00586861">
            <w:pPr>
              <w:rPr>
                <w:rFonts w:ascii="Arial Narrow" w:hAnsi="Arial Narrow"/>
                <w:sz w:val="20"/>
              </w:rPr>
            </w:pPr>
            <w:r w:rsidRPr="00ED4C18">
              <w:rPr>
                <w:rFonts w:ascii="Arial Narrow" w:hAnsi="Arial Narrow"/>
                <w:sz w:val="20"/>
              </w:rPr>
              <w:t xml:space="preserve">State-transition Markov model with two distinct phases (on and off treatment) and nine mutually exclusive health states describing progression of the disease over a lifetime. </w:t>
            </w:r>
          </w:p>
        </w:tc>
      </w:tr>
      <w:tr w:rsidR="00ED4C18" w:rsidRPr="00ED4C18" w:rsidTr="00B85146">
        <w:trPr>
          <w:tblHeader/>
        </w:trPr>
        <w:tc>
          <w:tcPr>
            <w:tcW w:w="1445" w:type="pct"/>
            <w:tcBorders>
              <w:top w:val="single" w:sz="4" w:space="0" w:color="auto"/>
              <w:left w:val="single" w:sz="4" w:space="0" w:color="auto"/>
              <w:bottom w:val="single" w:sz="4" w:space="0" w:color="auto"/>
              <w:right w:val="single" w:sz="4" w:space="0" w:color="auto"/>
            </w:tcBorders>
            <w:shd w:val="clear" w:color="auto" w:fill="auto"/>
            <w:vAlign w:val="center"/>
          </w:tcPr>
          <w:p w:rsidR="008253AA" w:rsidRPr="00ED4C18" w:rsidRDefault="008253AA" w:rsidP="00586861">
            <w:pPr>
              <w:rPr>
                <w:rFonts w:ascii="Arial Narrow" w:hAnsi="Arial Narrow"/>
                <w:b/>
                <w:sz w:val="20"/>
              </w:rPr>
            </w:pPr>
            <w:r w:rsidRPr="00ED4C18">
              <w:rPr>
                <w:rFonts w:ascii="Arial Narrow" w:hAnsi="Arial Narrow"/>
                <w:b/>
                <w:sz w:val="20"/>
              </w:rPr>
              <w:t>Cycle length</w:t>
            </w:r>
          </w:p>
        </w:tc>
        <w:tc>
          <w:tcPr>
            <w:tcW w:w="3555" w:type="pct"/>
            <w:tcBorders>
              <w:top w:val="single" w:sz="4" w:space="0" w:color="auto"/>
              <w:left w:val="single" w:sz="4" w:space="0" w:color="auto"/>
              <w:bottom w:val="single" w:sz="4" w:space="0" w:color="auto"/>
              <w:right w:val="single" w:sz="4" w:space="0" w:color="auto"/>
            </w:tcBorders>
            <w:shd w:val="clear" w:color="auto" w:fill="auto"/>
            <w:vAlign w:val="center"/>
          </w:tcPr>
          <w:p w:rsidR="008253AA" w:rsidRPr="00ED4C18" w:rsidRDefault="008253AA" w:rsidP="00586861">
            <w:pPr>
              <w:rPr>
                <w:rFonts w:ascii="Arial Narrow" w:hAnsi="Arial Narrow"/>
                <w:sz w:val="20"/>
              </w:rPr>
            </w:pPr>
            <w:r w:rsidRPr="00ED4C18">
              <w:rPr>
                <w:rFonts w:ascii="Arial Narrow" w:hAnsi="Arial Narrow"/>
                <w:sz w:val="20"/>
              </w:rPr>
              <w:t>Three monthly cycles for the first two years, followed by yearly cycles.</w:t>
            </w:r>
          </w:p>
        </w:tc>
      </w:tr>
      <w:tr w:rsidR="00ED4C18" w:rsidRPr="00ED4C18" w:rsidTr="00B85146">
        <w:trPr>
          <w:tblHeader/>
        </w:trPr>
        <w:tc>
          <w:tcPr>
            <w:tcW w:w="1445" w:type="pct"/>
            <w:tcBorders>
              <w:top w:val="single" w:sz="4" w:space="0" w:color="auto"/>
              <w:left w:val="single" w:sz="4" w:space="0" w:color="auto"/>
              <w:bottom w:val="single" w:sz="4" w:space="0" w:color="auto"/>
              <w:right w:val="single" w:sz="4" w:space="0" w:color="auto"/>
            </w:tcBorders>
            <w:shd w:val="clear" w:color="auto" w:fill="auto"/>
            <w:vAlign w:val="center"/>
          </w:tcPr>
          <w:p w:rsidR="008253AA" w:rsidRPr="00ED4C18" w:rsidRDefault="008253AA" w:rsidP="00586861">
            <w:pPr>
              <w:rPr>
                <w:rFonts w:ascii="Arial Narrow" w:hAnsi="Arial Narrow"/>
                <w:b/>
                <w:sz w:val="20"/>
              </w:rPr>
            </w:pPr>
            <w:r w:rsidRPr="00ED4C18">
              <w:rPr>
                <w:rFonts w:ascii="Arial Narrow" w:hAnsi="Arial Narrow"/>
                <w:b/>
                <w:sz w:val="20"/>
              </w:rPr>
              <w:t>Transition probabilities</w:t>
            </w:r>
          </w:p>
        </w:tc>
        <w:tc>
          <w:tcPr>
            <w:tcW w:w="3555" w:type="pct"/>
            <w:tcBorders>
              <w:top w:val="single" w:sz="4" w:space="0" w:color="auto"/>
              <w:left w:val="single" w:sz="4" w:space="0" w:color="auto"/>
              <w:bottom w:val="single" w:sz="4" w:space="0" w:color="auto"/>
              <w:right w:val="single" w:sz="4" w:space="0" w:color="auto"/>
            </w:tcBorders>
            <w:shd w:val="clear" w:color="auto" w:fill="auto"/>
            <w:vAlign w:val="center"/>
          </w:tcPr>
          <w:p w:rsidR="008253AA" w:rsidRPr="00ED4C18" w:rsidRDefault="008253AA" w:rsidP="00586861">
            <w:pPr>
              <w:rPr>
                <w:rFonts w:ascii="Arial Narrow" w:hAnsi="Arial Narrow"/>
                <w:sz w:val="20"/>
              </w:rPr>
            </w:pPr>
            <w:r w:rsidRPr="00ED4C18">
              <w:rPr>
                <w:rFonts w:ascii="Arial Narrow" w:hAnsi="Arial Narrow"/>
                <w:sz w:val="20"/>
              </w:rPr>
              <w:t xml:space="preserve">Based on literature review. </w:t>
            </w:r>
          </w:p>
        </w:tc>
      </w:tr>
      <w:tr w:rsidR="00ED4C18" w:rsidRPr="00ED4C18" w:rsidTr="00B85146">
        <w:trPr>
          <w:tblHeader/>
        </w:trPr>
        <w:tc>
          <w:tcPr>
            <w:tcW w:w="1445" w:type="pct"/>
            <w:tcBorders>
              <w:top w:val="single" w:sz="4" w:space="0" w:color="auto"/>
              <w:left w:val="single" w:sz="4" w:space="0" w:color="auto"/>
              <w:bottom w:val="single" w:sz="4" w:space="0" w:color="auto"/>
              <w:right w:val="single" w:sz="4" w:space="0" w:color="auto"/>
            </w:tcBorders>
            <w:shd w:val="clear" w:color="auto" w:fill="auto"/>
            <w:vAlign w:val="center"/>
          </w:tcPr>
          <w:p w:rsidR="008253AA" w:rsidRPr="00ED4C18" w:rsidRDefault="008253AA" w:rsidP="00586861">
            <w:pPr>
              <w:rPr>
                <w:rFonts w:ascii="Arial Narrow" w:hAnsi="Arial Narrow"/>
                <w:b/>
                <w:sz w:val="20"/>
              </w:rPr>
            </w:pPr>
            <w:r w:rsidRPr="00ED4C18">
              <w:rPr>
                <w:rFonts w:ascii="Arial Narrow" w:hAnsi="Arial Narrow"/>
                <w:b/>
                <w:sz w:val="20"/>
              </w:rPr>
              <w:t>Discount rate</w:t>
            </w:r>
          </w:p>
        </w:tc>
        <w:tc>
          <w:tcPr>
            <w:tcW w:w="3555" w:type="pct"/>
            <w:tcBorders>
              <w:top w:val="single" w:sz="4" w:space="0" w:color="auto"/>
              <w:left w:val="single" w:sz="4" w:space="0" w:color="auto"/>
              <w:bottom w:val="single" w:sz="4" w:space="0" w:color="auto"/>
              <w:right w:val="single" w:sz="4" w:space="0" w:color="auto"/>
            </w:tcBorders>
            <w:shd w:val="clear" w:color="auto" w:fill="auto"/>
            <w:vAlign w:val="center"/>
          </w:tcPr>
          <w:p w:rsidR="008253AA" w:rsidRPr="00ED4C18" w:rsidRDefault="008253AA" w:rsidP="00586861">
            <w:pPr>
              <w:rPr>
                <w:rFonts w:ascii="Arial Narrow" w:hAnsi="Arial Narrow"/>
                <w:sz w:val="20"/>
              </w:rPr>
            </w:pPr>
            <w:r w:rsidRPr="00ED4C18">
              <w:rPr>
                <w:rFonts w:ascii="Arial Narrow" w:hAnsi="Arial Narrow"/>
                <w:sz w:val="20"/>
              </w:rPr>
              <w:t>5% for costs and outcomes</w:t>
            </w:r>
          </w:p>
        </w:tc>
      </w:tr>
      <w:tr w:rsidR="008253AA" w:rsidRPr="00ED4C18" w:rsidTr="00B85146">
        <w:trPr>
          <w:tblHeader/>
        </w:trPr>
        <w:tc>
          <w:tcPr>
            <w:tcW w:w="1445" w:type="pct"/>
            <w:tcBorders>
              <w:top w:val="single" w:sz="4" w:space="0" w:color="auto"/>
              <w:left w:val="single" w:sz="4" w:space="0" w:color="auto"/>
              <w:bottom w:val="single" w:sz="4" w:space="0" w:color="auto"/>
              <w:right w:val="single" w:sz="4" w:space="0" w:color="auto"/>
            </w:tcBorders>
            <w:shd w:val="clear" w:color="auto" w:fill="auto"/>
            <w:vAlign w:val="center"/>
          </w:tcPr>
          <w:p w:rsidR="008253AA" w:rsidRPr="00ED4C18" w:rsidRDefault="008253AA" w:rsidP="00586861">
            <w:pPr>
              <w:rPr>
                <w:rFonts w:ascii="Arial Narrow" w:hAnsi="Arial Narrow"/>
                <w:b/>
                <w:sz w:val="20"/>
              </w:rPr>
            </w:pPr>
            <w:r w:rsidRPr="00ED4C18">
              <w:rPr>
                <w:rFonts w:ascii="Arial Narrow" w:hAnsi="Arial Narrow"/>
                <w:b/>
                <w:sz w:val="20"/>
              </w:rPr>
              <w:t>Software package</w:t>
            </w:r>
          </w:p>
        </w:tc>
        <w:tc>
          <w:tcPr>
            <w:tcW w:w="3555" w:type="pct"/>
            <w:tcBorders>
              <w:top w:val="single" w:sz="4" w:space="0" w:color="auto"/>
              <w:left w:val="single" w:sz="4" w:space="0" w:color="auto"/>
              <w:bottom w:val="single" w:sz="4" w:space="0" w:color="auto"/>
              <w:right w:val="single" w:sz="4" w:space="0" w:color="auto"/>
            </w:tcBorders>
            <w:shd w:val="clear" w:color="auto" w:fill="auto"/>
            <w:vAlign w:val="center"/>
          </w:tcPr>
          <w:p w:rsidR="008253AA" w:rsidRPr="00ED4C18" w:rsidRDefault="008253AA" w:rsidP="00586861">
            <w:pPr>
              <w:rPr>
                <w:rFonts w:ascii="Arial Narrow" w:hAnsi="Arial Narrow"/>
                <w:sz w:val="20"/>
              </w:rPr>
            </w:pPr>
            <w:r w:rsidRPr="00ED4C18">
              <w:rPr>
                <w:rFonts w:ascii="Arial Narrow" w:hAnsi="Arial Narrow"/>
                <w:sz w:val="20"/>
              </w:rPr>
              <w:t>Excel 2007</w:t>
            </w:r>
          </w:p>
        </w:tc>
      </w:tr>
    </w:tbl>
    <w:p w:rsidR="008253AA" w:rsidRPr="00ED4C18" w:rsidRDefault="008253AA" w:rsidP="008253AA">
      <w:pPr>
        <w:jc w:val="both"/>
        <w:rPr>
          <w:szCs w:val="22"/>
        </w:rPr>
      </w:pPr>
    </w:p>
    <w:p w:rsidR="008253AA" w:rsidRPr="00ED4C18" w:rsidRDefault="008253AA" w:rsidP="00B85146">
      <w:pPr>
        <w:ind w:firstLine="720"/>
        <w:jc w:val="both"/>
        <w:rPr>
          <w:b/>
          <w:sz w:val="20"/>
          <w:szCs w:val="22"/>
        </w:rPr>
      </w:pPr>
      <w:r w:rsidRPr="00ED4C18">
        <w:rPr>
          <w:b/>
          <w:sz w:val="20"/>
          <w:szCs w:val="22"/>
        </w:rPr>
        <w:t>Key drivers of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10"/>
        <w:gridCol w:w="4111"/>
        <w:gridCol w:w="1824"/>
      </w:tblGrid>
      <w:tr w:rsidR="00ED4C18" w:rsidRPr="00ED4C18" w:rsidTr="00B85146">
        <w:trPr>
          <w:tblHeader/>
        </w:trPr>
        <w:tc>
          <w:tcPr>
            <w:tcW w:w="1444" w:type="pct"/>
            <w:shd w:val="clear" w:color="auto" w:fill="auto"/>
            <w:vAlign w:val="center"/>
          </w:tcPr>
          <w:p w:rsidR="008253AA" w:rsidRPr="00ED4C18" w:rsidRDefault="008253AA" w:rsidP="00586861">
            <w:pPr>
              <w:rPr>
                <w:rFonts w:ascii="Arial Narrow" w:hAnsi="Arial Narrow"/>
                <w:b/>
                <w:sz w:val="20"/>
              </w:rPr>
            </w:pPr>
            <w:r w:rsidRPr="00ED4C18">
              <w:rPr>
                <w:rFonts w:ascii="Arial Narrow" w:hAnsi="Arial Narrow"/>
                <w:b/>
                <w:sz w:val="20"/>
              </w:rPr>
              <w:t>Description</w:t>
            </w:r>
          </w:p>
        </w:tc>
        <w:tc>
          <w:tcPr>
            <w:tcW w:w="2463" w:type="pct"/>
            <w:shd w:val="clear" w:color="auto" w:fill="auto"/>
            <w:vAlign w:val="center"/>
          </w:tcPr>
          <w:p w:rsidR="008253AA" w:rsidRPr="00ED4C18" w:rsidRDefault="008253AA" w:rsidP="00586861">
            <w:pPr>
              <w:rPr>
                <w:rFonts w:ascii="Arial Narrow" w:hAnsi="Arial Narrow"/>
                <w:b/>
                <w:sz w:val="20"/>
              </w:rPr>
            </w:pPr>
            <w:r w:rsidRPr="00ED4C18">
              <w:rPr>
                <w:rFonts w:ascii="Arial Narrow" w:hAnsi="Arial Narrow"/>
                <w:b/>
                <w:sz w:val="20"/>
              </w:rPr>
              <w:t>Method/Value</w:t>
            </w:r>
          </w:p>
        </w:tc>
        <w:tc>
          <w:tcPr>
            <w:tcW w:w="1093" w:type="pct"/>
            <w:shd w:val="clear" w:color="auto" w:fill="auto"/>
            <w:vAlign w:val="center"/>
          </w:tcPr>
          <w:p w:rsidR="008253AA" w:rsidRPr="00ED4C18" w:rsidRDefault="008253AA" w:rsidP="00586861">
            <w:pPr>
              <w:rPr>
                <w:rFonts w:ascii="Arial Narrow" w:hAnsi="Arial Narrow"/>
                <w:b/>
                <w:sz w:val="20"/>
              </w:rPr>
            </w:pPr>
            <w:r w:rsidRPr="00ED4C18">
              <w:rPr>
                <w:rFonts w:ascii="Arial Narrow" w:hAnsi="Arial Narrow"/>
                <w:b/>
                <w:sz w:val="20"/>
              </w:rPr>
              <w:t>Impact, direction</w:t>
            </w:r>
          </w:p>
        </w:tc>
      </w:tr>
      <w:tr w:rsidR="00ED4C18" w:rsidRPr="00ED4C18" w:rsidTr="00B85146">
        <w:tc>
          <w:tcPr>
            <w:tcW w:w="1444" w:type="pct"/>
            <w:shd w:val="clear" w:color="auto" w:fill="auto"/>
            <w:vAlign w:val="center"/>
          </w:tcPr>
          <w:p w:rsidR="008253AA" w:rsidRPr="00ED4C18" w:rsidRDefault="008253AA" w:rsidP="00586861">
            <w:pPr>
              <w:rPr>
                <w:rFonts w:ascii="Arial Narrow" w:hAnsi="Arial Narrow"/>
                <w:sz w:val="20"/>
              </w:rPr>
            </w:pPr>
            <w:r w:rsidRPr="00ED4C18">
              <w:rPr>
                <w:rFonts w:ascii="Arial Narrow" w:hAnsi="Arial Narrow"/>
                <w:sz w:val="20"/>
              </w:rPr>
              <w:t>Morbidity and mortality of patients who achieve SVR</w:t>
            </w:r>
          </w:p>
        </w:tc>
        <w:tc>
          <w:tcPr>
            <w:tcW w:w="2463" w:type="pct"/>
            <w:shd w:val="clear" w:color="auto" w:fill="auto"/>
            <w:vAlign w:val="center"/>
          </w:tcPr>
          <w:p w:rsidR="008253AA" w:rsidRPr="00ED4C18" w:rsidRDefault="008253AA" w:rsidP="00586861">
            <w:pPr>
              <w:rPr>
                <w:rFonts w:ascii="Arial Narrow" w:hAnsi="Arial Narrow"/>
                <w:sz w:val="20"/>
              </w:rPr>
            </w:pPr>
            <w:r w:rsidRPr="00ED4C18">
              <w:rPr>
                <w:rFonts w:ascii="Arial Narrow" w:hAnsi="Arial Narrow"/>
                <w:sz w:val="20"/>
              </w:rPr>
              <w:t>Model assumes no increased morbidity and mortality for cirrhotic and non-cirrhotic patients who achieve SVR</w:t>
            </w:r>
          </w:p>
        </w:tc>
        <w:tc>
          <w:tcPr>
            <w:tcW w:w="1093" w:type="pct"/>
            <w:shd w:val="clear" w:color="auto" w:fill="auto"/>
            <w:vAlign w:val="center"/>
          </w:tcPr>
          <w:p w:rsidR="008253AA" w:rsidRPr="00ED4C18" w:rsidRDefault="008253AA" w:rsidP="00586861">
            <w:pPr>
              <w:rPr>
                <w:rFonts w:ascii="Arial Narrow" w:hAnsi="Arial Narrow"/>
                <w:sz w:val="20"/>
              </w:rPr>
            </w:pPr>
            <w:r w:rsidRPr="00ED4C18">
              <w:rPr>
                <w:rFonts w:ascii="Arial Narrow" w:hAnsi="Arial Narrow"/>
                <w:sz w:val="20"/>
              </w:rPr>
              <w:t xml:space="preserve">Moderate, favours </w:t>
            </w:r>
            <w:proofErr w:type="spellStart"/>
            <w:r w:rsidRPr="00ED4C18">
              <w:rPr>
                <w:rFonts w:ascii="Arial Narrow" w:hAnsi="Arial Narrow"/>
                <w:sz w:val="20"/>
              </w:rPr>
              <w:t>sofosbuvir</w:t>
            </w:r>
            <w:proofErr w:type="spellEnd"/>
          </w:p>
        </w:tc>
      </w:tr>
      <w:tr w:rsidR="00ED4C18" w:rsidRPr="00ED4C18" w:rsidTr="00B85146">
        <w:tc>
          <w:tcPr>
            <w:tcW w:w="1444" w:type="pct"/>
            <w:shd w:val="clear" w:color="auto" w:fill="auto"/>
            <w:vAlign w:val="center"/>
          </w:tcPr>
          <w:p w:rsidR="008253AA" w:rsidRPr="00ED4C18" w:rsidRDefault="008253AA" w:rsidP="00586861">
            <w:pPr>
              <w:rPr>
                <w:rFonts w:ascii="Arial Narrow" w:hAnsi="Arial Narrow"/>
                <w:sz w:val="20"/>
              </w:rPr>
            </w:pPr>
            <w:r w:rsidRPr="00ED4C18">
              <w:rPr>
                <w:rFonts w:ascii="Arial Narrow" w:hAnsi="Arial Narrow"/>
                <w:sz w:val="20"/>
              </w:rPr>
              <w:t>Incorrect treatment regimen</w:t>
            </w:r>
          </w:p>
        </w:tc>
        <w:tc>
          <w:tcPr>
            <w:tcW w:w="2463" w:type="pct"/>
            <w:shd w:val="clear" w:color="auto" w:fill="auto"/>
            <w:vAlign w:val="center"/>
          </w:tcPr>
          <w:p w:rsidR="008253AA" w:rsidRPr="00ED4C18" w:rsidRDefault="008253AA" w:rsidP="00586861">
            <w:pPr>
              <w:rPr>
                <w:rFonts w:ascii="Arial Narrow" w:hAnsi="Arial Narrow"/>
                <w:sz w:val="20"/>
              </w:rPr>
            </w:pPr>
            <w:r w:rsidRPr="00ED4C18">
              <w:rPr>
                <w:rFonts w:ascii="Arial Narrow" w:hAnsi="Arial Narrow"/>
                <w:sz w:val="20"/>
              </w:rPr>
              <w:t xml:space="preserve">Comparator used in the model, or treatment regimen in the comparator arm differed from the recommendations in the PI documents. </w:t>
            </w:r>
          </w:p>
        </w:tc>
        <w:tc>
          <w:tcPr>
            <w:tcW w:w="1093" w:type="pct"/>
            <w:shd w:val="clear" w:color="auto" w:fill="auto"/>
            <w:vAlign w:val="center"/>
          </w:tcPr>
          <w:p w:rsidR="008253AA" w:rsidRPr="00ED4C18" w:rsidRDefault="008253AA" w:rsidP="00586861">
            <w:pPr>
              <w:rPr>
                <w:rFonts w:ascii="Arial Narrow" w:hAnsi="Arial Narrow"/>
                <w:sz w:val="20"/>
              </w:rPr>
            </w:pPr>
            <w:r w:rsidRPr="00ED4C18">
              <w:rPr>
                <w:rFonts w:ascii="Arial Narrow" w:hAnsi="Arial Narrow"/>
                <w:sz w:val="20"/>
              </w:rPr>
              <w:t xml:space="preserve">Moderate, favours </w:t>
            </w:r>
            <w:proofErr w:type="spellStart"/>
            <w:r w:rsidRPr="00ED4C18">
              <w:rPr>
                <w:rFonts w:ascii="Arial Narrow" w:hAnsi="Arial Narrow"/>
                <w:sz w:val="20"/>
              </w:rPr>
              <w:t>sofosbuvir</w:t>
            </w:r>
            <w:proofErr w:type="spellEnd"/>
          </w:p>
        </w:tc>
      </w:tr>
      <w:tr w:rsidR="00ED4C18" w:rsidRPr="00ED4C18" w:rsidTr="00B85146">
        <w:tc>
          <w:tcPr>
            <w:tcW w:w="1444" w:type="pct"/>
            <w:shd w:val="clear" w:color="auto" w:fill="auto"/>
            <w:vAlign w:val="center"/>
          </w:tcPr>
          <w:p w:rsidR="008253AA" w:rsidRPr="00ED4C18" w:rsidRDefault="008253AA" w:rsidP="00586861">
            <w:pPr>
              <w:rPr>
                <w:rFonts w:ascii="Arial Narrow" w:hAnsi="Arial Narrow"/>
                <w:sz w:val="20"/>
              </w:rPr>
            </w:pPr>
            <w:r w:rsidRPr="00ED4C18">
              <w:rPr>
                <w:rFonts w:ascii="Arial Narrow" w:hAnsi="Arial Narrow"/>
                <w:sz w:val="20"/>
              </w:rPr>
              <w:t>Comparative SVR Rates</w:t>
            </w:r>
          </w:p>
        </w:tc>
        <w:tc>
          <w:tcPr>
            <w:tcW w:w="2463" w:type="pct"/>
            <w:shd w:val="clear" w:color="auto" w:fill="auto"/>
            <w:vAlign w:val="center"/>
          </w:tcPr>
          <w:p w:rsidR="008253AA" w:rsidRPr="00ED4C18" w:rsidRDefault="008253AA" w:rsidP="00586861">
            <w:pPr>
              <w:rPr>
                <w:rFonts w:ascii="Arial Narrow" w:hAnsi="Arial Narrow"/>
                <w:sz w:val="20"/>
              </w:rPr>
            </w:pPr>
            <w:r w:rsidRPr="00ED4C18">
              <w:rPr>
                <w:rFonts w:ascii="Arial Narrow" w:hAnsi="Arial Narrow"/>
                <w:sz w:val="20"/>
              </w:rPr>
              <w:t xml:space="preserve">Based on an unadjusted single arm comparison. </w:t>
            </w:r>
          </w:p>
        </w:tc>
        <w:tc>
          <w:tcPr>
            <w:tcW w:w="1093" w:type="pct"/>
            <w:shd w:val="clear" w:color="auto" w:fill="auto"/>
            <w:vAlign w:val="center"/>
          </w:tcPr>
          <w:p w:rsidR="008253AA" w:rsidRPr="00ED4C18" w:rsidRDefault="008253AA" w:rsidP="00586861">
            <w:pPr>
              <w:rPr>
                <w:rFonts w:ascii="Arial Narrow" w:hAnsi="Arial Narrow"/>
                <w:sz w:val="20"/>
              </w:rPr>
            </w:pPr>
            <w:r w:rsidRPr="00ED4C18">
              <w:rPr>
                <w:rFonts w:ascii="Arial Narrow" w:hAnsi="Arial Narrow"/>
                <w:sz w:val="20"/>
              </w:rPr>
              <w:t>High, unclear</w:t>
            </w:r>
          </w:p>
        </w:tc>
      </w:tr>
      <w:tr w:rsidR="008253AA" w:rsidRPr="00ED4C18" w:rsidTr="00B85146">
        <w:tc>
          <w:tcPr>
            <w:tcW w:w="1444" w:type="pct"/>
            <w:shd w:val="clear" w:color="auto" w:fill="auto"/>
            <w:vAlign w:val="center"/>
          </w:tcPr>
          <w:p w:rsidR="008253AA" w:rsidRPr="00ED4C18" w:rsidRDefault="008253AA" w:rsidP="00586861">
            <w:pPr>
              <w:rPr>
                <w:rFonts w:ascii="Arial Narrow" w:hAnsi="Arial Narrow"/>
                <w:sz w:val="20"/>
              </w:rPr>
            </w:pPr>
            <w:r w:rsidRPr="00ED4C18">
              <w:rPr>
                <w:rFonts w:ascii="Arial Narrow" w:hAnsi="Arial Narrow"/>
                <w:sz w:val="20"/>
              </w:rPr>
              <w:t>Proportion of patients entering the model with cirrhotic disease</w:t>
            </w:r>
          </w:p>
        </w:tc>
        <w:tc>
          <w:tcPr>
            <w:tcW w:w="2463" w:type="pct"/>
            <w:shd w:val="clear" w:color="auto" w:fill="auto"/>
            <w:vAlign w:val="center"/>
          </w:tcPr>
          <w:p w:rsidR="008253AA" w:rsidRPr="00ED4C18" w:rsidRDefault="008253AA" w:rsidP="00586861">
            <w:pPr>
              <w:rPr>
                <w:rFonts w:ascii="Arial Narrow" w:hAnsi="Arial Narrow"/>
                <w:sz w:val="20"/>
              </w:rPr>
            </w:pPr>
            <w:r w:rsidRPr="00ED4C18">
              <w:rPr>
                <w:rFonts w:ascii="Arial Narrow" w:hAnsi="Arial Narrow"/>
                <w:sz w:val="20"/>
              </w:rPr>
              <w:t xml:space="preserve">Economic model has assumed that </w:t>
            </w:r>
            <w:r w:rsidR="00C26896">
              <w:rPr>
                <w:rFonts w:ascii="Arial Narrow" w:hAnsi="Arial Narrow"/>
                <w:noProof/>
                <w:color w:val="000000"/>
                <w:sz w:val="20"/>
                <w:highlight w:val="black"/>
              </w:rPr>
              <w:t>''''''</w:t>
            </w:r>
            <w:r w:rsidRPr="0056382A">
              <w:rPr>
                <w:rFonts w:ascii="Arial Narrow" w:hAnsi="Arial Narrow"/>
                <w:sz w:val="20"/>
              </w:rPr>
              <w:t>%</w:t>
            </w:r>
            <w:r w:rsidRPr="00ED4C18">
              <w:rPr>
                <w:rFonts w:ascii="Arial Narrow" w:hAnsi="Arial Narrow"/>
                <w:sz w:val="20"/>
              </w:rPr>
              <w:t xml:space="preserve"> of patients, across all genotypes and treatment experience will enter the model with compensated cirrhosis. </w:t>
            </w:r>
          </w:p>
        </w:tc>
        <w:tc>
          <w:tcPr>
            <w:tcW w:w="1093" w:type="pct"/>
            <w:shd w:val="clear" w:color="auto" w:fill="auto"/>
            <w:vAlign w:val="center"/>
          </w:tcPr>
          <w:p w:rsidR="008253AA" w:rsidRPr="00ED4C18" w:rsidRDefault="008253AA" w:rsidP="00586861">
            <w:pPr>
              <w:rPr>
                <w:rFonts w:ascii="Arial Narrow" w:hAnsi="Arial Narrow"/>
                <w:sz w:val="20"/>
              </w:rPr>
            </w:pPr>
            <w:r w:rsidRPr="00ED4C18">
              <w:rPr>
                <w:rFonts w:ascii="Arial Narrow" w:hAnsi="Arial Narrow"/>
                <w:sz w:val="20"/>
              </w:rPr>
              <w:t>High, unclear.</w:t>
            </w:r>
          </w:p>
        </w:tc>
      </w:tr>
    </w:tbl>
    <w:p w:rsidR="008253AA" w:rsidRPr="00ED4C18" w:rsidRDefault="008253AA" w:rsidP="008A683E">
      <w:pPr>
        <w:jc w:val="both"/>
        <w:rPr>
          <w:szCs w:val="22"/>
        </w:rPr>
      </w:pPr>
    </w:p>
    <w:p w:rsidR="008253AA" w:rsidRPr="00ED4C18" w:rsidRDefault="008253AA" w:rsidP="008A683E">
      <w:pPr>
        <w:jc w:val="both"/>
        <w:rPr>
          <w:szCs w:val="22"/>
        </w:rPr>
      </w:pPr>
    </w:p>
    <w:p w:rsidR="00371564" w:rsidRPr="00ED4C18" w:rsidRDefault="0097514E" w:rsidP="00B85146">
      <w:pPr>
        <w:pStyle w:val="ListParagraph"/>
        <w:numPr>
          <w:ilvl w:val="1"/>
          <w:numId w:val="1"/>
        </w:numPr>
        <w:jc w:val="both"/>
        <w:rPr>
          <w:szCs w:val="22"/>
        </w:rPr>
      </w:pPr>
      <w:r w:rsidRPr="00ED4C18">
        <w:rPr>
          <w:szCs w:val="22"/>
        </w:rPr>
        <w:lastRenderedPageBreak/>
        <w:t>While the health states in the model ap</w:t>
      </w:r>
      <w:r w:rsidR="00437C0D" w:rsidRPr="00ED4C18">
        <w:rPr>
          <w:szCs w:val="22"/>
        </w:rPr>
        <w:t>pear reasonable</w:t>
      </w:r>
      <w:r w:rsidRPr="00ED4C18">
        <w:rPr>
          <w:szCs w:val="22"/>
        </w:rPr>
        <w:t xml:space="preserve">, some concerns remain </w:t>
      </w:r>
      <w:r w:rsidR="000236A6" w:rsidRPr="00ED4C18">
        <w:rPr>
          <w:szCs w:val="22"/>
        </w:rPr>
        <w:t xml:space="preserve">about </w:t>
      </w:r>
      <w:r w:rsidRPr="00ED4C18">
        <w:rPr>
          <w:szCs w:val="22"/>
        </w:rPr>
        <w:t xml:space="preserve">the assumptions made about the morbidity and mortality of patients who achieve SVR. Once participants achieve SVR, irrespective of the presence of cirrhosis, they are assumed to face no greater risk of mortality than the general population and have no risk of developing further liver disease.  </w:t>
      </w:r>
      <w:r w:rsidR="008253AA" w:rsidRPr="00ED4C18">
        <w:rPr>
          <w:szCs w:val="22"/>
        </w:rPr>
        <w:t>The ESC considered</w:t>
      </w:r>
      <w:r w:rsidR="000236A6" w:rsidRPr="00ED4C18">
        <w:rPr>
          <w:szCs w:val="22"/>
        </w:rPr>
        <w:t xml:space="preserve"> that t</w:t>
      </w:r>
      <w:r w:rsidRPr="00ED4C18">
        <w:rPr>
          <w:szCs w:val="22"/>
        </w:rPr>
        <w:t xml:space="preserve">his is inappropriate and biases the results of the economic evaluation in favour of </w:t>
      </w:r>
      <w:proofErr w:type="spellStart"/>
      <w:r w:rsidRPr="00ED4C18">
        <w:rPr>
          <w:szCs w:val="22"/>
        </w:rPr>
        <w:t>sofosbuvir</w:t>
      </w:r>
      <w:proofErr w:type="spellEnd"/>
      <w:r w:rsidRPr="00ED4C18">
        <w:rPr>
          <w:szCs w:val="22"/>
        </w:rPr>
        <w:t>.</w:t>
      </w:r>
      <w:r w:rsidR="008A683E" w:rsidRPr="00B85146">
        <w:rPr>
          <w:szCs w:val="22"/>
        </w:rPr>
        <w:t xml:space="preserve"> </w:t>
      </w:r>
      <w:r w:rsidR="008A683E" w:rsidRPr="00ED4C18">
        <w:rPr>
          <w:szCs w:val="22"/>
        </w:rPr>
        <w:t xml:space="preserve">The ESC noted that the extent of bias could not be estimated as a sensitivity analysis could not be performed without modification of the model structure, which would also require appropriate transition probabilities to be sourced. This issue was not addressed by the sponsor in the pre-PBAC response. </w:t>
      </w:r>
    </w:p>
    <w:p w:rsidR="008A683E" w:rsidRPr="00ED4C18" w:rsidRDefault="008A683E" w:rsidP="00ED4C18">
      <w:pPr>
        <w:rPr>
          <w:szCs w:val="22"/>
        </w:rPr>
      </w:pPr>
    </w:p>
    <w:p w:rsidR="00137CBC" w:rsidRPr="00ED4C18" w:rsidRDefault="0097514E" w:rsidP="00B85146">
      <w:pPr>
        <w:pStyle w:val="ListParagraph"/>
        <w:numPr>
          <w:ilvl w:val="1"/>
          <w:numId w:val="1"/>
        </w:numPr>
        <w:jc w:val="both"/>
        <w:rPr>
          <w:szCs w:val="22"/>
        </w:rPr>
      </w:pPr>
      <w:r w:rsidRPr="00ED4C18">
        <w:rPr>
          <w:szCs w:val="22"/>
        </w:rPr>
        <w:t xml:space="preserve">The model assumes that </w:t>
      </w:r>
      <w:r w:rsidR="00C26896">
        <w:rPr>
          <w:noProof/>
          <w:color w:val="000000"/>
          <w:szCs w:val="22"/>
          <w:highlight w:val="black"/>
        </w:rPr>
        <w:t>''''''</w:t>
      </w:r>
      <w:r w:rsidRPr="0056382A">
        <w:rPr>
          <w:szCs w:val="22"/>
        </w:rPr>
        <w:t>%</w:t>
      </w:r>
      <w:r w:rsidRPr="00ED4C18">
        <w:rPr>
          <w:szCs w:val="22"/>
        </w:rPr>
        <w:t xml:space="preserve"> of patients </w:t>
      </w:r>
      <w:proofErr w:type="gramStart"/>
      <w:r w:rsidRPr="00ED4C18">
        <w:rPr>
          <w:szCs w:val="22"/>
        </w:rPr>
        <w:t>enter</w:t>
      </w:r>
      <w:proofErr w:type="gramEnd"/>
      <w:r w:rsidRPr="00ED4C18">
        <w:rPr>
          <w:szCs w:val="22"/>
        </w:rPr>
        <w:t xml:space="preserve"> the model with cirrhotic disease. </w:t>
      </w:r>
      <w:r w:rsidR="00E2441E" w:rsidRPr="00ED4C18">
        <w:rPr>
          <w:szCs w:val="22"/>
        </w:rPr>
        <w:t xml:space="preserve">The ESC noted this assumption was not justified in the submission and considered that this assumption </w:t>
      </w:r>
      <w:r w:rsidR="000236A6" w:rsidRPr="00ED4C18">
        <w:rPr>
          <w:szCs w:val="22"/>
        </w:rPr>
        <w:t>would be</w:t>
      </w:r>
      <w:r w:rsidR="00E2441E" w:rsidRPr="00ED4C18">
        <w:rPr>
          <w:szCs w:val="22"/>
        </w:rPr>
        <w:t xml:space="preserve"> highly likely </w:t>
      </w:r>
      <w:r w:rsidR="000236A6" w:rsidRPr="00ED4C18">
        <w:rPr>
          <w:szCs w:val="22"/>
        </w:rPr>
        <w:t xml:space="preserve">to </w:t>
      </w:r>
      <w:r w:rsidR="00E2441E" w:rsidRPr="00ED4C18">
        <w:rPr>
          <w:szCs w:val="22"/>
        </w:rPr>
        <w:t xml:space="preserve">underestimate the ICER of the sub-populations. The ESC noted </w:t>
      </w:r>
      <w:r w:rsidR="000236A6" w:rsidRPr="00ED4C18">
        <w:rPr>
          <w:szCs w:val="22"/>
        </w:rPr>
        <w:t xml:space="preserve">that in the study by </w:t>
      </w:r>
      <w:proofErr w:type="spellStart"/>
      <w:r w:rsidR="000236A6" w:rsidRPr="00ED4C18">
        <w:rPr>
          <w:szCs w:val="22"/>
        </w:rPr>
        <w:t>Gidding</w:t>
      </w:r>
      <w:proofErr w:type="spellEnd"/>
      <w:r w:rsidR="000236A6" w:rsidRPr="00ED4C18">
        <w:rPr>
          <w:szCs w:val="22"/>
        </w:rPr>
        <w:t xml:space="preserve"> et al (2012) which was the basis of the distribution of genotypes in the submission, </w:t>
      </w:r>
      <w:r w:rsidR="00E2441E" w:rsidRPr="00ED4C18">
        <w:rPr>
          <w:szCs w:val="22"/>
        </w:rPr>
        <w:t>6.4% of treatment naïve patients had cirrhosis</w:t>
      </w:r>
      <w:r w:rsidR="000236A6" w:rsidRPr="00ED4C18">
        <w:rPr>
          <w:szCs w:val="22"/>
        </w:rPr>
        <w:t xml:space="preserve">. </w:t>
      </w:r>
      <w:r w:rsidR="00E2441E" w:rsidRPr="00ED4C18">
        <w:rPr>
          <w:szCs w:val="22"/>
        </w:rPr>
        <w:t>The ESC noted in the clinical trials presented in Section B that the baseline range of participants with cirrhosis was 4.3%-35.3%. For the subset of trials with treatment naïve patients only (FISSION, NEUTRINO, SPRINT-2, ADVANCE), the range was 4.3%-19.6%. The sponsor argue</w:t>
      </w:r>
      <w:r w:rsidR="007E7548" w:rsidRPr="00ED4C18">
        <w:rPr>
          <w:szCs w:val="22"/>
        </w:rPr>
        <w:t>d</w:t>
      </w:r>
      <w:r w:rsidR="00E2441E" w:rsidRPr="00ED4C18">
        <w:rPr>
          <w:szCs w:val="22"/>
        </w:rPr>
        <w:t xml:space="preserve"> in the pre-PBAC response that </w:t>
      </w:r>
      <w:r w:rsidR="00555611" w:rsidRPr="00ED4C18">
        <w:rPr>
          <w:szCs w:val="22"/>
        </w:rPr>
        <w:t xml:space="preserve">applying a </w:t>
      </w:r>
      <w:r w:rsidR="00E2441E" w:rsidRPr="00ED4C18">
        <w:rPr>
          <w:szCs w:val="22"/>
        </w:rPr>
        <w:t>range</w:t>
      </w:r>
      <w:r w:rsidR="0007039A" w:rsidRPr="00ED4C18">
        <w:rPr>
          <w:szCs w:val="22"/>
        </w:rPr>
        <w:t xml:space="preserve"> of </w:t>
      </w:r>
      <w:r w:rsidR="00555611" w:rsidRPr="00ED4C18">
        <w:rPr>
          <w:szCs w:val="22"/>
        </w:rPr>
        <w:t>4.3%-19.6%</w:t>
      </w:r>
      <w:r w:rsidR="0007039A" w:rsidRPr="00ED4C18">
        <w:rPr>
          <w:szCs w:val="22"/>
        </w:rPr>
        <w:t xml:space="preserve"> </w:t>
      </w:r>
      <w:r w:rsidR="008C2552" w:rsidRPr="00ED4C18">
        <w:rPr>
          <w:szCs w:val="22"/>
        </w:rPr>
        <w:t xml:space="preserve">of </w:t>
      </w:r>
      <w:r w:rsidR="00E2441E" w:rsidRPr="00ED4C18">
        <w:rPr>
          <w:szCs w:val="22"/>
        </w:rPr>
        <w:t>cirrhotic patients</w:t>
      </w:r>
      <w:r w:rsidR="00555611" w:rsidRPr="00ED4C18">
        <w:rPr>
          <w:szCs w:val="22"/>
        </w:rPr>
        <w:t xml:space="preserve"> in the model</w:t>
      </w:r>
      <w:r w:rsidR="00E2441E" w:rsidRPr="00ED4C18">
        <w:rPr>
          <w:szCs w:val="22"/>
        </w:rPr>
        <w:t xml:space="preserve"> </w:t>
      </w:r>
      <w:r w:rsidR="00555611" w:rsidRPr="00ED4C18">
        <w:rPr>
          <w:szCs w:val="22"/>
        </w:rPr>
        <w:t xml:space="preserve">would be </w:t>
      </w:r>
      <w:r w:rsidR="00E2441E" w:rsidRPr="00ED4C18">
        <w:rPr>
          <w:szCs w:val="22"/>
        </w:rPr>
        <w:t>inappropriate</w:t>
      </w:r>
      <w:r w:rsidR="009D7E62" w:rsidRPr="00ED4C18">
        <w:rPr>
          <w:szCs w:val="22"/>
        </w:rPr>
        <w:t xml:space="preserve">. The sponsor proposed that </w:t>
      </w:r>
      <w:r w:rsidR="00E2441E" w:rsidRPr="00B85146">
        <w:rPr>
          <w:szCs w:val="22"/>
        </w:rPr>
        <w:t xml:space="preserve">the most appropriate and informative source of data is </w:t>
      </w:r>
      <w:r w:rsidR="009D7E62" w:rsidRPr="00B85146">
        <w:rPr>
          <w:szCs w:val="22"/>
        </w:rPr>
        <w:t xml:space="preserve">from </w:t>
      </w:r>
      <w:r w:rsidR="00E2441E" w:rsidRPr="00B85146">
        <w:rPr>
          <w:szCs w:val="22"/>
        </w:rPr>
        <w:t xml:space="preserve">the </w:t>
      </w:r>
      <w:r w:rsidR="006D0A94" w:rsidRPr="00B85146">
        <w:rPr>
          <w:szCs w:val="22"/>
        </w:rPr>
        <w:t xml:space="preserve">ACHOS study (1240 Australian CHC patients) and </w:t>
      </w:r>
      <w:r w:rsidR="008253AA" w:rsidRPr="00B85146">
        <w:rPr>
          <w:szCs w:val="22"/>
        </w:rPr>
        <w:t>that</w:t>
      </w:r>
      <w:r w:rsidR="00110EA9" w:rsidRPr="00B85146">
        <w:rPr>
          <w:szCs w:val="22"/>
        </w:rPr>
        <w:t>,</w:t>
      </w:r>
      <w:r w:rsidR="008253AA" w:rsidRPr="00B85146">
        <w:rPr>
          <w:szCs w:val="22"/>
        </w:rPr>
        <w:t xml:space="preserve"> </w:t>
      </w:r>
      <w:r w:rsidR="006D0A94" w:rsidRPr="00B85146">
        <w:rPr>
          <w:szCs w:val="22"/>
        </w:rPr>
        <w:t xml:space="preserve">amongst this cohort, </w:t>
      </w:r>
      <w:r w:rsidR="00C26896">
        <w:rPr>
          <w:noProof/>
          <w:color w:val="000000"/>
          <w:szCs w:val="22"/>
          <w:highlight w:val="black"/>
        </w:rPr>
        <w:t>'''''''''''</w:t>
      </w:r>
      <w:r w:rsidR="006D0A94" w:rsidRPr="0056382A">
        <w:rPr>
          <w:szCs w:val="22"/>
        </w:rPr>
        <w:t>%</w:t>
      </w:r>
      <w:r w:rsidR="006D0A94" w:rsidRPr="00B85146">
        <w:rPr>
          <w:szCs w:val="22"/>
        </w:rPr>
        <w:t xml:space="preserve"> of the population were cirrhotic. </w:t>
      </w:r>
    </w:p>
    <w:p w:rsidR="008253AA" w:rsidRPr="00ED4C18" w:rsidRDefault="008253AA" w:rsidP="00B85146">
      <w:pPr>
        <w:pStyle w:val="ListParagraph"/>
        <w:jc w:val="both"/>
        <w:rPr>
          <w:szCs w:val="22"/>
        </w:rPr>
      </w:pPr>
    </w:p>
    <w:p w:rsidR="008A683E" w:rsidRPr="00ED4C18" w:rsidRDefault="00137CBC" w:rsidP="00B85146">
      <w:pPr>
        <w:pStyle w:val="ListParagraph"/>
        <w:numPr>
          <w:ilvl w:val="1"/>
          <w:numId w:val="1"/>
        </w:numPr>
        <w:jc w:val="both"/>
        <w:rPr>
          <w:szCs w:val="22"/>
        </w:rPr>
      </w:pPr>
      <w:r w:rsidRPr="00ED4C18">
        <w:rPr>
          <w:szCs w:val="22"/>
        </w:rPr>
        <w:t xml:space="preserve">The estimates of comparative effectiveness used in the economic model have been based on single-arm comparisons of SVR rates from separate trials and small sample sizes and as such the results of the model remain highly uncertain. </w:t>
      </w:r>
    </w:p>
    <w:p w:rsidR="00137CBC" w:rsidRPr="00ED4C18" w:rsidRDefault="00137CBC" w:rsidP="00137CBC">
      <w:pPr>
        <w:jc w:val="both"/>
        <w:rPr>
          <w:szCs w:val="22"/>
        </w:rPr>
      </w:pPr>
    </w:p>
    <w:p w:rsidR="00EB4337" w:rsidRPr="00ED4C18" w:rsidRDefault="00EB4337" w:rsidP="00B85146">
      <w:pPr>
        <w:pStyle w:val="ListParagraph"/>
        <w:numPr>
          <w:ilvl w:val="1"/>
          <w:numId w:val="1"/>
        </w:numPr>
        <w:jc w:val="both"/>
        <w:rPr>
          <w:szCs w:val="22"/>
        </w:rPr>
      </w:pPr>
      <w:r w:rsidRPr="00ED4C18">
        <w:rPr>
          <w:szCs w:val="22"/>
        </w:rPr>
        <w:t xml:space="preserve">The submission has presented separate results of the model for each of the </w:t>
      </w:r>
      <w:r w:rsidR="001A2FCC" w:rsidRPr="00ED4C18">
        <w:rPr>
          <w:szCs w:val="22"/>
        </w:rPr>
        <w:t xml:space="preserve">eleven </w:t>
      </w:r>
      <w:r w:rsidRPr="00ED4C18">
        <w:rPr>
          <w:szCs w:val="22"/>
        </w:rPr>
        <w:t xml:space="preserve">population subgroups </w:t>
      </w:r>
      <w:r w:rsidR="001A2FCC" w:rsidRPr="00ED4C18">
        <w:rPr>
          <w:szCs w:val="22"/>
        </w:rPr>
        <w:t xml:space="preserve">presented </w:t>
      </w:r>
      <w:r w:rsidR="00231A7D" w:rsidRPr="00ED4C18">
        <w:rPr>
          <w:szCs w:val="22"/>
        </w:rPr>
        <w:t xml:space="preserve">in the table </w:t>
      </w:r>
      <w:r w:rsidR="001A2FCC" w:rsidRPr="00ED4C18">
        <w:rPr>
          <w:szCs w:val="22"/>
        </w:rPr>
        <w:t>below</w:t>
      </w:r>
      <w:r w:rsidRPr="00ED4C18">
        <w:rPr>
          <w:szCs w:val="22"/>
        </w:rPr>
        <w:t xml:space="preserve">. The ICERs presented in the submission vary substantially, from </w:t>
      </w:r>
      <w:r w:rsidR="00FA2C18">
        <w:rPr>
          <w:szCs w:val="22"/>
        </w:rPr>
        <w:t>15,000/QALY-$45,000/QALY</w:t>
      </w:r>
      <w:r w:rsidRPr="00ED4C18">
        <w:rPr>
          <w:szCs w:val="22"/>
        </w:rPr>
        <w:t xml:space="preserve"> for genotype 2, treatment naïve and interferon unsuitable patients to </w:t>
      </w:r>
      <w:r w:rsidR="00FA2C18">
        <w:rPr>
          <w:szCs w:val="22"/>
        </w:rPr>
        <w:t xml:space="preserve">$105,000-200,000/QALY </w:t>
      </w:r>
      <w:r w:rsidRPr="00ED4C18">
        <w:rPr>
          <w:szCs w:val="22"/>
        </w:rPr>
        <w:t>in genotype 1, treatment naïve, and interferon unsuitable patients. The ICERS presented in the submission remain largely uncertain due to concerns about the applicability and appropriateness of the treatment effect applied in the model as well as the structural uncertainties outlined above.</w:t>
      </w:r>
    </w:p>
    <w:p w:rsidR="001A2FCC" w:rsidRPr="00ED4C18" w:rsidRDefault="001A2FCC" w:rsidP="001A2FCC">
      <w:pPr>
        <w:pStyle w:val="ListParagraph"/>
        <w:rPr>
          <w:szCs w:val="22"/>
        </w:rPr>
      </w:pPr>
    </w:p>
    <w:p w:rsidR="001A2FCC" w:rsidRPr="00ED4C18" w:rsidRDefault="001A2FCC" w:rsidP="00B85146">
      <w:pPr>
        <w:pStyle w:val="ListParagraph"/>
        <w:numPr>
          <w:ilvl w:val="1"/>
          <w:numId w:val="1"/>
        </w:numPr>
        <w:jc w:val="both"/>
        <w:rPr>
          <w:szCs w:val="22"/>
        </w:rPr>
      </w:pPr>
      <w:r w:rsidRPr="00ED4C18">
        <w:rPr>
          <w:szCs w:val="22"/>
        </w:rPr>
        <w:t xml:space="preserve">The ESC noted that the PBAC considered that 30 years was a reasonable extrapolation for models of HCV infection in the assessment of the submissions for </w:t>
      </w:r>
      <w:proofErr w:type="spellStart"/>
      <w:r w:rsidRPr="00ED4C18">
        <w:rPr>
          <w:szCs w:val="22"/>
        </w:rPr>
        <w:t>boceprevir</w:t>
      </w:r>
      <w:proofErr w:type="spellEnd"/>
      <w:r w:rsidRPr="00ED4C18">
        <w:rPr>
          <w:szCs w:val="22"/>
        </w:rPr>
        <w:t xml:space="preserve"> and </w:t>
      </w:r>
      <w:proofErr w:type="spellStart"/>
      <w:r w:rsidRPr="00ED4C18">
        <w:rPr>
          <w:szCs w:val="22"/>
        </w:rPr>
        <w:t>telaprevir</w:t>
      </w:r>
      <w:proofErr w:type="spellEnd"/>
      <w:r w:rsidRPr="00ED4C18">
        <w:rPr>
          <w:szCs w:val="22"/>
        </w:rPr>
        <w:t xml:space="preserve">. The ESC noted that, if a 30 year time horizon is applied to the model provided with the submission, the range of ICER is </w:t>
      </w:r>
      <w:r w:rsidR="001E5804">
        <w:rPr>
          <w:szCs w:val="22"/>
        </w:rPr>
        <w:t>$15,000/QALY</w:t>
      </w:r>
      <w:r w:rsidR="0056382A">
        <w:rPr>
          <w:szCs w:val="22"/>
        </w:rPr>
        <w:t xml:space="preserve"> </w:t>
      </w:r>
      <w:r w:rsidR="001E5804">
        <w:rPr>
          <w:szCs w:val="22"/>
        </w:rPr>
        <w:t>-$45,000/QALY</w:t>
      </w:r>
      <w:r w:rsidR="001E5804" w:rsidRPr="00ED4C18">
        <w:rPr>
          <w:szCs w:val="22"/>
        </w:rPr>
        <w:t xml:space="preserve"> </w:t>
      </w:r>
      <w:r w:rsidRPr="00ED4C18">
        <w:rPr>
          <w:szCs w:val="22"/>
        </w:rPr>
        <w:t xml:space="preserve">for genotype 2, treatment naïve interferon unsuitable to </w:t>
      </w:r>
      <w:r w:rsidR="001E5804">
        <w:rPr>
          <w:szCs w:val="22"/>
        </w:rPr>
        <w:t>$105,000</w:t>
      </w:r>
      <w:r w:rsidR="0056382A">
        <w:rPr>
          <w:szCs w:val="22"/>
        </w:rPr>
        <w:t xml:space="preserve"> </w:t>
      </w:r>
      <w:r w:rsidR="001E5804">
        <w:rPr>
          <w:szCs w:val="22"/>
        </w:rPr>
        <w:t xml:space="preserve">-200,000/QALY </w:t>
      </w:r>
      <w:r w:rsidRPr="00ED4C18">
        <w:rPr>
          <w:szCs w:val="22"/>
        </w:rPr>
        <w:t xml:space="preserve">for genotype 1, treatment naïve interferon unsuitable. </w:t>
      </w:r>
    </w:p>
    <w:p w:rsidR="00EB4337" w:rsidRPr="00ED4C18" w:rsidRDefault="00EB4337" w:rsidP="00EB4337">
      <w:pPr>
        <w:pStyle w:val="ListParagraph"/>
        <w:ind w:left="567"/>
        <w:jc w:val="both"/>
        <w:rPr>
          <w:szCs w:val="22"/>
        </w:rPr>
      </w:pPr>
    </w:p>
    <w:p w:rsidR="001A2FCC" w:rsidRPr="00ED4C18" w:rsidRDefault="00EB4337" w:rsidP="00B85146">
      <w:pPr>
        <w:pStyle w:val="ListParagraph"/>
        <w:numPr>
          <w:ilvl w:val="1"/>
          <w:numId w:val="1"/>
        </w:numPr>
        <w:jc w:val="both"/>
        <w:rPr>
          <w:szCs w:val="22"/>
        </w:rPr>
      </w:pPr>
      <w:r w:rsidRPr="00ED4C18">
        <w:rPr>
          <w:szCs w:val="22"/>
        </w:rPr>
        <w:t xml:space="preserve">The weighted ICER presented in the submission is </w:t>
      </w:r>
      <w:r w:rsidR="001E5804">
        <w:rPr>
          <w:szCs w:val="22"/>
        </w:rPr>
        <w:t>$45,000-75,000</w:t>
      </w:r>
      <w:r w:rsidRPr="00ED4C18">
        <w:rPr>
          <w:szCs w:val="22"/>
        </w:rPr>
        <w:t>/QALY and is based on weighting the individual cost-effectiveness ratios for each</w:t>
      </w:r>
      <w:r w:rsidR="001A2FCC" w:rsidRPr="00ED4C18">
        <w:rPr>
          <w:szCs w:val="22"/>
        </w:rPr>
        <w:t xml:space="preserve"> of the eleven proposed population sub</w:t>
      </w:r>
      <w:r w:rsidRPr="00ED4C18">
        <w:rPr>
          <w:szCs w:val="22"/>
        </w:rPr>
        <w:t xml:space="preserve">groups </w:t>
      </w:r>
      <w:r w:rsidR="001A2FCC" w:rsidRPr="00ED4C18">
        <w:rPr>
          <w:szCs w:val="22"/>
        </w:rPr>
        <w:t>according</w:t>
      </w:r>
      <w:r w:rsidRPr="00ED4C18">
        <w:rPr>
          <w:szCs w:val="22"/>
        </w:rPr>
        <w:t xml:space="preserve"> </w:t>
      </w:r>
      <w:r w:rsidR="00575DAD" w:rsidRPr="00ED4C18">
        <w:rPr>
          <w:szCs w:val="22"/>
        </w:rPr>
        <w:t>to</w:t>
      </w:r>
      <w:r w:rsidR="009A51F0" w:rsidRPr="00ED4C18">
        <w:rPr>
          <w:szCs w:val="22"/>
        </w:rPr>
        <w:t>:</w:t>
      </w:r>
    </w:p>
    <w:p w:rsidR="001A2FCC" w:rsidRPr="00ED4C18" w:rsidRDefault="00EB4337" w:rsidP="00575DAD">
      <w:pPr>
        <w:pStyle w:val="ListParagraph"/>
        <w:numPr>
          <w:ilvl w:val="1"/>
          <w:numId w:val="51"/>
        </w:numPr>
        <w:jc w:val="both"/>
        <w:rPr>
          <w:szCs w:val="22"/>
        </w:rPr>
      </w:pPr>
      <w:r w:rsidRPr="00ED4C18">
        <w:rPr>
          <w:szCs w:val="22"/>
        </w:rPr>
        <w:t>the genoty</w:t>
      </w:r>
      <w:r w:rsidR="00575DAD" w:rsidRPr="00ED4C18">
        <w:rPr>
          <w:szCs w:val="22"/>
        </w:rPr>
        <w:t xml:space="preserve">pe distribution in Australia, </w:t>
      </w:r>
      <w:r w:rsidRPr="00ED4C18">
        <w:rPr>
          <w:szCs w:val="22"/>
        </w:rPr>
        <w:t>(</w:t>
      </w:r>
      <w:r w:rsidR="00575DAD" w:rsidRPr="00ED4C18">
        <w:rPr>
          <w:szCs w:val="22"/>
        </w:rPr>
        <w:t xml:space="preserve">see point 4.1, </w:t>
      </w:r>
      <w:r w:rsidRPr="00ED4C18">
        <w:rPr>
          <w:szCs w:val="22"/>
        </w:rPr>
        <w:t xml:space="preserve">ACHOS subgroup: treatment naïve who went on to receive therapy, </w:t>
      </w:r>
      <w:proofErr w:type="spellStart"/>
      <w:r w:rsidRPr="00ED4C18">
        <w:rPr>
          <w:szCs w:val="22"/>
        </w:rPr>
        <w:t>Gidding</w:t>
      </w:r>
      <w:proofErr w:type="spellEnd"/>
      <w:r w:rsidRPr="00ED4C18">
        <w:rPr>
          <w:szCs w:val="22"/>
        </w:rPr>
        <w:t xml:space="preserve"> et al 2012), </w:t>
      </w:r>
    </w:p>
    <w:p w:rsidR="001A2FCC" w:rsidRPr="00ED4C18" w:rsidRDefault="00EB4337" w:rsidP="00575DAD">
      <w:pPr>
        <w:pStyle w:val="ListParagraph"/>
        <w:numPr>
          <w:ilvl w:val="1"/>
          <w:numId w:val="51"/>
        </w:numPr>
        <w:jc w:val="both"/>
        <w:rPr>
          <w:szCs w:val="22"/>
        </w:rPr>
      </w:pPr>
      <w:r w:rsidRPr="00ED4C18">
        <w:rPr>
          <w:szCs w:val="22"/>
        </w:rPr>
        <w:t>treatment status (</w:t>
      </w:r>
      <w:r w:rsidR="00C26896">
        <w:rPr>
          <w:noProof/>
          <w:color w:val="000000"/>
          <w:szCs w:val="22"/>
          <w:highlight w:val="black"/>
        </w:rPr>
        <w:t>''''''</w:t>
      </w:r>
      <w:r w:rsidRPr="00A95255">
        <w:rPr>
          <w:szCs w:val="22"/>
        </w:rPr>
        <w:t>%</w:t>
      </w:r>
      <w:r w:rsidRPr="00ED4C18">
        <w:rPr>
          <w:szCs w:val="22"/>
        </w:rPr>
        <w:t xml:space="preserve"> naïve, </w:t>
      </w:r>
      <w:r w:rsidR="00C26896">
        <w:rPr>
          <w:noProof/>
          <w:color w:val="000000"/>
          <w:szCs w:val="22"/>
          <w:highlight w:val="black"/>
        </w:rPr>
        <w:t>''''''</w:t>
      </w:r>
      <w:r w:rsidRPr="00A95255">
        <w:rPr>
          <w:szCs w:val="22"/>
        </w:rPr>
        <w:t>%</w:t>
      </w:r>
      <w:r w:rsidRPr="00ED4C18">
        <w:rPr>
          <w:szCs w:val="22"/>
        </w:rPr>
        <w:t xml:space="preserve"> experience)</w:t>
      </w:r>
    </w:p>
    <w:p w:rsidR="008A7736" w:rsidRPr="00ED4C18" w:rsidRDefault="00EB4337" w:rsidP="001A2FCC">
      <w:pPr>
        <w:pStyle w:val="ListParagraph"/>
        <w:numPr>
          <w:ilvl w:val="1"/>
          <w:numId w:val="51"/>
        </w:numPr>
        <w:jc w:val="both"/>
        <w:rPr>
          <w:szCs w:val="22"/>
        </w:rPr>
      </w:pPr>
      <w:r w:rsidRPr="00ED4C18">
        <w:rPr>
          <w:szCs w:val="22"/>
        </w:rPr>
        <w:t>interferon-eligible/unsuitable (</w:t>
      </w:r>
      <w:r w:rsidR="00C26896">
        <w:rPr>
          <w:noProof/>
          <w:color w:val="000000"/>
          <w:szCs w:val="22"/>
          <w:highlight w:val="black"/>
        </w:rPr>
        <w:t>'''''''</w:t>
      </w:r>
      <w:r w:rsidRPr="00A95255">
        <w:rPr>
          <w:szCs w:val="22"/>
        </w:rPr>
        <w:t>%/</w:t>
      </w:r>
      <w:r w:rsidR="00C26896">
        <w:rPr>
          <w:noProof/>
          <w:color w:val="000000"/>
          <w:szCs w:val="22"/>
          <w:highlight w:val="black"/>
        </w:rPr>
        <w:t>''''''</w:t>
      </w:r>
      <w:r w:rsidRPr="00A95255">
        <w:rPr>
          <w:szCs w:val="22"/>
        </w:rPr>
        <w:t>%</w:t>
      </w:r>
      <w:r w:rsidRPr="00ED4C18">
        <w:rPr>
          <w:szCs w:val="22"/>
        </w:rPr>
        <w:t xml:space="preserve"> based on expert opinion)</w:t>
      </w:r>
    </w:p>
    <w:p w:rsidR="001A2FCC" w:rsidRPr="00ED4C18" w:rsidRDefault="00110EA9" w:rsidP="000A43DE">
      <w:pPr>
        <w:pStyle w:val="ListParagraph"/>
        <w:numPr>
          <w:ilvl w:val="1"/>
          <w:numId w:val="51"/>
        </w:numPr>
        <w:jc w:val="both"/>
        <w:rPr>
          <w:szCs w:val="22"/>
        </w:rPr>
      </w:pPr>
      <w:proofErr w:type="gramStart"/>
      <w:r w:rsidRPr="00ED4C18">
        <w:rPr>
          <w:szCs w:val="22"/>
        </w:rPr>
        <w:t>for</w:t>
      </w:r>
      <w:proofErr w:type="gramEnd"/>
      <w:r w:rsidRPr="00ED4C18">
        <w:rPr>
          <w:szCs w:val="22"/>
        </w:rPr>
        <w:t xml:space="preserve"> </w:t>
      </w:r>
      <w:r w:rsidR="000A43DE" w:rsidRPr="00ED4C18">
        <w:rPr>
          <w:szCs w:val="22"/>
        </w:rPr>
        <w:t xml:space="preserve">genotype 1 interferon eligible patients, it was assumed that </w:t>
      </w:r>
      <w:r w:rsidR="00C26896">
        <w:rPr>
          <w:noProof/>
          <w:color w:val="000000"/>
          <w:szCs w:val="22"/>
          <w:highlight w:val="black"/>
        </w:rPr>
        <w:t>'''''''''''</w:t>
      </w:r>
      <w:r w:rsidR="000A43DE" w:rsidRPr="00ED4C18">
        <w:rPr>
          <w:szCs w:val="22"/>
        </w:rPr>
        <w:t xml:space="preserve">% currently receive a </w:t>
      </w:r>
      <w:proofErr w:type="spellStart"/>
      <w:r w:rsidR="000A43DE" w:rsidRPr="00ED4C18">
        <w:rPr>
          <w:szCs w:val="22"/>
        </w:rPr>
        <w:t>boceprevir</w:t>
      </w:r>
      <w:proofErr w:type="spellEnd"/>
      <w:r w:rsidR="000A43DE" w:rsidRPr="00ED4C18">
        <w:rPr>
          <w:szCs w:val="22"/>
        </w:rPr>
        <w:t xml:space="preserve"> based regimen and </w:t>
      </w:r>
      <w:r w:rsidR="00C26896">
        <w:rPr>
          <w:noProof/>
          <w:color w:val="000000"/>
          <w:szCs w:val="22"/>
          <w:highlight w:val="black"/>
        </w:rPr>
        <w:t>''''''''''</w:t>
      </w:r>
      <w:r w:rsidR="000A43DE" w:rsidRPr="00ED4C18">
        <w:rPr>
          <w:szCs w:val="22"/>
        </w:rPr>
        <w:t xml:space="preserve">% a </w:t>
      </w:r>
      <w:proofErr w:type="spellStart"/>
      <w:r w:rsidR="000A43DE" w:rsidRPr="00ED4C18">
        <w:rPr>
          <w:szCs w:val="22"/>
        </w:rPr>
        <w:t>telaprevir</w:t>
      </w:r>
      <w:proofErr w:type="spellEnd"/>
      <w:r w:rsidR="000A43DE" w:rsidRPr="00ED4C18">
        <w:rPr>
          <w:szCs w:val="22"/>
        </w:rPr>
        <w:t xml:space="preserve"> based regimen, in line with current PBS prescribing.  </w:t>
      </w:r>
    </w:p>
    <w:p w:rsidR="001A2FCC" w:rsidRPr="00ED4C18" w:rsidRDefault="001A2FCC" w:rsidP="001A2FCC">
      <w:pPr>
        <w:pStyle w:val="ListParagraph"/>
        <w:rPr>
          <w:szCs w:val="22"/>
        </w:rPr>
      </w:pPr>
    </w:p>
    <w:p w:rsidR="00ED4C18" w:rsidRDefault="006561D1" w:rsidP="006561D1">
      <w:pPr>
        <w:pStyle w:val="ListParagraph"/>
        <w:ind w:left="567"/>
        <w:jc w:val="both"/>
        <w:rPr>
          <w:szCs w:val="22"/>
        </w:rPr>
      </w:pPr>
      <w:r w:rsidRPr="00ED4C18">
        <w:rPr>
          <w:szCs w:val="22"/>
        </w:rPr>
        <w:t xml:space="preserve">The </w:t>
      </w:r>
      <w:r w:rsidR="00EB4337" w:rsidRPr="00ED4C18">
        <w:rPr>
          <w:szCs w:val="22"/>
        </w:rPr>
        <w:t>ESC considered that weighted pooling of ICERs to generate a single value is inherently uncertain because of the assumptions</w:t>
      </w:r>
      <w:r w:rsidR="009A51F0" w:rsidRPr="00ED4C18">
        <w:rPr>
          <w:szCs w:val="22"/>
        </w:rPr>
        <w:t>, presented above</w:t>
      </w:r>
      <w:r w:rsidRPr="00ED4C18">
        <w:rPr>
          <w:szCs w:val="22"/>
        </w:rPr>
        <w:t xml:space="preserve"> </w:t>
      </w:r>
      <w:r w:rsidR="00EB4337" w:rsidRPr="00ED4C18">
        <w:rPr>
          <w:szCs w:val="22"/>
        </w:rPr>
        <w:t>used to calculate the weighting. A weighted ICER cannot reflect the high variability of cost-effectiveness in the sub-populations. The ESC further noted that if relatively more patients are in the earlier stage of disease (non-cirrhotic) or receive long-course IFN-free rather than short-course IFN-containing regimens than assumed in the submission, the estimated weighted ICER is likely to be lower than the actual overall ICER</w:t>
      </w:r>
      <w:r w:rsidR="001A2FCC" w:rsidRPr="00ED4C18">
        <w:rPr>
          <w:szCs w:val="22"/>
        </w:rPr>
        <w:t>.</w:t>
      </w:r>
    </w:p>
    <w:p w:rsidR="001A2FCC" w:rsidRPr="00ED4C18" w:rsidRDefault="001A2FCC" w:rsidP="001A2FCC">
      <w:pPr>
        <w:jc w:val="both"/>
        <w:rPr>
          <w:szCs w:val="22"/>
        </w:rPr>
      </w:pPr>
    </w:p>
    <w:p w:rsidR="00137CBC" w:rsidRPr="00B85146" w:rsidRDefault="00882D79" w:rsidP="00B85146">
      <w:pPr>
        <w:ind w:left="567"/>
        <w:jc w:val="both"/>
        <w:rPr>
          <w:b/>
          <w:sz w:val="20"/>
          <w:szCs w:val="22"/>
        </w:rPr>
      </w:pPr>
      <w:r w:rsidRPr="00B85146">
        <w:rPr>
          <w:b/>
          <w:sz w:val="20"/>
          <w:szCs w:val="22"/>
        </w:rPr>
        <w:t>Economic Evaluation of sub-groups based</w:t>
      </w:r>
      <w:r w:rsidR="00137CBC" w:rsidRPr="00B85146">
        <w:rPr>
          <w:b/>
          <w:sz w:val="20"/>
          <w:szCs w:val="22"/>
        </w:rPr>
        <w:t xml:space="preserve"> on 53 year</w:t>
      </w:r>
      <w:r w:rsidRPr="00B85146">
        <w:rPr>
          <w:b/>
          <w:sz w:val="20"/>
          <w:szCs w:val="22"/>
        </w:rPr>
        <w:t>s</w:t>
      </w:r>
      <w:r w:rsidR="00137CBC" w:rsidRPr="00B85146">
        <w:rPr>
          <w:b/>
          <w:sz w:val="20"/>
          <w:szCs w:val="22"/>
        </w:rPr>
        <w:t xml:space="preserve"> (as submission) or 30 year time horizon</w:t>
      </w:r>
      <w:r w:rsidRPr="00B85146">
        <w:rPr>
          <w:b/>
          <w:sz w:val="20"/>
          <w:szCs w:val="22"/>
        </w:rPr>
        <w:t xml:space="preserve"> </w:t>
      </w:r>
    </w:p>
    <w:tbl>
      <w:tblPr>
        <w:tblW w:w="8370" w:type="dxa"/>
        <w:tblInd w:w="675" w:type="dxa"/>
        <w:tblLook w:val="04A0" w:firstRow="1" w:lastRow="0" w:firstColumn="1" w:lastColumn="0" w:noHBand="0" w:noVBand="1"/>
      </w:tblPr>
      <w:tblGrid>
        <w:gridCol w:w="1545"/>
        <w:gridCol w:w="2026"/>
        <w:gridCol w:w="1521"/>
        <w:gridCol w:w="1639"/>
        <w:gridCol w:w="1639"/>
      </w:tblGrid>
      <w:tr w:rsidR="00ED4C18" w:rsidRPr="00ED4C18" w:rsidTr="001E5804">
        <w:trPr>
          <w:trHeight w:val="523"/>
        </w:trPr>
        <w:tc>
          <w:tcPr>
            <w:tcW w:w="1545" w:type="dxa"/>
            <w:tcBorders>
              <w:top w:val="single" w:sz="4" w:space="0" w:color="auto"/>
              <w:left w:val="single" w:sz="4" w:space="0" w:color="auto"/>
              <w:bottom w:val="single" w:sz="4" w:space="0" w:color="auto"/>
              <w:right w:val="single" w:sz="4" w:space="0" w:color="auto"/>
            </w:tcBorders>
            <w:shd w:val="clear" w:color="000000" w:fill="BFBFBF"/>
            <w:hideMark/>
          </w:tcPr>
          <w:p w:rsidR="00882D79" w:rsidRPr="00ED4C18" w:rsidRDefault="00882D79" w:rsidP="00FB2B02">
            <w:pPr>
              <w:rPr>
                <w:rFonts w:ascii="Arial Narrow" w:hAnsi="Arial Narrow"/>
                <w:sz w:val="20"/>
                <w:szCs w:val="20"/>
              </w:rPr>
            </w:pPr>
            <w:r w:rsidRPr="00ED4C18">
              <w:rPr>
                <w:rFonts w:ascii="Arial Narrow" w:hAnsi="Arial Narrow"/>
                <w:sz w:val="20"/>
                <w:szCs w:val="20"/>
              </w:rPr>
              <w:t>Population</w:t>
            </w:r>
          </w:p>
        </w:tc>
        <w:tc>
          <w:tcPr>
            <w:tcW w:w="2026" w:type="dxa"/>
            <w:tcBorders>
              <w:top w:val="single" w:sz="4" w:space="0" w:color="auto"/>
              <w:left w:val="nil"/>
              <w:bottom w:val="single" w:sz="4" w:space="0" w:color="auto"/>
              <w:right w:val="single" w:sz="4" w:space="0" w:color="auto"/>
            </w:tcBorders>
            <w:shd w:val="clear" w:color="000000" w:fill="BFBFBF"/>
            <w:hideMark/>
          </w:tcPr>
          <w:p w:rsidR="00882D79" w:rsidRPr="00ED4C18" w:rsidRDefault="00882D79" w:rsidP="00FB2B02">
            <w:pPr>
              <w:rPr>
                <w:rFonts w:ascii="Arial Narrow" w:hAnsi="Arial Narrow"/>
                <w:sz w:val="20"/>
                <w:szCs w:val="20"/>
              </w:rPr>
            </w:pPr>
            <w:proofErr w:type="spellStart"/>
            <w:r w:rsidRPr="00ED4C18">
              <w:rPr>
                <w:rFonts w:ascii="Arial Narrow" w:hAnsi="Arial Narrow"/>
                <w:sz w:val="20"/>
                <w:szCs w:val="20"/>
              </w:rPr>
              <w:t>Sofosbuvir</w:t>
            </w:r>
            <w:proofErr w:type="spellEnd"/>
            <w:r w:rsidRPr="00ED4C18">
              <w:rPr>
                <w:rFonts w:ascii="Arial Narrow" w:hAnsi="Arial Narrow"/>
                <w:sz w:val="20"/>
                <w:szCs w:val="20"/>
              </w:rPr>
              <w:t xml:space="preserve"> Regimen</w:t>
            </w:r>
          </w:p>
        </w:tc>
        <w:tc>
          <w:tcPr>
            <w:tcW w:w="1521" w:type="dxa"/>
            <w:tcBorders>
              <w:top w:val="single" w:sz="4" w:space="0" w:color="auto"/>
              <w:left w:val="nil"/>
              <w:bottom w:val="single" w:sz="4" w:space="0" w:color="auto"/>
              <w:right w:val="single" w:sz="4" w:space="0" w:color="auto"/>
            </w:tcBorders>
            <w:shd w:val="clear" w:color="000000" w:fill="BFBFBF"/>
            <w:hideMark/>
          </w:tcPr>
          <w:p w:rsidR="00882D79" w:rsidRPr="00ED4C18" w:rsidRDefault="00882D79" w:rsidP="00FB2B02">
            <w:pPr>
              <w:rPr>
                <w:rFonts w:ascii="Arial Narrow" w:hAnsi="Arial Narrow"/>
                <w:sz w:val="20"/>
                <w:szCs w:val="20"/>
              </w:rPr>
            </w:pPr>
            <w:r w:rsidRPr="00ED4C18">
              <w:rPr>
                <w:rFonts w:ascii="Arial Narrow" w:hAnsi="Arial Narrow"/>
                <w:sz w:val="20"/>
                <w:szCs w:val="20"/>
              </w:rPr>
              <w:t>Comparator</w:t>
            </w:r>
          </w:p>
        </w:tc>
        <w:tc>
          <w:tcPr>
            <w:tcW w:w="1639" w:type="dxa"/>
            <w:tcBorders>
              <w:top w:val="single" w:sz="4" w:space="0" w:color="auto"/>
              <w:left w:val="nil"/>
              <w:bottom w:val="single" w:sz="4" w:space="0" w:color="auto"/>
              <w:right w:val="single" w:sz="4" w:space="0" w:color="auto"/>
            </w:tcBorders>
            <w:shd w:val="clear" w:color="000000" w:fill="BFBFBF"/>
            <w:hideMark/>
          </w:tcPr>
          <w:p w:rsidR="00882D79" w:rsidRPr="00ED4C18" w:rsidRDefault="00882D79" w:rsidP="00FB2B02">
            <w:pPr>
              <w:rPr>
                <w:rFonts w:ascii="Arial Narrow" w:hAnsi="Arial Narrow"/>
                <w:sz w:val="20"/>
                <w:szCs w:val="20"/>
              </w:rPr>
            </w:pPr>
            <w:r w:rsidRPr="00ED4C18">
              <w:rPr>
                <w:rFonts w:ascii="Arial Narrow" w:hAnsi="Arial Narrow"/>
                <w:sz w:val="20"/>
                <w:szCs w:val="20"/>
              </w:rPr>
              <w:t>53 year time horizon</w:t>
            </w:r>
          </w:p>
        </w:tc>
        <w:tc>
          <w:tcPr>
            <w:tcW w:w="1639" w:type="dxa"/>
            <w:tcBorders>
              <w:top w:val="single" w:sz="4" w:space="0" w:color="auto"/>
              <w:left w:val="nil"/>
              <w:bottom w:val="single" w:sz="4" w:space="0" w:color="auto"/>
              <w:right w:val="single" w:sz="4" w:space="0" w:color="auto"/>
            </w:tcBorders>
            <w:shd w:val="clear" w:color="000000" w:fill="BFBFBF"/>
            <w:hideMark/>
          </w:tcPr>
          <w:p w:rsidR="00882D79" w:rsidRPr="00ED4C18" w:rsidRDefault="00882D79" w:rsidP="00FB2B02">
            <w:pPr>
              <w:rPr>
                <w:rFonts w:ascii="Arial Narrow" w:hAnsi="Arial Narrow"/>
                <w:sz w:val="20"/>
                <w:szCs w:val="20"/>
              </w:rPr>
            </w:pPr>
            <w:r w:rsidRPr="00ED4C18">
              <w:rPr>
                <w:rFonts w:ascii="Arial Narrow" w:hAnsi="Arial Narrow"/>
                <w:sz w:val="20"/>
                <w:szCs w:val="20"/>
              </w:rPr>
              <w:t>30 year time horizon</w:t>
            </w:r>
          </w:p>
        </w:tc>
      </w:tr>
      <w:tr w:rsidR="00ED4C18" w:rsidRPr="00ED4C18" w:rsidTr="00B85146">
        <w:trPr>
          <w:trHeight w:val="251"/>
        </w:trPr>
        <w:tc>
          <w:tcPr>
            <w:tcW w:w="8370" w:type="dxa"/>
            <w:gridSpan w:val="5"/>
            <w:tcBorders>
              <w:top w:val="nil"/>
              <w:left w:val="single" w:sz="4" w:space="0" w:color="auto"/>
              <w:bottom w:val="single" w:sz="4" w:space="0" w:color="auto"/>
              <w:right w:val="single" w:sz="4" w:space="0" w:color="auto"/>
            </w:tcBorders>
            <w:shd w:val="clear" w:color="000000" w:fill="D9D9D9"/>
            <w:hideMark/>
          </w:tcPr>
          <w:p w:rsidR="00882D79" w:rsidRPr="00ED4C18" w:rsidRDefault="00882D79" w:rsidP="00FB2B02">
            <w:pPr>
              <w:rPr>
                <w:rFonts w:ascii="Arial Narrow" w:hAnsi="Arial Narrow"/>
                <w:iCs/>
                <w:sz w:val="20"/>
                <w:szCs w:val="20"/>
              </w:rPr>
            </w:pPr>
            <w:r w:rsidRPr="00ED4C18">
              <w:rPr>
                <w:rFonts w:ascii="Arial Narrow" w:hAnsi="Arial Narrow"/>
                <w:iCs/>
                <w:sz w:val="20"/>
                <w:szCs w:val="20"/>
              </w:rPr>
              <w:t>Treatment Naïve</w:t>
            </w:r>
          </w:p>
        </w:tc>
      </w:tr>
      <w:tr w:rsidR="00ED4C18" w:rsidRPr="00ED4C18" w:rsidTr="00B85146">
        <w:trPr>
          <w:trHeight w:val="308"/>
        </w:trPr>
        <w:tc>
          <w:tcPr>
            <w:tcW w:w="8370" w:type="dxa"/>
            <w:gridSpan w:val="5"/>
            <w:tcBorders>
              <w:top w:val="nil"/>
              <w:left w:val="single" w:sz="4" w:space="0" w:color="auto"/>
              <w:bottom w:val="single" w:sz="4" w:space="0" w:color="auto"/>
              <w:right w:val="single" w:sz="4" w:space="0" w:color="auto"/>
            </w:tcBorders>
            <w:shd w:val="clear" w:color="000000" w:fill="F2F2F2"/>
            <w:hideMark/>
          </w:tcPr>
          <w:p w:rsidR="00882D79" w:rsidRPr="00ED4C18" w:rsidRDefault="00882D79" w:rsidP="00FB2B02">
            <w:pPr>
              <w:rPr>
                <w:rFonts w:ascii="Arial Narrow" w:hAnsi="Arial Narrow"/>
                <w:sz w:val="20"/>
                <w:szCs w:val="20"/>
              </w:rPr>
            </w:pPr>
            <w:r w:rsidRPr="00ED4C18">
              <w:rPr>
                <w:rFonts w:ascii="Arial Narrow" w:hAnsi="Arial Narrow"/>
                <w:sz w:val="20"/>
                <w:szCs w:val="20"/>
              </w:rPr>
              <w:t>Interferon eligible</w:t>
            </w:r>
          </w:p>
        </w:tc>
      </w:tr>
      <w:tr w:rsidR="001E5804" w:rsidRPr="00ED4C18" w:rsidTr="001E5804">
        <w:trPr>
          <w:trHeight w:val="523"/>
        </w:trPr>
        <w:tc>
          <w:tcPr>
            <w:tcW w:w="1545" w:type="dxa"/>
            <w:tcBorders>
              <w:top w:val="nil"/>
              <w:left w:val="single" w:sz="4" w:space="0" w:color="auto"/>
              <w:right w:val="single" w:sz="4" w:space="0" w:color="auto"/>
            </w:tcBorders>
            <w:shd w:val="clear" w:color="auto" w:fill="auto"/>
            <w:hideMark/>
          </w:tcPr>
          <w:p w:rsidR="001E5804" w:rsidRPr="00ED4C18" w:rsidRDefault="001E5804" w:rsidP="00FB2B02">
            <w:pPr>
              <w:rPr>
                <w:rFonts w:ascii="Arial Narrow" w:hAnsi="Arial Narrow"/>
                <w:sz w:val="20"/>
                <w:szCs w:val="20"/>
              </w:rPr>
            </w:pPr>
            <w:r w:rsidRPr="00ED4C18">
              <w:rPr>
                <w:rFonts w:ascii="Arial Narrow" w:hAnsi="Arial Narrow"/>
                <w:sz w:val="20"/>
                <w:szCs w:val="20"/>
              </w:rPr>
              <w:t>Genotype 1</w:t>
            </w:r>
          </w:p>
        </w:tc>
        <w:tc>
          <w:tcPr>
            <w:tcW w:w="2026" w:type="dxa"/>
            <w:vMerge w:val="restart"/>
            <w:tcBorders>
              <w:top w:val="nil"/>
              <w:left w:val="single" w:sz="4" w:space="0" w:color="auto"/>
              <w:bottom w:val="single" w:sz="4" w:space="0" w:color="auto"/>
              <w:right w:val="single" w:sz="4" w:space="0" w:color="auto"/>
            </w:tcBorders>
            <w:shd w:val="clear" w:color="auto" w:fill="auto"/>
            <w:hideMark/>
          </w:tcPr>
          <w:p w:rsidR="001E5804" w:rsidRPr="00ED4C18" w:rsidRDefault="001E5804" w:rsidP="00FB2B02">
            <w:pPr>
              <w:rPr>
                <w:rFonts w:ascii="Arial Narrow" w:hAnsi="Arial Narrow"/>
                <w:sz w:val="20"/>
                <w:szCs w:val="20"/>
              </w:rPr>
            </w:pPr>
            <w:r w:rsidRPr="00ED4C18">
              <w:rPr>
                <w:rFonts w:ascii="Arial Narrow" w:hAnsi="Arial Narrow"/>
                <w:sz w:val="20"/>
                <w:szCs w:val="20"/>
              </w:rPr>
              <w:t>SOF + RBV + Peg-IFN, 12 weeks</w:t>
            </w:r>
          </w:p>
        </w:tc>
        <w:tc>
          <w:tcPr>
            <w:tcW w:w="1521" w:type="dxa"/>
            <w:tcBorders>
              <w:top w:val="nil"/>
              <w:left w:val="nil"/>
              <w:bottom w:val="single" w:sz="4" w:space="0" w:color="auto"/>
              <w:right w:val="single" w:sz="4" w:space="0" w:color="auto"/>
            </w:tcBorders>
            <w:shd w:val="clear" w:color="auto" w:fill="auto"/>
            <w:vAlign w:val="center"/>
            <w:hideMark/>
          </w:tcPr>
          <w:p w:rsidR="001E5804" w:rsidRPr="00ED4C18" w:rsidRDefault="001E5804" w:rsidP="00882D79">
            <w:pPr>
              <w:jc w:val="center"/>
              <w:rPr>
                <w:rFonts w:ascii="Arial Narrow" w:hAnsi="Arial Narrow"/>
                <w:sz w:val="20"/>
                <w:szCs w:val="20"/>
              </w:rPr>
            </w:pPr>
            <w:r w:rsidRPr="00ED4C18">
              <w:rPr>
                <w:rFonts w:ascii="Arial Narrow" w:hAnsi="Arial Narrow"/>
                <w:sz w:val="20"/>
                <w:szCs w:val="20"/>
              </w:rPr>
              <w:t>Peg-IFN + RBV + BOC (24-48 weeks)</w:t>
            </w:r>
          </w:p>
        </w:tc>
        <w:tc>
          <w:tcPr>
            <w:tcW w:w="1639" w:type="dxa"/>
            <w:tcBorders>
              <w:top w:val="nil"/>
              <w:left w:val="nil"/>
              <w:bottom w:val="single" w:sz="4" w:space="0" w:color="auto"/>
              <w:right w:val="single" w:sz="4" w:space="0" w:color="auto"/>
            </w:tcBorders>
            <w:shd w:val="clear" w:color="000000" w:fill="FFFFFF"/>
            <w:vAlign w:val="center"/>
            <w:hideMark/>
          </w:tcPr>
          <w:p w:rsidR="001E5804" w:rsidRPr="00ED4C18" w:rsidRDefault="001E5804" w:rsidP="00882D79">
            <w:pPr>
              <w:jc w:val="center"/>
              <w:rPr>
                <w:rFonts w:ascii="Arial Narrow" w:hAnsi="Arial Narrow"/>
                <w:sz w:val="20"/>
                <w:szCs w:val="20"/>
              </w:rPr>
            </w:pPr>
            <w:r>
              <w:rPr>
                <w:rFonts w:ascii="Arial Narrow" w:hAnsi="Arial Narrow"/>
                <w:sz w:val="20"/>
                <w:szCs w:val="20"/>
              </w:rPr>
              <w:t>$45,000-$75,000</w:t>
            </w:r>
          </w:p>
        </w:tc>
        <w:tc>
          <w:tcPr>
            <w:tcW w:w="1639" w:type="dxa"/>
            <w:tcBorders>
              <w:top w:val="nil"/>
              <w:left w:val="nil"/>
              <w:bottom w:val="single" w:sz="4" w:space="0" w:color="auto"/>
              <w:right w:val="single" w:sz="4" w:space="0" w:color="auto"/>
            </w:tcBorders>
            <w:shd w:val="clear" w:color="auto" w:fill="auto"/>
            <w:noWrap/>
            <w:vAlign w:val="center"/>
            <w:hideMark/>
          </w:tcPr>
          <w:p w:rsidR="001E5804" w:rsidRPr="00ED4C18" w:rsidRDefault="001E5804" w:rsidP="00882D79">
            <w:pPr>
              <w:jc w:val="center"/>
              <w:rPr>
                <w:rFonts w:ascii="Arial Narrow" w:hAnsi="Arial Narrow"/>
                <w:sz w:val="20"/>
                <w:szCs w:val="20"/>
              </w:rPr>
            </w:pPr>
            <w:r>
              <w:rPr>
                <w:rFonts w:ascii="Arial Narrow" w:hAnsi="Arial Narrow"/>
                <w:sz w:val="20"/>
                <w:szCs w:val="20"/>
              </w:rPr>
              <w:t>$45,000-$75,000</w:t>
            </w:r>
          </w:p>
        </w:tc>
      </w:tr>
      <w:tr w:rsidR="001E5804" w:rsidRPr="00ED4C18" w:rsidTr="001E5804">
        <w:trPr>
          <w:trHeight w:val="523"/>
        </w:trPr>
        <w:tc>
          <w:tcPr>
            <w:tcW w:w="1545" w:type="dxa"/>
            <w:tcBorders>
              <w:left w:val="single" w:sz="4" w:space="0" w:color="auto"/>
              <w:bottom w:val="single" w:sz="4" w:space="0" w:color="auto"/>
              <w:right w:val="single" w:sz="4" w:space="0" w:color="auto"/>
            </w:tcBorders>
            <w:shd w:val="clear" w:color="auto" w:fill="auto"/>
            <w:vAlign w:val="center"/>
            <w:hideMark/>
          </w:tcPr>
          <w:p w:rsidR="001E5804" w:rsidRPr="00ED4C18" w:rsidRDefault="001E5804" w:rsidP="00FB2B02">
            <w:pPr>
              <w:rPr>
                <w:rFonts w:ascii="Arial Narrow" w:hAnsi="Arial Narrow"/>
                <w:sz w:val="20"/>
                <w:szCs w:val="20"/>
              </w:rPr>
            </w:pPr>
          </w:p>
        </w:tc>
        <w:tc>
          <w:tcPr>
            <w:tcW w:w="2026" w:type="dxa"/>
            <w:vMerge/>
            <w:tcBorders>
              <w:top w:val="nil"/>
              <w:left w:val="single" w:sz="4" w:space="0" w:color="auto"/>
              <w:bottom w:val="single" w:sz="4" w:space="0" w:color="auto"/>
              <w:right w:val="single" w:sz="4" w:space="0" w:color="auto"/>
            </w:tcBorders>
            <w:vAlign w:val="center"/>
            <w:hideMark/>
          </w:tcPr>
          <w:p w:rsidR="001E5804" w:rsidRPr="00ED4C18" w:rsidRDefault="001E5804" w:rsidP="00FB2B02">
            <w:pPr>
              <w:rPr>
                <w:rFonts w:ascii="Arial Narrow" w:hAnsi="Arial Narrow"/>
                <w:sz w:val="20"/>
                <w:szCs w:val="20"/>
              </w:rPr>
            </w:pPr>
          </w:p>
        </w:tc>
        <w:tc>
          <w:tcPr>
            <w:tcW w:w="1521" w:type="dxa"/>
            <w:tcBorders>
              <w:top w:val="nil"/>
              <w:left w:val="nil"/>
              <w:bottom w:val="single" w:sz="4" w:space="0" w:color="auto"/>
              <w:right w:val="single" w:sz="4" w:space="0" w:color="auto"/>
            </w:tcBorders>
            <w:shd w:val="clear" w:color="auto" w:fill="auto"/>
            <w:vAlign w:val="center"/>
            <w:hideMark/>
          </w:tcPr>
          <w:p w:rsidR="001E5804" w:rsidRPr="00ED4C18" w:rsidRDefault="001E5804" w:rsidP="00882D79">
            <w:pPr>
              <w:jc w:val="center"/>
              <w:rPr>
                <w:rFonts w:ascii="Arial Narrow" w:hAnsi="Arial Narrow"/>
                <w:sz w:val="20"/>
                <w:szCs w:val="20"/>
              </w:rPr>
            </w:pPr>
            <w:r w:rsidRPr="00ED4C18">
              <w:rPr>
                <w:rFonts w:ascii="Arial Narrow" w:hAnsi="Arial Narrow"/>
                <w:sz w:val="20"/>
                <w:szCs w:val="20"/>
              </w:rPr>
              <w:t>Peg-IFN + RBV + TEL (24-48 weeks)</w:t>
            </w:r>
          </w:p>
        </w:tc>
        <w:tc>
          <w:tcPr>
            <w:tcW w:w="1639" w:type="dxa"/>
            <w:tcBorders>
              <w:top w:val="nil"/>
              <w:left w:val="nil"/>
              <w:bottom w:val="single" w:sz="4" w:space="0" w:color="auto"/>
              <w:right w:val="single" w:sz="4" w:space="0" w:color="auto"/>
            </w:tcBorders>
            <w:shd w:val="clear" w:color="000000" w:fill="FFFFFF"/>
            <w:vAlign w:val="center"/>
            <w:hideMark/>
          </w:tcPr>
          <w:p w:rsidR="001E5804" w:rsidRPr="00ED4C18" w:rsidRDefault="001E5804" w:rsidP="00882D79">
            <w:pPr>
              <w:jc w:val="center"/>
              <w:rPr>
                <w:rFonts w:ascii="Arial Narrow" w:hAnsi="Arial Narrow"/>
                <w:sz w:val="20"/>
                <w:szCs w:val="20"/>
              </w:rPr>
            </w:pPr>
            <w:r>
              <w:rPr>
                <w:rFonts w:ascii="Arial Narrow" w:hAnsi="Arial Narrow"/>
                <w:sz w:val="20"/>
                <w:szCs w:val="20"/>
              </w:rPr>
              <w:t>$45,000-$75,000</w:t>
            </w:r>
          </w:p>
        </w:tc>
        <w:tc>
          <w:tcPr>
            <w:tcW w:w="1639" w:type="dxa"/>
            <w:tcBorders>
              <w:top w:val="nil"/>
              <w:left w:val="nil"/>
              <w:bottom w:val="single" w:sz="4" w:space="0" w:color="auto"/>
              <w:right w:val="single" w:sz="4" w:space="0" w:color="auto"/>
            </w:tcBorders>
            <w:shd w:val="clear" w:color="auto" w:fill="auto"/>
            <w:noWrap/>
            <w:vAlign w:val="center"/>
            <w:hideMark/>
          </w:tcPr>
          <w:p w:rsidR="001E5804" w:rsidRPr="00ED4C18" w:rsidRDefault="001E5804" w:rsidP="00882D79">
            <w:pPr>
              <w:jc w:val="center"/>
              <w:rPr>
                <w:rFonts w:ascii="Arial Narrow" w:hAnsi="Arial Narrow"/>
                <w:sz w:val="20"/>
                <w:szCs w:val="20"/>
              </w:rPr>
            </w:pPr>
            <w:r>
              <w:rPr>
                <w:rFonts w:ascii="Arial Narrow" w:hAnsi="Arial Narrow"/>
                <w:sz w:val="20"/>
                <w:szCs w:val="20"/>
              </w:rPr>
              <w:t>$75,000-$105,000</w:t>
            </w:r>
          </w:p>
        </w:tc>
      </w:tr>
      <w:tr w:rsidR="001E5804" w:rsidRPr="00ED4C18" w:rsidTr="001E5804">
        <w:trPr>
          <w:trHeight w:val="308"/>
        </w:trPr>
        <w:tc>
          <w:tcPr>
            <w:tcW w:w="1545" w:type="dxa"/>
            <w:tcBorders>
              <w:top w:val="single" w:sz="4" w:space="0" w:color="auto"/>
              <w:left w:val="single" w:sz="4" w:space="0" w:color="auto"/>
              <w:bottom w:val="single" w:sz="4" w:space="0" w:color="auto"/>
              <w:right w:val="single" w:sz="4" w:space="0" w:color="auto"/>
            </w:tcBorders>
            <w:shd w:val="clear" w:color="auto" w:fill="auto"/>
            <w:hideMark/>
          </w:tcPr>
          <w:p w:rsidR="001E5804" w:rsidRPr="00ED4C18" w:rsidRDefault="001E5804" w:rsidP="00FB2B02">
            <w:pPr>
              <w:rPr>
                <w:rFonts w:ascii="Arial Narrow" w:hAnsi="Arial Narrow"/>
                <w:sz w:val="20"/>
                <w:szCs w:val="20"/>
              </w:rPr>
            </w:pPr>
            <w:r w:rsidRPr="00ED4C18">
              <w:rPr>
                <w:rFonts w:ascii="Arial Narrow" w:hAnsi="Arial Narrow"/>
                <w:sz w:val="20"/>
                <w:szCs w:val="20"/>
              </w:rPr>
              <w:t>Genotype 2</w:t>
            </w:r>
          </w:p>
        </w:tc>
        <w:tc>
          <w:tcPr>
            <w:tcW w:w="2026" w:type="dxa"/>
            <w:tcBorders>
              <w:top w:val="single" w:sz="4" w:space="0" w:color="auto"/>
              <w:left w:val="nil"/>
              <w:bottom w:val="single" w:sz="4" w:space="0" w:color="auto"/>
              <w:right w:val="single" w:sz="4" w:space="0" w:color="auto"/>
            </w:tcBorders>
            <w:shd w:val="clear" w:color="auto" w:fill="auto"/>
            <w:hideMark/>
          </w:tcPr>
          <w:p w:rsidR="001E5804" w:rsidRPr="00ED4C18" w:rsidRDefault="001E5804" w:rsidP="00FB2B02">
            <w:pPr>
              <w:rPr>
                <w:rFonts w:ascii="Arial Narrow" w:hAnsi="Arial Narrow"/>
                <w:sz w:val="20"/>
                <w:szCs w:val="20"/>
              </w:rPr>
            </w:pPr>
            <w:r w:rsidRPr="00ED4C18">
              <w:rPr>
                <w:rFonts w:ascii="Arial Narrow" w:hAnsi="Arial Narrow"/>
                <w:sz w:val="20"/>
                <w:szCs w:val="20"/>
              </w:rPr>
              <w:t>SOF + RBV, 12 weeks</w:t>
            </w:r>
          </w:p>
        </w:tc>
        <w:tc>
          <w:tcPr>
            <w:tcW w:w="1521" w:type="dxa"/>
            <w:tcBorders>
              <w:top w:val="single" w:sz="4" w:space="0" w:color="auto"/>
              <w:left w:val="nil"/>
              <w:bottom w:val="single" w:sz="4" w:space="0" w:color="auto"/>
              <w:right w:val="single" w:sz="4" w:space="0" w:color="auto"/>
            </w:tcBorders>
            <w:shd w:val="clear" w:color="auto" w:fill="auto"/>
            <w:vAlign w:val="center"/>
            <w:hideMark/>
          </w:tcPr>
          <w:p w:rsidR="001E5804" w:rsidRPr="00ED4C18" w:rsidRDefault="001E5804" w:rsidP="00882D79">
            <w:pPr>
              <w:jc w:val="center"/>
              <w:rPr>
                <w:rFonts w:ascii="Arial Narrow" w:hAnsi="Arial Narrow"/>
                <w:sz w:val="20"/>
                <w:szCs w:val="20"/>
              </w:rPr>
            </w:pPr>
            <w:r w:rsidRPr="00ED4C18">
              <w:rPr>
                <w:rFonts w:ascii="Arial Narrow" w:hAnsi="Arial Narrow"/>
                <w:sz w:val="20"/>
                <w:szCs w:val="20"/>
              </w:rPr>
              <w:t>Peg-IFN + RBV (24</w:t>
            </w:r>
            <w:r w:rsidRPr="00ED4C18">
              <w:t xml:space="preserve"> </w:t>
            </w:r>
            <w:r w:rsidRPr="00ED4C18">
              <w:rPr>
                <w:rFonts w:ascii="Arial Narrow" w:hAnsi="Arial Narrow"/>
                <w:sz w:val="20"/>
                <w:szCs w:val="20"/>
              </w:rPr>
              <w:t>weeks)</w:t>
            </w:r>
          </w:p>
        </w:tc>
        <w:tc>
          <w:tcPr>
            <w:tcW w:w="1639" w:type="dxa"/>
            <w:tcBorders>
              <w:top w:val="single" w:sz="4" w:space="0" w:color="auto"/>
              <w:left w:val="nil"/>
              <w:bottom w:val="single" w:sz="4" w:space="0" w:color="auto"/>
              <w:right w:val="single" w:sz="4" w:space="0" w:color="auto"/>
            </w:tcBorders>
            <w:shd w:val="clear" w:color="000000" w:fill="FFFFFF"/>
            <w:vAlign w:val="center"/>
            <w:hideMark/>
          </w:tcPr>
          <w:p w:rsidR="001E5804" w:rsidRPr="00ED4C18" w:rsidRDefault="001E5804" w:rsidP="00882D79">
            <w:pPr>
              <w:jc w:val="center"/>
              <w:rPr>
                <w:rFonts w:ascii="Arial Narrow" w:hAnsi="Arial Narrow"/>
                <w:sz w:val="20"/>
                <w:szCs w:val="20"/>
              </w:rPr>
            </w:pPr>
            <w:r>
              <w:rPr>
                <w:rFonts w:ascii="Arial Narrow" w:hAnsi="Arial Narrow"/>
                <w:sz w:val="20"/>
                <w:szCs w:val="20"/>
              </w:rPr>
              <w:t>$105,000-$200,000</w:t>
            </w:r>
          </w:p>
        </w:tc>
        <w:tc>
          <w:tcPr>
            <w:tcW w:w="1639" w:type="dxa"/>
            <w:tcBorders>
              <w:top w:val="single" w:sz="4" w:space="0" w:color="auto"/>
              <w:left w:val="nil"/>
              <w:bottom w:val="single" w:sz="4" w:space="0" w:color="auto"/>
              <w:right w:val="single" w:sz="4" w:space="0" w:color="auto"/>
            </w:tcBorders>
            <w:shd w:val="clear" w:color="auto" w:fill="auto"/>
            <w:noWrap/>
            <w:vAlign w:val="center"/>
            <w:hideMark/>
          </w:tcPr>
          <w:p w:rsidR="001E5804" w:rsidRPr="00ED4C18" w:rsidRDefault="001E5804" w:rsidP="00882D79">
            <w:pPr>
              <w:jc w:val="center"/>
              <w:rPr>
                <w:rFonts w:ascii="Arial Narrow" w:hAnsi="Arial Narrow"/>
                <w:sz w:val="20"/>
                <w:szCs w:val="20"/>
              </w:rPr>
            </w:pPr>
            <w:r>
              <w:rPr>
                <w:rFonts w:ascii="Arial Narrow" w:hAnsi="Arial Narrow"/>
                <w:sz w:val="20"/>
                <w:szCs w:val="20"/>
              </w:rPr>
              <w:t>$105,000-$200,000</w:t>
            </w:r>
          </w:p>
        </w:tc>
      </w:tr>
      <w:tr w:rsidR="001E5804" w:rsidRPr="00ED4C18" w:rsidTr="001E5804">
        <w:trPr>
          <w:trHeight w:val="523"/>
        </w:trPr>
        <w:tc>
          <w:tcPr>
            <w:tcW w:w="1545" w:type="dxa"/>
            <w:tcBorders>
              <w:top w:val="nil"/>
              <w:left w:val="single" w:sz="4" w:space="0" w:color="auto"/>
              <w:right w:val="single" w:sz="4" w:space="0" w:color="auto"/>
            </w:tcBorders>
            <w:shd w:val="clear" w:color="auto" w:fill="auto"/>
            <w:hideMark/>
          </w:tcPr>
          <w:p w:rsidR="001E5804" w:rsidRPr="00ED4C18" w:rsidRDefault="001E5804" w:rsidP="00FB2B02">
            <w:pPr>
              <w:rPr>
                <w:rFonts w:ascii="Arial Narrow" w:hAnsi="Arial Narrow"/>
                <w:sz w:val="20"/>
                <w:szCs w:val="20"/>
              </w:rPr>
            </w:pPr>
            <w:r w:rsidRPr="00ED4C18">
              <w:rPr>
                <w:rFonts w:ascii="Arial Narrow" w:hAnsi="Arial Narrow"/>
                <w:sz w:val="20"/>
                <w:szCs w:val="20"/>
              </w:rPr>
              <w:t>Genotype 3</w:t>
            </w:r>
          </w:p>
        </w:tc>
        <w:tc>
          <w:tcPr>
            <w:tcW w:w="2026" w:type="dxa"/>
            <w:tcBorders>
              <w:top w:val="nil"/>
              <w:left w:val="nil"/>
              <w:bottom w:val="single" w:sz="4" w:space="0" w:color="auto"/>
              <w:right w:val="single" w:sz="4" w:space="0" w:color="auto"/>
            </w:tcBorders>
            <w:shd w:val="clear" w:color="auto" w:fill="auto"/>
            <w:hideMark/>
          </w:tcPr>
          <w:p w:rsidR="001E5804" w:rsidRPr="00ED4C18" w:rsidRDefault="001E5804" w:rsidP="00FB2B02">
            <w:pPr>
              <w:rPr>
                <w:rFonts w:ascii="Arial Narrow" w:hAnsi="Arial Narrow"/>
                <w:sz w:val="20"/>
                <w:szCs w:val="20"/>
              </w:rPr>
            </w:pPr>
            <w:r w:rsidRPr="00ED4C18">
              <w:rPr>
                <w:rFonts w:ascii="Arial Narrow" w:hAnsi="Arial Narrow"/>
                <w:sz w:val="20"/>
                <w:szCs w:val="20"/>
              </w:rPr>
              <w:t>SOF + RBV + Peg-IFN, 12 weeks</w:t>
            </w:r>
          </w:p>
        </w:tc>
        <w:tc>
          <w:tcPr>
            <w:tcW w:w="1521" w:type="dxa"/>
            <w:vMerge w:val="restart"/>
            <w:tcBorders>
              <w:top w:val="nil"/>
              <w:left w:val="single" w:sz="4" w:space="0" w:color="auto"/>
              <w:bottom w:val="single" w:sz="4" w:space="0" w:color="000000"/>
              <w:right w:val="single" w:sz="4" w:space="0" w:color="auto"/>
            </w:tcBorders>
            <w:shd w:val="clear" w:color="auto" w:fill="auto"/>
            <w:vAlign w:val="center"/>
            <w:hideMark/>
          </w:tcPr>
          <w:p w:rsidR="001E5804" w:rsidRPr="00ED4C18" w:rsidRDefault="001E5804" w:rsidP="00882D79">
            <w:pPr>
              <w:jc w:val="center"/>
              <w:rPr>
                <w:rFonts w:ascii="Arial Narrow" w:hAnsi="Arial Narrow"/>
                <w:sz w:val="20"/>
                <w:szCs w:val="20"/>
              </w:rPr>
            </w:pPr>
            <w:r w:rsidRPr="00ED4C18">
              <w:rPr>
                <w:rFonts w:ascii="Arial Narrow" w:hAnsi="Arial Narrow"/>
                <w:sz w:val="20"/>
                <w:szCs w:val="20"/>
              </w:rPr>
              <w:t>Peg-IFN + RBV (24 weeks)</w:t>
            </w:r>
          </w:p>
        </w:tc>
        <w:tc>
          <w:tcPr>
            <w:tcW w:w="1639" w:type="dxa"/>
            <w:tcBorders>
              <w:top w:val="nil"/>
              <w:left w:val="nil"/>
              <w:bottom w:val="single" w:sz="4" w:space="0" w:color="auto"/>
              <w:right w:val="single" w:sz="4" w:space="0" w:color="auto"/>
            </w:tcBorders>
            <w:shd w:val="clear" w:color="000000" w:fill="FFFFFF"/>
            <w:vAlign w:val="center"/>
            <w:hideMark/>
          </w:tcPr>
          <w:p w:rsidR="001E5804" w:rsidRPr="00ED4C18" w:rsidRDefault="001E5804" w:rsidP="00882D79">
            <w:pPr>
              <w:jc w:val="center"/>
              <w:rPr>
                <w:rFonts w:ascii="Arial Narrow" w:hAnsi="Arial Narrow"/>
                <w:sz w:val="20"/>
                <w:szCs w:val="20"/>
              </w:rPr>
            </w:pPr>
            <w:r>
              <w:rPr>
                <w:rFonts w:ascii="Arial Narrow" w:hAnsi="Arial Narrow"/>
                <w:sz w:val="20"/>
                <w:szCs w:val="20"/>
              </w:rPr>
              <w:t>$45,000-$75,000</w:t>
            </w:r>
          </w:p>
        </w:tc>
        <w:tc>
          <w:tcPr>
            <w:tcW w:w="1639" w:type="dxa"/>
            <w:tcBorders>
              <w:top w:val="nil"/>
              <w:left w:val="nil"/>
              <w:bottom w:val="single" w:sz="4" w:space="0" w:color="auto"/>
              <w:right w:val="single" w:sz="4" w:space="0" w:color="auto"/>
            </w:tcBorders>
            <w:shd w:val="clear" w:color="auto" w:fill="auto"/>
            <w:noWrap/>
            <w:vAlign w:val="center"/>
            <w:hideMark/>
          </w:tcPr>
          <w:p w:rsidR="001E5804" w:rsidRPr="00ED4C18" w:rsidRDefault="001E5804" w:rsidP="00882D79">
            <w:pPr>
              <w:jc w:val="center"/>
              <w:rPr>
                <w:rFonts w:ascii="Arial Narrow" w:hAnsi="Arial Narrow"/>
                <w:sz w:val="20"/>
                <w:szCs w:val="20"/>
              </w:rPr>
            </w:pPr>
            <w:r>
              <w:rPr>
                <w:rFonts w:ascii="Arial Narrow" w:hAnsi="Arial Narrow"/>
                <w:sz w:val="20"/>
                <w:szCs w:val="20"/>
              </w:rPr>
              <w:t>$75,000-$105,000</w:t>
            </w:r>
          </w:p>
        </w:tc>
      </w:tr>
      <w:tr w:rsidR="001E5804" w:rsidRPr="00ED4C18" w:rsidTr="001E5804">
        <w:trPr>
          <w:trHeight w:val="308"/>
        </w:trPr>
        <w:tc>
          <w:tcPr>
            <w:tcW w:w="1545" w:type="dxa"/>
            <w:tcBorders>
              <w:left w:val="single" w:sz="4" w:space="0" w:color="auto"/>
              <w:bottom w:val="single" w:sz="4" w:space="0" w:color="auto"/>
              <w:right w:val="single" w:sz="4" w:space="0" w:color="auto"/>
            </w:tcBorders>
            <w:shd w:val="clear" w:color="auto" w:fill="auto"/>
            <w:vAlign w:val="center"/>
            <w:hideMark/>
          </w:tcPr>
          <w:p w:rsidR="001E5804" w:rsidRPr="00ED4C18" w:rsidRDefault="001E5804" w:rsidP="00FB2B02">
            <w:pPr>
              <w:rPr>
                <w:rFonts w:ascii="Arial Narrow" w:hAnsi="Arial Narrow"/>
                <w:sz w:val="20"/>
                <w:szCs w:val="20"/>
              </w:rPr>
            </w:pPr>
          </w:p>
        </w:tc>
        <w:tc>
          <w:tcPr>
            <w:tcW w:w="2026" w:type="dxa"/>
            <w:tcBorders>
              <w:top w:val="nil"/>
              <w:left w:val="nil"/>
              <w:bottom w:val="single" w:sz="4" w:space="0" w:color="auto"/>
              <w:right w:val="single" w:sz="4" w:space="0" w:color="auto"/>
            </w:tcBorders>
            <w:shd w:val="clear" w:color="auto" w:fill="auto"/>
            <w:hideMark/>
          </w:tcPr>
          <w:p w:rsidR="001E5804" w:rsidRPr="00ED4C18" w:rsidRDefault="001E5804" w:rsidP="00FB2B02">
            <w:pPr>
              <w:rPr>
                <w:rFonts w:ascii="Arial Narrow" w:hAnsi="Arial Narrow"/>
                <w:sz w:val="20"/>
                <w:szCs w:val="20"/>
              </w:rPr>
            </w:pPr>
            <w:r w:rsidRPr="00ED4C18">
              <w:rPr>
                <w:rFonts w:ascii="Arial Narrow" w:hAnsi="Arial Narrow"/>
                <w:sz w:val="20"/>
                <w:szCs w:val="20"/>
              </w:rPr>
              <w:t>SOF + RBV, 24 Weeks</w:t>
            </w:r>
          </w:p>
        </w:tc>
        <w:tc>
          <w:tcPr>
            <w:tcW w:w="1521" w:type="dxa"/>
            <w:vMerge/>
            <w:tcBorders>
              <w:top w:val="nil"/>
              <w:left w:val="single" w:sz="4" w:space="0" w:color="auto"/>
              <w:bottom w:val="single" w:sz="4" w:space="0" w:color="auto"/>
              <w:right w:val="single" w:sz="4" w:space="0" w:color="auto"/>
            </w:tcBorders>
            <w:vAlign w:val="center"/>
            <w:hideMark/>
          </w:tcPr>
          <w:p w:rsidR="001E5804" w:rsidRPr="00ED4C18" w:rsidRDefault="001E5804" w:rsidP="00882D79">
            <w:pPr>
              <w:jc w:val="center"/>
              <w:rPr>
                <w:rFonts w:ascii="Arial Narrow" w:hAnsi="Arial Narrow"/>
                <w:sz w:val="20"/>
                <w:szCs w:val="20"/>
              </w:rPr>
            </w:pPr>
          </w:p>
        </w:tc>
        <w:tc>
          <w:tcPr>
            <w:tcW w:w="1639" w:type="dxa"/>
            <w:tcBorders>
              <w:top w:val="nil"/>
              <w:left w:val="nil"/>
              <w:bottom w:val="single" w:sz="4" w:space="0" w:color="auto"/>
              <w:right w:val="single" w:sz="4" w:space="0" w:color="auto"/>
            </w:tcBorders>
            <w:shd w:val="clear" w:color="000000" w:fill="FFFFFF"/>
            <w:vAlign w:val="center"/>
            <w:hideMark/>
          </w:tcPr>
          <w:p w:rsidR="001E5804" w:rsidRPr="00ED4C18" w:rsidRDefault="001E5804" w:rsidP="00882D79">
            <w:pPr>
              <w:jc w:val="center"/>
              <w:rPr>
                <w:rFonts w:ascii="Arial Narrow" w:hAnsi="Arial Narrow"/>
                <w:sz w:val="20"/>
                <w:szCs w:val="20"/>
              </w:rPr>
            </w:pPr>
            <w:r>
              <w:rPr>
                <w:rFonts w:ascii="Arial Narrow" w:hAnsi="Arial Narrow"/>
                <w:sz w:val="20"/>
                <w:szCs w:val="20"/>
              </w:rPr>
              <w:t>$105,000-$200,000</w:t>
            </w:r>
          </w:p>
        </w:tc>
        <w:tc>
          <w:tcPr>
            <w:tcW w:w="1639" w:type="dxa"/>
            <w:tcBorders>
              <w:top w:val="nil"/>
              <w:left w:val="nil"/>
              <w:bottom w:val="single" w:sz="4" w:space="0" w:color="auto"/>
              <w:right w:val="single" w:sz="4" w:space="0" w:color="auto"/>
            </w:tcBorders>
            <w:shd w:val="clear" w:color="auto" w:fill="auto"/>
            <w:noWrap/>
            <w:vAlign w:val="center"/>
            <w:hideMark/>
          </w:tcPr>
          <w:p w:rsidR="001E5804" w:rsidRPr="00ED4C18" w:rsidRDefault="001E5804" w:rsidP="00882D79">
            <w:pPr>
              <w:jc w:val="center"/>
              <w:rPr>
                <w:rFonts w:ascii="Arial Narrow" w:hAnsi="Arial Narrow"/>
                <w:sz w:val="20"/>
                <w:szCs w:val="20"/>
              </w:rPr>
            </w:pPr>
            <w:r>
              <w:rPr>
                <w:rFonts w:ascii="Arial Narrow" w:hAnsi="Arial Narrow"/>
                <w:sz w:val="20"/>
                <w:szCs w:val="20"/>
              </w:rPr>
              <w:t>$105,000-$200,000</w:t>
            </w:r>
          </w:p>
        </w:tc>
      </w:tr>
      <w:tr w:rsidR="001E5804" w:rsidRPr="00ED4C18" w:rsidTr="001E5804">
        <w:trPr>
          <w:trHeight w:val="523"/>
        </w:trPr>
        <w:tc>
          <w:tcPr>
            <w:tcW w:w="1545" w:type="dxa"/>
            <w:tcBorders>
              <w:top w:val="single" w:sz="4" w:space="0" w:color="auto"/>
              <w:left w:val="single" w:sz="4" w:space="0" w:color="auto"/>
              <w:bottom w:val="single" w:sz="4" w:space="0" w:color="auto"/>
              <w:right w:val="single" w:sz="4" w:space="0" w:color="auto"/>
            </w:tcBorders>
            <w:shd w:val="clear" w:color="auto" w:fill="auto"/>
            <w:hideMark/>
          </w:tcPr>
          <w:p w:rsidR="001E5804" w:rsidRPr="00ED4C18" w:rsidRDefault="001E5804" w:rsidP="00FB2B02">
            <w:pPr>
              <w:rPr>
                <w:rFonts w:ascii="Arial Narrow" w:hAnsi="Arial Narrow"/>
                <w:sz w:val="20"/>
                <w:szCs w:val="20"/>
              </w:rPr>
            </w:pPr>
            <w:r w:rsidRPr="00ED4C18">
              <w:rPr>
                <w:rFonts w:ascii="Arial Narrow" w:hAnsi="Arial Narrow"/>
                <w:sz w:val="20"/>
                <w:szCs w:val="20"/>
              </w:rPr>
              <w:t>Genotype 4, 5, 6</w:t>
            </w:r>
          </w:p>
        </w:tc>
        <w:tc>
          <w:tcPr>
            <w:tcW w:w="2026" w:type="dxa"/>
            <w:tcBorders>
              <w:top w:val="single" w:sz="4" w:space="0" w:color="auto"/>
              <w:left w:val="nil"/>
              <w:bottom w:val="single" w:sz="4" w:space="0" w:color="auto"/>
              <w:right w:val="single" w:sz="4" w:space="0" w:color="auto"/>
            </w:tcBorders>
            <w:shd w:val="clear" w:color="auto" w:fill="auto"/>
            <w:hideMark/>
          </w:tcPr>
          <w:p w:rsidR="001E5804" w:rsidRPr="00ED4C18" w:rsidRDefault="001E5804" w:rsidP="00FB2B02">
            <w:pPr>
              <w:rPr>
                <w:rFonts w:ascii="Arial Narrow" w:hAnsi="Arial Narrow"/>
                <w:sz w:val="20"/>
                <w:szCs w:val="20"/>
              </w:rPr>
            </w:pPr>
            <w:r w:rsidRPr="00ED4C18">
              <w:rPr>
                <w:rFonts w:ascii="Arial Narrow" w:hAnsi="Arial Narrow"/>
                <w:sz w:val="20"/>
                <w:szCs w:val="20"/>
              </w:rPr>
              <w:t>SOF + RBV + Peg-IFN, 12 weeks</w:t>
            </w:r>
          </w:p>
        </w:tc>
        <w:tc>
          <w:tcPr>
            <w:tcW w:w="1521" w:type="dxa"/>
            <w:tcBorders>
              <w:top w:val="single" w:sz="4" w:space="0" w:color="auto"/>
              <w:left w:val="nil"/>
              <w:bottom w:val="single" w:sz="4" w:space="0" w:color="auto"/>
              <w:right w:val="single" w:sz="4" w:space="0" w:color="auto"/>
            </w:tcBorders>
            <w:shd w:val="clear" w:color="auto" w:fill="auto"/>
            <w:vAlign w:val="center"/>
            <w:hideMark/>
          </w:tcPr>
          <w:p w:rsidR="001E5804" w:rsidRPr="00ED4C18" w:rsidRDefault="001E5804" w:rsidP="00882D79">
            <w:pPr>
              <w:jc w:val="center"/>
              <w:rPr>
                <w:rFonts w:ascii="Arial Narrow" w:hAnsi="Arial Narrow"/>
                <w:sz w:val="20"/>
                <w:szCs w:val="20"/>
              </w:rPr>
            </w:pPr>
            <w:r w:rsidRPr="00ED4C18">
              <w:rPr>
                <w:rFonts w:ascii="Arial Narrow" w:hAnsi="Arial Narrow"/>
                <w:sz w:val="20"/>
                <w:szCs w:val="20"/>
              </w:rPr>
              <w:t>Peg-IFN + RBV (24-48 weeks)</w:t>
            </w:r>
          </w:p>
        </w:tc>
        <w:tc>
          <w:tcPr>
            <w:tcW w:w="1639" w:type="dxa"/>
            <w:tcBorders>
              <w:top w:val="single" w:sz="4" w:space="0" w:color="auto"/>
              <w:left w:val="nil"/>
              <w:bottom w:val="single" w:sz="4" w:space="0" w:color="auto"/>
              <w:right w:val="single" w:sz="4" w:space="0" w:color="auto"/>
            </w:tcBorders>
            <w:shd w:val="clear" w:color="000000" w:fill="FFFFFF"/>
            <w:vAlign w:val="center"/>
            <w:hideMark/>
          </w:tcPr>
          <w:p w:rsidR="001E5804" w:rsidRPr="00ED4C18" w:rsidRDefault="001E5804" w:rsidP="00882D79">
            <w:pPr>
              <w:jc w:val="center"/>
              <w:rPr>
                <w:rFonts w:ascii="Arial Narrow" w:hAnsi="Arial Narrow"/>
                <w:sz w:val="20"/>
                <w:szCs w:val="20"/>
              </w:rPr>
            </w:pPr>
            <w:r>
              <w:rPr>
                <w:rFonts w:ascii="Arial Narrow" w:hAnsi="Arial Narrow"/>
                <w:sz w:val="20"/>
                <w:szCs w:val="20"/>
              </w:rPr>
              <w:t>$75,000-$105,000</w:t>
            </w:r>
          </w:p>
        </w:tc>
        <w:tc>
          <w:tcPr>
            <w:tcW w:w="1639" w:type="dxa"/>
            <w:tcBorders>
              <w:top w:val="single" w:sz="4" w:space="0" w:color="auto"/>
              <w:left w:val="nil"/>
              <w:bottom w:val="single" w:sz="4" w:space="0" w:color="auto"/>
              <w:right w:val="single" w:sz="4" w:space="0" w:color="auto"/>
            </w:tcBorders>
            <w:shd w:val="clear" w:color="auto" w:fill="auto"/>
            <w:noWrap/>
            <w:vAlign w:val="center"/>
            <w:hideMark/>
          </w:tcPr>
          <w:p w:rsidR="001E5804" w:rsidRPr="00ED4C18" w:rsidRDefault="001E5804" w:rsidP="002D2D24">
            <w:pPr>
              <w:jc w:val="center"/>
              <w:rPr>
                <w:rFonts w:ascii="Arial Narrow" w:hAnsi="Arial Narrow"/>
                <w:sz w:val="20"/>
                <w:szCs w:val="20"/>
              </w:rPr>
            </w:pPr>
            <w:r>
              <w:rPr>
                <w:rFonts w:ascii="Arial Narrow" w:hAnsi="Arial Narrow"/>
                <w:sz w:val="20"/>
                <w:szCs w:val="20"/>
              </w:rPr>
              <w:t>$75,000-$105,000</w:t>
            </w:r>
          </w:p>
        </w:tc>
      </w:tr>
      <w:tr w:rsidR="00ED4C18" w:rsidRPr="00ED4C18" w:rsidTr="001E5804">
        <w:trPr>
          <w:trHeight w:val="308"/>
        </w:trPr>
        <w:tc>
          <w:tcPr>
            <w:tcW w:w="1545" w:type="dxa"/>
            <w:tcBorders>
              <w:top w:val="nil"/>
              <w:left w:val="single" w:sz="4" w:space="0" w:color="auto"/>
              <w:bottom w:val="single" w:sz="4" w:space="0" w:color="auto"/>
              <w:right w:val="nil"/>
            </w:tcBorders>
            <w:shd w:val="clear" w:color="000000" w:fill="F2F2F2"/>
            <w:hideMark/>
          </w:tcPr>
          <w:p w:rsidR="00882D79" w:rsidRPr="00ED4C18" w:rsidRDefault="00882D79" w:rsidP="00FB2B02">
            <w:pPr>
              <w:rPr>
                <w:rFonts w:ascii="Arial Narrow" w:hAnsi="Arial Narrow"/>
                <w:sz w:val="20"/>
                <w:szCs w:val="20"/>
              </w:rPr>
            </w:pPr>
            <w:r w:rsidRPr="00ED4C18">
              <w:rPr>
                <w:rFonts w:ascii="Arial Narrow" w:hAnsi="Arial Narrow"/>
                <w:sz w:val="20"/>
                <w:szCs w:val="20"/>
              </w:rPr>
              <w:t>Interferon unsuitable</w:t>
            </w:r>
          </w:p>
        </w:tc>
        <w:tc>
          <w:tcPr>
            <w:tcW w:w="6825" w:type="dxa"/>
            <w:gridSpan w:val="4"/>
            <w:tcBorders>
              <w:top w:val="single" w:sz="4" w:space="0" w:color="auto"/>
              <w:left w:val="nil"/>
              <w:bottom w:val="single" w:sz="4" w:space="0" w:color="auto"/>
              <w:right w:val="single" w:sz="4" w:space="0" w:color="000000"/>
            </w:tcBorders>
            <w:shd w:val="clear" w:color="000000" w:fill="F2F2F2"/>
            <w:hideMark/>
          </w:tcPr>
          <w:p w:rsidR="00882D79" w:rsidRPr="00ED4C18" w:rsidRDefault="00882D79" w:rsidP="00FB2B02">
            <w:pPr>
              <w:rPr>
                <w:rFonts w:ascii="Arial Narrow" w:hAnsi="Arial Narrow"/>
                <w:sz w:val="20"/>
                <w:szCs w:val="20"/>
              </w:rPr>
            </w:pPr>
            <w:r w:rsidRPr="00ED4C18">
              <w:rPr>
                <w:rFonts w:ascii="Arial Narrow" w:hAnsi="Arial Narrow"/>
                <w:sz w:val="20"/>
                <w:szCs w:val="20"/>
              </w:rPr>
              <w:t> </w:t>
            </w:r>
          </w:p>
        </w:tc>
      </w:tr>
      <w:tr w:rsidR="001E5804" w:rsidRPr="00ED4C18" w:rsidTr="001E5804">
        <w:trPr>
          <w:trHeight w:val="308"/>
        </w:trPr>
        <w:tc>
          <w:tcPr>
            <w:tcW w:w="1545" w:type="dxa"/>
            <w:tcBorders>
              <w:top w:val="nil"/>
              <w:left w:val="single" w:sz="4" w:space="0" w:color="auto"/>
              <w:bottom w:val="single" w:sz="4" w:space="0" w:color="auto"/>
              <w:right w:val="single" w:sz="4" w:space="0" w:color="auto"/>
            </w:tcBorders>
            <w:shd w:val="clear" w:color="auto" w:fill="auto"/>
            <w:vAlign w:val="center"/>
            <w:hideMark/>
          </w:tcPr>
          <w:p w:rsidR="001E5804" w:rsidRPr="00ED4C18" w:rsidRDefault="001E5804" w:rsidP="002D2D24">
            <w:pPr>
              <w:jc w:val="center"/>
              <w:rPr>
                <w:rFonts w:ascii="Arial Narrow" w:hAnsi="Arial Narrow"/>
                <w:sz w:val="20"/>
                <w:szCs w:val="20"/>
              </w:rPr>
            </w:pPr>
            <w:r w:rsidRPr="00ED4C18">
              <w:rPr>
                <w:rFonts w:ascii="Arial Narrow" w:hAnsi="Arial Narrow"/>
                <w:sz w:val="20"/>
                <w:szCs w:val="20"/>
              </w:rPr>
              <w:t>Genotype 1</w:t>
            </w:r>
          </w:p>
        </w:tc>
        <w:tc>
          <w:tcPr>
            <w:tcW w:w="2026" w:type="dxa"/>
            <w:tcBorders>
              <w:top w:val="nil"/>
              <w:left w:val="nil"/>
              <w:bottom w:val="single" w:sz="4" w:space="0" w:color="auto"/>
              <w:right w:val="single" w:sz="4" w:space="0" w:color="auto"/>
            </w:tcBorders>
            <w:shd w:val="clear" w:color="auto" w:fill="auto"/>
            <w:vAlign w:val="center"/>
            <w:hideMark/>
          </w:tcPr>
          <w:p w:rsidR="001E5804" w:rsidRPr="00ED4C18" w:rsidRDefault="001E5804" w:rsidP="002D2D24">
            <w:pPr>
              <w:jc w:val="center"/>
              <w:rPr>
                <w:rFonts w:ascii="Arial Narrow" w:hAnsi="Arial Narrow"/>
                <w:sz w:val="20"/>
                <w:szCs w:val="20"/>
              </w:rPr>
            </w:pPr>
            <w:r w:rsidRPr="00ED4C18">
              <w:rPr>
                <w:rFonts w:ascii="Arial Narrow" w:hAnsi="Arial Narrow"/>
                <w:sz w:val="20"/>
                <w:szCs w:val="20"/>
              </w:rPr>
              <w:t>SOF + RBV, 24weeks</w:t>
            </w:r>
          </w:p>
        </w:tc>
        <w:tc>
          <w:tcPr>
            <w:tcW w:w="1521" w:type="dxa"/>
            <w:tcBorders>
              <w:top w:val="nil"/>
              <w:left w:val="nil"/>
              <w:bottom w:val="single" w:sz="4" w:space="0" w:color="auto"/>
              <w:right w:val="single" w:sz="4" w:space="0" w:color="auto"/>
            </w:tcBorders>
            <w:shd w:val="clear" w:color="auto" w:fill="auto"/>
            <w:vAlign w:val="center"/>
            <w:hideMark/>
          </w:tcPr>
          <w:p w:rsidR="001E5804" w:rsidRPr="00ED4C18" w:rsidRDefault="001E5804" w:rsidP="002D2D24">
            <w:pPr>
              <w:jc w:val="center"/>
              <w:rPr>
                <w:rFonts w:ascii="Arial Narrow" w:hAnsi="Arial Narrow"/>
                <w:sz w:val="20"/>
                <w:szCs w:val="20"/>
              </w:rPr>
            </w:pPr>
            <w:r w:rsidRPr="00ED4C18">
              <w:rPr>
                <w:rFonts w:ascii="Arial Narrow" w:hAnsi="Arial Narrow"/>
                <w:sz w:val="20"/>
                <w:szCs w:val="20"/>
              </w:rPr>
              <w:t>No treatment</w:t>
            </w:r>
          </w:p>
        </w:tc>
        <w:tc>
          <w:tcPr>
            <w:tcW w:w="1639" w:type="dxa"/>
            <w:tcBorders>
              <w:top w:val="nil"/>
              <w:left w:val="nil"/>
              <w:bottom w:val="single" w:sz="4" w:space="0" w:color="auto"/>
              <w:right w:val="single" w:sz="4" w:space="0" w:color="auto"/>
            </w:tcBorders>
            <w:shd w:val="clear" w:color="000000" w:fill="FFFFFF"/>
            <w:vAlign w:val="center"/>
            <w:hideMark/>
          </w:tcPr>
          <w:p w:rsidR="001E5804" w:rsidRPr="00ED4C18" w:rsidRDefault="001E5804" w:rsidP="002D2D24">
            <w:pPr>
              <w:jc w:val="center"/>
              <w:rPr>
                <w:rFonts w:ascii="Arial Narrow" w:hAnsi="Arial Narrow"/>
                <w:sz w:val="20"/>
                <w:szCs w:val="20"/>
              </w:rPr>
            </w:pPr>
            <w:r>
              <w:rPr>
                <w:rFonts w:ascii="Arial Narrow" w:hAnsi="Arial Narrow"/>
                <w:sz w:val="20"/>
                <w:szCs w:val="20"/>
              </w:rPr>
              <w:t>$105,000-$200,000</w:t>
            </w:r>
          </w:p>
        </w:tc>
        <w:tc>
          <w:tcPr>
            <w:tcW w:w="1639" w:type="dxa"/>
            <w:tcBorders>
              <w:top w:val="nil"/>
              <w:left w:val="nil"/>
              <w:bottom w:val="single" w:sz="4" w:space="0" w:color="auto"/>
              <w:right w:val="single" w:sz="4" w:space="0" w:color="auto"/>
            </w:tcBorders>
            <w:shd w:val="clear" w:color="auto" w:fill="auto"/>
            <w:noWrap/>
            <w:vAlign w:val="center"/>
            <w:hideMark/>
          </w:tcPr>
          <w:p w:rsidR="001E5804" w:rsidRPr="00ED4C18" w:rsidRDefault="001E5804" w:rsidP="002D2D24">
            <w:pPr>
              <w:jc w:val="center"/>
              <w:rPr>
                <w:rFonts w:ascii="Arial Narrow" w:hAnsi="Arial Narrow"/>
                <w:sz w:val="20"/>
                <w:szCs w:val="20"/>
              </w:rPr>
            </w:pPr>
            <w:r>
              <w:rPr>
                <w:rFonts w:ascii="Arial Narrow" w:hAnsi="Arial Narrow"/>
                <w:sz w:val="20"/>
                <w:szCs w:val="20"/>
              </w:rPr>
              <w:t>$105,000-$200,000</w:t>
            </w:r>
          </w:p>
        </w:tc>
      </w:tr>
      <w:tr w:rsidR="001E5804" w:rsidRPr="00ED4C18" w:rsidTr="001E5804">
        <w:trPr>
          <w:trHeight w:val="308"/>
        </w:trPr>
        <w:tc>
          <w:tcPr>
            <w:tcW w:w="1545" w:type="dxa"/>
            <w:tcBorders>
              <w:top w:val="nil"/>
              <w:left w:val="single" w:sz="4" w:space="0" w:color="auto"/>
              <w:bottom w:val="single" w:sz="4" w:space="0" w:color="auto"/>
              <w:right w:val="single" w:sz="4" w:space="0" w:color="auto"/>
            </w:tcBorders>
            <w:shd w:val="clear" w:color="auto" w:fill="auto"/>
            <w:vAlign w:val="center"/>
            <w:hideMark/>
          </w:tcPr>
          <w:p w:rsidR="001E5804" w:rsidRPr="00ED4C18" w:rsidRDefault="001E5804" w:rsidP="002D2D24">
            <w:pPr>
              <w:jc w:val="center"/>
              <w:rPr>
                <w:rFonts w:ascii="Arial Narrow" w:hAnsi="Arial Narrow"/>
                <w:sz w:val="20"/>
                <w:szCs w:val="20"/>
              </w:rPr>
            </w:pPr>
            <w:r w:rsidRPr="00ED4C18">
              <w:rPr>
                <w:rFonts w:ascii="Arial Narrow" w:hAnsi="Arial Narrow"/>
                <w:sz w:val="20"/>
                <w:szCs w:val="20"/>
              </w:rPr>
              <w:t>Genotype 2</w:t>
            </w:r>
          </w:p>
        </w:tc>
        <w:tc>
          <w:tcPr>
            <w:tcW w:w="2026" w:type="dxa"/>
            <w:tcBorders>
              <w:top w:val="nil"/>
              <w:left w:val="nil"/>
              <w:bottom w:val="single" w:sz="4" w:space="0" w:color="auto"/>
              <w:right w:val="single" w:sz="4" w:space="0" w:color="auto"/>
            </w:tcBorders>
            <w:shd w:val="clear" w:color="auto" w:fill="auto"/>
            <w:vAlign w:val="center"/>
            <w:hideMark/>
          </w:tcPr>
          <w:p w:rsidR="001E5804" w:rsidRPr="00ED4C18" w:rsidRDefault="001E5804" w:rsidP="002D2D24">
            <w:pPr>
              <w:jc w:val="center"/>
              <w:rPr>
                <w:rFonts w:ascii="Arial Narrow" w:hAnsi="Arial Narrow"/>
                <w:sz w:val="20"/>
                <w:szCs w:val="20"/>
              </w:rPr>
            </w:pPr>
            <w:r w:rsidRPr="00ED4C18">
              <w:rPr>
                <w:rFonts w:ascii="Arial Narrow" w:hAnsi="Arial Narrow"/>
                <w:sz w:val="20"/>
                <w:szCs w:val="20"/>
              </w:rPr>
              <w:t>SOF + RBV, 12 weeks</w:t>
            </w:r>
          </w:p>
        </w:tc>
        <w:tc>
          <w:tcPr>
            <w:tcW w:w="1521" w:type="dxa"/>
            <w:tcBorders>
              <w:top w:val="nil"/>
              <w:left w:val="nil"/>
              <w:bottom w:val="single" w:sz="4" w:space="0" w:color="auto"/>
              <w:right w:val="single" w:sz="4" w:space="0" w:color="auto"/>
            </w:tcBorders>
            <w:shd w:val="clear" w:color="auto" w:fill="auto"/>
            <w:vAlign w:val="center"/>
            <w:hideMark/>
          </w:tcPr>
          <w:p w:rsidR="001E5804" w:rsidRPr="00ED4C18" w:rsidRDefault="001E5804" w:rsidP="002D2D24">
            <w:pPr>
              <w:jc w:val="center"/>
              <w:rPr>
                <w:rFonts w:ascii="Arial Narrow" w:hAnsi="Arial Narrow"/>
                <w:sz w:val="20"/>
                <w:szCs w:val="20"/>
              </w:rPr>
            </w:pPr>
            <w:r w:rsidRPr="00ED4C18">
              <w:rPr>
                <w:rFonts w:ascii="Arial Narrow" w:hAnsi="Arial Narrow"/>
                <w:sz w:val="20"/>
                <w:szCs w:val="20"/>
              </w:rPr>
              <w:t>No treatment</w:t>
            </w:r>
          </w:p>
        </w:tc>
        <w:tc>
          <w:tcPr>
            <w:tcW w:w="1639" w:type="dxa"/>
            <w:tcBorders>
              <w:top w:val="nil"/>
              <w:left w:val="nil"/>
              <w:bottom w:val="single" w:sz="4" w:space="0" w:color="auto"/>
              <w:right w:val="single" w:sz="4" w:space="0" w:color="auto"/>
            </w:tcBorders>
            <w:shd w:val="clear" w:color="000000" w:fill="FFFFFF"/>
            <w:vAlign w:val="center"/>
            <w:hideMark/>
          </w:tcPr>
          <w:p w:rsidR="001E5804" w:rsidRPr="00ED4C18" w:rsidRDefault="001E5804" w:rsidP="002D2D24">
            <w:pPr>
              <w:jc w:val="center"/>
              <w:rPr>
                <w:rFonts w:ascii="Arial Narrow" w:hAnsi="Arial Narrow"/>
                <w:sz w:val="20"/>
                <w:szCs w:val="20"/>
              </w:rPr>
            </w:pPr>
            <w:r>
              <w:rPr>
                <w:rFonts w:ascii="Arial Narrow" w:hAnsi="Arial Narrow"/>
                <w:sz w:val="20"/>
                <w:szCs w:val="20"/>
              </w:rPr>
              <w:t>$15,000-$45,000</w:t>
            </w:r>
          </w:p>
        </w:tc>
        <w:tc>
          <w:tcPr>
            <w:tcW w:w="1639" w:type="dxa"/>
            <w:tcBorders>
              <w:top w:val="nil"/>
              <w:left w:val="nil"/>
              <w:bottom w:val="single" w:sz="4" w:space="0" w:color="auto"/>
              <w:right w:val="single" w:sz="4" w:space="0" w:color="auto"/>
            </w:tcBorders>
            <w:shd w:val="clear" w:color="auto" w:fill="auto"/>
            <w:noWrap/>
            <w:vAlign w:val="center"/>
            <w:hideMark/>
          </w:tcPr>
          <w:p w:rsidR="001E5804" w:rsidRPr="00ED4C18" w:rsidRDefault="001E5804" w:rsidP="002D2D24">
            <w:pPr>
              <w:jc w:val="center"/>
              <w:rPr>
                <w:rFonts w:ascii="Arial Narrow" w:hAnsi="Arial Narrow"/>
                <w:sz w:val="20"/>
                <w:szCs w:val="20"/>
              </w:rPr>
            </w:pPr>
            <w:r>
              <w:rPr>
                <w:rFonts w:ascii="Arial Narrow" w:hAnsi="Arial Narrow"/>
                <w:sz w:val="20"/>
                <w:szCs w:val="20"/>
              </w:rPr>
              <w:t>$15,000-$45,000</w:t>
            </w:r>
          </w:p>
        </w:tc>
      </w:tr>
      <w:tr w:rsidR="001E5804" w:rsidRPr="00ED4C18" w:rsidTr="001E5804">
        <w:trPr>
          <w:trHeight w:val="308"/>
        </w:trPr>
        <w:tc>
          <w:tcPr>
            <w:tcW w:w="1545" w:type="dxa"/>
            <w:tcBorders>
              <w:top w:val="nil"/>
              <w:left w:val="single" w:sz="4" w:space="0" w:color="auto"/>
              <w:bottom w:val="single" w:sz="4" w:space="0" w:color="auto"/>
              <w:right w:val="single" w:sz="4" w:space="0" w:color="auto"/>
            </w:tcBorders>
            <w:shd w:val="clear" w:color="auto" w:fill="auto"/>
            <w:vAlign w:val="center"/>
            <w:hideMark/>
          </w:tcPr>
          <w:p w:rsidR="001E5804" w:rsidRPr="00ED4C18" w:rsidRDefault="001E5804" w:rsidP="002D2D24">
            <w:pPr>
              <w:jc w:val="center"/>
              <w:rPr>
                <w:rFonts w:ascii="Arial Narrow" w:hAnsi="Arial Narrow"/>
                <w:sz w:val="20"/>
                <w:szCs w:val="20"/>
              </w:rPr>
            </w:pPr>
            <w:r w:rsidRPr="00ED4C18">
              <w:rPr>
                <w:rFonts w:ascii="Arial Narrow" w:hAnsi="Arial Narrow"/>
                <w:sz w:val="20"/>
                <w:szCs w:val="20"/>
              </w:rPr>
              <w:t>Genotype 3</w:t>
            </w:r>
          </w:p>
        </w:tc>
        <w:tc>
          <w:tcPr>
            <w:tcW w:w="2026" w:type="dxa"/>
            <w:tcBorders>
              <w:top w:val="nil"/>
              <w:left w:val="nil"/>
              <w:bottom w:val="single" w:sz="4" w:space="0" w:color="auto"/>
              <w:right w:val="single" w:sz="4" w:space="0" w:color="auto"/>
            </w:tcBorders>
            <w:shd w:val="clear" w:color="auto" w:fill="auto"/>
            <w:vAlign w:val="center"/>
            <w:hideMark/>
          </w:tcPr>
          <w:p w:rsidR="001E5804" w:rsidRPr="00ED4C18" w:rsidRDefault="001E5804" w:rsidP="002D2D24">
            <w:pPr>
              <w:jc w:val="center"/>
              <w:rPr>
                <w:rFonts w:ascii="Arial Narrow" w:hAnsi="Arial Narrow"/>
                <w:sz w:val="20"/>
                <w:szCs w:val="20"/>
              </w:rPr>
            </w:pPr>
            <w:r w:rsidRPr="00ED4C18">
              <w:rPr>
                <w:rFonts w:ascii="Arial Narrow" w:hAnsi="Arial Narrow"/>
                <w:sz w:val="20"/>
                <w:szCs w:val="20"/>
              </w:rPr>
              <w:t>SOF + RBV, 24 weeks</w:t>
            </w:r>
          </w:p>
        </w:tc>
        <w:tc>
          <w:tcPr>
            <w:tcW w:w="1521" w:type="dxa"/>
            <w:tcBorders>
              <w:top w:val="nil"/>
              <w:left w:val="nil"/>
              <w:bottom w:val="single" w:sz="4" w:space="0" w:color="auto"/>
              <w:right w:val="single" w:sz="4" w:space="0" w:color="auto"/>
            </w:tcBorders>
            <w:shd w:val="clear" w:color="auto" w:fill="auto"/>
            <w:vAlign w:val="center"/>
            <w:hideMark/>
          </w:tcPr>
          <w:p w:rsidR="001E5804" w:rsidRPr="00ED4C18" w:rsidRDefault="001E5804" w:rsidP="002D2D24">
            <w:pPr>
              <w:jc w:val="center"/>
              <w:rPr>
                <w:rFonts w:ascii="Arial Narrow" w:hAnsi="Arial Narrow"/>
                <w:sz w:val="20"/>
                <w:szCs w:val="20"/>
              </w:rPr>
            </w:pPr>
            <w:r w:rsidRPr="00ED4C18">
              <w:rPr>
                <w:rFonts w:ascii="Arial Narrow" w:hAnsi="Arial Narrow"/>
                <w:sz w:val="20"/>
                <w:szCs w:val="20"/>
              </w:rPr>
              <w:t>No treatment</w:t>
            </w:r>
          </w:p>
        </w:tc>
        <w:tc>
          <w:tcPr>
            <w:tcW w:w="1639" w:type="dxa"/>
            <w:tcBorders>
              <w:top w:val="nil"/>
              <w:left w:val="nil"/>
              <w:bottom w:val="single" w:sz="4" w:space="0" w:color="auto"/>
              <w:right w:val="single" w:sz="4" w:space="0" w:color="auto"/>
            </w:tcBorders>
            <w:shd w:val="clear" w:color="000000" w:fill="FFFFFF"/>
            <w:vAlign w:val="center"/>
            <w:hideMark/>
          </w:tcPr>
          <w:p w:rsidR="001E5804" w:rsidRPr="00ED4C18" w:rsidRDefault="001E5804" w:rsidP="002D2D24">
            <w:pPr>
              <w:jc w:val="center"/>
              <w:rPr>
                <w:rFonts w:ascii="Arial Narrow" w:hAnsi="Arial Narrow"/>
                <w:sz w:val="20"/>
                <w:szCs w:val="20"/>
              </w:rPr>
            </w:pPr>
            <w:r>
              <w:rPr>
                <w:rFonts w:ascii="Arial Narrow" w:hAnsi="Arial Narrow"/>
                <w:sz w:val="20"/>
                <w:szCs w:val="20"/>
              </w:rPr>
              <w:t>$45,000-$75,000</w:t>
            </w:r>
          </w:p>
        </w:tc>
        <w:tc>
          <w:tcPr>
            <w:tcW w:w="1639" w:type="dxa"/>
            <w:tcBorders>
              <w:top w:val="nil"/>
              <w:left w:val="nil"/>
              <w:bottom w:val="single" w:sz="4" w:space="0" w:color="auto"/>
              <w:right w:val="single" w:sz="4" w:space="0" w:color="auto"/>
            </w:tcBorders>
            <w:shd w:val="clear" w:color="auto" w:fill="auto"/>
            <w:noWrap/>
            <w:vAlign w:val="center"/>
            <w:hideMark/>
          </w:tcPr>
          <w:p w:rsidR="001E5804" w:rsidRPr="00ED4C18" w:rsidRDefault="001E5804" w:rsidP="002D2D24">
            <w:pPr>
              <w:jc w:val="center"/>
              <w:rPr>
                <w:rFonts w:ascii="Arial Narrow" w:hAnsi="Arial Narrow"/>
                <w:sz w:val="20"/>
                <w:szCs w:val="20"/>
              </w:rPr>
            </w:pPr>
            <w:r>
              <w:rPr>
                <w:rFonts w:ascii="Arial Narrow" w:hAnsi="Arial Narrow"/>
                <w:sz w:val="20"/>
                <w:szCs w:val="20"/>
              </w:rPr>
              <w:t>$75,000-$105,000</w:t>
            </w:r>
          </w:p>
        </w:tc>
      </w:tr>
      <w:tr w:rsidR="00ED4C18" w:rsidRPr="00ED4C18" w:rsidTr="00B85146">
        <w:trPr>
          <w:trHeight w:val="308"/>
        </w:trPr>
        <w:tc>
          <w:tcPr>
            <w:tcW w:w="8370" w:type="dxa"/>
            <w:gridSpan w:val="5"/>
            <w:tcBorders>
              <w:top w:val="single" w:sz="4" w:space="0" w:color="auto"/>
              <w:left w:val="single" w:sz="4" w:space="0" w:color="auto"/>
              <w:bottom w:val="single" w:sz="4" w:space="0" w:color="auto"/>
              <w:right w:val="single" w:sz="4" w:space="0" w:color="000000"/>
            </w:tcBorders>
            <w:shd w:val="clear" w:color="000000" w:fill="D9D9D9"/>
            <w:hideMark/>
          </w:tcPr>
          <w:p w:rsidR="00882D79" w:rsidRPr="00ED4C18" w:rsidRDefault="00882D79" w:rsidP="00FB2B02">
            <w:pPr>
              <w:rPr>
                <w:rFonts w:ascii="Arial Narrow" w:hAnsi="Arial Narrow"/>
                <w:iCs/>
                <w:sz w:val="20"/>
                <w:szCs w:val="20"/>
              </w:rPr>
            </w:pPr>
            <w:r w:rsidRPr="00ED4C18">
              <w:rPr>
                <w:rFonts w:ascii="Arial Narrow" w:hAnsi="Arial Narrow"/>
                <w:iCs/>
                <w:sz w:val="20"/>
                <w:szCs w:val="20"/>
              </w:rPr>
              <w:t>Treatment Experienced</w:t>
            </w:r>
          </w:p>
        </w:tc>
      </w:tr>
      <w:tr w:rsidR="00ED4C18" w:rsidRPr="00ED4C18" w:rsidTr="00B85146">
        <w:trPr>
          <w:trHeight w:val="308"/>
        </w:trPr>
        <w:tc>
          <w:tcPr>
            <w:tcW w:w="8370" w:type="dxa"/>
            <w:gridSpan w:val="5"/>
            <w:tcBorders>
              <w:top w:val="single" w:sz="4" w:space="0" w:color="auto"/>
              <w:left w:val="single" w:sz="4" w:space="0" w:color="auto"/>
              <w:bottom w:val="single" w:sz="4" w:space="0" w:color="auto"/>
              <w:right w:val="single" w:sz="4" w:space="0" w:color="000000"/>
            </w:tcBorders>
            <w:shd w:val="clear" w:color="000000" w:fill="F2F2F2"/>
            <w:hideMark/>
          </w:tcPr>
          <w:p w:rsidR="00882D79" w:rsidRPr="00ED4C18" w:rsidRDefault="00882D79" w:rsidP="00FB2B02">
            <w:pPr>
              <w:rPr>
                <w:rFonts w:ascii="Arial Narrow" w:hAnsi="Arial Narrow"/>
                <w:sz w:val="20"/>
                <w:szCs w:val="20"/>
              </w:rPr>
            </w:pPr>
            <w:r w:rsidRPr="00ED4C18">
              <w:rPr>
                <w:rFonts w:ascii="Arial Narrow" w:hAnsi="Arial Narrow"/>
                <w:sz w:val="20"/>
                <w:szCs w:val="20"/>
              </w:rPr>
              <w:t>Interferon eligible</w:t>
            </w:r>
          </w:p>
        </w:tc>
      </w:tr>
      <w:tr w:rsidR="001E5804" w:rsidRPr="00ED4C18" w:rsidTr="001E5804">
        <w:trPr>
          <w:trHeight w:val="308"/>
        </w:trPr>
        <w:tc>
          <w:tcPr>
            <w:tcW w:w="1545" w:type="dxa"/>
            <w:tcBorders>
              <w:top w:val="nil"/>
              <w:left w:val="single" w:sz="4" w:space="0" w:color="auto"/>
              <w:bottom w:val="single" w:sz="4" w:space="0" w:color="auto"/>
              <w:right w:val="single" w:sz="4" w:space="0" w:color="auto"/>
            </w:tcBorders>
            <w:shd w:val="clear" w:color="auto" w:fill="auto"/>
            <w:vAlign w:val="center"/>
            <w:hideMark/>
          </w:tcPr>
          <w:p w:rsidR="001E5804" w:rsidRPr="00ED4C18" w:rsidRDefault="001E5804" w:rsidP="002D2D24">
            <w:pPr>
              <w:jc w:val="center"/>
              <w:rPr>
                <w:rFonts w:ascii="Arial Narrow" w:hAnsi="Arial Narrow"/>
                <w:sz w:val="20"/>
                <w:szCs w:val="20"/>
              </w:rPr>
            </w:pPr>
            <w:r w:rsidRPr="00ED4C18">
              <w:rPr>
                <w:rFonts w:ascii="Arial Narrow" w:hAnsi="Arial Narrow"/>
                <w:sz w:val="20"/>
                <w:szCs w:val="20"/>
              </w:rPr>
              <w:t>Genotype 2</w:t>
            </w:r>
          </w:p>
        </w:tc>
        <w:tc>
          <w:tcPr>
            <w:tcW w:w="2026" w:type="dxa"/>
            <w:tcBorders>
              <w:top w:val="nil"/>
              <w:left w:val="nil"/>
              <w:bottom w:val="single" w:sz="4" w:space="0" w:color="auto"/>
              <w:right w:val="single" w:sz="4" w:space="0" w:color="auto"/>
            </w:tcBorders>
            <w:shd w:val="clear" w:color="auto" w:fill="auto"/>
            <w:vAlign w:val="center"/>
            <w:hideMark/>
          </w:tcPr>
          <w:p w:rsidR="001E5804" w:rsidRPr="00ED4C18" w:rsidRDefault="001E5804" w:rsidP="002D2D24">
            <w:pPr>
              <w:jc w:val="center"/>
              <w:rPr>
                <w:rFonts w:ascii="Arial Narrow" w:hAnsi="Arial Narrow"/>
                <w:sz w:val="20"/>
                <w:szCs w:val="20"/>
              </w:rPr>
            </w:pPr>
            <w:r w:rsidRPr="00ED4C18">
              <w:rPr>
                <w:rFonts w:ascii="Arial Narrow" w:hAnsi="Arial Narrow"/>
                <w:sz w:val="20"/>
                <w:szCs w:val="20"/>
              </w:rPr>
              <w:t>SOF + RBV, 12 weeks</w:t>
            </w:r>
          </w:p>
        </w:tc>
        <w:tc>
          <w:tcPr>
            <w:tcW w:w="1521" w:type="dxa"/>
            <w:tcBorders>
              <w:top w:val="nil"/>
              <w:left w:val="nil"/>
              <w:bottom w:val="single" w:sz="4" w:space="0" w:color="auto"/>
              <w:right w:val="single" w:sz="4" w:space="0" w:color="auto"/>
            </w:tcBorders>
            <w:shd w:val="clear" w:color="auto" w:fill="auto"/>
            <w:vAlign w:val="center"/>
            <w:hideMark/>
          </w:tcPr>
          <w:p w:rsidR="001E5804" w:rsidRPr="00ED4C18" w:rsidRDefault="001E5804" w:rsidP="002D2D24">
            <w:pPr>
              <w:jc w:val="center"/>
              <w:rPr>
                <w:rFonts w:ascii="Arial Narrow" w:hAnsi="Arial Narrow"/>
                <w:sz w:val="20"/>
                <w:szCs w:val="20"/>
              </w:rPr>
            </w:pPr>
            <w:r w:rsidRPr="00ED4C18">
              <w:rPr>
                <w:rFonts w:ascii="Arial Narrow" w:hAnsi="Arial Narrow"/>
                <w:sz w:val="20"/>
                <w:szCs w:val="20"/>
              </w:rPr>
              <w:t>No treatment</w:t>
            </w:r>
          </w:p>
        </w:tc>
        <w:tc>
          <w:tcPr>
            <w:tcW w:w="1639" w:type="dxa"/>
            <w:tcBorders>
              <w:top w:val="nil"/>
              <w:left w:val="nil"/>
              <w:bottom w:val="single" w:sz="4" w:space="0" w:color="auto"/>
              <w:right w:val="single" w:sz="4" w:space="0" w:color="auto"/>
            </w:tcBorders>
            <w:shd w:val="clear" w:color="000000" w:fill="FFFFFF"/>
            <w:vAlign w:val="center"/>
            <w:hideMark/>
          </w:tcPr>
          <w:p w:rsidR="001E5804" w:rsidRPr="00ED4C18" w:rsidRDefault="001E5804" w:rsidP="002D2D24">
            <w:pPr>
              <w:jc w:val="center"/>
              <w:rPr>
                <w:rFonts w:ascii="Arial Narrow" w:hAnsi="Arial Narrow"/>
                <w:sz w:val="20"/>
                <w:szCs w:val="20"/>
              </w:rPr>
            </w:pPr>
            <w:r>
              <w:rPr>
                <w:rFonts w:ascii="Arial Narrow" w:hAnsi="Arial Narrow"/>
                <w:sz w:val="20"/>
                <w:szCs w:val="20"/>
              </w:rPr>
              <w:t>$15,000-$45,000</w:t>
            </w:r>
          </w:p>
        </w:tc>
        <w:tc>
          <w:tcPr>
            <w:tcW w:w="1639" w:type="dxa"/>
            <w:tcBorders>
              <w:top w:val="nil"/>
              <w:left w:val="nil"/>
              <w:bottom w:val="single" w:sz="4" w:space="0" w:color="auto"/>
              <w:right w:val="single" w:sz="4" w:space="0" w:color="auto"/>
            </w:tcBorders>
            <w:shd w:val="clear" w:color="auto" w:fill="auto"/>
            <w:noWrap/>
            <w:vAlign w:val="center"/>
            <w:hideMark/>
          </w:tcPr>
          <w:p w:rsidR="001E5804" w:rsidRPr="00ED4C18" w:rsidRDefault="001E5804" w:rsidP="002D2D24">
            <w:pPr>
              <w:jc w:val="center"/>
              <w:rPr>
                <w:rFonts w:ascii="Arial Narrow" w:hAnsi="Arial Narrow"/>
                <w:sz w:val="20"/>
                <w:szCs w:val="20"/>
              </w:rPr>
            </w:pPr>
            <w:r>
              <w:rPr>
                <w:rFonts w:ascii="Arial Narrow" w:hAnsi="Arial Narrow"/>
                <w:sz w:val="20"/>
                <w:szCs w:val="20"/>
              </w:rPr>
              <w:t>$15,000-$45,000</w:t>
            </w:r>
          </w:p>
        </w:tc>
      </w:tr>
      <w:tr w:rsidR="001E5804" w:rsidRPr="00ED4C18" w:rsidTr="001E5804">
        <w:trPr>
          <w:trHeight w:val="523"/>
        </w:trPr>
        <w:tc>
          <w:tcPr>
            <w:tcW w:w="1545" w:type="dxa"/>
            <w:vMerge w:val="restart"/>
            <w:tcBorders>
              <w:top w:val="nil"/>
              <w:left w:val="single" w:sz="4" w:space="0" w:color="auto"/>
              <w:bottom w:val="single" w:sz="4" w:space="0" w:color="000000"/>
              <w:right w:val="single" w:sz="4" w:space="0" w:color="auto"/>
            </w:tcBorders>
            <w:shd w:val="clear" w:color="auto" w:fill="auto"/>
            <w:vAlign w:val="center"/>
            <w:hideMark/>
          </w:tcPr>
          <w:p w:rsidR="001E5804" w:rsidRPr="00ED4C18" w:rsidRDefault="001E5804" w:rsidP="002D2D24">
            <w:pPr>
              <w:jc w:val="center"/>
              <w:rPr>
                <w:rFonts w:ascii="Arial Narrow" w:hAnsi="Arial Narrow"/>
                <w:sz w:val="20"/>
                <w:szCs w:val="20"/>
              </w:rPr>
            </w:pPr>
            <w:r w:rsidRPr="00ED4C18">
              <w:rPr>
                <w:rFonts w:ascii="Arial Narrow" w:hAnsi="Arial Narrow"/>
                <w:sz w:val="20"/>
                <w:szCs w:val="20"/>
              </w:rPr>
              <w:t>Genotype 3</w:t>
            </w:r>
          </w:p>
        </w:tc>
        <w:tc>
          <w:tcPr>
            <w:tcW w:w="2026" w:type="dxa"/>
            <w:tcBorders>
              <w:top w:val="nil"/>
              <w:left w:val="nil"/>
              <w:bottom w:val="single" w:sz="4" w:space="0" w:color="auto"/>
              <w:right w:val="single" w:sz="4" w:space="0" w:color="auto"/>
            </w:tcBorders>
            <w:shd w:val="clear" w:color="auto" w:fill="auto"/>
            <w:vAlign w:val="center"/>
            <w:hideMark/>
          </w:tcPr>
          <w:p w:rsidR="001E5804" w:rsidRPr="00ED4C18" w:rsidRDefault="001E5804" w:rsidP="002D2D24">
            <w:pPr>
              <w:jc w:val="center"/>
              <w:rPr>
                <w:rFonts w:ascii="Arial Narrow" w:hAnsi="Arial Narrow"/>
                <w:sz w:val="20"/>
                <w:szCs w:val="20"/>
              </w:rPr>
            </w:pPr>
            <w:r w:rsidRPr="00ED4C18">
              <w:rPr>
                <w:rFonts w:ascii="Arial Narrow" w:hAnsi="Arial Narrow"/>
                <w:sz w:val="20"/>
                <w:szCs w:val="20"/>
              </w:rPr>
              <w:t>SOF + RBV + Peg-IFN, 12 weeks</w:t>
            </w:r>
          </w:p>
        </w:tc>
        <w:tc>
          <w:tcPr>
            <w:tcW w:w="1521" w:type="dxa"/>
            <w:vMerge w:val="restart"/>
            <w:tcBorders>
              <w:top w:val="nil"/>
              <w:left w:val="single" w:sz="4" w:space="0" w:color="auto"/>
              <w:bottom w:val="single" w:sz="4" w:space="0" w:color="000000"/>
              <w:right w:val="single" w:sz="4" w:space="0" w:color="auto"/>
            </w:tcBorders>
            <w:shd w:val="clear" w:color="auto" w:fill="auto"/>
            <w:vAlign w:val="center"/>
            <w:hideMark/>
          </w:tcPr>
          <w:p w:rsidR="001E5804" w:rsidRPr="00ED4C18" w:rsidRDefault="001E5804" w:rsidP="002D2D24">
            <w:pPr>
              <w:jc w:val="center"/>
              <w:rPr>
                <w:rFonts w:ascii="Arial Narrow" w:hAnsi="Arial Narrow"/>
                <w:sz w:val="20"/>
                <w:szCs w:val="20"/>
              </w:rPr>
            </w:pPr>
            <w:r w:rsidRPr="00ED4C18">
              <w:rPr>
                <w:rFonts w:ascii="Arial Narrow" w:hAnsi="Arial Narrow"/>
                <w:sz w:val="20"/>
                <w:szCs w:val="20"/>
              </w:rPr>
              <w:t>No treatment</w:t>
            </w:r>
          </w:p>
        </w:tc>
        <w:tc>
          <w:tcPr>
            <w:tcW w:w="1639" w:type="dxa"/>
            <w:tcBorders>
              <w:top w:val="nil"/>
              <w:left w:val="nil"/>
              <w:bottom w:val="single" w:sz="4" w:space="0" w:color="auto"/>
              <w:right w:val="single" w:sz="4" w:space="0" w:color="auto"/>
            </w:tcBorders>
            <w:shd w:val="clear" w:color="000000" w:fill="FFFFFF"/>
            <w:vAlign w:val="center"/>
            <w:hideMark/>
          </w:tcPr>
          <w:p w:rsidR="001E5804" w:rsidRPr="00ED4C18" w:rsidRDefault="001E5804" w:rsidP="002D2D24">
            <w:pPr>
              <w:jc w:val="center"/>
              <w:rPr>
                <w:rFonts w:ascii="Arial Narrow" w:hAnsi="Arial Narrow"/>
                <w:sz w:val="20"/>
                <w:szCs w:val="20"/>
              </w:rPr>
            </w:pPr>
            <w:r w:rsidRPr="00ED4C18">
              <w:rPr>
                <w:rFonts w:ascii="Arial Narrow" w:hAnsi="Arial Narrow"/>
                <w:sz w:val="20"/>
                <w:szCs w:val="20"/>
              </w:rPr>
              <w:t>$31,450</w:t>
            </w:r>
          </w:p>
        </w:tc>
        <w:tc>
          <w:tcPr>
            <w:tcW w:w="1639" w:type="dxa"/>
            <w:tcBorders>
              <w:top w:val="nil"/>
              <w:left w:val="nil"/>
              <w:bottom w:val="single" w:sz="4" w:space="0" w:color="auto"/>
              <w:right w:val="single" w:sz="4" w:space="0" w:color="auto"/>
            </w:tcBorders>
            <w:shd w:val="clear" w:color="auto" w:fill="auto"/>
            <w:noWrap/>
            <w:vAlign w:val="center"/>
            <w:hideMark/>
          </w:tcPr>
          <w:p w:rsidR="001E5804" w:rsidRPr="00ED4C18" w:rsidRDefault="001E5804" w:rsidP="002D2D24">
            <w:pPr>
              <w:jc w:val="center"/>
              <w:rPr>
                <w:rFonts w:ascii="Arial Narrow" w:hAnsi="Arial Narrow"/>
                <w:sz w:val="20"/>
                <w:szCs w:val="20"/>
              </w:rPr>
            </w:pPr>
            <w:r w:rsidRPr="00ED4C18">
              <w:rPr>
                <w:rFonts w:ascii="Arial Narrow" w:hAnsi="Arial Narrow"/>
                <w:sz w:val="20"/>
                <w:szCs w:val="20"/>
              </w:rPr>
              <w:t>$38,719</w:t>
            </w:r>
          </w:p>
        </w:tc>
      </w:tr>
      <w:tr w:rsidR="001E5804" w:rsidRPr="00ED4C18" w:rsidTr="001E5804">
        <w:trPr>
          <w:trHeight w:val="308"/>
        </w:trPr>
        <w:tc>
          <w:tcPr>
            <w:tcW w:w="1545" w:type="dxa"/>
            <w:vMerge/>
            <w:tcBorders>
              <w:top w:val="nil"/>
              <w:left w:val="single" w:sz="4" w:space="0" w:color="auto"/>
              <w:bottom w:val="single" w:sz="4" w:space="0" w:color="000000"/>
              <w:right w:val="single" w:sz="4" w:space="0" w:color="auto"/>
            </w:tcBorders>
            <w:vAlign w:val="center"/>
            <w:hideMark/>
          </w:tcPr>
          <w:p w:rsidR="001E5804" w:rsidRPr="00ED4C18" w:rsidRDefault="001E5804" w:rsidP="002D2D24">
            <w:pPr>
              <w:jc w:val="center"/>
              <w:rPr>
                <w:rFonts w:ascii="Arial Narrow" w:hAnsi="Arial Narrow"/>
                <w:sz w:val="20"/>
                <w:szCs w:val="20"/>
              </w:rPr>
            </w:pPr>
          </w:p>
        </w:tc>
        <w:tc>
          <w:tcPr>
            <w:tcW w:w="2026" w:type="dxa"/>
            <w:tcBorders>
              <w:top w:val="nil"/>
              <w:left w:val="nil"/>
              <w:bottom w:val="single" w:sz="4" w:space="0" w:color="auto"/>
              <w:right w:val="single" w:sz="4" w:space="0" w:color="auto"/>
            </w:tcBorders>
            <w:shd w:val="clear" w:color="auto" w:fill="auto"/>
            <w:vAlign w:val="center"/>
            <w:hideMark/>
          </w:tcPr>
          <w:p w:rsidR="001E5804" w:rsidRPr="00ED4C18" w:rsidRDefault="001E5804" w:rsidP="002D2D24">
            <w:pPr>
              <w:jc w:val="center"/>
              <w:rPr>
                <w:rFonts w:ascii="Arial Narrow" w:hAnsi="Arial Narrow"/>
                <w:sz w:val="20"/>
                <w:szCs w:val="20"/>
              </w:rPr>
            </w:pPr>
            <w:r w:rsidRPr="00ED4C18">
              <w:rPr>
                <w:rFonts w:ascii="Arial Narrow" w:hAnsi="Arial Narrow"/>
                <w:sz w:val="20"/>
                <w:szCs w:val="20"/>
              </w:rPr>
              <w:t>SOF + RBV, 24 Weeks</w:t>
            </w:r>
          </w:p>
        </w:tc>
        <w:tc>
          <w:tcPr>
            <w:tcW w:w="1521" w:type="dxa"/>
            <w:vMerge/>
            <w:tcBorders>
              <w:top w:val="nil"/>
              <w:left w:val="single" w:sz="4" w:space="0" w:color="auto"/>
              <w:bottom w:val="single" w:sz="4" w:space="0" w:color="000000"/>
              <w:right w:val="single" w:sz="4" w:space="0" w:color="auto"/>
            </w:tcBorders>
            <w:vAlign w:val="center"/>
            <w:hideMark/>
          </w:tcPr>
          <w:p w:rsidR="001E5804" w:rsidRPr="00ED4C18" w:rsidRDefault="001E5804" w:rsidP="002D2D24">
            <w:pPr>
              <w:jc w:val="center"/>
              <w:rPr>
                <w:rFonts w:ascii="Arial Narrow" w:hAnsi="Arial Narrow"/>
                <w:sz w:val="20"/>
                <w:szCs w:val="20"/>
              </w:rPr>
            </w:pPr>
          </w:p>
        </w:tc>
        <w:tc>
          <w:tcPr>
            <w:tcW w:w="1639" w:type="dxa"/>
            <w:tcBorders>
              <w:top w:val="nil"/>
              <w:left w:val="nil"/>
              <w:bottom w:val="single" w:sz="4" w:space="0" w:color="auto"/>
              <w:right w:val="single" w:sz="4" w:space="0" w:color="auto"/>
            </w:tcBorders>
            <w:shd w:val="clear" w:color="000000" w:fill="FFFFFF"/>
            <w:vAlign w:val="center"/>
            <w:hideMark/>
          </w:tcPr>
          <w:p w:rsidR="001E5804" w:rsidRPr="00ED4C18" w:rsidRDefault="001E5804" w:rsidP="002D2D24">
            <w:pPr>
              <w:jc w:val="center"/>
              <w:rPr>
                <w:rFonts w:ascii="Arial Narrow" w:hAnsi="Arial Narrow"/>
                <w:sz w:val="20"/>
                <w:szCs w:val="20"/>
              </w:rPr>
            </w:pPr>
            <w:r>
              <w:rPr>
                <w:rFonts w:ascii="Arial Narrow" w:hAnsi="Arial Narrow"/>
                <w:sz w:val="20"/>
                <w:szCs w:val="20"/>
              </w:rPr>
              <w:t>$75,000-$105,000</w:t>
            </w:r>
          </w:p>
        </w:tc>
        <w:tc>
          <w:tcPr>
            <w:tcW w:w="1639" w:type="dxa"/>
            <w:tcBorders>
              <w:top w:val="nil"/>
              <w:left w:val="nil"/>
              <w:bottom w:val="single" w:sz="4" w:space="0" w:color="auto"/>
              <w:right w:val="single" w:sz="4" w:space="0" w:color="auto"/>
            </w:tcBorders>
            <w:shd w:val="clear" w:color="auto" w:fill="auto"/>
            <w:noWrap/>
            <w:vAlign w:val="center"/>
            <w:hideMark/>
          </w:tcPr>
          <w:p w:rsidR="001E5804" w:rsidRPr="00ED4C18" w:rsidRDefault="001E5804" w:rsidP="00A95255">
            <w:pPr>
              <w:jc w:val="center"/>
              <w:rPr>
                <w:rFonts w:ascii="Arial Narrow" w:hAnsi="Arial Narrow"/>
                <w:sz w:val="20"/>
                <w:szCs w:val="20"/>
              </w:rPr>
            </w:pPr>
            <w:r>
              <w:rPr>
                <w:rFonts w:ascii="Arial Narrow" w:hAnsi="Arial Narrow"/>
                <w:sz w:val="20"/>
                <w:szCs w:val="20"/>
              </w:rPr>
              <w:t>$75,000-$105,000</w:t>
            </w:r>
          </w:p>
        </w:tc>
      </w:tr>
      <w:tr w:rsidR="00ED4C18" w:rsidRPr="00ED4C18" w:rsidTr="00B85146">
        <w:trPr>
          <w:trHeight w:val="308"/>
        </w:trPr>
        <w:tc>
          <w:tcPr>
            <w:tcW w:w="8370" w:type="dxa"/>
            <w:gridSpan w:val="5"/>
            <w:tcBorders>
              <w:top w:val="single" w:sz="4" w:space="0" w:color="auto"/>
              <w:left w:val="single" w:sz="4" w:space="0" w:color="auto"/>
              <w:bottom w:val="single" w:sz="4" w:space="0" w:color="auto"/>
              <w:right w:val="single" w:sz="4" w:space="0" w:color="000000"/>
            </w:tcBorders>
            <w:shd w:val="clear" w:color="000000" w:fill="F2F2F2"/>
            <w:hideMark/>
          </w:tcPr>
          <w:p w:rsidR="00882D79" w:rsidRPr="00ED4C18" w:rsidRDefault="00882D79" w:rsidP="00FB2B02">
            <w:pPr>
              <w:rPr>
                <w:rFonts w:ascii="Arial Narrow" w:hAnsi="Arial Narrow"/>
                <w:sz w:val="20"/>
                <w:szCs w:val="20"/>
              </w:rPr>
            </w:pPr>
            <w:r w:rsidRPr="00ED4C18">
              <w:rPr>
                <w:rFonts w:ascii="Arial Narrow" w:hAnsi="Arial Narrow"/>
                <w:sz w:val="20"/>
                <w:szCs w:val="20"/>
              </w:rPr>
              <w:t>Interferon unsuitable</w:t>
            </w:r>
          </w:p>
        </w:tc>
      </w:tr>
      <w:tr w:rsidR="001E5804" w:rsidRPr="00ED4C18" w:rsidTr="001E5804">
        <w:trPr>
          <w:trHeight w:val="308"/>
        </w:trPr>
        <w:tc>
          <w:tcPr>
            <w:tcW w:w="1545" w:type="dxa"/>
            <w:tcBorders>
              <w:top w:val="nil"/>
              <w:left w:val="single" w:sz="4" w:space="0" w:color="auto"/>
              <w:bottom w:val="single" w:sz="4" w:space="0" w:color="auto"/>
              <w:right w:val="single" w:sz="4" w:space="0" w:color="auto"/>
            </w:tcBorders>
            <w:shd w:val="clear" w:color="auto" w:fill="auto"/>
            <w:vAlign w:val="center"/>
            <w:hideMark/>
          </w:tcPr>
          <w:p w:rsidR="001E5804" w:rsidRPr="00ED4C18" w:rsidRDefault="001E5804" w:rsidP="002D2D24">
            <w:pPr>
              <w:jc w:val="center"/>
              <w:rPr>
                <w:rFonts w:ascii="Arial Narrow" w:hAnsi="Arial Narrow"/>
                <w:sz w:val="20"/>
                <w:szCs w:val="20"/>
              </w:rPr>
            </w:pPr>
            <w:r w:rsidRPr="00ED4C18">
              <w:rPr>
                <w:rFonts w:ascii="Arial Narrow" w:hAnsi="Arial Narrow"/>
                <w:sz w:val="20"/>
                <w:szCs w:val="20"/>
              </w:rPr>
              <w:t>Genotype 2</w:t>
            </w:r>
          </w:p>
        </w:tc>
        <w:tc>
          <w:tcPr>
            <w:tcW w:w="2026" w:type="dxa"/>
            <w:tcBorders>
              <w:top w:val="nil"/>
              <w:left w:val="nil"/>
              <w:bottom w:val="single" w:sz="4" w:space="0" w:color="auto"/>
              <w:right w:val="single" w:sz="4" w:space="0" w:color="auto"/>
            </w:tcBorders>
            <w:shd w:val="clear" w:color="auto" w:fill="auto"/>
            <w:vAlign w:val="center"/>
            <w:hideMark/>
          </w:tcPr>
          <w:p w:rsidR="001E5804" w:rsidRPr="00ED4C18" w:rsidRDefault="001E5804" w:rsidP="002D2D24">
            <w:pPr>
              <w:jc w:val="center"/>
              <w:rPr>
                <w:rFonts w:ascii="Arial Narrow" w:hAnsi="Arial Narrow"/>
                <w:sz w:val="20"/>
                <w:szCs w:val="20"/>
              </w:rPr>
            </w:pPr>
            <w:r w:rsidRPr="00ED4C18">
              <w:rPr>
                <w:rFonts w:ascii="Arial Narrow" w:hAnsi="Arial Narrow"/>
                <w:sz w:val="20"/>
                <w:szCs w:val="20"/>
              </w:rPr>
              <w:t>SOF + RBV, 12 weeks</w:t>
            </w:r>
          </w:p>
        </w:tc>
        <w:tc>
          <w:tcPr>
            <w:tcW w:w="1521" w:type="dxa"/>
            <w:tcBorders>
              <w:top w:val="nil"/>
              <w:left w:val="nil"/>
              <w:bottom w:val="single" w:sz="4" w:space="0" w:color="auto"/>
              <w:right w:val="single" w:sz="4" w:space="0" w:color="auto"/>
            </w:tcBorders>
            <w:shd w:val="clear" w:color="auto" w:fill="auto"/>
            <w:vAlign w:val="center"/>
            <w:hideMark/>
          </w:tcPr>
          <w:p w:rsidR="001E5804" w:rsidRPr="00ED4C18" w:rsidRDefault="001E5804" w:rsidP="002D2D24">
            <w:pPr>
              <w:jc w:val="center"/>
              <w:rPr>
                <w:rFonts w:ascii="Arial Narrow" w:hAnsi="Arial Narrow"/>
                <w:sz w:val="20"/>
                <w:szCs w:val="20"/>
              </w:rPr>
            </w:pPr>
            <w:r w:rsidRPr="00ED4C18">
              <w:rPr>
                <w:rFonts w:ascii="Arial Narrow" w:hAnsi="Arial Narrow"/>
                <w:sz w:val="20"/>
                <w:szCs w:val="20"/>
              </w:rPr>
              <w:t>No treatment</w:t>
            </w:r>
          </w:p>
        </w:tc>
        <w:tc>
          <w:tcPr>
            <w:tcW w:w="1639" w:type="dxa"/>
            <w:tcBorders>
              <w:top w:val="nil"/>
              <w:left w:val="nil"/>
              <w:bottom w:val="single" w:sz="4" w:space="0" w:color="auto"/>
              <w:right w:val="single" w:sz="4" w:space="0" w:color="auto"/>
            </w:tcBorders>
            <w:shd w:val="clear" w:color="000000" w:fill="FFFFFF"/>
            <w:vAlign w:val="center"/>
            <w:hideMark/>
          </w:tcPr>
          <w:p w:rsidR="001E5804" w:rsidRPr="00ED4C18" w:rsidRDefault="001E5804" w:rsidP="002D2D24">
            <w:pPr>
              <w:jc w:val="center"/>
              <w:rPr>
                <w:rFonts w:ascii="Arial Narrow" w:hAnsi="Arial Narrow"/>
                <w:sz w:val="20"/>
                <w:szCs w:val="20"/>
              </w:rPr>
            </w:pPr>
            <w:r>
              <w:rPr>
                <w:rFonts w:ascii="Arial Narrow" w:hAnsi="Arial Narrow"/>
                <w:sz w:val="20"/>
                <w:szCs w:val="20"/>
              </w:rPr>
              <w:t>$15,000-$45,000</w:t>
            </w:r>
          </w:p>
        </w:tc>
        <w:tc>
          <w:tcPr>
            <w:tcW w:w="1639" w:type="dxa"/>
            <w:tcBorders>
              <w:top w:val="nil"/>
              <w:left w:val="nil"/>
              <w:bottom w:val="single" w:sz="4" w:space="0" w:color="auto"/>
              <w:right w:val="single" w:sz="4" w:space="0" w:color="auto"/>
            </w:tcBorders>
            <w:shd w:val="clear" w:color="auto" w:fill="auto"/>
            <w:noWrap/>
            <w:vAlign w:val="center"/>
            <w:hideMark/>
          </w:tcPr>
          <w:p w:rsidR="001E5804" w:rsidRPr="00ED4C18" w:rsidRDefault="001E5804" w:rsidP="002D2D24">
            <w:pPr>
              <w:jc w:val="center"/>
              <w:rPr>
                <w:rFonts w:ascii="Arial Narrow" w:hAnsi="Arial Narrow"/>
                <w:sz w:val="20"/>
                <w:szCs w:val="20"/>
              </w:rPr>
            </w:pPr>
            <w:r>
              <w:rPr>
                <w:rFonts w:ascii="Arial Narrow" w:hAnsi="Arial Narrow"/>
                <w:sz w:val="20"/>
                <w:szCs w:val="20"/>
              </w:rPr>
              <w:t>$15,000-$45,000</w:t>
            </w:r>
          </w:p>
        </w:tc>
      </w:tr>
      <w:tr w:rsidR="001E5804" w:rsidRPr="00ED4C18" w:rsidTr="001E5804">
        <w:trPr>
          <w:trHeight w:val="308"/>
        </w:trPr>
        <w:tc>
          <w:tcPr>
            <w:tcW w:w="1545" w:type="dxa"/>
            <w:tcBorders>
              <w:top w:val="nil"/>
              <w:left w:val="single" w:sz="4" w:space="0" w:color="auto"/>
              <w:bottom w:val="single" w:sz="4" w:space="0" w:color="auto"/>
              <w:right w:val="single" w:sz="4" w:space="0" w:color="auto"/>
            </w:tcBorders>
            <w:shd w:val="clear" w:color="auto" w:fill="auto"/>
            <w:vAlign w:val="center"/>
            <w:hideMark/>
          </w:tcPr>
          <w:p w:rsidR="001E5804" w:rsidRPr="00ED4C18" w:rsidRDefault="001E5804" w:rsidP="002D2D24">
            <w:pPr>
              <w:jc w:val="center"/>
              <w:rPr>
                <w:rFonts w:ascii="Arial Narrow" w:hAnsi="Arial Narrow"/>
                <w:sz w:val="20"/>
                <w:szCs w:val="20"/>
              </w:rPr>
            </w:pPr>
            <w:r w:rsidRPr="00ED4C18">
              <w:rPr>
                <w:rFonts w:ascii="Arial Narrow" w:hAnsi="Arial Narrow"/>
                <w:sz w:val="20"/>
                <w:szCs w:val="20"/>
              </w:rPr>
              <w:t>Genotype 3</w:t>
            </w:r>
          </w:p>
        </w:tc>
        <w:tc>
          <w:tcPr>
            <w:tcW w:w="2026" w:type="dxa"/>
            <w:tcBorders>
              <w:top w:val="nil"/>
              <w:left w:val="nil"/>
              <w:bottom w:val="single" w:sz="4" w:space="0" w:color="auto"/>
              <w:right w:val="single" w:sz="4" w:space="0" w:color="auto"/>
            </w:tcBorders>
            <w:shd w:val="clear" w:color="auto" w:fill="auto"/>
            <w:vAlign w:val="center"/>
            <w:hideMark/>
          </w:tcPr>
          <w:p w:rsidR="001E5804" w:rsidRPr="00ED4C18" w:rsidRDefault="001E5804" w:rsidP="002D2D24">
            <w:pPr>
              <w:jc w:val="center"/>
              <w:rPr>
                <w:rFonts w:ascii="Arial Narrow" w:hAnsi="Arial Narrow"/>
                <w:sz w:val="20"/>
                <w:szCs w:val="20"/>
              </w:rPr>
            </w:pPr>
            <w:r w:rsidRPr="00ED4C18">
              <w:rPr>
                <w:rFonts w:ascii="Arial Narrow" w:hAnsi="Arial Narrow"/>
                <w:sz w:val="20"/>
                <w:szCs w:val="20"/>
              </w:rPr>
              <w:t>SOF + RBV 24 weeks</w:t>
            </w:r>
          </w:p>
        </w:tc>
        <w:tc>
          <w:tcPr>
            <w:tcW w:w="1521" w:type="dxa"/>
            <w:tcBorders>
              <w:top w:val="nil"/>
              <w:left w:val="nil"/>
              <w:bottom w:val="single" w:sz="4" w:space="0" w:color="auto"/>
              <w:right w:val="single" w:sz="4" w:space="0" w:color="auto"/>
            </w:tcBorders>
            <w:shd w:val="clear" w:color="auto" w:fill="auto"/>
            <w:vAlign w:val="center"/>
            <w:hideMark/>
          </w:tcPr>
          <w:p w:rsidR="001E5804" w:rsidRPr="00ED4C18" w:rsidRDefault="001E5804" w:rsidP="002D2D24">
            <w:pPr>
              <w:jc w:val="center"/>
              <w:rPr>
                <w:rFonts w:ascii="Arial Narrow" w:hAnsi="Arial Narrow"/>
                <w:sz w:val="20"/>
                <w:szCs w:val="20"/>
              </w:rPr>
            </w:pPr>
            <w:r w:rsidRPr="00ED4C18">
              <w:rPr>
                <w:rFonts w:ascii="Arial Narrow" w:hAnsi="Arial Narrow"/>
                <w:sz w:val="20"/>
                <w:szCs w:val="20"/>
              </w:rPr>
              <w:t>No treatment</w:t>
            </w:r>
          </w:p>
        </w:tc>
        <w:tc>
          <w:tcPr>
            <w:tcW w:w="1639" w:type="dxa"/>
            <w:tcBorders>
              <w:top w:val="nil"/>
              <w:left w:val="nil"/>
              <w:bottom w:val="single" w:sz="4" w:space="0" w:color="auto"/>
              <w:right w:val="single" w:sz="4" w:space="0" w:color="auto"/>
            </w:tcBorders>
            <w:shd w:val="clear" w:color="000000" w:fill="FFFFFF"/>
            <w:vAlign w:val="center"/>
            <w:hideMark/>
          </w:tcPr>
          <w:p w:rsidR="001E5804" w:rsidRPr="00ED4C18" w:rsidRDefault="001E5804" w:rsidP="002D2D24">
            <w:pPr>
              <w:jc w:val="center"/>
              <w:rPr>
                <w:rFonts w:ascii="Arial Narrow" w:hAnsi="Arial Narrow"/>
                <w:sz w:val="20"/>
                <w:szCs w:val="20"/>
              </w:rPr>
            </w:pPr>
            <w:r>
              <w:rPr>
                <w:rFonts w:ascii="Arial Narrow" w:hAnsi="Arial Narrow"/>
                <w:sz w:val="20"/>
                <w:szCs w:val="20"/>
              </w:rPr>
              <w:t>$75,000-$105,000</w:t>
            </w:r>
          </w:p>
        </w:tc>
        <w:tc>
          <w:tcPr>
            <w:tcW w:w="1639" w:type="dxa"/>
            <w:tcBorders>
              <w:top w:val="nil"/>
              <w:left w:val="nil"/>
              <w:bottom w:val="single" w:sz="4" w:space="0" w:color="auto"/>
              <w:right w:val="single" w:sz="4" w:space="0" w:color="auto"/>
            </w:tcBorders>
            <w:shd w:val="clear" w:color="auto" w:fill="auto"/>
            <w:noWrap/>
            <w:vAlign w:val="center"/>
            <w:hideMark/>
          </w:tcPr>
          <w:p w:rsidR="001E5804" w:rsidRPr="00ED4C18" w:rsidRDefault="001E5804" w:rsidP="002D2D24">
            <w:pPr>
              <w:jc w:val="center"/>
              <w:rPr>
                <w:rFonts w:ascii="Arial Narrow" w:hAnsi="Arial Narrow"/>
                <w:sz w:val="20"/>
                <w:szCs w:val="20"/>
              </w:rPr>
            </w:pPr>
            <w:r>
              <w:rPr>
                <w:rFonts w:ascii="Arial Narrow" w:hAnsi="Arial Narrow"/>
                <w:sz w:val="20"/>
                <w:szCs w:val="20"/>
              </w:rPr>
              <w:t>$75,000-$105,000</w:t>
            </w:r>
          </w:p>
        </w:tc>
      </w:tr>
    </w:tbl>
    <w:p w:rsidR="000D4EC7" w:rsidRPr="00ED4C18" w:rsidRDefault="000D4EC7" w:rsidP="00B85146">
      <w:pPr>
        <w:ind w:left="720"/>
        <w:rPr>
          <w:rStyle w:val="Small"/>
          <w:rFonts w:ascii="Arial Narrow" w:hAnsi="Arial Narrow"/>
        </w:rPr>
      </w:pPr>
      <w:r w:rsidRPr="00ED4C18">
        <w:rPr>
          <w:rStyle w:val="Small"/>
          <w:rFonts w:ascii="Arial Narrow" w:hAnsi="Arial Narrow"/>
        </w:rPr>
        <w:t xml:space="preserve">Abbreviations: SOF = </w:t>
      </w:r>
      <w:proofErr w:type="spellStart"/>
      <w:r w:rsidRPr="00ED4C18">
        <w:rPr>
          <w:rStyle w:val="Small"/>
          <w:rFonts w:ascii="Arial Narrow" w:hAnsi="Arial Narrow"/>
        </w:rPr>
        <w:t>sofosbuvir</w:t>
      </w:r>
      <w:proofErr w:type="spellEnd"/>
      <w:r w:rsidRPr="00ED4C18">
        <w:rPr>
          <w:rStyle w:val="Small"/>
          <w:rFonts w:ascii="Arial Narrow" w:hAnsi="Arial Narrow"/>
        </w:rPr>
        <w:t xml:space="preserve">; BOC = </w:t>
      </w:r>
      <w:proofErr w:type="spellStart"/>
      <w:r w:rsidRPr="00ED4C18">
        <w:rPr>
          <w:rStyle w:val="Small"/>
          <w:rFonts w:ascii="Arial Narrow" w:hAnsi="Arial Narrow"/>
        </w:rPr>
        <w:t>boceprevir</w:t>
      </w:r>
      <w:proofErr w:type="spellEnd"/>
      <w:r w:rsidRPr="00ED4C18">
        <w:rPr>
          <w:rStyle w:val="Small"/>
          <w:rFonts w:ascii="Arial Narrow" w:hAnsi="Arial Narrow"/>
        </w:rPr>
        <w:t xml:space="preserve">; TPV = </w:t>
      </w:r>
      <w:proofErr w:type="spellStart"/>
      <w:r w:rsidRPr="00ED4C18">
        <w:rPr>
          <w:rStyle w:val="Small"/>
          <w:rFonts w:ascii="Arial Narrow" w:hAnsi="Arial Narrow"/>
        </w:rPr>
        <w:t>telaprevir</w:t>
      </w:r>
      <w:proofErr w:type="spellEnd"/>
      <w:r w:rsidRPr="00ED4C18">
        <w:rPr>
          <w:rStyle w:val="Small"/>
          <w:rFonts w:ascii="Arial Narrow" w:hAnsi="Arial Narrow"/>
        </w:rPr>
        <w:t xml:space="preserve">; </w:t>
      </w:r>
      <w:r w:rsidRPr="00ED4C18">
        <w:rPr>
          <w:rFonts w:ascii="Arial Narrow" w:hAnsi="Arial Narrow"/>
          <w:sz w:val="20"/>
          <w:szCs w:val="20"/>
        </w:rPr>
        <w:t>Peg-IFN</w:t>
      </w:r>
      <w:r w:rsidRPr="00ED4C18">
        <w:rPr>
          <w:rStyle w:val="Small"/>
          <w:rFonts w:ascii="Arial Narrow" w:hAnsi="Arial Narrow"/>
        </w:rPr>
        <w:t xml:space="preserve"> = </w:t>
      </w:r>
      <w:proofErr w:type="spellStart"/>
      <w:r w:rsidRPr="00ED4C18">
        <w:rPr>
          <w:rStyle w:val="Small"/>
          <w:rFonts w:ascii="Arial Narrow" w:hAnsi="Arial Narrow"/>
        </w:rPr>
        <w:t>peginterferon</w:t>
      </w:r>
      <w:proofErr w:type="spellEnd"/>
      <w:r w:rsidRPr="00ED4C18">
        <w:rPr>
          <w:rStyle w:val="Small"/>
          <w:rFonts w:ascii="Arial Narrow" w:hAnsi="Arial Narrow"/>
        </w:rPr>
        <w:t xml:space="preserve"> + ribavirin; RBV = ribavirin; ICER = incremental cost effectiveness ratio; QALY = quality adjusted life year</w:t>
      </w:r>
    </w:p>
    <w:p w:rsidR="00137CBC" w:rsidRPr="00ED4C18" w:rsidRDefault="00137CBC" w:rsidP="00137CBC">
      <w:pPr>
        <w:jc w:val="both"/>
        <w:rPr>
          <w:szCs w:val="22"/>
        </w:rPr>
      </w:pPr>
    </w:p>
    <w:p w:rsidR="0097514E" w:rsidRPr="00ED4C18" w:rsidRDefault="0097514E" w:rsidP="00B85146">
      <w:pPr>
        <w:pStyle w:val="ListParagraph"/>
        <w:numPr>
          <w:ilvl w:val="1"/>
          <w:numId w:val="1"/>
        </w:numPr>
        <w:jc w:val="both"/>
        <w:rPr>
          <w:szCs w:val="22"/>
        </w:rPr>
      </w:pPr>
      <w:r w:rsidRPr="00ED4C18">
        <w:rPr>
          <w:szCs w:val="22"/>
        </w:rPr>
        <w:t xml:space="preserve">The submission presented a variety of </w:t>
      </w:r>
      <w:proofErr w:type="spellStart"/>
      <w:r w:rsidRPr="00ED4C18">
        <w:rPr>
          <w:szCs w:val="22"/>
        </w:rPr>
        <w:t>univariate</w:t>
      </w:r>
      <w:proofErr w:type="spellEnd"/>
      <w:r w:rsidRPr="00ED4C18">
        <w:rPr>
          <w:szCs w:val="22"/>
        </w:rPr>
        <w:t xml:space="preserve"> sensitivity analyses for the three </w:t>
      </w:r>
      <w:r w:rsidR="007E7548" w:rsidRPr="00ED4C18">
        <w:rPr>
          <w:szCs w:val="22"/>
        </w:rPr>
        <w:t xml:space="preserve">largest population </w:t>
      </w:r>
      <w:r w:rsidRPr="00ED4C18">
        <w:rPr>
          <w:szCs w:val="22"/>
        </w:rPr>
        <w:t>subgroups:</w:t>
      </w:r>
    </w:p>
    <w:p w:rsidR="0097514E" w:rsidRPr="00ED4C18" w:rsidRDefault="0097514E" w:rsidP="001349BA">
      <w:pPr>
        <w:pStyle w:val="ListParagraph"/>
        <w:numPr>
          <w:ilvl w:val="1"/>
          <w:numId w:val="12"/>
        </w:numPr>
        <w:jc w:val="both"/>
        <w:rPr>
          <w:szCs w:val="22"/>
        </w:rPr>
      </w:pPr>
      <w:r w:rsidRPr="00ED4C18">
        <w:rPr>
          <w:szCs w:val="22"/>
        </w:rPr>
        <w:t xml:space="preserve">Genotype 1, treatment naïve, interferon eligible, compared with </w:t>
      </w:r>
      <w:proofErr w:type="spellStart"/>
      <w:r w:rsidRPr="00ED4C18">
        <w:rPr>
          <w:szCs w:val="22"/>
        </w:rPr>
        <w:t>boceprevir</w:t>
      </w:r>
      <w:proofErr w:type="spellEnd"/>
      <w:r w:rsidR="001349BA" w:rsidRPr="00ED4C18">
        <w:rPr>
          <w:szCs w:val="22"/>
        </w:rPr>
        <w:t xml:space="preserve"> RBV + Peg-IFN</w:t>
      </w:r>
      <w:r w:rsidRPr="00ED4C18">
        <w:rPr>
          <w:szCs w:val="22"/>
        </w:rPr>
        <w:t>;</w:t>
      </w:r>
    </w:p>
    <w:p w:rsidR="0097514E" w:rsidRPr="00ED4C18" w:rsidRDefault="0097514E" w:rsidP="001349BA">
      <w:pPr>
        <w:pStyle w:val="ListParagraph"/>
        <w:numPr>
          <w:ilvl w:val="1"/>
          <w:numId w:val="12"/>
        </w:numPr>
        <w:jc w:val="both"/>
        <w:rPr>
          <w:szCs w:val="22"/>
        </w:rPr>
      </w:pPr>
      <w:r w:rsidRPr="00ED4C18">
        <w:rPr>
          <w:szCs w:val="22"/>
        </w:rPr>
        <w:t>Genotype 3, treatment naïve, interferon eligible</w:t>
      </w:r>
      <w:r w:rsidR="001349BA" w:rsidRPr="00ED4C18">
        <w:rPr>
          <w:szCs w:val="22"/>
        </w:rPr>
        <w:t xml:space="preserve">, compared with RBV + Peg-IFN </w:t>
      </w:r>
      <w:r w:rsidRPr="00ED4C18">
        <w:rPr>
          <w:szCs w:val="22"/>
        </w:rPr>
        <w:t>; and,</w:t>
      </w:r>
    </w:p>
    <w:p w:rsidR="0097514E" w:rsidRPr="00ED4C18" w:rsidRDefault="0097514E" w:rsidP="001349BA">
      <w:pPr>
        <w:pStyle w:val="ListParagraph"/>
        <w:numPr>
          <w:ilvl w:val="1"/>
          <w:numId w:val="12"/>
        </w:numPr>
        <w:jc w:val="both"/>
        <w:rPr>
          <w:szCs w:val="22"/>
        </w:rPr>
      </w:pPr>
      <w:r w:rsidRPr="00ED4C18">
        <w:rPr>
          <w:szCs w:val="22"/>
        </w:rPr>
        <w:lastRenderedPageBreak/>
        <w:t>Genotype 3, treatment experienced interferon eligible</w:t>
      </w:r>
      <w:r w:rsidR="007E7548" w:rsidRPr="00ED4C18">
        <w:rPr>
          <w:szCs w:val="22"/>
        </w:rPr>
        <w:t xml:space="preserve"> compared with</w:t>
      </w:r>
      <w:r w:rsidR="001349BA" w:rsidRPr="00ED4C18">
        <w:rPr>
          <w:szCs w:val="22"/>
        </w:rPr>
        <w:t xml:space="preserve"> </w:t>
      </w:r>
      <w:r w:rsidR="00E56E31" w:rsidRPr="00ED4C18">
        <w:rPr>
          <w:szCs w:val="22"/>
        </w:rPr>
        <w:t>no treatment</w:t>
      </w:r>
      <w:r w:rsidRPr="00ED4C18">
        <w:rPr>
          <w:szCs w:val="22"/>
        </w:rPr>
        <w:t>.</w:t>
      </w:r>
    </w:p>
    <w:p w:rsidR="0097514E" w:rsidRPr="00ED4C18" w:rsidRDefault="0097514E" w:rsidP="00B6534A">
      <w:pPr>
        <w:pStyle w:val="ListParagraph"/>
        <w:ind w:left="567" w:hanging="567"/>
        <w:jc w:val="both"/>
        <w:rPr>
          <w:szCs w:val="22"/>
        </w:rPr>
      </w:pPr>
    </w:p>
    <w:p w:rsidR="0097514E" w:rsidRPr="00ED4C18" w:rsidRDefault="0097514E" w:rsidP="00B85146">
      <w:pPr>
        <w:pStyle w:val="ListParagraph"/>
        <w:numPr>
          <w:ilvl w:val="1"/>
          <w:numId w:val="1"/>
        </w:numPr>
        <w:jc w:val="both"/>
        <w:rPr>
          <w:szCs w:val="22"/>
        </w:rPr>
      </w:pPr>
      <w:r w:rsidRPr="00ED4C18">
        <w:rPr>
          <w:szCs w:val="22"/>
        </w:rPr>
        <w:t xml:space="preserve">The model is most sensitive to: </w:t>
      </w:r>
    </w:p>
    <w:p w:rsidR="0097514E" w:rsidRPr="00D53D10" w:rsidRDefault="0097514E" w:rsidP="00B85146">
      <w:pPr>
        <w:pStyle w:val="ListParagraph"/>
        <w:widowControl w:val="0"/>
        <w:numPr>
          <w:ilvl w:val="0"/>
          <w:numId w:val="24"/>
        </w:numPr>
        <w:jc w:val="both"/>
        <w:rPr>
          <w:rFonts w:cs="Arial"/>
        </w:rPr>
      </w:pPr>
      <w:r w:rsidRPr="00D53D10">
        <w:rPr>
          <w:rFonts w:cs="Arial"/>
        </w:rPr>
        <w:t>SVR rates for the respective treatment regimens</w:t>
      </w:r>
      <w:r w:rsidR="001349BA" w:rsidRPr="00D53D10">
        <w:rPr>
          <w:rFonts w:cs="Arial"/>
        </w:rPr>
        <w:t xml:space="preserve"> </w:t>
      </w:r>
      <w:r w:rsidR="00E56E31" w:rsidRPr="00D53D10">
        <w:rPr>
          <w:rFonts w:cs="Arial"/>
        </w:rPr>
        <w:t xml:space="preserve"> (</w:t>
      </w:r>
      <w:proofErr w:type="spellStart"/>
      <w:r w:rsidR="00E56E31" w:rsidRPr="00D53D10">
        <w:rPr>
          <w:rFonts w:cs="Arial"/>
        </w:rPr>
        <w:t>ie</w:t>
      </w:r>
      <w:proofErr w:type="spellEnd"/>
      <w:r w:rsidR="00E56E31" w:rsidRPr="00D53D10">
        <w:rPr>
          <w:rFonts w:cs="Arial"/>
        </w:rPr>
        <w:t xml:space="preserve"> SOF SVR12  or comparator SVR24</w:t>
      </w:r>
      <w:r w:rsidR="0091133A" w:rsidRPr="00D53D10">
        <w:rPr>
          <w:rFonts w:cs="Arial"/>
        </w:rPr>
        <w:t>)</w:t>
      </w:r>
      <w:r w:rsidRPr="00D53D10">
        <w:rPr>
          <w:rFonts w:cs="Arial"/>
        </w:rPr>
        <w:t>;</w:t>
      </w:r>
    </w:p>
    <w:p w:rsidR="0097514E" w:rsidRPr="00D53D10" w:rsidRDefault="0097514E" w:rsidP="00B85146">
      <w:pPr>
        <w:pStyle w:val="ListParagraph"/>
        <w:widowControl w:val="0"/>
        <w:numPr>
          <w:ilvl w:val="0"/>
          <w:numId w:val="24"/>
        </w:numPr>
        <w:jc w:val="both"/>
        <w:rPr>
          <w:rFonts w:cs="Arial"/>
        </w:rPr>
      </w:pPr>
      <w:r w:rsidRPr="00D53D10">
        <w:rPr>
          <w:rFonts w:cs="Arial"/>
        </w:rPr>
        <w:t xml:space="preserve">Background transition probabilities, in particular those for, </w:t>
      </w:r>
    </w:p>
    <w:p w:rsidR="0097514E" w:rsidRPr="00D53D10" w:rsidRDefault="0097514E" w:rsidP="00B85146">
      <w:pPr>
        <w:pStyle w:val="ListParagraph"/>
        <w:widowControl w:val="0"/>
        <w:numPr>
          <w:ilvl w:val="2"/>
          <w:numId w:val="24"/>
        </w:numPr>
        <w:jc w:val="both"/>
        <w:rPr>
          <w:rFonts w:cs="Arial"/>
        </w:rPr>
      </w:pPr>
      <w:r w:rsidRPr="00D53D10">
        <w:rPr>
          <w:rFonts w:cs="Arial"/>
        </w:rPr>
        <w:t xml:space="preserve">non-cirrhotic to compensated cirrhosis; and </w:t>
      </w:r>
    </w:p>
    <w:p w:rsidR="0097514E" w:rsidRPr="00D53D10" w:rsidRDefault="0097514E" w:rsidP="00B85146">
      <w:pPr>
        <w:pStyle w:val="ListParagraph"/>
        <w:widowControl w:val="0"/>
        <w:numPr>
          <w:ilvl w:val="2"/>
          <w:numId w:val="24"/>
        </w:numPr>
        <w:jc w:val="both"/>
        <w:rPr>
          <w:rFonts w:cs="Arial"/>
        </w:rPr>
      </w:pPr>
      <w:r w:rsidRPr="00D53D10">
        <w:rPr>
          <w:rFonts w:cs="Arial"/>
        </w:rPr>
        <w:t>compensated to decompensated cirrhosis;</w:t>
      </w:r>
    </w:p>
    <w:p w:rsidR="0097514E" w:rsidRPr="00D53D10" w:rsidRDefault="0097514E" w:rsidP="00B85146">
      <w:pPr>
        <w:pStyle w:val="ListParagraph"/>
        <w:widowControl w:val="0"/>
        <w:numPr>
          <w:ilvl w:val="0"/>
          <w:numId w:val="24"/>
        </w:numPr>
        <w:jc w:val="both"/>
        <w:rPr>
          <w:rFonts w:cs="Arial"/>
        </w:rPr>
      </w:pPr>
      <w:r w:rsidRPr="00D53D10">
        <w:rPr>
          <w:rFonts w:cs="Arial"/>
        </w:rPr>
        <w:t xml:space="preserve">The acquisition costs for </w:t>
      </w:r>
      <w:proofErr w:type="spellStart"/>
      <w:r w:rsidRPr="00D53D10">
        <w:rPr>
          <w:rFonts w:cs="Arial"/>
        </w:rPr>
        <w:t>sofosbuvir</w:t>
      </w:r>
      <w:proofErr w:type="spellEnd"/>
      <w:r w:rsidRPr="00D53D10">
        <w:rPr>
          <w:rFonts w:cs="Arial"/>
        </w:rPr>
        <w:t xml:space="preserve"> (and </w:t>
      </w:r>
      <w:proofErr w:type="spellStart"/>
      <w:r w:rsidRPr="00D53D10">
        <w:rPr>
          <w:rFonts w:cs="Arial"/>
        </w:rPr>
        <w:t>boceprevir</w:t>
      </w:r>
      <w:proofErr w:type="spellEnd"/>
      <w:r w:rsidRPr="00D53D10">
        <w:rPr>
          <w:rFonts w:cs="Arial"/>
        </w:rPr>
        <w:t xml:space="preserve"> in GT1); </w:t>
      </w:r>
    </w:p>
    <w:p w:rsidR="0097514E" w:rsidRPr="00D53D10" w:rsidRDefault="0097514E" w:rsidP="00B85146">
      <w:pPr>
        <w:pStyle w:val="ListParagraph"/>
        <w:widowControl w:val="0"/>
        <w:numPr>
          <w:ilvl w:val="0"/>
          <w:numId w:val="24"/>
        </w:numPr>
        <w:jc w:val="both"/>
        <w:rPr>
          <w:rFonts w:cs="Arial"/>
        </w:rPr>
      </w:pPr>
      <w:r w:rsidRPr="00D53D10">
        <w:rPr>
          <w:rFonts w:cs="Arial"/>
        </w:rPr>
        <w:t>The proportion of patients who are cirrhotic at baseline; and</w:t>
      </w:r>
      <w:r w:rsidR="00D53D10" w:rsidRPr="00D53D10">
        <w:rPr>
          <w:rStyle w:val="CommentReference"/>
        </w:rPr>
        <w:t xml:space="preserve"> </w:t>
      </w:r>
    </w:p>
    <w:p w:rsidR="0097514E" w:rsidRPr="00B85146" w:rsidRDefault="0097514E" w:rsidP="00B85146">
      <w:pPr>
        <w:pStyle w:val="ListParagraph"/>
        <w:widowControl w:val="0"/>
        <w:numPr>
          <w:ilvl w:val="0"/>
          <w:numId w:val="24"/>
        </w:numPr>
        <w:jc w:val="both"/>
        <w:rPr>
          <w:rFonts w:cs="Arial"/>
        </w:rPr>
      </w:pPr>
      <w:r w:rsidRPr="00B85146">
        <w:rPr>
          <w:rFonts w:cs="Arial"/>
        </w:rPr>
        <w:t xml:space="preserve">The discount rate applied to the analysis.  </w:t>
      </w:r>
    </w:p>
    <w:p w:rsidR="0097514E" w:rsidRPr="00ED4C18" w:rsidRDefault="0097514E" w:rsidP="00B6534A">
      <w:pPr>
        <w:ind w:left="567" w:hanging="567"/>
        <w:jc w:val="both"/>
        <w:rPr>
          <w:szCs w:val="22"/>
        </w:rPr>
      </w:pPr>
    </w:p>
    <w:p w:rsidR="007238DE" w:rsidRPr="00ED4C18" w:rsidRDefault="00932CA9" w:rsidP="00B85146">
      <w:pPr>
        <w:pStyle w:val="ListParagraph"/>
        <w:numPr>
          <w:ilvl w:val="1"/>
          <w:numId w:val="1"/>
        </w:numPr>
        <w:jc w:val="both"/>
        <w:rPr>
          <w:szCs w:val="22"/>
        </w:rPr>
      </w:pPr>
      <w:r w:rsidRPr="00ED4C18">
        <w:rPr>
          <w:szCs w:val="22"/>
        </w:rPr>
        <w:t>The ESC noted that the relative effect of each of the translation issues</w:t>
      </w:r>
      <w:r w:rsidR="006A2C26" w:rsidRPr="00ED4C18">
        <w:rPr>
          <w:szCs w:val="22"/>
        </w:rPr>
        <w:t xml:space="preserve"> explored in sensitivity analysis in the submission</w:t>
      </w:r>
      <w:r w:rsidRPr="00ED4C18">
        <w:rPr>
          <w:szCs w:val="22"/>
        </w:rPr>
        <w:t xml:space="preserve"> was different for each genotype. For example, excluding discounting, </w:t>
      </w:r>
      <w:r w:rsidRPr="00F4415A">
        <w:rPr>
          <w:szCs w:val="22"/>
        </w:rPr>
        <w:t xml:space="preserve">for Genotype 1, treatment naïve, interferon-eligible, compared with </w:t>
      </w:r>
      <w:proofErr w:type="spellStart"/>
      <w:r w:rsidRPr="00F4415A">
        <w:rPr>
          <w:szCs w:val="22"/>
        </w:rPr>
        <w:t>boceprevir</w:t>
      </w:r>
      <w:proofErr w:type="spellEnd"/>
      <w:r w:rsidRPr="00F4415A">
        <w:rPr>
          <w:szCs w:val="22"/>
        </w:rPr>
        <w:t xml:space="preserve">, the model was most sensitive to costs of </w:t>
      </w:r>
      <w:proofErr w:type="spellStart"/>
      <w:r w:rsidRPr="00F4415A">
        <w:rPr>
          <w:szCs w:val="22"/>
        </w:rPr>
        <w:t>sofosbuvir</w:t>
      </w:r>
      <w:proofErr w:type="spellEnd"/>
      <w:r w:rsidRPr="00F4415A">
        <w:rPr>
          <w:szCs w:val="22"/>
        </w:rPr>
        <w:t xml:space="preserve"> for non-cirrhotic disease. For Genotype 3, treatment experienced interferon-eligible, the model was most sensitive to the transition probabilities for compensated cirrhosis to decompensated </w:t>
      </w:r>
      <w:proofErr w:type="gramStart"/>
      <w:r w:rsidRPr="00F4415A">
        <w:rPr>
          <w:szCs w:val="22"/>
        </w:rPr>
        <w:t>cirrhosis</w:t>
      </w:r>
      <w:r w:rsidR="00C26896">
        <w:rPr>
          <w:noProof/>
          <w:color w:val="000000"/>
          <w:szCs w:val="22"/>
          <w:highlight w:val="black"/>
        </w:rPr>
        <w:t>''</w:t>
      </w:r>
      <w:r w:rsidR="00F4415A" w:rsidRPr="00F4415A">
        <w:rPr>
          <w:rStyle w:val="CommentReference"/>
        </w:rPr>
        <w:t xml:space="preserve"> </w:t>
      </w:r>
      <w:r w:rsidR="00F4415A" w:rsidRPr="00ED4C18">
        <w:rPr>
          <w:szCs w:val="22"/>
        </w:rPr>
        <w:t>.</w:t>
      </w:r>
      <w:proofErr w:type="gramEnd"/>
      <w:r w:rsidR="00F4415A" w:rsidRPr="00ED4C18">
        <w:rPr>
          <w:szCs w:val="22"/>
        </w:rPr>
        <w:t xml:space="preserve">  </w:t>
      </w:r>
      <w:r w:rsidRPr="00ED4C18">
        <w:rPr>
          <w:szCs w:val="22"/>
        </w:rPr>
        <w:t xml:space="preserve">  </w:t>
      </w:r>
    </w:p>
    <w:p w:rsidR="006A2C26" w:rsidRPr="00ED4C18" w:rsidRDefault="006A2C26" w:rsidP="006A2C26">
      <w:pPr>
        <w:jc w:val="both"/>
        <w:rPr>
          <w:szCs w:val="22"/>
        </w:rPr>
      </w:pPr>
    </w:p>
    <w:p w:rsidR="00AA1B62" w:rsidRPr="00ED4C18" w:rsidRDefault="00D9628F" w:rsidP="00B85146">
      <w:pPr>
        <w:pStyle w:val="ListParagraph"/>
        <w:numPr>
          <w:ilvl w:val="1"/>
          <w:numId w:val="1"/>
        </w:numPr>
        <w:jc w:val="both"/>
        <w:rPr>
          <w:szCs w:val="22"/>
        </w:rPr>
      </w:pPr>
      <w:r w:rsidRPr="00ED4C18">
        <w:rPr>
          <w:szCs w:val="22"/>
        </w:rPr>
        <w:t>The pre-PBAC response provided additional analysis of the cost-effectiveness of treatment of the larger patient populations</w:t>
      </w:r>
      <w:r w:rsidR="007238DE" w:rsidRPr="00ED4C18">
        <w:rPr>
          <w:szCs w:val="22"/>
        </w:rPr>
        <w:t>,</w:t>
      </w:r>
      <w:r w:rsidRPr="00ED4C18">
        <w:rPr>
          <w:szCs w:val="22"/>
        </w:rPr>
        <w:t xml:space="preserve"> namely those infected with G</w:t>
      </w:r>
      <w:r w:rsidR="007238DE" w:rsidRPr="00ED4C18">
        <w:rPr>
          <w:szCs w:val="22"/>
        </w:rPr>
        <w:t>T</w:t>
      </w:r>
      <w:r w:rsidRPr="00ED4C18">
        <w:rPr>
          <w:szCs w:val="22"/>
        </w:rPr>
        <w:t>1 and GT3, assuming no treatment as the com</w:t>
      </w:r>
      <w:r w:rsidR="00AC6EBF" w:rsidRPr="00ED4C18">
        <w:rPr>
          <w:szCs w:val="22"/>
        </w:rPr>
        <w:t xml:space="preserve">parator, a 30 year time horizon, </w:t>
      </w:r>
      <w:r w:rsidR="007238DE" w:rsidRPr="00ED4C18">
        <w:rPr>
          <w:szCs w:val="22"/>
        </w:rPr>
        <w:t>trea</w:t>
      </w:r>
      <w:r w:rsidR="00AC6EBF" w:rsidRPr="00ED4C18">
        <w:rPr>
          <w:szCs w:val="22"/>
        </w:rPr>
        <w:t>tment naïve and IFN eligible or unsuitable</w:t>
      </w:r>
      <w:r w:rsidRPr="00ED4C18">
        <w:rPr>
          <w:szCs w:val="22"/>
        </w:rPr>
        <w:t xml:space="preserve">. </w:t>
      </w:r>
      <w:r w:rsidR="00AC6EBF" w:rsidRPr="00ED4C18">
        <w:rPr>
          <w:szCs w:val="22"/>
        </w:rPr>
        <w:t xml:space="preserve">The base case assumed </w:t>
      </w:r>
      <w:r w:rsidR="00C26896">
        <w:rPr>
          <w:noProof/>
          <w:color w:val="000000"/>
          <w:szCs w:val="22"/>
          <w:highlight w:val="black"/>
        </w:rPr>
        <w:t>''''''</w:t>
      </w:r>
      <w:r w:rsidR="00AC6EBF" w:rsidRPr="00ED4C18">
        <w:rPr>
          <w:szCs w:val="22"/>
        </w:rPr>
        <w:t>% of patients had cirrhosis and additional</w:t>
      </w:r>
      <w:r w:rsidR="003E3738" w:rsidRPr="00ED4C18">
        <w:rPr>
          <w:szCs w:val="22"/>
        </w:rPr>
        <w:t xml:space="preserve"> sensitivity </w:t>
      </w:r>
      <w:r w:rsidR="00AC6EBF" w:rsidRPr="00ED4C18">
        <w:rPr>
          <w:szCs w:val="22"/>
        </w:rPr>
        <w:t xml:space="preserve">analysis was presented around this assumption as suggested by the ESC </w:t>
      </w:r>
      <w:r w:rsidR="00C26896">
        <w:rPr>
          <w:noProof/>
          <w:color w:val="000000"/>
          <w:szCs w:val="22"/>
          <w:highlight w:val="black"/>
        </w:rPr>
        <w:t>'''''''''</w:t>
      </w:r>
      <w:r w:rsidR="00AC6EBF" w:rsidRPr="00010779">
        <w:rPr>
          <w:szCs w:val="22"/>
        </w:rPr>
        <w:t xml:space="preserve">% to </w:t>
      </w:r>
      <w:r w:rsidR="00C26896">
        <w:rPr>
          <w:noProof/>
          <w:color w:val="000000"/>
          <w:szCs w:val="22"/>
          <w:highlight w:val="black"/>
        </w:rPr>
        <w:t>'''''''''''</w:t>
      </w:r>
      <w:r w:rsidR="00AC6EBF" w:rsidRPr="00010779">
        <w:rPr>
          <w:szCs w:val="22"/>
        </w:rPr>
        <w:t>%</w:t>
      </w:r>
      <w:r w:rsidR="00C26896">
        <w:rPr>
          <w:noProof/>
          <w:color w:val="000000"/>
          <w:szCs w:val="22"/>
          <w:highlight w:val="black"/>
        </w:rPr>
        <w:t>''</w:t>
      </w:r>
      <w:r w:rsidR="00AA1B62" w:rsidRPr="00ED4C18">
        <w:rPr>
          <w:szCs w:val="22"/>
        </w:rPr>
        <w:t>:</w:t>
      </w:r>
    </w:p>
    <w:p w:rsidR="003E3738" w:rsidRPr="00ED4C18" w:rsidRDefault="003E3738" w:rsidP="00AA1B62">
      <w:pPr>
        <w:jc w:val="both"/>
        <w:rPr>
          <w:szCs w:val="22"/>
        </w:rPr>
      </w:pPr>
    </w:p>
    <w:tbl>
      <w:tblPr>
        <w:tblStyle w:val="TableGrid"/>
        <w:tblW w:w="0" w:type="auto"/>
        <w:tblInd w:w="817" w:type="dxa"/>
        <w:tblLayout w:type="fixed"/>
        <w:tblLook w:val="04A0" w:firstRow="1" w:lastRow="0" w:firstColumn="1" w:lastColumn="0" w:noHBand="0" w:noVBand="1"/>
        <w:tblDescription w:val="Treatment Naïve interferon results"/>
      </w:tblPr>
      <w:tblGrid>
        <w:gridCol w:w="2268"/>
        <w:gridCol w:w="1363"/>
        <w:gridCol w:w="1900"/>
        <w:gridCol w:w="1447"/>
        <w:gridCol w:w="1385"/>
      </w:tblGrid>
      <w:tr w:rsidR="00ED4C18" w:rsidRPr="00ED4C18" w:rsidTr="00D16494">
        <w:trPr>
          <w:trHeight w:val="464"/>
          <w:tblHeader/>
        </w:trPr>
        <w:tc>
          <w:tcPr>
            <w:tcW w:w="2268" w:type="dxa"/>
            <w:vMerge w:val="restart"/>
          </w:tcPr>
          <w:p w:rsidR="0013659F" w:rsidRPr="00ED4C18" w:rsidRDefault="0013659F" w:rsidP="003E3738">
            <w:pPr>
              <w:pStyle w:val="ListParagraph"/>
              <w:ind w:left="0"/>
              <w:jc w:val="both"/>
              <w:rPr>
                <w:rFonts w:ascii="Arial Narrow" w:hAnsi="Arial Narrow"/>
                <w:sz w:val="20"/>
                <w:szCs w:val="20"/>
              </w:rPr>
            </w:pPr>
          </w:p>
        </w:tc>
        <w:tc>
          <w:tcPr>
            <w:tcW w:w="3263" w:type="dxa"/>
            <w:gridSpan w:val="2"/>
          </w:tcPr>
          <w:p w:rsidR="0013659F" w:rsidRPr="00ED4C18" w:rsidRDefault="0013659F" w:rsidP="00AA1B62">
            <w:pPr>
              <w:pStyle w:val="ListParagraph"/>
              <w:ind w:left="0"/>
              <w:jc w:val="center"/>
              <w:rPr>
                <w:rFonts w:ascii="Arial Narrow" w:hAnsi="Arial Narrow"/>
                <w:sz w:val="20"/>
                <w:szCs w:val="20"/>
              </w:rPr>
            </w:pPr>
            <w:r w:rsidRPr="00ED4C18">
              <w:rPr>
                <w:rFonts w:ascii="Arial Narrow" w:hAnsi="Arial Narrow"/>
                <w:sz w:val="20"/>
                <w:szCs w:val="20"/>
              </w:rPr>
              <w:t>Treatment Naïve interferon unsuitable (SOF + RBV 24 weeks).</w:t>
            </w:r>
          </w:p>
        </w:tc>
        <w:tc>
          <w:tcPr>
            <w:tcW w:w="2832" w:type="dxa"/>
            <w:gridSpan w:val="2"/>
          </w:tcPr>
          <w:p w:rsidR="0013659F" w:rsidRPr="00ED4C18" w:rsidRDefault="0013659F" w:rsidP="00AA1B62">
            <w:pPr>
              <w:pStyle w:val="ListParagraph"/>
              <w:ind w:left="0"/>
              <w:jc w:val="center"/>
              <w:rPr>
                <w:rFonts w:ascii="Arial Narrow" w:hAnsi="Arial Narrow"/>
                <w:sz w:val="20"/>
                <w:szCs w:val="20"/>
              </w:rPr>
            </w:pPr>
            <w:r w:rsidRPr="00ED4C18">
              <w:rPr>
                <w:rFonts w:ascii="Arial Narrow" w:hAnsi="Arial Narrow"/>
                <w:sz w:val="20"/>
                <w:szCs w:val="20"/>
              </w:rPr>
              <w:t>Treatment Naïve interferon eligible (SOF + PR 12 Weeks)</w:t>
            </w:r>
          </w:p>
        </w:tc>
      </w:tr>
      <w:tr w:rsidR="00ED4C18" w:rsidRPr="00ED4C18" w:rsidTr="00D16494">
        <w:trPr>
          <w:trHeight w:val="464"/>
          <w:tblHeader/>
        </w:trPr>
        <w:tc>
          <w:tcPr>
            <w:tcW w:w="2268" w:type="dxa"/>
            <w:vMerge/>
          </w:tcPr>
          <w:p w:rsidR="0013659F" w:rsidRPr="00ED4C18" w:rsidRDefault="0013659F" w:rsidP="003E3738">
            <w:pPr>
              <w:pStyle w:val="ListParagraph"/>
              <w:ind w:left="0"/>
              <w:jc w:val="both"/>
              <w:rPr>
                <w:rFonts w:ascii="Arial Narrow" w:hAnsi="Arial Narrow"/>
                <w:sz w:val="20"/>
                <w:szCs w:val="20"/>
              </w:rPr>
            </w:pPr>
          </w:p>
        </w:tc>
        <w:tc>
          <w:tcPr>
            <w:tcW w:w="1363" w:type="dxa"/>
          </w:tcPr>
          <w:p w:rsidR="0013659F" w:rsidRPr="00ED4C18" w:rsidRDefault="0013659F" w:rsidP="00AA1B62">
            <w:pPr>
              <w:pStyle w:val="ListParagraph"/>
              <w:ind w:left="0"/>
              <w:jc w:val="center"/>
              <w:rPr>
                <w:rFonts w:ascii="Arial Narrow" w:hAnsi="Arial Narrow"/>
                <w:sz w:val="20"/>
                <w:szCs w:val="20"/>
              </w:rPr>
            </w:pPr>
            <w:r w:rsidRPr="00ED4C18">
              <w:rPr>
                <w:rFonts w:ascii="Arial Narrow" w:hAnsi="Arial Narrow"/>
                <w:sz w:val="20"/>
                <w:szCs w:val="20"/>
              </w:rPr>
              <w:t>Genotype 1</w:t>
            </w:r>
          </w:p>
          <w:p w:rsidR="0013659F" w:rsidRPr="00ED4C18" w:rsidRDefault="0013659F" w:rsidP="00AA1B62">
            <w:pPr>
              <w:pStyle w:val="ListParagraph"/>
              <w:ind w:left="0"/>
              <w:jc w:val="center"/>
              <w:rPr>
                <w:rFonts w:ascii="Arial Narrow" w:hAnsi="Arial Narrow"/>
                <w:sz w:val="20"/>
                <w:szCs w:val="20"/>
              </w:rPr>
            </w:pPr>
            <w:r w:rsidRPr="00ED4C18">
              <w:rPr>
                <w:rFonts w:ascii="Arial Narrow" w:hAnsi="Arial Narrow"/>
                <w:sz w:val="20"/>
                <w:szCs w:val="20"/>
              </w:rPr>
              <w:t>(ICER/QALY)</w:t>
            </w:r>
          </w:p>
        </w:tc>
        <w:tc>
          <w:tcPr>
            <w:tcW w:w="1900" w:type="dxa"/>
          </w:tcPr>
          <w:p w:rsidR="0013659F" w:rsidRPr="00ED4C18" w:rsidRDefault="0013659F" w:rsidP="00AA1B62">
            <w:pPr>
              <w:pStyle w:val="ListParagraph"/>
              <w:ind w:left="0"/>
              <w:jc w:val="center"/>
              <w:rPr>
                <w:rFonts w:ascii="Arial Narrow" w:hAnsi="Arial Narrow"/>
                <w:sz w:val="20"/>
                <w:szCs w:val="20"/>
              </w:rPr>
            </w:pPr>
            <w:r w:rsidRPr="00ED4C18">
              <w:rPr>
                <w:rFonts w:ascii="Arial Narrow" w:hAnsi="Arial Narrow"/>
                <w:sz w:val="20"/>
                <w:szCs w:val="20"/>
              </w:rPr>
              <w:t xml:space="preserve">Genotype 3 </w:t>
            </w:r>
          </w:p>
          <w:p w:rsidR="0013659F" w:rsidRPr="00ED4C18" w:rsidRDefault="0013659F" w:rsidP="00AA1B62">
            <w:pPr>
              <w:pStyle w:val="ListParagraph"/>
              <w:ind w:left="0"/>
              <w:jc w:val="center"/>
              <w:rPr>
                <w:rFonts w:ascii="Arial Narrow" w:hAnsi="Arial Narrow"/>
                <w:sz w:val="20"/>
                <w:szCs w:val="20"/>
              </w:rPr>
            </w:pPr>
            <w:r w:rsidRPr="00ED4C18">
              <w:rPr>
                <w:rFonts w:ascii="Arial Narrow" w:hAnsi="Arial Narrow"/>
                <w:sz w:val="20"/>
                <w:szCs w:val="20"/>
              </w:rPr>
              <w:t>(ICER/QALY)</w:t>
            </w:r>
          </w:p>
        </w:tc>
        <w:tc>
          <w:tcPr>
            <w:tcW w:w="1447" w:type="dxa"/>
          </w:tcPr>
          <w:p w:rsidR="0013659F" w:rsidRPr="00ED4C18" w:rsidRDefault="0013659F" w:rsidP="00CD1B36">
            <w:pPr>
              <w:pStyle w:val="ListParagraph"/>
              <w:ind w:left="0"/>
              <w:jc w:val="center"/>
              <w:rPr>
                <w:rFonts w:ascii="Arial Narrow" w:hAnsi="Arial Narrow"/>
                <w:sz w:val="20"/>
                <w:szCs w:val="20"/>
              </w:rPr>
            </w:pPr>
            <w:r w:rsidRPr="00ED4C18">
              <w:rPr>
                <w:rFonts w:ascii="Arial Narrow" w:hAnsi="Arial Narrow"/>
                <w:sz w:val="20"/>
                <w:szCs w:val="20"/>
              </w:rPr>
              <w:t>Genotype 1</w:t>
            </w:r>
          </w:p>
          <w:p w:rsidR="0013659F" w:rsidRPr="00ED4C18" w:rsidRDefault="0013659F" w:rsidP="00CD1B36">
            <w:pPr>
              <w:pStyle w:val="ListParagraph"/>
              <w:ind w:left="0"/>
              <w:jc w:val="center"/>
              <w:rPr>
                <w:rFonts w:ascii="Arial Narrow" w:hAnsi="Arial Narrow"/>
                <w:sz w:val="20"/>
                <w:szCs w:val="20"/>
              </w:rPr>
            </w:pPr>
            <w:r w:rsidRPr="00ED4C18">
              <w:rPr>
                <w:rFonts w:ascii="Arial Narrow" w:hAnsi="Arial Narrow"/>
                <w:sz w:val="20"/>
                <w:szCs w:val="20"/>
              </w:rPr>
              <w:t>(ICER/QALY)</w:t>
            </w:r>
          </w:p>
        </w:tc>
        <w:tc>
          <w:tcPr>
            <w:tcW w:w="1385" w:type="dxa"/>
          </w:tcPr>
          <w:p w:rsidR="0013659F" w:rsidRPr="00ED4C18" w:rsidRDefault="0013659F" w:rsidP="00CD1B36">
            <w:pPr>
              <w:pStyle w:val="ListParagraph"/>
              <w:ind w:left="0"/>
              <w:jc w:val="center"/>
              <w:rPr>
                <w:rFonts w:ascii="Arial Narrow" w:hAnsi="Arial Narrow"/>
                <w:sz w:val="20"/>
                <w:szCs w:val="20"/>
              </w:rPr>
            </w:pPr>
            <w:r w:rsidRPr="00ED4C18">
              <w:rPr>
                <w:rFonts w:ascii="Arial Narrow" w:hAnsi="Arial Narrow"/>
                <w:sz w:val="20"/>
                <w:szCs w:val="20"/>
              </w:rPr>
              <w:t xml:space="preserve">Genotype 3 </w:t>
            </w:r>
          </w:p>
          <w:p w:rsidR="0013659F" w:rsidRPr="00ED4C18" w:rsidRDefault="0013659F" w:rsidP="00CD1B36">
            <w:pPr>
              <w:pStyle w:val="ListParagraph"/>
              <w:ind w:left="0"/>
              <w:jc w:val="center"/>
              <w:rPr>
                <w:rFonts w:ascii="Arial Narrow" w:hAnsi="Arial Narrow"/>
                <w:sz w:val="20"/>
                <w:szCs w:val="20"/>
              </w:rPr>
            </w:pPr>
            <w:r w:rsidRPr="00ED4C18">
              <w:rPr>
                <w:rFonts w:ascii="Arial Narrow" w:hAnsi="Arial Narrow"/>
                <w:sz w:val="20"/>
                <w:szCs w:val="20"/>
              </w:rPr>
              <w:t>(ICER/QALY)</w:t>
            </w:r>
          </w:p>
        </w:tc>
      </w:tr>
      <w:tr w:rsidR="001E5804" w:rsidRPr="00ED4C18" w:rsidTr="00B85146">
        <w:trPr>
          <w:trHeight w:val="232"/>
        </w:trPr>
        <w:tc>
          <w:tcPr>
            <w:tcW w:w="2268" w:type="dxa"/>
          </w:tcPr>
          <w:p w:rsidR="001E5804" w:rsidRPr="00ED4C18" w:rsidRDefault="001E5804" w:rsidP="003E3738">
            <w:pPr>
              <w:pStyle w:val="ListParagraph"/>
              <w:ind w:left="0"/>
              <w:jc w:val="both"/>
              <w:rPr>
                <w:rFonts w:ascii="Arial Narrow" w:hAnsi="Arial Narrow"/>
                <w:sz w:val="20"/>
                <w:szCs w:val="20"/>
              </w:rPr>
            </w:pPr>
            <w:r w:rsidRPr="00ED4C18">
              <w:rPr>
                <w:rFonts w:ascii="Arial Narrow" w:hAnsi="Arial Narrow"/>
                <w:sz w:val="20"/>
                <w:szCs w:val="20"/>
              </w:rPr>
              <w:t>100% cirrhosis</w:t>
            </w:r>
          </w:p>
        </w:tc>
        <w:tc>
          <w:tcPr>
            <w:tcW w:w="1363" w:type="dxa"/>
          </w:tcPr>
          <w:p w:rsidR="001E5804" w:rsidRPr="00C26896" w:rsidRDefault="001E5804" w:rsidP="00AC6730">
            <w:pPr>
              <w:pStyle w:val="ListParagraph"/>
              <w:ind w:left="0"/>
              <w:jc w:val="center"/>
              <w:rPr>
                <w:rFonts w:ascii="Arial Narrow" w:hAnsi="Arial Narrow"/>
                <w:sz w:val="20"/>
                <w:szCs w:val="20"/>
              </w:rPr>
            </w:pPr>
          </w:p>
          <w:p w:rsidR="001E5804" w:rsidRPr="00ED4C18" w:rsidRDefault="001E5804" w:rsidP="00AA1B62">
            <w:pPr>
              <w:pStyle w:val="ListParagraph"/>
              <w:ind w:left="0"/>
              <w:jc w:val="center"/>
              <w:rPr>
                <w:rFonts w:ascii="Arial Narrow" w:hAnsi="Arial Narrow"/>
                <w:sz w:val="20"/>
                <w:szCs w:val="20"/>
              </w:rPr>
            </w:pPr>
            <w:r>
              <w:rPr>
                <w:rFonts w:ascii="Arial Narrow" w:hAnsi="Arial Narrow"/>
                <w:sz w:val="20"/>
                <w:szCs w:val="20"/>
              </w:rPr>
              <w:t>$105,000-200,000</w:t>
            </w:r>
          </w:p>
        </w:tc>
        <w:tc>
          <w:tcPr>
            <w:tcW w:w="1900" w:type="dxa"/>
          </w:tcPr>
          <w:p w:rsidR="001E5804" w:rsidRPr="00ED4C18" w:rsidRDefault="001E5804" w:rsidP="00AA1B62">
            <w:pPr>
              <w:pStyle w:val="ListParagraph"/>
              <w:ind w:left="0"/>
              <w:jc w:val="center"/>
              <w:rPr>
                <w:rFonts w:ascii="Arial Narrow" w:hAnsi="Arial Narrow"/>
                <w:sz w:val="20"/>
                <w:szCs w:val="20"/>
              </w:rPr>
            </w:pPr>
            <w:r>
              <w:rPr>
                <w:rFonts w:ascii="Arial Narrow" w:hAnsi="Arial Narrow"/>
                <w:sz w:val="20"/>
                <w:szCs w:val="20"/>
              </w:rPr>
              <w:t>$15,000-45,000</w:t>
            </w:r>
          </w:p>
        </w:tc>
        <w:tc>
          <w:tcPr>
            <w:tcW w:w="1447" w:type="dxa"/>
          </w:tcPr>
          <w:p w:rsidR="001E5804" w:rsidRPr="00ED4C18" w:rsidRDefault="001E5804" w:rsidP="00AA1B62">
            <w:pPr>
              <w:pStyle w:val="ListParagraph"/>
              <w:ind w:left="0"/>
              <w:jc w:val="center"/>
              <w:rPr>
                <w:rFonts w:ascii="Arial Narrow" w:hAnsi="Arial Narrow"/>
                <w:sz w:val="20"/>
                <w:szCs w:val="20"/>
              </w:rPr>
            </w:pPr>
            <w:r>
              <w:rPr>
                <w:rFonts w:ascii="Arial Narrow" w:hAnsi="Arial Narrow"/>
                <w:sz w:val="20"/>
                <w:szCs w:val="20"/>
              </w:rPr>
              <w:t>$15,000-45,000</w:t>
            </w:r>
          </w:p>
        </w:tc>
        <w:tc>
          <w:tcPr>
            <w:tcW w:w="1385" w:type="dxa"/>
          </w:tcPr>
          <w:p w:rsidR="001E5804" w:rsidRPr="00ED4C18" w:rsidRDefault="001E5804" w:rsidP="00AA1B62">
            <w:pPr>
              <w:pStyle w:val="ListParagraph"/>
              <w:ind w:left="0"/>
              <w:jc w:val="center"/>
              <w:rPr>
                <w:rFonts w:ascii="Arial Narrow" w:hAnsi="Arial Narrow"/>
                <w:sz w:val="20"/>
                <w:szCs w:val="20"/>
              </w:rPr>
            </w:pPr>
            <w:r>
              <w:rPr>
                <w:rFonts w:ascii="Arial Narrow" w:hAnsi="Arial Narrow"/>
                <w:sz w:val="20"/>
                <w:szCs w:val="20"/>
              </w:rPr>
              <w:t>$15,000-45,000</w:t>
            </w:r>
          </w:p>
        </w:tc>
      </w:tr>
      <w:tr w:rsidR="001E5804" w:rsidRPr="00ED4C18" w:rsidTr="00B85146">
        <w:trPr>
          <w:trHeight w:val="213"/>
        </w:trPr>
        <w:tc>
          <w:tcPr>
            <w:tcW w:w="2268" w:type="dxa"/>
          </w:tcPr>
          <w:p w:rsidR="001E5804" w:rsidRPr="00ED4C18" w:rsidRDefault="001E5804" w:rsidP="003E3738">
            <w:pPr>
              <w:pStyle w:val="ListParagraph"/>
              <w:ind w:left="0"/>
              <w:jc w:val="both"/>
              <w:rPr>
                <w:rFonts w:ascii="Arial Narrow" w:hAnsi="Arial Narrow"/>
                <w:sz w:val="20"/>
                <w:szCs w:val="20"/>
              </w:rPr>
            </w:pPr>
            <w:r w:rsidRPr="00ED4C18">
              <w:rPr>
                <w:rFonts w:ascii="Arial Narrow" w:hAnsi="Arial Narrow"/>
                <w:sz w:val="20"/>
                <w:szCs w:val="20"/>
              </w:rPr>
              <w:t>30% cirrhosis (base case)</w:t>
            </w:r>
          </w:p>
        </w:tc>
        <w:tc>
          <w:tcPr>
            <w:tcW w:w="1363" w:type="dxa"/>
          </w:tcPr>
          <w:p w:rsidR="001E5804" w:rsidRPr="00ED4C18" w:rsidRDefault="001E5804" w:rsidP="00010779">
            <w:pPr>
              <w:pStyle w:val="ListParagraph"/>
              <w:ind w:left="0"/>
              <w:jc w:val="center"/>
              <w:rPr>
                <w:rFonts w:ascii="Arial Narrow" w:hAnsi="Arial Narrow"/>
                <w:sz w:val="20"/>
                <w:szCs w:val="20"/>
              </w:rPr>
            </w:pPr>
            <w:r>
              <w:rPr>
                <w:rFonts w:ascii="Arial Narrow" w:hAnsi="Arial Narrow"/>
                <w:sz w:val="20"/>
                <w:szCs w:val="20"/>
              </w:rPr>
              <w:t>$105,000-200,000</w:t>
            </w:r>
          </w:p>
        </w:tc>
        <w:tc>
          <w:tcPr>
            <w:tcW w:w="1900" w:type="dxa"/>
          </w:tcPr>
          <w:p w:rsidR="001E5804" w:rsidRPr="00ED4C18" w:rsidRDefault="001E5804" w:rsidP="00AA1B62">
            <w:pPr>
              <w:pStyle w:val="ListParagraph"/>
              <w:ind w:left="0"/>
              <w:jc w:val="center"/>
              <w:rPr>
                <w:rFonts w:ascii="Arial Narrow" w:hAnsi="Arial Narrow"/>
                <w:sz w:val="20"/>
                <w:szCs w:val="20"/>
              </w:rPr>
            </w:pPr>
            <w:r>
              <w:rPr>
                <w:rFonts w:ascii="Arial Narrow" w:hAnsi="Arial Narrow"/>
                <w:sz w:val="20"/>
                <w:szCs w:val="20"/>
              </w:rPr>
              <w:t>$75,000-105,000</w:t>
            </w:r>
          </w:p>
        </w:tc>
        <w:tc>
          <w:tcPr>
            <w:tcW w:w="1447" w:type="dxa"/>
          </w:tcPr>
          <w:p w:rsidR="001E5804" w:rsidRPr="00ED4C18" w:rsidRDefault="001E5804" w:rsidP="00AA1B62">
            <w:pPr>
              <w:pStyle w:val="ListParagraph"/>
              <w:ind w:left="0"/>
              <w:jc w:val="center"/>
              <w:rPr>
                <w:rFonts w:ascii="Arial Narrow" w:hAnsi="Arial Narrow"/>
                <w:sz w:val="20"/>
                <w:szCs w:val="20"/>
              </w:rPr>
            </w:pPr>
            <w:r>
              <w:rPr>
                <w:rFonts w:ascii="Arial Narrow" w:hAnsi="Arial Narrow"/>
                <w:sz w:val="20"/>
                <w:szCs w:val="20"/>
              </w:rPr>
              <w:t>$15,000-45,000</w:t>
            </w:r>
          </w:p>
        </w:tc>
        <w:tc>
          <w:tcPr>
            <w:tcW w:w="1385" w:type="dxa"/>
          </w:tcPr>
          <w:p w:rsidR="001E5804" w:rsidRPr="00ED4C18" w:rsidRDefault="001E5804" w:rsidP="00AA1B62">
            <w:pPr>
              <w:pStyle w:val="ListParagraph"/>
              <w:ind w:left="0"/>
              <w:jc w:val="center"/>
              <w:rPr>
                <w:rFonts w:ascii="Arial Narrow" w:hAnsi="Arial Narrow"/>
                <w:sz w:val="20"/>
                <w:szCs w:val="20"/>
              </w:rPr>
            </w:pPr>
            <w:r>
              <w:rPr>
                <w:rFonts w:ascii="Arial Narrow" w:hAnsi="Arial Narrow"/>
                <w:sz w:val="20"/>
                <w:szCs w:val="20"/>
              </w:rPr>
              <w:t>$15,000-45,000</w:t>
            </w:r>
          </w:p>
        </w:tc>
      </w:tr>
      <w:tr w:rsidR="001E5804" w:rsidRPr="00ED4C18" w:rsidTr="00B85146">
        <w:trPr>
          <w:trHeight w:val="232"/>
        </w:trPr>
        <w:tc>
          <w:tcPr>
            <w:tcW w:w="2268" w:type="dxa"/>
          </w:tcPr>
          <w:p w:rsidR="001E5804" w:rsidRPr="00ED4C18" w:rsidRDefault="001E5804" w:rsidP="003E3738">
            <w:pPr>
              <w:pStyle w:val="ListParagraph"/>
              <w:ind w:left="0"/>
              <w:jc w:val="both"/>
              <w:rPr>
                <w:rFonts w:ascii="Arial Narrow" w:hAnsi="Arial Narrow"/>
                <w:sz w:val="20"/>
                <w:szCs w:val="20"/>
              </w:rPr>
            </w:pPr>
            <w:r w:rsidRPr="00ED4C18">
              <w:rPr>
                <w:rFonts w:ascii="Arial Narrow" w:hAnsi="Arial Narrow"/>
                <w:sz w:val="20"/>
                <w:szCs w:val="20"/>
              </w:rPr>
              <w:t>19.6% (ESC upper limit)</w:t>
            </w:r>
          </w:p>
        </w:tc>
        <w:tc>
          <w:tcPr>
            <w:tcW w:w="1363" w:type="dxa"/>
          </w:tcPr>
          <w:p w:rsidR="001E5804" w:rsidRPr="00ED4C18" w:rsidRDefault="001E5804" w:rsidP="00AA1B62">
            <w:pPr>
              <w:pStyle w:val="ListParagraph"/>
              <w:ind w:left="0"/>
              <w:jc w:val="center"/>
              <w:rPr>
                <w:rFonts w:ascii="Arial Narrow" w:hAnsi="Arial Narrow"/>
                <w:sz w:val="20"/>
                <w:szCs w:val="20"/>
              </w:rPr>
            </w:pPr>
            <w:r>
              <w:rPr>
                <w:rFonts w:ascii="Arial Narrow" w:hAnsi="Arial Narrow"/>
                <w:sz w:val="20"/>
                <w:szCs w:val="20"/>
              </w:rPr>
              <w:t>$105,000-200,000</w:t>
            </w:r>
          </w:p>
        </w:tc>
        <w:tc>
          <w:tcPr>
            <w:tcW w:w="1900" w:type="dxa"/>
          </w:tcPr>
          <w:p w:rsidR="001E5804" w:rsidRPr="00ED4C18" w:rsidRDefault="001E5804" w:rsidP="00AA1B62">
            <w:pPr>
              <w:pStyle w:val="ListParagraph"/>
              <w:ind w:left="0"/>
              <w:jc w:val="center"/>
              <w:rPr>
                <w:rFonts w:ascii="Arial Narrow" w:hAnsi="Arial Narrow"/>
                <w:sz w:val="20"/>
                <w:szCs w:val="20"/>
              </w:rPr>
            </w:pPr>
            <w:r>
              <w:rPr>
                <w:rFonts w:ascii="Arial Narrow" w:hAnsi="Arial Narrow"/>
                <w:sz w:val="20"/>
                <w:szCs w:val="20"/>
              </w:rPr>
              <w:t>$75,000-105,000</w:t>
            </w:r>
          </w:p>
        </w:tc>
        <w:tc>
          <w:tcPr>
            <w:tcW w:w="1447" w:type="dxa"/>
          </w:tcPr>
          <w:p w:rsidR="001E5804" w:rsidRPr="00ED4C18" w:rsidRDefault="001E5804" w:rsidP="00AA1B62">
            <w:pPr>
              <w:pStyle w:val="ListParagraph"/>
              <w:ind w:left="0"/>
              <w:jc w:val="center"/>
              <w:rPr>
                <w:rFonts w:ascii="Arial Narrow" w:hAnsi="Arial Narrow"/>
                <w:sz w:val="20"/>
                <w:szCs w:val="20"/>
              </w:rPr>
            </w:pPr>
            <w:r>
              <w:rPr>
                <w:rFonts w:ascii="Arial Narrow" w:hAnsi="Arial Narrow"/>
                <w:sz w:val="20"/>
                <w:szCs w:val="20"/>
              </w:rPr>
              <w:t>$45,000-75,000</w:t>
            </w:r>
          </w:p>
        </w:tc>
        <w:tc>
          <w:tcPr>
            <w:tcW w:w="1385" w:type="dxa"/>
          </w:tcPr>
          <w:p w:rsidR="001E5804" w:rsidRPr="00ED4C18" w:rsidRDefault="001E5804" w:rsidP="00AA1B62">
            <w:pPr>
              <w:pStyle w:val="ListParagraph"/>
              <w:ind w:left="0"/>
              <w:jc w:val="center"/>
              <w:rPr>
                <w:rFonts w:ascii="Arial Narrow" w:hAnsi="Arial Narrow"/>
                <w:sz w:val="20"/>
                <w:szCs w:val="20"/>
              </w:rPr>
            </w:pPr>
            <w:r>
              <w:rPr>
                <w:rFonts w:ascii="Arial Narrow" w:hAnsi="Arial Narrow"/>
                <w:sz w:val="20"/>
                <w:szCs w:val="20"/>
              </w:rPr>
              <w:t>$45,000-75,000</w:t>
            </w:r>
          </w:p>
        </w:tc>
      </w:tr>
      <w:tr w:rsidR="001E5804" w:rsidRPr="00ED4C18" w:rsidTr="00B85146">
        <w:trPr>
          <w:trHeight w:val="251"/>
        </w:trPr>
        <w:tc>
          <w:tcPr>
            <w:tcW w:w="2268" w:type="dxa"/>
          </w:tcPr>
          <w:p w:rsidR="001E5804" w:rsidRPr="00ED4C18" w:rsidRDefault="001E5804" w:rsidP="003E3738">
            <w:pPr>
              <w:pStyle w:val="ListParagraph"/>
              <w:ind w:left="0"/>
              <w:jc w:val="both"/>
              <w:rPr>
                <w:rFonts w:ascii="Arial Narrow" w:hAnsi="Arial Narrow"/>
                <w:sz w:val="20"/>
                <w:szCs w:val="20"/>
              </w:rPr>
            </w:pPr>
            <w:r w:rsidRPr="00ED4C18">
              <w:rPr>
                <w:rFonts w:ascii="Arial Narrow" w:hAnsi="Arial Narrow"/>
                <w:sz w:val="20"/>
                <w:szCs w:val="20"/>
              </w:rPr>
              <w:t>4.3% (ESC lower limit)</w:t>
            </w:r>
          </w:p>
        </w:tc>
        <w:tc>
          <w:tcPr>
            <w:tcW w:w="1363" w:type="dxa"/>
          </w:tcPr>
          <w:p w:rsidR="001E5804" w:rsidRPr="00ED4C18" w:rsidRDefault="001E5804" w:rsidP="00AA1B62">
            <w:pPr>
              <w:pStyle w:val="ListParagraph"/>
              <w:ind w:left="0"/>
              <w:jc w:val="center"/>
              <w:rPr>
                <w:rFonts w:ascii="Arial Narrow" w:hAnsi="Arial Narrow"/>
                <w:sz w:val="20"/>
                <w:szCs w:val="20"/>
              </w:rPr>
            </w:pPr>
            <w:r>
              <w:rPr>
                <w:rFonts w:ascii="Arial Narrow" w:hAnsi="Arial Narrow"/>
                <w:sz w:val="20"/>
                <w:szCs w:val="20"/>
              </w:rPr>
              <w:t>$105,000-200,000</w:t>
            </w:r>
          </w:p>
        </w:tc>
        <w:tc>
          <w:tcPr>
            <w:tcW w:w="1900" w:type="dxa"/>
          </w:tcPr>
          <w:p w:rsidR="001E5804" w:rsidRPr="00ED4C18" w:rsidRDefault="001E5804" w:rsidP="00AA1B62">
            <w:pPr>
              <w:pStyle w:val="ListParagraph"/>
              <w:ind w:left="0"/>
              <w:jc w:val="center"/>
              <w:rPr>
                <w:rFonts w:ascii="Arial Narrow" w:hAnsi="Arial Narrow"/>
                <w:sz w:val="20"/>
                <w:szCs w:val="20"/>
              </w:rPr>
            </w:pPr>
            <w:r>
              <w:rPr>
                <w:rFonts w:ascii="Arial Narrow" w:hAnsi="Arial Narrow"/>
                <w:sz w:val="20"/>
                <w:szCs w:val="20"/>
              </w:rPr>
              <w:t>$75,000-105,000</w:t>
            </w:r>
          </w:p>
        </w:tc>
        <w:tc>
          <w:tcPr>
            <w:tcW w:w="1447" w:type="dxa"/>
          </w:tcPr>
          <w:p w:rsidR="001E5804" w:rsidRPr="00ED4C18" w:rsidRDefault="001E5804" w:rsidP="00AA1B62">
            <w:pPr>
              <w:pStyle w:val="ListParagraph"/>
              <w:ind w:left="0"/>
              <w:jc w:val="center"/>
              <w:rPr>
                <w:rFonts w:ascii="Arial Narrow" w:hAnsi="Arial Narrow"/>
                <w:sz w:val="20"/>
                <w:szCs w:val="20"/>
              </w:rPr>
            </w:pPr>
            <w:r>
              <w:rPr>
                <w:rFonts w:ascii="Arial Narrow" w:hAnsi="Arial Narrow"/>
                <w:sz w:val="20"/>
                <w:szCs w:val="20"/>
              </w:rPr>
              <w:t>$45,000-75,000</w:t>
            </w:r>
          </w:p>
        </w:tc>
        <w:tc>
          <w:tcPr>
            <w:tcW w:w="1385" w:type="dxa"/>
          </w:tcPr>
          <w:p w:rsidR="001E5804" w:rsidRPr="00ED4C18" w:rsidRDefault="001E5804" w:rsidP="00AA1B62">
            <w:pPr>
              <w:pStyle w:val="ListParagraph"/>
              <w:ind w:left="0"/>
              <w:jc w:val="center"/>
              <w:rPr>
                <w:rFonts w:ascii="Arial Narrow" w:hAnsi="Arial Narrow"/>
                <w:sz w:val="20"/>
                <w:szCs w:val="20"/>
              </w:rPr>
            </w:pPr>
            <w:r>
              <w:rPr>
                <w:rFonts w:ascii="Arial Narrow" w:hAnsi="Arial Narrow"/>
                <w:sz w:val="20"/>
                <w:szCs w:val="20"/>
              </w:rPr>
              <w:t>$15,000-45,000</w:t>
            </w:r>
          </w:p>
        </w:tc>
      </w:tr>
      <w:tr w:rsidR="001E5804" w:rsidRPr="00ED4C18" w:rsidTr="00B85146">
        <w:trPr>
          <w:trHeight w:val="251"/>
        </w:trPr>
        <w:tc>
          <w:tcPr>
            <w:tcW w:w="2268" w:type="dxa"/>
          </w:tcPr>
          <w:p w:rsidR="001E5804" w:rsidRPr="00ED4C18" w:rsidRDefault="001E5804" w:rsidP="00CD1B36">
            <w:pPr>
              <w:pStyle w:val="ListParagraph"/>
              <w:ind w:left="0"/>
              <w:jc w:val="both"/>
              <w:rPr>
                <w:rFonts w:ascii="Arial Narrow" w:hAnsi="Arial Narrow"/>
                <w:sz w:val="20"/>
                <w:szCs w:val="20"/>
              </w:rPr>
            </w:pPr>
            <w:r w:rsidRPr="00ED4C18">
              <w:rPr>
                <w:rFonts w:ascii="Arial Narrow" w:hAnsi="Arial Narrow"/>
                <w:sz w:val="20"/>
                <w:szCs w:val="20"/>
              </w:rPr>
              <w:t>No cirrhosis</w:t>
            </w:r>
          </w:p>
        </w:tc>
        <w:tc>
          <w:tcPr>
            <w:tcW w:w="1363" w:type="dxa"/>
          </w:tcPr>
          <w:p w:rsidR="001E5804" w:rsidRPr="00ED4C18" w:rsidRDefault="001E5804" w:rsidP="00CD1B36">
            <w:pPr>
              <w:pStyle w:val="ListParagraph"/>
              <w:ind w:left="0"/>
              <w:jc w:val="center"/>
              <w:rPr>
                <w:rFonts w:ascii="Arial Narrow" w:hAnsi="Arial Narrow"/>
                <w:sz w:val="20"/>
                <w:szCs w:val="20"/>
              </w:rPr>
            </w:pPr>
            <w:r>
              <w:rPr>
                <w:rFonts w:ascii="Arial Narrow" w:hAnsi="Arial Narrow"/>
                <w:sz w:val="20"/>
                <w:szCs w:val="20"/>
              </w:rPr>
              <w:t>$105,000-200,000</w:t>
            </w:r>
          </w:p>
        </w:tc>
        <w:tc>
          <w:tcPr>
            <w:tcW w:w="1900" w:type="dxa"/>
          </w:tcPr>
          <w:p w:rsidR="001E5804" w:rsidRPr="00ED4C18" w:rsidRDefault="001E5804" w:rsidP="00CD1B36">
            <w:pPr>
              <w:pStyle w:val="ListParagraph"/>
              <w:ind w:left="0"/>
              <w:jc w:val="center"/>
              <w:rPr>
                <w:rFonts w:ascii="Arial Narrow" w:hAnsi="Arial Narrow"/>
                <w:sz w:val="20"/>
                <w:szCs w:val="20"/>
              </w:rPr>
            </w:pPr>
            <w:r>
              <w:rPr>
                <w:rFonts w:ascii="Arial Narrow" w:hAnsi="Arial Narrow"/>
                <w:sz w:val="20"/>
                <w:szCs w:val="20"/>
              </w:rPr>
              <w:t>$105,000-200,000</w:t>
            </w:r>
          </w:p>
        </w:tc>
        <w:tc>
          <w:tcPr>
            <w:tcW w:w="1447" w:type="dxa"/>
          </w:tcPr>
          <w:p w:rsidR="001E5804" w:rsidRPr="00ED4C18" w:rsidRDefault="001E5804" w:rsidP="00CD1B36">
            <w:pPr>
              <w:pStyle w:val="ListParagraph"/>
              <w:ind w:left="0"/>
              <w:jc w:val="center"/>
              <w:rPr>
                <w:rFonts w:ascii="Arial Narrow" w:hAnsi="Arial Narrow"/>
                <w:sz w:val="20"/>
                <w:szCs w:val="20"/>
              </w:rPr>
            </w:pPr>
            <w:r>
              <w:rPr>
                <w:rFonts w:ascii="Arial Narrow" w:hAnsi="Arial Narrow"/>
                <w:sz w:val="20"/>
                <w:szCs w:val="20"/>
              </w:rPr>
              <w:t>$45,000-75,000</w:t>
            </w:r>
          </w:p>
        </w:tc>
        <w:tc>
          <w:tcPr>
            <w:tcW w:w="1385" w:type="dxa"/>
          </w:tcPr>
          <w:p w:rsidR="001E5804" w:rsidRPr="00ED4C18" w:rsidRDefault="001E5804" w:rsidP="00CD1B36">
            <w:pPr>
              <w:pStyle w:val="ListParagraph"/>
              <w:ind w:left="0"/>
              <w:jc w:val="center"/>
              <w:rPr>
                <w:rFonts w:ascii="Arial Narrow" w:hAnsi="Arial Narrow"/>
                <w:sz w:val="20"/>
                <w:szCs w:val="20"/>
              </w:rPr>
            </w:pPr>
            <w:r>
              <w:rPr>
                <w:rFonts w:ascii="Arial Narrow" w:hAnsi="Arial Narrow"/>
                <w:sz w:val="20"/>
                <w:szCs w:val="20"/>
              </w:rPr>
              <w:t>$45,000-75,000</w:t>
            </w:r>
          </w:p>
        </w:tc>
      </w:tr>
    </w:tbl>
    <w:p w:rsidR="003E3738" w:rsidRPr="00ED4C18" w:rsidRDefault="003E3738" w:rsidP="001E37DB">
      <w:pPr>
        <w:pStyle w:val="ListParagraph"/>
        <w:ind w:left="567"/>
        <w:jc w:val="both"/>
        <w:rPr>
          <w:szCs w:val="22"/>
        </w:rPr>
      </w:pPr>
    </w:p>
    <w:p w:rsidR="00932CA9" w:rsidRPr="00ED4C18" w:rsidRDefault="0091133A" w:rsidP="00B85146">
      <w:pPr>
        <w:pStyle w:val="ListParagraph"/>
        <w:numPr>
          <w:ilvl w:val="1"/>
          <w:numId w:val="1"/>
        </w:numPr>
        <w:jc w:val="both"/>
        <w:rPr>
          <w:szCs w:val="22"/>
        </w:rPr>
      </w:pPr>
      <w:r w:rsidRPr="00ED4C18">
        <w:rPr>
          <w:szCs w:val="22"/>
        </w:rPr>
        <w:t>The d</w:t>
      </w:r>
      <w:r w:rsidR="0097514E" w:rsidRPr="00ED4C18">
        <w:rPr>
          <w:szCs w:val="22"/>
        </w:rPr>
        <w:t>rug cost/patient/12 week treatment</w:t>
      </w:r>
      <w:r w:rsidRPr="00ED4C18">
        <w:rPr>
          <w:szCs w:val="22"/>
        </w:rPr>
        <w:t xml:space="preserve"> is </w:t>
      </w:r>
      <w:r w:rsidR="0097514E" w:rsidRPr="00ED4C18">
        <w:rPr>
          <w:szCs w:val="22"/>
        </w:rPr>
        <w:t>$</w:t>
      </w:r>
      <w:r w:rsidR="00C26896">
        <w:rPr>
          <w:noProof/>
          <w:color w:val="000000"/>
          <w:szCs w:val="22"/>
          <w:highlight w:val="black"/>
        </w:rPr>
        <w:t>''''''''''''''''</w:t>
      </w:r>
      <w:r w:rsidR="0097514E" w:rsidRPr="00ED4C18">
        <w:rPr>
          <w:szCs w:val="22"/>
        </w:rPr>
        <w:t xml:space="preserve"> (excluding cost of </w:t>
      </w:r>
      <w:proofErr w:type="spellStart"/>
      <w:r w:rsidR="0097514E" w:rsidRPr="00ED4C18">
        <w:rPr>
          <w:szCs w:val="22"/>
        </w:rPr>
        <w:t>peginterferon</w:t>
      </w:r>
      <w:proofErr w:type="spellEnd"/>
      <w:r w:rsidR="0097514E" w:rsidRPr="00ED4C18">
        <w:rPr>
          <w:szCs w:val="22"/>
        </w:rPr>
        <w:t xml:space="preserve"> + ribavirin). </w:t>
      </w:r>
      <w:r w:rsidRPr="00ED4C18">
        <w:rPr>
          <w:szCs w:val="22"/>
        </w:rPr>
        <w:t xml:space="preserve"> For 24 weeks, the d</w:t>
      </w:r>
      <w:r w:rsidR="00932CA9" w:rsidRPr="00ED4C18">
        <w:rPr>
          <w:szCs w:val="22"/>
        </w:rPr>
        <w:t>rug cost/patient/</w:t>
      </w:r>
      <w:r w:rsidRPr="00ED4C18">
        <w:rPr>
          <w:szCs w:val="22"/>
        </w:rPr>
        <w:t xml:space="preserve"> is </w:t>
      </w:r>
      <w:r w:rsidR="00932CA9" w:rsidRPr="00ED4C18">
        <w:rPr>
          <w:szCs w:val="22"/>
        </w:rPr>
        <w:t>$</w:t>
      </w:r>
      <w:r w:rsidR="00C26896">
        <w:rPr>
          <w:noProof/>
          <w:color w:val="000000"/>
          <w:szCs w:val="22"/>
          <w:highlight w:val="black"/>
        </w:rPr>
        <w:t>'''''''''''''''''''''</w:t>
      </w:r>
      <w:r w:rsidR="00932CA9" w:rsidRPr="00ED4C18">
        <w:rPr>
          <w:szCs w:val="22"/>
        </w:rPr>
        <w:t xml:space="preserve"> (excluding cost of ribavirin). </w:t>
      </w:r>
    </w:p>
    <w:p w:rsidR="006E194A" w:rsidRPr="00ED4C18" w:rsidRDefault="006E194A" w:rsidP="00932CA9">
      <w:pPr>
        <w:pStyle w:val="ListParagraph"/>
        <w:ind w:left="567"/>
        <w:jc w:val="both"/>
        <w:rPr>
          <w:szCs w:val="22"/>
        </w:rPr>
      </w:pPr>
    </w:p>
    <w:p w:rsidR="0097514E" w:rsidRPr="00ED4C18" w:rsidRDefault="00932CA9" w:rsidP="00B85146">
      <w:pPr>
        <w:pStyle w:val="ListParagraph"/>
        <w:numPr>
          <w:ilvl w:val="1"/>
          <w:numId w:val="1"/>
        </w:numPr>
        <w:jc w:val="both"/>
        <w:rPr>
          <w:szCs w:val="22"/>
        </w:rPr>
      </w:pPr>
      <w:r w:rsidRPr="00ED4C18">
        <w:rPr>
          <w:szCs w:val="22"/>
        </w:rPr>
        <w:t>Ribavirin is not PBS listed. An assumed price of ribavirin was inconsistently applied in the models of Section D ($</w:t>
      </w:r>
      <w:r w:rsidR="00C26896">
        <w:rPr>
          <w:noProof/>
          <w:color w:val="000000"/>
          <w:szCs w:val="22"/>
          <w:highlight w:val="black"/>
        </w:rPr>
        <w:t>''''''''''''''''''</w:t>
      </w:r>
      <w:r w:rsidRPr="00ED4C18">
        <w:rPr>
          <w:szCs w:val="22"/>
        </w:rPr>
        <w:t xml:space="preserve">, </w:t>
      </w:r>
      <w:r w:rsidRPr="00B85146">
        <w:rPr>
          <w:szCs w:val="22"/>
        </w:rPr>
        <w:t xml:space="preserve">ribavirin 200mg / 140 tablets) </w:t>
      </w:r>
      <w:r w:rsidRPr="00ED4C18">
        <w:rPr>
          <w:szCs w:val="22"/>
        </w:rPr>
        <w:t>and Section E ($</w:t>
      </w:r>
      <w:r w:rsidR="00C26896">
        <w:rPr>
          <w:noProof/>
          <w:color w:val="000000"/>
          <w:szCs w:val="22"/>
          <w:highlight w:val="black"/>
        </w:rPr>
        <w:t>'''''''''''</w:t>
      </w:r>
      <w:r w:rsidRPr="00ED4C18">
        <w:rPr>
          <w:szCs w:val="22"/>
        </w:rPr>
        <w:t>, ribavirin 400mg or 600mg/</w:t>
      </w:r>
      <w:r w:rsidR="00661D79" w:rsidRPr="00ED4C18">
        <w:rPr>
          <w:szCs w:val="22"/>
        </w:rPr>
        <w:t xml:space="preserve"> </w:t>
      </w:r>
      <w:r w:rsidRPr="00ED4C18">
        <w:rPr>
          <w:szCs w:val="22"/>
        </w:rPr>
        <w:t xml:space="preserve">28 tablets).  </w:t>
      </w:r>
      <w:r w:rsidR="00536C1C" w:rsidRPr="00ED4C18">
        <w:rPr>
          <w:szCs w:val="22"/>
        </w:rPr>
        <w:t>If u</w:t>
      </w:r>
      <w:r w:rsidR="006E194A" w:rsidRPr="00ED4C18">
        <w:rPr>
          <w:szCs w:val="22"/>
        </w:rPr>
        <w:t>sing the treatment course assumption</w:t>
      </w:r>
      <w:r w:rsidR="0098531D" w:rsidRPr="00ED4C18">
        <w:rPr>
          <w:szCs w:val="22"/>
        </w:rPr>
        <w:t xml:space="preserve"> in Section E</w:t>
      </w:r>
      <w:r w:rsidR="006E194A" w:rsidRPr="00ED4C18">
        <w:rPr>
          <w:szCs w:val="22"/>
        </w:rPr>
        <w:t xml:space="preserve"> of 1000mg</w:t>
      </w:r>
      <w:r w:rsidR="0098531D" w:rsidRPr="00ED4C18">
        <w:rPr>
          <w:szCs w:val="22"/>
        </w:rPr>
        <w:t xml:space="preserve"> ribavirin</w:t>
      </w:r>
      <w:r w:rsidR="006E194A" w:rsidRPr="00ED4C18">
        <w:rPr>
          <w:szCs w:val="22"/>
        </w:rPr>
        <w:t>/day</w:t>
      </w:r>
      <w:r w:rsidR="0098531D" w:rsidRPr="00ED4C18">
        <w:rPr>
          <w:szCs w:val="22"/>
        </w:rPr>
        <w:t xml:space="preserve"> (1 tablet each of 400mg and 600 mg or 5 tablets of 200mg) dispensed 6 times</w:t>
      </w:r>
      <w:r w:rsidR="009C5C89" w:rsidRPr="00ED4C18">
        <w:rPr>
          <w:szCs w:val="22"/>
        </w:rPr>
        <w:t xml:space="preserve"> </w:t>
      </w:r>
      <w:r w:rsidR="00661D79" w:rsidRPr="00ED4C18">
        <w:rPr>
          <w:szCs w:val="22"/>
        </w:rPr>
        <w:t xml:space="preserve">the </w:t>
      </w:r>
      <w:proofErr w:type="spellStart"/>
      <w:r w:rsidR="009C5C89" w:rsidRPr="00ED4C18">
        <w:rPr>
          <w:szCs w:val="22"/>
        </w:rPr>
        <w:t>the</w:t>
      </w:r>
      <w:proofErr w:type="spellEnd"/>
      <w:r w:rsidR="0098531D" w:rsidRPr="00ED4C18">
        <w:rPr>
          <w:szCs w:val="22"/>
        </w:rPr>
        <w:t xml:space="preserve"> cost per </w:t>
      </w:r>
      <w:r w:rsidR="00536C1C" w:rsidRPr="00ED4C18">
        <w:rPr>
          <w:szCs w:val="22"/>
        </w:rPr>
        <w:t xml:space="preserve">24-week </w:t>
      </w:r>
      <w:r w:rsidR="0098531D" w:rsidRPr="00ED4C18">
        <w:rPr>
          <w:szCs w:val="22"/>
        </w:rPr>
        <w:t xml:space="preserve">course of ribavirin </w:t>
      </w:r>
      <w:r w:rsidR="00D20C73" w:rsidRPr="00ED4C18">
        <w:rPr>
          <w:szCs w:val="22"/>
        </w:rPr>
        <w:t xml:space="preserve">presented in </w:t>
      </w:r>
      <w:r w:rsidR="007238DE" w:rsidRPr="00ED4C18">
        <w:rPr>
          <w:szCs w:val="22"/>
        </w:rPr>
        <w:t xml:space="preserve">the submission </w:t>
      </w:r>
      <w:r w:rsidR="00536C1C" w:rsidRPr="00ED4C18">
        <w:rPr>
          <w:szCs w:val="22"/>
        </w:rPr>
        <w:t>is either $</w:t>
      </w:r>
      <w:r w:rsidR="00C26896">
        <w:rPr>
          <w:noProof/>
          <w:color w:val="000000"/>
          <w:szCs w:val="22"/>
          <w:highlight w:val="black"/>
        </w:rPr>
        <w:t>'''''''''''''''''''''</w:t>
      </w:r>
      <w:r w:rsidR="00536C1C" w:rsidRPr="00ED4C18">
        <w:rPr>
          <w:szCs w:val="22"/>
        </w:rPr>
        <w:t xml:space="preserve"> (</w:t>
      </w:r>
      <w:r w:rsidR="0098531D" w:rsidRPr="00ED4C18">
        <w:rPr>
          <w:szCs w:val="22"/>
        </w:rPr>
        <w:t>Section D</w:t>
      </w:r>
      <w:r w:rsidR="00536C1C" w:rsidRPr="00ED4C18">
        <w:rPr>
          <w:szCs w:val="22"/>
        </w:rPr>
        <w:t>)</w:t>
      </w:r>
      <w:r w:rsidR="0098531D" w:rsidRPr="00ED4C18">
        <w:rPr>
          <w:szCs w:val="22"/>
        </w:rPr>
        <w:t xml:space="preserve"> </w:t>
      </w:r>
      <w:r w:rsidR="00536C1C" w:rsidRPr="00ED4C18">
        <w:rPr>
          <w:szCs w:val="22"/>
        </w:rPr>
        <w:t>or $</w:t>
      </w:r>
      <w:r w:rsidR="00C26896">
        <w:rPr>
          <w:noProof/>
          <w:color w:val="000000"/>
          <w:szCs w:val="22"/>
          <w:highlight w:val="black"/>
        </w:rPr>
        <w:t>'''''''''''''''</w:t>
      </w:r>
      <w:r w:rsidR="0098531D" w:rsidRPr="00ED4C18">
        <w:rPr>
          <w:szCs w:val="22"/>
        </w:rPr>
        <w:t xml:space="preserve"> </w:t>
      </w:r>
      <w:r w:rsidR="00536C1C" w:rsidRPr="00ED4C18">
        <w:rPr>
          <w:szCs w:val="22"/>
        </w:rPr>
        <w:t>(Section E)</w:t>
      </w:r>
      <w:r w:rsidR="0098531D" w:rsidRPr="00ED4C18">
        <w:rPr>
          <w:szCs w:val="22"/>
        </w:rPr>
        <w:t xml:space="preserve">.  </w:t>
      </w:r>
    </w:p>
    <w:p w:rsidR="007739EE" w:rsidRPr="00ED4C18" w:rsidRDefault="007739EE" w:rsidP="00EB1642">
      <w:pPr>
        <w:pStyle w:val="ListParagraph"/>
        <w:jc w:val="both"/>
        <w:rPr>
          <w:szCs w:val="22"/>
        </w:rPr>
      </w:pPr>
    </w:p>
    <w:p w:rsidR="00D108BE" w:rsidRPr="00ED4C18" w:rsidRDefault="00D108BE" w:rsidP="00B85146">
      <w:pPr>
        <w:pStyle w:val="ListParagraph"/>
        <w:numPr>
          <w:ilvl w:val="1"/>
          <w:numId w:val="1"/>
        </w:numPr>
        <w:jc w:val="both"/>
        <w:rPr>
          <w:szCs w:val="22"/>
        </w:rPr>
      </w:pPr>
      <w:r w:rsidRPr="00ED4C18">
        <w:rPr>
          <w:szCs w:val="22"/>
        </w:rPr>
        <w:lastRenderedPageBreak/>
        <w:t xml:space="preserve">The PBAC noted </w:t>
      </w:r>
      <w:r w:rsidR="00D11586" w:rsidRPr="00B85146">
        <w:rPr>
          <w:szCs w:val="22"/>
        </w:rPr>
        <w:t>in the base case, those patients achieving SVR are assumed to be permanently cured of HCV and that risk of re-occurrence and re-infection could be explored in sensitivity analyses.</w:t>
      </w:r>
      <w:r w:rsidRPr="00ED4C18">
        <w:rPr>
          <w:szCs w:val="22"/>
        </w:rPr>
        <w:t xml:space="preserve"> </w:t>
      </w:r>
      <w:r w:rsidR="00652C4F" w:rsidRPr="00ED4C18">
        <w:rPr>
          <w:szCs w:val="22"/>
        </w:rPr>
        <w:t xml:space="preserve">The PBAC noted </w:t>
      </w:r>
      <w:r w:rsidR="00774169" w:rsidRPr="00ED4C18">
        <w:rPr>
          <w:szCs w:val="22"/>
        </w:rPr>
        <w:t xml:space="preserve">that reinfection rates following SVR </w:t>
      </w:r>
      <w:r w:rsidR="00110EA9" w:rsidRPr="00ED4C18">
        <w:rPr>
          <w:szCs w:val="22"/>
        </w:rPr>
        <w:t xml:space="preserve">are </w:t>
      </w:r>
      <w:r w:rsidR="00774169" w:rsidRPr="00ED4C18">
        <w:rPr>
          <w:szCs w:val="22"/>
        </w:rPr>
        <w:t xml:space="preserve">being </w:t>
      </w:r>
      <w:r w:rsidR="00110EA9" w:rsidRPr="00ED4C18">
        <w:rPr>
          <w:szCs w:val="22"/>
        </w:rPr>
        <w:t xml:space="preserve">documented </w:t>
      </w:r>
      <w:r w:rsidR="00774169" w:rsidRPr="00ED4C18">
        <w:rPr>
          <w:szCs w:val="22"/>
        </w:rPr>
        <w:t>increasingly</w:t>
      </w:r>
      <w:r w:rsidR="007739EE" w:rsidRPr="00ED4C18">
        <w:rPr>
          <w:szCs w:val="22"/>
        </w:rPr>
        <w:t>. I</w:t>
      </w:r>
      <w:r w:rsidR="00652C4F" w:rsidRPr="00ED4C18">
        <w:rPr>
          <w:szCs w:val="22"/>
        </w:rPr>
        <w:t xml:space="preserve">n </w:t>
      </w:r>
      <w:r w:rsidR="007739EE" w:rsidRPr="00ED4C18">
        <w:rPr>
          <w:szCs w:val="22"/>
        </w:rPr>
        <w:t>a</w:t>
      </w:r>
      <w:r w:rsidR="00652C4F" w:rsidRPr="00ED4C18">
        <w:rPr>
          <w:szCs w:val="22"/>
        </w:rPr>
        <w:t xml:space="preserve"> study by Martin et al (AIDS, </w:t>
      </w:r>
      <w:r w:rsidR="00652C4F" w:rsidRPr="00B85146">
        <w:rPr>
          <w:szCs w:val="22"/>
        </w:rPr>
        <w:t>2013;</w:t>
      </w:r>
      <w:r w:rsidR="00624A3F" w:rsidRPr="00B85146">
        <w:rPr>
          <w:szCs w:val="22"/>
        </w:rPr>
        <w:t xml:space="preserve"> </w:t>
      </w:r>
      <w:r w:rsidR="00652C4F" w:rsidRPr="00B85146">
        <w:rPr>
          <w:szCs w:val="22"/>
        </w:rPr>
        <w:t>27:</w:t>
      </w:r>
      <w:r w:rsidR="00624A3F" w:rsidRPr="00B85146">
        <w:rPr>
          <w:szCs w:val="22"/>
        </w:rPr>
        <w:t xml:space="preserve"> </w:t>
      </w:r>
      <w:r w:rsidR="00652C4F" w:rsidRPr="00B85146">
        <w:rPr>
          <w:szCs w:val="22"/>
        </w:rPr>
        <w:t>2551</w:t>
      </w:r>
      <w:r w:rsidR="00774169" w:rsidRPr="00B85146">
        <w:rPr>
          <w:szCs w:val="22"/>
        </w:rPr>
        <w:t>,</w:t>
      </w:r>
      <w:r w:rsidR="00661D79" w:rsidRPr="00B85146">
        <w:rPr>
          <w:szCs w:val="22"/>
        </w:rPr>
        <w:t xml:space="preserve"> </w:t>
      </w:r>
      <w:proofErr w:type="spellStart"/>
      <w:r w:rsidR="00774169" w:rsidRPr="00ED4C18">
        <w:rPr>
          <w:szCs w:val="22"/>
        </w:rPr>
        <w:t>doi</w:t>
      </w:r>
      <w:proofErr w:type="spellEnd"/>
      <w:r w:rsidR="00774169" w:rsidRPr="00ED4C18">
        <w:rPr>
          <w:szCs w:val="22"/>
        </w:rPr>
        <w:t>: 10.109</w:t>
      </w:r>
      <w:r w:rsidR="00652C4F" w:rsidRPr="00B85146">
        <w:rPr>
          <w:szCs w:val="22"/>
        </w:rPr>
        <w:t>) of HIV+ MSM, among 145 individuals with a documented primary infection of HCV, the re</w:t>
      </w:r>
      <w:r w:rsidR="008173F3" w:rsidRPr="00B85146">
        <w:rPr>
          <w:szCs w:val="22"/>
        </w:rPr>
        <w:t>-</w:t>
      </w:r>
      <w:r w:rsidR="00652C4F" w:rsidRPr="00B85146">
        <w:rPr>
          <w:szCs w:val="22"/>
        </w:rPr>
        <w:t>infection rate was 8.0 per 100 person-year</w:t>
      </w:r>
      <w:r w:rsidR="00657940" w:rsidRPr="00B85146">
        <w:rPr>
          <w:szCs w:val="22"/>
        </w:rPr>
        <w:t>s</w:t>
      </w:r>
      <w:r w:rsidR="00652C4F" w:rsidRPr="00B85146">
        <w:rPr>
          <w:szCs w:val="22"/>
        </w:rPr>
        <w:t xml:space="preserve"> (95% CI 5.7-11.3) overall and 9.6/100 </w:t>
      </w:r>
      <w:r w:rsidR="00657940" w:rsidRPr="00B85146">
        <w:rPr>
          <w:szCs w:val="22"/>
        </w:rPr>
        <w:t>person-years</w:t>
      </w:r>
      <w:r w:rsidR="00652C4F" w:rsidRPr="00B85146">
        <w:rPr>
          <w:szCs w:val="22"/>
        </w:rPr>
        <w:t xml:space="preserve"> (95% CI 6.6-14.1) among those successfully treated.</w:t>
      </w:r>
      <w:r w:rsidR="007739EE" w:rsidRPr="00B85146">
        <w:rPr>
          <w:szCs w:val="22"/>
        </w:rPr>
        <w:t xml:space="preserve"> In </w:t>
      </w:r>
      <w:r w:rsidR="0091133A" w:rsidRPr="00B85146">
        <w:rPr>
          <w:szCs w:val="22"/>
        </w:rPr>
        <w:t xml:space="preserve">a </w:t>
      </w:r>
      <w:r w:rsidR="007739EE" w:rsidRPr="00B85146">
        <w:rPr>
          <w:szCs w:val="22"/>
        </w:rPr>
        <w:t>cohort of 119 inmates who had achieved SVR after completing therapy (81% of whom had a history of injection drug use)</w:t>
      </w:r>
      <w:r w:rsidR="0091133A" w:rsidRPr="00B85146">
        <w:rPr>
          <w:szCs w:val="22"/>
        </w:rPr>
        <w:t xml:space="preserve">, there was </w:t>
      </w:r>
      <w:r w:rsidR="007739EE" w:rsidRPr="00B85146">
        <w:rPr>
          <w:szCs w:val="22"/>
        </w:rPr>
        <w:t>an overall re</w:t>
      </w:r>
      <w:r w:rsidR="008173F3" w:rsidRPr="00B85146">
        <w:rPr>
          <w:szCs w:val="22"/>
        </w:rPr>
        <w:t>-</w:t>
      </w:r>
      <w:r w:rsidR="007739EE" w:rsidRPr="00B85146">
        <w:rPr>
          <w:szCs w:val="22"/>
        </w:rPr>
        <w:t xml:space="preserve">infection rate of 5.27 cases per 100 person-years (Marco et al, J </w:t>
      </w:r>
      <w:proofErr w:type="spellStart"/>
      <w:r w:rsidR="007739EE" w:rsidRPr="00B85146">
        <w:rPr>
          <w:szCs w:val="22"/>
        </w:rPr>
        <w:t>Hepatol</w:t>
      </w:r>
      <w:proofErr w:type="spellEnd"/>
      <w:r w:rsidR="007739EE" w:rsidRPr="00B85146">
        <w:rPr>
          <w:szCs w:val="22"/>
        </w:rPr>
        <w:t>. 2013, 59:45-51</w:t>
      </w:r>
      <w:r w:rsidR="00774169" w:rsidRPr="00B85146">
        <w:rPr>
          <w:szCs w:val="22"/>
        </w:rPr>
        <w:t xml:space="preserve">, </w:t>
      </w:r>
      <w:proofErr w:type="spellStart"/>
      <w:r w:rsidR="00774169" w:rsidRPr="00ED4C18">
        <w:rPr>
          <w:szCs w:val="22"/>
        </w:rPr>
        <w:t>doi</w:t>
      </w:r>
      <w:proofErr w:type="spellEnd"/>
      <w:r w:rsidR="00774169" w:rsidRPr="00ED4C18">
        <w:rPr>
          <w:szCs w:val="22"/>
        </w:rPr>
        <w:t>: 10.1016/j</w:t>
      </w:r>
      <w:r w:rsidR="007739EE" w:rsidRPr="00B85146">
        <w:rPr>
          <w:szCs w:val="22"/>
        </w:rPr>
        <w:t xml:space="preserve">). </w:t>
      </w:r>
      <w:r w:rsidR="00657940" w:rsidRPr="00B85146">
        <w:rPr>
          <w:szCs w:val="22"/>
        </w:rPr>
        <w:t>Thirdly, Grady et al (</w:t>
      </w:r>
      <w:proofErr w:type="spellStart"/>
      <w:r w:rsidR="00657940" w:rsidRPr="00B85146">
        <w:rPr>
          <w:szCs w:val="22"/>
        </w:rPr>
        <w:t>Clin</w:t>
      </w:r>
      <w:proofErr w:type="spellEnd"/>
      <w:r w:rsidR="00657940" w:rsidRPr="00B85146">
        <w:rPr>
          <w:szCs w:val="22"/>
        </w:rPr>
        <w:t xml:space="preserve"> Infect Dis 2013, 57 (S2):S105) observed </w:t>
      </w:r>
      <w:r w:rsidR="0091133A" w:rsidRPr="00B85146">
        <w:rPr>
          <w:szCs w:val="22"/>
        </w:rPr>
        <w:t xml:space="preserve">that </w:t>
      </w:r>
      <w:r w:rsidR="00657940" w:rsidRPr="00B85146">
        <w:rPr>
          <w:szCs w:val="22"/>
        </w:rPr>
        <w:t>following treatment among people who inject drugs, the rate of HCV re</w:t>
      </w:r>
      <w:r w:rsidR="008173F3" w:rsidRPr="00B85146">
        <w:rPr>
          <w:szCs w:val="22"/>
        </w:rPr>
        <w:t>-</w:t>
      </w:r>
      <w:r w:rsidR="00657940" w:rsidRPr="00B85146">
        <w:rPr>
          <w:szCs w:val="22"/>
        </w:rPr>
        <w:t>infection was 4.7 per 100 person-years (95% CI 1.9-11.2).</w:t>
      </w:r>
    </w:p>
    <w:p w:rsidR="00BB7EC3" w:rsidRPr="00ED4C18" w:rsidRDefault="00BB7EC3" w:rsidP="00DF6B7F">
      <w:pPr>
        <w:rPr>
          <w:szCs w:val="22"/>
        </w:rPr>
      </w:pPr>
    </w:p>
    <w:p w:rsidR="00652C4F" w:rsidRPr="00ED4C18" w:rsidRDefault="00652C4F" w:rsidP="00B85146">
      <w:pPr>
        <w:pStyle w:val="ListParagraph"/>
        <w:numPr>
          <w:ilvl w:val="1"/>
          <w:numId w:val="1"/>
        </w:numPr>
        <w:jc w:val="both"/>
        <w:rPr>
          <w:szCs w:val="22"/>
        </w:rPr>
      </w:pPr>
      <w:r w:rsidRPr="00ED4C18">
        <w:rPr>
          <w:szCs w:val="22"/>
        </w:rPr>
        <w:t xml:space="preserve">The PBAC recalled that in the consideration of the submissions for </w:t>
      </w:r>
      <w:proofErr w:type="spellStart"/>
      <w:r w:rsidRPr="00ED4C18">
        <w:rPr>
          <w:szCs w:val="22"/>
        </w:rPr>
        <w:t>boceprevir</w:t>
      </w:r>
      <w:proofErr w:type="spellEnd"/>
      <w:r w:rsidRPr="00ED4C18">
        <w:rPr>
          <w:szCs w:val="22"/>
        </w:rPr>
        <w:t xml:space="preserve"> and </w:t>
      </w:r>
      <w:proofErr w:type="spellStart"/>
      <w:r w:rsidRPr="00ED4C18">
        <w:rPr>
          <w:szCs w:val="22"/>
        </w:rPr>
        <w:t>telaprevir</w:t>
      </w:r>
      <w:proofErr w:type="spellEnd"/>
      <w:r w:rsidRPr="00ED4C18">
        <w:rPr>
          <w:szCs w:val="22"/>
        </w:rPr>
        <w:t xml:space="preserve"> that the ICER accepted by the PBAC was in the range of $15,000- $45,000 per QALY</w:t>
      </w:r>
      <w:r w:rsidR="0091133A" w:rsidRPr="00ED4C18">
        <w:rPr>
          <w:szCs w:val="22"/>
        </w:rPr>
        <w:t>.</w:t>
      </w:r>
    </w:p>
    <w:p w:rsidR="00BB7EC3" w:rsidRPr="00ED4C18" w:rsidRDefault="00BB7EC3" w:rsidP="00B85146">
      <w:pPr>
        <w:pStyle w:val="ListParagraph"/>
        <w:jc w:val="both"/>
        <w:rPr>
          <w:szCs w:val="22"/>
        </w:rPr>
      </w:pPr>
    </w:p>
    <w:p w:rsidR="00BB7EC3" w:rsidRPr="00ED4C18" w:rsidRDefault="00BB7EC3" w:rsidP="00BB7EC3">
      <w:pPr>
        <w:pStyle w:val="ListParagraph"/>
        <w:ind w:left="709"/>
        <w:jc w:val="both"/>
        <w:rPr>
          <w:i/>
          <w:szCs w:val="22"/>
        </w:rPr>
      </w:pPr>
      <w:r w:rsidRPr="00ED4C18">
        <w:rPr>
          <w:i/>
          <w:szCs w:val="22"/>
        </w:rPr>
        <w:t>For more detail on PBAC’s view, see section 7 “PBAC outcome”</w:t>
      </w:r>
      <w:r w:rsidR="00661D79" w:rsidRPr="00ED4C18">
        <w:rPr>
          <w:i/>
          <w:szCs w:val="22"/>
        </w:rPr>
        <w:t>.</w:t>
      </w:r>
    </w:p>
    <w:p w:rsidR="00F57A6D" w:rsidRPr="00ED4C18" w:rsidRDefault="00F57A6D" w:rsidP="00882085">
      <w:pPr>
        <w:ind w:left="720" w:hanging="720"/>
        <w:jc w:val="both"/>
        <w:rPr>
          <w:szCs w:val="22"/>
        </w:rPr>
      </w:pPr>
    </w:p>
    <w:p w:rsidR="005A3173" w:rsidRPr="00A917D4" w:rsidRDefault="005A3173" w:rsidP="00A917D4">
      <w:pPr>
        <w:rPr>
          <w:b/>
          <w:iCs/>
        </w:rPr>
      </w:pPr>
      <w:r w:rsidRPr="00A917D4">
        <w:rPr>
          <w:b/>
          <w:iCs/>
        </w:rPr>
        <w:t>Estimated PBS usage &amp; financial implications</w:t>
      </w:r>
    </w:p>
    <w:p w:rsidR="00D964D5" w:rsidRPr="00ED4C18" w:rsidRDefault="00D964D5" w:rsidP="00882085">
      <w:pPr>
        <w:ind w:left="720" w:hanging="720"/>
        <w:jc w:val="both"/>
        <w:rPr>
          <w:b/>
          <w:szCs w:val="22"/>
        </w:rPr>
      </w:pPr>
    </w:p>
    <w:p w:rsidR="00101D13" w:rsidRPr="00ED4C18" w:rsidRDefault="004E1476" w:rsidP="00B85146">
      <w:pPr>
        <w:pStyle w:val="ListParagraph"/>
        <w:numPr>
          <w:ilvl w:val="1"/>
          <w:numId w:val="1"/>
        </w:numPr>
        <w:jc w:val="both"/>
        <w:rPr>
          <w:szCs w:val="22"/>
        </w:rPr>
      </w:pPr>
      <w:r w:rsidRPr="00B85146">
        <w:rPr>
          <w:szCs w:val="22"/>
        </w:rPr>
        <w:t>The submission was considered by the Drug Utilisation Sub-Committee (DUSC).</w:t>
      </w:r>
    </w:p>
    <w:p w:rsidR="00101D13" w:rsidRPr="00ED4C18" w:rsidRDefault="00101D13" w:rsidP="00A445E1">
      <w:pPr>
        <w:jc w:val="both"/>
        <w:rPr>
          <w:rFonts w:cs="Arial"/>
          <w:szCs w:val="22"/>
        </w:rPr>
      </w:pPr>
    </w:p>
    <w:p w:rsidR="000E1D3A" w:rsidRDefault="000E1D3A" w:rsidP="00B85146">
      <w:pPr>
        <w:pStyle w:val="ListParagraph"/>
        <w:numPr>
          <w:ilvl w:val="1"/>
          <w:numId w:val="1"/>
        </w:numPr>
        <w:jc w:val="both"/>
        <w:rPr>
          <w:szCs w:val="22"/>
        </w:rPr>
      </w:pPr>
      <w:r w:rsidRPr="00B85146">
        <w:rPr>
          <w:szCs w:val="22"/>
        </w:rPr>
        <w:t>The estimated PBS usage and financial implications are presented in the table below.</w:t>
      </w:r>
    </w:p>
    <w:p w:rsidR="00B85146" w:rsidRPr="00B85146" w:rsidRDefault="00B85146" w:rsidP="00B85146">
      <w:pPr>
        <w:pStyle w:val="ListParagraph"/>
        <w:rPr>
          <w:szCs w:val="22"/>
        </w:rPr>
      </w:pPr>
    </w:p>
    <w:p w:rsidR="00101D13" w:rsidRPr="00010779" w:rsidRDefault="00101D13" w:rsidP="00B85146">
      <w:pPr>
        <w:ind w:left="720"/>
        <w:jc w:val="both"/>
        <w:rPr>
          <w:b/>
          <w:sz w:val="20"/>
          <w:szCs w:val="22"/>
          <w:highlight w:val="cyan"/>
        </w:rPr>
      </w:pPr>
      <w:r w:rsidRPr="00010779">
        <w:rPr>
          <w:b/>
          <w:sz w:val="20"/>
          <w:szCs w:val="22"/>
        </w:rPr>
        <w:t>Summary of utilisation and financial estimates in the submission (base case)</w:t>
      </w:r>
    </w:p>
    <w:tbl>
      <w:tblPr>
        <w:tblStyle w:val="TableGrid"/>
        <w:tblW w:w="8363" w:type="dxa"/>
        <w:tblInd w:w="817" w:type="dxa"/>
        <w:tblLook w:val="04A0" w:firstRow="1" w:lastRow="0" w:firstColumn="1" w:lastColumn="0" w:noHBand="0" w:noVBand="1"/>
        <w:tblDescription w:val="Summary of utilisation and financial estimates in the submission (base case)"/>
      </w:tblPr>
      <w:tblGrid>
        <w:gridCol w:w="1658"/>
        <w:gridCol w:w="1338"/>
        <w:gridCol w:w="1398"/>
        <w:gridCol w:w="1368"/>
        <w:gridCol w:w="1368"/>
        <w:gridCol w:w="1233"/>
      </w:tblGrid>
      <w:tr w:rsidR="00ED4C18" w:rsidRPr="001E5804" w:rsidTr="00D16494">
        <w:trPr>
          <w:trHeight w:val="223"/>
          <w:tblHeader/>
        </w:trPr>
        <w:tc>
          <w:tcPr>
            <w:tcW w:w="1658" w:type="dxa"/>
            <w:vAlign w:val="center"/>
          </w:tcPr>
          <w:p w:rsidR="00101D13" w:rsidRPr="00C26896" w:rsidRDefault="00101D13" w:rsidP="00101D13">
            <w:pPr>
              <w:rPr>
                <w:rFonts w:ascii="Arial Narrow" w:hAnsi="Arial Narrow" w:cs="Arial"/>
                <w:b/>
                <w:sz w:val="20"/>
              </w:rPr>
            </w:pPr>
          </w:p>
        </w:tc>
        <w:tc>
          <w:tcPr>
            <w:tcW w:w="1338" w:type="dxa"/>
            <w:vAlign w:val="center"/>
          </w:tcPr>
          <w:p w:rsidR="00101D13" w:rsidRPr="00C26896" w:rsidRDefault="00101D13" w:rsidP="00101D13">
            <w:pPr>
              <w:jc w:val="center"/>
              <w:rPr>
                <w:rFonts w:ascii="Arial Narrow" w:hAnsi="Arial Narrow" w:cs="Arial"/>
                <w:b/>
                <w:sz w:val="20"/>
              </w:rPr>
            </w:pPr>
            <w:r w:rsidRPr="00010779">
              <w:rPr>
                <w:rFonts w:ascii="Arial Narrow" w:hAnsi="Arial Narrow" w:cs="Arial"/>
                <w:b/>
                <w:sz w:val="20"/>
              </w:rPr>
              <w:t>Y1*</w:t>
            </w:r>
          </w:p>
        </w:tc>
        <w:tc>
          <w:tcPr>
            <w:tcW w:w="1398" w:type="dxa"/>
            <w:vAlign w:val="center"/>
          </w:tcPr>
          <w:p w:rsidR="00101D13" w:rsidRPr="00C26896" w:rsidRDefault="00101D13" w:rsidP="00101D13">
            <w:pPr>
              <w:jc w:val="center"/>
              <w:rPr>
                <w:rFonts w:ascii="Arial Narrow" w:hAnsi="Arial Narrow" w:cs="Arial"/>
                <w:b/>
                <w:sz w:val="20"/>
              </w:rPr>
            </w:pPr>
            <w:r w:rsidRPr="00010779">
              <w:rPr>
                <w:rFonts w:ascii="Arial Narrow" w:hAnsi="Arial Narrow" w:cs="Arial"/>
                <w:b/>
                <w:sz w:val="20"/>
              </w:rPr>
              <w:t>Y2</w:t>
            </w:r>
          </w:p>
        </w:tc>
        <w:tc>
          <w:tcPr>
            <w:tcW w:w="1368" w:type="dxa"/>
            <w:vAlign w:val="center"/>
          </w:tcPr>
          <w:p w:rsidR="00101D13" w:rsidRPr="00C26896" w:rsidRDefault="00101D13" w:rsidP="00101D13">
            <w:pPr>
              <w:jc w:val="center"/>
              <w:rPr>
                <w:rFonts w:ascii="Arial Narrow" w:hAnsi="Arial Narrow" w:cs="Arial"/>
                <w:b/>
                <w:sz w:val="20"/>
              </w:rPr>
            </w:pPr>
            <w:r w:rsidRPr="00010779">
              <w:rPr>
                <w:rFonts w:ascii="Arial Narrow" w:hAnsi="Arial Narrow" w:cs="Arial"/>
                <w:b/>
                <w:sz w:val="20"/>
              </w:rPr>
              <w:t>Y3</w:t>
            </w:r>
          </w:p>
        </w:tc>
        <w:tc>
          <w:tcPr>
            <w:tcW w:w="1368" w:type="dxa"/>
            <w:vAlign w:val="center"/>
          </w:tcPr>
          <w:p w:rsidR="00101D13" w:rsidRPr="00C26896" w:rsidRDefault="00101D13" w:rsidP="00101D13">
            <w:pPr>
              <w:jc w:val="center"/>
              <w:rPr>
                <w:rFonts w:ascii="Arial Narrow" w:hAnsi="Arial Narrow" w:cs="Arial"/>
                <w:b/>
                <w:sz w:val="20"/>
              </w:rPr>
            </w:pPr>
            <w:r w:rsidRPr="00010779">
              <w:rPr>
                <w:rFonts w:ascii="Arial Narrow" w:hAnsi="Arial Narrow" w:cs="Arial"/>
                <w:b/>
                <w:sz w:val="20"/>
              </w:rPr>
              <w:t>Y4</w:t>
            </w:r>
          </w:p>
        </w:tc>
        <w:tc>
          <w:tcPr>
            <w:tcW w:w="1233" w:type="dxa"/>
            <w:vAlign w:val="center"/>
          </w:tcPr>
          <w:p w:rsidR="00101D13" w:rsidRPr="00C26896" w:rsidRDefault="00101D13" w:rsidP="00101D13">
            <w:pPr>
              <w:jc w:val="center"/>
              <w:rPr>
                <w:rFonts w:ascii="Arial Narrow" w:hAnsi="Arial Narrow" w:cs="Arial"/>
                <w:b/>
                <w:sz w:val="20"/>
              </w:rPr>
            </w:pPr>
            <w:r w:rsidRPr="00010779">
              <w:rPr>
                <w:rFonts w:ascii="Arial Narrow" w:hAnsi="Arial Narrow" w:cs="Arial"/>
                <w:b/>
                <w:sz w:val="20"/>
              </w:rPr>
              <w:t>Y5</w:t>
            </w:r>
          </w:p>
        </w:tc>
      </w:tr>
      <w:tr w:rsidR="00ED4C18" w:rsidRPr="001E5804" w:rsidTr="00B85146">
        <w:trPr>
          <w:trHeight w:val="704"/>
        </w:trPr>
        <w:tc>
          <w:tcPr>
            <w:tcW w:w="1658" w:type="dxa"/>
            <w:vAlign w:val="center"/>
          </w:tcPr>
          <w:p w:rsidR="00101D13" w:rsidRPr="00010779" w:rsidRDefault="00101D13" w:rsidP="00101D13">
            <w:pPr>
              <w:rPr>
                <w:rFonts w:ascii="Arial Narrow" w:hAnsi="Arial Narrow" w:cs="Arial"/>
                <w:b/>
                <w:sz w:val="20"/>
              </w:rPr>
            </w:pPr>
            <w:r w:rsidRPr="00010779">
              <w:rPr>
                <w:rFonts w:ascii="Arial Narrow" w:hAnsi="Arial Narrow" w:cs="Arial"/>
                <w:b/>
                <w:sz w:val="20"/>
              </w:rPr>
              <w:t>Estimated eligible patient population</w:t>
            </w:r>
          </w:p>
          <w:p w:rsidR="00101D13" w:rsidRPr="00C26896" w:rsidRDefault="00101D13" w:rsidP="00101D13">
            <w:pPr>
              <w:rPr>
                <w:rFonts w:ascii="Arial Narrow" w:hAnsi="Arial Narrow" w:cs="Arial"/>
                <w:b/>
                <w:sz w:val="20"/>
              </w:rPr>
            </w:pPr>
          </w:p>
        </w:tc>
        <w:tc>
          <w:tcPr>
            <w:tcW w:w="1338" w:type="dxa"/>
            <w:vAlign w:val="center"/>
          </w:tcPr>
          <w:p w:rsidR="00101D13" w:rsidRPr="00C26896" w:rsidRDefault="00C26896" w:rsidP="00101D13">
            <w:pPr>
              <w:spacing w:before="40"/>
              <w:jc w:val="center"/>
              <w:rPr>
                <w:rFonts w:ascii="Arial Narrow" w:hAnsi="Arial Narrow" w:cs="Arial"/>
                <w:sz w:val="20"/>
                <w:highlight w:val="black"/>
              </w:rPr>
            </w:pPr>
            <w:r>
              <w:rPr>
                <w:rFonts w:ascii="Arial Narrow" w:hAnsi="Arial Narrow" w:cs="Arial"/>
                <w:noProof/>
                <w:color w:val="000000"/>
                <w:sz w:val="20"/>
                <w:highlight w:val="black"/>
              </w:rPr>
              <w:t>'''''''''''''''''''</w:t>
            </w:r>
          </w:p>
        </w:tc>
        <w:tc>
          <w:tcPr>
            <w:tcW w:w="1398" w:type="dxa"/>
            <w:vAlign w:val="center"/>
          </w:tcPr>
          <w:p w:rsidR="00101D13" w:rsidRPr="00C26896" w:rsidRDefault="00C26896" w:rsidP="00101D13">
            <w:pPr>
              <w:spacing w:before="40"/>
              <w:jc w:val="center"/>
              <w:rPr>
                <w:rFonts w:ascii="Arial Narrow" w:hAnsi="Arial Narrow" w:cs="Arial"/>
                <w:sz w:val="20"/>
                <w:highlight w:val="black"/>
              </w:rPr>
            </w:pPr>
            <w:r>
              <w:rPr>
                <w:rFonts w:ascii="Arial Narrow" w:hAnsi="Arial Narrow" w:cs="Arial"/>
                <w:noProof/>
                <w:color w:val="000000"/>
                <w:sz w:val="20"/>
                <w:highlight w:val="black"/>
              </w:rPr>
              <w:t>''''''''''''''''''''''</w:t>
            </w:r>
          </w:p>
        </w:tc>
        <w:tc>
          <w:tcPr>
            <w:tcW w:w="1368" w:type="dxa"/>
            <w:vAlign w:val="center"/>
          </w:tcPr>
          <w:p w:rsidR="00101D13" w:rsidRPr="00C26896" w:rsidRDefault="00C26896" w:rsidP="00101D13">
            <w:pPr>
              <w:spacing w:before="40"/>
              <w:jc w:val="center"/>
              <w:rPr>
                <w:rFonts w:ascii="Arial Narrow" w:hAnsi="Arial Narrow" w:cs="Arial"/>
                <w:sz w:val="20"/>
                <w:highlight w:val="black"/>
              </w:rPr>
            </w:pPr>
            <w:r>
              <w:rPr>
                <w:rFonts w:ascii="Arial Narrow" w:hAnsi="Arial Narrow" w:cs="Arial"/>
                <w:noProof/>
                <w:color w:val="000000"/>
                <w:sz w:val="20"/>
                <w:highlight w:val="black"/>
              </w:rPr>
              <w:t>'''''''''''''''''''</w:t>
            </w:r>
          </w:p>
        </w:tc>
        <w:tc>
          <w:tcPr>
            <w:tcW w:w="1368" w:type="dxa"/>
            <w:vAlign w:val="center"/>
          </w:tcPr>
          <w:p w:rsidR="00101D13" w:rsidRPr="00C26896" w:rsidRDefault="00C26896" w:rsidP="00101D13">
            <w:pPr>
              <w:spacing w:before="40"/>
              <w:jc w:val="center"/>
              <w:rPr>
                <w:rFonts w:ascii="Arial Narrow" w:hAnsi="Arial Narrow" w:cs="Arial"/>
                <w:sz w:val="20"/>
                <w:highlight w:val="black"/>
              </w:rPr>
            </w:pPr>
            <w:r>
              <w:rPr>
                <w:rFonts w:ascii="Arial Narrow" w:hAnsi="Arial Narrow" w:cs="Arial"/>
                <w:noProof/>
                <w:color w:val="000000"/>
                <w:sz w:val="20"/>
                <w:highlight w:val="black"/>
              </w:rPr>
              <w:t>'''''''''''''''''</w:t>
            </w:r>
          </w:p>
        </w:tc>
        <w:tc>
          <w:tcPr>
            <w:tcW w:w="1233" w:type="dxa"/>
            <w:vAlign w:val="center"/>
          </w:tcPr>
          <w:p w:rsidR="00101D13" w:rsidRPr="00C26896" w:rsidRDefault="00C26896" w:rsidP="00101D13">
            <w:pPr>
              <w:spacing w:before="40"/>
              <w:jc w:val="center"/>
              <w:rPr>
                <w:rFonts w:ascii="Arial Narrow" w:hAnsi="Arial Narrow" w:cs="Arial"/>
                <w:sz w:val="20"/>
                <w:highlight w:val="black"/>
              </w:rPr>
            </w:pPr>
            <w:r>
              <w:rPr>
                <w:rFonts w:ascii="Arial Narrow" w:hAnsi="Arial Narrow" w:cs="Arial"/>
                <w:noProof/>
                <w:color w:val="000000"/>
                <w:sz w:val="20"/>
                <w:highlight w:val="black"/>
              </w:rPr>
              <w:t>'''''''''''''''''''</w:t>
            </w:r>
          </w:p>
        </w:tc>
      </w:tr>
      <w:tr w:rsidR="00ED4C18" w:rsidRPr="001E5804" w:rsidTr="00B85146">
        <w:trPr>
          <w:trHeight w:val="686"/>
        </w:trPr>
        <w:tc>
          <w:tcPr>
            <w:tcW w:w="1658" w:type="dxa"/>
            <w:vAlign w:val="center"/>
          </w:tcPr>
          <w:p w:rsidR="00101D13" w:rsidRPr="00C26896" w:rsidRDefault="00101D13" w:rsidP="002B1B93">
            <w:pPr>
              <w:rPr>
                <w:rFonts w:ascii="Arial Narrow" w:hAnsi="Arial Narrow" w:cs="Arial"/>
                <w:b/>
                <w:sz w:val="20"/>
              </w:rPr>
            </w:pPr>
            <w:r w:rsidRPr="00010779">
              <w:rPr>
                <w:rFonts w:ascii="Arial Narrow" w:hAnsi="Arial Narrow" w:cs="Arial"/>
                <w:b/>
                <w:sz w:val="20"/>
              </w:rPr>
              <w:t xml:space="preserve">Treated patients (without </w:t>
            </w:r>
            <w:proofErr w:type="spellStart"/>
            <w:r w:rsidR="002B1B93" w:rsidRPr="00010779">
              <w:rPr>
                <w:rFonts w:ascii="Arial Narrow" w:hAnsi="Arial Narrow" w:cs="Arial"/>
                <w:b/>
                <w:sz w:val="20"/>
              </w:rPr>
              <w:t>sofosbuvir</w:t>
            </w:r>
            <w:proofErr w:type="spellEnd"/>
            <w:r w:rsidR="002B1B93" w:rsidRPr="00010779">
              <w:rPr>
                <w:rFonts w:ascii="Arial Narrow" w:hAnsi="Arial Narrow" w:cs="Arial"/>
                <w:b/>
                <w:sz w:val="20"/>
              </w:rPr>
              <w:t xml:space="preserve"> </w:t>
            </w:r>
            <w:r w:rsidRPr="00010779">
              <w:rPr>
                <w:rFonts w:ascii="Arial Narrow" w:hAnsi="Arial Narrow" w:cs="Arial"/>
                <w:b/>
                <w:sz w:val="20"/>
              </w:rPr>
              <w:t>list</w:t>
            </w:r>
            <w:r w:rsidR="002B1B93" w:rsidRPr="00010779">
              <w:rPr>
                <w:rFonts w:ascii="Arial Narrow" w:hAnsi="Arial Narrow" w:cs="Arial"/>
                <w:b/>
                <w:sz w:val="20"/>
              </w:rPr>
              <w:t>ed</w:t>
            </w:r>
            <w:r w:rsidR="00C26896">
              <w:rPr>
                <w:rFonts w:ascii="Arial Narrow" w:hAnsi="Arial Narrow" w:cs="Arial"/>
                <w:b/>
                <w:noProof/>
                <w:color w:val="000000"/>
                <w:sz w:val="20"/>
                <w:highlight w:val="black"/>
              </w:rPr>
              <w:t>''</w:t>
            </w:r>
          </w:p>
        </w:tc>
        <w:tc>
          <w:tcPr>
            <w:tcW w:w="1338" w:type="dxa"/>
            <w:vAlign w:val="center"/>
          </w:tcPr>
          <w:p w:rsidR="00101D13" w:rsidRPr="00C26896" w:rsidRDefault="00C26896" w:rsidP="00101D13">
            <w:pPr>
              <w:spacing w:before="40"/>
              <w:jc w:val="center"/>
              <w:rPr>
                <w:rFonts w:ascii="Arial Narrow" w:hAnsi="Arial Narrow" w:cs="Arial"/>
                <w:sz w:val="20"/>
                <w:highlight w:val="black"/>
              </w:rPr>
            </w:pPr>
            <w:r>
              <w:rPr>
                <w:rFonts w:ascii="Arial Narrow" w:hAnsi="Arial Narrow" w:cs="Arial"/>
                <w:noProof/>
                <w:color w:val="000000"/>
                <w:sz w:val="20"/>
                <w:highlight w:val="black"/>
              </w:rPr>
              <w:t>''''''''''''</w:t>
            </w:r>
          </w:p>
        </w:tc>
        <w:tc>
          <w:tcPr>
            <w:tcW w:w="1398" w:type="dxa"/>
            <w:vAlign w:val="center"/>
          </w:tcPr>
          <w:p w:rsidR="00101D13" w:rsidRPr="00C26896" w:rsidRDefault="00C26896" w:rsidP="00101D13">
            <w:pPr>
              <w:spacing w:before="40"/>
              <w:jc w:val="center"/>
              <w:rPr>
                <w:rFonts w:ascii="Arial Narrow" w:hAnsi="Arial Narrow" w:cs="Arial"/>
                <w:sz w:val="20"/>
                <w:highlight w:val="black"/>
              </w:rPr>
            </w:pPr>
            <w:r>
              <w:rPr>
                <w:rFonts w:ascii="Arial Narrow" w:hAnsi="Arial Narrow" w:cs="Arial"/>
                <w:noProof/>
                <w:color w:val="000000"/>
                <w:sz w:val="20"/>
                <w:highlight w:val="black"/>
              </w:rPr>
              <w:t>'''''''''''''</w:t>
            </w:r>
          </w:p>
        </w:tc>
        <w:tc>
          <w:tcPr>
            <w:tcW w:w="1368" w:type="dxa"/>
            <w:vAlign w:val="center"/>
          </w:tcPr>
          <w:p w:rsidR="00101D13" w:rsidRPr="00C26896" w:rsidRDefault="00C26896" w:rsidP="00101D13">
            <w:pPr>
              <w:spacing w:before="40"/>
              <w:jc w:val="center"/>
              <w:rPr>
                <w:rFonts w:ascii="Arial Narrow" w:hAnsi="Arial Narrow" w:cs="Arial"/>
                <w:sz w:val="20"/>
                <w:highlight w:val="black"/>
              </w:rPr>
            </w:pPr>
            <w:r>
              <w:rPr>
                <w:rFonts w:ascii="Arial Narrow" w:hAnsi="Arial Narrow" w:cs="Arial"/>
                <w:noProof/>
                <w:color w:val="000000"/>
                <w:sz w:val="20"/>
                <w:highlight w:val="black"/>
              </w:rPr>
              <w:t>''''''''''''</w:t>
            </w:r>
          </w:p>
        </w:tc>
        <w:tc>
          <w:tcPr>
            <w:tcW w:w="1368" w:type="dxa"/>
            <w:vAlign w:val="center"/>
          </w:tcPr>
          <w:p w:rsidR="00101D13" w:rsidRPr="00C26896" w:rsidRDefault="00C26896" w:rsidP="00101D13">
            <w:pPr>
              <w:spacing w:before="40"/>
              <w:jc w:val="center"/>
              <w:rPr>
                <w:rFonts w:ascii="Arial Narrow" w:hAnsi="Arial Narrow" w:cs="Arial"/>
                <w:sz w:val="20"/>
                <w:highlight w:val="black"/>
              </w:rPr>
            </w:pPr>
            <w:r>
              <w:rPr>
                <w:rFonts w:ascii="Arial Narrow" w:hAnsi="Arial Narrow" w:cs="Arial"/>
                <w:noProof/>
                <w:color w:val="000000"/>
                <w:sz w:val="20"/>
                <w:highlight w:val="black"/>
              </w:rPr>
              <w:t>'''''''''''''</w:t>
            </w:r>
          </w:p>
        </w:tc>
        <w:tc>
          <w:tcPr>
            <w:tcW w:w="1233" w:type="dxa"/>
            <w:vAlign w:val="center"/>
          </w:tcPr>
          <w:p w:rsidR="00101D13" w:rsidRPr="00C26896" w:rsidRDefault="00C26896" w:rsidP="00101D13">
            <w:pPr>
              <w:spacing w:before="40"/>
              <w:jc w:val="center"/>
              <w:rPr>
                <w:rFonts w:ascii="Arial Narrow" w:hAnsi="Arial Narrow" w:cs="Arial"/>
                <w:sz w:val="20"/>
                <w:highlight w:val="black"/>
              </w:rPr>
            </w:pPr>
            <w:r>
              <w:rPr>
                <w:rFonts w:ascii="Arial Narrow" w:hAnsi="Arial Narrow" w:cs="Arial"/>
                <w:noProof/>
                <w:color w:val="000000"/>
                <w:sz w:val="20"/>
                <w:highlight w:val="black"/>
              </w:rPr>
              <w:t>''''''''''''''</w:t>
            </w:r>
          </w:p>
        </w:tc>
      </w:tr>
      <w:tr w:rsidR="00ED4C18" w:rsidRPr="001E5804" w:rsidTr="00B85146">
        <w:trPr>
          <w:trHeight w:val="943"/>
        </w:trPr>
        <w:tc>
          <w:tcPr>
            <w:tcW w:w="1658" w:type="dxa"/>
            <w:vAlign w:val="center"/>
          </w:tcPr>
          <w:p w:rsidR="00101D13" w:rsidRPr="00C26896" w:rsidRDefault="00101D13" w:rsidP="002B1B93">
            <w:pPr>
              <w:rPr>
                <w:rFonts w:ascii="Arial Narrow" w:hAnsi="Arial Narrow" w:cs="Arial"/>
                <w:b/>
                <w:sz w:val="20"/>
              </w:rPr>
            </w:pPr>
            <w:r w:rsidRPr="00010779">
              <w:rPr>
                <w:rFonts w:ascii="Arial Narrow" w:hAnsi="Arial Narrow" w:cs="Arial"/>
                <w:b/>
                <w:sz w:val="20"/>
              </w:rPr>
              <w:t xml:space="preserve">Patients treated with any HCV drug (if </w:t>
            </w:r>
            <w:proofErr w:type="spellStart"/>
            <w:r w:rsidR="002B1B93" w:rsidRPr="00010779">
              <w:rPr>
                <w:rFonts w:ascii="Arial Narrow" w:hAnsi="Arial Narrow" w:cs="Arial"/>
                <w:b/>
                <w:sz w:val="20"/>
              </w:rPr>
              <w:t>sofusbuvir</w:t>
            </w:r>
            <w:proofErr w:type="spellEnd"/>
            <w:r w:rsidR="002B1B93" w:rsidRPr="00010779">
              <w:rPr>
                <w:rFonts w:ascii="Arial Narrow" w:hAnsi="Arial Narrow" w:cs="Arial"/>
                <w:b/>
                <w:sz w:val="20"/>
              </w:rPr>
              <w:t xml:space="preserve"> </w:t>
            </w:r>
            <w:r w:rsidRPr="00010779">
              <w:rPr>
                <w:rFonts w:ascii="Arial Narrow" w:hAnsi="Arial Narrow" w:cs="Arial"/>
                <w:b/>
                <w:sz w:val="20"/>
              </w:rPr>
              <w:t>listed)</w:t>
            </w:r>
          </w:p>
        </w:tc>
        <w:tc>
          <w:tcPr>
            <w:tcW w:w="1338" w:type="dxa"/>
            <w:vAlign w:val="center"/>
          </w:tcPr>
          <w:p w:rsidR="00101D13" w:rsidRPr="00C26896" w:rsidRDefault="00C26896" w:rsidP="00101D13">
            <w:pPr>
              <w:spacing w:before="40"/>
              <w:jc w:val="center"/>
              <w:rPr>
                <w:rFonts w:ascii="Arial Narrow" w:hAnsi="Arial Narrow" w:cs="Arial"/>
                <w:sz w:val="20"/>
                <w:highlight w:val="black"/>
              </w:rPr>
            </w:pPr>
            <w:r>
              <w:rPr>
                <w:rFonts w:ascii="Arial Narrow" w:hAnsi="Arial Narrow" w:cs="Arial"/>
                <w:noProof/>
                <w:color w:val="000000"/>
                <w:sz w:val="20"/>
                <w:highlight w:val="black"/>
              </w:rPr>
              <w:t>''''''''''''</w:t>
            </w:r>
          </w:p>
        </w:tc>
        <w:tc>
          <w:tcPr>
            <w:tcW w:w="1398" w:type="dxa"/>
            <w:vAlign w:val="center"/>
          </w:tcPr>
          <w:p w:rsidR="00101D13" w:rsidRPr="00C26896" w:rsidRDefault="00C26896" w:rsidP="00101D13">
            <w:pPr>
              <w:spacing w:before="40"/>
              <w:jc w:val="center"/>
              <w:rPr>
                <w:rFonts w:ascii="Arial Narrow" w:hAnsi="Arial Narrow" w:cs="Arial"/>
                <w:sz w:val="20"/>
                <w:highlight w:val="black"/>
              </w:rPr>
            </w:pPr>
            <w:r>
              <w:rPr>
                <w:rFonts w:ascii="Arial Narrow" w:hAnsi="Arial Narrow" w:cs="Arial"/>
                <w:noProof/>
                <w:color w:val="000000"/>
                <w:sz w:val="20"/>
                <w:highlight w:val="black"/>
              </w:rPr>
              <w:t>'''''''''''''</w:t>
            </w:r>
          </w:p>
        </w:tc>
        <w:tc>
          <w:tcPr>
            <w:tcW w:w="1368" w:type="dxa"/>
            <w:vAlign w:val="center"/>
          </w:tcPr>
          <w:p w:rsidR="00101D13" w:rsidRPr="00C26896" w:rsidRDefault="00C26896" w:rsidP="00101D13">
            <w:pPr>
              <w:spacing w:before="40"/>
              <w:jc w:val="center"/>
              <w:rPr>
                <w:rFonts w:ascii="Arial Narrow" w:hAnsi="Arial Narrow" w:cs="Arial"/>
                <w:sz w:val="20"/>
                <w:highlight w:val="black"/>
              </w:rPr>
            </w:pPr>
            <w:r>
              <w:rPr>
                <w:rFonts w:ascii="Arial Narrow" w:hAnsi="Arial Narrow" w:cs="Arial"/>
                <w:noProof/>
                <w:color w:val="000000"/>
                <w:sz w:val="20"/>
                <w:highlight w:val="black"/>
              </w:rPr>
              <w:t>'''''''''''''''</w:t>
            </w:r>
          </w:p>
        </w:tc>
        <w:tc>
          <w:tcPr>
            <w:tcW w:w="1368" w:type="dxa"/>
            <w:vAlign w:val="center"/>
          </w:tcPr>
          <w:p w:rsidR="00101D13" w:rsidRPr="00C26896" w:rsidRDefault="00C26896" w:rsidP="00101D13">
            <w:pPr>
              <w:spacing w:before="40"/>
              <w:jc w:val="center"/>
              <w:rPr>
                <w:rFonts w:ascii="Arial Narrow" w:hAnsi="Arial Narrow" w:cs="Arial"/>
                <w:sz w:val="20"/>
                <w:highlight w:val="black"/>
              </w:rPr>
            </w:pPr>
            <w:r>
              <w:rPr>
                <w:rFonts w:ascii="Arial Narrow" w:hAnsi="Arial Narrow" w:cs="Arial"/>
                <w:noProof/>
                <w:color w:val="000000"/>
                <w:sz w:val="20"/>
                <w:highlight w:val="black"/>
              </w:rPr>
              <w:t>'''''''''''''</w:t>
            </w:r>
          </w:p>
        </w:tc>
        <w:tc>
          <w:tcPr>
            <w:tcW w:w="1233" w:type="dxa"/>
            <w:vAlign w:val="center"/>
          </w:tcPr>
          <w:p w:rsidR="00101D13" w:rsidRPr="00C26896" w:rsidRDefault="00C26896" w:rsidP="00101D13">
            <w:pPr>
              <w:spacing w:before="40"/>
              <w:jc w:val="center"/>
              <w:rPr>
                <w:rFonts w:ascii="Arial Narrow" w:hAnsi="Arial Narrow" w:cs="Arial"/>
                <w:sz w:val="20"/>
                <w:highlight w:val="black"/>
              </w:rPr>
            </w:pPr>
            <w:r>
              <w:rPr>
                <w:rFonts w:ascii="Arial Narrow" w:hAnsi="Arial Narrow" w:cs="Arial"/>
                <w:noProof/>
                <w:color w:val="000000"/>
                <w:sz w:val="20"/>
                <w:highlight w:val="black"/>
              </w:rPr>
              <w:t>'''''''''''''''</w:t>
            </w:r>
          </w:p>
        </w:tc>
      </w:tr>
      <w:tr w:rsidR="00ED4C18" w:rsidRPr="001E5804" w:rsidTr="00B85146">
        <w:trPr>
          <w:trHeight w:val="463"/>
        </w:trPr>
        <w:tc>
          <w:tcPr>
            <w:tcW w:w="1658" w:type="dxa"/>
            <w:vAlign w:val="center"/>
          </w:tcPr>
          <w:p w:rsidR="00101D13" w:rsidRPr="00C26896" w:rsidRDefault="00101D13" w:rsidP="002B1B93">
            <w:pPr>
              <w:rPr>
                <w:rFonts w:ascii="Arial Narrow" w:hAnsi="Arial Narrow" w:cs="Arial"/>
                <w:b/>
                <w:sz w:val="20"/>
              </w:rPr>
            </w:pPr>
            <w:r w:rsidRPr="00010779">
              <w:rPr>
                <w:rFonts w:ascii="Arial Narrow" w:hAnsi="Arial Narrow" w:cs="Arial"/>
                <w:b/>
                <w:sz w:val="20"/>
              </w:rPr>
              <w:t xml:space="preserve">Patients treated with </w:t>
            </w:r>
            <w:proofErr w:type="spellStart"/>
            <w:r w:rsidR="002B1B93" w:rsidRPr="00010779">
              <w:rPr>
                <w:rFonts w:ascii="Arial Narrow" w:hAnsi="Arial Narrow" w:cs="Arial"/>
                <w:b/>
                <w:sz w:val="20"/>
              </w:rPr>
              <w:t>sofosbuvir</w:t>
            </w:r>
            <w:proofErr w:type="spellEnd"/>
          </w:p>
        </w:tc>
        <w:tc>
          <w:tcPr>
            <w:tcW w:w="1338" w:type="dxa"/>
            <w:vAlign w:val="center"/>
          </w:tcPr>
          <w:p w:rsidR="00101D13" w:rsidRPr="00C26896" w:rsidRDefault="00C26896" w:rsidP="00101D13">
            <w:pPr>
              <w:spacing w:before="40"/>
              <w:jc w:val="center"/>
              <w:rPr>
                <w:rFonts w:ascii="Arial Narrow" w:hAnsi="Arial Narrow" w:cs="Arial"/>
                <w:sz w:val="20"/>
                <w:highlight w:val="black"/>
              </w:rPr>
            </w:pPr>
            <w:r>
              <w:rPr>
                <w:rFonts w:ascii="Arial Narrow" w:hAnsi="Arial Narrow" w:cs="Arial"/>
                <w:noProof/>
                <w:color w:val="000000"/>
                <w:sz w:val="20"/>
                <w:highlight w:val="black"/>
              </w:rPr>
              <w:t>''''''''''''</w:t>
            </w:r>
          </w:p>
        </w:tc>
        <w:tc>
          <w:tcPr>
            <w:tcW w:w="1398" w:type="dxa"/>
            <w:vAlign w:val="center"/>
          </w:tcPr>
          <w:p w:rsidR="00101D13" w:rsidRPr="00C26896" w:rsidRDefault="00C26896" w:rsidP="00101D13">
            <w:pPr>
              <w:spacing w:before="40"/>
              <w:jc w:val="center"/>
              <w:rPr>
                <w:rFonts w:ascii="Arial Narrow" w:hAnsi="Arial Narrow" w:cs="Arial"/>
                <w:sz w:val="20"/>
                <w:highlight w:val="black"/>
              </w:rPr>
            </w:pPr>
            <w:r>
              <w:rPr>
                <w:rFonts w:ascii="Arial Narrow" w:hAnsi="Arial Narrow" w:cs="Arial"/>
                <w:noProof/>
                <w:color w:val="000000"/>
                <w:sz w:val="20"/>
                <w:highlight w:val="black"/>
              </w:rPr>
              <w:t>''''''''''''''</w:t>
            </w:r>
          </w:p>
        </w:tc>
        <w:tc>
          <w:tcPr>
            <w:tcW w:w="1368" w:type="dxa"/>
            <w:vAlign w:val="center"/>
          </w:tcPr>
          <w:p w:rsidR="00101D13" w:rsidRPr="00C26896" w:rsidRDefault="00C26896" w:rsidP="00101D13">
            <w:pPr>
              <w:spacing w:before="40"/>
              <w:jc w:val="center"/>
              <w:rPr>
                <w:rFonts w:ascii="Arial Narrow" w:hAnsi="Arial Narrow" w:cs="Arial"/>
                <w:sz w:val="20"/>
                <w:highlight w:val="black"/>
              </w:rPr>
            </w:pPr>
            <w:r>
              <w:rPr>
                <w:rFonts w:ascii="Arial Narrow" w:hAnsi="Arial Narrow" w:cs="Arial"/>
                <w:noProof/>
                <w:color w:val="000000"/>
                <w:sz w:val="20"/>
                <w:highlight w:val="black"/>
              </w:rPr>
              <w:t>''''''''''''''</w:t>
            </w:r>
          </w:p>
        </w:tc>
        <w:tc>
          <w:tcPr>
            <w:tcW w:w="1368" w:type="dxa"/>
            <w:vAlign w:val="center"/>
          </w:tcPr>
          <w:p w:rsidR="00101D13" w:rsidRPr="00C26896" w:rsidRDefault="00C26896" w:rsidP="00101D13">
            <w:pPr>
              <w:spacing w:before="40"/>
              <w:jc w:val="center"/>
              <w:rPr>
                <w:rFonts w:ascii="Arial Narrow" w:hAnsi="Arial Narrow" w:cs="Arial"/>
                <w:sz w:val="20"/>
                <w:highlight w:val="black"/>
              </w:rPr>
            </w:pPr>
            <w:r>
              <w:rPr>
                <w:rFonts w:ascii="Arial Narrow" w:hAnsi="Arial Narrow" w:cs="Arial"/>
                <w:noProof/>
                <w:color w:val="000000"/>
                <w:sz w:val="20"/>
                <w:highlight w:val="black"/>
              </w:rPr>
              <w:t>'''''''''''''''</w:t>
            </w:r>
          </w:p>
        </w:tc>
        <w:tc>
          <w:tcPr>
            <w:tcW w:w="1233" w:type="dxa"/>
            <w:vAlign w:val="center"/>
          </w:tcPr>
          <w:p w:rsidR="00101D13" w:rsidRPr="00C26896" w:rsidRDefault="00C26896" w:rsidP="00101D13">
            <w:pPr>
              <w:spacing w:before="40"/>
              <w:jc w:val="center"/>
              <w:rPr>
                <w:rFonts w:ascii="Arial Narrow" w:hAnsi="Arial Narrow" w:cs="Arial"/>
                <w:sz w:val="20"/>
                <w:highlight w:val="black"/>
              </w:rPr>
            </w:pPr>
            <w:r>
              <w:rPr>
                <w:rFonts w:ascii="Arial Narrow" w:hAnsi="Arial Narrow" w:cs="Arial"/>
                <w:noProof/>
                <w:color w:val="000000"/>
                <w:sz w:val="20"/>
                <w:highlight w:val="black"/>
              </w:rPr>
              <w:t>'''''''''''''</w:t>
            </w:r>
          </w:p>
        </w:tc>
      </w:tr>
      <w:tr w:rsidR="00ED4C18" w:rsidRPr="001E5804" w:rsidTr="00B85146">
        <w:trPr>
          <w:trHeight w:val="463"/>
        </w:trPr>
        <w:tc>
          <w:tcPr>
            <w:tcW w:w="1658" w:type="dxa"/>
            <w:vAlign w:val="center"/>
          </w:tcPr>
          <w:p w:rsidR="00101D13" w:rsidRPr="00C26896" w:rsidRDefault="00101D13" w:rsidP="00101D13">
            <w:pPr>
              <w:rPr>
                <w:rFonts w:ascii="Arial Narrow" w:hAnsi="Arial Narrow" w:cs="Arial"/>
                <w:b/>
                <w:sz w:val="20"/>
              </w:rPr>
            </w:pPr>
            <w:r w:rsidRPr="00010779">
              <w:rPr>
                <w:rFonts w:ascii="Arial Narrow" w:hAnsi="Arial Narrow" w:cs="Arial"/>
                <w:b/>
                <w:sz w:val="20"/>
              </w:rPr>
              <w:t>Estimated cost to the PBS of listing</w:t>
            </w:r>
          </w:p>
        </w:tc>
        <w:tc>
          <w:tcPr>
            <w:tcW w:w="1338" w:type="dxa"/>
            <w:vAlign w:val="center"/>
          </w:tcPr>
          <w:p w:rsidR="00101D13" w:rsidRPr="00C26896" w:rsidRDefault="00101D13" w:rsidP="00101D13">
            <w:pPr>
              <w:jc w:val="center"/>
              <w:rPr>
                <w:rFonts w:ascii="Arial Narrow" w:hAnsi="Arial Narrow" w:cs="Arial"/>
                <w:sz w:val="20"/>
              </w:rPr>
            </w:pPr>
            <w:r w:rsidRPr="00010779">
              <w:rPr>
                <w:rFonts w:ascii="Arial Narrow" w:hAnsi="Arial Narrow" w:cs="Arial"/>
                <w:sz w:val="20"/>
              </w:rPr>
              <w:t>$</w:t>
            </w:r>
            <w:r w:rsidR="00C26896">
              <w:rPr>
                <w:rFonts w:ascii="Arial Narrow" w:hAnsi="Arial Narrow" w:cs="Arial"/>
                <w:noProof/>
                <w:color w:val="000000"/>
                <w:sz w:val="20"/>
                <w:highlight w:val="black"/>
              </w:rPr>
              <w:t>'''''''''''''''''''''''''''''</w:t>
            </w:r>
          </w:p>
        </w:tc>
        <w:tc>
          <w:tcPr>
            <w:tcW w:w="1398" w:type="dxa"/>
            <w:vAlign w:val="center"/>
          </w:tcPr>
          <w:p w:rsidR="00101D13" w:rsidRPr="00C26896" w:rsidRDefault="00101D13" w:rsidP="00101D13">
            <w:pPr>
              <w:jc w:val="center"/>
              <w:rPr>
                <w:rFonts w:ascii="Arial Narrow" w:hAnsi="Arial Narrow" w:cs="Arial"/>
                <w:sz w:val="20"/>
              </w:rPr>
            </w:pPr>
            <w:r w:rsidRPr="00010779">
              <w:rPr>
                <w:rFonts w:ascii="Arial Narrow" w:hAnsi="Arial Narrow" w:cs="Arial"/>
                <w:sz w:val="20"/>
              </w:rPr>
              <w:t>$</w:t>
            </w:r>
            <w:r w:rsidR="00C26896">
              <w:rPr>
                <w:rFonts w:ascii="Arial Narrow" w:hAnsi="Arial Narrow" w:cs="Arial"/>
                <w:noProof/>
                <w:color w:val="000000"/>
                <w:sz w:val="20"/>
                <w:highlight w:val="black"/>
              </w:rPr>
              <w:t>'''''''''''''''''''''''''''''''</w:t>
            </w:r>
          </w:p>
        </w:tc>
        <w:tc>
          <w:tcPr>
            <w:tcW w:w="1368" w:type="dxa"/>
            <w:vAlign w:val="center"/>
          </w:tcPr>
          <w:p w:rsidR="00101D13" w:rsidRPr="00C26896" w:rsidRDefault="00101D13" w:rsidP="00101D13">
            <w:pPr>
              <w:jc w:val="center"/>
              <w:rPr>
                <w:rFonts w:ascii="Arial Narrow" w:hAnsi="Arial Narrow" w:cs="Arial"/>
                <w:sz w:val="20"/>
              </w:rPr>
            </w:pPr>
            <w:r w:rsidRPr="00010779">
              <w:rPr>
                <w:rFonts w:ascii="Arial Narrow" w:hAnsi="Arial Narrow" w:cs="Arial"/>
                <w:sz w:val="20"/>
              </w:rPr>
              <w:t>$</w:t>
            </w:r>
            <w:r w:rsidR="00C26896">
              <w:rPr>
                <w:rFonts w:ascii="Arial Narrow" w:hAnsi="Arial Narrow" w:cs="Arial"/>
                <w:noProof/>
                <w:color w:val="000000"/>
                <w:sz w:val="20"/>
                <w:highlight w:val="black"/>
              </w:rPr>
              <w:t>''''''''''''''''''''''''''''''''</w:t>
            </w:r>
          </w:p>
        </w:tc>
        <w:tc>
          <w:tcPr>
            <w:tcW w:w="1368" w:type="dxa"/>
            <w:vAlign w:val="center"/>
          </w:tcPr>
          <w:p w:rsidR="00101D13" w:rsidRPr="00C26896" w:rsidRDefault="00101D13" w:rsidP="00101D13">
            <w:pPr>
              <w:jc w:val="center"/>
              <w:rPr>
                <w:rFonts w:ascii="Arial Narrow" w:hAnsi="Arial Narrow" w:cs="Arial"/>
                <w:sz w:val="20"/>
              </w:rPr>
            </w:pPr>
            <w:r w:rsidRPr="00010779">
              <w:rPr>
                <w:rFonts w:ascii="Arial Narrow" w:hAnsi="Arial Narrow" w:cs="Arial"/>
                <w:sz w:val="20"/>
              </w:rPr>
              <w:t>$</w:t>
            </w:r>
            <w:r w:rsidR="00C26896">
              <w:rPr>
                <w:rFonts w:ascii="Arial Narrow" w:hAnsi="Arial Narrow" w:cs="Arial"/>
                <w:noProof/>
                <w:color w:val="000000"/>
                <w:sz w:val="20"/>
                <w:highlight w:val="black"/>
              </w:rPr>
              <w:t>'''''''''''''''''''''''''''</w:t>
            </w:r>
          </w:p>
        </w:tc>
        <w:tc>
          <w:tcPr>
            <w:tcW w:w="1233" w:type="dxa"/>
            <w:vAlign w:val="center"/>
          </w:tcPr>
          <w:p w:rsidR="00101D13" w:rsidRPr="00C26896" w:rsidRDefault="00101D13" w:rsidP="00101D13">
            <w:pPr>
              <w:jc w:val="center"/>
              <w:rPr>
                <w:rFonts w:ascii="Arial Narrow" w:hAnsi="Arial Narrow" w:cs="Arial"/>
                <w:sz w:val="20"/>
              </w:rPr>
            </w:pPr>
            <w:r w:rsidRPr="00010779">
              <w:rPr>
                <w:rFonts w:ascii="Arial Narrow" w:hAnsi="Arial Narrow" w:cs="Arial"/>
                <w:sz w:val="20"/>
              </w:rPr>
              <w:t>$</w:t>
            </w:r>
            <w:r w:rsidR="00C26896">
              <w:rPr>
                <w:rFonts w:ascii="Arial Narrow" w:hAnsi="Arial Narrow" w:cs="Arial"/>
                <w:noProof/>
                <w:color w:val="000000"/>
                <w:sz w:val="20"/>
                <w:highlight w:val="black"/>
              </w:rPr>
              <w:t>'''''''''''''''''''''''''''''</w:t>
            </w:r>
          </w:p>
        </w:tc>
      </w:tr>
      <w:tr w:rsidR="00ED4C18" w:rsidRPr="001E5804" w:rsidTr="00B85146">
        <w:trPr>
          <w:trHeight w:val="926"/>
        </w:trPr>
        <w:tc>
          <w:tcPr>
            <w:tcW w:w="1658" w:type="dxa"/>
            <w:vAlign w:val="center"/>
          </w:tcPr>
          <w:p w:rsidR="00101D13" w:rsidRPr="00C26896" w:rsidRDefault="00101D13" w:rsidP="00101D13">
            <w:pPr>
              <w:rPr>
                <w:rFonts w:ascii="Arial Narrow" w:hAnsi="Arial Narrow" w:cs="Arial"/>
                <w:b/>
                <w:sz w:val="20"/>
              </w:rPr>
            </w:pPr>
            <w:r w:rsidRPr="00010779">
              <w:rPr>
                <w:rFonts w:ascii="Arial Narrow" w:hAnsi="Arial Narrow" w:cs="Arial"/>
                <w:b/>
                <w:sz w:val="20"/>
              </w:rPr>
              <w:t>Estimated changes in use and cost of other drugs</w:t>
            </w:r>
          </w:p>
        </w:tc>
        <w:tc>
          <w:tcPr>
            <w:tcW w:w="1338" w:type="dxa"/>
            <w:vAlign w:val="center"/>
          </w:tcPr>
          <w:p w:rsidR="00101D13" w:rsidRPr="00C26896" w:rsidRDefault="00C26896" w:rsidP="00101D13">
            <w:pPr>
              <w:jc w:val="center"/>
              <w:rPr>
                <w:rFonts w:ascii="Arial Narrow" w:hAnsi="Arial Narrow" w:cs="Arial"/>
                <w:sz w:val="20"/>
              </w:rPr>
            </w:pPr>
            <w:r>
              <w:rPr>
                <w:rFonts w:ascii="Arial Narrow" w:hAnsi="Arial Narrow" w:cs="Arial"/>
                <w:noProof/>
                <w:color w:val="000000"/>
                <w:sz w:val="20"/>
                <w:highlight w:val="black"/>
              </w:rPr>
              <w:t>'''</w:t>
            </w:r>
            <w:r w:rsidR="00101D13" w:rsidRPr="00010779">
              <w:rPr>
                <w:rFonts w:ascii="Arial Narrow" w:hAnsi="Arial Narrow" w:cs="Arial"/>
                <w:sz w:val="20"/>
              </w:rPr>
              <w:t>$</w:t>
            </w:r>
            <w:r>
              <w:rPr>
                <w:rFonts w:ascii="Arial Narrow" w:hAnsi="Arial Narrow" w:cs="Arial"/>
                <w:noProof/>
                <w:color w:val="000000"/>
                <w:sz w:val="20"/>
                <w:highlight w:val="black"/>
              </w:rPr>
              <w:t>'''''''''''''''''''''''</w:t>
            </w:r>
          </w:p>
        </w:tc>
        <w:tc>
          <w:tcPr>
            <w:tcW w:w="1398" w:type="dxa"/>
            <w:vAlign w:val="center"/>
          </w:tcPr>
          <w:p w:rsidR="00101D13" w:rsidRPr="00C26896" w:rsidRDefault="00C26896" w:rsidP="00101D13">
            <w:pPr>
              <w:jc w:val="center"/>
              <w:rPr>
                <w:rFonts w:ascii="Arial Narrow" w:hAnsi="Arial Narrow" w:cs="Arial"/>
                <w:sz w:val="20"/>
              </w:rPr>
            </w:pPr>
            <w:r>
              <w:rPr>
                <w:rFonts w:ascii="Arial Narrow" w:hAnsi="Arial Narrow" w:cs="Arial"/>
                <w:noProof/>
                <w:color w:val="000000"/>
                <w:sz w:val="20"/>
                <w:highlight w:val="black"/>
              </w:rPr>
              <w:t>''</w:t>
            </w:r>
            <w:r w:rsidR="00101D13" w:rsidRPr="00010779">
              <w:rPr>
                <w:rFonts w:ascii="Arial Narrow" w:hAnsi="Arial Narrow" w:cs="Arial"/>
                <w:sz w:val="20"/>
              </w:rPr>
              <w:t>$</w:t>
            </w:r>
            <w:r>
              <w:rPr>
                <w:rFonts w:ascii="Arial Narrow" w:hAnsi="Arial Narrow" w:cs="Arial"/>
                <w:noProof/>
                <w:color w:val="000000"/>
                <w:sz w:val="20"/>
                <w:highlight w:val="black"/>
              </w:rPr>
              <w:t>''''''''''''''''''''''''''''</w:t>
            </w:r>
          </w:p>
        </w:tc>
        <w:tc>
          <w:tcPr>
            <w:tcW w:w="1368" w:type="dxa"/>
            <w:vAlign w:val="center"/>
          </w:tcPr>
          <w:p w:rsidR="00101D13" w:rsidRPr="00C26896" w:rsidRDefault="00C26896" w:rsidP="00101D13">
            <w:pPr>
              <w:jc w:val="center"/>
              <w:rPr>
                <w:rFonts w:ascii="Arial Narrow" w:hAnsi="Arial Narrow" w:cs="Arial"/>
                <w:sz w:val="20"/>
              </w:rPr>
            </w:pPr>
            <w:r>
              <w:rPr>
                <w:rFonts w:ascii="Arial Narrow" w:hAnsi="Arial Narrow" w:cs="Arial"/>
                <w:noProof/>
                <w:color w:val="000000"/>
                <w:sz w:val="20"/>
                <w:highlight w:val="black"/>
              </w:rPr>
              <w:t>''</w:t>
            </w:r>
            <w:r w:rsidR="00101D13" w:rsidRPr="00010779">
              <w:rPr>
                <w:rFonts w:ascii="Arial Narrow" w:hAnsi="Arial Narrow" w:cs="Arial"/>
                <w:sz w:val="20"/>
              </w:rPr>
              <w:t>$</w:t>
            </w:r>
            <w:r>
              <w:rPr>
                <w:rFonts w:ascii="Arial Narrow" w:hAnsi="Arial Narrow" w:cs="Arial"/>
                <w:noProof/>
                <w:color w:val="000000"/>
                <w:sz w:val="20"/>
                <w:highlight w:val="black"/>
              </w:rPr>
              <w:t>''''''''''''''''''''''''''''</w:t>
            </w:r>
          </w:p>
        </w:tc>
        <w:tc>
          <w:tcPr>
            <w:tcW w:w="1368" w:type="dxa"/>
            <w:vAlign w:val="center"/>
          </w:tcPr>
          <w:p w:rsidR="00101D13" w:rsidRPr="00C26896" w:rsidRDefault="00C26896" w:rsidP="00101D13">
            <w:pPr>
              <w:jc w:val="center"/>
              <w:rPr>
                <w:rFonts w:ascii="Arial Narrow" w:hAnsi="Arial Narrow" w:cs="Arial"/>
                <w:sz w:val="20"/>
              </w:rPr>
            </w:pPr>
            <w:r>
              <w:rPr>
                <w:rFonts w:ascii="Arial Narrow" w:hAnsi="Arial Narrow" w:cs="Arial"/>
                <w:noProof/>
                <w:color w:val="000000"/>
                <w:sz w:val="20"/>
                <w:highlight w:val="black"/>
              </w:rPr>
              <w:t>''</w:t>
            </w:r>
            <w:r w:rsidR="00101D13" w:rsidRPr="00010779">
              <w:rPr>
                <w:rFonts w:ascii="Arial Narrow" w:hAnsi="Arial Narrow" w:cs="Arial"/>
                <w:sz w:val="20"/>
              </w:rPr>
              <w:t>$</w:t>
            </w:r>
            <w:r>
              <w:rPr>
                <w:rFonts w:ascii="Arial Narrow" w:hAnsi="Arial Narrow" w:cs="Arial"/>
                <w:noProof/>
                <w:color w:val="000000"/>
                <w:sz w:val="20"/>
                <w:highlight w:val="black"/>
              </w:rPr>
              <w:t>'''''''''''''''''''''''''''</w:t>
            </w:r>
          </w:p>
        </w:tc>
        <w:tc>
          <w:tcPr>
            <w:tcW w:w="1233" w:type="dxa"/>
            <w:vAlign w:val="center"/>
          </w:tcPr>
          <w:p w:rsidR="00101D13" w:rsidRPr="00C26896" w:rsidRDefault="00C26896" w:rsidP="00101D13">
            <w:pPr>
              <w:jc w:val="center"/>
              <w:rPr>
                <w:rFonts w:ascii="Arial Narrow" w:hAnsi="Arial Narrow" w:cs="Arial"/>
                <w:sz w:val="20"/>
              </w:rPr>
            </w:pPr>
            <w:r>
              <w:rPr>
                <w:rFonts w:ascii="Arial Narrow" w:hAnsi="Arial Narrow" w:cs="Arial"/>
                <w:noProof/>
                <w:color w:val="000000"/>
                <w:sz w:val="20"/>
                <w:highlight w:val="black"/>
              </w:rPr>
              <w:t>''</w:t>
            </w:r>
            <w:r w:rsidR="00101D13" w:rsidRPr="00010779">
              <w:rPr>
                <w:rFonts w:ascii="Arial Narrow" w:hAnsi="Arial Narrow" w:cs="Arial"/>
                <w:sz w:val="20"/>
              </w:rPr>
              <w:t>$</w:t>
            </w:r>
            <w:r>
              <w:rPr>
                <w:rFonts w:ascii="Arial Narrow" w:hAnsi="Arial Narrow" w:cs="Arial"/>
                <w:noProof/>
                <w:color w:val="000000"/>
                <w:sz w:val="20"/>
                <w:highlight w:val="black"/>
              </w:rPr>
              <w:t>'''''''''''''''''''''''''</w:t>
            </w:r>
          </w:p>
        </w:tc>
      </w:tr>
      <w:tr w:rsidR="00ED4C18" w:rsidRPr="001E5804" w:rsidTr="00B85146">
        <w:trPr>
          <w:trHeight w:val="704"/>
        </w:trPr>
        <w:tc>
          <w:tcPr>
            <w:tcW w:w="1658" w:type="dxa"/>
            <w:vAlign w:val="center"/>
          </w:tcPr>
          <w:p w:rsidR="00101D13" w:rsidRPr="00C26896" w:rsidRDefault="00101D13" w:rsidP="00101D13">
            <w:pPr>
              <w:rPr>
                <w:rFonts w:ascii="Arial Narrow" w:hAnsi="Arial Narrow" w:cs="Arial"/>
                <w:b/>
                <w:sz w:val="20"/>
              </w:rPr>
            </w:pPr>
            <w:r w:rsidRPr="00010779">
              <w:rPr>
                <w:rFonts w:ascii="Arial Narrow" w:hAnsi="Arial Narrow" w:cs="Arial"/>
                <w:b/>
                <w:sz w:val="20"/>
              </w:rPr>
              <w:t>Net financial impact of listing on the PBS/RPBS</w:t>
            </w:r>
          </w:p>
        </w:tc>
        <w:tc>
          <w:tcPr>
            <w:tcW w:w="1338" w:type="dxa"/>
            <w:vAlign w:val="center"/>
          </w:tcPr>
          <w:p w:rsidR="00101D13" w:rsidRPr="00C26896" w:rsidRDefault="00101D13" w:rsidP="00101D13">
            <w:pPr>
              <w:jc w:val="center"/>
              <w:rPr>
                <w:rFonts w:ascii="Arial Narrow" w:hAnsi="Arial Narrow" w:cs="Arial"/>
                <w:sz w:val="20"/>
              </w:rPr>
            </w:pPr>
            <w:r w:rsidRPr="00010779">
              <w:rPr>
                <w:rFonts w:ascii="Arial Narrow" w:hAnsi="Arial Narrow" w:cs="Arial"/>
                <w:sz w:val="20"/>
              </w:rPr>
              <w:t>$</w:t>
            </w:r>
            <w:r w:rsidR="00C26896">
              <w:rPr>
                <w:rFonts w:ascii="Arial Narrow" w:hAnsi="Arial Narrow" w:cs="Arial"/>
                <w:noProof/>
                <w:color w:val="000000"/>
                <w:sz w:val="20"/>
                <w:highlight w:val="black"/>
              </w:rPr>
              <w:t>'''''''''''''''''''''''''''''</w:t>
            </w:r>
          </w:p>
        </w:tc>
        <w:tc>
          <w:tcPr>
            <w:tcW w:w="1398" w:type="dxa"/>
            <w:vAlign w:val="center"/>
          </w:tcPr>
          <w:p w:rsidR="00101D13" w:rsidRPr="00C26896" w:rsidRDefault="00101D13" w:rsidP="00101D13">
            <w:pPr>
              <w:jc w:val="center"/>
              <w:rPr>
                <w:rFonts w:ascii="Arial Narrow" w:hAnsi="Arial Narrow" w:cs="Arial"/>
                <w:sz w:val="20"/>
              </w:rPr>
            </w:pPr>
            <w:r w:rsidRPr="00010779">
              <w:rPr>
                <w:rFonts w:ascii="Arial Narrow" w:hAnsi="Arial Narrow" w:cs="Arial"/>
                <w:sz w:val="20"/>
              </w:rPr>
              <w:t>$</w:t>
            </w:r>
            <w:r w:rsidR="00C26896">
              <w:rPr>
                <w:rFonts w:ascii="Arial Narrow" w:hAnsi="Arial Narrow" w:cs="Arial"/>
                <w:noProof/>
                <w:color w:val="000000"/>
                <w:sz w:val="20"/>
                <w:highlight w:val="black"/>
              </w:rPr>
              <w:t>'''''''''''''''''''''''''''</w:t>
            </w:r>
          </w:p>
        </w:tc>
        <w:tc>
          <w:tcPr>
            <w:tcW w:w="1368" w:type="dxa"/>
            <w:vAlign w:val="center"/>
          </w:tcPr>
          <w:p w:rsidR="00101D13" w:rsidRPr="00C26896" w:rsidRDefault="00101D13" w:rsidP="00101D13">
            <w:pPr>
              <w:jc w:val="center"/>
              <w:rPr>
                <w:rFonts w:ascii="Arial Narrow" w:hAnsi="Arial Narrow" w:cs="Arial"/>
                <w:sz w:val="20"/>
              </w:rPr>
            </w:pPr>
            <w:r w:rsidRPr="00010779">
              <w:rPr>
                <w:rFonts w:ascii="Arial Narrow" w:hAnsi="Arial Narrow" w:cs="Arial"/>
                <w:sz w:val="20"/>
              </w:rPr>
              <w:t>$</w:t>
            </w:r>
            <w:r w:rsidR="00C26896">
              <w:rPr>
                <w:rFonts w:ascii="Arial Narrow" w:hAnsi="Arial Narrow" w:cs="Arial"/>
                <w:noProof/>
                <w:color w:val="000000"/>
                <w:sz w:val="20"/>
                <w:highlight w:val="black"/>
              </w:rPr>
              <w:t>''''''''''''''''''''''''''''</w:t>
            </w:r>
          </w:p>
        </w:tc>
        <w:tc>
          <w:tcPr>
            <w:tcW w:w="1368" w:type="dxa"/>
            <w:vAlign w:val="center"/>
          </w:tcPr>
          <w:p w:rsidR="00101D13" w:rsidRPr="00C26896" w:rsidRDefault="00101D13" w:rsidP="00101D13">
            <w:pPr>
              <w:jc w:val="center"/>
              <w:rPr>
                <w:rFonts w:ascii="Arial Narrow" w:hAnsi="Arial Narrow" w:cs="Arial"/>
                <w:sz w:val="20"/>
              </w:rPr>
            </w:pPr>
            <w:r w:rsidRPr="00010779">
              <w:rPr>
                <w:rFonts w:ascii="Arial Narrow" w:hAnsi="Arial Narrow" w:cs="Arial"/>
                <w:sz w:val="20"/>
              </w:rPr>
              <w:t>$</w:t>
            </w:r>
            <w:r w:rsidR="00C26896">
              <w:rPr>
                <w:rFonts w:ascii="Arial Narrow" w:hAnsi="Arial Narrow" w:cs="Arial"/>
                <w:noProof/>
                <w:color w:val="000000"/>
                <w:sz w:val="20"/>
                <w:highlight w:val="black"/>
              </w:rPr>
              <w:t>''''''''''''''''''''''''''''''</w:t>
            </w:r>
          </w:p>
        </w:tc>
        <w:tc>
          <w:tcPr>
            <w:tcW w:w="1233" w:type="dxa"/>
            <w:vAlign w:val="center"/>
          </w:tcPr>
          <w:p w:rsidR="00101D13" w:rsidRPr="00C26896" w:rsidRDefault="00101D13" w:rsidP="00101D13">
            <w:pPr>
              <w:jc w:val="center"/>
              <w:rPr>
                <w:rFonts w:ascii="Arial Narrow" w:hAnsi="Arial Narrow" w:cs="Arial"/>
                <w:sz w:val="20"/>
              </w:rPr>
            </w:pPr>
            <w:r w:rsidRPr="00010779">
              <w:rPr>
                <w:rFonts w:ascii="Arial Narrow" w:hAnsi="Arial Narrow" w:cs="Arial"/>
                <w:sz w:val="20"/>
              </w:rPr>
              <w:t>$</w:t>
            </w:r>
            <w:r w:rsidR="00C26896">
              <w:rPr>
                <w:rFonts w:ascii="Arial Narrow" w:hAnsi="Arial Narrow" w:cs="Arial"/>
                <w:noProof/>
                <w:color w:val="000000"/>
                <w:sz w:val="20"/>
                <w:highlight w:val="black"/>
              </w:rPr>
              <w:t>''''''''''''''''''''''''''''</w:t>
            </w:r>
          </w:p>
        </w:tc>
      </w:tr>
      <w:tr w:rsidR="00101D13" w:rsidRPr="001E5804" w:rsidTr="00B85146">
        <w:trPr>
          <w:trHeight w:val="1183"/>
        </w:trPr>
        <w:tc>
          <w:tcPr>
            <w:tcW w:w="1658" w:type="dxa"/>
            <w:vAlign w:val="center"/>
          </w:tcPr>
          <w:p w:rsidR="00101D13" w:rsidRPr="00C26896" w:rsidRDefault="00101D13" w:rsidP="00101D13">
            <w:pPr>
              <w:rPr>
                <w:rFonts w:ascii="Arial Narrow" w:hAnsi="Arial Narrow" w:cs="Arial"/>
                <w:b/>
                <w:sz w:val="20"/>
              </w:rPr>
            </w:pPr>
            <w:r w:rsidRPr="00010779">
              <w:rPr>
                <w:rFonts w:ascii="Arial Narrow" w:hAnsi="Arial Narrow" w:cs="Arial"/>
                <w:b/>
                <w:sz w:val="20"/>
              </w:rPr>
              <w:t>Estimated financial implications for government health budgets</w:t>
            </w:r>
          </w:p>
        </w:tc>
        <w:tc>
          <w:tcPr>
            <w:tcW w:w="1338" w:type="dxa"/>
            <w:vAlign w:val="center"/>
          </w:tcPr>
          <w:p w:rsidR="00101D13" w:rsidRPr="00C26896" w:rsidRDefault="00101D13" w:rsidP="00101D13">
            <w:pPr>
              <w:jc w:val="center"/>
              <w:rPr>
                <w:rFonts w:ascii="Arial Narrow" w:hAnsi="Arial Narrow" w:cs="Arial"/>
                <w:sz w:val="20"/>
              </w:rPr>
            </w:pPr>
            <w:r w:rsidRPr="00010779">
              <w:rPr>
                <w:rFonts w:ascii="Arial Narrow" w:hAnsi="Arial Narrow" w:cs="Arial"/>
                <w:sz w:val="20"/>
              </w:rPr>
              <w:t>$</w:t>
            </w:r>
            <w:r w:rsidR="00C26896">
              <w:rPr>
                <w:rFonts w:ascii="Arial Narrow" w:hAnsi="Arial Narrow" w:cs="Arial"/>
                <w:noProof/>
                <w:color w:val="000000"/>
                <w:sz w:val="20"/>
                <w:highlight w:val="black"/>
              </w:rPr>
              <w:t>'''''''''''''''''''''''''''''''</w:t>
            </w:r>
          </w:p>
        </w:tc>
        <w:tc>
          <w:tcPr>
            <w:tcW w:w="1398" w:type="dxa"/>
            <w:vAlign w:val="center"/>
          </w:tcPr>
          <w:p w:rsidR="00101D13" w:rsidRPr="00C26896" w:rsidRDefault="00101D13" w:rsidP="00101D13">
            <w:pPr>
              <w:jc w:val="center"/>
              <w:rPr>
                <w:rFonts w:ascii="Arial Narrow" w:hAnsi="Arial Narrow" w:cs="Arial"/>
                <w:sz w:val="20"/>
              </w:rPr>
            </w:pPr>
            <w:r w:rsidRPr="00010779">
              <w:rPr>
                <w:rFonts w:ascii="Arial Narrow" w:hAnsi="Arial Narrow" w:cs="Arial"/>
                <w:sz w:val="20"/>
              </w:rPr>
              <w:t>$</w:t>
            </w:r>
            <w:r w:rsidR="00C26896">
              <w:rPr>
                <w:rFonts w:ascii="Arial Narrow" w:hAnsi="Arial Narrow" w:cs="Arial"/>
                <w:noProof/>
                <w:color w:val="000000"/>
                <w:sz w:val="20"/>
                <w:highlight w:val="black"/>
              </w:rPr>
              <w:t>''''''''''''''''''''''''''''</w:t>
            </w:r>
          </w:p>
        </w:tc>
        <w:tc>
          <w:tcPr>
            <w:tcW w:w="1368" w:type="dxa"/>
            <w:vAlign w:val="center"/>
          </w:tcPr>
          <w:p w:rsidR="00101D13" w:rsidRPr="00C26896" w:rsidRDefault="00101D13" w:rsidP="00101D13">
            <w:pPr>
              <w:jc w:val="center"/>
              <w:rPr>
                <w:rFonts w:ascii="Arial Narrow" w:hAnsi="Arial Narrow" w:cs="Arial"/>
                <w:sz w:val="20"/>
              </w:rPr>
            </w:pPr>
            <w:r w:rsidRPr="00010779">
              <w:rPr>
                <w:rFonts w:ascii="Arial Narrow" w:hAnsi="Arial Narrow" w:cs="Arial"/>
                <w:sz w:val="20"/>
              </w:rPr>
              <w:t>$</w:t>
            </w:r>
            <w:r w:rsidR="00C26896">
              <w:rPr>
                <w:rFonts w:ascii="Arial Narrow" w:hAnsi="Arial Narrow" w:cs="Arial"/>
                <w:noProof/>
                <w:color w:val="000000"/>
                <w:sz w:val="20"/>
                <w:highlight w:val="black"/>
              </w:rPr>
              <w:t>'''''''''''''''''''''''''''''''</w:t>
            </w:r>
          </w:p>
        </w:tc>
        <w:tc>
          <w:tcPr>
            <w:tcW w:w="1368" w:type="dxa"/>
            <w:vAlign w:val="center"/>
          </w:tcPr>
          <w:p w:rsidR="00101D13" w:rsidRPr="00C26896" w:rsidRDefault="00101D13" w:rsidP="00101D13">
            <w:pPr>
              <w:jc w:val="center"/>
              <w:rPr>
                <w:rFonts w:ascii="Arial Narrow" w:hAnsi="Arial Narrow" w:cs="Arial"/>
                <w:sz w:val="20"/>
              </w:rPr>
            </w:pPr>
            <w:r w:rsidRPr="00010779">
              <w:rPr>
                <w:rFonts w:ascii="Arial Narrow" w:hAnsi="Arial Narrow" w:cs="Arial"/>
                <w:sz w:val="20"/>
              </w:rPr>
              <w:t>$</w:t>
            </w:r>
            <w:r w:rsidR="00C26896">
              <w:rPr>
                <w:rFonts w:ascii="Arial Narrow" w:hAnsi="Arial Narrow" w:cs="Arial"/>
                <w:noProof/>
                <w:color w:val="000000"/>
                <w:sz w:val="20"/>
                <w:highlight w:val="black"/>
              </w:rPr>
              <w:t>'''''''''''''''''''''''''''''''''</w:t>
            </w:r>
          </w:p>
        </w:tc>
        <w:tc>
          <w:tcPr>
            <w:tcW w:w="1233" w:type="dxa"/>
            <w:vAlign w:val="center"/>
          </w:tcPr>
          <w:p w:rsidR="00101D13" w:rsidRPr="00C26896" w:rsidRDefault="00101D13" w:rsidP="00101D13">
            <w:pPr>
              <w:jc w:val="center"/>
              <w:rPr>
                <w:rFonts w:ascii="Arial Narrow" w:hAnsi="Arial Narrow" w:cs="Arial"/>
                <w:sz w:val="20"/>
              </w:rPr>
            </w:pPr>
            <w:r w:rsidRPr="00010779">
              <w:rPr>
                <w:rFonts w:ascii="Arial Narrow" w:hAnsi="Arial Narrow" w:cs="Arial"/>
                <w:sz w:val="20"/>
              </w:rPr>
              <w:t>$</w:t>
            </w:r>
            <w:r w:rsidR="00C26896">
              <w:rPr>
                <w:rFonts w:ascii="Arial Narrow" w:hAnsi="Arial Narrow" w:cs="Arial"/>
                <w:noProof/>
                <w:color w:val="000000"/>
                <w:sz w:val="20"/>
                <w:highlight w:val="black"/>
              </w:rPr>
              <w:t>'''''''''''''''''''''''''''''</w:t>
            </w:r>
          </w:p>
        </w:tc>
      </w:tr>
    </w:tbl>
    <w:p w:rsidR="00F17CFC" w:rsidRPr="00010779" w:rsidRDefault="00101D13" w:rsidP="00B85146">
      <w:pPr>
        <w:ind w:left="709"/>
        <w:rPr>
          <w:rFonts w:cs="Arial"/>
          <w:sz w:val="18"/>
          <w:szCs w:val="18"/>
        </w:rPr>
      </w:pPr>
      <w:r w:rsidRPr="00010779">
        <w:rPr>
          <w:rFonts w:cs="Arial"/>
          <w:sz w:val="18"/>
          <w:szCs w:val="18"/>
        </w:rPr>
        <w:t>*Note that submission’s Year 1 estimate assumes</w:t>
      </w:r>
      <w:r w:rsidR="00C26896">
        <w:rPr>
          <w:rFonts w:cs="Arial"/>
          <w:noProof/>
          <w:color w:val="000000"/>
          <w:sz w:val="18"/>
          <w:szCs w:val="18"/>
          <w:highlight w:val="black"/>
        </w:rPr>
        <w:t xml:space="preserve"> ''' '''''''''''''' ''''''''''' ''''' ''' '''''''''' '''''''''''' ''''''''' '''''''''''''''''''' ''''''''''''''''''''''''''' ''''''''''' ''' '''''''' ''''' ''''''' ''''''''''''''''''' </w:t>
      </w:r>
      <w:r w:rsidRPr="00010779">
        <w:rPr>
          <w:rFonts w:cs="Arial"/>
          <w:sz w:val="18"/>
          <w:szCs w:val="18"/>
        </w:rPr>
        <w:t xml:space="preserve">This underestimates total expenditure in Year 1, and </w:t>
      </w:r>
      <w:r w:rsidRPr="00010779">
        <w:rPr>
          <w:rFonts w:cs="Arial"/>
          <w:sz w:val="18"/>
          <w:szCs w:val="18"/>
        </w:rPr>
        <w:lastRenderedPageBreak/>
        <w:t>consequently the total cost across the first five years of listing. The preferred approach is to estimate use for full years, which can be apportioned once the date of listing is known.</w:t>
      </w:r>
    </w:p>
    <w:p w:rsidR="00BB7EC3" w:rsidRPr="00ED4C18" w:rsidRDefault="00BB7EC3" w:rsidP="00BB7EC3">
      <w:pPr>
        <w:pStyle w:val="ListParagraph"/>
        <w:ind w:left="709"/>
        <w:jc w:val="both"/>
        <w:rPr>
          <w:szCs w:val="22"/>
        </w:rPr>
      </w:pPr>
    </w:p>
    <w:p w:rsidR="00101D13" w:rsidRPr="00ED4C18" w:rsidRDefault="00101D13" w:rsidP="00B85146">
      <w:pPr>
        <w:pStyle w:val="ListParagraph"/>
        <w:numPr>
          <w:ilvl w:val="1"/>
          <w:numId w:val="1"/>
        </w:numPr>
        <w:jc w:val="both"/>
        <w:rPr>
          <w:szCs w:val="22"/>
        </w:rPr>
      </w:pPr>
      <w:r w:rsidRPr="00ED4C18">
        <w:rPr>
          <w:szCs w:val="22"/>
        </w:rPr>
        <w:t xml:space="preserve">The DUSC considered that there is very high potential for </w:t>
      </w:r>
      <w:proofErr w:type="spellStart"/>
      <w:r w:rsidRPr="00ED4C18">
        <w:rPr>
          <w:szCs w:val="22"/>
        </w:rPr>
        <w:t>sofosbuvir</w:t>
      </w:r>
      <w:proofErr w:type="spellEnd"/>
      <w:r w:rsidRPr="00ED4C18">
        <w:rPr>
          <w:szCs w:val="22"/>
        </w:rPr>
        <w:t xml:space="preserve"> to be used in an interferon free regimen due to patient preference. Interferon free regimens are approximately twice the cost of interferon containing regimens</w:t>
      </w:r>
      <w:r w:rsidR="00120809" w:rsidRPr="00ED4C18">
        <w:rPr>
          <w:szCs w:val="22"/>
        </w:rPr>
        <w:t xml:space="preserve">.  In sensitivity analysis presented in the submission, varying the proportion of HCV genotype 3 treatment naïve interferon eligible patients accessing interferon-free regimens from </w:t>
      </w:r>
      <w:r w:rsidR="00C26896">
        <w:rPr>
          <w:noProof/>
          <w:color w:val="000000"/>
          <w:szCs w:val="22"/>
          <w:highlight w:val="black"/>
        </w:rPr>
        <w:t>''''''</w:t>
      </w:r>
      <w:r w:rsidR="00120809" w:rsidRPr="00ED4C18">
        <w:rPr>
          <w:szCs w:val="22"/>
        </w:rPr>
        <w:t xml:space="preserve">% to </w:t>
      </w:r>
      <w:r w:rsidR="00C26896">
        <w:rPr>
          <w:noProof/>
          <w:color w:val="000000"/>
          <w:szCs w:val="22"/>
          <w:highlight w:val="black"/>
        </w:rPr>
        <w:t>''''''</w:t>
      </w:r>
      <w:r w:rsidR="00120809" w:rsidRPr="00ED4C18">
        <w:rPr>
          <w:szCs w:val="22"/>
        </w:rPr>
        <w:t xml:space="preserve">% results in an approximate </w:t>
      </w:r>
      <w:r w:rsidR="00C26896">
        <w:rPr>
          <w:noProof/>
          <w:color w:val="000000"/>
          <w:szCs w:val="22"/>
          <w:highlight w:val="black"/>
        </w:rPr>
        <w:t>''''''''''''</w:t>
      </w:r>
      <w:r w:rsidR="00120809" w:rsidRPr="00ED4C18">
        <w:rPr>
          <w:szCs w:val="22"/>
        </w:rPr>
        <w:t xml:space="preserve"> increase in the </w:t>
      </w:r>
      <w:r w:rsidR="008270AC" w:rsidRPr="00ED4C18">
        <w:rPr>
          <w:szCs w:val="22"/>
        </w:rPr>
        <w:t>net cost to the PBS.</w:t>
      </w:r>
      <w:r w:rsidRPr="00ED4C18">
        <w:rPr>
          <w:szCs w:val="22"/>
        </w:rPr>
        <w:t xml:space="preserve"> </w:t>
      </w:r>
      <w:r w:rsidR="0091133A" w:rsidRPr="00ED4C18">
        <w:rPr>
          <w:szCs w:val="22"/>
        </w:rPr>
        <w:t xml:space="preserve">The </w:t>
      </w:r>
      <w:r w:rsidRPr="00ED4C18">
        <w:rPr>
          <w:szCs w:val="22"/>
        </w:rPr>
        <w:t>DUSC requested that further sensitivity analyses be undertaken to assess the impact of all genotype 1 and 3 patients being treated with interferon free regimens (see below, SA 1). With all other parameters remaining as per the submission, this</w:t>
      </w:r>
      <w:r w:rsidR="0091133A" w:rsidRPr="00ED4C18">
        <w:rPr>
          <w:szCs w:val="22"/>
        </w:rPr>
        <w:t xml:space="preserve"> </w:t>
      </w:r>
      <w:r w:rsidR="006A2C26" w:rsidRPr="00ED4C18">
        <w:rPr>
          <w:szCs w:val="22"/>
        </w:rPr>
        <w:t>estimate doubles</w:t>
      </w:r>
      <w:r w:rsidRPr="00ED4C18">
        <w:rPr>
          <w:szCs w:val="22"/>
        </w:rPr>
        <w:t xml:space="preserve"> the net cost to the PBS.  </w:t>
      </w:r>
    </w:p>
    <w:p w:rsidR="002D1D3C" w:rsidRPr="00ED4C18" w:rsidRDefault="002D1D3C" w:rsidP="002D1D3C">
      <w:pPr>
        <w:pStyle w:val="ListParagraph"/>
        <w:ind w:left="709"/>
        <w:rPr>
          <w:szCs w:val="22"/>
        </w:rPr>
      </w:pPr>
    </w:p>
    <w:p w:rsidR="00121A29" w:rsidRPr="00ED4C18" w:rsidRDefault="00121A29" w:rsidP="00B85146">
      <w:pPr>
        <w:pStyle w:val="ListParagraph"/>
        <w:numPr>
          <w:ilvl w:val="1"/>
          <w:numId w:val="1"/>
        </w:numPr>
        <w:jc w:val="both"/>
        <w:rPr>
          <w:szCs w:val="22"/>
        </w:rPr>
      </w:pPr>
      <w:r w:rsidRPr="00ED4C18">
        <w:rPr>
          <w:szCs w:val="22"/>
        </w:rPr>
        <w:t xml:space="preserve">The DUSC considered the predicted uptake of </w:t>
      </w:r>
      <w:proofErr w:type="spellStart"/>
      <w:r w:rsidRPr="00ED4C18">
        <w:rPr>
          <w:szCs w:val="22"/>
        </w:rPr>
        <w:t>sofosbuvir</w:t>
      </w:r>
      <w:proofErr w:type="spellEnd"/>
      <w:r w:rsidR="0091133A" w:rsidRPr="00ED4C18">
        <w:rPr>
          <w:szCs w:val="22"/>
        </w:rPr>
        <w:t>,</w:t>
      </w:r>
      <w:r w:rsidRPr="00ED4C18">
        <w:rPr>
          <w:szCs w:val="22"/>
        </w:rPr>
        <w:t xml:space="preserve"> </w:t>
      </w:r>
      <w:r w:rsidR="002B1B93" w:rsidRPr="00ED4C18">
        <w:rPr>
          <w:szCs w:val="22"/>
        </w:rPr>
        <w:t xml:space="preserve">if </w:t>
      </w:r>
      <w:r w:rsidRPr="00ED4C18">
        <w:rPr>
          <w:szCs w:val="22"/>
        </w:rPr>
        <w:t xml:space="preserve">used with interferon in genotype 1 </w:t>
      </w:r>
      <w:proofErr w:type="gramStart"/>
      <w:r w:rsidRPr="00ED4C18">
        <w:rPr>
          <w:szCs w:val="22"/>
        </w:rPr>
        <w:t>patients</w:t>
      </w:r>
      <w:proofErr w:type="gramEnd"/>
      <w:r w:rsidRPr="00ED4C18">
        <w:rPr>
          <w:szCs w:val="22"/>
        </w:rPr>
        <w:t xml:space="preserve"> (50% of the direct acting anti-viral market)</w:t>
      </w:r>
      <w:r w:rsidR="0091133A" w:rsidRPr="00ED4C18">
        <w:rPr>
          <w:szCs w:val="22"/>
        </w:rPr>
        <w:t>,</w:t>
      </w:r>
      <w:r w:rsidRPr="00ED4C18">
        <w:rPr>
          <w:szCs w:val="22"/>
        </w:rPr>
        <w:t xml:space="preserve"> is a likely underestimate. There will be little role for </w:t>
      </w:r>
      <w:proofErr w:type="spellStart"/>
      <w:r w:rsidRPr="00ED4C18">
        <w:rPr>
          <w:szCs w:val="22"/>
        </w:rPr>
        <w:t>telaprevir</w:t>
      </w:r>
      <w:proofErr w:type="spellEnd"/>
      <w:r w:rsidRPr="00ED4C18">
        <w:rPr>
          <w:szCs w:val="22"/>
        </w:rPr>
        <w:t xml:space="preserve"> and </w:t>
      </w:r>
      <w:proofErr w:type="spellStart"/>
      <w:r w:rsidRPr="00ED4C18">
        <w:rPr>
          <w:szCs w:val="22"/>
        </w:rPr>
        <w:t>boceprevir</w:t>
      </w:r>
      <w:proofErr w:type="spellEnd"/>
      <w:r w:rsidRPr="00ED4C18">
        <w:rPr>
          <w:szCs w:val="22"/>
        </w:rPr>
        <w:t xml:space="preserve"> with the availability of </w:t>
      </w:r>
      <w:proofErr w:type="spellStart"/>
      <w:r w:rsidRPr="00ED4C18">
        <w:rPr>
          <w:szCs w:val="22"/>
        </w:rPr>
        <w:t>sofosbuvir</w:t>
      </w:r>
      <w:proofErr w:type="spellEnd"/>
      <w:r w:rsidRPr="00ED4C18">
        <w:rPr>
          <w:szCs w:val="22"/>
        </w:rPr>
        <w:t xml:space="preserve"> due to the much shorter duration of treatment with interferon (12 weeks with </w:t>
      </w:r>
      <w:proofErr w:type="spellStart"/>
      <w:r w:rsidRPr="00ED4C18">
        <w:rPr>
          <w:szCs w:val="22"/>
        </w:rPr>
        <w:t>sofosbuvir</w:t>
      </w:r>
      <w:proofErr w:type="spellEnd"/>
      <w:r w:rsidRPr="00ED4C18">
        <w:rPr>
          <w:szCs w:val="22"/>
        </w:rPr>
        <w:t xml:space="preserve"> versus 24-48 weeks with </w:t>
      </w:r>
      <w:proofErr w:type="spellStart"/>
      <w:r w:rsidRPr="00ED4C18">
        <w:rPr>
          <w:szCs w:val="22"/>
        </w:rPr>
        <w:t>telaprevir</w:t>
      </w:r>
      <w:proofErr w:type="spellEnd"/>
      <w:r w:rsidRPr="00ED4C18">
        <w:rPr>
          <w:szCs w:val="22"/>
        </w:rPr>
        <w:t xml:space="preserve"> or </w:t>
      </w:r>
      <w:proofErr w:type="spellStart"/>
      <w:r w:rsidRPr="00ED4C18">
        <w:rPr>
          <w:szCs w:val="22"/>
        </w:rPr>
        <w:t>boceprevir</w:t>
      </w:r>
      <w:proofErr w:type="spellEnd"/>
      <w:r w:rsidRPr="00ED4C18">
        <w:rPr>
          <w:szCs w:val="22"/>
        </w:rPr>
        <w:t>).</w:t>
      </w:r>
      <w:r w:rsidR="00D20C73" w:rsidRPr="00ED4C18">
        <w:rPr>
          <w:szCs w:val="22"/>
        </w:rPr>
        <w:t xml:space="preserve"> The DUSC</w:t>
      </w:r>
      <w:r w:rsidRPr="00ED4C18">
        <w:rPr>
          <w:szCs w:val="22"/>
        </w:rPr>
        <w:t xml:space="preserve"> noted that </w:t>
      </w:r>
      <w:proofErr w:type="spellStart"/>
      <w:r w:rsidRPr="00ED4C18">
        <w:rPr>
          <w:szCs w:val="22"/>
        </w:rPr>
        <w:t>simeprevir</w:t>
      </w:r>
      <w:proofErr w:type="spellEnd"/>
      <w:r w:rsidRPr="00ED4C18">
        <w:rPr>
          <w:szCs w:val="22"/>
        </w:rPr>
        <w:t xml:space="preserve"> (Item 5.16) may still require a longer course of treatment with interferon than </w:t>
      </w:r>
      <w:proofErr w:type="spellStart"/>
      <w:r w:rsidRPr="00ED4C18">
        <w:rPr>
          <w:szCs w:val="22"/>
        </w:rPr>
        <w:t>sofosbuvir</w:t>
      </w:r>
      <w:proofErr w:type="spellEnd"/>
      <w:r w:rsidRPr="00ED4C18">
        <w:rPr>
          <w:szCs w:val="22"/>
        </w:rPr>
        <w:t xml:space="preserve"> regimens.</w:t>
      </w:r>
      <w:r w:rsidRPr="00B85146">
        <w:rPr>
          <w:szCs w:val="22"/>
        </w:rPr>
        <w:t xml:space="preserve"> </w:t>
      </w:r>
      <w:r w:rsidRPr="00ED4C18">
        <w:rPr>
          <w:szCs w:val="22"/>
        </w:rPr>
        <w:t xml:space="preserve">A sensitivity analysis increasing the market share of </w:t>
      </w:r>
      <w:proofErr w:type="spellStart"/>
      <w:r w:rsidRPr="00ED4C18">
        <w:rPr>
          <w:szCs w:val="22"/>
        </w:rPr>
        <w:t>sofosbuvir</w:t>
      </w:r>
      <w:proofErr w:type="spellEnd"/>
      <w:r w:rsidRPr="00ED4C18">
        <w:rPr>
          <w:szCs w:val="22"/>
        </w:rPr>
        <w:t xml:space="preserve"> in genotype 1 interferon suitable patients to 100% (see below, SA 2) results in an approximate 20% increase in the total cost for </w:t>
      </w:r>
      <w:proofErr w:type="spellStart"/>
      <w:r w:rsidRPr="00ED4C18">
        <w:rPr>
          <w:szCs w:val="22"/>
        </w:rPr>
        <w:t>sofosbuvir</w:t>
      </w:r>
      <w:proofErr w:type="spellEnd"/>
      <w:r w:rsidRPr="00ED4C18">
        <w:rPr>
          <w:szCs w:val="22"/>
        </w:rPr>
        <w:t xml:space="preserve"> regimens, and an approximate 11% increase in the total net cost to the PBS (noting that genotype 1 patients comprise approximately 50% of the treated population)</w:t>
      </w:r>
    </w:p>
    <w:p w:rsidR="00C46718" w:rsidRPr="00ED4C18" w:rsidRDefault="00C46718" w:rsidP="00121A29">
      <w:pPr>
        <w:pStyle w:val="ListParagraph"/>
        <w:ind w:left="709"/>
        <w:rPr>
          <w:szCs w:val="22"/>
        </w:rPr>
      </w:pPr>
    </w:p>
    <w:p w:rsidR="00121A29" w:rsidRPr="00010779" w:rsidRDefault="00121A29" w:rsidP="00121A29">
      <w:pPr>
        <w:pStyle w:val="ListParagraph"/>
        <w:ind w:left="709"/>
        <w:rPr>
          <w:szCs w:val="22"/>
        </w:rPr>
      </w:pPr>
      <w:r w:rsidRPr="00010779">
        <w:rPr>
          <w:rFonts w:cs="Arial"/>
          <w:b/>
          <w:sz w:val="20"/>
        </w:rPr>
        <w:t>One way sensitivity analyses requested by DUSC</w:t>
      </w:r>
    </w:p>
    <w:tbl>
      <w:tblPr>
        <w:tblStyle w:val="TableGrid"/>
        <w:tblW w:w="4558" w:type="pct"/>
        <w:tblInd w:w="817" w:type="dxa"/>
        <w:tblLook w:val="04A0" w:firstRow="1" w:lastRow="0" w:firstColumn="1" w:lastColumn="0" w:noHBand="0" w:noVBand="1"/>
        <w:tblDescription w:val="One way sensitivity analyses requested by DUSC"/>
      </w:tblPr>
      <w:tblGrid>
        <w:gridCol w:w="1908"/>
        <w:gridCol w:w="1085"/>
        <w:gridCol w:w="1085"/>
        <w:gridCol w:w="1085"/>
        <w:gridCol w:w="1085"/>
        <w:gridCol w:w="1085"/>
        <w:gridCol w:w="1092"/>
      </w:tblGrid>
      <w:tr w:rsidR="00ED4C18" w:rsidRPr="001E5804" w:rsidTr="00D16494">
        <w:trPr>
          <w:tblHeader/>
        </w:trPr>
        <w:tc>
          <w:tcPr>
            <w:tcW w:w="5000" w:type="pct"/>
            <w:gridSpan w:val="7"/>
          </w:tcPr>
          <w:p w:rsidR="00121A29" w:rsidRPr="00C26896" w:rsidRDefault="00121A29" w:rsidP="00FB2B02">
            <w:pPr>
              <w:rPr>
                <w:rFonts w:ascii="Arial Narrow" w:hAnsi="Arial Narrow" w:cs="Arial"/>
                <w:sz w:val="20"/>
                <w:szCs w:val="20"/>
              </w:rPr>
            </w:pPr>
            <w:r w:rsidRPr="00010779">
              <w:rPr>
                <w:rFonts w:ascii="Arial Narrow" w:hAnsi="Arial Narrow" w:cs="Arial"/>
                <w:b/>
                <w:sz w:val="20"/>
                <w:szCs w:val="20"/>
              </w:rPr>
              <w:t xml:space="preserve">Base case </w:t>
            </w:r>
          </w:p>
        </w:tc>
      </w:tr>
      <w:tr w:rsidR="00ED4C18" w:rsidRPr="001E5804" w:rsidTr="00B85146">
        <w:tc>
          <w:tcPr>
            <w:tcW w:w="1132" w:type="pct"/>
          </w:tcPr>
          <w:p w:rsidR="00121A29" w:rsidRPr="00C26896" w:rsidRDefault="00121A29" w:rsidP="00FB2B02">
            <w:pPr>
              <w:rPr>
                <w:rFonts w:ascii="Arial Narrow" w:hAnsi="Arial Narrow" w:cs="Arial"/>
                <w:b/>
                <w:sz w:val="20"/>
                <w:szCs w:val="20"/>
              </w:rPr>
            </w:pPr>
          </w:p>
        </w:tc>
        <w:tc>
          <w:tcPr>
            <w:tcW w:w="644" w:type="pct"/>
            <w:vAlign w:val="center"/>
          </w:tcPr>
          <w:p w:rsidR="00121A29" w:rsidRPr="00C26896" w:rsidRDefault="00121A29" w:rsidP="00FB2B02">
            <w:pPr>
              <w:jc w:val="center"/>
              <w:rPr>
                <w:rFonts w:ascii="Arial Narrow" w:hAnsi="Arial Narrow" w:cs="Arial"/>
                <w:sz w:val="20"/>
                <w:szCs w:val="20"/>
              </w:rPr>
            </w:pPr>
            <w:r w:rsidRPr="00010779">
              <w:rPr>
                <w:rFonts w:ascii="Arial Narrow" w:hAnsi="Arial Narrow" w:cs="Arial"/>
                <w:sz w:val="20"/>
                <w:szCs w:val="20"/>
              </w:rPr>
              <w:t>Y1</w:t>
            </w:r>
          </w:p>
        </w:tc>
        <w:tc>
          <w:tcPr>
            <w:tcW w:w="644" w:type="pct"/>
            <w:vAlign w:val="center"/>
          </w:tcPr>
          <w:p w:rsidR="00121A29" w:rsidRPr="00C26896" w:rsidRDefault="00121A29" w:rsidP="00FB2B02">
            <w:pPr>
              <w:jc w:val="center"/>
              <w:rPr>
                <w:rFonts w:ascii="Arial Narrow" w:hAnsi="Arial Narrow" w:cs="Arial"/>
                <w:sz w:val="20"/>
                <w:szCs w:val="20"/>
              </w:rPr>
            </w:pPr>
            <w:r w:rsidRPr="00010779">
              <w:rPr>
                <w:rFonts w:ascii="Arial Narrow" w:hAnsi="Arial Narrow" w:cs="Arial"/>
                <w:sz w:val="20"/>
                <w:szCs w:val="20"/>
              </w:rPr>
              <w:t>Y2</w:t>
            </w:r>
          </w:p>
        </w:tc>
        <w:tc>
          <w:tcPr>
            <w:tcW w:w="644" w:type="pct"/>
            <w:vAlign w:val="center"/>
          </w:tcPr>
          <w:p w:rsidR="00121A29" w:rsidRPr="00C26896" w:rsidRDefault="00121A29" w:rsidP="00FB2B02">
            <w:pPr>
              <w:jc w:val="center"/>
              <w:rPr>
                <w:rFonts w:ascii="Arial Narrow" w:hAnsi="Arial Narrow" w:cs="Arial"/>
                <w:sz w:val="20"/>
                <w:szCs w:val="20"/>
              </w:rPr>
            </w:pPr>
            <w:r w:rsidRPr="00010779">
              <w:rPr>
                <w:rFonts w:ascii="Arial Narrow" w:hAnsi="Arial Narrow" w:cs="Arial"/>
                <w:sz w:val="20"/>
                <w:szCs w:val="20"/>
              </w:rPr>
              <w:t>Y3</w:t>
            </w:r>
          </w:p>
        </w:tc>
        <w:tc>
          <w:tcPr>
            <w:tcW w:w="644" w:type="pct"/>
            <w:vAlign w:val="center"/>
          </w:tcPr>
          <w:p w:rsidR="00121A29" w:rsidRPr="00C26896" w:rsidRDefault="00121A29" w:rsidP="00FB2B02">
            <w:pPr>
              <w:jc w:val="center"/>
              <w:rPr>
                <w:rFonts w:ascii="Arial Narrow" w:hAnsi="Arial Narrow" w:cs="Arial"/>
                <w:sz w:val="20"/>
                <w:szCs w:val="20"/>
              </w:rPr>
            </w:pPr>
            <w:r w:rsidRPr="00010779">
              <w:rPr>
                <w:rFonts w:ascii="Arial Narrow" w:hAnsi="Arial Narrow" w:cs="Arial"/>
                <w:sz w:val="20"/>
                <w:szCs w:val="20"/>
              </w:rPr>
              <w:t>Y4</w:t>
            </w:r>
          </w:p>
        </w:tc>
        <w:tc>
          <w:tcPr>
            <w:tcW w:w="644" w:type="pct"/>
            <w:vAlign w:val="center"/>
          </w:tcPr>
          <w:p w:rsidR="00121A29" w:rsidRPr="00C26896" w:rsidRDefault="00121A29" w:rsidP="00FB2B02">
            <w:pPr>
              <w:jc w:val="center"/>
              <w:rPr>
                <w:rFonts w:ascii="Arial Narrow" w:hAnsi="Arial Narrow" w:cs="Arial"/>
                <w:sz w:val="20"/>
                <w:szCs w:val="20"/>
              </w:rPr>
            </w:pPr>
            <w:r w:rsidRPr="00010779">
              <w:rPr>
                <w:rFonts w:ascii="Arial Narrow" w:hAnsi="Arial Narrow" w:cs="Arial"/>
                <w:sz w:val="20"/>
                <w:szCs w:val="20"/>
              </w:rPr>
              <w:t>Y5</w:t>
            </w:r>
          </w:p>
        </w:tc>
        <w:tc>
          <w:tcPr>
            <w:tcW w:w="648" w:type="pct"/>
            <w:vAlign w:val="center"/>
          </w:tcPr>
          <w:p w:rsidR="00121A29" w:rsidRPr="00C26896" w:rsidRDefault="00121A29" w:rsidP="00FB2B02">
            <w:pPr>
              <w:jc w:val="center"/>
              <w:rPr>
                <w:rFonts w:ascii="Arial Narrow" w:hAnsi="Arial Narrow" w:cs="Arial"/>
                <w:sz w:val="20"/>
                <w:szCs w:val="20"/>
              </w:rPr>
            </w:pPr>
            <w:r w:rsidRPr="00010779">
              <w:rPr>
                <w:rFonts w:ascii="Arial Narrow" w:hAnsi="Arial Narrow" w:cs="Arial"/>
                <w:sz w:val="20"/>
                <w:szCs w:val="20"/>
              </w:rPr>
              <w:t>Total</w:t>
            </w:r>
          </w:p>
        </w:tc>
      </w:tr>
      <w:tr w:rsidR="00ED4C18" w:rsidRPr="001E5804" w:rsidTr="00B85146">
        <w:tc>
          <w:tcPr>
            <w:tcW w:w="1132" w:type="pct"/>
            <w:vAlign w:val="center"/>
          </w:tcPr>
          <w:p w:rsidR="00121A29" w:rsidRPr="00C26896" w:rsidRDefault="00FD647E" w:rsidP="00FB2B02">
            <w:pPr>
              <w:rPr>
                <w:rFonts w:ascii="Arial Narrow" w:hAnsi="Arial Narrow" w:cs="Arial"/>
                <w:sz w:val="20"/>
                <w:szCs w:val="20"/>
              </w:rPr>
            </w:pPr>
            <w:r w:rsidRPr="00010779">
              <w:rPr>
                <w:rFonts w:ascii="Arial Narrow" w:hAnsi="Arial Narrow" w:cs="Arial"/>
                <w:sz w:val="20"/>
                <w:szCs w:val="20"/>
              </w:rPr>
              <w:t xml:space="preserve">Patients treated with any HCV drug (if </w:t>
            </w:r>
            <w:proofErr w:type="spellStart"/>
            <w:r w:rsidRPr="00010779">
              <w:rPr>
                <w:rFonts w:ascii="Arial Narrow" w:hAnsi="Arial Narrow" w:cs="Arial"/>
                <w:sz w:val="20"/>
                <w:szCs w:val="20"/>
              </w:rPr>
              <w:t>sofusbuvir</w:t>
            </w:r>
            <w:proofErr w:type="spellEnd"/>
            <w:r w:rsidRPr="00010779">
              <w:rPr>
                <w:rFonts w:ascii="Arial Narrow" w:hAnsi="Arial Narrow" w:cs="Arial"/>
                <w:sz w:val="20"/>
                <w:szCs w:val="20"/>
              </w:rPr>
              <w:t xml:space="preserve"> listed)</w:t>
            </w:r>
          </w:p>
        </w:tc>
        <w:tc>
          <w:tcPr>
            <w:tcW w:w="644" w:type="pct"/>
            <w:vAlign w:val="center"/>
          </w:tcPr>
          <w:p w:rsidR="00121A29" w:rsidRPr="00C26896" w:rsidRDefault="00C26896" w:rsidP="00FB2B02">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44" w:type="pct"/>
            <w:vAlign w:val="center"/>
          </w:tcPr>
          <w:p w:rsidR="00121A29" w:rsidRPr="00C26896" w:rsidRDefault="00C26896" w:rsidP="00FB2B02">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44" w:type="pct"/>
            <w:vAlign w:val="center"/>
          </w:tcPr>
          <w:p w:rsidR="00121A29" w:rsidRPr="00C26896" w:rsidRDefault="00C26896" w:rsidP="00FB2B02">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44" w:type="pct"/>
            <w:vAlign w:val="center"/>
          </w:tcPr>
          <w:p w:rsidR="00121A29" w:rsidRPr="00C26896" w:rsidRDefault="00C26896" w:rsidP="00FB2B02">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44" w:type="pct"/>
            <w:vAlign w:val="center"/>
          </w:tcPr>
          <w:p w:rsidR="00121A29" w:rsidRPr="00C26896" w:rsidRDefault="00C26896" w:rsidP="00FB2B02">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48" w:type="pct"/>
            <w:vAlign w:val="center"/>
          </w:tcPr>
          <w:p w:rsidR="00121A29" w:rsidRPr="00C26896" w:rsidRDefault="00C26896" w:rsidP="00FB2B02">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ED4C18" w:rsidRPr="001E5804" w:rsidTr="00B85146">
        <w:tc>
          <w:tcPr>
            <w:tcW w:w="1132" w:type="pct"/>
            <w:vAlign w:val="center"/>
          </w:tcPr>
          <w:p w:rsidR="00121A29" w:rsidRPr="00C26896" w:rsidRDefault="00121A29" w:rsidP="00FB2B02">
            <w:pPr>
              <w:rPr>
                <w:rFonts w:ascii="Arial Narrow" w:hAnsi="Arial Narrow" w:cs="Arial"/>
                <w:sz w:val="20"/>
                <w:szCs w:val="20"/>
              </w:rPr>
            </w:pPr>
            <w:r w:rsidRPr="00010779">
              <w:rPr>
                <w:rFonts w:ascii="Arial Narrow" w:hAnsi="Arial Narrow" w:cs="Arial"/>
                <w:sz w:val="20"/>
                <w:szCs w:val="20"/>
              </w:rPr>
              <w:t xml:space="preserve">Cost of </w:t>
            </w:r>
            <w:proofErr w:type="spellStart"/>
            <w:r w:rsidRPr="00010779">
              <w:rPr>
                <w:rFonts w:ascii="Arial Narrow" w:hAnsi="Arial Narrow" w:cs="Arial"/>
                <w:sz w:val="20"/>
                <w:szCs w:val="20"/>
              </w:rPr>
              <w:t>sofosbuvir</w:t>
            </w:r>
            <w:proofErr w:type="spellEnd"/>
            <w:r w:rsidRPr="00010779">
              <w:rPr>
                <w:rFonts w:ascii="Arial Narrow" w:hAnsi="Arial Narrow" w:cs="Arial"/>
                <w:sz w:val="20"/>
                <w:szCs w:val="20"/>
              </w:rPr>
              <w:t xml:space="preserve"> to R/PBS</w:t>
            </w:r>
          </w:p>
        </w:tc>
        <w:tc>
          <w:tcPr>
            <w:tcW w:w="644" w:type="pct"/>
            <w:vAlign w:val="center"/>
          </w:tcPr>
          <w:p w:rsidR="00121A29" w:rsidRPr="00C26896" w:rsidRDefault="00C26896" w:rsidP="00FB2B02">
            <w:pPr>
              <w:jc w:val="center"/>
              <w:rPr>
                <w:rFonts w:ascii="Arial Narrow" w:hAnsi="Arial Narrow" w:cs="Arial"/>
                <w:sz w:val="20"/>
                <w:szCs w:val="20"/>
                <w:highlight w:val="black"/>
              </w:rPr>
            </w:pPr>
            <w:r>
              <w:rPr>
                <w:rFonts w:ascii="Arial Narrow" w:hAnsi="Arial Narrow" w:cs="Arial"/>
                <w:noProof/>
                <w:color w:val="000000"/>
                <w:sz w:val="20"/>
                <w:szCs w:val="20"/>
                <w:highlight w:val="black"/>
              </w:rPr>
              <w:t>''''''''''''' ''''</w:t>
            </w:r>
          </w:p>
        </w:tc>
        <w:tc>
          <w:tcPr>
            <w:tcW w:w="644" w:type="pct"/>
            <w:vAlign w:val="center"/>
          </w:tcPr>
          <w:p w:rsidR="00121A29" w:rsidRPr="00C26896" w:rsidRDefault="00C26896" w:rsidP="00FB2B02">
            <w:pPr>
              <w:jc w:val="center"/>
              <w:rPr>
                <w:rFonts w:ascii="Arial Narrow" w:hAnsi="Arial Narrow" w:cs="Arial"/>
                <w:sz w:val="20"/>
                <w:szCs w:val="20"/>
                <w:highlight w:val="black"/>
              </w:rPr>
            </w:pPr>
            <w:r>
              <w:rPr>
                <w:rFonts w:ascii="Arial Narrow" w:hAnsi="Arial Narrow" w:cs="Arial"/>
                <w:noProof/>
                <w:color w:val="000000"/>
                <w:sz w:val="20"/>
                <w:szCs w:val="20"/>
                <w:highlight w:val="black"/>
              </w:rPr>
              <w:t>''''''''''' '''''</w:t>
            </w:r>
          </w:p>
        </w:tc>
        <w:tc>
          <w:tcPr>
            <w:tcW w:w="644" w:type="pct"/>
            <w:vAlign w:val="center"/>
          </w:tcPr>
          <w:p w:rsidR="00121A29" w:rsidRPr="00C26896" w:rsidRDefault="00C26896" w:rsidP="00FB2B02">
            <w:pPr>
              <w:jc w:val="center"/>
              <w:rPr>
                <w:rFonts w:ascii="Arial Narrow" w:hAnsi="Arial Narrow" w:cs="Arial"/>
                <w:sz w:val="20"/>
                <w:szCs w:val="20"/>
                <w:highlight w:val="black"/>
              </w:rPr>
            </w:pPr>
            <w:r>
              <w:rPr>
                <w:rFonts w:ascii="Arial Narrow" w:hAnsi="Arial Narrow" w:cs="Arial"/>
                <w:noProof/>
                <w:color w:val="000000"/>
                <w:sz w:val="20"/>
                <w:szCs w:val="20"/>
                <w:highlight w:val="black"/>
              </w:rPr>
              <w:t>'''''''''''' '''''</w:t>
            </w:r>
          </w:p>
        </w:tc>
        <w:tc>
          <w:tcPr>
            <w:tcW w:w="644" w:type="pct"/>
            <w:vAlign w:val="center"/>
          </w:tcPr>
          <w:p w:rsidR="00121A29" w:rsidRPr="00C26896" w:rsidRDefault="00C26896" w:rsidP="00FB2B02">
            <w:pPr>
              <w:jc w:val="center"/>
              <w:rPr>
                <w:rFonts w:ascii="Arial Narrow" w:hAnsi="Arial Narrow" w:cs="Arial"/>
                <w:sz w:val="20"/>
                <w:szCs w:val="20"/>
                <w:highlight w:val="black"/>
              </w:rPr>
            </w:pPr>
            <w:r>
              <w:rPr>
                <w:rFonts w:ascii="Arial Narrow" w:hAnsi="Arial Narrow" w:cs="Arial"/>
                <w:noProof/>
                <w:color w:val="000000"/>
                <w:sz w:val="20"/>
                <w:szCs w:val="20"/>
                <w:highlight w:val="black"/>
              </w:rPr>
              <w:t>''''''''''' '''''</w:t>
            </w:r>
          </w:p>
        </w:tc>
        <w:tc>
          <w:tcPr>
            <w:tcW w:w="644" w:type="pct"/>
            <w:vAlign w:val="center"/>
          </w:tcPr>
          <w:p w:rsidR="00121A29" w:rsidRPr="00C26896" w:rsidRDefault="00C26896" w:rsidP="00FB2B02">
            <w:pPr>
              <w:jc w:val="center"/>
              <w:rPr>
                <w:rFonts w:ascii="Arial Narrow" w:hAnsi="Arial Narrow" w:cs="Arial"/>
                <w:sz w:val="20"/>
                <w:szCs w:val="20"/>
                <w:highlight w:val="black"/>
              </w:rPr>
            </w:pPr>
            <w:r>
              <w:rPr>
                <w:rFonts w:ascii="Arial Narrow" w:hAnsi="Arial Narrow" w:cs="Arial"/>
                <w:noProof/>
                <w:color w:val="000000"/>
                <w:sz w:val="20"/>
                <w:szCs w:val="20"/>
                <w:highlight w:val="black"/>
              </w:rPr>
              <w:t>''''''''''''' '''''</w:t>
            </w:r>
          </w:p>
        </w:tc>
        <w:tc>
          <w:tcPr>
            <w:tcW w:w="648" w:type="pct"/>
            <w:vAlign w:val="center"/>
          </w:tcPr>
          <w:p w:rsidR="00121A29" w:rsidRPr="00C26896" w:rsidRDefault="00C26896" w:rsidP="00FB2B02">
            <w:pPr>
              <w:jc w:val="center"/>
              <w:rPr>
                <w:rFonts w:ascii="Arial Narrow" w:hAnsi="Arial Narrow" w:cs="Arial"/>
                <w:sz w:val="20"/>
                <w:szCs w:val="20"/>
                <w:highlight w:val="black"/>
              </w:rPr>
            </w:pPr>
            <w:r>
              <w:rPr>
                <w:rFonts w:ascii="Arial Narrow" w:hAnsi="Arial Narrow" w:cs="Arial"/>
                <w:noProof/>
                <w:color w:val="000000"/>
                <w:sz w:val="20"/>
                <w:szCs w:val="20"/>
                <w:highlight w:val="black"/>
              </w:rPr>
              <w:t>'''''''''''''' '''''</w:t>
            </w:r>
          </w:p>
        </w:tc>
      </w:tr>
      <w:tr w:rsidR="00ED4C18" w:rsidRPr="001E5804" w:rsidTr="00B85146">
        <w:tc>
          <w:tcPr>
            <w:tcW w:w="1132" w:type="pct"/>
            <w:vAlign w:val="center"/>
          </w:tcPr>
          <w:p w:rsidR="00121A29" w:rsidRPr="00C26896" w:rsidRDefault="00121A29" w:rsidP="00FB2B02">
            <w:pPr>
              <w:rPr>
                <w:rFonts w:ascii="Arial Narrow" w:hAnsi="Arial Narrow" w:cs="Arial"/>
                <w:sz w:val="20"/>
                <w:szCs w:val="20"/>
              </w:rPr>
            </w:pPr>
            <w:r w:rsidRPr="00010779">
              <w:rPr>
                <w:rFonts w:ascii="Arial Narrow" w:hAnsi="Arial Narrow" w:cs="Arial"/>
                <w:sz w:val="20"/>
                <w:szCs w:val="20"/>
              </w:rPr>
              <w:t xml:space="preserve">R/PBS cost offsets </w:t>
            </w:r>
          </w:p>
        </w:tc>
        <w:tc>
          <w:tcPr>
            <w:tcW w:w="644" w:type="pct"/>
            <w:vAlign w:val="center"/>
          </w:tcPr>
          <w:p w:rsidR="00121A29" w:rsidRPr="00C26896" w:rsidRDefault="00C26896" w:rsidP="00FB2B02">
            <w:pPr>
              <w:jc w:val="center"/>
              <w:rPr>
                <w:rFonts w:ascii="Arial Narrow" w:hAnsi="Arial Narrow" w:cs="Arial"/>
                <w:sz w:val="20"/>
                <w:szCs w:val="20"/>
                <w:highlight w:val="black"/>
              </w:rPr>
            </w:pPr>
            <w:r>
              <w:rPr>
                <w:rFonts w:ascii="Arial Narrow" w:hAnsi="Arial Narrow" w:cs="Arial"/>
                <w:noProof/>
                <w:color w:val="000000"/>
                <w:sz w:val="20"/>
                <w:szCs w:val="20"/>
                <w:highlight w:val="black"/>
              </w:rPr>
              <w:t>'''''''''' ''''</w:t>
            </w:r>
          </w:p>
        </w:tc>
        <w:tc>
          <w:tcPr>
            <w:tcW w:w="644" w:type="pct"/>
            <w:vAlign w:val="center"/>
          </w:tcPr>
          <w:p w:rsidR="00121A29" w:rsidRPr="00C26896" w:rsidRDefault="00C26896" w:rsidP="00FB2B02">
            <w:pPr>
              <w:jc w:val="center"/>
              <w:rPr>
                <w:rFonts w:ascii="Arial Narrow" w:hAnsi="Arial Narrow" w:cs="Arial"/>
                <w:sz w:val="20"/>
                <w:szCs w:val="20"/>
                <w:highlight w:val="black"/>
              </w:rPr>
            </w:pPr>
            <w:r>
              <w:rPr>
                <w:rFonts w:ascii="Arial Narrow" w:hAnsi="Arial Narrow" w:cs="Arial"/>
                <w:noProof/>
                <w:color w:val="000000"/>
                <w:sz w:val="20"/>
                <w:szCs w:val="20"/>
                <w:highlight w:val="black"/>
              </w:rPr>
              <w:t>'''''''''' '''''</w:t>
            </w:r>
          </w:p>
        </w:tc>
        <w:tc>
          <w:tcPr>
            <w:tcW w:w="644" w:type="pct"/>
            <w:vAlign w:val="center"/>
          </w:tcPr>
          <w:p w:rsidR="00121A29" w:rsidRPr="00C26896" w:rsidRDefault="00C26896" w:rsidP="00FB2B02">
            <w:pPr>
              <w:jc w:val="center"/>
              <w:rPr>
                <w:rFonts w:ascii="Arial Narrow" w:hAnsi="Arial Narrow" w:cs="Arial"/>
                <w:sz w:val="20"/>
                <w:szCs w:val="20"/>
                <w:highlight w:val="black"/>
              </w:rPr>
            </w:pPr>
            <w:r>
              <w:rPr>
                <w:rFonts w:ascii="Arial Narrow" w:hAnsi="Arial Narrow" w:cs="Arial"/>
                <w:noProof/>
                <w:color w:val="000000"/>
                <w:sz w:val="20"/>
                <w:szCs w:val="20"/>
                <w:highlight w:val="black"/>
              </w:rPr>
              <w:t>''''''''' ''''</w:t>
            </w:r>
          </w:p>
        </w:tc>
        <w:tc>
          <w:tcPr>
            <w:tcW w:w="644" w:type="pct"/>
            <w:vAlign w:val="center"/>
          </w:tcPr>
          <w:p w:rsidR="00121A29" w:rsidRPr="00C26896" w:rsidRDefault="00C26896" w:rsidP="00FB2B02">
            <w:pPr>
              <w:jc w:val="center"/>
              <w:rPr>
                <w:rFonts w:ascii="Arial Narrow" w:hAnsi="Arial Narrow" w:cs="Arial"/>
                <w:sz w:val="20"/>
                <w:szCs w:val="20"/>
                <w:highlight w:val="black"/>
              </w:rPr>
            </w:pPr>
            <w:r>
              <w:rPr>
                <w:rFonts w:ascii="Arial Narrow" w:hAnsi="Arial Narrow" w:cs="Arial"/>
                <w:noProof/>
                <w:color w:val="000000"/>
                <w:sz w:val="20"/>
                <w:szCs w:val="20"/>
                <w:highlight w:val="black"/>
              </w:rPr>
              <w:t>'''''''''' ''''</w:t>
            </w:r>
          </w:p>
        </w:tc>
        <w:tc>
          <w:tcPr>
            <w:tcW w:w="644" w:type="pct"/>
            <w:vAlign w:val="center"/>
          </w:tcPr>
          <w:p w:rsidR="00121A29" w:rsidRPr="00C26896" w:rsidRDefault="00C26896" w:rsidP="00FB2B02">
            <w:pPr>
              <w:jc w:val="center"/>
              <w:rPr>
                <w:rFonts w:ascii="Arial Narrow" w:hAnsi="Arial Narrow" w:cs="Arial"/>
                <w:sz w:val="20"/>
                <w:szCs w:val="20"/>
                <w:highlight w:val="black"/>
              </w:rPr>
            </w:pPr>
            <w:r>
              <w:rPr>
                <w:rFonts w:ascii="Arial Narrow" w:hAnsi="Arial Narrow" w:cs="Arial"/>
                <w:noProof/>
                <w:color w:val="000000"/>
                <w:sz w:val="20"/>
                <w:szCs w:val="20"/>
                <w:highlight w:val="black"/>
              </w:rPr>
              <w:t>'''''''''' '''''</w:t>
            </w:r>
          </w:p>
        </w:tc>
        <w:tc>
          <w:tcPr>
            <w:tcW w:w="648" w:type="pct"/>
            <w:vAlign w:val="center"/>
          </w:tcPr>
          <w:p w:rsidR="00121A29" w:rsidRPr="00C26896" w:rsidRDefault="00C26896" w:rsidP="00FB2B02">
            <w:pPr>
              <w:jc w:val="center"/>
              <w:rPr>
                <w:rFonts w:ascii="Arial Narrow" w:hAnsi="Arial Narrow" w:cs="Arial"/>
                <w:sz w:val="20"/>
                <w:szCs w:val="20"/>
                <w:highlight w:val="black"/>
              </w:rPr>
            </w:pPr>
            <w:r>
              <w:rPr>
                <w:rFonts w:ascii="Arial Narrow" w:hAnsi="Arial Narrow" w:cs="Arial"/>
                <w:noProof/>
                <w:color w:val="000000"/>
                <w:sz w:val="20"/>
                <w:szCs w:val="20"/>
                <w:highlight w:val="black"/>
              </w:rPr>
              <w:t>'''''''''''' '''''</w:t>
            </w:r>
          </w:p>
        </w:tc>
      </w:tr>
      <w:tr w:rsidR="00ED4C18" w:rsidRPr="001E5804" w:rsidTr="00B85146">
        <w:tc>
          <w:tcPr>
            <w:tcW w:w="1132" w:type="pct"/>
            <w:vAlign w:val="center"/>
          </w:tcPr>
          <w:p w:rsidR="00121A29" w:rsidRPr="00C26896" w:rsidRDefault="00121A29" w:rsidP="00FB2B02">
            <w:pPr>
              <w:rPr>
                <w:rFonts w:ascii="Arial Narrow" w:hAnsi="Arial Narrow" w:cs="Arial"/>
                <w:sz w:val="20"/>
                <w:szCs w:val="20"/>
              </w:rPr>
            </w:pPr>
            <w:r w:rsidRPr="00010779">
              <w:rPr>
                <w:rFonts w:ascii="Arial Narrow" w:hAnsi="Arial Narrow" w:cs="Arial"/>
                <w:sz w:val="20"/>
                <w:szCs w:val="20"/>
              </w:rPr>
              <w:t>Net cost of R/PBS</w:t>
            </w:r>
          </w:p>
        </w:tc>
        <w:tc>
          <w:tcPr>
            <w:tcW w:w="644" w:type="pct"/>
            <w:vAlign w:val="center"/>
          </w:tcPr>
          <w:p w:rsidR="00121A29" w:rsidRPr="00C26896" w:rsidRDefault="00C26896" w:rsidP="00FB2B02">
            <w:pPr>
              <w:jc w:val="center"/>
              <w:rPr>
                <w:rFonts w:ascii="Arial Narrow" w:hAnsi="Arial Narrow" w:cs="Arial"/>
                <w:sz w:val="20"/>
                <w:szCs w:val="20"/>
                <w:highlight w:val="black"/>
              </w:rPr>
            </w:pPr>
            <w:r>
              <w:rPr>
                <w:rFonts w:ascii="Arial Narrow" w:hAnsi="Arial Narrow" w:cs="Arial"/>
                <w:noProof/>
                <w:color w:val="000000"/>
                <w:sz w:val="20"/>
                <w:szCs w:val="20"/>
                <w:highlight w:val="black"/>
              </w:rPr>
              <w:t>''''''''''''' ''''</w:t>
            </w:r>
          </w:p>
        </w:tc>
        <w:tc>
          <w:tcPr>
            <w:tcW w:w="644" w:type="pct"/>
            <w:vAlign w:val="center"/>
          </w:tcPr>
          <w:p w:rsidR="00121A29" w:rsidRPr="00C26896" w:rsidRDefault="00C26896" w:rsidP="00FB2B02">
            <w:pPr>
              <w:jc w:val="center"/>
              <w:rPr>
                <w:rFonts w:ascii="Arial Narrow" w:hAnsi="Arial Narrow" w:cs="Arial"/>
                <w:sz w:val="20"/>
                <w:szCs w:val="20"/>
                <w:highlight w:val="black"/>
              </w:rPr>
            </w:pPr>
            <w:r>
              <w:rPr>
                <w:rFonts w:ascii="Arial Narrow" w:hAnsi="Arial Narrow" w:cs="Arial"/>
                <w:noProof/>
                <w:color w:val="000000"/>
                <w:sz w:val="20"/>
                <w:szCs w:val="20"/>
                <w:highlight w:val="black"/>
              </w:rPr>
              <w:t>'''''''''''' '''''</w:t>
            </w:r>
          </w:p>
        </w:tc>
        <w:tc>
          <w:tcPr>
            <w:tcW w:w="644" w:type="pct"/>
            <w:vAlign w:val="center"/>
          </w:tcPr>
          <w:p w:rsidR="00121A29" w:rsidRPr="00C26896" w:rsidRDefault="00C26896" w:rsidP="00FB2B02">
            <w:pPr>
              <w:jc w:val="center"/>
              <w:rPr>
                <w:rFonts w:ascii="Arial Narrow" w:hAnsi="Arial Narrow" w:cs="Arial"/>
                <w:sz w:val="20"/>
                <w:szCs w:val="20"/>
                <w:highlight w:val="black"/>
              </w:rPr>
            </w:pPr>
            <w:r>
              <w:rPr>
                <w:rFonts w:ascii="Arial Narrow" w:hAnsi="Arial Narrow" w:cs="Arial"/>
                <w:noProof/>
                <w:color w:val="000000"/>
                <w:sz w:val="20"/>
                <w:szCs w:val="20"/>
                <w:highlight w:val="black"/>
              </w:rPr>
              <w:t>'''''''''' ''''</w:t>
            </w:r>
          </w:p>
        </w:tc>
        <w:tc>
          <w:tcPr>
            <w:tcW w:w="644" w:type="pct"/>
            <w:vAlign w:val="center"/>
          </w:tcPr>
          <w:p w:rsidR="00121A29" w:rsidRPr="00C26896" w:rsidRDefault="00C26896" w:rsidP="00FB2B02">
            <w:pPr>
              <w:jc w:val="center"/>
              <w:rPr>
                <w:rFonts w:ascii="Arial Narrow" w:hAnsi="Arial Narrow" w:cs="Arial"/>
                <w:sz w:val="20"/>
                <w:szCs w:val="20"/>
                <w:highlight w:val="black"/>
              </w:rPr>
            </w:pPr>
            <w:r>
              <w:rPr>
                <w:rFonts w:ascii="Arial Narrow" w:hAnsi="Arial Narrow" w:cs="Arial"/>
                <w:noProof/>
                <w:color w:val="000000"/>
                <w:sz w:val="20"/>
                <w:szCs w:val="20"/>
                <w:highlight w:val="black"/>
              </w:rPr>
              <w:t>''''''''''' '''''</w:t>
            </w:r>
          </w:p>
        </w:tc>
        <w:tc>
          <w:tcPr>
            <w:tcW w:w="644" w:type="pct"/>
            <w:vAlign w:val="center"/>
          </w:tcPr>
          <w:p w:rsidR="00121A29" w:rsidRPr="00C26896" w:rsidRDefault="00C26896" w:rsidP="00FB2B02">
            <w:pPr>
              <w:jc w:val="center"/>
              <w:rPr>
                <w:rFonts w:ascii="Arial Narrow" w:hAnsi="Arial Narrow" w:cs="Arial"/>
                <w:sz w:val="20"/>
                <w:szCs w:val="20"/>
                <w:highlight w:val="black"/>
              </w:rPr>
            </w:pPr>
            <w:r>
              <w:rPr>
                <w:rFonts w:ascii="Arial Narrow" w:hAnsi="Arial Narrow" w:cs="Arial"/>
                <w:noProof/>
                <w:color w:val="000000"/>
                <w:sz w:val="20"/>
                <w:szCs w:val="20"/>
                <w:highlight w:val="black"/>
              </w:rPr>
              <w:t>'''''''''''' ''''</w:t>
            </w:r>
          </w:p>
        </w:tc>
        <w:tc>
          <w:tcPr>
            <w:tcW w:w="648" w:type="pct"/>
            <w:vAlign w:val="center"/>
          </w:tcPr>
          <w:p w:rsidR="00121A29" w:rsidRPr="00C26896" w:rsidRDefault="00C26896" w:rsidP="00FB2B02">
            <w:pPr>
              <w:jc w:val="center"/>
              <w:rPr>
                <w:rFonts w:ascii="Arial Narrow" w:hAnsi="Arial Narrow" w:cs="Arial"/>
                <w:sz w:val="20"/>
                <w:szCs w:val="20"/>
                <w:highlight w:val="black"/>
              </w:rPr>
            </w:pPr>
            <w:r>
              <w:rPr>
                <w:rFonts w:ascii="Arial Narrow" w:hAnsi="Arial Narrow" w:cs="Arial"/>
                <w:noProof/>
                <w:color w:val="000000"/>
                <w:sz w:val="20"/>
                <w:szCs w:val="20"/>
                <w:highlight w:val="black"/>
              </w:rPr>
              <w:t>'''''''''''''' '''''</w:t>
            </w:r>
          </w:p>
        </w:tc>
      </w:tr>
      <w:tr w:rsidR="00ED4C18" w:rsidRPr="001E5804" w:rsidTr="00B85146">
        <w:trPr>
          <w:trHeight w:val="393"/>
        </w:trPr>
        <w:tc>
          <w:tcPr>
            <w:tcW w:w="5000" w:type="pct"/>
            <w:gridSpan w:val="7"/>
          </w:tcPr>
          <w:p w:rsidR="00121A29" w:rsidRPr="00010779" w:rsidRDefault="00121A29" w:rsidP="00FB2B02">
            <w:pPr>
              <w:rPr>
                <w:rFonts w:ascii="Arial Narrow" w:hAnsi="Arial Narrow" w:cs="Arial"/>
                <w:b/>
                <w:sz w:val="20"/>
                <w:szCs w:val="20"/>
              </w:rPr>
            </w:pPr>
          </w:p>
          <w:p w:rsidR="00121A29" w:rsidRPr="00C26896" w:rsidRDefault="00121A29" w:rsidP="00FB2B02">
            <w:pPr>
              <w:rPr>
                <w:rFonts w:ascii="Arial Narrow" w:hAnsi="Arial Narrow" w:cs="Arial"/>
                <w:sz w:val="20"/>
                <w:szCs w:val="20"/>
              </w:rPr>
            </w:pPr>
            <w:r w:rsidRPr="00010779">
              <w:rPr>
                <w:rFonts w:ascii="Arial Narrow" w:hAnsi="Arial Narrow" w:cs="Arial"/>
                <w:b/>
                <w:sz w:val="20"/>
                <w:szCs w:val="20"/>
              </w:rPr>
              <w:t>SA 1 – all patients treated with interferon free regimens</w:t>
            </w:r>
          </w:p>
        </w:tc>
      </w:tr>
      <w:tr w:rsidR="00ED4C18" w:rsidRPr="001E5804" w:rsidTr="00B85146">
        <w:tc>
          <w:tcPr>
            <w:tcW w:w="1132" w:type="pct"/>
            <w:vAlign w:val="center"/>
          </w:tcPr>
          <w:p w:rsidR="00121A29" w:rsidRPr="00C26896" w:rsidRDefault="00FD647E" w:rsidP="00FB2B02">
            <w:pPr>
              <w:rPr>
                <w:rFonts w:ascii="Arial Narrow" w:hAnsi="Arial Narrow" w:cs="Arial"/>
                <w:sz w:val="20"/>
                <w:szCs w:val="20"/>
              </w:rPr>
            </w:pPr>
            <w:r w:rsidRPr="00010779">
              <w:rPr>
                <w:rFonts w:ascii="Arial Narrow" w:hAnsi="Arial Narrow" w:cs="Arial"/>
                <w:sz w:val="20"/>
                <w:szCs w:val="20"/>
              </w:rPr>
              <w:t xml:space="preserve">Patients treated with any HCV drug (if </w:t>
            </w:r>
            <w:proofErr w:type="spellStart"/>
            <w:r w:rsidRPr="00010779">
              <w:rPr>
                <w:rFonts w:ascii="Arial Narrow" w:hAnsi="Arial Narrow" w:cs="Arial"/>
                <w:sz w:val="20"/>
                <w:szCs w:val="20"/>
              </w:rPr>
              <w:t>sofusbuvir</w:t>
            </w:r>
            <w:proofErr w:type="spellEnd"/>
            <w:r w:rsidRPr="00010779">
              <w:rPr>
                <w:rFonts w:ascii="Arial Narrow" w:hAnsi="Arial Narrow" w:cs="Arial"/>
                <w:sz w:val="20"/>
                <w:szCs w:val="20"/>
              </w:rPr>
              <w:t xml:space="preserve"> listed)</w:t>
            </w:r>
          </w:p>
        </w:tc>
        <w:tc>
          <w:tcPr>
            <w:tcW w:w="644" w:type="pct"/>
            <w:vAlign w:val="center"/>
          </w:tcPr>
          <w:p w:rsidR="00121A29" w:rsidRPr="00C26896" w:rsidRDefault="00C26896" w:rsidP="00FB2B02">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44" w:type="pct"/>
            <w:vAlign w:val="center"/>
          </w:tcPr>
          <w:p w:rsidR="00121A29" w:rsidRPr="00C26896" w:rsidRDefault="00C26896" w:rsidP="00FB2B02">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44" w:type="pct"/>
            <w:vAlign w:val="center"/>
          </w:tcPr>
          <w:p w:rsidR="00121A29" w:rsidRPr="00C26896" w:rsidRDefault="00C26896" w:rsidP="00FB2B02">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44" w:type="pct"/>
            <w:vAlign w:val="center"/>
          </w:tcPr>
          <w:p w:rsidR="00121A29" w:rsidRPr="00C26896" w:rsidRDefault="00C26896" w:rsidP="00FB2B02">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44" w:type="pct"/>
            <w:vAlign w:val="center"/>
          </w:tcPr>
          <w:p w:rsidR="00121A29" w:rsidRPr="00C26896" w:rsidRDefault="00C26896" w:rsidP="00FB2B02">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48" w:type="pct"/>
            <w:vAlign w:val="center"/>
          </w:tcPr>
          <w:p w:rsidR="00121A29" w:rsidRPr="00C26896" w:rsidRDefault="00C26896" w:rsidP="00FB2B02">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ED4C18" w:rsidRPr="001E5804" w:rsidTr="00B85146">
        <w:tc>
          <w:tcPr>
            <w:tcW w:w="1132" w:type="pct"/>
            <w:vAlign w:val="center"/>
          </w:tcPr>
          <w:p w:rsidR="00121A29" w:rsidRPr="00C26896" w:rsidRDefault="00121A29" w:rsidP="00FB2B02">
            <w:pPr>
              <w:rPr>
                <w:rFonts w:ascii="Arial Narrow" w:hAnsi="Arial Narrow" w:cs="Arial"/>
                <w:sz w:val="20"/>
                <w:szCs w:val="20"/>
              </w:rPr>
            </w:pPr>
            <w:r w:rsidRPr="00010779">
              <w:rPr>
                <w:rFonts w:ascii="Arial Narrow" w:hAnsi="Arial Narrow" w:cs="Arial"/>
                <w:sz w:val="20"/>
                <w:szCs w:val="20"/>
              </w:rPr>
              <w:t xml:space="preserve">Drug </w:t>
            </w:r>
            <w:r w:rsidR="00563202" w:rsidRPr="00010779">
              <w:rPr>
                <w:rFonts w:ascii="Arial Narrow" w:hAnsi="Arial Narrow" w:cs="Arial"/>
                <w:sz w:val="20"/>
                <w:szCs w:val="20"/>
              </w:rPr>
              <w:t xml:space="preserve">regimen </w:t>
            </w:r>
            <w:r w:rsidRPr="00010779">
              <w:rPr>
                <w:rFonts w:ascii="Arial Narrow" w:hAnsi="Arial Narrow" w:cs="Arial"/>
                <w:sz w:val="20"/>
                <w:szCs w:val="20"/>
              </w:rPr>
              <w:t>cost</w:t>
            </w:r>
          </w:p>
        </w:tc>
        <w:tc>
          <w:tcPr>
            <w:tcW w:w="644" w:type="pct"/>
            <w:vAlign w:val="center"/>
          </w:tcPr>
          <w:p w:rsidR="00121A29" w:rsidRPr="00C26896" w:rsidRDefault="00C26896" w:rsidP="00FB2B02">
            <w:pPr>
              <w:jc w:val="center"/>
              <w:rPr>
                <w:rFonts w:ascii="Arial Narrow" w:hAnsi="Arial Narrow" w:cs="Arial"/>
                <w:sz w:val="20"/>
                <w:szCs w:val="20"/>
                <w:highlight w:val="black"/>
              </w:rPr>
            </w:pPr>
            <w:r>
              <w:rPr>
                <w:rFonts w:ascii="Arial Narrow" w:hAnsi="Arial Narrow" w:cs="Arial"/>
                <w:noProof/>
                <w:color w:val="000000"/>
                <w:sz w:val="20"/>
                <w:szCs w:val="20"/>
                <w:highlight w:val="black"/>
              </w:rPr>
              <w:t>'''''''''''' '''''</w:t>
            </w:r>
          </w:p>
        </w:tc>
        <w:tc>
          <w:tcPr>
            <w:tcW w:w="644" w:type="pct"/>
            <w:vAlign w:val="center"/>
          </w:tcPr>
          <w:p w:rsidR="00121A29" w:rsidRPr="00C26896" w:rsidRDefault="00C26896" w:rsidP="00FB2B02">
            <w:pPr>
              <w:jc w:val="center"/>
              <w:rPr>
                <w:rFonts w:ascii="Arial Narrow" w:hAnsi="Arial Narrow" w:cs="Arial"/>
                <w:sz w:val="20"/>
                <w:szCs w:val="20"/>
                <w:highlight w:val="black"/>
              </w:rPr>
            </w:pPr>
            <w:r>
              <w:rPr>
                <w:rFonts w:ascii="Arial Narrow" w:hAnsi="Arial Narrow" w:cs="Arial"/>
                <w:noProof/>
                <w:color w:val="000000"/>
                <w:sz w:val="20"/>
                <w:szCs w:val="20"/>
                <w:highlight w:val="black"/>
              </w:rPr>
              <w:t>'''''''''''' ''''</w:t>
            </w:r>
          </w:p>
        </w:tc>
        <w:tc>
          <w:tcPr>
            <w:tcW w:w="644" w:type="pct"/>
            <w:vAlign w:val="center"/>
          </w:tcPr>
          <w:p w:rsidR="00121A29" w:rsidRPr="00C26896" w:rsidRDefault="00C26896" w:rsidP="00FB2B02">
            <w:pPr>
              <w:jc w:val="center"/>
              <w:rPr>
                <w:rFonts w:ascii="Arial Narrow" w:hAnsi="Arial Narrow" w:cs="Arial"/>
                <w:sz w:val="20"/>
                <w:szCs w:val="20"/>
                <w:highlight w:val="black"/>
              </w:rPr>
            </w:pPr>
            <w:r>
              <w:rPr>
                <w:rFonts w:ascii="Arial Narrow" w:hAnsi="Arial Narrow" w:cs="Arial"/>
                <w:noProof/>
                <w:color w:val="000000"/>
                <w:sz w:val="20"/>
                <w:szCs w:val="20"/>
                <w:highlight w:val="black"/>
              </w:rPr>
              <w:t>''''''''''' ''''</w:t>
            </w:r>
          </w:p>
        </w:tc>
        <w:tc>
          <w:tcPr>
            <w:tcW w:w="644" w:type="pct"/>
            <w:vAlign w:val="center"/>
          </w:tcPr>
          <w:p w:rsidR="00121A29" w:rsidRPr="00C26896" w:rsidRDefault="00C26896" w:rsidP="00FB2B02">
            <w:pPr>
              <w:jc w:val="center"/>
              <w:rPr>
                <w:rFonts w:ascii="Arial Narrow" w:hAnsi="Arial Narrow" w:cs="Arial"/>
                <w:sz w:val="20"/>
                <w:szCs w:val="20"/>
                <w:highlight w:val="black"/>
              </w:rPr>
            </w:pPr>
            <w:r>
              <w:rPr>
                <w:rFonts w:ascii="Arial Narrow" w:hAnsi="Arial Narrow" w:cs="Arial"/>
                <w:noProof/>
                <w:color w:val="000000"/>
                <w:sz w:val="20"/>
                <w:szCs w:val="20"/>
                <w:highlight w:val="black"/>
              </w:rPr>
              <w:t>''''''''''' '''''</w:t>
            </w:r>
          </w:p>
        </w:tc>
        <w:tc>
          <w:tcPr>
            <w:tcW w:w="644" w:type="pct"/>
            <w:vAlign w:val="center"/>
          </w:tcPr>
          <w:p w:rsidR="00121A29" w:rsidRPr="00C26896" w:rsidRDefault="00C26896" w:rsidP="00FB2B02">
            <w:pPr>
              <w:jc w:val="center"/>
              <w:rPr>
                <w:rFonts w:ascii="Arial Narrow" w:hAnsi="Arial Narrow" w:cs="Arial"/>
                <w:sz w:val="20"/>
                <w:szCs w:val="20"/>
                <w:highlight w:val="black"/>
              </w:rPr>
            </w:pPr>
            <w:r>
              <w:rPr>
                <w:rFonts w:ascii="Arial Narrow" w:hAnsi="Arial Narrow" w:cs="Arial"/>
                <w:noProof/>
                <w:color w:val="000000"/>
                <w:sz w:val="20"/>
                <w:szCs w:val="20"/>
                <w:highlight w:val="black"/>
              </w:rPr>
              <w:t>''''''''''''' '''''</w:t>
            </w:r>
          </w:p>
        </w:tc>
        <w:tc>
          <w:tcPr>
            <w:tcW w:w="648" w:type="pct"/>
            <w:vAlign w:val="center"/>
          </w:tcPr>
          <w:p w:rsidR="00121A29" w:rsidRPr="00C26896" w:rsidRDefault="00C26896" w:rsidP="00FB2B02">
            <w:pPr>
              <w:jc w:val="center"/>
              <w:rPr>
                <w:rFonts w:ascii="Arial Narrow" w:hAnsi="Arial Narrow" w:cs="Arial"/>
                <w:sz w:val="20"/>
                <w:szCs w:val="20"/>
                <w:highlight w:val="black"/>
              </w:rPr>
            </w:pPr>
            <w:r>
              <w:rPr>
                <w:rFonts w:ascii="Arial Narrow" w:hAnsi="Arial Narrow" w:cs="Arial"/>
                <w:noProof/>
                <w:color w:val="000000"/>
                <w:sz w:val="20"/>
                <w:szCs w:val="20"/>
                <w:highlight w:val="black"/>
              </w:rPr>
              <w:t>'''''''''''''''' ''''</w:t>
            </w:r>
          </w:p>
        </w:tc>
      </w:tr>
      <w:tr w:rsidR="00ED4C18" w:rsidRPr="001E5804" w:rsidTr="00B85146">
        <w:tc>
          <w:tcPr>
            <w:tcW w:w="1132" w:type="pct"/>
            <w:vAlign w:val="center"/>
          </w:tcPr>
          <w:p w:rsidR="00121A29" w:rsidRPr="00C26896" w:rsidRDefault="00121A29" w:rsidP="00FB2B02">
            <w:pPr>
              <w:rPr>
                <w:rFonts w:ascii="Arial Narrow" w:hAnsi="Arial Narrow" w:cs="Arial"/>
                <w:sz w:val="20"/>
                <w:szCs w:val="20"/>
              </w:rPr>
            </w:pPr>
            <w:r w:rsidRPr="00010779">
              <w:rPr>
                <w:rFonts w:ascii="Arial Narrow" w:hAnsi="Arial Narrow" w:cs="Arial"/>
                <w:sz w:val="20"/>
                <w:szCs w:val="20"/>
              </w:rPr>
              <w:t>Offsets</w:t>
            </w:r>
          </w:p>
        </w:tc>
        <w:tc>
          <w:tcPr>
            <w:tcW w:w="644" w:type="pct"/>
            <w:vAlign w:val="center"/>
          </w:tcPr>
          <w:p w:rsidR="00121A29" w:rsidRPr="00C26896" w:rsidRDefault="00C26896" w:rsidP="00FB2B02">
            <w:pPr>
              <w:jc w:val="center"/>
              <w:rPr>
                <w:rFonts w:ascii="Arial Narrow" w:hAnsi="Arial Narrow" w:cs="Arial"/>
                <w:sz w:val="20"/>
                <w:szCs w:val="20"/>
                <w:highlight w:val="black"/>
              </w:rPr>
            </w:pPr>
            <w:r>
              <w:rPr>
                <w:rFonts w:ascii="Arial Narrow" w:hAnsi="Arial Narrow" w:cs="Arial"/>
                <w:noProof/>
                <w:color w:val="000000"/>
                <w:sz w:val="20"/>
                <w:szCs w:val="20"/>
                <w:highlight w:val="black"/>
              </w:rPr>
              <w:t>'''''''''' '''''</w:t>
            </w:r>
          </w:p>
        </w:tc>
        <w:tc>
          <w:tcPr>
            <w:tcW w:w="644" w:type="pct"/>
            <w:vAlign w:val="center"/>
          </w:tcPr>
          <w:p w:rsidR="00121A29" w:rsidRPr="00C26896" w:rsidRDefault="00C26896" w:rsidP="00FB2B02">
            <w:pPr>
              <w:jc w:val="center"/>
              <w:rPr>
                <w:rFonts w:ascii="Arial Narrow" w:hAnsi="Arial Narrow" w:cs="Arial"/>
                <w:sz w:val="20"/>
                <w:szCs w:val="20"/>
                <w:highlight w:val="black"/>
              </w:rPr>
            </w:pPr>
            <w:r>
              <w:rPr>
                <w:rFonts w:ascii="Arial Narrow" w:hAnsi="Arial Narrow" w:cs="Arial"/>
                <w:noProof/>
                <w:color w:val="000000"/>
                <w:sz w:val="20"/>
                <w:szCs w:val="20"/>
                <w:highlight w:val="black"/>
              </w:rPr>
              <w:t>''''''''' '''''</w:t>
            </w:r>
          </w:p>
        </w:tc>
        <w:tc>
          <w:tcPr>
            <w:tcW w:w="644" w:type="pct"/>
            <w:vAlign w:val="center"/>
          </w:tcPr>
          <w:p w:rsidR="00121A29" w:rsidRPr="00C26896" w:rsidRDefault="00C26896" w:rsidP="00FB2B02">
            <w:pPr>
              <w:jc w:val="center"/>
              <w:rPr>
                <w:rFonts w:ascii="Arial Narrow" w:hAnsi="Arial Narrow" w:cs="Arial"/>
                <w:sz w:val="20"/>
                <w:szCs w:val="20"/>
                <w:highlight w:val="black"/>
              </w:rPr>
            </w:pPr>
            <w:r>
              <w:rPr>
                <w:rFonts w:ascii="Arial Narrow" w:hAnsi="Arial Narrow" w:cs="Arial"/>
                <w:noProof/>
                <w:color w:val="000000"/>
                <w:sz w:val="20"/>
                <w:szCs w:val="20"/>
                <w:highlight w:val="black"/>
              </w:rPr>
              <w:t>'''''''''' '''''</w:t>
            </w:r>
          </w:p>
        </w:tc>
        <w:tc>
          <w:tcPr>
            <w:tcW w:w="644" w:type="pct"/>
            <w:vAlign w:val="center"/>
          </w:tcPr>
          <w:p w:rsidR="00121A29" w:rsidRPr="00C26896" w:rsidRDefault="00C26896" w:rsidP="00FB2B02">
            <w:pPr>
              <w:jc w:val="center"/>
              <w:rPr>
                <w:rFonts w:ascii="Arial Narrow" w:hAnsi="Arial Narrow" w:cs="Arial"/>
                <w:sz w:val="20"/>
                <w:szCs w:val="20"/>
                <w:highlight w:val="black"/>
              </w:rPr>
            </w:pPr>
            <w:r>
              <w:rPr>
                <w:rFonts w:ascii="Arial Narrow" w:hAnsi="Arial Narrow" w:cs="Arial"/>
                <w:noProof/>
                <w:color w:val="000000"/>
                <w:sz w:val="20"/>
                <w:szCs w:val="20"/>
                <w:highlight w:val="black"/>
              </w:rPr>
              <w:t>''''''''' '''''</w:t>
            </w:r>
          </w:p>
        </w:tc>
        <w:tc>
          <w:tcPr>
            <w:tcW w:w="644" w:type="pct"/>
            <w:vAlign w:val="center"/>
          </w:tcPr>
          <w:p w:rsidR="00121A29" w:rsidRPr="00C26896" w:rsidRDefault="00C26896" w:rsidP="00FB2B02">
            <w:pPr>
              <w:jc w:val="center"/>
              <w:rPr>
                <w:rFonts w:ascii="Arial Narrow" w:hAnsi="Arial Narrow" w:cs="Arial"/>
                <w:sz w:val="20"/>
                <w:szCs w:val="20"/>
                <w:highlight w:val="black"/>
              </w:rPr>
            </w:pPr>
            <w:r>
              <w:rPr>
                <w:rFonts w:ascii="Arial Narrow" w:hAnsi="Arial Narrow" w:cs="Arial"/>
                <w:noProof/>
                <w:color w:val="000000"/>
                <w:sz w:val="20"/>
                <w:szCs w:val="20"/>
                <w:highlight w:val="black"/>
              </w:rPr>
              <w:t>'''''''''' '''''</w:t>
            </w:r>
          </w:p>
        </w:tc>
        <w:tc>
          <w:tcPr>
            <w:tcW w:w="648" w:type="pct"/>
            <w:vAlign w:val="center"/>
          </w:tcPr>
          <w:p w:rsidR="00121A29" w:rsidRPr="00C26896" w:rsidRDefault="00C26896" w:rsidP="00FB2B02">
            <w:pPr>
              <w:jc w:val="center"/>
              <w:rPr>
                <w:rFonts w:ascii="Arial Narrow" w:hAnsi="Arial Narrow" w:cs="Arial"/>
                <w:sz w:val="20"/>
                <w:szCs w:val="20"/>
                <w:highlight w:val="black"/>
              </w:rPr>
            </w:pPr>
            <w:r>
              <w:rPr>
                <w:rFonts w:ascii="Arial Narrow" w:hAnsi="Arial Narrow" w:cs="Arial"/>
                <w:noProof/>
                <w:color w:val="000000"/>
                <w:sz w:val="20"/>
                <w:szCs w:val="20"/>
                <w:highlight w:val="black"/>
              </w:rPr>
              <w:t>''''''''''' ''''</w:t>
            </w:r>
          </w:p>
        </w:tc>
      </w:tr>
      <w:tr w:rsidR="00ED4C18" w:rsidRPr="001E5804" w:rsidTr="00B85146">
        <w:tc>
          <w:tcPr>
            <w:tcW w:w="1132" w:type="pct"/>
            <w:vAlign w:val="center"/>
          </w:tcPr>
          <w:p w:rsidR="00121A29" w:rsidRPr="00C26896" w:rsidRDefault="00121A29" w:rsidP="00FB2B02">
            <w:pPr>
              <w:rPr>
                <w:rFonts w:ascii="Arial Narrow" w:hAnsi="Arial Narrow" w:cs="Arial"/>
                <w:sz w:val="20"/>
                <w:szCs w:val="20"/>
              </w:rPr>
            </w:pPr>
            <w:r w:rsidRPr="00010779">
              <w:rPr>
                <w:rFonts w:ascii="Arial Narrow" w:hAnsi="Arial Narrow" w:cs="Arial"/>
                <w:sz w:val="20"/>
                <w:szCs w:val="20"/>
              </w:rPr>
              <w:t>Net cost</w:t>
            </w:r>
          </w:p>
        </w:tc>
        <w:tc>
          <w:tcPr>
            <w:tcW w:w="644" w:type="pct"/>
            <w:vAlign w:val="center"/>
          </w:tcPr>
          <w:p w:rsidR="00121A29" w:rsidRPr="00C26896" w:rsidRDefault="00C26896" w:rsidP="00FB2B02">
            <w:pPr>
              <w:jc w:val="center"/>
              <w:rPr>
                <w:rFonts w:ascii="Arial Narrow" w:hAnsi="Arial Narrow" w:cs="Arial"/>
                <w:sz w:val="20"/>
                <w:szCs w:val="20"/>
                <w:highlight w:val="black"/>
              </w:rPr>
            </w:pPr>
            <w:r>
              <w:rPr>
                <w:rFonts w:ascii="Arial Narrow" w:hAnsi="Arial Narrow" w:cs="Arial"/>
                <w:noProof/>
                <w:color w:val="000000"/>
                <w:sz w:val="20"/>
                <w:szCs w:val="20"/>
                <w:highlight w:val="black"/>
              </w:rPr>
              <w:t>''''''''''' ''''</w:t>
            </w:r>
          </w:p>
        </w:tc>
        <w:tc>
          <w:tcPr>
            <w:tcW w:w="644" w:type="pct"/>
            <w:vAlign w:val="center"/>
          </w:tcPr>
          <w:p w:rsidR="00121A29" w:rsidRPr="00C26896" w:rsidRDefault="00C26896" w:rsidP="00FB2B02">
            <w:pPr>
              <w:jc w:val="center"/>
              <w:rPr>
                <w:rFonts w:ascii="Arial Narrow" w:hAnsi="Arial Narrow" w:cs="Arial"/>
                <w:sz w:val="20"/>
                <w:szCs w:val="20"/>
                <w:highlight w:val="black"/>
              </w:rPr>
            </w:pPr>
            <w:r>
              <w:rPr>
                <w:rFonts w:ascii="Arial Narrow" w:hAnsi="Arial Narrow" w:cs="Arial"/>
                <w:noProof/>
                <w:color w:val="000000"/>
                <w:sz w:val="20"/>
                <w:szCs w:val="20"/>
                <w:highlight w:val="black"/>
              </w:rPr>
              <w:t>'''''''''''' ''''</w:t>
            </w:r>
          </w:p>
        </w:tc>
        <w:tc>
          <w:tcPr>
            <w:tcW w:w="644" w:type="pct"/>
            <w:vAlign w:val="center"/>
          </w:tcPr>
          <w:p w:rsidR="00121A29" w:rsidRPr="00C26896" w:rsidRDefault="00C26896" w:rsidP="00FB2B02">
            <w:pPr>
              <w:jc w:val="center"/>
              <w:rPr>
                <w:rFonts w:ascii="Arial Narrow" w:hAnsi="Arial Narrow" w:cs="Arial"/>
                <w:sz w:val="20"/>
                <w:szCs w:val="20"/>
                <w:highlight w:val="black"/>
              </w:rPr>
            </w:pPr>
            <w:r>
              <w:rPr>
                <w:rFonts w:ascii="Arial Narrow" w:hAnsi="Arial Narrow" w:cs="Arial"/>
                <w:noProof/>
                <w:color w:val="000000"/>
                <w:sz w:val="20"/>
                <w:szCs w:val="20"/>
                <w:highlight w:val="black"/>
              </w:rPr>
              <w:t>'''''''''''' '''''</w:t>
            </w:r>
          </w:p>
        </w:tc>
        <w:tc>
          <w:tcPr>
            <w:tcW w:w="644" w:type="pct"/>
            <w:vAlign w:val="center"/>
          </w:tcPr>
          <w:p w:rsidR="00121A29" w:rsidRPr="00C26896" w:rsidRDefault="00C26896" w:rsidP="00FB2B02">
            <w:pPr>
              <w:jc w:val="center"/>
              <w:rPr>
                <w:rFonts w:ascii="Arial Narrow" w:hAnsi="Arial Narrow" w:cs="Arial"/>
                <w:sz w:val="20"/>
                <w:szCs w:val="20"/>
                <w:highlight w:val="black"/>
              </w:rPr>
            </w:pPr>
            <w:r>
              <w:rPr>
                <w:rFonts w:ascii="Arial Narrow" w:hAnsi="Arial Narrow" w:cs="Arial"/>
                <w:noProof/>
                <w:color w:val="000000"/>
                <w:sz w:val="20"/>
                <w:szCs w:val="20"/>
                <w:highlight w:val="black"/>
              </w:rPr>
              <w:t>''''''''''' '''''</w:t>
            </w:r>
          </w:p>
        </w:tc>
        <w:tc>
          <w:tcPr>
            <w:tcW w:w="644" w:type="pct"/>
            <w:vAlign w:val="center"/>
          </w:tcPr>
          <w:p w:rsidR="00121A29" w:rsidRPr="00C26896" w:rsidRDefault="00C26896" w:rsidP="00FB2B02">
            <w:pPr>
              <w:jc w:val="center"/>
              <w:rPr>
                <w:rFonts w:ascii="Arial Narrow" w:hAnsi="Arial Narrow" w:cs="Arial"/>
                <w:sz w:val="20"/>
                <w:szCs w:val="20"/>
                <w:highlight w:val="black"/>
              </w:rPr>
            </w:pPr>
            <w:r>
              <w:rPr>
                <w:rFonts w:ascii="Arial Narrow" w:hAnsi="Arial Narrow" w:cs="Arial"/>
                <w:noProof/>
                <w:color w:val="000000"/>
                <w:sz w:val="20"/>
                <w:szCs w:val="20"/>
                <w:highlight w:val="black"/>
              </w:rPr>
              <w:t>''''''''''''' '''''</w:t>
            </w:r>
          </w:p>
        </w:tc>
        <w:tc>
          <w:tcPr>
            <w:tcW w:w="648" w:type="pct"/>
            <w:vAlign w:val="center"/>
          </w:tcPr>
          <w:p w:rsidR="00121A29" w:rsidRPr="00C26896" w:rsidRDefault="00C26896" w:rsidP="00FB2B02">
            <w:pPr>
              <w:jc w:val="center"/>
              <w:rPr>
                <w:rFonts w:ascii="Arial Narrow" w:hAnsi="Arial Narrow" w:cs="Arial"/>
                <w:sz w:val="20"/>
                <w:szCs w:val="20"/>
                <w:highlight w:val="black"/>
              </w:rPr>
            </w:pPr>
            <w:r>
              <w:rPr>
                <w:rFonts w:ascii="Arial Narrow" w:hAnsi="Arial Narrow" w:cs="Arial"/>
                <w:noProof/>
                <w:color w:val="000000"/>
                <w:sz w:val="20"/>
                <w:szCs w:val="20"/>
                <w:highlight w:val="black"/>
              </w:rPr>
              <w:t>'''''''''''''''' ''''</w:t>
            </w:r>
          </w:p>
        </w:tc>
      </w:tr>
      <w:tr w:rsidR="00ED4C18" w:rsidRPr="001E5804" w:rsidTr="00B85146">
        <w:trPr>
          <w:trHeight w:val="393"/>
        </w:trPr>
        <w:tc>
          <w:tcPr>
            <w:tcW w:w="5000" w:type="pct"/>
            <w:gridSpan w:val="7"/>
          </w:tcPr>
          <w:p w:rsidR="00121A29" w:rsidRPr="00010779" w:rsidRDefault="00121A29" w:rsidP="00FB2B02">
            <w:pPr>
              <w:rPr>
                <w:rFonts w:ascii="Arial Narrow" w:hAnsi="Arial Narrow" w:cs="Arial"/>
                <w:b/>
                <w:sz w:val="20"/>
                <w:szCs w:val="20"/>
              </w:rPr>
            </w:pPr>
          </w:p>
          <w:p w:rsidR="00121A29" w:rsidRPr="00C26896" w:rsidRDefault="00121A29" w:rsidP="00FB2B02">
            <w:pPr>
              <w:rPr>
                <w:rFonts w:ascii="Arial Narrow" w:hAnsi="Arial Narrow" w:cs="Arial"/>
                <w:sz w:val="20"/>
                <w:szCs w:val="20"/>
              </w:rPr>
            </w:pPr>
            <w:r w:rsidRPr="00010779">
              <w:rPr>
                <w:rFonts w:ascii="Arial Narrow" w:hAnsi="Arial Narrow" w:cs="Arial"/>
                <w:b/>
                <w:sz w:val="20"/>
                <w:szCs w:val="20"/>
              </w:rPr>
              <w:t xml:space="preserve">SA 2 – </w:t>
            </w:r>
            <w:proofErr w:type="spellStart"/>
            <w:r w:rsidRPr="00010779">
              <w:rPr>
                <w:rFonts w:ascii="Arial Narrow" w:hAnsi="Arial Narrow" w:cs="Arial"/>
                <w:b/>
                <w:sz w:val="20"/>
                <w:szCs w:val="20"/>
              </w:rPr>
              <w:t>sofosbuvir</w:t>
            </w:r>
            <w:proofErr w:type="spellEnd"/>
            <w:r w:rsidRPr="00010779">
              <w:rPr>
                <w:rFonts w:ascii="Arial Narrow" w:hAnsi="Arial Narrow" w:cs="Arial"/>
                <w:b/>
                <w:sz w:val="20"/>
                <w:szCs w:val="20"/>
              </w:rPr>
              <w:t xml:space="preserve"> uptake 100% for genotype 1 patients</w:t>
            </w:r>
          </w:p>
        </w:tc>
      </w:tr>
      <w:tr w:rsidR="00ED4C18" w:rsidRPr="001E5804" w:rsidTr="00B85146">
        <w:tc>
          <w:tcPr>
            <w:tcW w:w="1132" w:type="pct"/>
            <w:vAlign w:val="center"/>
          </w:tcPr>
          <w:p w:rsidR="00121A29" w:rsidRPr="00C26896" w:rsidRDefault="00FD647E" w:rsidP="00FB2B02">
            <w:pPr>
              <w:rPr>
                <w:rFonts w:ascii="Arial Narrow" w:hAnsi="Arial Narrow" w:cs="Arial"/>
                <w:sz w:val="20"/>
                <w:szCs w:val="20"/>
              </w:rPr>
            </w:pPr>
            <w:r w:rsidRPr="00010779">
              <w:rPr>
                <w:rFonts w:ascii="Arial Narrow" w:hAnsi="Arial Narrow" w:cs="Arial"/>
                <w:sz w:val="20"/>
                <w:szCs w:val="20"/>
              </w:rPr>
              <w:t xml:space="preserve">Patients treated with any HCV drug (if </w:t>
            </w:r>
            <w:proofErr w:type="spellStart"/>
            <w:r w:rsidRPr="00010779">
              <w:rPr>
                <w:rFonts w:ascii="Arial Narrow" w:hAnsi="Arial Narrow" w:cs="Arial"/>
                <w:sz w:val="20"/>
                <w:szCs w:val="20"/>
              </w:rPr>
              <w:t>sofusbuvir</w:t>
            </w:r>
            <w:proofErr w:type="spellEnd"/>
            <w:r w:rsidRPr="00010779">
              <w:rPr>
                <w:rFonts w:ascii="Arial Narrow" w:hAnsi="Arial Narrow" w:cs="Arial"/>
                <w:sz w:val="20"/>
                <w:szCs w:val="20"/>
              </w:rPr>
              <w:t xml:space="preserve"> listed)</w:t>
            </w:r>
          </w:p>
        </w:tc>
        <w:tc>
          <w:tcPr>
            <w:tcW w:w="644" w:type="pct"/>
            <w:vAlign w:val="center"/>
          </w:tcPr>
          <w:p w:rsidR="00121A29" w:rsidRPr="00C26896" w:rsidRDefault="00C26896" w:rsidP="00FB2B02">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44" w:type="pct"/>
            <w:vAlign w:val="center"/>
          </w:tcPr>
          <w:p w:rsidR="00121A29" w:rsidRPr="00C26896" w:rsidRDefault="00C26896" w:rsidP="00FB2B02">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44" w:type="pct"/>
            <w:vAlign w:val="center"/>
          </w:tcPr>
          <w:p w:rsidR="00121A29" w:rsidRPr="00C26896" w:rsidRDefault="00C26896" w:rsidP="00FB2B02">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44" w:type="pct"/>
            <w:vAlign w:val="center"/>
          </w:tcPr>
          <w:p w:rsidR="00121A29" w:rsidRPr="00C26896" w:rsidRDefault="00C26896" w:rsidP="00FB2B02">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44" w:type="pct"/>
            <w:vAlign w:val="center"/>
          </w:tcPr>
          <w:p w:rsidR="00121A29" w:rsidRPr="00C26896" w:rsidRDefault="00C26896" w:rsidP="00FB2B02">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48" w:type="pct"/>
            <w:vAlign w:val="center"/>
          </w:tcPr>
          <w:p w:rsidR="00121A29" w:rsidRPr="00C26896" w:rsidRDefault="00C26896" w:rsidP="00FB2B02">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ED4C18" w:rsidRPr="001E5804" w:rsidTr="00B85146">
        <w:tc>
          <w:tcPr>
            <w:tcW w:w="1132" w:type="pct"/>
            <w:vAlign w:val="center"/>
          </w:tcPr>
          <w:p w:rsidR="00121A29" w:rsidRPr="00C26896" w:rsidRDefault="00121A29" w:rsidP="00FB2B02">
            <w:pPr>
              <w:rPr>
                <w:rFonts w:ascii="Arial Narrow" w:hAnsi="Arial Narrow" w:cs="Arial"/>
                <w:sz w:val="20"/>
                <w:szCs w:val="20"/>
              </w:rPr>
            </w:pPr>
            <w:r w:rsidRPr="00010779">
              <w:rPr>
                <w:rFonts w:ascii="Arial Narrow" w:hAnsi="Arial Narrow" w:cs="Arial"/>
                <w:sz w:val="20"/>
                <w:szCs w:val="20"/>
              </w:rPr>
              <w:t xml:space="preserve">Drug </w:t>
            </w:r>
            <w:r w:rsidR="00563202" w:rsidRPr="00010779">
              <w:rPr>
                <w:rFonts w:ascii="Arial Narrow" w:hAnsi="Arial Narrow" w:cs="Arial"/>
                <w:sz w:val="20"/>
                <w:szCs w:val="20"/>
              </w:rPr>
              <w:t xml:space="preserve">regimen </w:t>
            </w:r>
            <w:r w:rsidRPr="00010779">
              <w:rPr>
                <w:rFonts w:ascii="Arial Narrow" w:hAnsi="Arial Narrow" w:cs="Arial"/>
                <w:sz w:val="20"/>
                <w:szCs w:val="20"/>
              </w:rPr>
              <w:t>cost</w:t>
            </w:r>
          </w:p>
        </w:tc>
        <w:tc>
          <w:tcPr>
            <w:tcW w:w="644" w:type="pct"/>
            <w:vAlign w:val="center"/>
          </w:tcPr>
          <w:p w:rsidR="00121A29" w:rsidRPr="00C26896" w:rsidRDefault="00C26896" w:rsidP="00FB2B02">
            <w:pPr>
              <w:jc w:val="center"/>
              <w:rPr>
                <w:rFonts w:ascii="Arial Narrow" w:hAnsi="Arial Narrow" w:cs="Arial"/>
                <w:sz w:val="20"/>
                <w:szCs w:val="20"/>
                <w:highlight w:val="black"/>
              </w:rPr>
            </w:pPr>
            <w:r>
              <w:rPr>
                <w:rFonts w:ascii="Arial Narrow" w:hAnsi="Arial Narrow" w:cs="Arial"/>
                <w:noProof/>
                <w:color w:val="000000"/>
                <w:sz w:val="20"/>
                <w:szCs w:val="20"/>
                <w:highlight w:val="black"/>
              </w:rPr>
              <w:t>''''''''''''' '''''</w:t>
            </w:r>
          </w:p>
        </w:tc>
        <w:tc>
          <w:tcPr>
            <w:tcW w:w="644" w:type="pct"/>
            <w:vAlign w:val="center"/>
          </w:tcPr>
          <w:p w:rsidR="00121A29" w:rsidRPr="00C26896" w:rsidRDefault="00C26896" w:rsidP="00FB2B02">
            <w:pPr>
              <w:jc w:val="center"/>
              <w:rPr>
                <w:rFonts w:ascii="Arial Narrow" w:hAnsi="Arial Narrow" w:cs="Arial"/>
                <w:sz w:val="20"/>
                <w:szCs w:val="20"/>
                <w:highlight w:val="black"/>
              </w:rPr>
            </w:pPr>
            <w:r>
              <w:rPr>
                <w:rFonts w:ascii="Arial Narrow" w:hAnsi="Arial Narrow" w:cs="Arial"/>
                <w:noProof/>
                <w:color w:val="000000"/>
                <w:sz w:val="20"/>
                <w:szCs w:val="20"/>
                <w:highlight w:val="black"/>
              </w:rPr>
              <w:t>'''''''''' '''''</w:t>
            </w:r>
          </w:p>
        </w:tc>
        <w:tc>
          <w:tcPr>
            <w:tcW w:w="644" w:type="pct"/>
            <w:vAlign w:val="center"/>
          </w:tcPr>
          <w:p w:rsidR="00121A29" w:rsidRPr="00C26896" w:rsidRDefault="00C26896" w:rsidP="00FB2B02">
            <w:pPr>
              <w:jc w:val="center"/>
              <w:rPr>
                <w:rFonts w:ascii="Arial Narrow" w:hAnsi="Arial Narrow" w:cs="Arial"/>
                <w:sz w:val="20"/>
                <w:szCs w:val="20"/>
                <w:highlight w:val="black"/>
              </w:rPr>
            </w:pPr>
            <w:r>
              <w:rPr>
                <w:rFonts w:ascii="Arial Narrow" w:hAnsi="Arial Narrow" w:cs="Arial"/>
                <w:noProof/>
                <w:color w:val="000000"/>
                <w:sz w:val="20"/>
                <w:szCs w:val="20"/>
                <w:highlight w:val="black"/>
              </w:rPr>
              <w:t>''''''''''''' ''''</w:t>
            </w:r>
          </w:p>
        </w:tc>
        <w:tc>
          <w:tcPr>
            <w:tcW w:w="644" w:type="pct"/>
            <w:vAlign w:val="center"/>
          </w:tcPr>
          <w:p w:rsidR="00121A29" w:rsidRPr="00C26896" w:rsidRDefault="00C26896" w:rsidP="00FB2B02">
            <w:pPr>
              <w:jc w:val="center"/>
              <w:rPr>
                <w:rFonts w:ascii="Arial Narrow" w:hAnsi="Arial Narrow" w:cs="Arial"/>
                <w:sz w:val="20"/>
                <w:szCs w:val="20"/>
                <w:highlight w:val="black"/>
              </w:rPr>
            </w:pPr>
            <w:r>
              <w:rPr>
                <w:rFonts w:ascii="Arial Narrow" w:hAnsi="Arial Narrow" w:cs="Arial"/>
                <w:noProof/>
                <w:color w:val="000000"/>
                <w:sz w:val="20"/>
                <w:szCs w:val="20"/>
                <w:highlight w:val="black"/>
              </w:rPr>
              <w:t>''''''''''''' ''''</w:t>
            </w:r>
          </w:p>
        </w:tc>
        <w:tc>
          <w:tcPr>
            <w:tcW w:w="644" w:type="pct"/>
            <w:vAlign w:val="center"/>
          </w:tcPr>
          <w:p w:rsidR="00121A29" w:rsidRPr="00C26896" w:rsidRDefault="00C26896" w:rsidP="00FB2B02">
            <w:pPr>
              <w:jc w:val="center"/>
              <w:rPr>
                <w:rFonts w:ascii="Arial Narrow" w:hAnsi="Arial Narrow" w:cs="Arial"/>
                <w:sz w:val="20"/>
                <w:szCs w:val="20"/>
                <w:highlight w:val="black"/>
              </w:rPr>
            </w:pPr>
            <w:r>
              <w:rPr>
                <w:rFonts w:ascii="Arial Narrow" w:hAnsi="Arial Narrow" w:cs="Arial"/>
                <w:noProof/>
                <w:color w:val="000000"/>
                <w:sz w:val="20"/>
                <w:szCs w:val="20"/>
                <w:highlight w:val="black"/>
              </w:rPr>
              <w:t>'''''''''' ''''</w:t>
            </w:r>
          </w:p>
        </w:tc>
        <w:tc>
          <w:tcPr>
            <w:tcW w:w="648" w:type="pct"/>
            <w:vAlign w:val="center"/>
          </w:tcPr>
          <w:p w:rsidR="00121A29" w:rsidRPr="00C26896" w:rsidRDefault="00C26896" w:rsidP="00FB2B02">
            <w:pPr>
              <w:jc w:val="center"/>
              <w:rPr>
                <w:rFonts w:ascii="Arial Narrow" w:hAnsi="Arial Narrow" w:cs="Arial"/>
                <w:sz w:val="20"/>
                <w:szCs w:val="20"/>
                <w:highlight w:val="black"/>
              </w:rPr>
            </w:pPr>
            <w:r>
              <w:rPr>
                <w:rFonts w:ascii="Arial Narrow" w:hAnsi="Arial Narrow" w:cs="Arial"/>
                <w:noProof/>
                <w:color w:val="000000"/>
                <w:sz w:val="20"/>
                <w:szCs w:val="20"/>
                <w:highlight w:val="black"/>
              </w:rPr>
              <w:t>''''''''''''''' '''''</w:t>
            </w:r>
          </w:p>
        </w:tc>
      </w:tr>
      <w:tr w:rsidR="00ED4C18" w:rsidRPr="001E5804" w:rsidTr="00B85146">
        <w:tc>
          <w:tcPr>
            <w:tcW w:w="1132" w:type="pct"/>
            <w:vAlign w:val="center"/>
          </w:tcPr>
          <w:p w:rsidR="00121A29" w:rsidRPr="00C26896" w:rsidRDefault="00121A29" w:rsidP="00FB2B02">
            <w:pPr>
              <w:rPr>
                <w:rFonts w:ascii="Arial Narrow" w:hAnsi="Arial Narrow" w:cs="Arial"/>
                <w:sz w:val="20"/>
                <w:szCs w:val="20"/>
              </w:rPr>
            </w:pPr>
            <w:r w:rsidRPr="00010779">
              <w:rPr>
                <w:rFonts w:ascii="Arial Narrow" w:hAnsi="Arial Narrow" w:cs="Arial"/>
                <w:sz w:val="20"/>
                <w:szCs w:val="20"/>
              </w:rPr>
              <w:t>Offsets</w:t>
            </w:r>
          </w:p>
        </w:tc>
        <w:tc>
          <w:tcPr>
            <w:tcW w:w="644" w:type="pct"/>
            <w:vAlign w:val="center"/>
          </w:tcPr>
          <w:p w:rsidR="00121A29" w:rsidRPr="00C26896" w:rsidRDefault="00C26896" w:rsidP="00FB2B02">
            <w:pPr>
              <w:jc w:val="center"/>
              <w:rPr>
                <w:rFonts w:ascii="Arial Narrow" w:hAnsi="Arial Narrow" w:cs="Arial"/>
                <w:sz w:val="20"/>
                <w:szCs w:val="20"/>
                <w:highlight w:val="black"/>
              </w:rPr>
            </w:pPr>
            <w:r>
              <w:rPr>
                <w:rFonts w:ascii="Arial Narrow" w:hAnsi="Arial Narrow" w:cs="Arial"/>
                <w:noProof/>
                <w:color w:val="000000"/>
                <w:sz w:val="20"/>
                <w:szCs w:val="20"/>
                <w:highlight w:val="black"/>
              </w:rPr>
              <w:t>''''''''' ''''</w:t>
            </w:r>
          </w:p>
        </w:tc>
        <w:tc>
          <w:tcPr>
            <w:tcW w:w="644" w:type="pct"/>
            <w:vAlign w:val="center"/>
          </w:tcPr>
          <w:p w:rsidR="00121A29" w:rsidRPr="00C26896" w:rsidRDefault="00C26896" w:rsidP="00FB2B02">
            <w:pPr>
              <w:jc w:val="center"/>
              <w:rPr>
                <w:rFonts w:ascii="Arial Narrow" w:hAnsi="Arial Narrow" w:cs="Arial"/>
                <w:sz w:val="20"/>
                <w:szCs w:val="20"/>
                <w:highlight w:val="black"/>
              </w:rPr>
            </w:pPr>
            <w:r>
              <w:rPr>
                <w:rFonts w:ascii="Arial Narrow" w:hAnsi="Arial Narrow" w:cs="Arial"/>
                <w:noProof/>
                <w:color w:val="000000"/>
                <w:sz w:val="20"/>
                <w:szCs w:val="20"/>
                <w:highlight w:val="black"/>
              </w:rPr>
              <w:t>''''''''' ''''</w:t>
            </w:r>
          </w:p>
        </w:tc>
        <w:tc>
          <w:tcPr>
            <w:tcW w:w="644" w:type="pct"/>
            <w:vAlign w:val="center"/>
          </w:tcPr>
          <w:p w:rsidR="00121A29" w:rsidRPr="00C26896" w:rsidRDefault="00C26896" w:rsidP="00FB2B02">
            <w:pPr>
              <w:jc w:val="center"/>
              <w:rPr>
                <w:rFonts w:ascii="Arial Narrow" w:hAnsi="Arial Narrow" w:cs="Arial"/>
                <w:sz w:val="20"/>
                <w:szCs w:val="20"/>
                <w:highlight w:val="black"/>
              </w:rPr>
            </w:pPr>
            <w:r>
              <w:rPr>
                <w:rFonts w:ascii="Arial Narrow" w:hAnsi="Arial Narrow" w:cs="Arial"/>
                <w:noProof/>
                <w:color w:val="000000"/>
                <w:sz w:val="20"/>
                <w:szCs w:val="20"/>
                <w:highlight w:val="black"/>
              </w:rPr>
              <w:t>'''''''' '''''</w:t>
            </w:r>
          </w:p>
        </w:tc>
        <w:tc>
          <w:tcPr>
            <w:tcW w:w="644" w:type="pct"/>
            <w:vAlign w:val="center"/>
          </w:tcPr>
          <w:p w:rsidR="00121A29" w:rsidRPr="00C26896" w:rsidRDefault="00C26896" w:rsidP="00FB2B02">
            <w:pPr>
              <w:jc w:val="center"/>
              <w:rPr>
                <w:rFonts w:ascii="Arial Narrow" w:hAnsi="Arial Narrow" w:cs="Arial"/>
                <w:sz w:val="20"/>
                <w:szCs w:val="20"/>
                <w:highlight w:val="black"/>
              </w:rPr>
            </w:pPr>
            <w:r>
              <w:rPr>
                <w:rFonts w:ascii="Arial Narrow" w:hAnsi="Arial Narrow" w:cs="Arial"/>
                <w:noProof/>
                <w:color w:val="000000"/>
                <w:sz w:val="20"/>
                <w:szCs w:val="20"/>
                <w:highlight w:val="black"/>
              </w:rPr>
              <w:t>''''''''' ''''</w:t>
            </w:r>
          </w:p>
        </w:tc>
        <w:tc>
          <w:tcPr>
            <w:tcW w:w="644" w:type="pct"/>
            <w:vAlign w:val="center"/>
          </w:tcPr>
          <w:p w:rsidR="00121A29" w:rsidRPr="00C26896" w:rsidRDefault="00C26896" w:rsidP="00FB2B02">
            <w:pPr>
              <w:jc w:val="center"/>
              <w:rPr>
                <w:rFonts w:ascii="Arial Narrow" w:hAnsi="Arial Narrow" w:cs="Arial"/>
                <w:sz w:val="20"/>
                <w:szCs w:val="20"/>
                <w:highlight w:val="black"/>
              </w:rPr>
            </w:pPr>
            <w:r>
              <w:rPr>
                <w:rFonts w:ascii="Arial Narrow" w:hAnsi="Arial Narrow" w:cs="Arial"/>
                <w:noProof/>
                <w:color w:val="000000"/>
                <w:sz w:val="20"/>
                <w:szCs w:val="20"/>
                <w:highlight w:val="black"/>
              </w:rPr>
              <w:t>''''''''' ''''</w:t>
            </w:r>
          </w:p>
        </w:tc>
        <w:tc>
          <w:tcPr>
            <w:tcW w:w="648" w:type="pct"/>
            <w:vAlign w:val="center"/>
          </w:tcPr>
          <w:p w:rsidR="00121A29" w:rsidRPr="00C26896" w:rsidRDefault="00C26896" w:rsidP="00FB2B02">
            <w:pPr>
              <w:jc w:val="center"/>
              <w:rPr>
                <w:rFonts w:ascii="Arial Narrow" w:hAnsi="Arial Narrow" w:cs="Arial"/>
                <w:sz w:val="20"/>
                <w:szCs w:val="20"/>
                <w:highlight w:val="black"/>
              </w:rPr>
            </w:pPr>
            <w:r>
              <w:rPr>
                <w:rFonts w:ascii="Arial Narrow" w:hAnsi="Arial Narrow" w:cs="Arial"/>
                <w:noProof/>
                <w:color w:val="000000"/>
                <w:sz w:val="20"/>
                <w:szCs w:val="20"/>
                <w:highlight w:val="black"/>
              </w:rPr>
              <w:t>''''''''''' '''''</w:t>
            </w:r>
          </w:p>
        </w:tc>
      </w:tr>
      <w:tr w:rsidR="00121A29" w:rsidRPr="001E5804" w:rsidTr="00B85146">
        <w:tc>
          <w:tcPr>
            <w:tcW w:w="1132" w:type="pct"/>
            <w:vAlign w:val="center"/>
          </w:tcPr>
          <w:p w:rsidR="00121A29" w:rsidRPr="00C26896" w:rsidRDefault="00121A29" w:rsidP="00FB2B02">
            <w:pPr>
              <w:rPr>
                <w:rFonts w:ascii="Arial Narrow" w:hAnsi="Arial Narrow" w:cs="Arial"/>
                <w:sz w:val="20"/>
                <w:szCs w:val="20"/>
              </w:rPr>
            </w:pPr>
            <w:r w:rsidRPr="00010779">
              <w:rPr>
                <w:rFonts w:ascii="Arial Narrow" w:hAnsi="Arial Narrow" w:cs="Arial"/>
                <w:sz w:val="20"/>
                <w:szCs w:val="20"/>
              </w:rPr>
              <w:t>Net cost</w:t>
            </w:r>
          </w:p>
        </w:tc>
        <w:tc>
          <w:tcPr>
            <w:tcW w:w="644" w:type="pct"/>
            <w:vAlign w:val="center"/>
          </w:tcPr>
          <w:p w:rsidR="00121A29" w:rsidRPr="00C26896" w:rsidRDefault="00C26896" w:rsidP="00FB2B02">
            <w:pPr>
              <w:jc w:val="center"/>
              <w:rPr>
                <w:rFonts w:ascii="Arial Narrow" w:hAnsi="Arial Narrow" w:cs="Arial"/>
                <w:sz w:val="20"/>
                <w:szCs w:val="20"/>
                <w:highlight w:val="black"/>
              </w:rPr>
            </w:pPr>
            <w:r>
              <w:rPr>
                <w:rFonts w:ascii="Arial Narrow" w:hAnsi="Arial Narrow" w:cs="Arial"/>
                <w:noProof/>
                <w:color w:val="000000"/>
                <w:sz w:val="20"/>
                <w:szCs w:val="20"/>
                <w:highlight w:val="black"/>
              </w:rPr>
              <w:t>'''''''''''' ''''</w:t>
            </w:r>
          </w:p>
        </w:tc>
        <w:tc>
          <w:tcPr>
            <w:tcW w:w="644" w:type="pct"/>
            <w:vAlign w:val="center"/>
          </w:tcPr>
          <w:p w:rsidR="00121A29" w:rsidRPr="00C26896" w:rsidRDefault="00C26896" w:rsidP="00FB2B02">
            <w:pPr>
              <w:jc w:val="center"/>
              <w:rPr>
                <w:rFonts w:ascii="Arial Narrow" w:hAnsi="Arial Narrow" w:cs="Arial"/>
                <w:sz w:val="20"/>
                <w:szCs w:val="20"/>
                <w:highlight w:val="black"/>
              </w:rPr>
            </w:pPr>
            <w:r>
              <w:rPr>
                <w:rFonts w:ascii="Arial Narrow" w:hAnsi="Arial Narrow" w:cs="Arial"/>
                <w:noProof/>
                <w:color w:val="000000"/>
                <w:sz w:val="20"/>
                <w:szCs w:val="20"/>
                <w:highlight w:val="black"/>
              </w:rPr>
              <w:t>''''''''''' ''''</w:t>
            </w:r>
          </w:p>
        </w:tc>
        <w:tc>
          <w:tcPr>
            <w:tcW w:w="644" w:type="pct"/>
            <w:vAlign w:val="center"/>
          </w:tcPr>
          <w:p w:rsidR="00121A29" w:rsidRPr="00C26896" w:rsidRDefault="00C26896" w:rsidP="00FB2B02">
            <w:pPr>
              <w:jc w:val="center"/>
              <w:rPr>
                <w:rFonts w:ascii="Arial Narrow" w:hAnsi="Arial Narrow" w:cs="Arial"/>
                <w:sz w:val="20"/>
                <w:szCs w:val="20"/>
                <w:highlight w:val="black"/>
              </w:rPr>
            </w:pPr>
            <w:r>
              <w:rPr>
                <w:rFonts w:ascii="Arial Narrow" w:hAnsi="Arial Narrow" w:cs="Arial"/>
                <w:noProof/>
                <w:color w:val="000000"/>
                <w:sz w:val="20"/>
                <w:szCs w:val="20"/>
                <w:highlight w:val="black"/>
              </w:rPr>
              <w:t>''''''''''''' ''''</w:t>
            </w:r>
          </w:p>
        </w:tc>
        <w:tc>
          <w:tcPr>
            <w:tcW w:w="644" w:type="pct"/>
            <w:vAlign w:val="center"/>
          </w:tcPr>
          <w:p w:rsidR="00121A29" w:rsidRPr="00C26896" w:rsidRDefault="00C26896" w:rsidP="00FB2B02">
            <w:pPr>
              <w:jc w:val="center"/>
              <w:rPr>
                <w:rFonts w:ascii="Arial Narrow" w:hAnsi="Arial Narrow" w:cs="Arial"/>
                <w:sz w:val="20"/>
                <w:szCs w:val="20"/>
                <w:highlight w:val="black"/>
              </w:rPr>
            </w:pPr>
            <w:r>
              <w:rPr>
                <w:rFonts w:ascii="Arial Narrow" w:hAnsi="Arial Narrow" w:cs="Arial"/>
                <w:noProof/>
                <w:color w:val="000000"/>
                <w:sz w:val="20"/>
                <w:szCs w:val="20"/>
                <w:highlight w:val="black"/>
              </w:rPr>
              <w:t>''''''''''''' ''''</w:t>
            </w:r>
          </w:p>
        </w:tc>
        <w:tc>
          <w:tcPr>
            <w:tcW w:w="644" w:type="pct"/>
            <w:vAlign w:val="center"/>
          </w:tcPr>
          <w:p w:rsidR="00121A29" w:rsidRPr="00C26896" w:rsidRDefault="00C26896" w:rsidP="00FB2B02">
            <w:pPr>
              <w:jc w:val="center"/>
              <w:rPr>
                <w:rFonts w:ascii="Arial Narrow" w:hAnsi="Arial Narrow" w:cs="Arial"/>
                <w:sz w:val="20"/>
                <w:szCs w:val="20"/>
                <w:highlight w:val="black"/>
              </w:rPr>
            </w:pPr>
            <w:r>
              <w:rPr>
                <w:rFonts w:ascii="Arial Narrow" w:hAnsi="Arial Narrow" w:cs="Arial"/>
                <w:noProof/>
                <w:color w:val="000000"/>
                <w:sz w:val="20"/>
                <w:szCs w:val="20"/>
                <w:highlight w:val="black"/>
              </w:rPr>
              <w:t>''''''''''' '''''</w:t>
            </w:r>
          </w:p>
        </w:tc>
        <w:tc>
          <w:tcPr>
            <w:tcW w:w="648" w:type="pct"/>
            <w:vAlign w:val="center"/>
          </w:tcPr>
          <w:p w:rsidR="00121A29" w:rsidRPr="00C26896" w:rsidRDefault="00C26896" w:rsidP="00FB2B02">
            <w:pPr>
              <w:jc w:val="center"/>
              <w:rPr>
                <w:rFonts w:ascii="Arial Narrow" w:hAnsi="Arial Narrow" w:cs="Arial"/>
                <w:sz w:val="20"/>
                <w:szCs w:val="20"/>
                <w:highlight w:val="black"/>
              </w:rPr>
            </w:pPr>
            <w:r>
              <w:rPr>
                <w:rFonts w:ascii="Arial Narrow" w:hAnsi="Arial Narrow" w:cs="Arial"/>
                <w:noProof/>
                <w:color w:val="000000"/>
                <w:sz w:val="20"/>
                <w:szCs w:val="20"/>
                <w:highlight w:val="black"/>
              </w:rPr>
              <w:t>'''''''''''''''' '''''</w:t>
            </w:r>
          </w:p>
        </w:tc>
      </w:tr>
    </w:tbl>
    <w:p w:rsidR="00DF69B5" w:rsidRPr="00C26896" w:rsidRDefault="00DF69B5" w:rsidP="006A2C26">
      <w:pPr>
        <w:jc w:val="both"/>
        <w:rPr>
          <w:szCs w:val="22"/>
        </w:rPr>
      </w:pPr>
    </w:p>
    <w:p w:rsidR="00A445E1" w:rsidRPr="00ED4C18" w:rsidRDefault="00A445E1" w:rsidP="00B85146">
      <w:pPr>
        <w:pStyle w:val="ListParagraph"/>
        <w:numPr>
          <w:ilvl w:val="1"/>
          <w:numId w:val="1"/>
        </w:numPr>
        <w:jc w:val="both"/>
        <w:rPr>
          <w:szCs w:val="22"/>
        </w:rPr>
      </w:pPr>
      <w:r w:rsidRPr="00ED4C18">
        <w:rPr>
          <w:szCs w:val="22"/>
        </w:rPr>
        <w:t xml:space="preserve">The submission expects an increase in the total number of patients treated with the listing of </w:t>
      </w:r>
      <w:proofErr w:type="spellStart"/>
      <w:r w:rsidRPr="00ED4C18">
        <w:rPr>
          <w:szCs w:val="22"/>
        </w:rPr>
        <w:t>sofosbuvir</w:t>
      </w:r>
      <w:proofErr w:type="spellEnd"/>
      <w:r w:rsidR="0091133A" w:rsidRPr="00ED4C18">
        <w:rPr>
          <w:szCs w:val="22"/>
        </w:rPr>
        <w:t>. This is because</w:t>
      </w:r>
      <w:r w:rsidRPr="00ED4C18">
        <w:rPr>
          <w:szCs w:val="22"/>
        </w:rPr>
        <w:t xml:space="preserve"> there will be a larger eligible population and because of increased clinician capacity to treat a larger volume of patients due to shorter durations of treatment and reduced monitoring requirements. Based on </w:t>
      </w:r>
      <w:r w:rsidRPr="00ED4C18">
        <w:rPr>
          <w:szCs w:val="22"/>
        </w:rPr>
        <w:lastRenderedPageBreak/>
        <w:t xml:space="preserve">expert advice, the submission proposes that the size of the population will increase to </w:t>
      </w:r>
      <w:r w:rsidR="00C26896">
        <w:rPr>
          <w:noProof/>
          <w:color w:val="000000"/>
          <w:szCs w:val="22"/>
          <w:highlight w:val="black"/>
        </w:rPr>
        <w:t>''''''''''</w:t>
      </w:r>
      <w:r w:rsidRPr="00010779">
        <w:rPr>
          <w:szCs w:val="22"/>
        </w:rPr>
        <w:t>%</w:t>
      </w:r>
      <w:r w:rsidRPr="00ED4C18">
        <w:rPr>
          <w:szCs w:val="22"/>
        </w:rPr>
        <w:t xml:space="preserve"> of its current size in the first year of </w:t>
      </w:r>
      <w:proofErr w:type="spellStart"/>
      <w:r w:rsidRPr="00ED4C18">
        <w:rPr>
          <w:szCs w:val="22"/>
        </w:rPr>
        <w:t>sofosbuvir’s</w:t>
      </w:r>
      <w:proofErr w:type="spellEnd"/>
      <w:r w:rsidRPr="00ED4C18">
        <w:rPr>
          <w:szCs w:val="22"/>
        </w:rPr>
        <w:t xml:space="preserve"> availability, followed by an additional </w:t>
      </w:r>
      <w:r w:rsidR="00C26896">
        <w:rPr>
          <w:noProof/>
          <w:color w:val="000000"/>
          <w:szCs w:val="22"/>
          <w:highlight w:val="black"/>
        </w:rPr>
        <w:t>''''''</w:t>
      </w:r>
      <w:r w:rsidRPr="00010779">
        <w:rPr>
          <w:szCs w:val="22"/>
        </w:rPr>
        <w:t xml:space="preserve">%, </w:t>
      </w:r>
      <w:r w:rsidR="00C26896">
        <w:rPr>
          <w:noProof/>
          <w:color w:val="000000"/>
          <w:szCs w:val="22"/>
          <w:highlight w:val="black"/>
        </w:rPr>
        <w:t>'''''''</w:t>
      </w:r>
      <w:r w:rsidRPr="00010779">
        <w:rPr>
          <w:szCs w:val="22"/>
        </w:rPr>
        <w:t>%</w:t>
      </w:r>
      <w:r w:rsidR="00C26896">
        <w:rPr>
          <w:noProof/>
          <w:color w:val="000000"/>
          <w:szCs w:val="22"/>
          <w:highlight w:val="black"/>
        </w:rPr>
        <w:t>'' ''''''</w:t>
      </w:r>
      <w:r w:rsidRPr="00010779">
        <w:rPr>
          <w:szCs w:val="22"/>
        </w:rPr>
        <w:t xml:space="preserve">% and </w:t>
      </w:r>
      <w:r w:rsidR="00C26896">
        <w:rPr>
          <w:noProof/>
          <w:color w:val="000000"/>
          <w:szCs w:val="22"/>
          <w:highlight w:val="black"/>
        </w:rPr>
        <w:t>'''''''</w:t>
      </w:r>
      <w:r w:rsidRPr="00010779">
        <w:rPr>
          <w:szCs w:val="22"/>
        </w:rPr>
        <w:t>%</w:t>
      </w:r>
      <w:r w:rsidRPr="00ED4C18">
        <w:rPr>
          <w:szCs w:val="22"/>
        </w:rPr>
        <w:t xml:space="preserve"> in each subsequent year. </w:t>
      </w:r>
      <w:r w:rsidR="0091133A" w:rsidRPr="00ED4C18">
        <w:rPr>
          <w:szCs w:val="22"/>
        </w:rPr>
        <w:t xml:space="preserve">The </w:t>
      </w:r>
      <w:r w:rsidRPr="00ED4C18">
        <w:rPr>
          <w:szCs w:val="22"/>
        </w:rPr>
        <w:t xml:space="preserve">DUSC considered that this may possibly be an underestimate, particularly if there is an increase in the number of GPs treating hepatitis C as a result of the shorter and less toxic regimens. Further, the Stakeholder meeting (25 February 2014) </w:t>
      </w:r>
      <w:r w:rsidR="00DB3105" w:rsidRPr="00ED4C18">
        <w:rPr>
          <w:szCs w:val="22"/>
        </w:rPr>
        <w:t>stated</w:t>
      </w:r>
      <w:r w:rsidRPr="00ED4C18">
        <w:rPr>
          <w:szCs w:val="22"/>
        </w:rPr>
        <w:t xml:space="preserve"> that ‘once the new all oral therapies are available it may be reasonable to expect that 10,000-15,000 patients to be treated in the next 3 to 4 years’. However </w:t>
      </w:r>
      <w:r w:rsidR="0091133A" w:rsidRPr="00ED4C18">
        <w:rPr>
          <w:szCs w:val="22"/>
        </w:rPr>
        <w:t xml:space="preserve">the </w:t>
      </w:r>
      <w:r w:rsidRPr="00ED4C18">
        <w:rPr>
          <w:szCs w:val="22"/>
        </w:rPr>
        <w:t xml:space="preserve">DUSC noted that if </w:t>
      </w:r>
      <w:proofErr w:type="spellStart"/>
      <w:r w:rsidRPr="00ED4C18">
        <w:rPr>
          <w:szCs w:val="22"/>
        </w:rPr>
        <w:t>sofosbuvir</w:t>
      </w:r>
      <w:proofErr w:type="spellEnd"/>
      <w:r w:rsidRPr="00ED4C18">
        <w:rPr>
          <w:szCs w:val="22"/>
        </w:rPr>
        <w:t xml:space="preserve"> is listed as requested in the submission, </w:t>
      </w:r>
      <w:r w:rsidR="0091133A" w:rsidRPr="00ED4C18">
        <w:rPr>
          <w:szCs w:val="22"/>
        </w:rPr>
        <w:t>‘</w:t>
      </w:r>
      <w:r w:rsidRPr="00ED4C18">
        <w:rPr>
          <w:szCs w:val="22"/>
        </w:rPr>
        <w:t>all</w:t>
      </w:r>
      <w:r w:rsidR="0091133A" w:rsidRPr="00ED4C18">
        <w:rPr>
          <w:szCs w:val="22"/>
        </w:rPr>
        <w:t>-</w:t>
      </w:r>
      <w:r w:rsidRPr="00ED4C18">
        <w:rPr>
          <w:szCs w:val="22"/>
        </w:rPr>
        <w:t>oral</w:t>
      </w:r>
      <w:r w:rsidR="0091133A" w:rsidRPr="00ED4C18">
        <w:rPr>
          <w:szCs w:val="22"/>
        </w:rPr>
        <w:t>’</w:t>
      </w:r>
      <w:r w:rsidRPr="00ED4C18">
        <w:rPr>
          <w:szCs w:val="22"/>
        </w:rPr>
        <w:t xml:space="preserve"> regimens would not yet be available for most patients.</w:t>
      </w:r>
      <w:r w:rsidRPr="00B85146">
        <w:rPr>
          <w:szCs w:val="22"/>
        </w:rPr>
        <w:t xml:space="preserve"> There are approximately 230,000 people in Australia with chronic hepatitis C infection. </w:t>
      </w:r>
      <w:r w:rsidR="0091133A" w:rsidRPr="00B85146">
        <w:rPr>
          <w:szCs w:val="22"/>
        </w:rPr>
        <w:t xml:space="preserve">The </w:t>
      </w:r>
      <w:r w:rsidRPr="00B85146">
        <w:rPr>
          <w:szCs w:val="22"/>
        </w:rPr>
        <w:t>DUSC estimated that it would cost approximately</w:t>
      </w:r>
      <w:r w:rsidR="00FE4B79">
        <w:rPr>
          <w:szCs w:val="22"/>
        </w:rPr>
        <w:t xml:space="preserve"> in excess of $10 billion</w:t>
      </w:r>
      <w:r w:rsidRPr="00B85146">
        <w:rPr>
          <w:szCs w:val="22"/>
        </w:rPr>
        <w:t xml:space="preserve"> to treat all cases according to the requested restriction and assumptions (including market share) in the submission. This cost would increase further if more people than predicted are treated with interferon free regimens. </w:t>
      </w:r>
      <w:r w:rsidR="0091133A" w:rsidRPr="00B85146">
        <w:rPr>
          <w:szCs w:val="22"/>
        </w:rPr>
        <w:t xml:space="preserve">The </w:t>
      </w:r>
      <w:r w:rsidRPr="00B85146">
        <w:rPr>
          <w:szCs w:val="22"/>
        </w:rPr>
        <w:t xml:space="preserve">DUSC noted that not all people would present for treatment, be suitable for treatment, or be able to be treated due to capacity constraints.  For example approximately 80,000 patients may be considered to be currently active in illicit drug-injecting behaviours and therefore at risk of re-infection and not suitable for treatment; and even if capacity increased from the current approximately 4,000 to 15,000 people treated per year (as per the Stakeholder meeting), it would take well over a decade to treat all </w:t>
      </w:r>
      <w:r w:rsidR="0091133A" w:rsidRPr="00B85146">
        <w:rPr>
          <w:szCs w:val="22"/>
        </w:rPr>
        <w:t>infected</w:t>
      </w:r>
      <w:r w:rsidR="006A2C26" w:rsidRPr="00B85146">
        <w:rPr>
          <w:szCs w:val="22"/>
        </w:rPr>
        <w:t xml:space="preserve"> </w:t>
      </w:r>
      <w:r w:rsidRPr="00B85146">
        <w:rPr>
          <w:szCs w:val="22"/>
        </w:rPr>
        <w:t>people.</w:t>
      </w:r>
    </w:p>
    <w:p w:rsidR="002D1D3C" w:rsidRPr="00ED4C18" w:rsidRDefault="002D1D3C" w:rsidP="002D1D3C">
      <w:pPr>
        <w:pStyle w:val="ListParagraph"/>
        <w:ind w:left="709"/>
        <w:jc w:val="both"/>
        <w:rPr>
          <w:szCs w:val="22"/>
        </w:rPr>
      </w:pPr>
    </w:p>
    <w:p w:rsidR="00A445E1" w:rsidRPr="00ED4C18" w:rsidRDefault="00394947" w:rsidP="00B85146">
      <w:pPr>
        <w:pStyle w:val="ListParagraph"/>
        <w:numPr>
          <w:ilvl w:val="1"/>
          <w:numId w:val="1"/>
        </w:numPr>
        <w:jc w:val="both"/>
        <w:rPr>
          <w:szCs w:val="22"/>
        </w:rPr>
      </w:pPr>
      <w:r w:rsidRPr="00ED4C18">
        <w:rPr>
          <w:szCs w:val="22"/>
        </w:rPr>
        <w:t xml:space="preserve">The DUSC </w:t>
      </w:r>
      <w:r w:rsidR="0091133A" w:rsidRPr="00ED4C18">
        <w:rPr>
          <w:szCs w:val="22"/>
        </w:rPr>
        <w:t xml:space="preserve">also noted </w:t>
      </w:r>
      <w:r w:rsidRPr="00ED4C18">
        <w:rPr>
          <w:szCs w:val="22"/>
        </w:rPr>
        <w:t xml:space="preserve">that </w:t>
      </w:r>
      <w:r w:rsidR="00624A3F" w:rsidRPr="00ED4C18">
        <w:rPr>
          <w:szCs w:val="22"/>
        </w:rPr>
        <w:t>r</w:t>
      </w:r>
      <w:r w:rsidRPr="00ED4C18">
        <w:rPr>
          <w:szCs w:val="22"/>
        </w:rPr>
        <w:t>ibavirin</w:t>
      </w:r>
      <w:r w:rsidR="0091133A" w:rsidRPr="00ED4C18">
        <w:rPr>
          <w:szCs w:val="22"/>
        </w:rPr>
        <w:t xml:space="preserve"> is not listed on the PBS</w:t>
      </w:r>
      <w:r w:rsidR="0091133A" w:rsidRPr="00ED4C18" w:rsidDel="0091133A">
        <w:rPr>
          <w:szCs w:val="22"/>
        </w:rPr>
        <w:t xml:space="preserve"> </w:t>
      </w:r>
      <w:r w:rsidRPr="00ED4C18">
        <w:rPr>
          <w:szCs w:val="22"/>
        </w:rPr>
        <w:t xml:space="preserve">in a form that is not co-packaged with </w:t>
      </w:r>
      <w:proofErr w:type="spellStart"/>
      <w:r w:rsidRPr="00ED4C18">
        <w:rPr>
          <w:szCs w:val="22"/>
        </w:rPr>
        <w:t>peginterferon</w:t>
      </w:r>
      <w:proofErr w:type="spellEnd"/>
      <w:r w:rsidR="0091133A" w:rsidRPr="00ED4C18">
        <w:rPr>
          <w:szCs w:val="22"/>
        </w:rPr>
        <w:t>.</w:t>
      </w:r>
      <w:r w:rsidRPr="00ED4C18">
        <w:rPr>
          <w:szCs w:val="22"/>
        </w:rPr>
        <w:t xml:space="preserve"> If </w:t>
      </w:r>
      <w:proofErr w:type="spellStart"/>
      <w:r w:rsidRPr="00ED4C18">
        <w:rPr>
          <w:szCs w:val="22"/>
        </w:rPr>
        <w:t>sofosbuvir</w:t>
      </w:r>
      <w:proofErr w:type="spellEnd"/>
      <w:r w:rsidRPr="00ED4C18">
        <w:rPr>
          <w:szCs w:val="22"/>
        </w:rPr>
        <w:t xml:space="preserve"> is listed on the PBS for the treatment of HCV without co-administered </w:t>
      </w:r>
      <w:proofErr w:type="spellStart"/>
      <w:r w:rsidRPr="00ED4C18">
        <w:rPr>
          <w:szCs w:val="22"/>
        </w:rPr>
        <w:t>peginterferon</w:t>
      </w:r>
      <w:proofErr w:type="spellEnd"/>
      <w:r w:rsidRPr="00ED4C18">
        <w:rPr>
          <w:szCs w:val="22"/>
        </w:rPr>
        <w:t>, it is unclear how patients would access ribavirin.  In the absence of PBS subsidised ribavirin, clinicians may have to prescrib</w:t>
      </w:r>
      <w:r w:rsidR="0091133A" w:rsidRPr="00ED4C18">
        <w:rPr>
          <w:szCs w:val="22"/>
        </w:rPr>
        <w:t>e</w:t>
      </w:r>
      <w:r w:rsidRPr="00ED4C18">
        <w:rPr>
          <w:szCs w:val="22"/>
        </w:rPr>
        <w:t xml:space="preserve"> the currently available combination products </w:t>
      </w:r>
      <w:r w:rsidR="00062437" w:rsidRPr="00ED4C18">
        <w:rPr>
          <w:szCs w:val="22"/>
        </w:rPr>
        <w:t xml:space="preserve">of </w:t>
      </w:r>
      <w:proofErr w:type="spellStart"/>
      <w:r w:rsidRPr="00ED4C18">
        <w:rPr>
          <w:szCs w:val="22"/>
        </w:rPr>
        <w:t>peginterferon</w:t>
      </w:r>
      <w:proofErr w:type="spellEnd"/>
      <w:r w:rsidRPr="00ED4C18">
        <w:rPr>
          <w:szCs w:val="22"/>
        </w:rPr>
        <w:t xml:space="preserve"> and ribavirin and discard the </w:t>
      </w:r>
      <w:proofErr w:type="spellStart"/>
      <w:r w:rsidRPr="00ED4C18">
        <w:rPr>
          <w:szCs w:val="22"/>
        </w:rPr>
        <w:t>peginterferon</w:t>
      </w:r>
      <w:proofErr w:type="spellEnd"/>
      <w:r w:rsidRPr="00ED4C18">
        <w:rPr>
          <w:szCs w:val="22"/>
        </w:rPr>
        <w:t>.  Such a practice would represent substantial wastage and would impact on the estimate of cost-e</w:t>
      </w:r>
      <w:r w:rsidR="00D20C73" w:rsidRPr="00ED4C18">
        <w:rPr>
          <w:szCs w:val="22"/>
        </w:rPr>
        <w:t xml:space="preserve">ffectiveness of </w:t>
      </w:r>
      <w:proofErr w:type="spellStart"/>
      <w:r w:rsidR="00D20C73" w:rsidRPr="00ED4C18">
        <w:rPr>
          <w:szCs w:val="22"/>
        </w:rPr>
        <w:t>sofosbuvir</w:t>
      </w:r>
      <w:proofErr w:type="spellEnd"/>
      <w:r w:rsidR="00D20C73" w:rsidRPr="00ED4C18">
        <w:rPr>
          <w:szCs w:val="22"/>
        </w:rPr>
        <w:t>.</w:t>
      </w:r>
    </w:p>
    <w:p w:rsidR="00A445E1" w:rsidRPr="00ED4C18" w:rsidRDefault="00A445E1" w:rsidP="00394947">
      <w:pPr>
        <w:pStyle w:val="ListParagraph"/>
        <w:ind w:left="709"/>
        <w:jc w:val="both"/>
        <w:rPr>
          <w:szCs w:val="22"/>
        </w:rPr>
      </w:pPr>
    </w:p>
    <w:p w:rsidR="00F94A15" w:rsidRPr="00ED4C18" w:rsidRDefault="00A445E1" w:rsidP="00B85146">
      <w:pPr>
        <w:pStyle w:val="ListParagraph"/>
        <w:numPr>
          <w:ilvl w:val="1"/>
          <w:numId w:val="1"/>
        </w:numPr>
        <w:jc w:val="both"/>
        <w:rPr>
          <w:szCs w:val="22"/>
        </w:rPr>
      </w:pPr>
      <w:r w:rsidRPr="00B85146">
        <w:rPr>
          <w:szCs w:val="22"/>
        </w:rPr>
        <w:t xml:space="preserve">Overall, the DUSC considered that the current treatments and </w:t>
      </w:r>
      <w:r w:rsidR="00062437" w:rsidRPr="00B85146">
        <w:rPr>
          <w:szCs w:val="22"/>
        </w:rPr>
        <w:t xml:space="preserve">treatment </w:t>
      </w:r>
      <w:r w:rsidRPr="00B85146">
        <w:rPr>
          <w:szCs w:val="22"/>
        </w:rPr>
        <w:t>capacity are well understood but that</w:t>
      </w:r>
      <w:r w:rsidR="00062437" w:rsidRPr="00B85146">
        <w:rPr>
          <w:szCs w:val="22"/>
        </w:rPr>
        <w:t xml:space="preserve"> </w:t>
      </w:r>
      <w:r w:rsidRPr="00B85146">
        <w:rPr>
          <w:szCs w:val="22"/>
        </w:rPr>
        <w:t>utilisation could vary substantially from that presented in the submission</w:t>
      </w:r>
      <w:r w:rsidR="00394947" w:rsidRPr="00B85146">
        <w:rPr>
          <w:szCs w:val="22"/>
        </w:rPr>
        <w:t xml:space="preserve">. </w:t>
      </w:r>
    </w:p>
    <w:p w:rsidR="00CE5A4C" w:rsidRPr="00ED4C18" w:rsidRDefault="00CE5A4C" w:rsidP="002D1D3C">
      <w:pPr>
        <w:jc w:val="both"/>
        <w:rPr>
          <w:szCs w:val="22"/>
        </w:rPr>
      </w:pPr>
    </w:p>
    <w:p w:rsidR="00BB7EC3" w:rsidRPr="00ED4C18" w:rsidRDefault="00BB7EC3" w:rsidP="00BB7EC3">
      <w:pPr>
        <w:pStyle w:val="ListParagraph"/>
        <w:ind w:left="709"/>
        <w:jc w:val="both"/>
        <w:rPr>
          <w:i/>
          <w:szCs w:val="22"/>
        </w:rPr>
      </w:pPr>
      <w:r w:rsidRPr="00ED4C18">
        <w:rPr>
          <w:i/>
          <w:szCs w:val="22"/>
        </w:rPr>
        <w:t>For more detail on PBAC’s view, see section 7 “PBAC outcome”</w:t>
      </w:r>
    </w:p>
    <w:p w:rsidR="004E1476" w:rsidRPr="00B85146" w:rsidRDefault="004E1476" w:rsidP="00B85146">
      <w:pPr>
        <w:jc w:val="both"/>
        <w:rPr>
          <w:szCs w:val="22"/>
        </w:rPr>
      </w:pPr>
    </w:p>
    <w:p w:rsidR="00CE10C4" w:rsidRPr="00ED4C18" w:rsidRDefault="00CE10C4" w:rsidP="00882085">
      <w:pPr>
        <w:jc w:val="both"/>
        <w:rPr>
          <w:b/>
          <w:szCs w:val="22"/>
        </w:rPr>
      </w:pPr>
    </w:p>
    <w:p w:rsidR="00326E79" w:rsidRPr="00ED4C18" w:rsidRDefault="00A62C1A" w:rsidP="00B85146">
      <w:pPr>
        <w:pStyle w:val="Header"/>
        <w:numPr>
          <w:ilvl w:val="0"/>
          <w:numId w:val="1"/>
        </w:numPr>
        <w:tabs>
          <w:tab w:val="clear" w:pos="4153"/>
          <w:tab w:val="clear" w:pos="8306"/>
        </w:tabs>
        <w:jc w:val="both"/>
        <w:rPr>
          <w:b/>
          <w:szCs w:val="22"/>
        </w:rPr>
      </w:pPr>
      <w:r w:rsidRPr="00ED4C18">
        <w:rPr>
          <w:b/>
          <w:szCs w:val="22"/>
        </w:rPr>
        <w:t xml:space="preserve">PBAC </w:t>
      </w:r>
      <w:r w:rsidR="00930937" w:rsidRPr="00ED4C18">
        <w:rPr>
          <w:b/>
          <w:szCs w:val="22"/>
        </w:rPr>
        <w:t>Outcome</w:t>
      </w:r>
      <w:r w:rsidR="00B43E90" w:rsidRPr="00ED4C18">
        <w:rPr>
          <w:b/>
          <w:szCs w:val="22"/>
        </w:rPr>
        <w:t xml:space="preserve"> </w:t>
      </w:r>
    </w:p>
    <w:p w:rsidR="00B43E90" w:rsidRPr="00ED4C18" w:rsidRDefault="00B43E90" w:rsidP="00882085">
      <w:pPr>
        <w:jc w:val="both"/>
        <w:rPr>
          <w:b/>
          <w:szCs w:val="22"/>
        </w:rPr>
      </w:pPr>
    </w:p>
    <w:p w:rsidR="00116AAC" w:rsidRPr="00ED4C18" w:rsidRDefault="006E7876" w:rsidP="00B85146">
      <w:pPr>
        <w:pStyle w:val="ListParagraph"/>
        <w:numPr>
          <w:ilvl w:val="1"/>
          <w:numId w:val="1"/>
        </w:numPr>
        <w:jc w:val="both"/>
        <w:rPr>
          <w:szCs w:val="22"/>
        </w:rPr>
      </w:pPr>
      <w:r w:rsidRPr="00ED4C18">
        <w:rPr>
          <w:szCs w:val="22"/>
        </w:rPr>
        <w:t xml:space="preserve">The PBAC rejected the submission </w:t>
      </w:r>
      <w:r w:rsidR="00D20C73" w:rsidRPr="00ED4C18">
        <w:rPr>
          <w:szCs w:val="22"/>
        </w:rPr>
        <w:t>for Section 100 (Hi</w:t>
      </w:r>
      <w:r w:rsidR="006A2C26" w:rsidRPr="00ED4C18">
        <w:rPr>
          <w:szCs w:val="22"/>
        </w:rPr>
        <w:t>ghly Specialised Drugs Program)</w:t>
      </w:r>
      <w:r w:rsidR="00D20C73" w:rsidRPr="00ED4C18">
        <w:rPr>
          <w:szCs w:val="22"/>
        </w:rPr>
        <w:t xml:space="preserve"> Authority Required (STREAMLINED) listing for </w:t>
      </w:r>
      <w:proofErr w:type="spellStart"/>
      <w:r w:rsidR="00D20C73" w:rsidRPr="00ED4C18">
        <w:rPr>
          <w:szCs w:val="22"/>
        </w:rPr>
        <w:t>sofosbuvir</w:t>
      </w:r>
      <w:proofErr w:type="spellEnd"/>
      <w:r w:rsidR="00D20C73" w:rsidRPr="00ED4C18">
        <w:rPr>
          <w:szCs w:val="22"/>
        </w:rPr>
        <w:t xml:space="preserve"> for the treatment of chronic hepatitis C </w:t>
      </w:r>
      <w:r w:rsidRPr="00ED4C18">
        <w:rPr>
          <w:szCs w:val="22"/>
        </w:rPr>
        <w:t xml:space="preserve">on the basis of unacceptably high and likely underestimated cost-effectiveness and </w:t>
      </w:r>
      <w:r w:rsidR="00D20C73" w:rsidRPr="00ED4C18">
        <w:rPr>
          <w:szCs w:val="22"/>
        </w:rPr>
        <w:t xml:space="preserve">the </w:t>
      </w:r>
      <w:r w:rsidRPr="00ED4C18">
        <w:rPr>
          <w:szCs w:val="22"/>
        </w:rPr>
        <w:t xml:space="preserve">high and likely underestimated </w:t>
      </w:r>
      <w:r w:rsidR="00BC1F32" w:rsidRPr="00ED4C18">
        <w:rPr>
          <w:szCs w:val="22"/>
        </w:rPr>
        <w:t>budget impact on the PBS</w:t>
      </w:r>
      <w:r w:rsidRPr="00ED4C18">
        <w:rPr>
          <w:szCs w:val="22"/>
        </w:rPr>
        <w:t xml:space="preserve">. </w:t>
      </w:r>
    </w:p>
    <w:p w:rsidR="006A2C26" w:rsidRPr="00ED4C18" w:rsidRDefault="006A2C26" w:rsidP="006A2C26">
      <w:pPr>
        <w:jc w:val="both"/>
        <w:rPr>
          <w:szCs w:val="22"/>
        </w:rPr>
      </w:pPr>
    </w:p>
    <w:p w:rsidR="00057F74" w:rsidRPr="00ED4C18" w:rsidRDefault="00BC1F32" w:rsidP="00B85146">
      <w:pPr>
        <w:pStyle w:val="ListParagraph"/>
        <w:numPr>
          <w:ilvl w:val="1"/>
          <w:numId w:val="1"/>
        </w:numPr>
        <w:jc w:val="both"/>
        <w:rPr>
          <w:szCs w:val="22"/>
        </w:rPr>
      </w:pPr>
      <w:r w:rsidRPr="00ED4C18">
        <w:rPr>
          <w:szCs w:val="22"/>
        </w:rPr>
        <w:t>The PBAC recognised that treatment of HCV can be curative, compared to other viral infections such as HIV and HBV</w:t>
      </w:r>
      <w:r w:rsidR="00062437" w:rsidRPr="00ED4C18">
        <w:rPr>
          <w:szCs w:val="22"/>
        </w:rPr>
        <w:t>.</w:t>
      </w:r>
      <w:r w:rsidRPr="00ED4C18">
        <w:rPr>
          <w:szCs w:val="22"/>
        </w:rPr>
        <w:t xml:space="preserve"> </w:t>
      </w:r>
      <w:proofErr w:type="spellStart"/>
      <w:r w:rsidR="00062437" w:rsidRPr="00ED4C18">
        <w:rPr>
          <w:szCs w:val="22"/>
        </w:rPr>
        <w:t>S</w:t>
      </w:r>
      <w:r w:rsidRPr="00ED4C18">
        <w:rPr>
          <w:szCs w:val="22"/>
        </w:rPr>
        <w:t>ofosbuvir</w:t>
      </w:r>
      <w:proofErr w:type="spellEnd"/>
      <w:r w:rsidRPr="00ED4C18">
        <w:rPr>
          <w:szCs w:val="22"/>
        </w:rPr>
        <w:t xml:space="preserve"> is the first </w:t>
      </w:r>
      <w:r w:rsidR="003813A3" w:rsidRPr="00ED4C18">
        <w:rPr>
          <w:szCs w:val="22"/>
        </w:rPr>
        <w:t xml:space="preserve">oral direct acting antiviral agent (DAA) </w:t>
      </w:r>
      <w:r w:rsidR="00062437" w:rsidRPr="00ED4C18">
        <w:rPr>
          <w:szCs w:val="22"/>
        </w:rPr>
        <w:t>that</w:t>
      </w:r>
      <w:r w:rsidR="003813A3" w:rsidRPr="00ED4C18">
        <w:rPr>
          <w:szCs w:val="22"/>
        </w:rPr>
        <w:t xml:space="preserve"> can be used to treat HCV genotypes 1-6 and provide</w:t>
      </w:r>
      <w:r w:rsidR="00062437" w:rsidRPr="00ED4C18">
        <w:rPr>
          <w:szCs w:val="22"/>
        </w:rPr>
        <w:t>s</w:t>
      </w:r>
      <w:r w:rsidR="003813A3" w:rsidRPr="00ED4C18">
        <w:rPr>
          <w:szCs w:val="22"/>
        </w:rPr>
        <w:t xml:space="preserve"> patients with the first interferon-free treatment option</w:t>
      </w:r>
      <w:r w:rsidR="00F76CE9" w:rsidRPr="00ED4C18">
        <w:rPr>
          <w:szCs w:val="22"/>
        </w:rPr>
        <w:t>. These</w:t>
      </w:r>
      <w:r w:rsidR="00062437" w:rsidRPr="00ED4C18">
        <w:rPr>
          <w:szCs w:val="22"/>
        </w:rPr>
        <w:t xml:space="preserve"> benefits</w:t>
      </w:r>
      <w:r w:rsidR="00F76CE9" w:rsidRPr="00ED4C18">
        <w:rPr>
          <w:szCs w:val="22"/>
        </w:rPr>
        <w:t xml:space="preserve"> </w:t>
      </w:r>
      <w:r w:rsidR="00E63264" w:rsidRPr="00ED4C18">
        <w:rPr>
          <w:szCs w:val="22"/>
        </w:rPr>
        <w:t xml:space="preserve">of new treatments </w:t>
      </w:r>
      <w:r w:rsidR="00F76CE9" w:rsidRPr="00ED4C18">
        <w:rPr>
          <w:szCs w:val="22"/>
        </w:rPr>
        <w:t xml:space="preserve">were highlighted by the large number of comments from patients, health care professionals and </w:t>
      </w:r>
      <w:r w:rsidR="003C0F1F" w:rsidRPr="00ED4C18">
        <w:rPr>
          <w:szCs w:val="22"/>
        </w:rPr>
        <w:t>organisations.</w:t>
      </w:r>
      <w:r w:rsidR="00F76CE9" w:rsidRPr="00ED4C18">
        <w:rPr>
          <w:szCs w:val="22"/>
        </w:rPr>
        <w:t xml:space="preserve"> </w:t>
      </w:r>
    </w:p>
    <w:p w:rsidR="003C0F1F" w:rsidRPr="00ED4C18" w:rsidRDefault="003C0F1F" w:rsidP="003C0F1F">
      <w:pPr>
        <w:jc w:val="both"/>
        <w:rPr>
          <w:szCs w:val="22"/>
        </w:rPr>
      </w:pPr>
    </w:p>
    <w:p w:rsidR="00BF4000" w:rsidRPr="00ED4C18" w:rsidRDefault="00B244B4" w:rsidP="00B85146">
      <w:pPr>
        <w:pStyle w:val="ListParagraph"/>
        <w:numPr>
          <w:ilvl w:val="1"/>
          <w:numId w:val="1"/>
        </w:numPr>
        <w:jc w:val="both"/>
        <w:rPr>
          <w:szCs w:val="22"/>
        </w:rPr>
      </w:pPr>
      <w:r w:rsidRPr="00ED4C18">
        <w:rPr>
          <w:szCs w:val="22"/>
        </w:rPr>
        <w:t xml:space="preserve">The PBAC noted the issues </w:t>
      </w:r>
      <w:proofErr w:type="gramStart"/>
      <w:r w:rsidRPr="00ED4C18">
        <w:rPr>
          <w:szCs w:val="22"/>
        </w:rPr>
        <w:t>raised</w:t>
      </w:r>
      <w:proofErr w:type="gramEnd"/>
      <w:r w:rsidRPr="00ED4C18">
        <w:rPr>
          <w:szCs w:val="22"/>
        </w:rPr>
        <w:t xml:space="preserve"> about the proposed restriction during the evaluation and consideration by the ESC and the DUSC. </w:t>
      </w:r>
      <w:r w:rsidR="000D4884" w:rsidRPr="00ED4C18">
        <w:rPr>
          <w:szCs w:val="22"/>
        </w:rPr>
        <w:t>The PBAC considered these issues should be addressed in any resubmission to the PBAC. In particular</w:t>
      </w:r>
      <w:r w:rsidR="00BF4000" w:rsidRPr="00ED4C18">
        <w:rPr>
          <w:szCs w:val="22"/>
        </w:rPr>
        <w:t>:</w:t>
      </w:r>
    </w:p>
    <w:p w:rsidR="00253C88" w:rsidRPr="00ED4C18" w:rsidRDefault="00253C88" w:rsidP="009631CB">
      <w:pPr>
        <w:pStyle w:val="ListParagraph"/>
        <w:numPr>
          <w:ilvl w:val="1"/>
          <w:numId w:val="49"/>
        </w:numPr>
        <w:jc w:val="both"/>
        <w:rPr>
          <w:szCs w:val="22"/>
        </w:rPr>
      </w:pPr>
      <w:r w:rsidRPr="00ED4C18">
        <w:rPr>
          <w:szCs w:val="22"/>
        </w:rPr>
        <w:lastRenderedPageBreak/>
        <w:t xml:space="preserve">Any new proposed restriction should allow </w:t>
      </w:r>
      <w:proofErr w:type="spellStart"/>
      <w:r w:rsidRPr="00ED4C18">
        <w:rPr>
          <w:szCs w:val="22"/>
        </w:rPr>
        <w:t>sofosbuvir</w:t>
      </w:r>
      <w:proofErr w:type="spellEnd"/>
      <w:r w:rsidRPr="00ED4C18">
        <w:rPr>
          <w:szCs w:val="22"/>
        </w:rPr>
        <w:t xml:space="preserve"> to be accessed by patients infected with all genotypes. </w:t>
      </w:r>
    </w:p>
    <w:p w:rsidR="009631CB" w:rsidRPr="00ED4C18" w:rsidRDefault="00253C88" w:rsidP="009631CB">
      <w:pPr>
        <w:pStyle w:val="ListParagraph"/>
        <w:numPr>
          <w:ilvl w:val="1"/>
          <w:numId w:val="49"/>
        </w:numPr>
        <w:jc w:val="both"/>
        <w:rPr>
          <w:szCs w:val="22"/>
        </w:rPr>
      </w:pPr>
      <w:r w:rsidRPr="00ED4C18">
        <w:rPr>
          <w:szCs w:val="22"/>
        </w:rPr>
        <w:t xml:space="preserve"> </w:t>
      </w:r>
      <w:r w:rsidR="00892C2D" w:rsidRPr="00ED4C18">
        <w:rPr>
          <w:szCs w:val="22"/>
        </w:rPr>
        <w:t xml:space="preserve">The criteria for </w:t>
      </w:r>
      <w:r w:rsidR="00BF4000" w:rsidRPr="00ED4C18">
        <w:rPr>
          <w:szCs w:val="22"/>
        </w:rPr>
        <w:t>‘</w:t>
      </w:r>
      <w:r w:rsidR="00D20C73" w:rsidRPr="00ED4C18">
        <w:rPr>
          <w:szCs w:val="22"/>
        </w:rPr>
        <w:t>Patients</w:t>
      </w:r>
      <w:r w:rsidR="00057F74" w:rsidRPr="00ED4C18">
        <w:rPr>
          <w:szCs w:val="22"/>
        </w:rPr>
        <w:t xml:space="preserve"> unsuitable for </w:t>
      </w:r>
      <w:r w:rsidR="006945CD" w:rsidRPr="00ED4C18">
        <w:rPr>
          <w:szCs w:val="22"/>
        </w:rPr>
        <w:t>treatment</w:t>
      </w:r>
      <w:r w:rsidR="00057F74" w:rsidRPr="00ED4C18">
        <w:rPr>
          <w:szCs w:val="22"/>
        </w:rPr>
        <w:t xml:space="preserve"> with </w:t>
      </w:r>
      <w:r w:rsidR="00E63264" w:rsidRPr="00ED4C18">
        <w:rPr>
          <w:szCs w:val="22"/>
        </w:rPr>
        <w:t>interferon</w:t>
      </w:r>
      <w:r w:rsidR="00057F74" w:rsidRPr="00ED4C18">
        <w:rPr>
          <w:szCs w:val="22"/>
        </w:rPr>
        <w:t xml:space="preserve"> based therapy</w:t>
      </w:r>
      <w:r w:rsidR="00BF4000" w:rsidRPr="00ED4C18">
        <w:rPr>
          <w:szCs w:val="22"/>
        </w:rPr>
        <w:t>’</w:t>
      </w:r>
      <w:r w:rsidR="00892C2D" w:rsidRPr="00ED4C18">
        <w:rPr>
          <w:szCs w:val="22"/>
        </w:rPr>
        <w:t xml:space="preserve"> to access interferon-free treatment regimens had not yet been defined</w:t>
      </w:r>
      <w:r w:rsidR="00BF4000" w:rsidRPr="00ED4C18">
        <w:rPr>
          <w:szCs w:val="22"/>
        </w:rPr>
        <w:t>.</w:t>
      </w:r>
      <w:r w:rsidR="00892C2D" w:rsidRPr="00ED4C18">
        <w:rPr>
          <w:szCs w:val="22"/>
        </w:rPr>
        <w:t xml:space="preserve"> The PBAC noted the proposed definition by the sponsor in the PSCR and pre-PBAC response and </w:t>
      </w:r>
      <w:r w:rsidR="000D4884" w:rsidRPr="00ED4C18">
        <w:rPr>
          <w:szCs w:val="22"/>
        </w:rPr>
        <w:t>agreed with</w:t>
      </w:r>
      <w:r w:rsidR="00C60664" w:rsidRPr="00ED4C18">
        <w:rPr>
          <w:szCs w:val="22"/>
        </w:rPr>
        <w:t xml:space="preserve"> the ESC and DUSC about the</w:t>
      </w:r>
      <w:r w:rsidR="00892C2D" w:rsidRPr="00ED4C18">
        <w:rPr>
          <w:szCs w:val="22"/>
        </w:rPr>
        <w:t xml:space="preserve"> </w:t>
      </w:r>
      <w:r w:rsidR="00C60664" w:rsidRPr="00ED4C18">
        <w:rPr>
          <w:szCs w:val="22"/>
        </w:rPr>
        <w:t>difficulty</w:t>
      </w:r>
      <w:r w:rsidR="00892C2D" w:rsidRPr="00ED4C18">
        <w:rPr>
          <w:szCs w:val="22"/>
        </w:rPr>
        <w:t xml:space="preserve"> to </w:t>
      </w:r>
      <w:r w:rsidR="00C60664" w:rsidRPr="00ED4C18">
        <w:rPr>
          <w:szCs w:val="22"/>
        </w:rPr>
        <w:t xml:space="preserve">implement </w:t>
      </w:r>
      <w:r w:rsidR="00054699" w:rsidRPr="00ED4C18">
        <w:rPr>
          <w:szCs w:val="22"/>
        </w:rPr>
        <w:t xml:space="preserve">a complex definition of ‘unsuitable for interferon’ in </w:t>
      </w:r>
      <w:r w:rsidR="000D4884" w:rsidRPr="00ED4C18">
        <w:rPr>
          <w:szCs w:val="22"/>
        </w:rPr>
        <w:t xml:space="preserve">the </w:t>
      </w:r>
      <w:r w:rsidR="00892C2D" w:rsidRPr="00ED4C18">
        <w:rPr>
          <w:szCs w:val="22"/>
        </w:rPr>
        <w:t>restriction</w:t>
      </w:r>
      <w:r w:rsidR="00054699" w:rsidRPr="00ED4C18">
        <w:rPr>
          <w:szCs w:val="22"/>
        </w:rPr>
        <w:t xml:space="preserve"> and if the definition is broadly interpreted in practice, there is the high likelihood of use beyond the requested restriction</w:t>
      </w:r>
      <w:r w:rsidR="00892C2D" w:rsidRPr="00ED4C18">
        <w:rPr>
          <w:szCs w:val="22"/>
        </w:rPr>
        <w:t>.</w:t>
      </w:r>
    </w:p>
    <w:p w:rsidR="00C12CFC" w:rsidRPr="00ED4C18" w:rsidRDefault="009631CB" w:rsidP="00C12CFC">
      <w:pPr>
        <w:pStyle w:val="ListParagraph"/>
        <w:numPr>
          <w:ilvl w:val="1"/>
          <w:numId w:val="49"/>
        </w:numPr>
        <w:jc w:val="both"/>
        <w:rPr>
          <w:szCs w:val="22"/>
        </w:rPr>
      </w:pPr>
      <w:r w:rsidRPr="00ED4C18">
        <w:rPr>
          <w:szCs w:val="22"/>
        </w:rPr>
        <w:t xml:space="preserve">The PBAC noted that ribavirin </w:t>
      </w:r>
      <w:r w:rsidR="00116AAC" w:rsidRPr="00ED4C18">
        <w:rPr>
          <w:szCs w:val="22"/>
        </w:rPr>
        <w:t xml:space="preserve">alone </w:t>
      </w:r>
      <w:r w:rsidRPr="00ED4C18">
        <w:rPr>
          <w:szCs w:val="22"/>
        </w:rPr>
        <w:t xml:space="preserve">was not registered on the ARTG. The PBAC was concerned that patients may obtain a co-pack of </w:t>
      </w:r>
      <w:proofErr w:type="spellStart"/>
      <w:r w:rsidRPr="00ED4C18">
        <w:rPr>
          <w:szCs w:val="22"/>
        </w:rPr>
        <w:t>peginterferon</w:t>
      </w:r>
      <w:proofErr w:type="spellEnd"/>
      <w:r w:rsidRPr="00ED4C18">
        <w:rPr>
          <w:szCs w:val="22"/>
        </w:rPr>
        <w:t xml:space="preserve"> and ribavirin and discard </w:t>
      </w:r>
      <w:r w:rsidR="00D03D7C" w:rsidRPr="00ED4C18">
        <w:rPr>
          <w:szCs w:val="22"/>
        </w:rPr>
        <w:t xml:space="preserve">the </w:t>
      </w:r>
      <w:proofErr w:type="spellStart"/>
      <w:r w:rsidRPr="00ED4C18">
        <w:rPr>
          <w:szCs w:val="22"/>
        </w:rPr>
        <w:t>peginterferon</w:t>
      </w:r>
      <w:proofErr w:type="spellEnd"/>
      <w:r w:rsidRPr="00ED4C18">
        <w:rPr>
          <w:szCs w:val="22"/>
        </w:rPr>
        <w:t>.</w:t>
      </w:r>
    </w:p>
    <w:p w:rsidR="00116AAC" w:rsidRPr="00ED4C18" w:rsidRDefault="009631CB" w:rsidP="00D20C73">
      <w:pPr>
        <w:pStyle w:val="ListParagraph"/>
        <w:numPr>
          <w:ilvl w:val="1"/>
          <w:numId w:val="49"/>
        </w:numPr>
        <w:jc w:val="both"/>
        <w:rPr>
          <w:szCs w:val="22"/>
        </w:rPr>
      </w:pPr>
      <w:r w:rsidRPr="00ED4C18">
        <w:rPr>
          <w:szCs w:val="22"/>
        </w:rPr>
        <w:t>The PBAC noted that</w:t>
      </w:r>
      <w:r w:rsidR="00062437" w:rsidRPr="00ED4C18">
        <w:rPr>
          <w:szCs w:val="22"/>
        </w:rPr>
        <w:t xml:space="preserve"> </w:t>
      </w:r>
      <w:r w:rsidRPr="00ED4C18">
        <w:rPr>
          <w:szCs w:val="22"/>
        </w:rPr>
        <w:t xml:space="preserve">eligibility criteria </w:t>
      </w:r>
      <w:r w:rsidR="00062437" w:rsidRPr="00ED4C18">
        <w:rPr>
          <w:szCs w:val="22"/>
        </w:rPr>
        <w:t xml:space="preserve">based on stage of hepatic fibrosis </w:t>
      </w:r>
      <w:r w:rsidRPr="00ED4C18">
        <w:rPr>
          <w:szCs w:val="22"/>
        </w:rPr>
        <w:t xml:space="preserve">was proposed by the ESC. </w:t>
      </w:r>
      <w:r w:rsidR="00062437" w:rsidRPr="00ED4C18">
        <w:rPr>
          <w:szCs w:val="22"/>
        </w:rPr>
        <w:t>However, t</w:t>
      </w:r>
      <w:r w:rsidRPr="00ED4C18">
        <w:rPr>
          <w:szCs w:val="22"/>
        </w:rPr>
        <w:t xml:space="preserve">he PBAC agreed with the sponsor that </w:t>
      </w:r>
      <w:r w:rsidR="00CF319C" w:rsidRPr="00ED4C18">
        <w:rPr>
          <w:szCs w:val="22"/>
        </w:rPr>
        <w:t xml:space="preserve">currently </w:t>
      </w:r>
      <w:r w:rsidRPr="00ED4C18">
        <w:rPr>
          <w:szCs w:val="22"/>
        </w:rPr>
        <w:t xml:space="preserve">it is </w:t>
      </w:r>
      <w:r w:rsidR="00CF319C" w:rsidRPr="00ED4C18">
        <w:rPr>
          <w:szCs w:val="22"/>
        </w:rPr>
        <w:t xml:space="preserve">difficult to implement </w:t>
      </w:r>
      <w:r w:rsidR="00062437" w:rsidRPr="00ED4C18">
        <w:rPr>
          <w:szCs w:val="22"/>
        </w:rPr>
        <w:t>this approach.</w:t>
      </w:r>
    </w:p>
    <w:p w:rsidR="00BB7EC3" w:rsidRPr="00ED4C18" w:rsidRDefault="00BB7EC3" w:rsidP="00BB7EC3">
      <w:pPr>
        <w:pStyle w:val="ListParagraph"/>
        <w:rPr>
          <w:szCs w:val="22"/>
        </w:rPr>
      </w:pPr>
    </w:p>
    <w:p w:rsidR="00BB7EC3" w:rsidRPr="00ED4C18" w:rsidRDefault="00C12CFC" w:rsidP="00B85146">
      <w:pPr>
        <w:pStyle w:val="ListParagraph"/>
        <w:numPr>
          <w:ilvl w:val="1"/>
          <w:numId w:val="1"/>
        </w:numPr>
        <w:jc w:val="both"/>
        <w:rPr>
          <w:szCs w:val="22"/>
        </w:rPr>
      </w:pPr>
      <w:r w:rsidRPr="00ED4C18">
        <w:rPr>
          <w:szCs w:val="22"/>
        </w:rPr>
        <w:t xml:space="preserve">The PBAC agreed with the ESC and the DUSC that consideration of new treatment options for HCV should be framed in the evolving treatment landscape </w:t>
      </w:r>
      <w:r w:rsidR="00F4133C" w:rsidRPr="00ED4C18">
        <w:rPr>
          <w:szCs w:val="22"/>
        </w:rPr>
        <w:t>where patients are most likely waiting for the availability of</w:t>
      </w:r>
      <w:r w:rsidRPr="00ED4C18">
        <w:rPr>
          <w:szCs w:val="22"/>
        </w:rPr>
        <w:t xml:space="preserve"> interferon-free regimens.</w:t>
      </w:r>
      <w:r w:rsidR="00D20C73" w:rsidRPr="00ED4C18">
        <w:rPr>
          <w:szCs w:val="22"/>
        </w:rPr>
        <w:t xml:space="preserve"> </w:t>
      </w:r>
      <w:r w:rsidR="00D20C73" w:rsidRPr="00E955FD">
        <w:rPr>
          <w:szCs w:val="22"/>
        </w:rPr>
        <w:t>The PBAC noted that the sponsor proposed to exclude IFN-unsuitable patients with genotype 1 disease from the restriction</w:t>
      </w:r>
      <w:r w:rsidR="00E955FD" w:rsidRPr="00ED4C18">
        <w:rPr>
          <w:szCs w:val="22"/>
        </w:rPr>
        <w:t>.</w:t>
      </w:r>
      <w:r w:rsidR="00D20C73" w:rsidRPr="00E955FD">
        <w:rPr>
          <w:szCs w:val="22"/>
        </w:rPr>
        <w:t xml:space="preserve"> </w:t>
      </w:r>
      <w:r w:rsidR="003266CF" w:rsidRPr="00ED4C18">
        <w:rPr>
          <w:szCs w:val="22"/>
        </w:rPr>
        <w:t xml:space="preserve">The PBAC considered that on the contrary, IFN-free regimens were likely to become the standard treatment in the near future. </w:t>
      </w:r>
      <w:r w:rsidR="00F4133C" w:rsidRPr="00ED4C18">
        <w:rPr>
          <w:szCs w:val="22"/>
        </w:rPr>
        <w:t xml:space="preserve"> </w:t>
      </w:r>
      <w:r w:rsidR="003266CF" w:rsidRPr="00ED4C18">
        <w:rPr>
          <w:szCs w:val="22"/>
        </w:rPr>
        <w:t xml:space="preserve">As an example of the rapidly evolving treatment landscape, </w:t>
      </w:r>
      <w:r w:rsidR="00D03D7C" w:rsidRPr="00ED4C18">
        <w:rPr>
          <w:szCs w:val="22"/>
        </w:rPr>
        <w:t xml:space="preserve">both </w:t>
      </w:r>
      <w:proofErr w:type="spellStart"/>
      <w:r w:rsidR="00D03D7C" w:rsidRPr="00ED4C18">
        <w:rPr>
          <w:szCs w:val="22"/>
        </w:rPr>
        <w:t>telaprevir</w:t>
      </w:r>
      <w:proofErr w:type="spellEnd"/>
      <w:r w:rsidR="00D03D7C" w:rsidRPr="00ED4C18">
        <w:rPr>
          <w:szCs w:val="22"/>
        </w:rPr>
        <w:t xml:space="preserve"> and </w:t>
      </w:r>
      <w:proofErr w:type="spellStart"/>
      <w:r w:rsidR="00D03D7C" w:rsidRPr="00ED4C18">
        <w:rPr>
          <w:szCs w:val="22"/>
        </w:rPr>
        <w:t>boceprevir</w:t>
      </w:r>
      <w:proofErr w:type="spellEnd"/>
      <w:r w:rsidR="00D03D7C" w:rsidRPr="00ED4C18">
        <w:rPr>
          <w:szCs w:val="22"/>
        </w:rPr>
        <w:t>, each with PEG+RBV were</w:t>
      </w:r>
      <w:r w:rsidR="00F4133C" w:rsidRPr="00ED4C18">
        <w:rPr>
          <w:szCs w:val="22"/>
        </w:rPr>
        <w:t xml:space="preserve"> recommended </w:t>
      </w:r>
      <w:r w:rsidR="003266CF" w:rsidRPr="00ED4C18">
        <w:rPr>
          <w:szCs w:val="22"/>
        </w:rPr>
        <w:t>for use in Australia in 2012</w:t>
      </w:r>
      <w:r w:rsidR="00D03D7C" w:rsidRPr="00ED4C18">
        <w:rPr>
          <w:szCs w:val="22"/>
        </w:rPr>
        <w:t xml:space="preserve"> and </w:t>
      </w:r>
      <w:r w:rsidR="003266CF" w:rsidRPr="00ED4C18">
        <w:rPr>
          <w:szCs w:val="22"/>
        </w:rPr>
        <w:t>are now not</w:t>
      </w:r>
      <w:r w:rsidR="00F4133C" w:rsidRPr="00ED4C18">
        <w:rPr>
          <w:szCs w:val="22"/>
        </w:rPr>
        <w:t xml:space="preserve"> recommended for the treatment of patients with HCV genotype 1 in the guidelines of the American Association for the Study of Liver Disease and the Infectious Disease Society of America. The PBAC noted that over 30 DAAs </w:t>
      </w:r>
      <w:r w:rsidR="00E63264" w:rsidRPr="00ED4C18">
        <w:rPr>
          <w:szCs w:val="22"/>
        </w:rPr>
        <w:t xml:space="preserve">are </w:t>
      </w:r>
      <w:r w:rsidR="00F4133C" w:rsidRPr="00ED4C18">
        <w:rPr>
          <w:szCs w:val="22"/>
        </w:rPr>
        <w:t xml:space="preserve">in clinical development, including inhibitors of NS5A, NS5B and NS3/4A as well as host-targeting antivirals. </w:t>
      </w:r>
    </w:p>
    <w:p w:rsidR="00282ECC" w:rsidRPr="00ED4C18" w:rsidRDefault="00282ECC" w:rsidP="00282ECC">
      <w:pPr>
        <w:jc w:val="both"/>
        <w:rPr>
          <w:szCs w:val="22"/>
        </w:rPr>
      </w:pPr>
    </w:p>
    <w:p w:rsidR="00BB7EC3" w:rsidRPr="00ED4C18" w:rsidRDefault="009C28AD" w:rsidP="00B85146">
      <w:pPr>
        <w:pStyle w:val="ListParagraph"/>
        <w:numPr>
          <w:ilvl w:val="1"/>
          <w:numId w:val="1"/>
        </w:numPr>
        <w:jc w:val="both"/>
        <w:rPr>
          <w:szCs w:val="22"/>
        </w:rPr>
      </w:pPr>
      <w:r w:rsidRPr="00ED4C18">
        <w:rPr>
          <w:szCs w:val="22"/>
        </w:rPr>
        <w:t xml:space="preserve">The submission proposed the current active treatments as the comparator for the treatment of different HCV genotypes. </w:t>
      </w:r>
      <w:r w:rsidR="007F5C5C" w:rsidRPr="00ED4C18">
        <w:rPr>
          <w:szCs w:val="22"/>
        </w:rPr>
        <w:t xml:space="preserve">While </w:t>
      </w:r>
      <w:r w:rsidRPr="00ED4C18">
        <w:rPr>
          <w:szCs w:val="22"/>
        </w:rPr>
        <w:t>appropriate in the context of</w:t>
      </w:r>
      <w:r w:rsidR="007F5C5C" w:rsidRPr="00ED4C18">
        <w:rPr>
          <w:szCs w:val="22"/>
        </w:rPr>
        <w:t xml:space="preserve"> patients seeking treatment, the PBAC considered that the appropriate comparator is no treatment in view of</w:t>
      </w:r>
      <w:r w:rsidRPr="00ED4C18">
        <w:rPr>
          <w:szCs w:val="22"/>
        </w:rPr>
        <w:t xml:space="preserve"> the broader context of infected individual</w:t>
      </w:r>
      <w:r w:rsidR="007F5C5C" w:rsidRPr="00ED4C18">
        <w:rPr>
          <w:szCs w:val="22"/>
        </w:rPr>
        <w:t xml:space="preserve">s whose treatment preference is interferon-free therapies. </w:t>
      </w:r>
    </w:p>
    <w:p w:rsidR="00BB7EC3" w:rsidRPr="00ED4C18" w:rsidRDefault="00BB7EC3" w:rsidP="00BB7EC3">
      <w:pPr>
        <w:pStyle w:val="ListParagraph"/>
        <w:rPr>
          <w:szCs w:val="22"/>
        </w:rPr>
      </w:pPr>
    </w:p>
    <w:p w:rsidR="00BB7EC3" w:rsidRPr="00ED4C18" w:rsidRDefault="00AB6D56" w:rsidP="00B85146">
      <w:pPr>
        <w:pStyle w:val="ListParagraph"/>
        <w:numPr>
          <w:ilvl w:val="1"/>
          <w:numId w:val="1"/>
        </w:numPr>
        <w:jc w:val="both"/>
        <w:rPr>
          <w:szCs w:val="22"/>
        </w:rPr>
      </w:pPr>
      <w:r w:rsidRPr="00ED4C18">
        <w:rPr>
          <w:szCs w:val="22"/>
        </w:rPr>
        <w:t xml:space="preserve">The </w:t>
      </w:r>
      <w:r w:rsidR="00DC469B" w:rsidRPr="00ED4C18">
        <w:rPr>
          <w:szCs w:val="22"/>
        </w:rPr>
        <w:t xml:space="preserve">PBAC considered that the </w:t>
      </w:r>
      <w:r w:rsidRPr="00ED4C18">
        <w:rPr>
          <w:szCs w:val="22"/>
        </w:rPr>
        <w:t xml:space="preserve">comparative </w:t>
      </w:r>
      <w:r w:rsidR="00DC469B" w:rsidRPr="00ED4C18">
        <w:rPr>
          <w:szCs w:val="22"/>
        </w:rPr>
        <w:t xml:space="preserve">magnitude of </w:t>
      </w:r>
      <w:r w:rsidRPr="00ED4C18">
        <w:rPr>
          <w:szCs w:val="22"/>
        </w:rPr>
        <w:t xml:space="preserve">the </w:t>
      </w:r>
      <w:r w:rsidR="00DC469B" w:rsidRPr="00ED4C18">
        <w:rPr>
          <w:szCs w:val="22"/>
        </w:rPr>
        <w:t xml:space="preserve">benefit </w:t>
      </w:r>
      <w:r w:rsidRPr="00ED4C18">
        <w:rPr>
          <w:szCs w:val="22"/>
        </w:rPr>
        <w:t xml:space="preserve">(SVR) of </w:t>
      </w:r>
      <w:proofErr w:type="spellStart"/>
      <w:r w:rsidRPr="00ED4C18">
        <w:rPr>
          <w:szCs w:val="22"/>
        </w:rPr>
        <w:t>sofosbuvir</w:t>
      </w:r>
      <w:proofErr w:type="spellEnd"/>
      <w:r w:rsidRPr="00ED4C18">
        <w:rPr>
          <w:szCs w:val="22"/>
        </w:rPr>
        <w:t xml:space="preserve"> presented in the submission</w:t>
      </w:r>
      <w:r w:rsidR="00D11586" w:rsidRPr="00ED4C18">
        <w:rPr>
          <w:szCs w:val="22"/>
        </w:rPr>
        <w:t xml:space="preserve"> </w:t>
      </w:r>
      <w:r w:rsidR="00DC469B" w:rsidRPr="00ED4C18">
        <w:rPr>
          <w:szCs w:val="22"/>
        </w:rPr>
        <w:t xml:space="preserve">was uncertain due to </w:t>
      </w:r>
      <w:r w:rsidR="00E5155A" w:rsidRPr="00ED4C18">
        <w:rPr>
          <w:szCs w:val="22"/>
        </w:rPr>
        <w:t>reliance on</w:t>
      </w:r>
      <w:r w:rsidR="00E63264" w:rsidRPr="00ED4C18">
        <w:rPr>
          <w:szCs w:val="22"/>
        </w:rPr>
        <w:t xml:space="preserve"> the single arm trials, some of which involved </w:t>
      </w:r>
      <w:r w:rsidR="00DC469B" w:rsidRPr="00ED4C18">
        <w:rPr>
          <w:szCs w:val="22"/>
        </w:rPr>
        <w:t xml:space="preserve">a small number of patients.  </w:t>
      </w:r>
      <w:r w:rsidR="00473DA5" w:rsidRPr="00B85146">
        <w:rPr>
          <w:szCs w:val="22"/>
        </w:rPr>
        <w:t xml:space="preserve">The PBAC agreed with ESC that the evidence provided in the submission was the best available as the development program of </w:t>
      </w:r>
      <w:proofErr w:type="spellStart"/>
      <w:r w:rsidR="00473DA5" w:rsidRPr="00B85146">
        <w:rPr>
          <w:szCs w:val="22"/>
        </w:rPr>
        <w:t>sofosbuvir</w:t>
      </w:r>
      <w:proofErr w:type="spellEnd"/>
      <w:r w:rsidR="00473DA5" w:rsidRPr="00B85146">
        <w:rPr>
          <w:szCs w:val="22"/>
        </w:rPr>
        <w:t xml:space="preserve"> has been based predomina</w:t>
      </w:r>
      <w:r w:rsidR="00110EA9" w:rsidRPr="00B85146">
        <w:rPr>
          <w:szCs w:val="22"/>
        </w:rPr>
        <w:t>n</w:t>
      </w:r>
      <w:r w:rsidR="00473DA5" w:rsidRPr="00B85146">
        <w:rPr>
          <w:szCs w:val="22"/>
        </w:rPr>
        <w:t xml:space="preserve">tly on single arm trials. </w:t>
      </w:r>
    </w:p>
    <w:p w:rsidR="00116AAC" w:rsidRPr="00ED4C18" w:rsidRDefault="00116AAC" w:rsidP="00116AAC">
      <w:pPr>
        <w:pStyle w:val="ListParagraph"/>
        <w:rPr>
          <w:szCs w:val="22"/>
        </w:rPr>
      </w:pPr>
    </w:p>
    <w:p w:rsidR="00DC469B" w:rsidRPr="00ED4C18" w:rsidRDefault="00DC469B" w:rsidP="00B85146">
      <w:pPr>
        <w:pStyle w:val="ListParagraph"/>
        <w:numPr>
          <w:ilvl w:val="1"/>
          <w:numId w:val="1"/>
        </w:numPr>
        <w:jc w:val="both"/>
        <w:rPr>
          <w:szCs w:val="22"/>
        </w:rPr>
      </w:pPr>
      <w:r w:rsidRPr="00B85146">
        <w:rPr>
          <w:szCs w:val="22"/>
        </w:rPr>
        <w:t xml:space="preserve">The PBAC noted </w:t>
      </w:r>
      <w:proofErr w:type="spellStart"/>
      <w:r w:rsidR="004B5163" w:rsidRPr="00B85146">
        <w:rPr>
          <w:szCs w:val="22"/>
        </w:rPr>
        <w:t>sofosbuvir</w:t>
      </w:r>
      <w:proofErr w:type="spellEnd"/>
      <w:r w:rsidR="004B5163" w:rsidRPr="00B85146">
        <w:rPr>
          <w:szCs w:val="22"/>
        </w:rPr>
        <w:t xml:space="preserve"> was well tolerated in the trial</w:t>
      </w:r>
      <w:r w:rsidR="00D03D7C" w:rsidRPr="00B85146">
        <w:rPr>
          <w:szCs w:val="22"/>
        </w:rPr>
        <w:t>s</w:t>
      </w:r>
      <w:r w:rsidR="004B5163" w:rsidRPr="00B85146">
        <w:rPr>
          <w:szCs w:val="22"/>
        </w:rPr>
        <w:t xml:space="preserve"> and had</w:t>
      </w:r>
      <w:r w:rsidRPr="00B85146">
        <w:rPr>
          <w:szCs w:val="22"/>
        </w:rPr>
        <w:t xml:space="preserve"> </w:t>
      </w:r>
      <w:r w:rsidR="004B0DDF" w:rsidRPr="00B85146">
        <w:rPr>
          <w:szCs w:val="22"/>
        </w:rPr>
        <w:t xml:space="preserve">superior safety </w:t>
      </w:r>
      <w:r w:rsidRPr="00B85146">
        <w:rPr>
          <w:szCs w:val="22"/>
        </w:rPr>
        <w:t xml:space="preserve">of </w:t>
      </w:r>
      <w:r w:rsidR="004B0DDF" w:rsidRPr="00B85146">
        <w:rPr>
          <w:szCs w:val="22"/>
        </w:rPr>
        <w:t xml:space="preserve">compared to </w:t>
      </w:r>
      <w:r w:rsidRPr="00B85146">
        <w:rPr>
          <w:szCs w:val="22"/>
        </w:rPr>
        <w:t xml:space="preserve">currently PBS-listed treatment. </w:t>
      </w:r>
    </w:p>
    <w:p w:rsidR="004B5163" w:rsidRPr="00ED4C18" w:rsidRDefault="004B5163" w:rsidP="004B5163">
      <w:pPr>
        <w:jc w:val="both"/>
        <w:rPr>
          <w:szCs w:val="22"/>
        </w:rPr>
      </w:pPr>
    </w:p>
    <w:p w:rsidR="001624DD" w:rsidRPr="00ED4C18" w:rsidRDefault="009533AA" w:rsidP="00B85146">
      <w:pPr>
        <w:pStyle w:val="ListParagraph"/>
        <w:numPr>
          <w:ilvl w:val="1"/>
          <w:numId w:val="1"/>
        </w:numPr>
        <w:jc w:val="both"/>
        <w:rPr>
          <w:szCs w:val="22"/>
        </w:rPr>
      </w:pPr>
      <w:r w:rsidRPr="00B85146">
        <w:rPr>
          <w:szCs w:val="22"/>
        </w:rPr>
        <w:t xml:space="preserve">Based on the comparator that the PBAC considered most appropriate, </w:t>
      </w:r>
      <w:proofErr w:type="spellStart"/>
      <w:r w:rsidR="00B17301" w:rsidRPr="00B85146">
        <w:rPr>
          <w:szCs w:val="22"/>
        </w:rPr>
        <w:t>sofosbuvir</w:t>
      </w:r>
      <w:proofErr w:type="spellEnd"/>
      <w:r w:rsidRPr="00B85146">
        <w:rPr>
          <w:szCs w:val="22"/>
        </w:rPr>
        <w:t xml:space="preserve"> had superior efficacy</w:t>
      </w:r>
      <w:r w:rsidR="004B0DDF" w:rsidRPr="00B85146">
        <w:rPr>
          <w:szCs w:val="22"/>
        </w:rPr>
        <w:t xml:space="preserve"> and inferior safety compared to no treatment</w:t>
      </w:r>
      <w:r w:rsidRPr="00B85146">
        <w:rPr>
          <w:szCs w:val="22"/>
        </w:rPr>
        <w:t>.</w:t>
      </w:r>
    </w:p>
    <w:p w:rsidR="00D11586" w:rsidRPr="00ED4C18" w:rsidRDefault="00D11586" w:rsidP="00D11586">
      <w:pPr>
        <w:jc w:val="both"/>
        <w:rPr>
          <w:szCs w:val="22"/>
        </w:rPr>
      </w:pPr>
    </w:p>
    <w:p w:rsidR="009011FE" w:rsidRPr="00ED4C18" w:rsidRDefault="004B5163" w:rsidP="00B85146">
      <w:pPr>
        <w:pStyle w:val="ListParagraph"/>
        <w:numPr>
          <w:ilvl w:val="1"/>
          <w:numId w:val="1"/>
        </w:numPr>
        <w:jc w:val="both"/>
        <w:rPr>
          <w:szCs w:val="22"/>
        </w:rPr>
      </w:pPr>
      <w:r w:rsidRPr="00ED4C18">
        <w:rPr>
          <w:szCs w:val="22"/>
        </w:rPr>
        <w:t xml:space="preserve">The PBAC </w:t>
      </w:r>
      <w:r w:rsidR="00DF51E4" w:rsidRPr="00ED4C18">
        <w:rPr>
          <w:szCs w:val="22"/>
        </w:rPr>
        <w:t>accepted the</w:t>
      </w:r>
      <w:r w:rsidRPr="00ED4C18">
        <w:rPr>
          <w:szCs w:val="22"/>
        </w:rPr>
        <w:t xml:space="preserve"> </w:t>
      </w:r>
      <w:r w:rsidR="00DF51E4" w:rsidRPr="00ED4C18">
        <w:rPr>
          <w:szCs w:val="22"/>
        </w:rPr>
        <w:t xml:space="preserve">economic model, but </w:t>
      </w:r>
      <w:r w:rsidR="00DF51E4" w:rsidRPr="00B85146">
        <w:rPr>
          <w:szCs w:val="22"/>
        </w:rPr>
        <w:t xml:space="preserve">considered </w:t>
      </w:r>
      <w:r w:rsidR="00D03D7C" w:rsidRPr="00B85146">
        <w:rPr>
          <w:szCs w:val="22"/>
        </w:rPr>
        <w:t xml:space="preserve">that the </w:t>
      </w:r>
      <w:r w:rsidR="0051591E" w:rsidRPr="00B85146">
        <w:rPr>
          <w:szCs w:val="22"/>
        </w:rPr>
        <w:t>model structure</w:t>
      </w:r>
      <w:r w:rsidR="009011FE" w:rsidRPr="00B85146">
        <w:rPr>
          <w:szCs w:val="22"/>
        </w:rPr>
        <w:t xml:space="preserve"> should include:</w:t>
      </w:r>
    </w:p>
    <w:p w:rsidR="004F7C8F" w:rsidRPr="00ED4C18" w:rsidRDefault="0079012D" w:rsidP="001A7A0A">
      <w:pPr>
        <w:pStyle w:val="ListParagraph"/>
        <w:numPr>
          <w:ilvl w:val="1"/>
          <w:numId w:val="48"/>
        </w:numPr>
        <w:jc w:val="both"/>
        <w:rPr>
          <w:rFonts w:cs="Arial"/>
          <w:szCs w:val="22"/>
        </w:rPr>
      </w:pPr>
      <w:r w:rsidRPr="00E955FD">
        <w:rPr>
          <w:rFonts w:cs="Arial"/>
          <w:szCs w:val="22"/>
        </w:rPr>
        <w:t xml:space="preserve">Allowance for </w:t>
      </w:r>
      <w:r w:rsidR="00DF51E4" w:rsidRPr="00E955FD">
        <w:rPr>
          <w:rFonts w:cs="Arial"/>
          <w:szCs w:val="22"/>
        </w:rPr>
        <w:t>re-infection</w:t>
      </w:r>
      <w:r w:rsidR="00D11586" w:rsidRPr="00E955FD">
        <w:rPr>
          <w:rFonts w:cs="Arial"/>
          <w:szCs w:val="22"/>
        </w:rPr>
        <w:t xml:space="preserve"> with HCV</w:t>
      </w:r>
      <w:r w:rsidR="00E5155A" w:rsidRPr="00E955FD">
        <w:rPr>
          <w:rFonts w:cs="Arial"/>
          <w:szCs w:val="22"/>
        </w:rPr>
        <w:t xml:space="preserve"> in the base case</w:t>
      </w:r>
      <w:r w:rsidR="00D11586" w:rsidRPr="00E955FD">
        <w:rPr>
          <w:rFonts w:cs="Arial"/>
          <w:szCs w:val="22"/>
        </w:rPr>
        <w:t>.</w:t>
      </w:r>
      <w:r w:rsidR="00D11586" w:rsidRPr="00ED4C18">
        <w:rPr>
          <w:rFonts w:cs="Arial"/>
          <w:szCs w:val="22"/>
        </w:rPr>
        <w:t xml:space="preserve"> </w:t>
      </w:r>
      <w:r w:rsidR="00DF51E4" w:rsidRPr="00ED4C18">
        <w:rPr>
          <w:rFonts w:cs="Arial"/>
          <w:szCs w:val="22"/>
        </w:rPr>
        <w:t xml:space="preserve"> </w:t>
      </w:r>
    </w:p>
    <w:p w:rsidR="009011FE" w:rsidRPr="00ED4C18" w:rsidRDefault="009011FE" w:rsidP="009011FE">
      <w:pPr>
        <w:pStyle w:val="ListParagraph"/>
        <w:rPr>
          <w:rFonts w:cs="Arial"/>
          <w:szCs w:val="22"/>
        </w:rPr>
      </w:pPr>
    </w:p>
    <w:p w:rsidR="009011FE" w:rsidRPr="00ED4C18" w:rsidRDefault="009011FE" w:rsidP="001A7A0A">
      <w:pPr>
        <w:pStyle w:val="ListParagraph"/>
        <w:numPr>
          <w:ilvl w:val="1"/>
          <w:numId w:val="48"/>
        </w:numPr>
        <w:jc w:val="both"/>
        <w:rPr>
          <w:rFonts w:cs="Arial"/>
          <w:szCs w:val="22"/>
        </w:rPr>
      </w:pPr>
      <w:r w:rsidRPr="00E955FD">
        <w:rPr>
          <w:rFonts w:cs="Arial"/>
          <w:szCs w:val="22"/>
        </w:rPr>
        <w:lastRenderedPageBreak/>
        <w:t xml:space="preserve">The </w:t>
      </w:r>
      <w:r w:rsidR="0051591E" w:rsidRPr="00E955FD">
        <w:rPr>
          <w:rFonts w:cs="Arial"/>
          <w:szCs w:val="22"/>
        </w:rPr>
        <w:t xml:space="preserve">probability </w:t>
      </w:r>
      <w:r w:rsidR="001A7A0A" w:rsidRPr="00E955FD">
        <w:rPr>
          <w:rFonts w:cs="Arial"/>
          <w:szCs w:val="22"/>
        </w:rPr>
        <w:t>assumption o</w:t>
      </w:r>
      <w:r w:rsidRPr="00E955FD">
        <w:rPr>
          <w:rFonts w:cs="Arial"/>
          <w:szCs w:val="22"/>
        </w:rPr>
        <w:t>f morbidity and mortality for cirrhotic and non-cirrhotic patients who achieve SVR</w:t>
      </w:r>
      <w:r w:rsidR="001A7A0A" w:rsidRPr="00E955FD">
        <w:rPr>
          <w:rFonts w:cs="Arial"/>
          <w:szCs w:val="22"/>
        </w:rPr>
        <w:t xml:space="preserve"> that is appropriate to </w:t>
      </w:r>
      <w:r w:rsidR="00AB6D56" w:rsidRPr="00E955FD">
        <w:rPr>
          <w:rFonts w:cs="Arial"/>
          <w:szCs w:val="22"/>
        </w:rPr>
        <w:t xml:space="preserve">the </w:t>
      </w:r>
      <w:r w:rsidR="00473DA5" w:rsidRPr="00E955FD">
        <w:rPr>
          <w:rFonts w:cs="Arial"/>
          <w:szCs w:val="22"/>
        </w:rPr>
        <w:t>CHC</w:t>
      </w:r>
      <w:r w:rsidR="001A7A0A" w:rsidRPr="00E955FD">
        <w:rPr>
          <w:rFonts w:cs="Arial"/>
          <w:szCs w:val="22"/>
        </w:rPr>
        <w:t xml:space="preserve"> population rather than probability of the general population.</w:t>
      </w:r>
      <w:r w:rsidR="00E955FD" w:rsidRPr="00ED4C18">
        <w:rPr>
          <w:rFonts w:cs="Arial"/>
          <w:szCs w:val="22"/>
        </w:rPr>
        <w:t xml:space="preserve"> </w:t>
      </w:r>
      <w:r w:rsidR="001A7A0A" w:rsidRPr="00E955FD">
        <w:rPr>
          <w:rFonts w:cs="Arial"/>
          <w:szCs w:val="22"/>
        </w:rPr>
        <w:t xml:space="preserve"> </w:t>
      </w:r>
    </w:p>
    <w:p w:rsidR="00116AAC" w:rsidRPr="00ED4C18" w:rsidRDefault="00116AAC" w:rsidP="00717525">
      <w:pPr>
        <w:rPr>
          <w:szCs w:val="22"/>
        </w:rPr>
      </w:pPr>
    </w:p>
    <w:p w:rsidR="00282ECC" w:rsidRPr="00ED4C18" w:rsidRDefault="00717525" w:rsidP="00B85146">
      <w:pPr>
        <w:pStyle w:val="ListParagraph"/>
        <w:numPr>
          <w:ilvl w:val="1"/>
          <w:numId w:val="1"/>
        </w:numPr>
        <w:jc w:val="both"/>
        <w:rPr>
          <w:szCs w:val="22"/>
        </w:rPr>
      </w:pPr>
      <w:r w:rsidRPr="00ED4C18">
        <w:rPr>
          <w:szCs w:val="22"/>
        </w:rPr>
        <w:t xml:space="preserve">The PBAC recalled that 30 years was considered to be a reasonable extrapolation for models of HCV infection in the consideration of the submissions for </w:t>
      </w:r>
      <w:proofErr w:type="spellStart"/>
      <w:r w:rsidRPr="00ED4C18">
        <w:rPr>
          <w:szCs w:val="22"/>
        </w:rPr>
        <w:t>boceprevir</w:t>
      </w:r>
      <w:proofErr w:type="spellEnd"/>
      <w:r w:rsidRPr="00ED4C18">
        <w:rPr>
          <w:szCs w:val="22"/>
        </w:rPr>
        <w:t xml:space="preserve"> and </w:t>
      </w:r>
      <w:proofErr w:type="spellStart"/>
      <w:r w:rsidRPr="00ED4C18">
        <w:rPr>
          <w:szCs w:val="22"/>
        </w:rPr>
        <w:t>telaprevir</w:t>
      </w:r>
      <w:proofErr w:type="spellEnd"/>
      <w:r w:rsidRPr="00ED4C18">
        <w:rPr>
          <w:szCs w:val="22"/>
        </w:rPr>
        <w:t>.</w:t>
      </w:r>
      <w:r w:rsidR="00187394" w:rsidRPr="00ED4C18">
        <w:rPr>
          <w:szCs w:val="22"/>
        </w:rPr>
        <w:t xml:space="preserve"> </w:t>
      </w:r>
      <w:r w:rsidR="00D03D7C" w:rsidRPr="00ED4C18">
        <w:rPr>
          <w:szCs w:val="22"/>
        </w:rPr>
        <w:t xml:space="preserve"> Truncating the model for </w:t>
      </w:r>
      <w:proofErr w:type="spellStart"/>
      <w:r w:rsidR="00D03D7C" w:rsidRPr="00ED4C18">
        <w:rPr>
          <w:szCs w:val="22"/>
        </w:rPr>
        <w:t>sofosbuvir</w:t>
      </w:r>
      <w:proofErr w:type="spellEnd"/>
      <w:r w:rsidR="00D03D7C" w:rsidRPr="00ED4C18">
        <w:rPr>
          <w:szCs w:val="22"/>
        </w:rPr>
        <w:t xml:space="preserve"> to 30 years </w:t>
      </w:r>
      <w:r w:rsidR="00A03AF9" w:rsidRPr="00ED4C18">
        <w:rPr>
          <w:szCs w:val="22"/>
        </w:rPr>
        <w:t>increased the ICER/QALY</w:t>
      </w:r>
      <w:r w:rsidR="00187394" w:rsidRPr="00ED4C18">
        <w:rPr>
          <w:szCs w:val="22"/>
        </w:rPr>
        <w:t xml:space="preserve"> </w:t>
      </w:r>
      <w:r w:rsidR="00911D3D" w:rsidRPr="00ED4C18">
        <w:rPr>
          <w:szCs w:val="22"/>
        </w:rPr>
        <w:t xml:space="preserve">for each of the eleven population subgroups </w:t>
      </w:r>
      <w:r w:rsidR="00187394" w:rsidRPr="00ED4C18">
        <w:rPr>
          <w:szCs w:val="22"/>
        </w:rPr>
        <w:t>presented in the submission</w:t>
      </w:r>
      <w:r w:rsidR="00911D3D" w:rsidRPr="00ED4C18">
        <w:rPr>
          <w:szCs w:val="22"/>
        </w:rPr>
        <w:t xml:space="preserve">, for example </w:t>
      </w:r>
      <w:r w:rsidR="001E5804" w:rsidRPr="00ED4C18">
        <w:rPr>
          <w:szCs w:val="22"/>
        </w:rPr>
        <w:t>$</w:t>
      </w:r>
      <w:r w:rsidR="001E5804" w:rsidRPr="0024467F">
        <w:rPr>
          <w:szCs w:val="22"/>
        </w:rPr>
        <w:t>105,000</w:t>
      </w:r>
      <w:r w:rsidR="00E955FD">
        <w:rPr>
          <w:szCs w:val="22"/>
        </w:rPr>
        <w:t xml:space="preserve"> </w:t>
      </w:r>
      <w:r w:rsidR="001E5804" w:rsidRPr="0024467F">
        <w:rPr>
          <w:szCs w:val="22"/>
        </w:rPr>
        <w:t>-</w:t>
      </w:r>
      <w:r w:rsidR="00E955FD">
        <w:rPr>
          <w:szCs w:val="22"/>
        </w:rPr>
        <w:t xml:space="preserve"> $</w:t>
      </w:r>
      <w:r w:rsidR="001E5804" w:rsidRPr="0024467F">
        <w:rPr>
          <w:szCs w:val="22"/>
        </w:rPr>
        <w:t>200,</w:t>
      </w:r>
      <w:r w:rsidR="00FE38D1">
        <w:rPr>
          <w:szCs w:val="22"/>
        </w:rPr>
        <w:t>0</w:t>
      </w:r>
      <w:r w:rsidR="001E5804" w:rsidRPr="0024467F">
        <w:rPr>
          <w:szCs w:val="22"/>
        </w:rPr>
        <w:t>00</w:t>
      </w:r>
      <w:r w:rsidR="00FE38D1">
        <w:rPr>
          <w:szCs w:val="22"/>
        </w:rPr>
        <w:t xml:space="preserve"> </w:t>
      </w:r>
      <w:r w:rsidR="001E5804" w:rsidRPr="00ED4C18">
        <w:rPr>
          <w:szCs w:val="22"/>
        </w:rPr>
        <w:t>to $</w:t>
      </w:r>
      <w:r w:rsidR="001E5804" w:rsidRPr="0024467F">
        <w:rPr>
          <w:szCs w:val="22"/>
        </w:rPr>
        <w:t>105,000</w:t>
      </w:r>
      <w:r w:rsidR="00E955FD">
        <w:rPr>
          <w:szCs w:val="22"/>
        </w:rPr>
        <w:t xml:space="preserve"> </w:t>
      </w:r>
      <w:r w:rsidR="001E5804" w:rsidRPr="0024467F">
        <w:rPr>
          <w:szCs w:val="22"/>
        </w:rPr>
        <w:t>-</w:t>
      </w:r>
      <w:r w:rsidR="00E955FD">
        <w:rPr>
          <w:szCs w:val="22"/>
        </w:rPr>
        <w:t xml:space="preserve"> </w:t>
      </w:r>
      <w:r w:rsidR="001E5804" w:rsidRPr="0024467F">
        <w:rPr>
          <w:szCs w:val="22"/>
        </w:rPr>
        <w:t>200,0</w:t>
      </w:r>
      <w:r w:rsidR="00FE38D1">
        <w:rPr>
          <w:szCs w:val="22"/>
        </w:rPr>
        <w:t>0</w:t>
      </w:r>
      <w:r w:rsidR="001E5804" w:rsidRPr="0024467F">
        <w:rPr>
          <w:szCs w:val="22"/>
        </w:rPr>
        <w:t>0</w:t>
      </w:r>
      <w:r w:rsidR="001E5804" w:rsidRPr="00ED4C18">
        <w:rPr>
          <w:szCs w:val="22"/>
        </w:rPr>
        <w:t xml:space="preserve">/QALY </w:t>
      </w:r>
      <w:r w:rsidR="00911D3D" w:rsidRPr="00ED4C18">
        <w:rPr>
          <w:szCs w:val="22"/>
        </w:rPr>
        <w:t xml:space="preserve">in genotype 1, treatment naïve, and interferon unsuitable patients. </w:t>
      </w:r>
    </w:p>
    <w:p w:rsidR="00911D3D" w:rsidRPr="00ED4C18" w:rsidRDefault="00911D3D" w:rsidP="00911D3D">
      <w:pPr>
        <w:jc w:val="both"/>
        <w:rPr>
          <w:szCs w:val="22"/>
        </w:rPr>
      </w:pPr>
    </w:p>
    <w:p w:rsidR="00717525" w:rsidRPr="00B85146" w:rsidRDefault="00717525" w:rsidP="00B85146">
      <w:pPr>
        <w:pStyle w:val="ListParagraph"/>
        <w:numPr>
          <w:ilvl w:val="1"/>
          <w:numId w:val="1"/>
        </w:numPr>
        <w:jc w:val="both"/>
        <w:rPr>
          <w:szCs w:val="22"/>
        </w:rPr>
      </w:pPr>
      <w:r w:rsidRPr="00ED4C18">
        <w:rPr>
          <w:szCs w:val="22"/>
        </w:rPr>
        <w:t xml:space="preserve">The PBAC noted the discussion about the model assumption of the proportion of patients with </w:t>
      </w:r>
      <w:r w:rsidR="00B17301" w:rsidRPr="00ED4C18">
        <w:rPr>
          <w:szCs w:val="22"/>
        </w:rPr>
        <w:t>cirrhosis</w:t>
      </w:r>
      <w:r w:rsidRPr="00ED4C18">
        <w:rPr>
          <w:szCs w:val="22"/>
        </w:rPr>
        <w:t xml:space="preserve"> between ESC and the sponsor. The PBAC considered that </w:t>
      </w:r>
      <w:r w:rsidR="00C26896">
        <w:rPr>
          <w:noProof/>
          <w:color w:val="000000"/>
          <w:szCs w:val="22"/>
          <w:highlight w:val="black"/>
        </w:rPr>
        <w:t>''''''</w:t>
      </w:r>
      <w:r w:rsidRPr="00E955FD">
        <w:rPr>
          <w:szCs w:val="22"/>
        </w:rPr>
        <w:t>%</w:t>
      </w:r>
      <w:r w:rsidRPr="00ED4C18">
        <w:rPr>
          <w:szCs w:val="22"/>
        </w:rPr>
        <w:t xml:space="preserve"> as presented in the submission was high and not justified.</w:t>
      </w:r>
      <w:r w:rsidR="00EB4337" w:rsidRPr="00B85146">
        <w:rPr>
          <w:szCs w:val="22"/>
        </w:rPr>
        <w:t xml:space="preserve"> The PBAC noted the pre-PBAC response proposed a percentage of </w:t>
      </w:r>
      <w:r w:rsidR="00C26896">
        <w:rPr>
          <w:noProof/>
          <w:color w:val="000000"/>
          <w:szCs w:val="22"/>
          <w:highlight w:val="black"/>
        </w:rPr>
        <w:t>''''''''''''</w:t>
      </w:r>
      <w:r w:rsidR="00EB4337" w:rsidRPr="00B85146">
        <w:rPr>
          <w:szCs w:val="22"/>
        </w:rPr>
        <w:t xml:space="preserve">% rather than the range of </w:t>
      </w:r>
      <w:r w:rsidR="00C26896">
        <w:rPr>
          <w:noProof/>
          <w:color w:val="000000"/>
          <w:szCs w:val="22"/>
          <w:highlight w:val="black"/>
        </w:rPr>
        <w:t>'''''''</w:t>
      </w:r>
      <w:r w:rsidR="00EB4337" w:rsidRPr="00E955FD">
        <w:rPr>
          <w:szCs w:val="22"/>
        </w:rPr>
        <w:t>%-</w:t>
      </w:r>
      <w:r w:rsidR="00C26896">
        <w:rPr>
          <w:noProof/>
          <w:color w:val="000000"/>
          <w:szCs w:val="22"/>
          <w:highlight w:val="black"/>
        </w:rPr>
        <w:t>''''''''''''</w:t>
      </w:r>
      <w:r w:rsidR="00EB4337" w:rsidRPr="00E955FD">
        <w:rPr>
          <w:szCs w:val="22"/>
        </w:rPr>
        <w:t>%</w:t>
      </w:r>
      <w:r w:rsidR="00EB4337" w:rsidRPr="00ED4C18">
        <w:rPr>
          <w:szCs w:val="22"/>
        </w:rPr>
        <w:t xml:space="preserve"> suggested by the ESC. The PBAC noted that </w:t>
      </w:r>
      <w:r w:rsidR="00EB4337" w:rsidRPr="00B85146">
        <w:rPr>
          <w:szCs w:val="22"/>
        </w:rPr>
        <w:t>the value of 20.8% was the based on</w:t>
      </w:r>
      <w:r w:rsidR="00911D3D" w:rsidRPr="00B85146">
        <w:rPr>
          <w:szCs w:val="22"/>
        </w:rPr>
        <w:t xml:space="preserve"> </w:t>
      </w:r>
      <w:r w:rsidR="00256147" w:rsidRPr="00B85146">
        <w:rPr>
          <w:szCs w:val="22"/>
        </w:rPr>
        <w:t xml:space="preserve">CHC </w:t>
      </w:r>
      <w:r w:rsidR="00911D3D" w:rsidRPr="00B85146">
        <w:rPr>
          <w:szCs w:val="22"/>
        </w:rPr>
        <w:t>patients</w:t>
      </w:r>
      <w:r w:rsidR="000B7181" w:rsidRPr="00B85146">
        <w:rPr>
          <w:szCs w:val="22"/>
        </w:rPr>
        <w:t xml:space="preserve"> in the ACHOS study </w:t>
      </w:r>
      <w:r w:rsidR="00EB4337" w:rsidRPr="00B85146">
        <w:rPr>
          <w:szCs w:val="22"/>
        </w:rPr>
        <w:t xml:space="preserve">with ‘Stage 4: probable or definite cirrhosis’ in the subset of 446 patients (36% of the entire </w:t>
      </w:r>
      <w:r w:rsidR="000B7181" w:rsidRPr="00B85146">
        <w:rPr>
          <w:szCs w:val="22"/>
        </w:rPr>
        <w:t xml:space="preserve">ACHOS </w:t>
      </w:r>
      <w:r w:rsidR="00EB4337" w:rsidRPr="00B85146">
        <w:rPr>
          <w:szCs w:val="22"/>
        </w:rPr>
        <w:t>cohort) with at least one liver biopsy record (Table 9 of ACHOS Report No. 1 March 2010). The ACHOS also reported in the entire cohort that ‘A total of 14% of patients had a diagnosis of cirrhosis, with 7% diagnosed on the basis of liver biopsy and 7% on clinical grounds’ (Table 8 of ACHOS Report No. 1 March 2010).’</w:t>
      </w:r>
      <w:r w:rsidR="000B7181" w:rsidRPr="00B85146">
        <w:rPr>
          <w:szCs w:val="22"/>
        </w:rPr>
        <w:t xml:space="preserve"> </w:t>
      </w:r>
      <w:r w:rsidRPr="00ED4C18">
        <w:rPr>
          <w:szCs w:val="22"/>
        </w:rPr>
        <w:t xml:space="preserve"> In the context of the broader population of individuals infected with HCV, the PBAC considered that it was reasonable to accept a value of 14%, as observed in the entire cohort of the </w:t>
      </w:r>
      <w:r w:rsidRPr="00B85146">
        <w:rPr>
          <w:szCs w:val="22"/>
        </w:rPr>
        <w:t>ACHOS study. The PBAC noted that percentage of patients with cirrhosis</w:t>
      </w:r>
      <w:r w:rsidR="00037F07" w:rsidRPr="00B85146">
        <w:rPr>
          <w:szCs w:val="22"/>
        </w:rPr>
        <w:t xml:space="preserve"> in a population of high need of treatment may be </w:t>
      </w:r>
      <w:r w:rsidR="00AA52E2" w:rsidRPr="00B85146">
        <w:rPr>
          <w:szCs w:val="22"/>
        </w:rPr>
        <w:t>different.</w:t>
      </w:r>
      <w:r w:rsidR="00037F07" w:rsidRPr="00B85146">
        <w:rPr>
          <w:szCs w:val="22"/>
        </w:rPr>
        <w:t xml:space="preserve"> </w:t>
      </w:r>
      <w:r w:rsidRPr="00B85146">
        <w:rPr>
          <w:szCs w:val="22"/>
        </w:rPr>
        <w:t xml:space="preserve"> </w:t>
      </w:r>
    </w:p>
    <w:p w:rsidR="00282ECC" w:rsidRPr="00ED4C18" w:rsidRDefault="00282ECC" w:rsidP="00282ECC">
      <w:pPr>
        <w:jc w:val="both"/>
        <w:rPr>
          <w:szCs w:val="22"/>
        </w:rPr>
      </w:pPr>
    </w:p>
    <w:p w:rsidR="006E7876" w:rsidRPr="00ED4C18" w:rsidRDefault="00AA52E2" w:rsidP="00B85146">
      <w:pPr>
        <w:pStyle w:val="ListParagraph"/>
        <w:numPr>
          <w:ilvl w:val="1"/>
          <w:numId w:val="1"/>
        </w:numPr>
        <w:jc w:val="both"/>
        <w:rPr>
          <w:szCs w:val="22"/>
        </w:rPr>
      </w:pPr>
      <w:r w:rsidRPr="00ED4C18">
        <w:rPr>
          <w:szCs w:val="22"/>
        </w:rPr>
        <w:t>The PBAC noted that the ICERs presented in the submission and in additional analys</w:t>
      </w:r>
      <w:r w:rsidR="00D03D7C" w:rsidRPr="00ED4C18">
        <w:rPr>
          <w:szCs w:val="22"/>
        </w:rPr>
        <w:t>e</w:t>
      </w:r>
      <w:r w:rsidRPr="00ED4C18">
        <w:rPr>
          <w:szCs w:val="22"/>
        </w:rPr>
        <w:t xml:space="preserve">s by the ESC and the sponsor varied greatly depending on the treatment group. </w:t>
      </w:r>
      <w:r w:rsidR="00D03D7C" w:rsidRPr="00ED4C18">
        <w:rPr>
          <w:szCs w:val="22"/>
        </w:rPr>
        <w:t xml:space="preserve"> The PBAC recalled that for the submissions for </w:t>
      </w:r>
      <w:proofErr w:type="spellStart"/>
      <w:r w:rsidR="00D03D7C" w:rsidRPr="00ED4C18">
        <w:rPr>
          <w:szCs w:val="22"/>
        </w:rPr>
        <w:t>boceprevir</w:t>
      </w:r>
      <w:proofErr w:type="spellEnd"/>
      <w:r w:rsidR="00D03D7C" w:rsidRPr="00ED4C18">
        <w:rPr>
          <w:szCs w:val="22"/>
        </w:rPr>
        <w:t xml:space="preserve"> and </w:t>
      </w:r>
      <w:proofErr w:type="spellStart"/>
      <w:r w:rsidR="00D03D7C" w:rsidRPr="00ED4C18">
        <w:rPr>
          <w:szCs w:val="22"/>
        </w:rPr>
        <w:t>telaprevir</w:t>
      </w:r>
      <w:proofErr w:type="spellEnd"/>
      <w:r w:rsidR="00D03D7C" w:rsidRPr="00ED4C18">
        <w:rPr>
          <w:szCs w:val="22"/>
        </w:rPr>
        <w:t xml:space="preserve"> the ICER range accepted was $15,000- $45,000/QALY. </w:t>
      </w:r>
      <w:r w:rsidRPr="00ED4C18">
        <w:rPr>
          <w:szCs w:val="22"/>
        </w:rPr>
        <w:t xml:space="preserve">The PBAC considered that trying to value </w:t>
      </w:r>
      <w:proofErr w:type="spellStart"/>
      <w:r w:rsidRPr="00ED4C18">
        <w:rPr>
          <w:szCs w:val="22"/>
        </w:rPr>
        <w:t>sofosbuvir</w:t>
      </w:r>
      <w:proofErr w:type="spellEnd"/>
      <w:r w:rsidRPr="00ED4C18">
        <w:rPr>
          <w:szCs w:val="22"/>
        </w:rPr>
        <w:t xml:space="preserve"> with a w</w:t>
      </w:r>
      <w:r w:rsidR="00D108BE" w:rsidRPr="00ED4C18">
        <w:rPr>
          <w:szCs w:val="22"/>
        </w:rPr>
        <w:t xml:space="preserve">eighted </w:t>
      </w:r>
      <w:r w:rsidRPr="00ED4C18">
        <w:rPr>
          <w:szCs w:val="22"/>
        </w:rPr>
        <w:t xml:space="preserve">ICER/QALY was </w:t>
      </w:r>
      <w:r w:rsidR="00D03D7C" w:rsidRPr="00ED4C18">
        <w:rPr>
          <w:szCs w:val="22"/>
        </w:rPr>
        <w:t xml:space="preserve">completely </w:t>
      </w:r>
      <w:r w:rsidRPr="00ED4C18">
        <w:rPr>
          <w:szCs w:val="22"/>
        </w:rPr>
        <w:t xml:space="preserve">inappropriate when the ICER/QALY for </w:t>
      </w:r>
      <w:r w:rsidR="00E5155A" w:rsidRPr="00ED4C18">
        <w:rPr>
          <w:szCs w:val="22"/>
        </w:rPr>
        <w:t xml:space="preserve">some </w:t>
      </w:r>
      <w:r w:rsidRPr="00ED4C18">
        <w:rPr>
          <w:szCs w:val="22"/>
        </w:rPr>
        <w:t>treatment group</w:t>
      </w:r>
      <w:r w:rsidR="00E14FD9" w:rsidRPr="00ED4C18">
        <w:rPr>
          <w:szCs w:val="22"/>
        </w:rPr>
        <w:t>s</w:t>
      </w:r>
      <w:r w:rsidRPr="00ED4C18">
        <w:rPr>
          <w:szCs w:val="22"/>
        </w:rPr>
        <w:t xml:space="preserve"> </w:t>
      </w:r>
      <w:r w:rsidR="0085092E" w:rsidRPr="00ED4C18">
        <w:rPr>
          <w:szCs w:val="22"/>
        </w:rPr>
        <w:t>was substantially higher</w:t>
      </w:r>
      <w:r w:rsidR="00D03D7C" w:rsidRPr="00ED4C18">
        <w:rPr>
          <w:szCs w:val="22"/>
        </w:rPr>
        <w:t xml:space="preserve"> than this range</w:t>
      </w:r>
      <w:r w:rsidR="0085092E" w:rsidRPr="00ED4C18">
        <w:rPr>
          <w:szCs w:val="22"/>
        </w:rPr>
        <w:t xml:space="preserve">. </w:t>
      </w:r>
      <w:r w:rsidR="009B4319" w:rsidRPr="00ED4C18">
        <w:rPr>
          <w:szCs w:val="22"/>
        </w:rPr>
        <w:t>The PBAC was also concerned that the weightings</w:t>
      </w:r>
      <w:r w:rsidR="0085092E" w:rsidRPr="00ED4C18">
        <w:rPr>
          <w:szCs w:val="22"/>
        </w:rPr>
        <w:t xml:space="preserve"> that</w:t>
      </w:r>
      <w:r w:rsidR="00E14FD9" w:rsidRPr="00ED4C18">
        <w:rPr>
          <w:szCs w:val="22"/>
        </w:rPr>
        <w:t xml:space="preserve"> underpin the weighted value for each treatment group, were</w:t>
      </w:r>
      <w:r w:rsidR="009B4319" w:rsidRPr="00ED4C18">
        <w:rPr>
          <w:szCs w:val="22"/>
        </w:rPr>
        <w:t xml:space="preserve"> uncertain due to the number of assumptions </w:t>
      </w:r>
      <w:r w:rsidR="00E14FD9" w:rsidRPr="00ED4C18">
        <w:rPr>
          <w:szCs w:val="22"/>
        </w:rPr>
        <w:t xml:space="preserve">made </w:t>
      </w:r>
      <w:r w:rsidR="006E7876" w:rsidRPr="00ED4C18">
        <w:rPr>
          <w:szCs w:val="22"/>
        </w:rPr>
        <w:t xml:space="preserve">about </w:t>
      </w:r>
      <w:r w:rsidR="0085092E" w:rsidRPr="00ED4C18">
        <w:rPr>
          <w:szCs w:val="22"/>
        </w:rPr>
        <w:t xml:space="preserve">the proportion </w:t>
      </w:r>
      <w:r w:rsidR="006E7876" w:rsidRPr="00ED4C18">
        <w:rPr>
          <w:szCs w:val="22"/>
        </w:rPr>
        <w:t>of patients with prior treatment/cirrhosis/IFN eligibility</w:t>
      </w:r>
      <w:r w:rsidR="009B4319" w:rsidRPr="00ED4C18">
        <w:rPr>
          <w:szCs w:val="22"/>
        </w:rPr>
        <w:t xml:space="preserve"> and genotype</w:t>
      </w:r>
      <w:r w:rsidR="006E7876" w:rsidRPr="00ED4C18">
        <w:rPr>
          <w:szCs w:val="22"/>
        </w:rPr>
        <w:t xml:space="preserve">.  </w:t>
      </w:r>
    </w:p>
    <w:p w:rsidR="00282ECC" w:rsidRPr="00ED4C18" w:rsidRDefault="00282ECC" w:rsidP="00282ECC">
      <w:pPr>
        <w:jc w:val="both"/>
        <w:rPr>
          <w:szCs w:val="22"/>
        </w:rPr>
      </w:pPr>
    </w:p>
    <w:p w:rsidR="00AA52E2" w:rsidRPr="00ED4C18" w:rsidRDefault="009B4319" w:rsidP="00B85146">
      <w:pPr>
        <w:pStyle w:val="ListParagraph"/>
        <w:numPr>
          <w:ilvl w:val="1"/>
          <w:numId w:val="1"/>
        </w:numPr>
        <w:jc w:val="both"/>
        <w:rPr>
          <w:szCs w:val="22"/>
        </w:rPr>
      </w:pPr>
      <w:r w:rsidRPr="00ED4C18">
        <w:rPr>
          <w:szCs w:val="22"/>
        </w:rPr>
        <w:t>Th</w:t>
      </w:r>
      <w:r w:rsidR="00E14FD9" w:rsidRPr="00ED4C18">
        <w:rPr>
          <w:szCs w:val="22"/>
        </w:rPr>
        <w:t>e PBAC considered that the ICER</w:t>
      </w:r>
      <w:r w:rsidRPr="00ED4C18">
        <w:rPr>
          <w:szCs w:val="22"/>
        </w:rPr>
        <w:t>/QALY were high and uncertain in IFN-free regime</w:t>
      </w:r>
      <w:r w:rsidR="0085092E" w:rsidRPr="00ED4C18">
        <w:rPr>
          <w:szCs w:val="22"/>
        </w:rPr>
        <w:t>n</w:t>
      </w:r>
      <w:r w:rsidRPr="00ED4C18">
        <w:rPr>
          <w:szCs w:val="22"/>
        </w:rPr>
        <w:t xml:space="preserve">s for treatment for genotype 1 and genotype 3, which the PBAC considered to be the most informative </w:t>
      </w:r>
      <w:r w:rsidR="00256147" w:rsidRPr="00ED4C18">
        <w:rPr>
          <w:szCs w:val="22"/>
        </w:rPr>
        <w:t xml:space="preserve">and most likely largest </w:t>
      </w:r>
      <w:r w:rsidRPr="00ED4C18">
        <w:rPr>
          <w:szCs w:val="22"/>
        </w:rPr>
        <w:t>treatment groups for decision making</w:t>
      </w:r>
      <w:r w:rsidR="00E14FD9" w:rsidRPr="00ED4C18">
        <w:rPr>
          <w:szCs w:val="22"/>
        </w:rPr>
        <w:t xml:space="preserve"> in the broader context of HCV treatment</w:t>
      </w:r>
      <w:r w:rsidRPr="00ED4C18">
        <w:rPr>
          <w:szCs w:val="22"/>
        </w:rPr>
        <w:t xml:space="preserve">. </w:t>
      </w:r>
    </w:p>
    <w:p w:rsidR="00D108BE" w:rsidRPr="00ED4C18" w:rsidRDefault="00D108BE" w:rsidP="00E14FD9">
      <w:pPr>
        <w:pStyle w:val="ListParagraph"/>
        <w:ind w:left="709"/>
        <w:jc w:val="both"/>
        <w:rPr>
          <w:szCs w:val="22"/>
        </w:rPr>
      </w:pPr>
    </w:p>
    <w:p w:rsidR="00081903" w:rsidRPr="00ED4C18" w:rsidRDefault="007646F6" w:rsidP="00B85146">
      <w:pPr>
        <w:pStyle w:val="ListParagraph"/>
        <w:numPr>
          <w:ilvl w:val="1"/>
          <w:numId w:val="1"/>
        </w:numPr>
        <w:jc w:val="both"/>
        <w:rPr>
          <w:szCs w:val="22"/>
        </w:rPr>
      </w:pPr>
      <w:r w:rsidRPr="00ED4C18">
        <w:rPr>
          <w:szCs w:val="22"/>
        </w:rPr>
        <w:t>The PBAC noted that submission estimate</w:t>
      </w:r>
      <w:r w:rsidR="005D2641" w:rsidRPr="00ED4C18">
        <w:rPr>
          <w:szCs w:val="22"/>
        </w:rPr>
        <w:t xml:space="preserve">d by listing </w:t>
      </w:r>
      <w:proofErr w:type="spellStart"/>
      <w:r w:rsidR="005D2641" w:rsidRPr="00ED4C18">
        <w:rPr>
          <w:szCs w:val="22"/>
        </w:rPr>
        <w:t>sofosbuvir</w:t>
      </w:r>
      <w:proofErr w:type="spellEnd"/>
      <w:r w:rsidR="005D2641" w:rsidRPr="00ED4C18">
        <w:rPr>
          <w:szCs w:val="22"/>
        </w:rPr>
        <w:t>,</w:t>
      </w:r>
      <w:r w:rsidRPr="00ED4C18">
        <w:rPr>
          <w:szCs w:val="22"/>
        </w:rPr>
        <w:t xml:space="preserve"> the net cost to the PBS over 5 years was approximately</w:t>
      </w:r>
      <w:r w:rsidR="00FE4B79">
        <w:rPr>
          <w:szCs w:val="22"/>
        </w:rPr>
        <w:t xml:space="preserve"> in excess of $1 billion</w:t>
      </w:r>
      <w:r w:rsidRPr="00ED4C18">
        <w:rPr>
          <w:szCs w:val="22"/>
        </w:rPr>
        <w:t xml:space="preserve"> (base case).  </w:t>
      </w:r>
      <w:r w:rsidR="009B4319" w:rsidRPr="00ED4C18">
        <w:rPr>
          <w:szCs w:val="22"/>
        </w:rPr>
        <w:t xml:space="preserve">The PBAC agreed with the analysis by DUSC that </w:t>
      </w:r>
      <w:r w:rsidR="003F1CE8" w:rsidRPr="00ED4C18">
        <w:rPr>
          <w:szCs w:val="22"/>
        </w:rPr>
        <w:t>financial estimates were underestimated</w:t>
      </w:r>
      <w:r w:rsidR="00081903" w:rsidRPr="00ED4C18">
        <w:rPr>
          <w:szCs w:val="22"/>
        </w:rPr>
        <w:t xml:space="preserve"> because: </w:t>
      </w:r>
      <w:r w:rsidR="00631139" w:rsidRPr="00ED4C18">
        <w:rPr>
          <w:szCs w:val="22"/>
        </w:rPr>
        <w:t xml:space="preserve"> </w:t>
      </w:r>
    </w:p>
    <w:p w:rsidR="007646F6" w:rsidRPr="00ED4C18" w:rsidRDefault="00E14FD9" w:rsidP="007646F6">
      <w:pPr>
        <w:pStyle w:val="ListParagraph"/>
        <w:numPr>
          <w:ilvl w:val="1"/>
          <w:numId w:val="50"/>
        </w:numPr>
        <w:jc w:val="both"/>
        <w:rPr>
          <w:szCs w:val="22"/>
        </w:rPr>
      </w:pPr>
      <w:r w:rsidRPr="00ED4C18">
        <w:rPr>
          <w:szCs w:val="22"/>
        </w:rPr>
        <w:t xml:space="preserve">There is very high potential for </w:t>
      </w:r>
      <w:proofErr w:type="spellStart"/>
      <w:r w:rsidRPr="00ED4C18">
        <w:rPr>
          <w:szCs w:val="22"/>
        </w:rPr>
        <w:t>sofosbuvir</w:t>
      </w:r>
      <w:proofErr w:type="spellEnd"/>
      <w:r w:rsidRPr="00ED4C18">
        <w:rPr>
          <w:szCs w:val="22"/>
        </w:rPr>
        <w:t xml:space="preserve"> to be used in an interferon free regimen</w:t>
      </w:r>
      <w:r w:rsidR="0085092E" w:rsidRPr="00ED4C18">
        <w:rPr>
          <w:szCs w:val="22"/>
        </w:rPr>
        <w:t xml:space="preserve"> </w:t>
      </w:r>
      <w:r w:rsidRPr="00ED4C18">
        <w:rPr>
          <w:szCs w:val="22"/>
        </w:rPr>
        <w:t>due to patient preference</w:t>
      </w:r>
      <w:r w:rsidR="007646F6" w:rsidRPr="00ED4C18">
        <w:rPr>
          <w:szCs w:val="22"/>
        </w:rPr>
        <w:t xml:space="preserve">. </w:t>
      </w:r>
    </w:p>
    <w:p w:rsidR="007646F6" w:rsidRPr="00ED4C18" w:rsidRDefault="007646F6" w:rsidP="007646F6">
      <w:pPr>
        <w:pStyle w:val="ListParagraph"/>
        <w:numPr>
          <w:ilvl w:val="2"/>
          <w:numId w:val="50"/>
        </w:numPr>
        <w:jc w:val="both"/>
        <w:rPr>
          <w:szCs w:val="22"/>
        </w:rPr>
      </w:pPr>
      <w:r w:rsidRPr="00ED4C18">
        <w:rPr>
          <w:szCs w:val="22"/>
        </w:rPr>
        <w:t xml:space="preserve">varying the proportion of HCV genotype 3 treatment naïve interferon eligible patients accessing interferon-free regimens </w:t>
      </w:r>
      <w:r w:rsidRPr="00E955FD">
        <w:rPr>
          <w:szCs w:val="22"/>
        </w:rPr>
        <w:t xml:space="preserve">from </w:t>
      </w:r>
      <w:r w:rsidR="00C26896">
        <w:rPr>
          <w:noProof/>
          <w:color w:val="000000"/>
          <w:szCs w:val="22"/>
          <w:highlight w:val="black"/>
        </w:rPr>
        <w:t>''''''</w:t>
      </w:r>
      <w:r w:rsidRPr="00E955FD">
        <w:rPr>
          <w:szCs w:val="22"/>
        </w:rPr>
        <w:t xml:space="preserve">% to </w:t>
      </w:r>
      <w:r w:rsidR="00C26896">
        <w:rPr>
          <w:noProof/>
          <w:color w:val="000000"/>
          <w:szCs w:val="22"/>
          <w:highlight w:val="black"/>
        </w:rPr>
        <w:t>'''''''</w:t>
      </w:r>
      <w:r w:rsidRPr="00E955FD">
        <w:rPr>
          <w:szCs w:val="22"/>
        </w:rPr>
        <w:t xml:space="preserve">% results in an approximate </w:t>
      </w:r>
      <w:r w:rsidR="00C26896">
        <w:rPr>
          <w:noProof/>
          <w:color w:val="000000"/>
          <w:szCs w:val="22"/>
          <w:highlight w:val="black"/>
        </w:rPr>
        <w:t>'''''''</w:t>
      </w:r>
      <w:r w:rsidRPr="00E955FD">
        <w:rPr>
          <w:szCs w:val="22"/>
        </w:rPr>
        <w:t>%</w:t>
      </w:r>
      <w:r w:rsidRPr="00ED4C18">
        <w:rPr>
          <w:szCs w:val="22"/>
        </w:rPr>
        <w:t xml:space="preserve"> increase </w:t>
      </w:r>
      <w:r w:rsidR="005D2641" w:rsidRPr="00ED4C18">
        <w:rPr>
          <w:szCs w:val="22"/>
        </w:rPr>
        <w:t xml:space="preserve"> in cost </w:t>
      </w:r>
      <w:r w:rsidRPr="00ED4C18">
        <w:rPr>
          <w:szCs w:val="22"/>
        </w:rPr>
        <w:t xml:space="preserve">compared to the base case </w:t>
      </w:r>
    </w:p>
    <w:p w:rsidR="00081903" w:rsidRPr="00ED4C18" w:rsidRDefault="007646F6" w:rsidP="007646F6">
      <w:pPr>
        <w:pStyle w:val="ListParagraph"/>
        <w:numPr>
          <w:ilvl w:val="2"/>
          <w:numId w:val="50"/>
        </w:numPr>
        <w:jc w:val="both"/>
        <w:rPr>
          <w:szCs w:val="22"/>
        </w:rPr>
      </w:pPr>
      <w:proofErr w:type="gramStart"/>
      <w:r w:rsidRPr="00ED4C18">
        <w:rPr>
          <w:szCs w:val="22"/>
        </w:rPr>
        <w:t>if</w:t>
      </w:r>
      <w:proofErr w:type="gramEnd"/>
      <w:r w:rsidRPr="00ED4C18">
        <w:rPr>
          <w:szCs w:val="22"/>
        </w:rPr>
        <w:t xml:space="preserve"> all HCV genotype 1 and 3 patients </w:t>
      </w:r>
      <w:r w:rsidR="005D2641" w:rsidRPr="00ED4C18">
        <w:rPr>
          <w:szCs w:val="22"/>
        </w:rPr>
        <w:t xml:space="preserve">were </w:t>
      </w:r>
      <w:r w:rsidRPr="00ED4C18">
        <w:rPr>
          <w:szCs w:val="22"/>
        </w:rPr>
        <w:t xml:space="preserve"> treated with interferon free regimens </w:t>
      </w:r>
      <w:r w:rsidR="005D2641" w:rsidRPr="00ED4C18">
        <w:rPr>
          <w:szCs w:val="22"/>
        </w:rPr>
        <w:t xml:space="preserve">, the cost is double the base case. </w:t>
      </w:r>
    </w:p>
    <w:p w:rsidR="00081903" w:rsidRPr="00ED4C18" w:rsidRDefault="00E14FD9" w:rsidP="00081903">
      <w:pPr>
        <w:pStyle w:val="ListParagraph"/>
        <w:numPr>
          <w:ilvl w:val="1"/>
          <w:numId w:val="50"/>
        </w:numPr>
        <w:jc w:val="both"/>
        <w:rPr>
          <w:szCs w:val="22"/>
        </w:rPr>
      </w:pPr>
      <w:r w:rsidRPr="00ED4C18">
        <w:rPr>
          <w:szCs w:val="22"/>
        </w:rPr>
        <w:lastRenderedPageBreak/>
        <w:t xml:space="preserve">Predicted uptake of </w:t>
      </w:r>
      <w:proofErr w:type="spellStart"/>
      <w:r w:rsidRPr="00ED4C18">
        <w:rPr>
          <w:szCs w:val="22"/>
        </w:rPr>
        <w:t>sofosbuvir</w:t>
      </w:r>
      <w:proofErr w:type="spellEnd"/>
      <w:r w:rsidRPr="00ED4C18">
        <w:rPr>
          <w:szCs w:val="22"/>
        </w:rPr>
        <w:t xml:space="preserve"> </w:t>
      </w:r>
      <w:r w:rsidR="0085092E" w:rsidRPr="00ED4C18">
        <w:rPr>
          <w:szCs w:val="22"/>
        </w:rPr>
        <w:t xml:space="preserve">even </w:t>
      </w:r>
      <w:r w:rsidR="00370A80" w:rsidRPr="00ED4C18">
        <w:rPr>
          <w:szCs w:val="22"/>
        </w:rPr>
        <w:t xml:space="preserve">if </w:t>
      </w:r>
      <w:r w:rsidRPr="00ED4C18">
        <w:rPr>
          <w:szCs w:val="22"/>
        </w:rPr>
        <w:t xml:space="preserve">used with interferon in genotype </w:t>
      </w:r>
      <w:r w:rsidR="0085092E" w:rsidRPr="00ED4C18">
        <w:rPr>
          <w:szCs w:val="22"/>
        </w:rPr>
        <w:t>1</w:t>
      </w:r>
      <w:r w:rsidRPr="00ED4C18">
        <w:rPr>
          <w:szCs w:val="22"/>
        </w:rPr>
        <w:t xml:space="preserve"> </w:t>
      </w:r>
      <w:proofErr w:type="gramStart"/>
      <w:r w:rsidRPr="00ED4C18">
        <w:rPr>
          <w:szCs w:val="22"/>
        </w:rPr>
        <w:t>patients</w:t>
      </w:r>
      <w:proofErr w:type="gramEnd"/>
      <w:r w:rsidRPr="00ED4C18">
        <w:rPr>
          <w:szCs w:val="22"/>
        </w:rPr>
        <w:t xml:space="preserve"> (50% of the direct acting anti-viral market)</w:t>
      </w:r>
      <w:r w:rsidR="00081903" w:rsidRPr="00ED4C18">
        <w:rPr>
          <w:szCs w:val="22"/>
        </w:rPr>
        <w:t xml:space="preserve"> was</w:t>
      </w:r>
      <w:r w:rsidRPr="00ED4C18">
        <w:rPr>
          <w:szCs w:val="22"/>
        </w:rPr>
        <w:t xml:space="preserve"> likely underestimate</w:t>
      </w:r>
      <w:r w:rsidR="00081903" w:rsidRPr="00ED4C18">
        <w:rPr>
          <w:szCs w:val="22"/>
        </w:rPr>
        <w:t>d</w:t>
      </w:r>
      <w:r w:rsidRPr="00ED4C18">
        <w:rPr>
          <w:szCs w:val="22"/>
        </w:rPr>
        <w:t>.</w:t>
      </w:r>
    </w:p>
    <w:p w:rsidR="00081903" w:rsidRPr="00ED4C18" w:rsidRDefault="005D2641" w:rsidP="005D2641">
      <w:pPr>
        <w:pStyle w:val="ListParagraph"/>
        <w:numPr>
          <w:ilvl w:val="2"/>
          <w:numId w:val="50"/>
        </w:numPr>
        <w:jc w:val="both"/>
        <w:rPr>
          <w:szCs w:val="22"/>
        </w:rPr>
      </w:pPr>
      <w:r w:rsidRPr="00ED4C18">
        <w:rPr>
          <w:szCs w:val="22"/>
        </w:rPr>
        <w:t xml:space="preserve">Varying the proportion to 100% of the market results in an approximate </w:t>
      </w:r>
      <w:r w:rsidR="00C26896">
        <w:rPr>
          <w:noProof/>
          <w:color w:val="000000"/>
          <w:szCs w:val="22"/>
          <w:highlight w:val="black"/>
        </w:rPr>
        <w:t>''''''</w:t>
      </w:r>
      <w:r w:rsidRPr="00ED4C18">
        <w:rPr>
          <w:szCs w:val="22"/>
        </w:rPr>
        <w:t xml:space="preserve">% increase in cost compared to the base case. </w:t>
      </w:r>
    </w:p>
    <w:p w:rsidR="00E14FD9" w:rsidRPr="00ED4C18" w:rsidRDefault="00E14FD9" w:rsidP="00081903">
      <w:pPr>
        <w:pStyle w:val="ListParagraph"/>
        <w:numPr>
          <w:ilvl w:val="1"/>
          <w:numId w:val="50"/>
        </w:numPr>
        <w:jc w:val="both"/>
        <w:rPr>
          <w:szCs w:val="22"/>
        </w:rPr>
      </w:pPr>
      <w:r w:rsidRPr="00ED4C18">
        <w:rPr>
          <w:szCs w:val="22"/>
        </w:rPr>
        <w:t>There is a large pool of prevalent cases of HCV infection, but only a small proportion is currently treated.</w:t>
      </w:r>
      <w:r w:rsidR="00081903" w:rsidRPr="00ED4C18">
        <w:rPr>
          <w:szCs w:val="22"/>
        </w:rPr>
        <w:t xml:space="preserve"> </w:t>
      </w:r>
      <w:r w:rsidR="009C5C89" w:rsidRPr="00ED4C18">
        <w:rPr>
          <w:szCs w:val="22"/>
        </w:rPr>
        <w:t xml:space="preserve">The volume of patients treated in the future will depend on whether the shorter duration and claimed reduction in toxicity with </w:t>
      </w:r>
      <w:proofErr w:type="spellStart"/>
      <w:r w:rsidR="009C5C89" w:rsidRPr="00ED4C18">
        <w:rPr>
          <w:szCs w:val="22"/>
        </w:rPr>
        <w:t>sofosbuvir</w:t>
      </w:r>
      <w:proofErr w:type="spellEnd"/>
      <w:r w:rsidR="009C5C89" w:rsidRPr="00ED4C18">
        <w:rPr>
          <w:szCs w:val="22"/>
        </w:rPr>
        <w:t xml:space="preserve"> containing regimens will allow more patients to be treated within the existing capacity. Other factors that may increase capacity include changes to the models of delivery for hepatitis C treatment.</w:t>
      </w:r>
      <w:r w:rsidR="005D2641" w:rsidRPr="00ED4C18">
        <w:rPr>
          <w:szCs w:val="22"/>
        </w:rPr>
        <w:t xml:space="preserve"> </w:t>
      </w:r>
    </w:p>
    <w:p w:rsidR="00256147" w:rsidRPr="00ED4C18" w:rsidRDefault="00256147" w:rsidP="00081903">
      <w:pPr>
        <w:pStyle w:val="ListParagraph"/>
        <w:numPr>
          <w:ilvl w:val="1"/>
          <w:numId w:val="50"/>
        </w:numPr>
        <w:jc w:val="both"/>
        <w:rPr>
          <w:szCs w:val="22"/>
        </w:rPr>
      </w:pPr>
      <w:r w:rsidRPr="00ED4C18">
        <w:rPr>
          <w:szCs w:val="22"/>
        </w:rPr>
        <w:t xml:space="preserve">That a practice </w:t>
      </w:r>
      <w:r w:rsidR="00110EA9" w:rsidRPr="00ED4C18">
        <w:rPr>
          <w:szCs w:val="22"/>
        </w:rPr>
        <w:t xml:space="preserve">of </w:t>
      </w:r>
      <w:r w:rsidRPr="00ED4C18">
        <w:rPr>
          <w:szCs w:val="22"/>
        </w:rPr>
        <w:t xml:space="preserve">obtaining a co-pack of </w:t>
      </w:r>
      <w:proofErr w:type="spellStart"/>
      <w:r w:rsidRPr="00ED4C18">
        <w:rPr>
          <w:szCs w:val="22"/>
        </w:rPr>
        <w:t>peginterferon</w:t>
      </w:r>
      <w:proofErr w:type="spellEnd"/>
      <w:r w:rsidRPr="00ED4C18">
        <w:rPr>
          <w:szCs w:val="22"/>
        </w:rPr>
        <w:t xml:space="preserve"> and ribavirin and discarding the </w:t>
      </w:r>
      <w:proofErr w:type="spellStart"/>
      <w:r w:rsidRPr="00ED4C18">
        <w:rPr>
          <w:szCs w:val="22"/>
        </w:rPr>
        <w:t>peginterferon</w:t>
      </w:r>
      <w:proofErr w:type="spellEnd"/>
      <w:r w:rsidRPr="00ED4C18">
        <w:rPr>
          <w:szCs w:val="22"/>
        </w:rPr>
        <w:t xml:space="preserve"> for IFN-free treatment </w:t>
      </w:r>
      <w:r w:rsidR="00110EA9" w:rsidRPr="00ED4C18">
        <w:rPr>
          <w:szCs w:val="22"/>
        </w:rPr>
        <w:t xml:space="preserve">would </w:t>
      </w:r>
      <w:r w:rsidRPr="00ED4C18">
        <w:rPr>
          <w:szCs w:val="22"/>
        </w:rPr>
        <w:t xml:space="preserve">represent substantial wastage and would impact on the estimate of cost-effectiveness of </w:t>
      </w:r>
      <w:proofErr w:type="spellStart"/>
      <w:r w:rsidRPr="00ED4C18">
        <w:rPr>
          <w:szCs w:val="22"/>
        </w:rPr>
        <w:t>sofosbuvir</w:t>
      </w:r>
      <w:proofErr w:type="spellEnd"/>
      <w:r w:rsidRPr="00ED4C18">
        <w:rPr>
          <w:szCs w:val="22"/>
        </w:rPr>
        <w:t xml:space="preserve"> patients. </w:t>
      </w:r>
    </w:p>
    <w:p w:rsidR="00E14FD9" w:rsidRPr="00ED4C18" w:rsidRDefault="00E14FD9" w:rsidP="00E14FD9">
      <w:pPr>
        <w:pStyle w:val="ListParagraph"/>
        <w:rPr>
          <w:szCs w:val="22"/>
        </w:rPr>
      </w:pPr>
    </w:p>
    <w:p w:rsidR="00116AAC" w:rsidRPr="00ED4C18" w:rsidRDefault="003F1CE8" w:rsidP="00B85146">
      <w:pPr>
        <w:pStyle w:val="ListParagraph"/>
        <w:numPr>
          <w:ilvl w:val="1"/>
          <w:numId w:val="1"/>
        </w:numPr>
        <w:jc w:val="both"/>
        <w:rPr>
          <w:szCs w:val="22"/>
        </w:rPr>
      </w:pPr>
      <w:r w:rsidRPr="00ED4C18">
        <w:rPr>
          <w:szCs w:val="22"/>
        </w:rPr>
        <w:t>The PBAC considered, as the clinical management of individuals with HCV</w:t>
      </w:r>
      <w:r w:rsidR="00116AAC" w:rsidRPr="00ED4C18">
        <w:rPr>
          <w:szCs w:val="22"/>
        </w:rPr>
        <w:t xml:space="preserve"> </w:t>
      </w:r>
      <w:r w:rsidRPr="00ED4C18">
        <w:rPr>
          <w:szCs w:val="22"/>
        </w:rPr>
        <w:t xml:space="preserve">is </w:t>
      </w:r>
      <w:r w:rsidR="00116AAC" w:rsidRPr="00ED4C18">
        <w:rPr>
          <w:szCs w:val="22"/>
        </w:rPr>
        <w:t>moving so rapidly</w:t>
      </w:r>
      <w:r w:rsidRPr="00ED4C18">
        <w:rPr>
          <w:szCs w:val="22"/>
        </w:rPr>
        <w:t>, that</w:t>
      </w:r>
      <w:r w:rsidR="00116AAC" w:rsidRPr="00ED4C18">
        <w:rPr>
          <w:szCs w:val="22"/>
        </w:rPr>
        <w:t xml:space="preserve"> </w:t>
      </w:r>
      <w:r w:rsidRPr="00ED4C18">
        <w:rPr>
          <w:szCs w:val="22"/>
        </w:rPr>
        <w:t xml:space="preserve">a </w:t>
      </w:r>
      <w:r w:rsidR="00116AAC" w:rsidRPr="00ED4C18">
        <w:rPr>
          <w:szCs w:val="22"/>
        </w:rPr>
        <w:t xml:space="preserve">broader </w:t>
      </w:r>
      <w:r w:rsidRPr="00ED4C18">
        <w:rPr>
          <w:szCs w:val="22"/>
        </w:rPr>
        <w:t xml:space="preserve">Government and community </w:t>
      </w:r>
      <w:r w:rsidR="00116AAC" w:rsidRPr="00ED4C18">
        <w:rPr>
          <w:szCs w:val="22"/>
        </w:rPr>
        <w:t xml:space="preserve">approach </w:t>
      </w:r>
      <w:r w:rsidRPr="00ED4C18">
        <w:rPr>
          <w:szCs w:val="22"/>
        </w:rPr>
        <w:t xml:space="preserve">is </w:t>
      </w:r>
      <w:r w:rsidR="00116AAC" w:rsidRPr="00ED4C18">
        <w:rPr>
          <w:szCs w:val="22"/>
        </w:rPr>
        <w:t>needed to maximise cli</w:t>
      </w:r>
      <w:r w:rsidRPr="00ED4C18">
        <w:rPr>
          <w:szCs w:val="22"/>
        </w:rPr>
        <w:t xml:space="preserve">nical outcomes and patient access to treatment. As well as subsidising new treatment on the PBS, </w:t>
      </w:r>
      <w:r w:rsidR="00A216A1" w:rsidRPr="00ED4C18">
        <w:rPr>
          <w:szCs w:val="22"/>
        </w:rPr>
        <w:t>o</w:t>
      </w:r>
      <w:r w:rsidR="00E14FD9" w:rsidRPr="00ED4C18">
        <w:rPr>
          <w:szCs w:val="22"/>
        </w:rPr>
        <w:t xml:space="preserve">ther factors </w:t>
      </w:r>
      <w:r w:rsidR="00A216A1" w:rsidRPr="00ED4C18">
        <w:rPr>
          <w:szCs w:val="22"/>
        </w:rPr>
        <w:t>that</w:t>
      </w:r>
      <w:r w:rsidR="00E14FD9" w:rsidRPr="00ED4C18">
        <w:rPr>
          <w:szCs w:val="22"/>
        </w:rPr>
        <w:t xml:space="preserve"> increase </w:t>
      </w:r>
      <w:r w:rsidR="00A216A1" w:rsidRPr="00ED4C18">
        <w:rPr>
          <w:szCs w:val="22"/>
        </w:rPr>
        <w:t xml:space="preserve">the </w:t>
      </w:r>
      <w:r w:rsidR="00E14FD9" w:rsidRPr="00ED4C18">
        <w:rPr>
          <w:szCs w:val="22"/>
        </w:rPr>
        <w:t xml:space="preserve">capacity </w:t>
      </w:r>
      <w:r w:rsidR="00A216A1" w:rsidRPr="00ED4C18">
        <w:rPr>
          <w:szCs w:val="22"/>
        </w:rPr>
        <w:t>to treat patients need to be explored.</w:t>
      </w:r>
    </w:p>
    <w:p w:rsidR="00DA1465" w:rsidRPr="00ED4C18" w:rsidRDefault="00DA1465" w:rsidP="00DA1465">
      <w:pPr>
        <w:jc w:val="both"/>
        <w:rPr>
          <w:szCs w:val="22"/>
          <w:highlight w:val="cyan"/>
        </w:rPr>
      </w:pPr>
    </w:p>
    <w:p w:rsidR="004B0DDF" w:rsidRPr="00ED4C18" w:rsidRDefault="00DF6B7F" w:rsidP="00B85146">
      <w:pPr>
        <w:pStyle w:val="ListParagraph"/>
        <w:numPr>
          <w:ilvl w:val="1"/>
          <w:numId w:val="1"/>
        </w:numPr>
        <w:jc w:val="both"/>
        <w:rPr>
          <w:szCs w:val="22"/>
        </w:rPr>
      </w:pPr>
      <w:r w:rsidRPr="00E955FD">
        <w:rPr>
          <w:szCs w:val="22"/>
        </w:rPr>
        <w:t>The PBAC noted that</w:t>
      </w:r>
      <w:r w:rsidR="00A03AF9" w:rsidRPr="00E955FD">
        <w:rPr>
          <w:szCs w:val="22"/>
        </w:rPr>
        <w:t xml:space="preserve"> the</w:t>
      </w:r>
      <w:r w:rsidRPr="00E955FD">
        <w:rPr>
          <w:szCs w:val="22"/>
        </w:rPr>
        <w:t xml:space="preserve"> submission stated that there are advantages associated with the use of </w:t>
      </w:r>
      <w:proofErr w:type="spellStart"/>
      <w:r w:rsidRPr="00E955FD">
        <w:rPr>
          <w:szCs w:val="22"/>
        </w:rPr>
        <w:t>sofosbuvir</w:t>
      </w:r>
      <w:proofErr w:type="spellEnd"/>
      <w:r w:rsidRPr="00E955FD">
        <w:rPr>
          <w:szCs w:val="22"/>
        </w:rPr>
        <w:t xml:space="preserve"> for the treatment of prison inmates with HCV.  The PBAC </w:t>
      </w:r>
      <w:r w:rsidR="00C14C05" w:rsidRPr="00E955FD">
        <w:rPr>
          <w:szCs w:val="22"/>
        </w:rPr>
        <w:t xml:space="preserve">agreed but noted that there would </w:t>
      </w:r>
      <w:r w:rsidR="004B0DDF" w:rsidRPr="00E955FD">
        <w:rPr>
          <w:szCs w:val="22"/>
        </w:rPr>
        <w:t xml:space="preserve">logistical concerns </w:t>
      </w:r>
      <w:r w:rsidR="00C14C05" w:rsidRPr="00E955FD">
        <w:rPr>
          <w:szCs w:val="22"/>
        </w:rPr>
        <w:t>such as</w:t>
      </w:r>
      <w:r w:rsidR="004B0DDF" w:rsidRPr="00E955FD">
        <w:rPr>
          <w:szCs w:val="22"/>
        </w:rPr>
        <w:t xml:space="preserve"> frequent appointments with a specialist clinic </w:t>
      </w:r>
      <w:r w:rsidR="00C14C05" w:rsidRPr="00E955FD">
        <w:rPr>
          <w:szCs w:val="22"/>
        </w:rPr>
        <w:t xml:space="preserve">and that inmates are </w:t>
      </w:r>
      <w:r w:rsidR="004B0DDF" w:rsidRPr="00E955FD">
        <w:rPr>
          <w:szCs w:val="22"/>
        </w:rPr>
        <w:t>routinely involved in high-risk behaviours and would be</w:t>
      </w:r>
      <w:r w:rsidR="00C14C05" w:rsidRPr="00E955FD">
        <w:rPr>
          <w:szCs w:val="22"/>
        </w:rPr>
        <w:t xml:space="preserve"> at a high risk of re-infection. The PBAC considered that the cost-effectiveness of </w:t>
      </w:r>
      <w:proofErr w:type="spellStart"/>
      <w:r w:rsidR="00C14C05" w:rsidRPr="00E955FD">
        <w:rPr>
          <w:szCs w:val="22"/>
        </w:rPr>
        <w:t>sofosbuvir</w:t>
      </w:r>
      <w:proofErr w:type="spellEnd"/>
      <w:r w:rsidR="00C14C05" w:rsidRPr="00E955FD">
        <w:rPr>
          <w:szCs w:val="22"/>
        </w:rPr>
        <w:t xml:space="preserve"> in this context would need to be established.</w:t>
      </w:r>
      <w:r w:rsidR="00E955FD" w:rsidRPr="00E955FD">
        <w:rPr>
          <w:rStyle w:val="CommentReference"/>
        </w:rPr>
        <w:t xml:space="preserve"> </w:t>
      </w:r>
    </w:p>
    <w:p w:rsidR="00B270F1" w:rsidRPr="00ED4C18" w:rsidRDefault="00B270F1" w:rsidP="00B270F1">
      <w:pPr>
        <w:jc w:val="both"/>
        <w:rPr>
          <w:szCs w:val="22"/>
        </w:rPr>
      </w:pPr>
    </w:p>
    <w:p w:rsidR="001624DD" w:rsidRPr="00ED4C18" w:rsidRDefault="00A216A1" w:rsidP="00B85146">
      <w:pPr>
        <w:pStyle w:val="ListParagraph"/>
        <w:numPr>
          <w:ilvl w:val="1"/>
          <w:numId w:val="1"/>
        </w:numPr>
        <w:jc w:val="both"/>
        <w:rPr>
          <w:szCs w:val="22"/>
        </w:rPr>
      </w:pPr>
      <w:r w:rsidRPr="00ED4C18">
        <w:rPr>
          <w:szCs w:val="22"/>
        </w:rPr>
        <w:t>The</w:t>
      </w:r>
      <w:r w:rsidR="004B0DDF" w:rsidRPr="00ED4C18">
        <w:rPr>
          <w:szCs w:val="22"/>
        </w:rPr>
        <w:t xml:space="preserve"> TSANZ/ALA</w:t>
      </w:r>
      <w:r w:rsidRPr="00ED4C18">
        <w:rPr>
          <w:szCs w:val="22"/>
        </w:rPr>
        <w:t xml:space="preserve"> corresponded with the PBAC about patients with a high clinical need for treatment, name</w:t>
      </w:r>
      <w:r w:rsidR="005268B3" w:rsidRPr="00ED4C18">
        <w:rPr>
          <w:szCs w:val="22"/>
        </w:rPr>
        <w:t>ly</w:t>
      </w:r>
      <w:r w:rsidRPr="00ED4C18">
        <w:rPr>
          <w:szCs w:val="22"/>
        </w:rPr>
        <w:t xml:space="preserve"> patients with HCV infection who are awaiting a </w:t>
      </w:r>
      <w:r w:rsidR="00116AAC" w:rsidRPr="00ED4C18">
        <w:rPr>
          <w:szCs w:val="22"/>
        </w:rPr>
        <w:t xml:space="preserve">liver transplant </w:t>
      </w:r>
      <w:r w:rsidRPr="00ED4C18">
        <w:rPr>
          <w:szCs w:val="22"/>
        </w:rPr>
        <w:t>or have</w:t>
      </w:r>
      <w:r w:rsidR="00116AAC" w:rsidRPr="00ED4C18">
        <w:rPr>
          <w:szCs w:val="22"/>
        </w:rPr>
        <w:t xml:space="preserve"> cirrhosis complicate</w:t>
      </w:r>
      <w:r w:rsidR="00FF5FD6" w:rsidRPr="00ED4C18">
        <w:rPr>
          <w:szCs w:val="22"/>
        </w:rPr>
        <w:t>d by severe portal hypertension. The PBAC recognised that interferon-free treatment options are required for this high need population, where interferon based treatments are cont</w:t>
      </w:r>
      <w:r w:rsidRPr="00ED4C18">
        <w:rPr>
          <w:szCs w:val="22"/>
        </w:rPr>
        <w:t xml:space="preserve">raindicated because </w:t>
      </w:r>
      <w:r w:rsidR="00FF5FD6" w:rsidRPr="00ED4C18">
        <w:rPr>
          <w:szCs w:val="22"/>
        </w:rPr>
        <w:t xml:space="preserve">side effects may precipitate hepatic decompensation. </w:t>
      </w:r>
      <w:r w:rsidR="00FF3E65" w:rsidRPr="00ED4C18">
        <w:rPr>
          <w:szCs w:val="22"/>
        </w:rPr>
        <w:t xml:space="preserve">The PBAC noted the reporting of clinical trial data of patients treated pre-transplant remaining HCV RNA negative 12 weeks after liver transplant in the TSANZ/ALA proposal and the draft PI provided with the submission. </w:t>
      </w:r>
      <w:r w:rsidR="00C33420" w:rsidRPr="00ED4C18">
        <w:rPr>
          <w:szCs w:val="22"/>
        </w:rPr>
        <w:t xml:space="preserve">Though clinical evidence is emerging of the benefit to these patient </w:t>
      </w:r>
      <w:r w:rsidR="00CF319C" w:rsidRPr="00ED4C18">
        <w:rPr>
          <w:szCs w:val="22"/>
        </w:rPr>
        <w:t>populations with treatment with interferon-free regimens</w:t>
      </w:r>
      <w:r w:rsidR="00C33420" w:rsidRPr="00ED4C18">
        <w:rPr>
          <w:szCs w:val="22"/>
        </w:rPr>
        <w:t xml:space="preserve">, the comparative </w:t>
      </w:r>
      <w:r w:rsidR="008E0249" w:rsidRPr="00ED4C18">
        <w:rPr>
          <w:szCs w:val="22"/>
        </w:rPr>
        <w:t xml:space="preserve">clinical benefit </w:t>
      </w:r>
      <w:r w:rsidR="00406400" w:rsidRPr="00ED4C18">
        <w:rPr>
          <w:szCs w:val="22"/>
        </w:rPr>
        <w:t xml:space="preserve">had not been presented to the committee </w:t>
      </w:r>
      <w:r w:rsidR="008E0249" w:rsidRPr="00ED4C18">
        <w:rPr>
          <w:szCs w:val="22"/>
        </w:rPr>
        <w:t xml:space="preserve">and </w:t>
      </w:r>
      <w:r w:rsidR="00C33420" w:rsidRPr="00ED4C18">
        <w:rPr>
          <w:szCs w:val="22"/>
        </w:rPr>
        <w:t>cost-effectiveness ha</w:t>
      </w:r>
      <w:r w:rsidR="00CF319C" w:rsidRPr="00ED4C18">
        <w:rPr>
          <w:szCs w:val="22"/>
        </w:rPr>
        <w:t>d</w:t>
      </w:r>
      <w:r w:rsidR="00C33420" w:rsidRPr="00ED4C18">
        <w:rPr>
          <w:szCs w:val="22"/>
        </w:rPr>
        <w:t xml:space="preserve"> not been established. </w:t>
      </w:r>
      <w:r w:rsidR="00B270F1" w:rsidRPr="00ED4C18">
        <w:rPr>
          <w:szCs w:val="22"/>
        </w:rPr>
        <w:t>A m</w:t>
      </w:r>
      <w:r w:rsidR="00022A63" w:rsidRPr="00ED4C18">
        <w:rPr>
          <w:szCs w:val="22"/>
        </w:rPr>
        <w:t xml:space="preserve">ajor resubmission for </w:t>
      </w:r>
      <w:r w:rsidR="00B40F7C" w:rsidRPr="00ED4C18">
        <w:rPr>
          <w:szCs w:val="22"/>
        </w:rPr>
        <w:t xml:space="preserve">IFN-free treatment for </w:t>
      </w:r>
      <w:r w:rsidR="00022A63" w:rsidRPr="00ED4C18">
        <w:rPr>
          <w:szCs w:val="22"/>
        </w:rPr>
        <w:t xml:space="preserve">patients with greatest clinical need, such as </w:t>
      </w:r>
      <w:r w:rsidR="004B0DDF" w:rsidRPr="00ED4C18">
        <w:rPr>
          <w:szCs w:val="22"/>
        </w:rPr>
        <w:t>HCV complicated by cirrhosis and  portal hypertension (platelets &lt; 100,000 and serum albumin &lt; 35 G/l ) and in decompensated patients awaiting liver transplant</w:t>
      </w:r>
      <w:r w:rsidR="00B270F1" w:rsidRPr="00ED4C18">
        <w:rPr>
          <w:szCs w:val="22"/>
        </w:rPr>
        <w:t xml:space="preserve"> may be an early step towards a broader access to a treatment for Australians with HCV infection.</w:t>
      </w:r>
    </w:p>
    <w:p w:rsidR="00BB7EC3" w:rsidRPr="00ED4C18" w:rsidRDefault="00BB7EC3" w:rsidP="00B270F1">
      <w:pPr>
        <w:pStyle w:val="ListParagraph"/>
        <w:ind w:left="709"/>
        <w:jc w:val="both"/>
        <w:rPr>
          <w:szCs w:val="22"/>
        </w:rPr>
      </w:pPr>
    </w:p>
    <w:p w:rsidR="005A3223" w:rsidRPr="00B85146" w:rsidRDefault="00BB7EC3" w:rsidP="00B85146">
      <w:pPr>
        <w:pStyle w:val="ListParagraph"/>
        <w:numPr>
          <w:ilvl w:val="1"/>
          <w:numId w:val="1"/>
        </w:numPr>
        <w:jc w:val="both"/>
        <w:rPr>
          <w:szCs w:val="22"/>
        </w:rPr>
      </w:pPr>
      <w:r w:rsidRPr="00ED4C18">
        <w:rPr>
          <w:szCs w:val="22"/>
        </w:rPr>
        <w:t>The PBAC noted that this submission is</w:t>
      </w:r>
      <w:r w:rsidR="00662585" w:rsidRPr="00ED4C18">
        <w:rPr>
          <w:szCs w:val="22"/>
        </w:rPr>
        <w:t xml:space="preserve"> </w:t>
      </w:r>
      <w:r w:rsidR="00B43E90" w:rsidRPr="00ED4C18">
        <w:rPr>
          <w:szCs w:val="22"/>
        </w:rPr>
        <w:t>eligibl</w:t>
      </w:r>
      <w:r w:rsidRPr="00ED4C18">
        <w:rPr>
          <w:szCs w:val="22"/>
        </w:rPr>
        <w:t>e</w:t>
      </w:r>
      <w:r w:rsidR="00B43E90" w:rsidRPr="00ED4C18">
        <w:rPr>
          <w:szCs w:val="22"/>
        </w:rPr>
        <w:t xml:space="preserve"> for </w:t>
      </w:r>
      <w:r w:rsidRPr="00ED4C18">
        <w:rPr>
          <w:szCs w:val="22"/>
        </w:rPr>
        <w:t xml:space="preserve">an </w:t>
      </w:r>
      <w:r w:rsidR="00B43E90" w:rsidRPr="00ED4C18">
        <w:rPr>
          <w:szCs w:val="22"/>
        </w:rPr>
        <w:t>Independent Review.</w:t>
      </w:r>
      <w:r w:rsidRPr="00ED4C18">
        <w:rPr>
          <w:szCs w:val="22"/>
        </w:rPr>
        <w:t xml:space="preserve"> </w:t>
      </w:r>
    </w:p>
    <w:p w:rsidR="00DF26A7" w:rsidRDefault="00DF26A7" w:rsidP="00882085">
      <w:pPr>
        <w:jc w:val="both"/>
        <w:rPr>
          <w:szCs w:val="22"/>
        </w:rPr>
      </w:pPr>
    </w:p>
    <w:p w:rsidR="00B85146" w:rsidRPr="00ED4C18" w:rsidRDefault="00B85146" w:rsidP="00882085">
      <w:pPr>
        <w:jc w:val="both"/>
        <w:rPr>
          <w:szCs w:val="22"/>
        </w:rPr>
      </w:pPr>
    </w:p>
    <w:p w:rsidR="009C703C" w:rsidRPr="00ED4C18" w:rsidRDefault="009C703C" w:rsidP="00882085">
      <w:pPr>
        <w:jc w:val="both"/>
        <w:rPr>
          <w:b/>
          <w:szCs w:val="22"/>
        </w:rPr>
      </w:pPr>
      <w:r w:rsidRPr="00ED4C18">
        <w:rPr>
          <w:b/>
          <w:szCs w:val="22"/>
        </w:rPr>
        <w:t>Outcome:</w:t>
      </w:r>
    </w:p>
    <w:p w:rsidR="00BB7EC3" w:rsidRDefault="009C703C" w:rsidP="00882085">
      <w:pPr>
        <w:jc w:val="both"/>
        <w:rPr>
          <w:szCs w:val="22"/>
        </w:rPr>
      </w:pPr>
      <w:r w:rsidRPr="00ED4C18">
        <w:rPr>
          <w:szCs w:val="22"/>
        </w:rPr>
        <w:t xml:space="preserve">Rejected </w:t>
      </w:r>
    </w:p>
    <w:p w:rsidR="00E837AD" w:rsidRDefault="00E837AD" w:rsidP="00882085">
      <w:pPr>
        <w:jc w:val="both"/>
        <w:rPr>
          <w:szCs w:val="22"/>
        </w:rPr>
      </w:pPr>
    </w:p>
    <w:p w:rsidR="00E837AD" w:rsidRDefault="00E837AD" w:rsidP="00E837AD">
      <w:pPr>
        <w:pStyle w:val="ListParagraph"/>
        <w:numPr>
          <w:ilvl w:val="0"/>
          <w:numId w:val="1"/>
        </w:numPr>
        <w:jc w:val="both"/>
        <w:rPr>
          <w:rFonts w:cs="Arial"/>
          <w:b/>
        </w:rPr>
      </w:pPr>
      <w:r w:rsidRPr="00D4420F">
        <w:rPr>
          <w:rFonts w:cs="Arial"/>
          <w:b/>
        </w:rPr>
        <w:t>Context for Decision</w:t>
      </w:r>
    </w:p>
    <w:p w:rsidR="00E837AD" w:rsidRPr="00D4420F" w:rsidRDefault="00E837AD" w:rsidP="00E837AD">
      <w:pPr>
        <w:pStyle w:val="ListParagraph"/>
        <w:jc w:val="both"/>
        <w:rPr>
          <w:rFonts w:cs="Arial"/>
          <w:b/>
        </w:rPr>
      </w:pPr>
    </w:p>
    <w:p w:rsidR="00E837AD" w:rsidRPr="00D4420F" w:rsidRDefault="00E837AD" w:rsidP="00E837AD">
      <w:pPr>
        <w:ind w:left="720"/>
        <w:jc w:val="both"/>
        <w:rPr>
          <w:rFonts w:cs="Arial"/>
        </w:rPr>
      </w:pPr>
      <w:r w:rsidRPr="00D4420F">
        <w:rPr>
          <w:rFonts w:cs="Arial"/>
        </w:rPr>
        <w:t xml:space="preserve">The PBAC helps decide whether and, if so, how medicines should be subsidised in Australia. It considers submissions in this context. A PBAC decision not to </w:t>
      </w:r>
      <w:r w:rsidRPr="00D4420F">
        <w:rPr>
          <w:rFonts w:cs="Arial"/>
        </w:rPr>
        <w:lastRenderedPageBreak/>
        <w:t>recommend listing or not to recommend changing a listing does not represent a final PBAC view about the merits of the medicine. A company can resubmit to the PBAC or seek independent review of the PBAC decision.</w:t>
      </w:r>
    </w:p>
    <w:p w:rsidR="00E837AD" w:rsidRPr="00D4420F" w:rsidRDefault="00E837AD" w:rsidP="00E837AD">
      <w:pPr>
        <w:jc w:val="both"/>
        <w:rPr>
          <w:rFonts w:cs="Arial"/>
        </w:rPr>
      </w:pPr>
    </w:p>
    <w:p w:rsidR="00E837AD" w:rsidRPr="00D4420F" w:rsidRDefault="00E837AD" w:rsidP="00E837AD">
      <w:pPr>
        <w:pStyle w:val="ListParagraph"/>
        <w:numPr>
          <w:ilvl w:val="0"/>
          <w:numId w:val="1"/>
        </w:numPr>
        <w:jc w:val="both"/>
        <w:rPr>
          <w:rFonts w:cs="Arial"/>
          <w:b/>
        </w:rPr>
      </w:pPr>
      <w:r w:rsidRPr="00D4420F">
        <w:rPr>
          <w:rFonts w:cs="Arial"/>
          <w:b/>
        </w:rPr>
        <w:t>Sponsor’s Comment</w:t>
      </w:r>
    </w:p>
    <w:p w:rsidR="00E837AD" w:rsidRPr="00ED4C18" w:rsidRDefault="00E837AD" w:rsidP="00882085">
      <w:pPr>
        <w:jc w:val="both"/>
        <w:rPr>
          <w:szCs w:val="22"/>
        </w:rPr>
      </w:pPr>
    </w:p>
    <w:p w:rsidR="00116AAC" w:rsidRPr="00ED4C18" w:rsidRDefault="00A37AD1" w:rsidP="00A37AD1">
      <w:pPr>
        <w:ind w:firstLine="709"/>
        <w:jc w:val="both"/>
        <w:rPr>
          <w:szCs w:val="22"/>
        </w:rPr>
      </w:pPr>
      <w:r>
        <w:rPr>
          <w:szCs w:val="22"/>
        </w:rPr>
        <w:t>The sponsor had no comment.</w:t>
      </w:r>
    </w:p>
    <w:p w:rsidR="00116AAC" w:rsidRPr="00ED4C18" w:rsidRDefault="00116AAC" w:rsidP="00882085">
      <w:pPr>
        <w:jc w:val="both"/>
        <w:rPr>
          <w:szCs w:val="22"/>
        </w:rPr>
      </w:pPr>
    </w:p>
    <w:sectPr w:rsidR="00116AAC" w:rsidRPr="00ED4C18" w:rsidSect="00E3363C">
      <w:headerReference w:type="even" r:id="rId11"/>
      <w:headerReference w:type="default" r:id="rId12"/>
      <w:footerReference w:type="even" r:id="rId13"/>
      <w:footerReference w:type="default" r:id="rId14"/>
      <w:footerReference w:type="first" r:id="rId15"/>
      <w:pgSz w:w="11906" w:h="16838" w:code="9"/>
      <w:pgMar w:top="1440" w:right="1440" w:bottom="1440" w:left="1440" w:header="720" w:footer="720"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03E2FB" w15:done="0"/>
  <w15:commentEx w15:paraId="3F4224DB" w15:done="0"/>
  <w15:commentEx w15:paraId="3A4AC8E9" w15:done="0"/>
  <w15:commentEx w15:paraId="4A6925A3" w15:done="0"/>
  <w15:commentEx w15:paraId="6D2042F0" w15:done="0"/>
  <w15:commentEx w15:paraId="6512CF49" w15:done="0"/>
  <w15:commentEx w15:paraId="25BDD49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C77" w:rsidRDefault="003C5C77">
      <w:r>
        <w:separator/>
      </w:r>
    </w:p>
  </w:endnote>
  <w:endnote w:type="continuationSeparator" w:id="0">
    <w:p w:rsidR="003C5C77" w:rsidRDefault="003C5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TimesNewRoman">
    <w:altName w:val="Arial Unicode MS"/>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552570"/>
      <w:docPartObj>
        <w:docPartGallery w:val="Page Numbers (Bottom of Page)"/>
        <w:docPartUnique/>
      </w:docPartObj>
    </w:sdtPr>
    <w:sdtEndPr>
      <w:rPr>
        <w:noProof/>
      </w:rPr>
    </w:sdtEndPr>
    <w:sdtContent>
      <w:p w:rsidR="003C5C77" w:rsidRDefault="003C5C77">
        <w:pPr>
          <w:pStyle w:val="Footer"/>
          <w:jc w:val="center"/>
        </w:pPr>
      </w:p>
      <w:p w:rsidR="003C5C77" w:rsidRDefault="003C5C77">
        <w:pPr>
          <w:pStyle w:val="Footer"/>
          <w:jc w:val="center"/>
        </w:pPr>
        <w:r>
          <w:fldChar w:fldCharType="begin"/>
        </w:r>
        <w:r>
          <w:instrText xml:space="preserve"> PAGE   \* MERGEFORMAT </w:instrText>
        </w:r>
        <w:r>
          <w:fldChar w:fldCharType="separate"/>
        </w:r>
        <w:r w:rsidR="00D16494">
          <w:rPr>
            <w:noProof/>
          </w:rPr>
          <w:t>12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3C5C77" w:rsidTr="005A3173">
      <w:trPr>
        <w:trHeight w:val="151"/>
      </w:trPr>
      <w:tc>
        <w:tcPr>
          <w:tcW w:w="2250" w:type="pct"/>
          <w:tcBorders>
            <w:top w:val="nil"/>
            <w:left w:val="nil"/>
            <w:bottom w:val="single" w:sz="4" w:space="0" w:color="4F81BD"/>
            <w:right w:val="nil"/>
          </w:tcBorders>
        </w:tcPr>
        <w:p w:rsidR="003C5C77" w:rsidRPr="005A3173" w:rsidRDefault="003C5C7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3C5C77" w:rsidRPr="005A3173" w:rsidRDefault="003C5C7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3C5C77" w:rsidRPr="005A3173" w:rsidRDefault="003C5C77" w:rsidP="005A3173">
          <w:pPr>
            <w:pStyle w:val="Header"/>
            <w:spacing w:line="276" w:lineRule="auto"/>
            <w:rPr>
              <w:rFonts w:ascii="Calibri" w:eastAsia="MS Gothic" w:hAnsi="Calibri"/>
              <w:b/>
              <w:bCs/>
              <w:color w:val="4F81BD"/>
            </w:rPr>
          </w:pPr>
        </w:p>
      </w:tc>
    </w:tr>
    <w:tr w:rsidR="003C5C77" w:rsidTr="005A3173">
      <w:trPr>
        <w:trHeight w:val="150"/>
      </w:trPr>
      <w:tc>
        <w:tcPr>
          <w:tcW w:w="2250" w:type="pct"/>
          <w:tcBorders>
            <w:top w:val="single" w:sz="4" w:space="0" w:color="4F81BD"/>
            <w:left w:val="nil"/>
            <w:bottom w:val="nil"/>
            <w:right w:val="nil"/>
          </w:tcBorders>
        </w:tcPr>
        <w:p w:rsidR="003C5C77" w:rsidRPr="005A3173" w:rsidRDefault="003C5C77" w:rsidP="005A3173">
          <w:pPr>
            <w:pStyle w:val="Header"/>
            <w:spacing w:line="276" w:lineRule="auto"/>
            <w:rPr>
              <w:rFonts w:ascii="Calibri" w:eastAsia="MS Gothic" w:hAnsi="Calibri"/>
              <w:b/>
              <w:bCs/>
              <w:color w:val="4F81BD"/>
            </w:rPr>
          </w:pPr>
        </w:p>
      </w:tc>
      <w:tc>
        <w:tcPr>
          <w:tcW w:w="0" w:type="auto"/>
          <w:vMerge/>
          <w:vAlign w:val="center"/>
          <w:hideMark/>
        </w:tcPr>
        <w:p w:rsidR="003C5C77" w:rsidRPr="005A3173" w:rsidRDefault="003C5C77" w:rsidP="005A3173">
          <w:pPr>
            <w:rPr>
              <w:rFonts w:ascii="Calibri" w:hAnsi="Calibri"/>
              <w:color w:val="365F91"/>
              <w:szCs w:val="22"/>
            </w:rPr>
          </w:pPr>
        </w:p>
      </w:tc>
      <w:tc>
        <w:tcPr>
          <w:tcW w:w="2250" w:type="pct"/>
          <w:tcBorders>
            <w:top w:val="single" w:sz="4" w:space="0" w:color="4F81BD"/>
            <w:left w:val="nil"/>
            <w:bottom w:val="nil"/>
            <w:right w:val="nil"/>
          </w:tcBorders>
        </w:tcPr>
        <w:p w:rsidR="003C5C77" w:rsidRPr="005A3173" w:rsidRDefault="003C5C77" w:rsidP="005A3173">
          <w:pPr>
            <w:pStyle w:val="Header"/>
            <w:spacing w:line="276" w:lineRule="auto"/>
            <w:rPr>
              <w:rFonts w:ascii="Calibri" w:eastAsia="MS Gothic" w:hAnsi="Calibri"/>
              <w:b/>
              <w:bCs/>
              <w:color w:val="4F81BD"/>
            </w:rPr>
          </w:pPr>
        </w:p>
      </w:tc>
    </w:tr>
  </w:tbl>
  <w:p w:rsidR="003C5C77" w:rsidRDefault="003C5C77"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C5C77" w:rsidRDefault="003C5C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1723569"/>
      <w:docPartObj>
        <w:docPartGallery w:val="Page Numbers (Bottom of Page)"/>
        <w:docPartUnique/>
      </w:docPartObj>
    </w:sdtPr>
    <w:sdtEndPr>
      <w:rPr>
        <w:noProof/>
      </w:rPr>
    </w:sdtEndPr>
    <w:sdtContent>
      <w:p w:rsidR="003C5C77" w:rsidRDefault="003C5C77">
        <w:pPr>
          <w:pStyle w:val="Footer"/>
          <w:jc w:val="center"/>
        </w:pPr>
      </w:p>
      <w:p w:rsidR="003C5C77" w:rsidRDefault="003C5C77">
        <w:pPr>
          <w:pStyle w:val="Footer"/>
          <w:jc w:val="center"/>
        </w:pPr>
        <w:r>
          <w:fldChar w:fldCharType="begin"/>
        </w:r>
        <w:r>
          <w:instrText xml:space="preserve"> PAGE   \* MERGEFORMAT </w:instrText>
        </w:r>
        <w:r>
          <w:fldChar w:fldCharType="separate"/>
        </w:r>
        <w:r w:rsidR="00D16494">
          <w:rPr>
            <w:noProof/>
          </w:rPr>
          <w:t>13</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3C5C77" w:rsidTr="005A3173">
      <w:trPr>
        <w:trHeight w:val="151"/>
      </w:trPr>
      <w:tc>
        <w:tcPr>
          <w:tcW w:w="2250" w:type="pct"/>
          <w:tcBorders>
            <w:top w:val="nil"/>
            <w:left w:val="nil"/>
            <w:bottom w:val="single" w:sz="4" w:space="0" w:color="4F81BD"/>
            <w:right w:val="nil"/>
          </w:tcBorders>
        </w:tcPr>
        <w:p w:rsidR="003C5C77" w:rsidRPr="005A3173" w:rsidRDefault="003C5C7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3C5C77" w:rsidRPr="005A3173" w:rsidRDefault="003C5C7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3C5C77" w:rsidRPr="005A3173" w:rsidRDefault="003C5C77" w:rsidP="005A3173">
          <w:pPr>
            <w:pStyle w:val="Header"/>
            <w:spacing w:line="276" w:lineRule="auto"/>
            <w:rPr>
              <w:rFonts w:ascii="Calibri" w:eastAsia="MS Gothic" w:hAnsi="Calibri"/>
              <w:b/>
              <w:bCs/>
              <w:color w:val="4F81BD"/>
            </w:rPr>
          </w:pPr>
        </w:p>
      </w:tc>
    </w:tr>
    <w:tr w:rsidR="003C5C77" w:rsidTr="005A3173">
      <w:trPr>
        <w:trHeight w:val="150"/>
      </w:trPr>
      <w:tc>
        <w:tcPr>
          <w:tcW w:w="2250" w:type="pct"/>
          <w:tcBorders>
            <w:top w:val="single" w:sz="4" w:space="0" w:color="4F81BD"/>
            <w:left w:val="nil"/>
            <w:bottom w:val="nil"/>
            <w:right w:val="nil"/>
          </w:tcBorders>
        </w:tcPr>
        <w:p w:rsidR="003C5C77" w:rsidRPr="005A3173" w:rsidRDefault="003C5C77" w:rsidP="005A3173">
          <w:pPr>
            <w:pStyle w:val="Header"/>
            <w:spacing w:line="276" w:lineRule="auto"/>
            <w:rPr>
              <w:rFonts w:ascii="Calibri" w:eastAsia="MS Gothic" w:hAnsi="Calibri"/>
              <w:b/>
              <w:bCs/>
              <w:color w:val="4F81BD"/>
            </w:rPr>
          </w:pPr>
        </w:p>
      </w:tc>
      <w:tc>
        <w:tcPr>
          <w:tcW w:w="0" w:type="auto"/>
          <w:vMerge/>
          <w:vAlign w:val="center"/>
          <w:hideMark/>
        </w:tcPr>
        <w:p w:rsidR="003C5C77" w:rsidRPr="005A3173" w:rsidRDefault="003C5C77" w:rsidP="005A3173">
          <w:pPr>
            <w:rPr>
              <w:rFonts w:ascii="Calibri" w:hAnsi="Calibri"/>
              <w:color w:val="365F91"/>
              <w:szCs w:val="22"/>
            </w:rPr>
          </w:pPr>
        </w:p>
      </w:tc>
      <w:tc>
        <w:tcPr>
          <w:tcW w:w="2250" w:type="pct"/>
          <w:tcBorders>
            <w:top w:val="single" w:sz="4" w:space="0" w:color="4F81BD"/>
            <w:left w:val="nil"/>
            <w:bottom w:val="nil"/>
            <w:right w:val="nil"/>
          </w:tcBorders>
        </w:tcPr>
        <w:p w:rsidR="003C5C77" w:rsidRPr="005A3173" w:rsidRDefault="003C5C77"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3C5C77" w:rsidTr="005A3173">
      <w:trPr>
        <w:trHeight w:val="151"/>
      </w:trPr>
      <w:tc>
        <w:tcPr>
          <w:tcW w:w="2250" w:type="pct"/>
          <w:tcBorders>
            <w:top w:val="nil"/>
            <w:left w:val="nil"/>
            <w:bottom w:val="single" w:sz="4" w:space="0" w:color="4F81BD"/>
            <w:right w:val="nil"/>
          </w:tcBorders>
        </w:tcPr>
        <w:p w:rsidR="003C5C77" w:rsidRPr="005A3173" w:rsidRDefault="003C5C7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3C5C77" w:rsidRPr="005A3173" w:rsidRDefault="003C5C7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3C5C77" w:rsidRPr="005A3173" w:rsidRDefault="003C5C77" w:rsidP="005A3173">
          <w:pPr>
            <w:pStyle w:val="Header"/>
            <w:spacing w:line="276" w:lineRule="auto"/>
            <w:rPr>
              <w:rFonts w:ascii="Calibri" w:eastAsia="MS Gothic" w:hAnsi="Calibri"/>
              <w:b/>
              <w:bCs/>
              <w:color w:val="4F81BD"/>
            </w:rPr>
          </w:pPr>
        </w:p>
      </w:tc>
    </w:tr>
    <w:tr w:rsidR="003C5C77" w:rsidTr="005A3173">
      <w:trPr>
        <w:trHeight w:val="150"/>
      </w:trPr>
      <w:tc>
        <w:tcPr>
          <w:tcW w:w="2250" w:type="pct"/>
          <w:tcBorders>
            <w:top w:val="single" w:sz="4" w:space="0" w:color="4F81BD"/>
            <w:left w:val="nil"/>
            <w:bottom w:val="nil"/>
            <w:right w:val="nil"/>
          </w:tcBorders>
        </w:tcPr>
        <w:p w:rsidR="003C5C77" w:rsidRPr="005A3173" w:rsidRDefault="003C5C77" w:rsidP="005A3173">
          <w:pPr>
            <w:pStyle w:val="Header"/>
            <w:spacing w:line="276" w:lineRule="auto"/>
            <w:rPr>
              <w:rFonts w:ascii="Calibri" w:eastAsia="MS Gothic" w:hAnsi="Calibri"/>
              <w:b/>
              <w:bCs/>
              <w:color w:val="4F81BD"/>
            </w:rPr>
          </w:pPr>
        </w:p>
      </w:tc>
      <w:tc>
        <w:tcPr>
          <w:tcW w:w="0" w:type="auto"/>
          <w:vMerge/>
          <w:vAlign w:val="center"/>
          <w:hideMark/>
        </w:tcPr>
        <w:p w:rsidR="003C5C77" w:rsidRPr="005A3173" w:rsidRDefault="003C5C77" w:rsidP="005A3173">
          <w:pPr>
            <w:rPr>
              <w:rFonts w:ascii="Calibri" w:hAnsi="Calibri"/>
              <w:color w:val="365F91"/>
              <w:szCs w:val="22"/>
            </w:rPr>
          </w:pPr>
        </w:p>
      </w:tc>
      <w:tc>
        <w:tcPr>
          <w:tcW w:w="2250" w:type="pct"/>
          <w:tcBorders>
            <w:top w:val="single" w:sz="4" w:space="0" w:color="4F81BD"/>
            <w:left w:val="nil"/>
            <w:bottom w:val="nil"/>
            <w:right w:val="nil"/>
          </w:tcBorders>
        </w:tcPr>
        <w:p w:rsidR="003C5C77" w:rsidRPr="005A3173" w:rsidRDefault="003C5C77" w:rsidP="005A3173">
          <w:pPr>
            <w:pStyle w:val="Header"/>
            <w:spacing w:line="276" w:lineRule="auto"/>
            <w:rPr>
              <w:rFonts w:ascii="Calibri" w:eastAsia="MS Gothic" w:hAnsi="Calibri"/>
              <w:b/>
              <w:bCs/>
              <w:color w:val="4F81BD"/>
            </w:rPr>
          </w:pPr>
        </w:p>
      </w:tc>
    </w:tr>
  </w:tbl>
  <w:p w:rsidR="003C5C77" w:rsidRPr="007C0F57" w:rsidRDefault="003C5C77"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3C5C77" w:rsidRPr="007C0F57" w:rsidRDefault="003C5C77" w:rsidP="007C0F57">
    <w:pPr>
      <w:pStyle w:val="Footer"/>
      <w:jc w:val="center"/>
      <w:rPr>
        <w:b/>
        <w:i/>
        <w:sz w:val="20"/>
        <w:szCs w:val="20"/>
      </w:rPr>
    </w:pPr>
    <w:r w:rsidRPr="007C0F57">
      <w:rPr>
        <w:b/>
        <w:i/>
        <w:sz w:val="20"/>
        <w:szCs w:val="20"/>
      </w:rPr>
      <w:t>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C77" w:rsidRDefault="003C5C77">
      <w:r>
        <w:separator/>
      </w:r>
    </w:p>
  </w:footnote>
  <w:footnote w:type="continuationSeparator" w:id="0">
    <w:p w:rsidR="003C5C77" w:rsidRDefault="003C5C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C77" w:rsidRPr="00DF217D" w:rsidRDefault="003C5C77" w:rsidP="006E1310">
    <w:pPr>
      <w:pStyle w:val="Header"/>
      <w:jc w:val="center"/>
      <w:rPr>
        <w:rFonts w:cs="Arial"/>
        <w:i/>
        <w:color w:val="808080"/>
      </w:rPr>
    </w:pPr>
    <w:r>
      <w:rPr>
        <w:rFonts w:cs="Arial"/>
        <w:i/>
        <w:color w:val="808080"/>
      </w:rPr>
      <w:t>Public Summary Document</w:t>
    </w:r>
    <w:r w:rsidRPr="00DF217D">
      <w:rPr>
        <w:rFonts w:cs="Arial"/>
        <w:i/>
        <w:color w:val="808080"/>
      </w:rPr>
      <w:t xml:space="preserve">– </w:t>
    </w:r>
    <w:r>
      <w:rPr>
        <w:rFonts w:cs="Arial"/>
        <w:i/>
        <w:color w:val="808080"/>
      </w:rPr>
      <w:t xml:space="preserve">July 2014 </w:t>
    </w:r>
    <w:r w:rsidRPr="00DF217D">
      <w:rPr>
        <w:rFonts w:cs="Arial"/>
        <w:i/>
        <w:color w:val="808080"/>
      </w:rPr>
      <w:t>PBAC</w:t>
    </w:r>
    <w:r>
      <w:rPr>
        <w:rFonts w:cs="Arial"/>
        <w:i/>
        <w:color w:val="808080"/>
      </w:rPr>
      <w:t xml:space="preserve"> </w:t>
    </w:r>
    <w:r w:rsidRPr="00DF217D">
      <w:rPr>
        <w:rFonts w:cs="Arial"/>
        <w:i/>
        <w:color w:val="808080"/>
      </w:rPr>
      <w:t>Meeting</w:t>
    </w:r>
  </w:p>
  <w:p w:rsidR="003C5C77" w:rsidRDefault="003C5C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3C5C77" w:rsidRPr="008E0D90" w:rsidTr="00A06225">
      <w:trPr>
        <w:trHeight w:val="151"/>
      </w:trPr>
      <w:tc>
        <w:tcPr>
          <w:tcW w:w="2389" w:type="pct"/>
          <w:tcBorders>
            <w:top w:val="nil"/>
            <w:left w:val="nil"/>
            <w:bottom w:val="single" w:sz="4" w:space="0" w:color="4F81BD"/>
            <w:right w:val="nil"/>
          </w:tcBorders>
        </w:tcPr>
        <w:p w:rsidR="003C5C77" w:rsidRPr="00A06225" w:rsidRDefault="003C5C77">
          <w:pPr>
            <w:pStyle w:val="Header"/>
            <w:spacing w:line="276" w:lineRule="auto"/>
            <w:rPr>
              <w:rFonts w:ascii="Cambria" w:eastAsia="MS Gothic" w:hAnsi="Cambria"/>
              <w:b/>
              <w:bCs/>
              <w:color w:val="4F81BD"/>
            </w:rPr>
          </w:pPr>
        </w:p>
      </w:tc>
      <w:tc>
        <w:tcPr>
          <w:tcW w:w="333" w:type="pct"/>
          <w:vMerge w:val="restart"/>
          <w:noWrap/>
          <w:vAlign w:val="center"/>
          <w:hideMark/>
        </w:tcPr>
        <w:p w:rsidR="003C5C77" w:rsidRPr="00A06225" w:rsidRDefault="003C5C77"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3C5C77" w:rsidRPr="00A06225" w:rsidRDefault="003C5C77">
          <w:pPr>
            <w:pStyle w:val="Header"/>
            <w:spacing w:line="276" w:lineRule="auto"/>
            <w:rPr>
              <w:rFonts w:ascii="Cambria" w:eastAsia="MS Gothic" w:hAnsi="Cambria"/>
              <w:b/>
              <w:bCs/>
              <w:color w:val="4F81BD"/>
            </w:rPr>
          </w:pPr>
        </w:p>
      </w:tc>
    </w:tr>
    <w:tr w:rsidR="003C5C77" w:rsidRPr="008E0D90" w:rsidTr="00A06225">
      <w:trPr>
        <w:trHeight w:val="150"/>
      </w:trPr>
      <w:tc>
        <w:tcPr>
          <w:tcW w:w="2389" w:type="pct"/>
          <w:tcBorders>
            <w:top w:val="single" w:sz="4" w:space="0" w:color="4F81BD"/>
            <w:left w:val="nil"/>
            <w:bottom w:val="nil"/>
            <w:right w:val="nil"/>
          </w:tcBorders>
        </w:tcPr>
        <w:p w:rsidR="003C5C77" w:rsidRPr="00A06225" w:rsidRDefault="003C5C77">
          <w:pPr>
            <w:pStyle w:val="Header"/>
            <w:spacing w:line="276" w:lineRule="auto"/>
            <w:rPr>
              <w:rFonts w:ascii="Cambria" w:eastAsia="MS Gothic" w:hAnsi="Cambria"/>
              <w:b/>
              <w:bCs/>
              <w:color w:val="4F81BD"/>
            </w:rPr>
          </w:pPr>
        </w:p>
      </w:tc>
      <w:tc>
        <w:tcPr>
          <w:tcW w:w="0" w:type="auto"/>
          <w:vMerge/>
          <w:vAlign w:val="center"/>
          <w:hideMark/>
        </w:tcPr>
        <w:p w:rsidR="003C5C77" w:rsidRPr="00A06225" w:rsidRDefault="003C5C77">
          <w:pPr>
            <w:rPr>
              <w:rFonts w:ascii="Cambria" w:hAnsi="Cambria"/>
              <w:color w:val="4F81BD"/>
              <w:szCs w:val="22"/>
            </w:rPr>
          </w:pPr>
        </w:p>
      </w:tc>
      <w:tc>
        <w:tcPr>
          <w:tcW w:w="2278" w:type="pct"/>
          <w:tcBorders>
            <w:top w:val="single" w:sz="4" w:space="0" w:color="4F81BD"/>
            <w:left w:val="nil"/>
            <w:bottom w:val="nil"/>
            <w:right w:val="nil"/>
          </w:tcBorders>
        </w:tcPr>
        <w:p w:rsidR="003C5C77" w:rsidRPr="00A06225" w:rsidRDefault="003C5C77">
          <w:pPr>
            <w:pStyle w:val="Header"/>
            <w:spacing w:line="276" w:lineRule="auto"/>
            <w:rPr>
              <w:rFonts w:ascii="Cambria" w:eastAsia="MS Gothic" w:hAnsi="Cambria"/>
              <w:b/>
              <w:bCs/>
              <w:color w:val="4F81BD"/>
            </w:rPr>
          </w:pPr>
        </w:p>
      </w:tc>
    </w:tr>
  </w:tbl>
  <w:p w:rsidR="003C5C77" w:rsidRDefault="003C5C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C77" w:rsidRPr="00DF217D" w:rsidRDefault="003C5C77" w:rsidP="00E837AD">
    <w:pPr>
      <w:pStyle w:val="Header"/>
      <w:jc w:val="center"/>
      <w:rPr>
        <w:rFonts w:cs="Arial"/>
        <w:i/>
        <w:color w:val="808080"/>
      </w:rPr>
    </w:pPr>
    <w:r>
      <w:rPr>
        <w:rFonts w:cs="Arial"/>
        <w:i/>
        <w:color w:val="808080"/>
      </w:rPr>
      <w:t>Draft Public Summary Document</w:t>
    </w:r>
    <w:r w:rsidRPr="00DF217D">
      <w:rPr>
        <w:rFonts w:cs="Arial"/>
        <w:i/>
        <w:color w:val="808080"/>
      </w:rPr>
      <w:t xml:space="preserve">– </w:t>
    </w:r>
    <w:r>
      <w:rPr>
        <w:rFonts w:cs="Arial"/>
        <w:i/>
        <w:color w:val="808080"/>
      </w:rPr>
      <w:t xml:space="preserve">July 2014 </w:t>
    </w:r>
    <w:r w:rsidRPr="00DF217D">
      <w:rPr>
        <w:rFonts w:cs="Arial"/>
        <w:i/>
        <w:color w:val="808080"/>
      </w:rPr>
      <w:t>PBAC</w:t>
    </w:r>
    <w:r>
      <w:rPr>
        <w:rFonts w:cs="Arial"/>
        <w:i/>
        <w:color w:val="808080"/>
      </w:rPr>
      <w:t xml:space="preserve"> </w:t>
    </w:r>
    <w:r w:rsidRPr="00DF217D">
      <w:rPr>
        <w:rFonts w:cs="Arial"/>
        <w:i/>
        <w:color w:val="808080"/>
      </w:rPr>
      <w:t>Meeting</w:t>
    </w:r>
  </w:p>
  <w:p w:rsidR="003C5C77" w:rsidRPr="00DF217D" w:rsidRDefault="003C5C77" w:rsidP="00E837AD">
    <w:pPr>
      <w:pStyle w:val="Header"/>
      <w:tabs>
        <w:tab w:val="clear" w:pos="4153"/>
        <w:tab w:val="clear" w:pos="8306"/>
        <w:tab w:val="left" w:pos="6179"/>
      </w:tabs>
      <w:rPr>
        <w:rFonts w:cs="Arial"/>
        <w:i/>
        <w:color w:val="808080"/>
        <w:szCs w:val="20"/>
      </w:rPr>
    </w:pPr>
    <w:r>
      <w:rPr>
        <w:rFonts w:cs="Arial"/>
        <w:i/>
        <w:color w:val="80808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1D5A"/>
    <w:multiLevelType w:val="hybridMultilevel"/>
    <w:tmpl w:val="749C2974"/>
    <w:lvl w:ilvl="0" w:tplc="8FCCFFD8">
      <w:start w:val="1"/>
      <w:numFmt w:val="bullet"/>
      <w:lvlText w:val=""/>
      <w:lvlJc w:val="left"/>
      <w:pPr>
        <w:tabs>
          <w:tab w:val="num" w:pos="720"/>
        </w:tabs>
        <w:ind w:left="720" w:hanging="360"/>
      </w:pPr>
      <w:rPr>
        <w:rFonts w:ascii="Wingdings" w:hAnsi="Wingdings" w:hint="default"/>
      </w:rPr>
    </w:lvl>
    <w:lvl w:ilvl="1" w:tplc="C3F4FAA2">
      <w:start w:val="1101"/>
      <w:numFmt w:val="bullet"/>
      <w:lvlText w:val=""/>
      <w:lvlJc w:val="left"/>
      <w:pPr>
        <w:tabs>
          <w:tab w:val="num" w:pos="1440"/>
        </w:tabs>
        <w:ind w:left="1440" w:hanging="360"/>
      </w:pPr>
      <w:rPr>
        <w:rFonts w:ascii="Wingdings 2" w:hAnsi="Wingdings 2" w:hint="default"/>
      </w:rPr>
    </w:lvl>
    <w:lvl w:ilvl="2" w:tplc="DDEA07FA" w:tentative="1">
      <w:start w:val="1"/>
      <w:numFmt w:val="bullet"/>
      <w:lvlText w:val=""/>
      <w:lvlJc w:val="left"/>
      <w:pPr>
        <w:tabs>
          <w:tab w:val="num" w:pos="2160"/>
        </w:tabs>
        <w:ind w:left="2160" w:hanging="360"/>
      </w:pPr>
      <w:rPr>
        <w:rFonts w:ascii="Wingdings" w:hAnsi="Wingdings" w:hint="default"/>
      </w:rPr>
    </w:lvl>
    <w:lvl w:ilvl="3" w:tplc="75862E12" w:tentative="1">
      <w:start w:val="1"/>
      <w:numFmt w:val="bullet"/>
      <w:lvlText w:val=""/>
      <w:lvlJc w:val="left"/>
      <w:pPr>
        <w:tabs>
          <w:tab w:val="num" w:pos="2880"/>
        </w:tabs>
        <w:ind w:left="2880" w:hanging="360"/>
      </w:pPr>
      <w:rPr>
        <w:rFonts w:ascii="Wingdings" w:hAnsi="Wingdings" w:hint="default"/>
      </w:rPr>
    </w:lvl>
    <w:lvl w:ilvl="4" w:tplc="BF860DC0" w:tentative="1">
      <w:start w:val="1"/>
      <w:numFmt w:val="bullet"/>
      <w:lvlText w:val=""/>
      <w:lvlJc w:val="left"/>
      <w:pPr>
        <w:tabs>
          <w:tab w:val="num" w:pos="3600"/>
        </w:tabs>
        <w:ind w:left="3600" w:hanging="360"/>
      </w:pPr>
      <w:rPr>
        <w:rFonts w:ascii="Wingdings" w:hAnsi="Wingdings" w:hint="default"/>
      </w:rPr>
    </w:lvl>
    <w:lvl w:ilvl="5" w:tplc="00C6142A" w:tentative="1">
      <w:start w:val="1"/>
      <w:numFmt w:val="bullet"/>
      <w:lvlText w:val=""/>
      <w:lvlJc w:val="left"/>
      <w:pPr>
        <w:tabs>
          <w:tab w:val="num" w:pos="4320"/>
        </w:tabs>
        <w:ind w:left="4320" w:hanging="360"/>
      </w:pPr>
      <w:rPr>
        <w:rFonts w:ascii="Wingdings" w:hAnsi="Wingdings" w:hint="default"/>
      </w:rPr>
    </w:lvl>
    <w:lvl w:ilvl="6" w:tplc="D9808BE6" w:tentative="1">
      <w:start w:val="1"/>
      <w:numFmt w:val="bullet"/>
      <w:lvlText w:val=""/>
      <w:lvlJc w:val="left"/>
      <w:pPr>
        <w:tabs>
          <w:tab w:val="num" w:pos="5040"/>
        </w:tabs>
        <w:ind w:left="5040" w:hanging="360"/>
      </w:pPr>
      <w:rPr>
        <w:rFonts w:ascii="Wingdings" w:hAnsi="Wingdings" w:hint="default"/>
      </w:rPr>
    </w:lvl>
    <w:lvl w:ilvl="7" w:tplc="75AA9886" w:tentative="1">
      <w:start w:val="1"/>
      <w:numFmt w:val="bullet"/>
      <w:lvlText w:val=""/>
      <w:lvlJc w:val="left"/>
      <w:pPr>
        <w:tabs>
          <w:tab w:val="num" w:pos="5760"/>
        </w:tabs>
        <w:ind w:left="5760" w:hanging="360"/>
      </w:pPr>
      <w:rPr>
        <w:rFonts w:ascii="Wingdings" w:hAnsi="Wingdings" w:hint="default"/>
      </w:rPr>
    </w:lvl>
    <w:lvl w:ilvl="8" w:tplc="C456C2D0" w:tentative="1">
      <w:start w:val="1"/>
      <w:numFmt w:val="bullet"/>
      <w:lvlText w:val=""/>
      <w:lvlJc w:val="left"/>
      <w:pPr>
        <w:tabs>
          <w:tab w:val="num" w:pos="6480"/>
        </w:tabs>
        <w:ind w:left="6480" w:hanging="360"/>
      </w:pPr>
      <w:rPr>
        <w:rFonts w:ascii="Wingdings" w:hAnsi="Wingdings" w:hint="default"/>
      </w:rPr>
    </w:lvl>
  </w:abstractNum>
  <w:abstractNum w:abstractNumId="1">
    <w:nsid w:val="04E205D8"/>
    <w:multiLevelType w:val="hybridMultilevel"/>
    <w:tmpl w:val="BC5E1B90"/>
    <w:lvl w:ilvl="0" w:tplc="04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70508BA"/>
    <w:multiLevelType w:val="hybridMultilevel"/>
    <w:tmpl w:val="F3F8095A"/>
    <w:lvl w:ilvl="0" w:tplc="12C8FA08">
      <w:start w:val="1"/>
      <w:numFmt w:val="bullet"/>
      <w:lvlText w:val=""/>
      <w:lvlJc w:val="left"/>
      <w:pPr>
        <w:tabs>
          <w:tab w:val="num" w:pos="720"/>
        </w:tabs>
        <w:ind w:left="720" w:hanging="360"/>
      </w:pPr>
      <w:rPr>
        <w:rFonts w:ascii="Wingdings" w:hAnsi="Wingdings" w:hint="default"/>
      </w:rPr>
    </w:lvl>
    <w:lvl w:ilvl="1" w:tplc="9F3E9392">
      <w:start w:val="796"/>
      <w:numFmt w:val="bullet"/>
      <w:lvlText w:val=""/>
      <w:lvlJc w:val="left"/>
      <w:pPr>
        <w:tabs>
          <w:tab w:val="num" w:pos="1440"/>
        </w:tabs>
        <w:ind w:left="1440" w:hanging="360"/>
      </w:pPr>
      <w:rPr>
        <w:rFonts w:ascii="Wingdings 2" w:hAnsi="Wingdings 2" w:hint="default"/>
      </w:rPr>
    </w:lvl>
    <w:lvl w:ilvl="2" w:tplc="BB1CAE0C" w:tentative="1">
      <w:start w:val="1"/>
      <w:numFmt w:val="bullet"/>
      <w:lvlText w:val=""/>
      <w:lvlJc w:val="left"/>
      <w:pPr>
        <w:tabs>
          <w:tab w:val="num" w:pos="2160"/>
        </w:tabs>
        <w:ind w:left="2160" w:hanging="360"/>
      </w:pPr>
      <w:rPr>
        <w:rFonts w:ascii="Wingdings" w:hAnsi="Wingdings" w:hint="default"/>
      </w:rPr>
    </w:lvl>
    <w:lvl w:ilvl="3" w:tplc="B49C42E4" w:tentative="1">
      <w:start w:val="1"/>
      <w:numFmt w:val="bullet"/>
      <w:lvlText w:val=""/>
      <w:lvlJc w:val="left"/>
      <w:pPr>
        <w:tabs>
          <w:tab w:val="num" w:pos="2880"/>
        </w:tabs>
        <w:ind w:left="2880" w:hanging="360"/>
      </w:pPr>
      <w:rPr>
        <w:rFonts w:ascii="Wingdings" w:hAnsi="Wingdings" w:hint="default"/>
      </w:rPr>
    </w:lvl>
    <w:lvl w:ilvl="4" w:tplc="86F4E4B8" w:tentative="1">
      <w:start w:val="1"/>
      <w:numFmt w:val="bullet"/>
      <w:lvlText w:val=""/>
      <w:lvlJc w:val="left"/>
      <w:pPr>
        <w:tabs>
          <w:tab w:val="num" w:pos="3600"/>
        </w:tabs>
        <w:ind w:left="3600" w:hanging="360"/>
      </w:pPr>
      <w:rPr>
        <w:rFonts w:ascii="Wingdings" w:hAnsi="Wingdings" w:hint="default"/>
      </w:rPr>
    </w:lvl>
    <w:lvl w:ilvl="5" w:tplc="FBB4AE4C" w:tentative="1">
      <w:start w:val="1"/>
      <w:numFmt w:val="bullet"/>
      <w:lvlText w:val=""/>
      <w:lvlJc w:val="left"/>
      <w:pPr>
        <w:tabs>
          <w:tab w:val="num" w:pos="4320"/>
        </w:tabs>
        <w:ind w:left="4320" w:hanging="360"/>
      </w:pPr>
      <w:rPr>
        <w:rFonts w:ascii="Wingdings" w:hAnsi="Wingdings" w:hint="default"/>
      </w:rPr>
    </w:lvl>
    <w:lvl w:ilvl="6" w:tplc="23BE9A56" w:tentative="1">
      <w:start w:val="1"/>
      <w:numFmt w:val="bullet"/>
      <w:lvlText w:val=""/>
      <w:lvlJc w:val="left"/>
      <w:pPr>
        <w:tabs>
          <w:tab w:val="num" w:pos="5040"/>
        </w:tabs>
        <w:ind w:left="5040" w:hanging="360"/>
      </w:pPr>
      <w:rPr>
        <w:rFonts w:ascii="Wingdings" w:hAnsi="Wingdings" w:hint="default"/>
      </w:rPr>
    </w:lvl>
    <w:lvl w:ilvl="7" w:tplc="623C1746" w:tentative="1">
      <w:start w:val="1"/>
      <w:numFmt w:val="bullet"/>
      <w:lvlText w:val=""/>
      <w:lvlJc w:val="left"/>
      <w:pPr>
        <w:tabs>
          <w:tab w:val="num" w:pos="5760"/>
        </w:tabs>
        <w:ind w:left="5760" w:hanging="360"/>
      </w:pPr>
      <w:rPr>
        <w:rFonts w:ascii="Wingdings" w:hAnsi="Wingdings" w:hint="default"/>
      </w:rPr>
    </w:lvl>
    <w:lvl w:ilvl="8" w:tplc="43A459D6" w:tentative="1">
      <w:start w:val="1"/>
      <w:numFmt w:val="bullet"/>
      <w:lvlText w:val=""/>
      <w:lvlJc w:val="left"/>
      <w:pPr>
        <w:tabs>
          <w:tab w:val="num" w:pos="6480"/>
        </w:tabs>
        <w:ind w:left="6480" w:hanging="360"/>
      </w:pPr>
      <w:rPr>
        <w:rFonts w:ascii="Wingdings" w:hAnsi="Wingdings" w:hint="default"/>
      </w:rPr>
    </w:lvl>
  </w:abstractNum>
  <w:abstractNum w:abstractNumId="3">
    <w:nsid w:val="09B7613F"/>
    <w:multiLevelType w:val="hybridMultilevel"/>
    <w:tmpl w:val="D72067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E4A6B12"/>
    <w:multiLevelType w:val="hybridMultilevel"/>
    <w:tmpl w:val="C59A55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0082E35"/>
    <w:multiLevelType w:val="multilevel"/>
    <w:tmpl w:val="A7142902"/>
    <w:lvl w:ilvl="0">
      <w:start w:val="6"/>
      <w:numFmt w:val="decimal"/>
      <w:lvlText w:val="%1"/>
      <w:lvlJc w:val="left"/>
      <w:pPr>
        <w:ind w:left="360" w:hanging="360"/>
      </w:pPr>
      <w:rPr>
        <w:rFonts w:hint="default"/>
        <w:i w:val="0"/>
      </w:rPr>
    </w:lvl>
    <w:lvl w:ilvl="1">
      <w:start w:val="1"/>
      <w:numFmt w:val="bullet"/>
      <w:lvlText w:val=""/>
      <w:lvlJc w:val="left"/>
      <w:pPr>
        <w:ind w:left="107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34B451A"/>
    <w:multiLevelType w:val="hybridMultilevel"/>
    <w:tmpl w:val="6D860D9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nsid w:val="15910F96"/>
    <w:multiLevelType w:val="hybridMultilevel"/>
    <w:tmpl w:val="1B3068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70C4A60"/>
    <w:multiLevelType w:val="hybridMultilevel"/>
    <w:tmpl w:val="09E050F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19F62FCD"/>
    <w:multiLevelType w:val="hybridMultilevel"/>
    <w:tmpl w:val="109A4A8E"/>
    <w:lvl w:ilvl="0" w:tplc="BCE65E3C">
      <w:start w:val="1"/>
      <w:numFmt w:val="bullet"/>
      <w:lvlText w:val=""/>
      <w:lvlJc w:val="left"/>
      <w:pPr>
        <w:tabs>
          <w:tab w:val="num" w:pos="720"/>
        </w:tabs>
        <w:ind w:left="720" w:hanging="360"/>
      </w:pPr>
      <w:rPr>
        <w:rFonts w:ascii="Wingdings" w:hAnsi="Wingdings" w:hint="default"/>
      </w:rPr>
    </w:lvl>
    <w:lvl w:ilvl="1" w:tplc="89DA0B98" w:tentative="1">
      <w:start w:val="1"/>
      <w:numFmt w:val="bullet"/>
      <w:lvlText w:val=""/>
      <w:lvlJc w:val="left"/>
      <w:pPr>
        <w:tabs>
          <w:tab w:val="num" w:pos="1440"/>
        </w:tabs>
        <w:ind w:left="1440" w:hanging="360"/>
      </w:pPr>
      <w:rPr>
        <w:rFonts w:ascii="Wingdings" w:hAnsi="Wingdings" w:hint="default"/>
      </w:rPr>
    </w:lvl>
    <w:lvl w:ilvl="2" w:tplc="0026FCBA" w:tentative="1">
      <w:start w:val="1"/>
      <w:numFmt w:val="bullet"/>
      <w:lvlText w:val=""/>
      <w:lvlJc w:val="left"/>
      <w:pPr>
        <w:tabs>
          <w:tab w:val="num" w:pos="2160"/>
        </w:tabs>
        <w:ind w:left="2160" w:hanging="360"/>
      </w:pPr>
      <w:rPr>
        <w:rFonts w:ascii="Wingdings" w:hAnsi="Wingdings" w:hint="default"/>
      </w:rPr>
    </w:lvl>
    <w:lvl w:ilvl="3" w:tplc="F0D01C22" w:tentative="1">
      <w:start w:val="1"/>
      <w:numFmt w:val="bullet"/>
      <w:lvlText w:val=""/>
      <w:lvlJc w:val="left"/>
      <w:pPr>
        <w:tabs>
          <w:tab w:val="num" w:pos="2880"/>
        </w:tabs>
        <w:ind w:left="2880" w:hanging="360"/>
      </w:pPr>
      <w:rPr>
        <w:rFonts w:ascii="Wingdings" w:hAnsi="Wingdings" w:hint="default"/>
      </w:rPr>
    </w:lvl>
    <w:lvl w:ilvl="4" w:tplc="A7FE2E92" w:tentative="1">
      <w:start w:val="1"/>
      <w:numFmt w:val="bullet"/>
      <w:lvlText w:val=""/>
      <w:lvlJc w:val="left"/>
      <w:pPr>
        <w:tabs>
          <w:tab w:val="num" w:pos="3600"/>
        </w:tabs>
        <w:ind w:left="3600" w:hanging="360"/>
      </w:pPr>
      <w:rPr>
        <w:rFonts w:ascii="Wingdings" w:hAnsi="Wingdings" w:hint="default"/>
      </w:rPr>
    </w:lvl>
    <w:lvl w:ilvl="5" w:tplc="FFBA359A" w:tentative="1">
      <w:start w:val="1"/>
      <w:numFmt w:val="bullet"/>
      <w:lvlText w:val=""/>
      <w:lvlJc w:val="left"/>
      <w:pPr>
        <w:tabs>
          <w:tab w:val="num" w:pos="4320"/>
        </w:tabs>
        <w:ind w:left="4320" w:hanging="360"/>
      </w:pPr>
      <w:rPr>
        <w:rFonts w:ascii="Wingdings" w:hAnsi="Wingdings" w:hint="default"/>
      </w:rPr>
    </w:lvl>
    <w:lvl w:ilvl="6" w:tplc="D6701512" w:tentative="1">
      <w:start w:val="1"/>
      <w:numFmt w:val="bullet"/>
      <w:lvlText w:val=""/>
      <w:lvlJc w:val="left"/>
      <w:pPr>
        <w:tabs>
          <w:tab w:val="num" w:pos="5040"/>
        </w:tabs>
        <w:ind w:left="5040" w:hanging="360"/>
      </w:pPr>
      <w:rPr>
        <w:rFonts w:ascii="Wingdings" w:hAnsi="Wingdings" w:hint="default"/>
      </w:rPr>
    </w:lvl>
    <w:lvl w:ilvl="7" w:tplc="B1B049D4" w:tentative="1">
      <w:start w:val="1"/>
      <w:numFmt w:val="bullet"/>
      <w:lvlText w:val=""/>
      <w:lvlJc w:val="left"/>
      <w:pPr>
        <w:tabs>
          <w:tab w:val="num" w:pos="5760"/>
        </w:tabs>
        <w:ind w:left="5760" w:hanging="360"/>
      </w:pPr>
      <w:rPr>
        <w:rFonts w:ascii="Wingdings" w:hAnsi="Wingdings" w:hint="default"/>
      </w:rPr>
    </w:lvl>
    <w:lvl w:ilvl="8" w:tplc="9ADA3096" w:tentative="1">
      <w:start w:val="1"/>
      <w:numFmt w:val="bullet"/>
      <w:lvlText w:val=""/>
      <w:lvlJc w:val="left"/>
      <w:pPr>
        <w:tabs>
          <w:tab w:val="num" w:pos="6480"/>
        </w:tabs>
        <w:ind w:left="6480" w:hanging="360"/>
      </w:pPr>
      <w:rPr>
        <w:rFonts w:ascii="Wingdings" w:hAnsi="Wingdings" w:hint="default"/>
      </w:rPr>
    </w:lvl>
  </w:abstractNum>
  <w:abstractNum w:abstractNumId="10">
    <w:nsid w:val="1AE8789A"/>
    <w:multiLevelType w:val="hybridMultilevel"/>
    <w:tmpl w:val="EA5666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2">
    <w:nsid w:val="20E47F20"/>
    <w:multiLevelType w:val="hybridMultilevel"/>
    <w:tmpl w:val="609CC4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16556B2"/>
    <w:multiLevelType w:val="hybridMultilevel"/>
    <w:tmpl w:val="6F64D36A"/>
    <w:lvl w:ilvl="0" w:tplc="E80CA3E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17301F5"/>
    <w:multiLevelType w:val="hybridMultilevel"/>
    <w:tmpl w:val="72966730"/>
    <w:lvl w:ilvl="0" w:tplc="36BC3376">
      <w:start w:val="1"/>
      <w:numFmt w:val="bullet"/>
      <w:lvlText w:val=""/>
      <w:lvlJc w:val="left"/>
      <w:pPr>
        <w:tabs>
          <w:tab w:val="num" w:pos="720"/>
        </w:tabs>
        <w:ind w:left="720" w:hanging="360"/>
      </w:pPr>
      <w:rPr>
        <w:rFonts w:ascii="Wingdings" w:hAnsi="Wingdings" w:hint="default"/>
      </w:rPr>
    </w:lvl>
    <w:lvl w:ilvl="1" w:tplc="C7F6B99A" w:tentative="1">
      <w:start w:val="1"/>
      <w:numFmt w:val="bullet"/>
      <w:lvlText w:val=""/>
      <w:lvlJc w:val="left"/>
      <w:pPr>
        <w:tabs>
          <w:tab w:val="num" w:pos="1440"/>
        </w:tabs>
        <w:ind w:left="1440" w:hanging="360"/>
      </w:pPr>
      <w:rPr>
        <w:rFonts w:ascii="Wingdings" w:hAnsi="Wingdings" w:hint="default"/>
      </w:rPr>
    </w:lvl>
    <w:lvl w:ilvl="2" w:tplc="E6107B3C" w:tentative="1">
      <w:start w:val="1"/>
      <w:numFmt w:val="bullet"/>
      <w:lvlText w:val=""/>
      <w:lvlJc w:val="left"/>
      <w:pPr>
        <w:tabs>
          <w:tab w:val="num" w:pos="2160"/>
        </w:tabs>
        <w:ind w:left="2160" w:hanging="360"/>
      </w:pPr>
      <w:rPr>
        <w:rFonts w:ascii="Wingdings" w:hAnsi="Wingdings" w:hint="default"/>
      </w:rPr>
    </w:lvl>
    <w:lvl w:ilvl="3" w:tplc="2A92752E" w:tentative="1">
      <w:start w:val="1"/>
      <w:numFmt w:val="bullet"/>
      <w:lvlText w:val=""/>
      <w:lvlJc w:val="left"/>
      <w:pPr>
        <w:tabs>
          <w:tab w:val="num" w:pos="2880"/>
        </w:tabs>
        <w:ind w:left="2880" w:hanging="360"/>
      </w:pPr>
      <w:rPr>
        <w:rFonts w:ascii="Wingdings" w:hAnsi="Wingdings" w:hint="default"/>
      </w:rPr>
    </w:lvl>
    <w:lvl w:ilvl="4" w:tplc="0B2044BE" w:tentative="1">
      <w:start w:val="1"/>
      <w:numFmt w:val="bullet"/>
      <w:lvlText w:val=""/>
      <w:lvlJc w:val="left"/>
      <w:pPr>
        <w:tabs>
          <w:tab w:val="num" w:pos="3600"/>
        </w:tabs>
        <w:ind w:left="3600" w:hanging="360"/>
      </w:pPr>
      <w:rPr>
        <w:rFonts w:ascii="Wingdings" w:hAnsi="Wingdings" w:hint="default"/>
      </w:rPr>
    </w:lvl>
    <w:lvl w:ilvl="5" w:tplc="91446EAE" w:tentative="1">
      <w:start w:val="1"/>
      <w:numFmt w:val="bullet"/>
      <w:lvlText w:val=""/>
      <w:lvlJc w:val="left"/>
      <w:pPr>
        <w:tabs>
          <w:tab w:val="num" w:pos="4320"/>
        </w:tabs>
        <w:ind w:left="4320" w:hanging="360"/>
      </w:pPr>
      <w:rPr>
        <w:rFonts w:ascii="Wingdings" w:hAnsi="Wingdings" w:hint="default"/>
      </w:rPr>
    </w:lvl>
    <w:lvl w:ilvl="6" w:tplc="92F2C39A" w:tentative="1">
      <w:start w:val="1"/>
      <w:numFmt w:val="bullet"/>
      <w:lvlText w:val=""/>
      <w:lvlJc w:val="left"/>
      <w:pPr>
        <w:tabs>
          <w:tab w:val="num" w:pos="5040"/>
        </w:tabs>
        <w:ind w:left="5040" w:hanging="360"/>
      </w:pPr>
      <w:rPr>
        <w:rFonts w:ascii="Wingdings" w:hAnsi="Wingdings" w:hint="default"/>
      </w:rPr>
    </w:lvl>
    <w:lvl w:ilvl="7" w:tplc="8CA4EDE8" w:tentative="1">
      <w:start w:val="1"/>
      <w:numFmt w:val="bullet"/>
      <w:lvlText w:val=""/>
      <w:lvlJc w:val="left"/>
      <w:pPr>
        <w:tabs>
          <w:tab w:val="num" w:pos="5760"/>
        </w:tabs>
        <w:ind w:left="5760" w:hanging="360"/>
      </w:pPr>
      <w:rPr>
        <w:rFonts w:ascii="Wingdings" w:hAnsi="Wingdings" w:hint="default"/>
      </w:rPr>
    </w:lvl>
    <w:lvl w:ilvl="8" w:tplc="7974CF98" w:tentative="1">
      <w:start w:val="1"/>
      <w:numFmt w:val="bullet"/>
      <w:lvlText w:val=""/>
      <w:lvlJc w:val="left"/>
      <w:pPr>
        <w:tabs>
          <w:tab w:val="num" w:pos="6480"/>
        </w:tabs>
        <w:ind w:left="6480" w:hanging="360"/>
      </w:pPr>
      <w:rPr>
        <w:rFonts w:ascii="Wingdings" w:hAnsi="Wingdings" w:hint="default"/>
      </w:rPr>
    </w:lvl>
  </w:abstractNum>
  <w:abstractNum w:abstractNumId="15">
    <w:nsid w:val="226B142F"/>
    <w:multiLevelType w:val="multilevel"/>
    <w:tmpl w:val="EF4277C6"/>
    <w:lvl w:ilvl="0">
      <w:start w:val="6"/>
      <w:numFmt w:val="decimal"/>
      <w:lvlText w:val="%1"/>
      <w:lvlJc w:val="left"/>
      <w:pPr>
        <w:ind w:left="360" w:hanging="360"/>
      </w:pPr>
      <w:rPr>
        <w:rFonts w:hint="default"/>
        <w:i w:val="0"/>
      </w:rPr>
    </w:lvl>
    <w:lvl w:ilvl="1">
      <w:start w:val="1"/>
      <w:numFmt w:val="bullet"/>
      <w:lvlText w:val=""/>
      <w:lvlJc w:val="left"/>
      <w:pPr>
        <w:ind w:left="107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26763563"/>
    <w:multiLevelType w:val="hybridMultilevel"/>
    <w:tmpl w:val="8F507162"/>
    <w:lvl w:ilvl="0" w:tplc="2EACCFCE">
      <w:start w:val="1"/>
      <w:numFmt w:val="bullet"/>
      <w:lvlText w:val=""/>
      <w:lvlJc w:val="left"/>
      <w:pPr>
        <w:tabs>
          <w:tab w:val="num" w:pos="720"/>
        </w:tabs>
        <w:ind w:left="720" w:hanging="360"/>
      </w:pPr>
      <w:rPr>
        <w:rFonts w:ascii="Wingdings" w:hAnsi="Wingdings" w:hint="default"/>
      </w:rPr>
    </w:lvl>
    <w:lvl w:ilvl="1" w:tplc="886AB588" w:tentative="1">
      <w:start w:val="1"/>
      <w:numFmt w:val="bullet"/>
      <w:lvlText w:val=""/>
      <w:lvlJc w:val="left"/>
      <w:pPr>
        <w:tabs>
          <w:tab w:val="num" w:pos="1440"/>
        </w:tabs>
        <w:ind w:left="1440" w:hanging="360"/>
      </w:pPr>
      <w:rPr>
        <w:rFonts w:ascii="Wingdings" w:hAnsi="Wingdings" w:hint="default"/>
      </w:rPr>
    </w:lvl>
    <w:lvl w:ilvl="2" w:tplc="B156C41C">
      <w:start w:val="1"/>
      <w:numFmt w:val="bullet"/>
      <w:lvlText w:val=""/>
      <w:lvlJc w:val="left"/>
      <w:pPr>
        <w:tabs>
          <w:tab w:val="num" w:pos="2160"/>
        </w:tabs>
        <w:ind w:left="2160" w:hanging="360"/>
      </w:pPr>
      <w:rPr>
        <w:rFonts w:ascii="Wingdings" w:hAnsi="Wingdings" w:hint="default"/>
      </w:rPr>
    </w:lvl>
    <w:lvl w:ilvl="3" w:tplc="EDB85F5C" w:tentative="1">
      <w:start w:val="1"/>
      <w:numFmt w:val="bullet"/>
      <w:lvlText w:val=""/>
      <w:lvlJc w:val="left"/>
      <w:pPr>
        <w:tabs>
          <w:tab w:val="num" w:pos="2880"/>
        </w:tabs>
        <w:ind w:left="2880" w:hanging="360"/>
      </w:pPr>
      <w:rPr>
        <w:rFonts w:ascii="Wingdings" w:hAnsi="Wingdings" w:hint="default"/>
      </w:rPr>
    </w:lvl>
    <w:lvl w:ilvl="4" w:tplc="DBEC7ED4" w:tentative="1">
      <w:start w:val="1"/>
      <w:numFmt w:val="bullet"/>
      <w:lvlText w:val=""/>
      <w:lvlJc w:val="left"/>
      <w:pPr>
        <w:tabs>
          <w:tab w:val="num" w:pos="3600"/>
        </w:tabs>
        <w:ind w:left="3600" w:hanging="360"/>
      </w:pPr>
      <w:rPr>
        <w:rFonts w:ascii="Wingdings" w:hAnsi="Wingdings" w:hint="default"/>
      </w:rPr>
    </w:lvl>
    <w:lvl w:ilvl="5" w:tplc="3294BB2C" w:tentative="1">
      <w:start w:val="1"/>
      <w:numFmt w:val="bullet"/>
      <w:lvlText w:val=""/>
      <w:lvlJc w:val="left"/>
      <w:pPr>
        <w:tabs>
          <w:tab w:val="num" w:pos="4320"/>
        </w:tabs>
        <w:ind w:left="4320" w:hanging="360"/>
      </w:pPr>
      <w:rPr>
        <w:rFonts w:ascii="Wingdings" w:hAnsi="Wingdings" w:hint="default"/>
      </w:rPr>
    </w:lvl>
    <w:lvl w:ilvl="6" w:tplc="1A3240D8" w:tentative="1">
      <w:start w:val="1"/>
      <w:numFmt w:val="bullet"/>
      <w:lvlText w:val=""/>
      <w:lvlJc w:val="left"/>
      <w:pPr>
        <w:tabs>
          <w:tab w:val="num" w:pos="5040"/>
        </w:tabs>
        <w:ind w:left="5040" w:hanging="360"/>
      </w:pPr>
      <w:rPr>
        <w:rFonts w:ascii="Wingdings" w:hAnsi="Wingdings" w:hint="default"/>
      </w:rPr>
    </w:lvl>
    <w:lvl w:ilvl="7" w:tplc="02D03766" w:tentative="1">
      <w:start w:val="1"/>
      <w:numFmt w:val="bullet"/>
      <w:lvlText w:val=""/>
      <w:lvlJc w:val="left"/>
      <w:pPr>
        <w:tabs>
          <w:tab w:val="num" w:pos="5760"/>
        </w:tabs>
        <w:ind w:left="5760" w:hanging="360"/>
      </w:pPr>
      <w:rPr>
        <w:rFonts w:ascii="Wingdings" w:hAnsi="Wingdings" w:hint="default"/>
      </w:rPr>
    </w:lvl>
    <w:lvl w:ilvl="8" w:tplc="A616070A" w:tentative="1">
      <w:start w:val="1"/>
      <w:numFmt w:val="bullet"/>
      <w:lvlText w:val=""/>
      <w:lvlJc w:val="left"/>
      <w:pPr>
        <w:tabs>
          <w:tab w:val="num" w:pos="6480"/>
        </w:tabs>
        <w:ind w:left="6480" w:hanging="360"/>
      </w:pPr>
      <w:rPr>
        <w:rFonts w:ascii="Wingdings" w:hAnsi="Wingdings" w:hint="default"/>
      </w:rPr>
    </w:lvl>
  </w:abstractNum>
  <w:abstractNum w:abstractNumId="17">
    <w:nsid w:val="29944203"/>
    <w:multiLevelType w:val="hybridMultilevel"/>
    <w:tmpl w:val="754EAFE4"/>
    <w:lvl w:ilvl="0" w:tplc="2E6C74D0">
      <w:start w:val="1"/>
      <w:numFmt w:val="bullet"/>
      <w:lvlText w:val=""/>
      <w:lvlJc w:val="left"/>
      <w:pPr>
        <w:tabs>
          <w:tab w:val="num" w:pos="720"/>
        </w:tabs>
        <w:ind w:left="720" w:hanging="360"/>
      </w:pPr>
      <w:rPr>
        <w:rFonts w:ascii="Wingdings" w:hAnsi="Wingdings" w:hint="default"/>
      </w:rPr>
    </w:lvl>
    <w:lvl w:ilvl="1" w:tplc="F4BEDC6A" w:tentative="1">
      <w:start w:val="1"/>
      <w:numFmt w:val="bullet"/>
      <w:lvlText w:val=""/>
      <w:lvlJc w:val="left"/>
      <w:pPr>
        <w:tabs>
          <w:tab w:val="num" w:pos="1440"/>
        </w:tabs>
        <w:ind w:left="1440" w:hanging="360"/>
      </w:pPr>
      <w:rPr>
        <w:rFonts w:ascii="Wingdings" w:hAnsi="Wingdings" w:hint="default"/>
      </w:rPr>
    </w:lvl>
    <w:lvl w:ilvl="2" w:tplc="73B0CC2A" w:tentative="1">
      <w:start w:val="1"/>
      <w:numFmt w:val="bullet"/>
      <w:lvlText w:val=""/>
      <w:lvlJc w:val="left"/>
      <w:pPr>
        <w:tabs>
          <w:tab w:val="num" w:pos="2160"/>
        </w:tabs>
        <w:ind w:left="2160" w:hanging="360"/>
      </w:pPr>
      <w:rPr>
        <w:rFonts w:ascii="Wingdings" w:hAnsi="Wingdings" w:hint="default"/>
      </w:rPr>
    </w:lvl>
    <w:lvl w:ilvl="3" w:tplc="1CDA2EDC" w:tentative="1">
      <w:start w:val="1"/>
      <w:numFmt w:val="bullet"/>
      <w:lvlText w:val=""/>
      <w:lvlJc w:val="left"/>
      <w:pPr>
        <w:tabs>
          <w:tab w:val="num" w:pos="2880"/>
        </w:tabs>
        <w:ind w:left="2880" w:hanging="360"/>
      </w:pPr>
      <w:rPr>
        <w:rFonts w:ascii="Wingdings" w:hAnsi="Wingdings" w:hint="default"/>
      </w:rPr>
    </w:lvl>
    <w:lvl w:ilvl="4" w:tplc="F488A444" w:tentative="1">
      <w:start w:val="1"/>
      <w:numFmt w:val="bullet"/>
      <w:lvlText w:val=""/>
      <w:lvlJc w:val="left"/>
      <w:pPr>
        <w:tabs>
          <w:tab w:val="num" w:pos="3600"/>
        </w:tabs>
        <w:ind w:left="3600" w:hanging="360"/>
      </w:pPr>
      <w:rPr>
        <w:rFonts w:ascii="Wingdings" w:hAnsi="Wingdings" w:hint="default"/>
      </w:rPr>
    </w:lvl>
    <w:lvl w:ilvl="5" w:tplc="3C40E792" w:tentative="1">
      <w:start w:val="1"/>
      <w:numFmt w:val="bullet"/>
      <w:lvlText w:val=""/>
      <w:lvlJc w:val="left"/>
      <w:pPr>
        <w:tabs>
          <w:tab w:val="num" w:pos="4320"/>
        </w:tabs>
        <w:ind w:left="4320" w:hanging="360"/>
      </w:pPr>
      <w:rPr>
        <w:rFonts w:ascii="Wingdings" w:hAnsi="Wingdings" w:hint="default"/>
      </w:rPr>
    </w:lvl>
    <w:lvl w:ilvl="6" w:tplc="70A4E03C" w:tentative="1">
      <w:start w:val="1"/>
      <w:numFmt w:val="bullet"/>
      <w:lvlText w:val=""/>
      <w:lvlJc w:val="left"/>
      <w:pPr>
        <w:tabs>
          <w:tab w:val="num" w:pos="5040"/>
        </w:tabs>
        <w:ind w:left="5040" w:hanging="360"/>
      </w:pPr>
      <w:rPr>
        <w:rFonts w:ascii="Wingdings" w:hAnsi="Wingdings" w:hint="default"/>
      </w:rPr>
    </w:lvl>
    <w:lvl w:ilvl="7" w:tplc="20281352" w:tentative="1">
      <w:start w:val="1"/>
      <w:numFmt w:val="bullet"/>
      <w:lvlText w:val=""/>
      <w:lvlJc w:val="left"/>
      <w:pPr>
        <w:tabs>
          <w:tab w:val="num" w:pos="5760"/>
        </w:tabs>
        <w:ind w:left="5760" w:hanging="360"/>
      </w:pPr>
      <w:rPr>
        <w:rFonts w:ascii="Wingdings" w:hAnsi="Wingdings" w:hint="default"/>
      </w:rPr>
    </w:lvl>
    <w:lvl w:ilvl="8" w:tplc="8FD46572" w:tentative="1">
      <w:start w:val="1"/>
      <w:numFmt w:val="bullet"/>
      <w:lvlText w:val=""/>
      <w:lvlJc w:val="left"/>
      <w:pPr>
        <w:tabs>
          <w:tab w:val="num" w:pos="6480"/>
        </w:tabs>
        <w:ind w:left="6480" w:hanging="360"/>
      </w:pPr>
      <w:rPr>
        <w:rFonts w:ascii="Wingdings" w:hAnsi="Wingdings" w:hint="default"/>
      </w:rPr>
    </w:lvl>
  </w:abstractNum>
  <w:abstractNum w:abstractNumId="18">
    <w:nsid w:val="2B9B1C75"/>
    <w:multiLevelType w:val="hybridMultilevel"/>
    <w:tmpl w:val="EAA66A9C"/>
    <w:lvl w:ilvl="0" w:tplc="77E4D95A">
      <w:start w:val="1"/>
      <w:numFmt w:val="bullet"/>
      <w:lvlText w:val=""/>
      <w:lvlJc w:val="left"/>
      <w:pPr>
        <w:tabs>
          <w:tab w:val="num" w:pos="720"/>
        </w:tabs>
        <w:ind w:left="720" w:hanging="360"/>
      </w:pPr>
      <w:rPr>
        <w:rFonts w:ascii="Wingdings" w:hAnsi="Wingdings" w:hint="default"/>
      </w:rPr>
    </w:lvl>
    <w:lvl w:ilvl="1" w:tplc="D39817F8" w:tentative="1">
      <w:start w:val="1"/>
      <w:numFmt w:val="bullet"/>
      <w:lvlText w:val=""/>
      <w:lvlJc w:val="left"/>
      <w:pPr>
        <w:tabs>
          <w:tab w:val="num" w:pos="1440"/>
        </w:tabs>
        <w:ind w:left="1440" w:hanging="360"/>
      </w:pPr>
      <w:rPr>
        <w:rFonts w:ascii="Wingdings" w:hAnsi="Wingdings" w:hint="default"/>
      </w:rPr>
    </w:lvl>
    <w:lvl w:ilvl="2" w:tplc="00A03B24" w:tentative="1">
      <w:start w:val="1"/>
      <w:numFmt w:val="bullet"/>
      <w:lvlText w:val=""/>
      <w:lvlJc w:val="left"/>
      <w:pPr>
        <w:tabs>
          <w:tab w:val="num" w:pos="2160"/>
        </w:tabs>
        <w:ind w:left="2160" w:hanging="360"/>
      </w:pPr>
      <w:rPr>
        <w:rFonts w:ascii="Wingdings" w:hAnsi="Wingdings" w:hint="default"/>
      </w:rPr>
    </w:lvl>
    <w:lvl w:ilvl="3" w:tplc="5C689B6E" w:tentative="1">
      <w:start w:val="1"/>
      <w:numFmt w:val="bullet"/>
      <w:lvlText w:val=""/>
      <w:lvlJc w:val="left"/>
      <w:pPr>
        <w:tabs>
          <w:tab w:val="num" w:pos="2880"/>
        </w:tabs>
        <w:ind w:left="2880" w:hanging="360"/>
      </w:pPr>
      <w:rPr>
        <w:rFonts w:ascii="Wingdings" w:hAnsi="Wingdings" w:hint="default"/>
      </w:rPr>
    </w:lvl>
    <w:lvl w:ilvl="4" w:tplc="3712F802" w:tentative="1">
      <w:start w:val="1"/>
      <w:numFmt w:val="bullet"/>
      <w:lvlText w:val=""/>
      <w:lvlJc w:val="left"/>
      <w:pPr>
        <w:tabs>
          <w:tab w:val="num" w:pos="3600"/>
        </w:tabs>
        <w:ind w:left="3600" w:hanging="360"/>
      </w:pPr>
      <w:rPr>
        <w:rFonts w:ascii="Wingdings" w:hAnsi="Wingdings" w:hint="default"/>
      </w:rPr>
    </w:lvl>
    <w:lvl w:ilvl="5" w:tplc="0BE82B32" w:tentative="1">
      <w:start w:val="1"/>
      <w:numFmt w:val="bullet"/>
      <w:lvlText w:val=""/>
      <w:lvlJc w:val="left"/>
      <w:pPr>
        <w:tabs>
          <w:tab w:val="num" w:pos="4320"/>
        </w:tabs>
        <w:ind w:left="4320" w:hanging="360"/>
      </w:pPr>
      <w:rPr>
        <w:rFonts w:ascii="Wingdings" w:hAnsi="Wingdings" w:hint="default"/>
      </w:rPr>
    </w:lvl>
    <w:lvl w:ilvl="6" w:tplc="6B203768" w:tentative="1">
      <w:start w:val="1"/>
      <w:numFmt w:val="bullet"/>
      <w:lvlText w:val=""/>
      <w:lvlJc w:val="left"/>
      <w:pPr>
        <w:tabs>
          <w:tab w:val="num" w:pos="5040"/>
        </w:tabs>
        <w:ind w:left="5040" w:hanging="360"/>
      </w:pPr>
      <w:rPr>
        <w:rFonts w:ascii="Wingdings" w:hAnsi="Wingdings" w:hint="default"/>
      </w:rPr>
    </w:lvl>
    <w:lvl w:ilvl="7" w:tplc="1B22479C" w:tentative="1">
      <w:start w:val="1"/>
      <w:numFmt w:val="bullet"/>
      <w:lvlText w:val=""/>
      <w:lvlJc w:val="left"/>
      <w:pPr>
        <w:tabs>
          <w:tab w:val="num" w:pos="5760"/>
        </w:tabs>
        <w:ind w:left="5760" w:hanging="360"/>
      </w:pPr>
      <w:rPr>
        <w:rFonts w:ascii="Wingdings" w:hAnsi="Wingdings" w:hint="default"/>
      </w:rPr>
    </w:lvl>
    <w:lvl w:ilvl="8" w:tplc="A746B146" w:tentative="1">
      <w:start w:val="1"/>
      <w:numFmt w:val="bullet"/>
      <w:lvlText w:val=""/>
      <w:lvlJc w:val="left"/>
      <w:pPr>
        <w:tabs>
          <w:tab w:val="num" w:pos="6480"/>
        </w:tabs>
        <w:ind w:left="6480" w:hanging="360"/>
      </w:pPr>
      <w:rPr>
        <w:rFonts w:ascii="Wingdings" w:hAnsi="Wingdings" w:hint="default"/>
      </w:rPr>
    </w:lvl>
  </w:abstractNum>
  <w:abstractNum w:abstractNumId="19">
    <w:nsid w:val="2DEB4478"/>
    <w:multiLevelType w:val="hybridMultilevel"/>
    <w:tmpl w:val="D030673A"/>
    <w:lvl w:ilvl="0" w:tplc="879E1B1C">
      <w:start w:val="1"/>
      <w:numFmt w:val="bullet"/>
      <w:lvlText w:val=""/>
      <w:lvlJc w:val="left"/>
      <w:pPr>
        <w:tabs>
          <w:tab w:val="num" w:pos="720"/>
        </w:tabs>
        <w:ind w:left="720" w:hanging="360"/>
      </w:pPr>
      <w:rPr>
        <w:rFonts w:ascii="Wingdings" w:hAnsi="Wingdings" w:hint="default"/>
      </w:rPr>
    </w:lvl>
    <w:lvl w:ilvl="1" w:tplc="6D00066A">
      <w:start w:val="796"/>
      <w:numFmt w:val="bullet"/>
      <w:lvlText w:val=""/>
      <w:lvlJc w:val="left"/>
      <w:pPr>
        <w:tabs>
          <w:tab w:val="num" w:pos="1440"/>
        </w:tabs>
        <w:ind w:left="1440" w:hanging="360"/>
      </w:pPr>
      <w:rPr>
        <w:rFonts w:ascii="Wingdings 2" w:hAnsi="Wingdings 2" w:hint="default"/>
      </w:rPr>
    </w:lvl>
    <w:lvl w:ilvl="2" w:tplc="4C444AD2" w:tentative="1">
      <w:start w:val="1"/>
      <w:numFmt w:val="bullet"/>
      <w:lvlText w:val=""/>
      <w:lvlJc w:val="left"/>
      <w:pPr>
        <w:tabs>
          <w:tab w:val="num" w:pos="2160"/>
        </w:tabs>
        <w:ind w:left="2160" w:hanging="360"/>
      </w:pPr>
      <w:rPr>
        <w:rFonts w:ascii="Wingdings" w:hAnsi="Wingdings" w:hint="default"/>
      </w:rPr>
    </w:lvl>
    <w:lvl w:ilvl="3" w:tplc="B688F83C" w:tentative="1">
      <w:start w:val="1"/>
      <w:numFmt w:val="bullet"/>
      <w:lvlText w:val=""/>
      <w:lvlJc w:val="left"/>
      <w:pPr>
        <w:tabs>
          <w:tab w:val="num" w:pos="2880"/>
        </w:tabs>
        <w:ind w:left="2880" w:hanging="360"/>
      </w:pPr>
      <w:rPr>
        <w:rFonts w:ascii="Wingdings" w:hAnsi="Wingdings" w:hint="default"/>
      </w:rPr>
    </w:lvl>
    <w:lvl w:ilvl="4" w:tplc="AFD4C8B6" w:tentative="1">
      <w:start w:val="1"/>
      <w:numFmt w:val="bullet"/>
      <w:lvlText w:val=""/>
      <w:lvlJc w:val="left"/>
      <w:pPr>
        <w:tabs>
          <w:tab w:val="num" w:pos="3600"/>
        </w:tabs>
        <w:ind w:left="3600" w:hanging="360"/>
      </w:pPr>
      <w:rPr>
        <w:rFonts w:ascii="Wingdings" w:hAnsi="Wingdings" w:hint="default"/>
      </w:rPr>
    </w:lvl>
    <w:lvl w:ilvl="5" w:tplc="8AEE55FC" w:tentative="1">
      <w:start w:val="1"/>
      <w:numFmt w:val="bullet"/>
      <w:lvlText w:val=""/>
      <w:lvlJc w:val="left"/>
      <w:pPr>
        <w:tabs>
          <w:tab w:val="num" w:pos="4320"/>
        </w:tabs>
        <w:ind w:left="4320" w:hanging="360"/>
      </w:pPr>
      <w:rPr>
        <w:rFonts w:ascii="Wingdings" w:hAnsi="Wingdings" w:hint="default"/>
      </w:rPr>
    </w:lvl>
    <w:lvl w:ilvl="6" w:tplc="FD3A28EE" w:tentative="1">
      <w:start w:val="1"/>
      <w:numFmt w:val="bullet"/>
      <w:lvlText w:val=""/>
      <w:lvlJc w:val="left"/>
      <w:pPr>
        <w:tabs>
          <w:tab w:val="num" w:pos="5040"/>
        </w:tabs>
        <w:ind w:left="5040" w:hanging="360"/>
      </w:pPr>
      <w:rPr>
        <w:rFonts w:ascii="Wingdings" w:hAnsi="Wingdings" w:hint="default"/>
      </w:rPr>
    </w:lvl>
    <w:lvl w:ilvl="7" w:tplc="8DD6CCEE" w:tentative="1">
      <w:start w:val="1"/>
      <w:numFmt w:val="bullet"/>
      <w:lvlText w:val=""/>
      <w:lvlJc w:val="left"/>
      <w:pPr>
        <w:tabs>
          <w:tab w:val="num" w:pos="5760"/>
        </w:tabs>
        <w:ind w:left="5760" w:hanging="360"/>
      </w:pPr>
      <w:rPr>
        <w:rFonts w:ascii="Wingdings" w:hAnsi="Wingdings" w:hint="default"/>
      </w:rPr>
    </w:lvl>
    <w:lvl w:ilvl="8" w:tplc="43B8666C" w:tentative="1">
      <w:start w:val="1"/>
      <w:numFmt w:val="bullet"/>
      <w:lvlText w:val=""/>
      <w:lvlJc w:val="left"/>
      <w:pPr>
        <w:tabs>
          <w:tab w:val="num" w:pos="6480"/>
        </w:tabs>
        <w:ind w:left="6480" w:hanging="360"/>
      </w:pPr>
      <w:rPr>
        <w:rFonts w:ascii="Wingdings" w:hAnsi="Wingdings" w:hint="default"/>
      </w:rPr>
    </w:lvl>
  </w:abstractNum>
  <w:abstractNum w:abstractNumId="20">
    <w:nsid w:val="2F924191"/>
    <w:multiLevelType w:val="hybridMultilevel"/>
    <w:tmpl w:val="548AB8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60F17FE"/>
    <w:multiLevelType w:val="hybridMultilevel"/>
    <w:tmpl w:val="2EAE38B2"/>
    <w:lvl w:ilvl="0" w:tplc="7EC27036">
      <w:start w:val="1"/>
      <w:numFmt w:val="bullet"/>
      <w:lvlText w:val=""/>
      <w:lvlJc w:val="left"/>
      <w:pPr>
        <w:tabs>
          <w:tab w:val="num" w:pos="720"/>
        </w:tabs>
        <w:ind w:left="720" w:hanging="360"/>
      </w:pPr>
      <w:rPr>
        <w:rFonts w:ascii="Wingdings" w:hAnsi="Wingdings" w:hint="default"/>
      </w:rPr>
    </w:lvl>
    <w:lvl w:ilvl="1" w:tplc="3D567F32" w:tentative="1">
      <w:start w:val="1"/>
      <w:numFmt w:val="bullet"/>
      <w:lvlText w:val=""/>
      <w:lvlJc w:val="left"/>
      <w:pPr>
        <w:tabs>
          <w:tab w:val="num" w:pos="1440"/>
        </w:tabs>
        <w:ind w:left="1440" w:hanging="360"/>
      </w:pPr>
      <w:rPr>
        <w:rFonts w:ascii="Wingdings" w:hAnsi="Wingdings" w:hint="default"/>
      </w:rPr>
    </w:lvl>
    <w:lvl w:ilvl="2" w:tplc="213AFAEA" w:tentative="1">
      <w:start w:val="1"/>
      <w:numFmt w:val="bullet"/>
      <w:lvlText w:val=""/>
      <w:lvlJc w:val="left"/>
      <w:pPr>
        <w:tabs>
          <w:tab w:val="num" w:pos="2160"/>
        </w:tabs>
        <w:ind w:left="2160" w:hanging="360"/>
      </w:pPr>
      <w:rPr>
        <w:rFonts w:ascii="Wingdings" w:hAnsi="Wingdings" w:hint="default"/>
      </w:rPr>
    </w:lvl>
    <w:lvl w:ilvl="3" w:tplc="80F235D2" w:tentative="1">
      <w:start w:val="1"/>
      <w:numFmt w:val="bullet"/>
      <w:lvlText w:val=""/>
      <w:lvlJc w:val="left"/>
      <w:pPr>
        <w:tabs>
          <w:tab w:val="num" w:pos="2880"/>
        </w:tabs>
        <w:ind w:left="2880" w:hanging="360"/>
      </w:pPr>
      <w:rPr>
        <w:rFonts w:ascii="Wingdings" w:hAnsi="Wingdings" w:hint="default"/>
      </w:rPr>
    </w:lvl>
    <w:lvl w:ilvl="4" w:tplc="4104A894" w:tentative="1">
      <w:start w:val="1"/>
      <w:numFmt w:val="bullet"/>
      <w:lvlText w:val=""/>
      <w:lvlJc w:val="left"/>
      <w:pPr>
        <w:tabs>
          <w:tab w:val="num" w:pos="3600"/>
        </w:tabs>
        <w:ind w:left="3600" w:hanging="360"/>
      </w:pPr>
      <w:rPr>
        <w:rFonts w:ascii="Wingdings" w:hAnsi="Wingdings" w:hint="default"/>
      </w:rPr>
    </w:lvl>
    <w:lvl w:ilvl="5" w:tplc="C70A4CAC" w:tentative="1">
      <w:start w:val="1"/>
      <w:numFmt w:val="bullet"/>
      <w:lvlText w:val=""/>
      <w:lvlJc w:val="left"/>
      <w:pPr>
        <w:tabs>
          <w:tab w:val="num" w:pos="4320"/>
        </w:tabs>
        <w:ind w:left="4320" w:hanging="360"/>
      </w:pPr>
      <w:rPr>
        <w:rFonts w:ascii="Wingdings" w:hAnsi="Wingdings" w:hint="default"/>
      </w:rPr>
    </w:lvl>
    <w:lvl w:ilvl="6" w:tplc="B85C3564" w:tentative="1">
      <w:start w:val="1"/>
      <w:numFmt w:val="bullet"/>
      <w:lvlText w:val=""/>
      <w:lvlJc w:val="left"/>
      <w:pPr>
        <w:tabs>
          <w:tab w:val="num" w:pos="5040"/>
        </w:tabs>
        <w:ind w:left="5040" w:hanging="360"/>
      </w:pPr>
      <w:rPr>
        <w:rFonts w:ascii="Wingdings" w:hAnsi="Wingdings" w:hint="default"/>
      </w:rPr>
    </w:lvl>
    <w:lvl w:ilvl="7" w:tplc="9A0ADA68" w:tentative="1">
      <w:start w:val="1"/>
      <w:numFmt w:val="bullet"/>
      <w:lvlText w:val=""/>
      <w:lvlJc w:val="left"/>
      <w:pPr>
        <w:tabs>
          <w:tab w:val="num" w:pos="5760"/>
        </w:tabs>
        <w:ind w:left="5760" w:hanging="360"/>
      </w:pPr>
      <w:rPr>
        <w:rFonts w:ascii="Wingdings" w:hAnsi="Wingdings" w:hint="default"/>
      </w:rPr>
    </w:lvl>
    <w:lvl w:ilvl="8" w:tplc="48FE9DC0" w:tentative="1">
      <w:start w:val="1"/>
      <w:numFmt w:val="bullet"/>
      <w:lvlText w:val=""/>
      <w:lvlJc w:val="left"/>
      <w:pPr>
        <w:tabs>
          <w:tab w:val="num" w:pos="6480"/>
        </w:tabs>
        <w:ind w:left="6480" w:hanging="360"/>
      </w:pPr>
      <w:rPr>
        <w:rFonts w:ascii="Wingdings" w:hAnsi="Wingdings" w:hint="default"/>
      </w:rPr>
    </w:lvl>
  </w:abstractNum>
  <w:abstractNum w:abstractNumId="22">
    <w:nsid w:val="37D64021"/>
    <w:multiLevelType w:val="hybridMultilevel"/>
    <w:tmpl w:val="C3227148"/>
    <w:lvl w:ilvl="0" w:tplc="412A660E">
      <w:start w:val="1"/>
      <w:numFmt w:val="bullet"/>
      <w:lvlText w:val=""/>
      <w:lvlJc w:val="left"/>
      <w:pPr>
        <w:tabs>
          <w:tab w:val="num" w:pos="720"/>
        </w:tabs>
        <w:ind w:left="720" w:hanging="360"/>
      </w:pPr>
      <w:rPr>
        <w:rFonts w:ascii="Wingdings" w:hAnsi="Wingdings" w:hint="default"/>
      </w:rPr>
    </w:lvl>
    <w:lvl w:ilvl="1" w:tplc="B2805A24" w:tentative="1">
      <w:start w:val="1"/>
      <w:numFmt w:val="bullet"/>
      <w:lvlText w:val=""/>
      <w:lvlJc w:val="left"/>
      <w:pPr>
        <w:tabs>
          <w:tab w:val="num" w:pos="1440"/>
        </w:tabs>
        <w:ind w:left="1440" w:hanging="360"/>
      </w:pPr>
      <w:rPr>
        <w:rFonts w:ascii="Wingdings" w:hAnsi="Wingdings" w:hint="default"/>
      </w:rPr>
    </w:lvl>
    <w:lvl w:ilvl="2" w:tplc="6D606ABC" w:tentative="1">
      <w:start w:val="1"/>
      <w:numFmt w:val="bullet"/>
      <w:lvlText w:val=""/>
      <w:lvlJc w:val="left"/>
      <w:pPr>
        <w:tabs>
          <w:tab w:val="num" w:pos="2160"/>
        </w:tabs>
        <w:ind w:left="2160" w:hanging="360"/>
      </w:pPr>
      <w:rPr>
        <w:rFonts w:ascii="Wingdings" w:hAnsi="Wingdings" w:hint="default"/>
      </w:rPr>
    </w:lvl>
    <w:lvl w:ilvl="3" w:tplc="15105C88" w:tentative="1">
      <w:start w:val="1"/>
      <w:numFmt w:val="bullet"/>
      <w:lvlText w:val=""/>
      <w:lvlJc w:val="left"/>
      <w:pPr>
        <w:tabs>
          <w:tab w:val="num" w:pos="2880"/>
        </w:tabs>
        <w:ind w:left="2880" w:hanging="360"/>
      </w:pPr>
      <w:rPr>
        <w:rFonts w:ascii="Wingdings" w:hAnsi="Wingdings" w:hint="default"/>
      </w:rPr>
    </w:lvl>
    <w:lvl w:ilvl="4" w:tplc="2DD6CB9E" w:tentative="1">
      <w:start w:val="1"/>
      <w:numFmt w:val="bullet"/>
      <w:lvlText w:val=""/>
      <w:lvlJc w:val="left"/>
      <w:pPr>
        <w:tabs>
          <w:tab w:val="num" w:pos="3600"/>
        </w:tabs>
        <w:ind w:left="3600" w:hanging="360"/>
      </w:pPr>
      <w:rPr>
        <w:rFonts w:ascii="Wingdings" w:hAnsi="Wingdings" w:hint="default"/>
      </w:rPr>
    </w:lvl>
    <w:lvl w:ilvl="5" w:tplc="E266ED9E" w:tentative="1">
      <w:start w:val="1"/>
      <w:numFmt w:val="bullet"/>
      <w:lvlText w:val=""/>
      <w:lvlJc w:val="left"/>
      <w:pPr>
        <w:tabs>
          <w:tab w:val="num" w:pos="4320"/>
        </w:tabs>
        <w:ind w:left="4320" w:hanging="360"/>
      </w:pPr>
      <w:rPr>
        <w:rFonts w:ascii="Wingdings" w:hAnsi="Wingdings" w:hint="default"/>
      </w:rPr>
    </w:lvl>
    <w:lvl w:ilvl="6" w:tplc="566CBE90" w:tentative="1">
      <w:start w:val="1"/>
      <w:numFmt w:val="bullet"/>
      <w:lvlText w:val=""/>
      <w:lvlJc w:val="left"/>
      <w:pPr>
        <w:tabs>
          <w:tab w:val="num" w:pos="5040"/>
        </w:tabs>
        <w:ind w:left="5040" w:hanging="360"/>
      </w:pPr>
      <w:rPr>
        <w:rFonts w:ascii="Wingdings" w:hAnsi="Wingdings" w:hint="default"/>
      </w:rPr>
    </w:lvl>
    <w:lvl w:ilvl="7" w:tplc="0D5E36F6" w:tentative="1">
      <w:start w:val="1"/>
      <w:numFmt w:val="bullet"/>
      <w:lvlText w:val=""/>
      <w:lvlJc w:val="left"/>
      <w:pPr>
        <w:tabs>
          <w:tab w:val="num" w:pos="5760"/>
        </w:tabs>
        <w:ind w:left="5760" w:hanging="360"/>
      </w:pPr>
      <w:rPr>
        <w:rFonts w:ascii="Wingdings" w:hAnsi="Wingdings" w:hint="default"/>
      </w:rPr>
    </w:lvl>
    <w:lvl w:ilvl="8" w:tplc="D076F41C" w:tentative="1">
      <w:start w:val="1"/>
      <w:numFmt w:val="bullet"/>
      <w:lvlText w:val=""/>
      <w:lvlJc w:val="left"/>
      <w:pPr>
        <w:tabs>
          <w:tab w:val="num" w:pos="6480"/>
        </w:tabs>
        <w:ind w:left="6480" w:hanging="360"/>
      </w:pPr>
      <w:rPr>
        <w:rFonts w:ascii="Wingdings" w:hAnsi="Wingdings" w:hint="default"/>
      </w:rPr>
    </w:lvl>
  </w:abstractNum>
  <w:abstractNum w:abstractNumId="23">
    <w:nsid w:val="3B1D1210"/>
    <w:multiLevelType w:val="multilevel"/>
    <w:tmpl w:val="65444408"/>
    <w:lvl w:ilvl="0">
      <w:start w:val="6"/>
      <w:numFmt w:val="decimal"/>
      <w:lvlText w:val="%1"/>
      <w:lvlJc w:val="left"/>
      <w:pPr>
        <w:ind w:left="360" w:hanging="360"/>
      </w:pPr>
      <w:rPr>
        <w:rFonts w:hint="default"/>
        <w:i w:val="0"/>
      </w:rPr>
    </w:lvl>
    <w:lvl w:ilvl="1">
      <w:start w:val="1"/>
      <w:numFmt w:val="bullet"/>
      <w:lvlText w:val=""/>
      <w:lvlJc w:val="left"/>
      <w:pPr>
        <w:ind w:left="107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3B7C34E2"/>
    <w:multiLevelType w:val="hybridMultilevel"/>
    <w:tmpl w:val="F6A0F81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nsid w:val="3F381001"/>
    <w:multiLevelType w:val="multilevel"/>
    <w:tmpl w:val="65444408"/>
    <w:lvl w:ilvl="0">
      <w:start w:val="6"/>
      <w:numFmt w:val="decimal"/>
      <w:lvlText w:val="%1"/>
      <w:lvlJc w:val="left"/>
      <w:pPr>
        <w:ind w:left="360" w:hanging="360"/>
      </w:pPr>
      <w:rPr>
        <w:rFonts w:hint="default"/>
        <w:i w:val="0"/>
      </w:rPr>
    </w:lvl>
    <w:lvl w:ilvl="1">
      <w:start w:val="1"/>
      <w:numFmt w:val="bullet"/>
      <w:lvlText w:val=""/>
      <w:lvlJc w:val="left"/>
      <w:pPr>
        <w:ind w:left="107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7">
    <w:nsid w:val="4CC30E3A"/>
    <w:multiLevelType w:val="hybridMultilevel"/>
    <w:tmpl w:val="F4ECCC82"/>
    <w:lvl w:ilvl="0" w:tplc="51024CA8">
      <w:start w:val="1"/>
      <w:numFmt w:val="bullet"/>
      <w:lvlText w:val=""/>
      <w:lvlJc w:val="left"/>
      <w:pPr>
        <w:tabs>
          <w:tab w:val="num" w:pos="720"/>
        </w:tabs>
        <w:ind w:left="720" w:hanging="360"/>
      </w:pPr>
      <w:rPr>
        <w:rFonts w:ascii="Wingdings" w:hAnsi="Wingdings" w:hint="default"/>
      </w:rPr>
    </w:lvl>
    <w:lvl w:ilvl="1" w:tplc="2EF846F0">
      <w:start w:val="796"/>
      <w:numFmt w:val="bullet"/>
      <w:lvlText w:val=""/>
      <w:lvlJc w:val="left"/>
      <w:pPr>
        <w:tabs>
          <w:tab w:val="num" w:pos="1440"/>
        </w:tabs>
        <w:ind w:left="1440" w:hanging="360"/>
      </w:pPr>
      <w:rPr>
        <w:rFonts w:ascii="Wingdings 2" w:hAnsi="Wingdings 2" w:hint="default"/>
      </w:rPr>
    </w:lvl>
    <w:lvl w:ilvl="2" w:tplc="D4984B44" w:tentative="1">
      <w:start w:val="1"/>
      <w:numFmt w:val="bullet"/>
      <w:lvlText w:val=""/>
      <w:lvlJc w:val="left"/>
      <w:pPr>
        <w:tabs>
          <w:tab w:val="num" w:pos="2160"/>
        </w:tabs>
        <w:ind w:left="2160" w:hanging="360"/>
      </w:pPr>
      <w:rPr>
        <w:rFonts w:ascii="Wingdings" w:hAnsi="Wingdings" w:hint="default"/>
      </w:rPr>
    </w:lvl>
    <w:lvl w:ilvl="3" w:tplc="F4561786" w:tentative="1">
      <w:start w:val="1"/>
      <w:numFmt w:val="bullet"/>
      <w:lvlText w:val=""/>
      <w:lvlJc w:val="left"/>
      <w:pPr>
        <w:tabs>
          <w:tab w:val="num" w:pos="2880"/>
        </w:tabs>
        <w:ind w:left="2880" w:hanging="360"/>
      </w:pPr>
      <w:rPr>
        <w:rFonts w:ascii="Wingdings" w:hAnsi="Wingdings" w:hint="default"/>
      </w:rPr>
    </w:lvl>
    <w:lvl w:ilvl="4" w:tplc="E93A0398" w:tentative="1">
      <w:start w:val="1"/>
      <w:numFmt w:val="bullet"/>
      <w:lvlText w:val=""/>
      <w:lvlJc w:val="left"/>
      <w:pPr>
        <w:tabs>
          <w:tab w:val="num" w:pos="3600"/>
        </w:tabs>
        <w:ind w:left="3600" w:hanging="360"/>
      </w:pPr>
      <w:rPr>
        <w:rFonts w:ascii="Wingdings" w:hAnsi="Wingdings" w:hint="default"/>
      </w:rPr>
    </w:lvl>
    <w:lvl w:ilvl="5" w:tplc="20825CC6" w:tentative="1">
      <w:start w:val="1"/>
      <w:numFmt w:val="bullet"/>
      <w:lvlText w:val=""/>
      <w:lvlJc w:val="left"/>
      <w:pPr>
        <w:tabs>
          <w:tab w:val="num" w:pos="4320"/>
        </w:tabs>
        <w:ind w:left="4320" w:hanging="360"/>
      </w:pPr>
      <w:rPr>
        <w:rFonts w:ascii="Wingdings" w:hAnsi="Wingdings" w:hint="default"/>
      </w:rPr>
    </w:lvl>
    <w:lvl w:ilvl="6" w:tplc="B1F6ACEA" w:tentative="1">
      <w:start w:val="1"/>
      <w:numFmt w:val="bullet"/>
      <w:lvlText w:val=""/>
      <w:lvlJc w:val="left"/>
      <w:pPr>
        <w:tabs>
          <w:tab w:val="num" w:pos="5040"/>
        </w:tabs>
        <w:ind w:left="5040" w:hanging="360"/>
      </w:pPr>
      <w:rPr>
        <w:rFonts w:ascii="Wingdings" w:hAnsi="Wingdings" w:hint="default"/>
      </w:rPr>
    </w:lvl>
    <w:lvl w:ilvl="7" w:tplc="3AF09012" w:tentative="1">
      <w:start w:val="1"/>
      <w:numFmt w:val="bullet"/>
      <w:lvlText w:val=""/>
      <w:lvlJc w:val="left"/>
      <w:pPr>
        <w:tabs>
          <w:tab w:val="num" w:pos="5760"/>
        </w:tabs>
        <w:ind w:left="5760" w:hanging="360"/>
      </w:pPr>
      <w:rPr>
        <w:rFonts w:ascii="Wingdings" w:hAnsi="Wingdings" w:hint="default"/>
      </w:rPr>
    </w:lvl>
    <w:lvl w:ilvl="8" w:tplc="8D5EB848" w:tentative="1">
      <w:start w:val="1"/>
      <w:numFmt w:val="bullet"/>
      <w:lvlText w:val=""/>
      <w:lvlJc w:val="left"/>
      <w:pPr>
        <w:tabs>
          <w:tab w:val="num" w:pos="6480"/>
        </w:tabs>
        <w:ind w:left="6480" w:hanging="360"/>
      </w:pPr>
      <w:rPr>
        <w:rFonts w:ascii="Wingdings" w:hAnsi="Wingdings" w:hint="default"/>
      </w:rPr>
    </w:lvl>
  </w:abstractNum>
  <w:abstractNum w:abstractNumId="28">
    <w:nsid w:val="4E3E7366"/>
    <w:multiLevelType w:val="multilevel"/>
    <w:tmpl w:val="A76EC39A"/>
    <w:lvl w:ilvl="0">
      <w:start w:val="6"/>
      <w:numFmt w:val="decimal"/>
      <w:lvlText w:val="%1"/>
      <w:lvlJc w:val="left"/>
      <w:pPr>
        <w:ind w:left="360" w:hanging="360"/>
      </w:pPr>
      <w:rPr>
        <w:rFonts w:hint="default"/>
        <w:i w:val="0"/>
      </w:rPr>
    </w:lvl>
    <w:lvl w:ilvl="1">
      <w:start w:val="1"/>
      <w:numFmt w:val="bullet"/>
      <w:lvlText w:val=""/>
      <w:lvlJc w:val="left"/>
      <w:pPr>
        <w:ind w:left="107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9BC5196"/>
    <w:multiLevelType w:val="multilevel"/>
    <w:tmpl w:val="8C66A856"/>
    <w:lvl w:ilvl="0">
      <w:start w:val="6"/>
      <w:numFmt w:val="decimal"/>
      <w:lvlText w:val="%1"/>
      <w:lvlJc w:val="left"/>
      <w:pPr>
        <w:ind w:left="360" w:hanging="360"/>
      </w:pPr>
      <w:rPr>
        <w:rFonts w:hint="default"/>
        <w:i w:val="0"/>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59D338D9"/>
    <w:multiLevelType w:val="hybridMultilevel"/>
    <w:tmpl w:val="4AA293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5C557FD7"/>
    <w:multiLevelType w:val="hybridMultilevel"/>
    <w:tmpl w:val="3ED24AC2"/>
    <w:lvl w:ilvl="0" w:tplc="80C20D96">
      <w:start w:val="1"/>
      <w:numFmt w:val="bullet"/>
      <w:lvlText w:val=""/>
      <w:lvlJc w:val="left"/>
      <w:pPr>
        <w:tabs>
          <w:tab w:val="num" w:pos="720"/>
        </w:tabs>
        <w:ind w:left="720" w:hanging="360"/>
      </w:pPr>
      <w:rPr>
        <w:rFonts w:ascii="Wingdings" w:hAnsi="Wingdings" w:hint="default"/>
      </w:rPr>
    </w:lvl>
    <w:lvl w:ilvl="1" w:tplc="B4DAC7F4" w:tentative="1">
      <w:start w:val="1"/>
      <w:numFmt w:val="bullet"/>
      <w:lvlText w:val=""/>
      <w:lvlJc w:val="left"/>
      <w:pPr>
        <w:tabs>
          <w:tab w:val="num" w:pos="1440"/>
        </w:tabs>
        <w:ind w:left="1440" w:hanging="360"/>
      </w:pPr>
      <w:rPr>
        <w:rFonts w:ascii="Wingdings" w:hAnsi="Wingdings" w:hint="default"/>
      </w:rPr>
    </w:lvl>
    <w:lvl w:ilvl="2" w:tplc="7460113C" w:tentative="1">
      <w:start w:val="1"/>
      <w:numFmt w:val="bullet"/>
      <w:lvlText w:val=""/>
      <w:lvlJc w:val="left"/>
      <w:pPr>
        <w:tabs>
          <w:tab w:val="num" w:pos="2160"/>
        </w:tabs>
        <w:ind w:left="2160" w:hanging="360"/>
      </w:pPr>
      <w:rPr>
        <w:rFonts w:ascii="Wingdings" w:hAnsi="Wingdings" w:hint="default"/>
      </w:rPr>
    </w:lvl>
    <w:lvl w:ilvl="3" w:tplc="A60EF90E" w:tentative="1">
      <w:start w:val="1"/>
      <w:numFmt w:val="bullet"/>
      <w:lvlText w:val=""/>
      <w:lvlJc w:val="left"/>
      <w:pPr>
        <w:tabs>
          <w:tab w:val="num" w:pos="2880"/>
        </w:tabs>
        <w:ind w:left="2880" w:hanging="360"/>
      </w:pPr>
      <w:rPr>
        <w:rFonts w:ascii="Wingdings" w:hAnsi="Wingdings" w:hint="default"/>
      </w:rPr>
    </w:lvl>
    <w:lvl w:ilvl="4" w:tplc="43962F56" w:tentative="1">
      <w:start w:val="1"/>
      <w:numFmt w:val="bullet"/>
      <w:lvlText w:val=""/>
      <w:lvlJc w:val="left"/>
      <w:pPr>
        <w:tabs>
          <w:tab w:val="num" w:pos="3600"/>
        </w:tabs>
        <w:ind w:left="3600" w:hanging="360"/>
      </w:pPr>
      <w:rPr>
        <w:rFonts w:ascii="Wingdings" w:hAnsi="Wingdings" w:hint="default"/>
      </w:rPr>
    </w:lvl>
    <w:lvl w:ilvl="5" w:tplc="4274B6DA" w:tentative="1">
      <w:start w:val="1"/>
      <w:numFmt w:val="bullet"/>
      <w:lvlText w:val=""/>
      <w:lvlJc w:val="left"/>
      <w:pPr>
        <w:tabs>
          <w:tab w:val="num" w:pos="4320"/>
        </w:tabs>
        <w:ind w:left="4320" w:hanging="360"/>
      </w:pPr>
      <w:rPr>
        <w:rFonts w:ascii="Wingdings" w:hAnsi="Wingdings" w:hint="default"/>
      </w:rPr>
    </w:lvl>
    <w:lvl w:ilvl="6" w:tplc="66AC32BC" w:tentative="1">
      <w:start w:val="1"/>
      <w:numFmt w:val="bullet"/>
      <w:lvlText w:val=""/>
      <w:lvlJc w:val="left"/>
      <w:pPr>
        <w:tabs>
          <w:tab w:val="num" w:pos="5040"/>
        </w:tabs>
        <w:ind w:left="5040" w:hanging="360"/>
      </w:pPr>
      <w:rPr>
        <w:rFonts w:ascii="Wingdings" w:hAnsi="Wingdings" w:hint="default"/>
      </w:rPr>
    </w:lvl>
    <w:lvl w:ilvl="7" w:tplc="9CDC41C8" w:tentative="1">
      <w:start w:val="1"/>
      <w:numFmt w:val="bullet"/>
      <w:lvlText w:val=""/>
      <w:lvlJc w:val="left"/>
      <w:pPr>
        <w:tabs>
          <w:tab w:val="num" w:pos="5760"/>
        </w:tabs>
        <w:ind w:left="5760" w:hanging="360"/>
      </w:pPr>
      <w:rPr>
        <w:rFonts w:ascii="Wingdings" w:hAnsi="Wingdings" w:hint="default"/>
      </w:rPr>
    </w:lvl>
    <w:lvl w:ilvl="8" w:tplc="2A3ED924" w:tentative="1">
      <w:start w:val="1"/>
      <w:numFmt w:val="bullet"/>
      <w:lvlText w:val=""/>
      <w:lvlJc w:val="left"/>
      <w:pPr>
        <w:tabs>
          <w:tab w:val="num" w:pos="6480"/>
        </w:tabs>
        <w:ind w:left="6480" w:hanging="360"/>
      </w:pPr>
      <w:rPr>
        <w:rFonts w:ascii="Wingdings" w:hAnsi="Wingdings" w:hint="default"/>
      </w:rPr>
    </w:lvl>
  </w:abstractNum>
  <w:abstractNum w:abstractNumId="33">
    <w:nsid w:val="5D5F5BE4"/>
    <w:multiLevelType w:val="hybridMultilevel"/>
    <w:tmpl w:val="F58EDB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5ED01DFB"/>
    <w:multiLevelType w:val="hybridMultilevel"/>
    <w:tmpl w:val="A2C4B300"/>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5">
    <w:nsid w:val="61AB1F69"/>
    <w:multiLevelType w:val="multilevel"/>
    <w:tmpl w:val="65CA963E"/>
    <w:lvl w:ilvl="0">
      <w:start w:val="6"/>
      <w:numFmt w:val="decimal"/>
      <w:lvlText w:val="%1"/>
      <w:lvlJc w:val="left"/>
      <w:pPr>
        <w:ind w:left="360" w:hanging="360"/>
      </w:pPr>
      <w:rPr>
        <w:rFonts w:hint="default"/>
        <w:i w:val="0"/>
      </w:rPr>
    </w:lvl>
    <w:lvl w:ilvl="1">
      <w:start w:val="1"/>
      <w:numFmt w:val="bullet"/>
      <w:lvlText w:val=""/>
      <w:lvlJc w:val="left"/>
      <w:pPr>
        <w:ind w:left="107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63713258"/>
    <w:multiLevelType w:val="hybridMultilevel"/>
    <w:tmpl w:val="250C87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65A95CCE"/>
    <w:multiLevelType w:val="hybridMultilevel"/>
    <w:tmpl w:val="E4D6717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nsid w:val="68AC5F81"/>
    <w:multiLevelType w:val="hybridMultilevel"/>
    <w:tmpl w:val="294A6B0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nsid w:val="6A1213D3"/>
    <w:multiLevelType w:val="hybridMultilevel"/>
    <w:tmpl w:val="95F8BC98"/>
    <w:lvl w:ilvl="0" w:tplc="BABAE684">
      <w:start w:val="1"/>
      <w:numFmt w:val="bullet"/>
      <w:lvlText w:val=""/>
      <w:lvlJc w:val="left"/>
      <w:pPr>
        <w:tabs>
          <w:tab w:val="num" w:pos="720"/>
        </w:tabs>
        <w:ind w:left="720" w:hanging="360"/>
      </w:pPr>
      <w:rPr>
        <w:rFonts w:ascii="Wingdings" w:hAnsi="Wingdings" w:hint="default"/>
      </w:rPr>
    </w:lvl>
    <w:lvl w:ilvl="1" w:tplc="144E6ED4" w:tentative="1">
      <w:start w:val="1"/>
      <w:numFmt w:val="bullet"/>
      <w:lvlText w:val=""/>
      <w:lvlJc w:val="left"/>
      <w:pPr>
        <w:tabs>
          <w:tab w:val="num" w:pos="1440"/>
        </w:tabs>
        <w:ind w:left="1440" w:hanging="360"/>
      </w:pPr>
      <w:rPr>
        <w:rFonts w:ascii="Wingdings" w:hAnsi="Wingdings" w:hint="default"/>
      </w:rPr>
    </w:lvl>
    <w:lvl w:ilvl="2" w:tplc="1E76DC98" w:tentative="1">
      <w:start w:val="1"/>
      <w:numFmt w:val="bullet"/>
      <w:lvlText w:val=""/>
      <w:lvlJc w:val="left"/>
      <w:pPr>
        <w:tabs>
          <w:tab w:val="num" w:pos="2160"/>
        </w:tabs>
        <w:ind w:left="2160" w:hanging="360"/>
      </w:pPr>
      <w:rPr>
        <w:rFonts w:ascii="Wingdings" w:hAnsi="Wingdings" w:hint="default"/>
      </w:rPr>
    </w:lvl>
    <w:lvl w:ilvl="3" w:tplc="42A88414" w:tentative="1">
      <w:start w:val="1"/>
      <w:numFmt w:val="bullet"/>
      <w:lvlText w:val=""/>
      <w:lvlJc w:val="left"/>
      <w:pPr>
        <w:tabs>
          <w:tab w:val="num" w:pos="2880"/>
        </w:tabs>
        <w:ind w:left="2880" w:hanging="360"/>
      </w:pPr>
      <w:rPr>
        <w:rFonts w:ascii="Wingdings" w:hAnsi="Wingdings" w:hint="default"/>
      </w:rPr>
    </w:lvl>
    <w:lvl w:ilvl="4" w:tplc="9156FB12" w:tentative="1">
      <w:start w:val="1"/>
      <w:numFmt w:val="bullet"/>
      <w:lvlText w:val=""/>
      <w:lvlJc w:val="left"/>
      <w:pPr>
        <w:tabs>
          <w:tab w:val="num" w:pos="3600"/>
        </w:tabs>
        <w:ind w:left="3600" w:hanging="360"/>
      </w:pPr>
      <w:rPr>
        <w:rFonts w:ascii="Wingdings" w:hAnsi="Wingdings" w:hint="default"/>
      </w:rPr>
    </w:lvl>
    <w:lvl w:ilvl="5" w:tplc="64D01FDE" w:tentative="1">
      <w:start w:val="1"/>
      <w:numFmt w:val="bullet"/>
      <w:lvlText w:val=""/>
      <w:lvlJc w:val="left"/>
      <w:pPr>
        <w:tabs>
          <w:tab w:val="num" w:pos="4320"/>
        </w:tabs>
        <w:ind w:left="4320" w:hanging="360"/>
      </w:pPr>
      <w:rPr>
        <w:rFonts w:ascii="Wingdings" w:hAnsi="Wingdings" w:hint="default"/>
      </w:rPr>
    </w:lvl>
    <w:lvl w:ilvl="6" w:tplc="F4C0FB8A" w:tentative="1">
      <w:start w:val="1"/>
      <w:numFmt w:val="bullet"/>
      <w:lvlText w:val=""/>
      <w:lvlJc w:val="left"/>
      <w:pPr>
        <w:tabs>
          <w:tab w:val="num" w:pos="5040"/>
        </w:tabs>
        <w:ind w:left="5040" w:hanging="360"/>
      </w:pPr>
      <w:rPr>
        <w:rFonts w:ascii="Wingdings" w:hAnsi="Wingdings" w:hint="default"/>
      </w:rPr>
    </w:lvl>
    <w:lvl w:ilvl="7" w:tplc="6CDA6F14" w:tentative="1">
      <w:start w:val="1"/>
      <w:numFmt w:val="bullet"/>
      <w:lvlText w:val=""/>
      <w:lvlJc w:val="left"/>
      <w:pPr>
        <w:tabs>
          <w:tab w:val="num" w:pos="5760"/>
        </w:tabs>
        <w:ind w:left="5760" w:hanging="360"/>
      </w:pPr>
      <w:rPr>
        <w:rFonts w:ascii="Wingdings" w:hAnsi="Wingdings" w:hint="default"/>
      </w:rPr>
    </w:lvl>
    <w:lvl w:ilvl="8" w:tplc="DF22D340" w:tentative="1">
      <w:start w:val="1"/>
      <w:numFmt w:val="bullet"/>
      <w:lvlText w:val=""/>
      <w:lvlJc w:val="left"/>
      <w:pPr>
        <w:tabs>
          <w:tab w:val="num" w:pos="6480"/>
        </w:tabs>
        <w:ind w:left="6480" w:hanging="360"/>
      </w:pPr>
      <w:rPr>
        <w:rFonts w:ascii="Wingdings" w:hAnsi="Wingdings" w:hint="default"/>
      </w:rPr>
    </w:lvl>
  </w:abstractNum>
  <w:abstractNum w:abstractNumId="40">
    <w:nsid w:val="6F682F60"/>
    <w:multiLevelType w:val="hybridMultilevel"/>
    <w:tmpl w:val="857A1878"/>
    <w:lvl w:ilvl="0" w:tplc="292A8D02">
      <w:start w:val="1"/>
      <w:numFmt w:val="bullet"/>
      <w:lvlText w:val=""/>
      <w:lvlJc w:val="left"/>
      <w:pPr>
        <w:tabs>
          <w:tab w:val="num" w:pos="720"/>
        </w:tabs>
        <w:ind w:left="720" w:hanging="360"/>
      </w:pPr>
      <w:rPr>
        <w:rFonts w:ascii="Wingdings" w:hAnsi="Wingdings" w:hint="default"/>
      </w:rPr>
    </w:lvl>
    <w:lvl w:ilvl="1" w:tplc="1C4ACAFE" w:tentative="1">
      <w:start w:val="1"/>
      <w:numFmt w:val="bullet"/>
      <w:lvlText w:val=""/>
      <w:lvlJc w:val="left"/>
      <w:pPr>
        <w:tabs>
          <w:tab w:val="num" w:pos="1440"/>
        </w:tabs>
        <w:ind w:left="1440" w:hanging="360"/>
      </w:pPr>
      <w:rPr>
        <w:rFonts w:ascii="Wingdings" w:hAnsi="Wingdings" w:hint="default"/>
      </w:rPr>
    </w:lvl>
    <w:lvl w:ilvl="2" w:tplc="00E49874" w:tentative="1">
      <w:start w:val="1"/>
      <w:numFmt w:val="bullet"/>
      <w:lvlText w:val=""/>
      <w:lvlJc w:val="left"/>
      <w:pPr>
        <w:tabs>
          <w:tab w:val="num" w:pos="2160"/>
        </w:tabs>
        <w:ind w:left="2160" w:hanging="360"/>
      </w:pPr>
      <w:rPr>
        <w:rFonts w:ascii="Wingdings" w:hAnsi="Wingdings" w:hint="default"/>
      </w:rPr>
    </w:lvl>
    <w:lvl w:ilvl="3" w:tplc="107226A0" w:tentative="1">
      <w:start w:val="1"/>
      <w:numFmt w:val="bullet"/>
      <w:lvlText w:val=""/>
      <w:lvlJc w:val="left"/>
      <w:pPr>
        <w:tabs>
          <w:tab w:val="num" w:pos="2880"/>
        </w:tabs>
        <w:ind w:left="2880" w:hanging="360"/>
      </w:pPr>
      <w:rPr>
        <w:rFonts w:ascii="Wingdings" w:hAnsi="Wingdings" w:hint="default"/>
      </w:rPr>
    </w:lvl>
    <w:lvl w:ilvl="4" w:tplc="456E07C8" w:tentative="1">
      <w:start w:val="1"/>
      <w:numFmt w:val="bullet"/>
      <w:lvlText w:val=""/>
      <w:lvlJc w:val="left"/>
      <w:pPr>
        <w:tabs>
          <w:tab w:val="num" w:pos="3600"/>
        </w:tabs>
        <w:ind w:left="3600" w:hanging="360"/>
      </w:pPr>
      <w:rPr>
        <w:rFonts w:ascii="Wingdings" w:hAnsi="Wingdings" w:hint="default"/>
      </w:rPr>
    </w:lvl>
    <w:lvl w:ilvl="5" w:tplc="CAAE14FA" w:tentative="1">
      <w:start w:val="1"/>
      <w:numFmt w:val="bullet"/>
      <w:lvlText w:val=""/>
      <w:lvlJc w:val="left"/>
      <w:pPr>
        <w:tabs>
          <w:tab w:val="num" w:pos="4320"/>
        </w:tabs>
        <w:ind w:left="4320" w:hanging="360"/>
      </w:pPr>
      <w:rPr>
        <w:rFonts w:ascii="Wingdings" w:hAnsi="Wingdings" w:hint="default"/>
      </w:rPr>
    </w:lvl>
    <w:lvl w:ilvl="6" w:tplc="0C28C388" w:tentative="1">
      <w:start w:val="1"/>
      <w:numFmt w:val="bullet"/>
      <w:lvlText w:val=""/>
      <w:lvlJc w:val="left"/>
      <w:pPr>
        <w:tabs>
          <w:tab w:val="num" w:pos="5040"/>
        </w:tabs>
        <w:ind w:left="5040" w:hanging="360"/>
      </w:pPr>
      <w:rPr>
        <w:rFonts w:ascii="Wingdings" w:hAnsi="Wingdings" w:hint="default"/>
      </w:rPr>
    </w:lvl>
    <w:lvl w:ilvl="7" w:tplc="BCFE0482" w:tentative="1">
      <w:start w:val="1"/>
      <w:numFmt w:val="bullet"/>
      <w:lvlText w:val=""/>
      <w:lvlJc w:val="left"/>
      <w:pPr>
        <w:tabs>
          <w:tab w:val="num" w:pos="5760"/>
        </w:tabs>
        <w:ind w:left="5760" w:hanging="360"/>
      </w:pPr>
      <w:rPr>
        <w:rFonts w:ascii="Wingdings" w:hAnsi="Wingdings" w:hint="default"/>
      </w:rPr>
    </w:lvl>
    <w:lvl w:ilvl="8" w:tplc="6456D732" w:tentative="1">
      <w:start w:val="1"/>
      <w:numFmt w:val="bullet"/>
      <w:lvlText w:val=""/>
      <w:lvlJc w:val="left"/>
      <w:pPr>
        <w:tabs>
          <w:tab w:val="num" w:pos="6480"/>
        </w:tabs>
        <w:ind w:left="6480" w:hanging="360"/>
      </w:pPr>
      <w:rPr>
        <w:rFonts w:ascii="Wingdings" w:hAnsi="Wingdings" w:hint="default"/>
      </w:rPr>
    </w:lvl>
  </w:abstractNum>
  <w:abstractNum w:abstractNumId="41">
    <w:nsid w:val="71730D15"/>
    <w:multiLevelType w:val="hybridMultilevel"/>
    <w:tmpl w:val="34E48A28"/>
    <w:lvl w:ilvl="0" w:tplc="9C32B6D4">
      <w:start w:val="1"/>
      <w:numFmt w:val="bullet"/>
      <w:lvlText w:val=""/>
      <w:lvlJc w:val="left"/>
      <w:pPr>
        <w:tabs>
          <w:tab w:val="num" w:pos="720"/>
        </w:tabs>
        <w:ind w:left="720" w:hanging="360"/>
      </w:pPr>
      <w:rPr>
        <w:rFonts w:ascii="Wingdings" w:hAnsi="Wingdings" w:hint="default"/>
      </w:rPr>
    </w:lvl>
    <w:lvl w:ilvl="1" w:tplc="97F2838E" w:tentative="1">
      <w:start w:val="1"/>
      <w:numFmt w:val="bullet"/>
      <w:lvlText w:val=""/>
      <w:lvlJc w:val="left"/>
      <w:pPr>
        <w:tabs>
          <w:tab w:val="num" w:pos="1440"/>
        </w:tabs>
        <w:ind w:left="1440" w:hanging="360"/>
      </w:pPr>
      <w:rPr>
        <w:rFonts w:ascii="Wingdings" w:hAnsi="Wingdings" w:hint="default"/>
      </w:rPr>
    </w:lvl>
    <w:lvl w:ilvl="2" w:tplc="4ED4AB50" w:tentative="1">
      <w:start w:val="1"/>
      <w:numFmt w:val="bullet"/>
      <w:lvlText w:val=""/>
      <w:lvlJc w:val="left"/>
      <w:pPr>
        <w:tabs>
          <w:tab w:val="num" w:pos="2160"/>
        </w:tabs>
        <w:ind w:left="2160" w:hanging="360"/>
      </w:pPr>
      <w:rPr>
        <w:rFonts w:ascii="Wingdings" w:hAnsi="Wingdings" w:hint="default"/>
      </w:rPr>
    </w:lvl>
    <w:lvl w:ilvl="3" w:tplc="C37261B2" w:tentative="1">
      <w:start w:val="1"/>
      <w:numFmt w:val="bullet"/>
      <w:lvlText w:val=""/>
      <w:lvlJc w:val="left"/>
      <w:pPr>
        <w:tabs>
          <w:tab w:val="num" w:pos="2880"/>
        </w:tabs>
        <w:ind w:left="2880" w:hanging="360"/>
      </w:pPr>
      <w:rPr>
        <w:rFonts w:ascii="Wingdings" w:hAnsi="Wingdings" w:hint="default"/>
      </w:rPr>
    </w:lvl>
    <w:lvl w:ilvl="4" w:tplc="5A063240" w:tentative="1">
      <w:start w:val="1"/>
      <w:numFmt w:val="bullet"/>
      <w:lvlText w:val=""/>
      <w:lvlJc w:val="left"/>
      <w:pPr>
        <w:tabs>
          <w:tab w:val="num" w:pos="3600"/>
        </w:tabs>
        <w:ind w:left="3600" w:hanging="360"/>
      </w:pPr>
      <w:rPr>
        <w:rFonts w:ascii="Wingdings" w:hAnsi="Wingdings" w:hint="default"/>
      </w:rPr>
    </w:lvl>
    <w:lvl w:ilvl="5" w:tplc="39DAEEF6" w:tentative="1">
      <w:start w:val="1"/>
      <w:numFmt w:val="bullet"/>
      <w:lvlText w:val=""/>
      <w:lvlJc w:val="left"/>
      <w:pPr>
        <w:tabs>
          <w:tab w:val="num" w:pos="4320"/>
        </w:tabs>
        <w:ind w:left="4320" w:hanging="360"/>
      </w:pPr>
      <w:rPr>
        <w:rFonts w:ascii="Wingdings" w:hAnsi="Wingdings" w:hint="default"/>
      </w:rPr>
    </w:lvl>
    <w:lvl w:ilvl="6" w:tplc="D20CAEFA" w:tentative="1">
      <w:start w:val="1"/>
      <w:numFmt w:val="bullet"/>
      <w:lvlText w:val=""/>
      <w:lvlJc w:val="left"/>
      <w:pPr>
        <w:tabs>
          <w:tab w:val="num" w:pos="5040"/>
        </w:tabs>
        <w:ind w:left="5040" w:hanging="360"/>
      </w:pPr>
      <w:rPr>
        <w:rFonts w:ascii="Wingdings" w:hAnsi="Wingdings" w:hint="default"/>
      </w:rPr>
    </w:lvl>
    <w:lvl w:ilvl="7" w:tplc="6188319E" w:tentative="1">
      <w:start w:val="1"/>
      <w:numFmt w:val="bullet"/>
      <w:lvlText w:val=""/>
      <w:lvlJc w:val="left"/>
      <w:pPr>
        <w:tabs>
          <w:tab w:val="num" w:pos="5760"/>
        </w:tabs>
        <w:ind w:left="5760" w:hanging="360"/>
      </w:pPr>
      <w:rPr>
        <w:rFonts w:ascii="Wingdings" w:hAnsi="Wingdings" w:hint="default"/>
      </w:rPr>
    </w:lvl>
    <w:lvl w:ilvl="8" w:tplc="F68C0B9E" w:tentative="1">
      <w:start w:val="1"/>
      <w:numFmt w:val="bullet"/>
      <w:lvlText w:val=""/>
      <w:lvlJc w:val="left"/>
      <w:pPr>
        <w:tabs>
          <w:tab w:val="num" w:pos="6480"/>
        </w:tabs>
        <w:ind w:left="6480" w:hanging="360"/>
      </w:pPr>
      <w:rPr>
        <w:rFonts w:ascii="Wingdings" w:hAnsi="Wingdings" w:hint="default"/>
      </w:rPr>
    </w:lvl>
  </w:abstractNum>
  <w:abstractNum w:abstractNumId="42">
    <w:nsid w:val="72CA06BC"/>
    <w:multiLevelType w:val="multilevel"/>
    <w:tmpl w:val="A7142902"/>
    <w:lvl w:ilvl="0">
      <w:start w:val="6"/>
      <w:numFmt w:val="decimal"/>
      <w:lvlText w:val="%1"/>
      <w:lvlJc w:val="left"/>
      <w:pPr>
        <w:ind w:left="360" w:hanging="360"/>
      </w:pPr>
      <w:rPr>
        <w:rFonts w:hint="default"/>
        <w:i w:val="0"/>
      </w:rPr>
    </w:lvl>
    <w:lvl w:ilvl="1">
      <w:start w:val="1"/>
      <w:numFmt w:val="bullet"/>
      <w:lvlText w:val=""/>
      <w:lvlJc w:val="left"/>
      <w:pPr>
        <w:ind w:left="107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4">
    <w:nsid w:val="771B2B5F"/>
    <w:multiLevelType w:val="hybridMultilevel"/>
    <w:tmpl w:val="0CD83522"/>
    <w:lvl w:ilvl="0" w:tplc="B8120C88">
      <w:start w:val="1"/>
      <w:numFmt w:val="bullet"/>
      <w:lvlText w:val=""/>
      <w:lvlJc w:val="left"/>
      <w:pPr>
        <w:tabs>
          <w:tab w:val="num" w:pos="720"/>
        </w:tabs>
        <w:ind w:left="720" w:hanging="360"/>
      </w:pPr>
      <w:rPr>
        <w:rFonts w:ascii="Wingdings" w:hAnsi="Wingdings" w:hint="default"/>
      </w:rPr>
    </w:lvl>
    <w:lvl w:ilvl="1" w:tplc="0350623C" w:tentative="1">
      <w:start w:val="1"/>
      <w:numFmt w:val="bullet"/>
      <w:lvlText w:val=""/>
      <w:lvlJc w:val="left"/>
      <w:pPr>
        <w:tabs>
          <w:tab w:val="num" w:pos="1440"/>
        </w:tabs>
        <w:ind w:left="1440" w:hanging="360"/>
      </w:pPr>
      <w:rPr>
        <w:rFonts w:ascii="Wingdings" w:hAnsi="Wingdings" w:hint="default"/>
      </w:rPr>
    </w:lvl>
    <w:lvl w:ilvl="2" w:tplc="11A07DA8" w:tentative="1">
      <w:start w:val="1"/>
      <w:numFmt w:val="bullet"/>
      <w:lvlText w:val=""/>
      <w:lvlJc w:val="left"/>
      <w:pPr>
        <w:tabs>
          <w:tab w:val="num" w:pos="2160"/>
        </w:tabs>
        <w:ind w:left="2160" w:hanging="360"/>
      </w:pPr>
      <w:rPr>
        <w:rFonts w:ascii="Wingdings" w:hAnsi="Wingdings" w:hint="default"/>
      </w:rPr>
    </w:lvl>
    <w:lvl w:ilvl="3" w:tplc="F4643940" w:tentative="1">
      <w:start w:val="1"/>
      <w:numFmt w:val="bullet"/>
      <w:lvlText w:val=""/>
      <w:lvlJc w:val="left"/>
      <w:pPr>
        <w:tabs>
          <w:tab w:val="num" w:pos="2880"/>
        </w:tabs>
        <w:ind w:left="2880" w:hanging="360"/>
      </w:pPr>
      <w:rPr>
        <w:rFonts w:ascii="Wingdings" w:hAnsi="Wingdings" w:hint="default"/>
      </w:rPr>
    </w:lvl>
    <w:lvl w:ilvl="4" w:tplc="A0EE3520" w:tentative="1">
      <w:start w:val="1"/>
      <w:numFmt w:val="bullet"/>
      <w:lvlText w:val=""/>
      <w:lvlJc w:val="left"/>
      <w:pPr>
        <w:tabs>
          <w:tab w:val="num" w:pos="3600"/>
        </w:tabs>
        <w:ind w:left="3600" w:hanging="360"/>
      </w:pPr>
      <w:rPr>
        <w:rFonts w:ascii="Wingdings" w:hAnsi="Wingdings" w:hint="default"/>
      </w:rPr>
    </w:lvl>
    <w:lvl w:ilvl="5" w:tplc="86980880" w:tentative="1">
      <w:start w:val="1"/>
      <w:numFmt w:val="bullet"/>
      <w:lvlText w:val=""/>
      <w:lvlJc w:val="left"/>
      <w:pPr>
        <w:tabs>
          <w:tab w:val="num" w:pos="4320"/>
        </w:tabs>
        <w:ind w:left="4320" w:hanging="360"/>
      </w:pPr>
      <w:rPr>
        <w:rFonts w:ascii="Wingdings" w:hAnsi="Wingdings" w:hint="default"/>
      </w:rPr>
    </w:lvl>
    <w:lvl w:ilvl="6" w:tplc="76703138" w:tentative="1">
      <w:start w:val="1"/>
      <w:numFmt w:val="bullet"/>
      <w:lvlText w:val=""/>
      <w:lvlJc w:val="left"/>
      <w:pPr>
        <w:tabs>
          <w:tab w:val="num" w:pos="5040"/>
        </w:tabs>
        <w:ind w:left="5040" w:hanging="360"/>
      </w:pPr>
      <w:rPr>
        <w:rFonts w:ascii="Wingdings" w:hAnsi="Wingdings" w:hint="default"/>
      </w:rPr>
    </w:lvl>
    <w:lvl w:ilvl="7" w:tplc="8E76C9E2" w:tentative="1">
      <w:start w:val="1"/>
      <w:numFmt w:val="bullet"/>
      <w:lvlText w:val=""/>
      <w:lvlJc w:val="left"/>
      <w:pPr>
        <w:tabs>
          <w:tab w:val="num" w:pos="5760"/>
        </w:tabs>
        <w:ind w:left="5760" w:hanging="360"/>
      </w:pPr>
      <w:rPr>
        <w:rFonts w:ascii="Wingdings" w:hAnsi="Wingdings" w:hint="default"/>
      </w:rPr>
    </w:lvl>
    <w:lvl w:ilvl="8" w:tplc="89BEA818" w:tentative="1">
      <w:start w:val="1"/>
      <w:numFmt w:val="bullet"/>
      <w:lvlText w:val=""/>
      <w:lvlJc w:val="left"/>
      <w:pPr>
        <w:tabs>
          <w:tab w:val="num" w:pos="6480"/>
        </w:tabs>
        <w:ind w:left="6480" w:hanging="360"/>
      </w:pPr>
      <w:rPr>
        <w:rFonts w:ascii="Wingdings" w:hAnsi="Wingdings" w:hint="default"/>
      </w:rPr>
    </w:lvl>
  </w:abstractNum>
  <w:abstractNum w:abstractNumId="45">
    <w:nsid w:val="77B81A07"/>
    <w:multiLevelType w:val="hybridMultilevel"/>
    <w:tmpl w:val="6608D8D0"/>
    <w:lvl w:ilvl="0" w:tplc="30BE6F2E">
      <w:start w:val="1"/>
      <w:numFmt w:val="bullet"/>
      <w:lvlText w:val=""/>
      <w:lvlJc w:val="left"/>
      <w:pPr>
        <w:tabs>
          <w:tab w:val="num" w:pos="720"/>
        </w:tabs>
        <w:ind w:left="720" w:hanging="360"/>
      </w:pPr>
      <w:rPr>
        <w:rFonts w:ascii="Wingdings" w:hAnsi="Wingdings" w:hint="default"/>
      </w:rPr>
    </w:lvl>
    <w:lvl w:ilvl="1" w:tplc="C39CC6AA" w:tentative="1">
      <w:start w:val="1"/>
      <w:numFmt w:val="bullet"/>
      <w:lvlText w:val=""/>
      <w:lvlJc w:val="left"/>
      <w:pPr>
        <w:tabs>
          <w:tab w:val="num" w:pos="1440"/>
        </w:tabs>
        <w:ind w:left="1440" w:hanging="360"/>
      </w:pPr>
      <w:rPr>
        <w:rFonts w:ascii="Wingdings" w:hAnsi="Wingdings" w:hint="default"/>
      </w:rPr>
    </w:lvl>
    <w:lvl w:ilvl="2" w:tplc="F2D2248A" w:tentative="1">
      <w:start w:val="1"/>
      <w:numFmt w:val="bullet"/>
      <w:lvlText w:val=""/>
      <w:lvlJc w:val="left"/>
      <w:pPr>
        <w:tabs>
          <w:tab w:val="num" w:pos="2160"/>
        </w:tabs>
        <w:ind w:left="2160" w:hanging="360"/>
      </w:pPr>
      <w:rPr>
        <w:rFonts w:ascii="Wingdings" w:hAnsi="Wingdings" w:hint="default"/>
      </w:rPr>
    </w:lvl>
    <w:lvl w:ilvl="3" w:tplc="15DAADC8" w:tentative="1">
      <w:start w:val="1"/>
      <w:numFmt w:val="bullet"/>
      <w:lvlText w:val=""/>
      <w:lvlJc w:val="left"/>
      <w:pPr>
        <w:tabs>
          <w:tab w:val="num" w:pos="2880"/>
        </w:tabs>
        <w:ind w:left="2880" w:hanging="360"/>
      </w:pPr>
      <w:rPr>
        <w:rFonts w:ascii="Wingdings" w:hAnsi="Wingdings" w:hint="default"/>
      </w:rPr>
    </w:lvl>
    <w:lvl w:ilvl="4" w:tplc="5EEE5DC8" w:tentative="1">
      <w:start w:val="1"/>
      <w:numFmt w:val="bullet"/>
      <w:lvlText w:val=""/>
      <w:lvlJc w:val="left"/>
      <w:pPr>
        <w:tabs>
          <w:tab w:val="num" w:pos="3600"/>
        </w:tabs>
        <w:ind w:left="3600" w:hanging="360"/>
      </w:pPr>
      <w:rPr>
        <w:rFonts w:ascii="Wingdings" w:hAnsi="Wingdings" w:hint="default"/>
      </w:rPr>
    </w:lvl>
    <w:lvl w:ilvl="5" w:tplc="1DBC2E48" w:tentative="1">
      <w:start w:val="1"/>
      <w:numFmt w:val="bullet"/>
      <w:lvlText w:val=""/>
      <w:lvlJc w:val="left"/>
      <w:pPr>
        <w:tabs>
          <w:tab w:val="num" w:pos="4320"/>
        </w:tabs>
        <w:ind w:left="4320" w:hanging="360"/>
      </w:pPr>
      <w:rPr>
        <w:rFonts w:ascii="Wingdings" w:hAnsi="Wingdings" w:hint="default"/>
      </w:rPr>
    </w:lvl>
    <w:lvl w:ilvl="6" w:tplc="CCE2B524" w:tentative="1">
      <w:start w:val="1"/>
      <w:numFmt w:val="bullet"/>
      <w:lvlText w:val=""/>
      <w:lvlJc w:val="left"/>
      <w:pPr>
        <w:tabs>
          <w:tab w:val="num" w:pos="5040"/>
        </w:tabs>
        <w:ind w:left="5040" w:hanging="360"/>
      </w:pPr>
      <w:rPr>
        <w:rFonts w:ascii="Wingdings" w:hAnsi="Wingdings" w:hint="default"/>
      </w:rPr>
    </w:lvl>
    <w:lvl w:ilvl="7" w:tplc="B3A06F90" w:tentative="1">
      <w:start w:val="1"/>
      <w:numFmt w:val="bullet"/>
      <w:lvlText w:val=""/>
      <w:lvlJc w:val="left"/>
      <w:pPr>
        <w:tabs>
          <w:tab w:val="num" w:pos="5760"/>
        </w:tabs>
        <w:ind w:left="5760" w:hanging="360"/>
      </w:pPr>
      <w:rPr>
        <w:rFonts w:ascii="Wingdings" w:hAnsi="Wingdings" w:hint="default"/>
      </w:rPr>
    </w:lvl>
    <w:lvl w:ilvl="8" w:tplc="6C6CF284" w:tentative="1">
      <w:start w:val="1"/>
      <w:numFmt w:val="bullet"/>
      <w:lvlText w:val=""/>
      <w:lvlJc w:val="left"/>
      <w:pPr>
        <w:tabs>
          <w:tab w:val="num" w:pos="6480"/>
        </w:tabs>
        <w:ind w:left="6480" w:hanging="360"/>
      </w:pPr>
      <w:rPr>
        <w:rFonts w:ascii="Wingdings" w:hAnsi="Wingdings" w:hint="default"/>
      </w:rPr>
    </w:lvl>
  </w:abstractNum>
  <w:abstractNum w:abstractNumId="46">
    <w:nsid w:val="784D033C"/>
    <w:multiLevelType w:val="multilevel"/>
    <w:tmpl w:val="96BC1D1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nsid w:val="78511B11"/>
    <w:multiLevelType w:val="hybridMultilevel"/>
    <w:tmpl w:val="FFF62398"/>
    <w:lvl w:ilvl="0" w:tplc="0C090001">
      <w:start w:val="1"/>
      <w:numFmt w:val="bullet"/>
      <w:lvlText w:val=""/>
      <w:lvlJc w:val="left"/>
      <w:pPr>
        <w:ind w:left="924" w:hanging="360"/>
      </w:pPr>
      <w:rPr>
        <w:rFonts w:ascii="Symbol" w:hAnsi="Symbol" w:hint="default"/>
      </w:rPr>
    </w:lvl>
    <w:lvl w:ilvl="1" w:tplc="0C090003">
      <w:start w:val="1"/>
      <w:numFmt w:val="bullet"/>
      <w:lvlText w:val="o"/>
      <w:lvlJc w:val="left"/>
      <w:pPr>
        <w:ind w:left="1644" w:hanging="360"/>
      </w:pPr>
      <w:rPr>
        <w:rFonts w:ascii="Courier New" w:hAnsi="Courier New" w:cs="Courier New" w:hint="default"/>
      </w:rPr>
    </w:lvl>
    <w:lvl w:ilvl="2" w:tplc="0C090005" w:tentative="1">
      <w:start w:val="1"/>
      <w:numFmt w:val="bullet"/>
      <w:lvlText w:val=""/>
      <w:lvlJc w:val="left"/>
      <w:pPr>
        <w:ind w:left="2364" w:hanging="360"/>
      </w:pPr>
      <w:rPr>
        <w:rFonts w:ascii="Wingdings" w:hAnsi="Wingdings" w:hint="default"/>
      </w:rPr>
    </w:lvl>
    <w:lvl w:ilvl="3" w:tplc="0C090001" w:tentative="1">
      <w:start w:val="1"/>
      <w:numFmt w:val="bullet"/>
      <w:lvlText w:val=""/>
      <w:lvlJc w:val="left"/>
      <w:pPr>
        <w:ind w:left="3084" w:hanging="360"/>
      </w:pPr>
      <w:rPr>
        <w:rFonts w:ascii="Symbol" w:hAnsi="Symbol" w:hint="default"/>
      </w:rPr>
    </w:lvl>
    <w:lvl w:ilvl="4" w:tplc="0C090003" w:tentative="1">
      <w:start w:val="1"/>
      <w:numFmt w:val="bullet"/>
      <w:lvlText w:val="o"/>
      <w:lvlJc w:val="left"/>
      <w:pPr>
        <w:ind w:left="3804" w:hanging="360"/>
      </w:pPr>
      <w:rPr>
        <w:rFonts w:ascii="Courier New" w:hAnsi="Courier New" w:cs="Courier New" w:hint="default"/>
      </w:rPr>
    </w:lvl>
    <w:lvl w:ilvl="5" w:tplc="0C090005" w:tentative="1">
      <w:start w:val="1"/>
      <w:numFmt w:val="bullet"/>
      <w:lvlText w:val=""/>
      <w:lvlJc w:val="left"/>
      <w:pPr>
        <w:ind w:left="4524" w:hanging="360"/>
      </w:pPr>
      <w:rPr>
        <w:rFonts w:ascii="Wingdings" w:hAnsi="Wingdings" w:hint="default"/>
      </w:rPr>
    </w:lvl>
    <w:lvl w:ilvl="6" w:tplc="0C090001" w:tentative="1">
      <w:start w:val="1"/>
      <w:numFmt w:val="bullet"/>
      <w:lvlText w:val=""/>
      <w:lvlJc w:val="left"/>
      <w:pPr>
        <w:ind w:left="5244" w:hanging="360"/>
      </w:pPr>
      <w:rPr>
        <w:rFonts w:ascii="Symbol" w:hAnsi="Symbol" w:hint="default"/>
      </w:rPr>
    </w:lvl>
    <w:lvl w:ilvl="7" w:tplc="0C090003" w:tentative="1">
      <w:start w:val="1"/>
      <w:numFmt w:val="bullet"/>
      <w:lvlText w:val="o"/>
      <w:lvlJc w:val="left"/>
      <w:pPr>
        <w:ind w:left="5964" w:hanging="360"/>
      </w:pPr>
      <w:rPr>
        <w:rFonts w:ascii="Courier New" w:hAnsi="Courier New" w:cs="Courier New" w:hint="default"/>
      </w:rPr>
    </w:lvl>
    <w:lvl w:ilvl="8" w:tplc="0C090005" w:tentative="1">
      <w:start w:val="1"/>
      <w:numFmt w:val="bullet"/>
      <w:lvlText w:val=""/>
      <w:lvlJc w:val="left"/>
      <w:pPr>
        <w:ind w:left="6684" w:hanging="360"/>
      </w:pPr>
      <w:rPr>
        <w:rFonts w:ascii="Wingdings" w:hAnsi="Wingdings" w:hint="default"/>
      </w:rPr>
    </w:lvl>
  </w:abstractNum>
  <w:abstractNum w:abstractNumId="48">
    <w:nsid w:val="786915BC"/>
    <w:multiLevelType w:val="multilevel"/>
    <w:tmpl w:val="F8103E9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50">
    <w:nsid w:val="7EF55792"/>
    <w:multiLevelType w:val="hybridMultilevel"/>
    <w:tmpl w:val="63286B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6"/>
  </w:num>
  <w:num w:numId="2">
    <w:abstractNumId w:val="30"/>
  </w:num>
  <w:num w:numId="3">
    <w:abstractNumId w:val="29"/>
  </w:num>
  <w:num w:numId="4">
    <w:abstractNumId w:val="43"/>
  </w:num>
  <w:num w:numId="5">
    <w:abstractNumId w:val="49"/>
  </w:num>
  <w:num w:numId="6">
    <w:abstractNumId w:val="11"/>
  </w:num>
  <w:num w:numId="7">
    <w:abstractNumId w:val="26"/>
  </w:num>
  <w:num w:numId="8">
    <w:abstractNumId w:val="48"/>
  </w:num>
  <w:num w:numId="9">
    <w:abstractNumId w:val="7"/>
  </w:num>
  <w:num w:numId="10">
    <w:abstractNumId w:val="50"/>
  </w:num>
  <w:num w:numId="11">
    <w:abstractNumId w:val="15"/>
  </w:num>
  <w:num w:numId="12">
    <w:abstractNumId w:val="28"/>
  </w:num>
  <w:num w:numId="13">
    <w:abstractNumId w:val="1"/>
  </w:num>
  <w:num w:numId="14">
    <w:abstractNumId w:val="47"/>
  </w:num>
  <w:num w:numId="15">
    <w:abstractNumId w:val="24"/>
  </w:num>
  <w:num w:numId="16">
    <w:abstractNumId w:val="6"/>
  </w:num>
  <w:num w:numId="17">
    <w:abstractNumId w:val="37"/>
  </w:num>
  <w:num w:numId="18">
    <w:abstractNumId w:val="33"/>
  </w:num>
  <w:num w:numId="19">
    <w:abstractNumId w:val="4"/>
  </w:num>
  <w:num w:numId="20">
    <w:abstractNumId w:val="13"/>
  </w:num>
  <w:num w:numId="21">
    <w:abstractNumId w:val="36"/>
  </w:num>
  <w:num w:numId="22">
    <w:abstractNumId w:val="38"/>
  </w:num>
  <w:num w:numId="23">
    <w:abstractNumId w:val="8"/>
  </w:num>
  <w:num w:numId="24">
    <w:abstractNumId w:val="34"/>
  </w:num>
  <w:num w:numId="25">
    <w:abstractNumId w:val="5"/>
  </w:num>
  <w:num w:numId="26">
    <w:abstractNumId w:val="42"/>
  </w:num>
  <w:num w:numId="27">
    <w:abstractNumId w:val="23"/>
  </w:num>
  <w:num w:numId="28">
    <w:abstractNumId w:val="25"/>
  </w:num>
  <w:num w:numId="29">
    <w:abstractNumId w:val="35"/>
  </w:num>
  <w:num w:numId="30">
    <w:abstractNumId w:val="32"/>
  </w:num>
  <w:num w:numId="31">
    <w:abstractNumId w:val="45"/>
  </w:num>
  <w:num w:numId="32">
    <w:abstractNumId w:val="22"/>
  </w:num>
  <w:num w:numId="33">
    <w:abstractNumId w:val="21"/>
  </w:num>
  <w:num w:numId="34">
    <w:abstractNumId w:val="19"/>
  </w:num>
  <w:num w:numId="35">
    <w:abstractNumId w:val="44"/>
  </w:num>
  <w:num w:numId="36">
    <w:abstractNumId w:val="17"/>
  </w:num>
  <w:num w:numId="37">
    <w:abstractNumId w:val="40"/>
  </w:num>
  <w:num w:numId="38">
    <w:abstractNumId w:val="27"/>
  </w:num>
  <w:num w:numId="39">
    <w:abstractNumId w:val="2"/>
  </w:num>
  <w:num w:numId="40">
    <w:abstractNumId w:val="41"/>
  </w:num>
  <w:num w:numId="41">
    <w:abstractNumId w:val="18"/>
  </w:num>
  <w:num w:numId="42">
    <w:abstractNumId w:val="0"/>
  </w:num>
  <w:num w:numId="43">
    <w:abstractNumId w:val="14"/>
  </w:num>
  <w:num w:numId="44">
    <w:abstractNumId w:val="10"/>
  </w:num>
  <w:num w:numId="45">
    <w:abstractNumId w:val="9"/>
  </w:num>
  <w:num w:numId="46">
    <w:abstractNumId w:val="39"/>
  </w:num>
  <w:num w:numId="47">
    <w:abstractNumId w:val="16"/>
  </w:num>
  <w:num w:numId="48">
    <w:abstractNumId w:val="31"/>
  </w:num>
  <w:num w:numId="49">
    <w:abstractNumId w:val="3"/>
  </w:num>
  <w:num w:numId="50">
    <w:abstractNumId w:val="20"/>
  </w:num>
  <w:num w:numId="51">
    <w:abstractNumId w:val="12"/>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m buttery">
    <w15:presenceInfo w15:providerId="Windows Live" w15:userId="6ac02f9cce90475d"/>
  </w15:person>
  <w15:person w15:author="Jim Buttery">
    <w15:presenceInfo w15:providerId="AD" w15:userId="S-1-5-21-2256462057-1280619349-680702702-52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1551"/>
    <w:rsid w:val="000025AD"/>
    <w:rsid w:val="00007CA6"/>
    <w:rsid w:val="00010779"/>
    <w:rsid w:val="00022A63"/>
    <w:rsid w:val="000236A6"/>
    <w:rsid w:val="0002464A"/>
    <w:rsid w:val="0003106B"/>
    <w:rsid w:val="00037F07"/>
    <w:rsid w:val="000421A1"/>
    <w:rsid w:val="0004240E"/>
    <w:rsid w:val="00043389"/>
    <w:rsid w:val="000451E3"/>
    <w:rsid w:val="00045E26"/>
    <w:rsid w:val="000514B5"/>
    <w:rsid w:val="00054699"/>
    <w:rsid w:val="00057F74"/>
    <w:rsid w:val="00060E64"/>
    <w:rsid w:val="00062437"/>
    <w:rsid w:val="00064151"/>
    <w:rsid w:val="0007039A"/>
    <w:rsid w:val="0007047A"/>
    <w:rsid w:val="00081903"/>
    <w:rsid w:val="00081F9F"/>
    <w:rsid w:val="00084B4B"/>
    <w:rsid w:val="000969AD"/>
    <w:rsid w:val="000A2659"/>
    <w:rsid w:val="000A2ADD"/>
    <w:rsid w:val="000A43DE"/>
    <w:rsid w:val="000B558D"/>
    <w:rsid w:val="000B7181"/>
    <w:rsid w:val="000B7CA6"/>
    <w:rsid w:val="000C6996"/>
    <w:rsid w:val="000D23BA"/>
    <w:rsid w:val="000D4884"/>
    <w:rsid w:val="000D4EC7"/>
    <w:rsid w:val="000E1D3A"/>
    <w:rsid w:val="000E681E"/>
    <w:rsid w:val="000F0D78"/>
    <w:rsid w:val="000F2DC6"/>
    <w:rsid w:val="000F4E6A"/>
    <w:rsid w:val="00101019"/>
    <w:rsid w:val="00101D13"/>
    <w:rsid w:val="001107BF"/>
    <w:rsid w:val="00110EA9"/>
    <w:rsid w:val="00112E95"/>
    <w:rsid w:val="00116AAC"/>
    <w:rsid w:val="00120809"/>
    <w:rsid w:val="00121435"/>
    <w:rsid w:val="00121A29"/>
    <w:rsid w:val="0012417C"/>
    <w:rsid w:val="00132DAC"/>
    <w:rsid w:val="001349BA"/>
    <w:rsid w:val="0013659F"/>
    <w:rsid w:val="00137CBC"/>
    <w:rsid w:val="00142395"/>
    <w:rsid w:val="00142714"/>
    <w:rsid w:val="00145179"/>
    <w:rsid w:val="001452ED"/>
    <w:rsid w:val="001624DD"/>
    <w:rsid w:val="00175F05"/>
    <w:rsid w:val="00177A5C"/>
    <w:rsid w:val="00182D29"/>
    <w:rsid w:val="001830CE"/>
    <w:rsid w:val="00187394"/>
    <w:rsid w:val="00196307"/>
    <w:rsid w:val="00197EED"/>
    <w:rsid w:val="001A2FCC"/>
    <w:rsid w:val="001A3E95"/>
    <w:rsid w:val="001A7A0A"/>
    <w:rsid w:val="001B017F"/>
    <w:rsid w:val="001B5129"/>
    <w:rsid w:val="001C1195"/>
    <w:rsid w:val="001E37DB"/>
    <w:rsid w:val="001E5804"/>
    <w:rsid w:val="001F33F3"/>
    <w:rsid w:val="00212A31"/>
    <w:rsid w:val="00231A7D"/>
    <w:rsid w:val="002331C9"/>
    <w:rsid w:val="00240305"/>
    <w:rsid w:val="00245CFC"/>
    <w:rsid w:val="00253C88"/>
    <w:rsid w:val="00254D66"/>
    <w:rsid w:val="00256147"/>
    <w:rsid w:val="00265B15"/>
    <w:rsid w:val="00271BA1"/>
    <w:rsid w:val="00277505"/>
    <w:rsid w:val="00280FCB"/>
    <w:rsid w:val="00281831"/>
    <w:rsid w:val="002820A3"/>
    <w:rsid w:val="00282ECC"/>
    <w:rsid w:val="00292752"/>
    <w:rsid w:val="0029458F"/>
    <w:rsid w:val="002A4960"/>
    <w:rsid w:val="002B1AE6"/>
    <w:rsid w:val="002B1B93"/>
    <w:rsid w:val="002B30F8"/>
    <w:rsid w:val="002B3F31"/>
    <w:rsid w:val="002C212F"/>
    <w:rsid w:val="002D1D3C"/>
    <w:rsid w:val="002D2D24"/>
    <w:rsid w:val="002E499A"/>
    <w:rsid w:val="002F10DE"/>
    <w:rsid w:val="003176B3"/>
    <w:rsid w:val="00317F95"/>
    <w:rsid w:val="003266CF"/>
    <w:rsid w:val="00326E79"/>
    <w:rsid w:val="003367EF"/>
    <w:rsid w:val="00341AE4"/>
    <w:rsid w:val="00343043"/>
    <w:rsid w:val="00370338"/>
    <w:rsid w:val="003709E0"/>
    <w:rsid w:val="00370A80"/>
    <w:rsid w:val="00371564"/>
    <w:rsid w:val="003813A3"/>
    <w:rsid w:val="00394947"/>
    <w:rsid w:val="003A5B4A"/>
    <w:rsid w:val="003B23C5"/>
    <w:rsid w:val="003B2A75"/>
    <w:rsid w:val="003C0F1F"/>
    <w:rsid w:val="003C5C77"/>
    <w:rsid w:val="003C6DF0"/>
    <w:rsid w:val="003C73CB"/>
    <w:rsid w:val="003D4AC4"/>
    <w:rsid w:val="003D63B7"/>
    <w:rsid w:val="003E12C3"/>
    <w:rsid w:val="003E3738"/>
    <w:rsid w:val="003E468B"/>
    <w:rsid w:val="003E54CD"/>
    <w:rsid w:val="003F1CE8"/>
    <w:rsid w:val="003F5C8C"/>
    <w:rsid w:val="00406400"/>
    <w:rsid w:val="00407F40"/>
    <w:rsid w:val="0041564E"/>
    <w:rsid w:val="00424524"/>
    <w:rsid w:val="004328E1"/>
    <w:rsid w:val="00434048"/>
    <w:rsid w:val="00437C0D"/>
    <w:rsid w:val="00466ADA"/>
    <w:rsid w:val="004677ED"/>
    <w:rsid w:val="00473DA5"/>
    <w:rsid w:val="004948F4"/>
    <w:rsid w:val="004A346A"/>
    <w:rsid w:val="004B0DDF"/>
    <w:rsid w:val="004B5163"/>
    <w:rsid w:val="004B5640"/>
    <w:rsid w:val="004B6357"/>
    <w:rsid w:val="004C1BD7"/>
    <w:rsid w:val="004C691D"/>
    <w:rsid w:val="004D48C1"/>
    <w:rsid w:val="004E1476"/>
    <w:rsid w:val="004E1BBC"/>
    <w:rsid w:val="004E692D"/>
    <w:rsid w:val="004F7C8F"/>
    <w:rsid w:val="005038A7"/>
    <w:rsid w:val="00503CD6"/>
    <w:rsid w:val="00512C96"/>
    <w:rsid w:val="00514CD7"/>
    <w:rsid w:val="0051591E"/>
    <w:rsid w:val="00526762"/>
    <w:rsid w:val="005268B3"/>
    <w:rsid w:val="005320C2"/>
    <w:rsid w:val="00534E2E"/>
    <w:rsid w:val="00536C1C"/>
    <w:rsid w:val="005376CA"/>
    <w:rsid w:val="00542F7C"/>
    <w:rsid w:val="00543A0A"/>
    <w:rsid w:val="00544552"/>
    <w:rsid w:val="00552924"/>
    <w:rsid w:val="00555611"/>
    <w:rsid w:val="0056128D"/>
    <w:rsid w:val="00563202"/>
    <w:rsid w:val="0056382A"/>
    <w:rsid w:val="00571E48"/>
    <w:rsid w:val="00575DAD"/>
    <w:rsid w:val="00581932"/>
    <w:rsid w:val="00586861"/>
    <w:rsid w:val="0059303E"/>
    <w:rsid w:val="005A3173"/>
    <w:rsid w:val="005A3223"/>
    <w:rsid w:val="005A3DA3"/>
    <w:rsid w:val="005A52C4"/>
    <w:rsid w:val="005C1E01"/>
    <w:rsid w:val="005D03AB"/>
    <w:rsid w:val="005D0AAF"/>
    <w:rsid w:val="005D0E30"/>
    <w:rsid w:val="005D2641"/>
    <w:rsid w:val="005D5017"/>
    <w:rsid w:val="005E344F"/>
    <w:rsid w:val="005F472C"/>
    <w:rsid w:val="00601A91"/>
    <w:rsid w:val="00602BA3"/>
    <w:rsid w:val="00614159"/>
    <w:rsid w:val="00617C00"/>
    <w:rsid w:val="00621A46"/>
    <w:rsid w:val="00624473"/>
    <w:rsid w:val="00624A3F"/>
    <w:rsid w:val="006263BF"/>
    <w:rsid w:val="00630A2C"/>
    <w:rsid w:val="00631139"/>
    <w:rsid w:val="00651169"/>
    <w:rsid w:val="00652C4F"/>
    <w:rsid w:val="00653D69"/>
    <w:rsid w:val="006561D1"/>
    <w:rsid w:val="00657940"/>
    <w:rsid w:val="00661D79"/>
    <w:rsid w:val="00662585"/>
    <w:rsid w:val="00662760"/>
    <w:rsid w:val="00670A76"/>
    <w:rsid w:val="006711AA"/>
    <w:rsid w:val="006718D5"/>
    <w:rsid w:val="00675622"/>
    <w:rsid w:val="006906DB"/>
    <w:rsid w:val="006945CD"/>
    <w:rsid w:val="006A12A5"/>
    <w:rsid w:val="006A2C26"/>
    <w:rsid w:val="006B0D94"/>
    <w:rsid w:val="006B485D"/>
    <w:rsid w:val="006B4DA3"/>
    <w:rsid w:val="006C21B8"/>
    <w:rsid w:val="006D0A94"/>
    <w:rsid w:val="006D6EC7"/>
    <w:rsid w:val="006D6ED3"/>
    <w:rsid w:val="006E1310"/>
    <w:rsid w:val="006E16D0"/>
    <w:rsid w:val="006E194A"/>
    <w:rsid w:val="006E7876"/>
    <w:rsid w:val="006F5125"/>
    <w:rsid w:val="006F7089"/>
    <w:rsid w:val="00707A4D"/>
    <w:rsid w:val="00715203"/>
    <w:rsid w:val="007174BB"/>
    <w:rsid w:val="00717525"/>
    <w:rsid w:val="007238DE"/>
    <w:rsid w:val="00735EF1"/>
    <w:rsid w:val="007646F6"/>
    <w:rsid w:val="007739EE"/>
    <w:rsid w:val="00774169"/>
    <w:rsid w:val="007753C2"/>
    <w:rsid w:val="007838B8"/>
    <w:rsid w:val="00784E39"/>
    <w:rsid w:val="0079012D"/>
    <w:rsid w:val="00790705"/>
    <w:rsid w:val="00794639"/>
    <w:rsid w:val="007B55AA"/>
    <w:rsid w:val="007C042F"/>
    <w:rsid w:val="007C0F57"/>
    <w:rsid w:val="007C2F33"/>
    <w:rsid w:val="007C3CB8"/>
    <w:rsid w:val="007C40B6"/>
    <w:rsid w:val="007C729F"/>
    <w:rsid w:val="007D2122"/>
    <w:rsid w:val="007E1D28"/>
    <w:rsid w:val="007E7548"/>
    <w:rsid w:val="007F2641"/>
    <w:rsid w:val="007F3FA0"/>
    <w:rsid w:val="007F5C5C"/>
    <w:rsid w:val="00806796"/>
    <w:rsid w:val="00806A57"/>
    <w:rsid w:val="008173F3"/>
    <w:rsid w:val="008253AA"/>
    <w:rsid w:val="008270AC"/>
    <w:rsid w:val="00842F37"/>
    <w:rsid w:val="0084562A"/>
    <w:rsid w:val="008458CE"/>
    <w:rsid w:val="0085092E"/>
    <w:rsid w:val="00855A73"/>
    <w:rsid w:val="00863E68"/>
    <w:rsid w:val="00875715"/>
    <w:rsid w:val="00880C3B"/>
    <w:rsid w:val="00882085"/>
    <w:rsid w:val="00882D79"/>
    <w:rsid w:val="00883188"/>
    <w:rsid w:val="00891194"/>
    <w:rsid w:val="00892C2D"/>
    <w:rsid w:val="00897B31"/>
    <w:rsid w:val="00897D58"/>
    <w:rsid w:val="008A0AF4"/>
    <w:rsid w:val="008A4937"/>
    <w:rsid w:val="008A683E"/>
    <w:rsid w:val="008A7736"/>
    <w:rsid w:val="008B3204"/>
    <w:rsid w:val="008B4CF3"/>
    <w:rsid w:val="008C2552"/>
    <w:rsid w:val="008D0534"/>
    <w:rsid w:val="008D3C82"/>
    <w:rsid w:val="008D447E"/>
    <w:rsid w:val="008E0249"/>
    <w:rsid w:val="008E08EC"/>
    <w:rsid w:val="008E3680"/>
    <w:rsid w:val="008E5870"/>
    <w:rsid w:val="008F1434"/>
    <w:rsid w:val="008F7355"/>
    <w:rsid w:val="009011FE"/>
    <w:rsid w:val="009057AB"/>
    <w:rsid w:val="0091133A"/>
    <w:rsid w:val="00911D3D"/>
    <w:rsid w:val="00916C80"/>
    <w:rsid w:val="009265CB"/>
    <w:rsid w:val="00930937"/>
    <w:rsid w:val="00932CA9"/>
    <w:rsid w:val="00942160"/>
    <w:rsid w:val="009533AA"/>
    <w:rsid w:val="009602C5"/>
    <w:rsid w:val="00962027"/>
    <w:rsid w:val="00962815"/>
    <w:rsid w:val="009631CB"/>
    <w:rsid w:val="00967C3D"/>
    <w:rsid w:val="00974C21"/>
    <w:rsid w:val="0097514E"/>
    <w:rsid w:val="00983C54"/>
    <w:rsid w:val="0098531D"/>
    <w:rsid w:val="00991BAA"/>
    <w:rsid w:val="009A51F0"/>
    <w:rsid w:val="009B4319"/>
    <w:rsid w:val="009C28AD"/>
    <w:rsid w:val="009C52CA"/>
    <w:rsid w:val="009C5C89"/>
    <w:rsid w:val="009C703C"/>
    <w:rsid w:val="009D3CAA"/>
    <w:rsid w:val="009D7E62"/>
    <w:rsid w:val="009F5B65"/>
    <w:rsid w:val="00A03AF9"/>
    <w:rsid w:val="00A06225"/>
    <w:rsid w:val="00A216A1"/>
    <w:rsid w:val="00A37222"/>
    <w:rsid w:val="00A37AD1"/>
    <w:rsid w:val="00A37C8D"/>
    <w:rsid w:val="00A445E1"/>
    <w:rsid w:val="00A45F8B"/>
    <w:rsid w:val="00A5273B"/>
    <w:rsid w:val="00A53A9D"/>
    <w:rsid w:val="00A62C1A"/>
    <w:rsid w:val="00A6426D"/>
    <w:rsid w:val="00A70622"/>
    <w:rsid w:val="00A70977"/>
    <w:rsid w:val="00A8111F"/>
    <w:rsid w:val="00A8390C"/>
    <w:rsid w:val="00A909BE"/>
    <w:rsid w:val="00A917D4"/>
    <w:rsid w:val="00A938DF"/>
    <w:rsid w:val="00A95255"/>
    <w:rsid w:val="00AA1B62"/>
    <w:rsid w:val="00AA4D1C"/>
    <w:rsid w:val="00AA52E2"/>
    <w:rsid w:val="00AB6D56"/>
    <w:rsid w:val="00AC5206"/>
    <w:rsid w:val="00AC6730"/>
    <w:rsid w:val="00AC6EBF"/>
    <w:rsid w:val="00AE082A"/>
    <w:rsid w:val="00AE11A5"/>
    <w:rsid w:val="00AF68CC"/>
    <w:rsid w:val="00B02266"/>
    <w:rsid w:val="00B04113"/>
    <w:rsid w:val="00B0529E"/>
    <w:rsid w:val="00B072DB"/>
    <w:rsid w:val="00B17301"/>
    <w:rsid w:val="00B205AA"/>
    <w:rsid w:val="00B244B4"/>
    <w:rsid w:val="00B25F75"/>
    <w:rsid w:val="00B270F1"/>
    <w:rsid w:val="00B27B75"/>
    <w:rsid w:val="00B30807"/>
    <w:rsid w:val="00B40F7C"/>
    <w:rsid w:val="00B432CB"/>
    <w:rsid w:val="00B43E90"/>
    <w:rsid w:val="00B56118"/>
    <w:rsid w:val="00B60CFF"/>
    <w:rsid w:val="00B6534A"/>
    <w:rsid w:val="00B85146"/>
    <w:rsid w:val="00B95A9F"/>
    <w:rsid w:val="00BA401B"/>
    <w:rsid w:val="00BA570F"/>
    <w:rsid w:val="00BB69F5"/>
    <w:rsid w:val="00BB7EC3"/>
    <w:rsid w:val="00BC1F32"/>
    <w:rsid w:val="00BC2833"/>
    <w:rsid w:val="00BC4B9A"/>
    <w:rsid w:val="00BF4000"/>
    <w:rsid w:val="00BF4486"/>
    <w:rsid w:val="00BF4CB6"/>
    <w:rsid w:val="00C07C20"/>
    <w:rsid w:val="00C12768"/>
    <w:rsid w:val="00C12CFC"/>
    <w:rsid w:val="00C14C05"/>
    <w:rsid w:val="00C26896"/>
    <w:rsid w:val="00C31157"/>
    <w:rsid w:val="00C31396"/>
    <w:rsid w:val="00C32671"/>
    <w:rsid w:val="00C33420"/>
    <w:rsid w:val="00C35996"/>
    <w:rsid w:val="00C46718"/>
    <w:rsid w:val="00C5342C"/>
    <w:rsid w:val="00C53CDA"/>
    <w:rsid w:val="00C60664"/>
    <w:rsid w:val="00C6256A"/>
    <w:rsid w:val="00C91449"/>
    <w:rsid w:val="00C92D10"/>
    <w:rsid w:val="00CA79D1"/>
    <w:rsid w:val="00CB1E4C"/>
    <w:rsid w:val="00CC3EC8"/>
    <w:rsid w:val="00CD1B36"/>
    <w:rsid w:val="00CD34D7"/>
    <w:rsid w:val="00CE10C4"/>
    <w:rsid w:val="00CE27B5"/>
    <w:rsid w:val="00CE4A64"/>
    <w:rsid w:val="00CE5A4C"/>
    <w:rsid w:val="00CF319C"/>
    <w:rsid w:val="00D00E2C"/>
    <w:rsid w:val="00D0321E"/>
    <w:rsid w:val="00D0336C"/>
    <w:rsid w:val="00D03D7C"/>
    <w:rsid w:val="00D108BE"/>
    <w:rsid w:val="00D11586"/>
    <w:rsid w:val="00D16494"/>
    <w:rsid w:val="00D20C73"/>
    <w:rsid w:val="00D21DEC"/>
    <w:rsid w:val="00D3280C"/>
    <w:rsid w:val="00D3406A"/>
    <w:rsid w:val="00D469B2"/>
    <w:rsid w:val="00D53D10"/>
    <w:rsid w:val="00D63190"/>
    <w:rsid w:val="00D63C5A"/>
    <w:rsid w:val="00D72D19"/>
    <w:rsid w:val="00D73A55"/>
    <w:rsid w:val="00D741EB"/>
    <w:rsid w:val="00D8173F"/>
    <w:rsid w:val="00D8371A"/>
    <w:rsid w:val="00D91271"/>
    <w:rsid w:val="00D9628F"/>
    <w:rsid w:val="00D964D5"/>
    <w:rsid w:val="00DA1465"/>
    <w:rsid w:val="00DA3424"/>
    <w:rsid w:val="00DA4BAC"/>
    <w:rsid w:val="00DB3105"/>
    <w:rsid w:val="00DC1D65"/>
    <w:rsid w:val="00DC469B"/>
    <w:rsid w:val="00DD632C"/>
    <w:rsid w:val="00DE1002"/>
    <w:rsid w:val="00DE6D27"/>
    <w:rsid w:val="00DF217D"/>
    <w:rsid w:val="00DF26A7"/>
    <w:rsid w:val="00DF51E4"/>
    <w:rsid w:val="00DF69B5"/>
    <w:rsid w:val="00DF6B7F"/>
    <w:rsid w:val="00E0545C"/>
    <w:rsid w:val="00E06107"/>
    <w:rsid w:val="00E120E2"/>
    <w:rsid w:val="00E14FD9"/>
    <w:rsid w:val="00E16910"/>
    <w:rsid w:val="00E2441E"/>
    <w:rsid w:val="00E309A6"/>
    <w:rsid w:val="00E31A26"/>
    <w:rsid w:val="00E3363C"/>
    <w:rsid w:val="00E36168"/>
    <w:rsid w:val="00E42966"/>
    <w:rsid w:val="00E5155A"/>
    <w:rsid w:val="00E56E31"/>
    <w:rsid w:val="00E63264"/>
    <w:rsid w:val="00E65E54"/>
    <w:rsid w:val="00E75078"/>
    <w:rsid w:val="00E80155"/>
    <w:rsid w:val="00E837AD"/>
    <w:rsid w:val="00E848C0"/>
    <w:rsid w:val="00E91B96"/>
    <w:rsid w:val="00E941A1"/>
    <w:rsid w:val="00E955FD"/>
    <w:rsid w:val="00E95CE3"/>
    <w:rsid w:val="00EA2825"/>
    <w:rsid w:val="00EB1642"/>
    <w:rsid w:val="00EB4337"/>
    <w:rsid w:val="00EB5088"/>
    <w:rsid w:val="00EC29E3"/>
    <w:rsid w:val="00ED15BD"/>
    <w:rsid w:val="00ED1644"/>
    <w:rsid w:val="00ED4C18"/>
    <w:rsid w:val="00EF34E0"/>
    <w:rsid w:val="00EF4147"/>
    <w:rsid w:val="00F050BD"/>
    <w:rsid w:val="00F05657"/>
    <w:rsid w:val="00F05C83"/>
    <w:rsid w:val="00F17CFC"/>
    <w:rsid w:val="00F25578"/>
    <w:rsid w:val="00F258E5"/>
    <w:rsid w:val="00F300BC"/>
    <w:rsid w:val="00F3334E"/>
    <w:rsid w:val="00F4133C"/>
    <w:rsid w:val="00F4415A"/>
    <w:rsid w:val="00F50EC4"/>
    <w:rsid w:val="00F57A6D"/>
    <w:rsid w:val="00F638CC"/>
    <w:rsid w:val="00F65EF3"/>
    <w:rsid w:val="00F737C1"/>
    <w:rsid w:val="00F76CE9"/>
    <w:rsid w:val="00F8247A"/>
    <w:rsid w:val="00F85932"/>
    <w:rsid w:val="00F94A15"/>
    <w:rsid w:val="00FA0560"/>
    <w:rsid w:val="00FA2C18"/>
    <w:rsid w:val="00FA5883"/>
    <w:rsid w:val="00FA6055"/>
    <w:rsid w:val="00FA6C51"/>
    <w:rsid w:val="00FB2B02"/>
    <w:rsid w:val="00FB322F"/>
    <w:rsid w:val="00FB442F"/>
    <w:rsid w:val="00FC1929"/>
    <w:rsid w:val="00FC5B46"/>
    <w:rsid w:val="00FC5C3B"/>
    <w:rsid w:val="00FD35A3"/>
    <w:rsid w:val="00FD647E"/>
    <w:rsid w:val="00FE38D1"/>
    <w:rsid w:val="00FE4B79"/>
    <w:rsid w:val="00FF0E40"/>
    <w:rsid w:val="00FF1ED4"/>
    <w:rsid w:val="00FF2EF9"/>
    <w:rsid w:val="00FF3E65"/>
    <w:rsid w:val="00FF5FD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D73A55"/>
    <w:rPr>
      <w:rFonts w:ascii="Arial" w:hAnsi="Arial"/>
      <w:sz w:val="22"/>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unhideWhenUsed/>
    <w:qFormat/>
    <w:rsid w:val="00F05C8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sz w:val="20"/>
      <w:szCs w:val="20"/>
      <w:lang w:eastAsia="en-US"/>
    </w:rPr>
  </w:style>
  <w:style w:type="paragraph" w:styleId="BodyText2">
    <w:name w:val="Body Text 2"/>
    <w:basedOn w:val="Normal"/>
    <w:link w:val="BodyText2Char"/>
    <w:pPr>
      <w:widowControl w:val="0"/>
      <w:jc w:val="both"/>
    </w:pPr>
    <w:rPr>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paragraph" w:customStyle="1" w:styleId="TableText0">
    <w:name w:val="TableText"/>
    <w:basedOn w:val="Normal"/>
    <w:rsid w:val="009057AB"/>
    <w:pPr>
      <w:keepNext/>
      <w:spacing w:before="40" w:after="40"/>
    </w:pPr>
    <w:rPr>
      <w:rFonts w:ascii="Arial Narrow" w:hAnsi="Arial Narrow" w:cs="Arial Narrow"/>
      <w:sz w:val="20"/>
      <w:szCs w:val="20"/>
      <w:lang w:eastAsia="en-US"/>
    </w:rPr>
  </w:style>
  <w:style w:type="paragraph" w:customStyle="1" w:styleId="TableFooter">
    <w:name w:val="Table Footer"/>
    <w:basedOn w:val="Normal"/>
    <w:link w:val="TableFooterChar"/>
    <w:qFormat/>
    <w:rsid w:val="009057AB"/>
    <w:pPr>
      <w:widowControl w:val="0"/>
      <w:jc w:val="both"/>
    </w:pPr>
    <w:rPr>
      <w:rFonts w:ascii="Arial Narrow" w:hAnsi="Arial Narrow" w:cs="Arial"/>
      <w:snapToGrid w:val="0"/>
      <w:sz w:val="18"/>
      <w:szCs w:val="20"/>
      <w:lang w:eastAsia="en-US"/>
    </w:rPr>
  </w:style>
  <w:style w:type="character" w:customStyle="1" w:styleId="TableFooterChar">
    <w:name w:val="Table Footer Char"/>
    <w:link w:val="TableFooter"/>
    <w:rsid w:val="009057AB"/>
    <w:rPr>
      <w:rFonts w:ascii="Arial Narrow" w:hAnsi="Arial Narrow" w:cs="Arial"/>
      <w:snapToGrid w:val="0"/>
      <w:sz w:val="18"/>
      <w:lang w:eastAsia="en-US"/>
    </w:rPr>
  </w:style>
  <w:style w:type="character" w:customStyle="1" w:styleId="Heading3Char">
    <w:name w:val="Heading 3 Char"/>
    <w:basedOn w:val="DefaultParagraphFont"/>
    <w:link w:val="Heading3"/>
    <w:rsid w:val="00F05C8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nhideWhenUsed/>
    <w:rsid w:val="00F05C83"/>
    <w:pPr>
      <w:widowControl w:val="0"/>
      <w:jc w:val="both"/>
    </w:pPr>
    <w:rPr>
      <w:rFonts w:cs="Arial"/>
      <w:snapToGrid w:val="0"/>
      <w:sz w:val="20"/>
      <w:szCs w:val="20"/>
      <w:lang w:eastAsia="en-US"/>
    </w:rPr>
  </w:style>
  <w:style w:type="character" w:customStyle="1" w:styleId="FootnoteTextChar">
    <w:name w:val="Footnote Text Char"/>
    <w:basedOn w:val="DefaultParagraphFont"/>
    <w:link w:val="FootnoteText"/>
    <w:rsid w:val="00F05C83"/>
    <w:rPr>
      <w:rFonts w:ascii="Arial" w:hAnsi="Arial" w:cs="Arial"/>
      <w:snapToGrid w:val="0"/>
      <w:lang w:eastAsia="en-US"/>
    </w:rPr>
  </w:style>
  <w:style w:type="character" w:styleId="FootnoteReference">
    <w:name w:val="footnote reference"/>
    <w:basedOn w:val="DefaultParagraphFont"/>
    <w:unhideWhenUsed/>
    <w:rsid w:val="00F05C83"/>
    <w:rPr>
      <w:vertAlign w:val="superscript"/>
    </w:rPr>
  </w:style>
  <w:style w:type="paragraph" w:styleId="BodyText">
    <w:name w:val="Body Text"/>
    <w:basedOn w:val="Normal"/>
    <w:link w:val="BodyTextChar"/>
    <w:rsid w:val="000E1D3A"/>
    <w:pPr>
      <w:spacing w:after="120"/>
    </w:pPr>
  </w:style>
  <w:style w:type="character" w:customStyle="1" w:styleId="BodyTextChar">
    <w:name w:val="Body Text Char"/>
    <w:basedOn w:val="DefaultParagraphFont"/>
    <w:link w:val="BodyText"/>
    <w:rsid w:val="000E1D3A"/>
    <w:rPr>
      <w:sz w:val="24"/>
      <w:szCs w:val="24"/>
    </w:rPr>
  </w:style>
  <w:style w:type="paragraph" w:customStyle="1" w:styleId="TableLeft">
    <w:name w:val="Table Left"/>
    <w:basedOn w:val="Normal"/>
    <w:link w:val="TableLeftChar"/>
    <w:uiPriority w:val="5"/>
    <w:qFormat/>
    <w:rsid w:val="008B4CF3"/>
    <w:rPr>
      <w:rFonts w:ascii="Calibri" w:eastAsia="MS Gothic" w:hAnsi="Calibri"/>
      <w:sz w:val="20"/>
      <w:szCs w:val="20"/>
      <w:lang w:eastAsia="en-US"/>
    </w:rPr>
  </w:style>
  <w:style w:type="character" w:customStyle="1" w:styleId="TableLeftChar">
    <w:name w:val="Table Left Char"/>
    <w:link w:val="TableLeft"/>
    <w:uiPriority w:val="5"/>
    <w:rsid w:val="008B4CF3"/>
    <w:rPr>
      <w:rFonts w:ascii="Calibri" w:eastAsia="MS Gothic" w:hAnsi="Calibri"/>
      <w:lang w:eastAsia="en-US"/>
    </w:rPr>
  </w:style>
  <w:style w:type="character" w:customStyle="1" w:styleId="TableText1">
    <w:name w:val="Table Text"/>
    <w:uiPriority w:val="4"/>
    <w:qFormat/>
    <w:rsid w:val="008B4CF3"/>
    <w:rPr>
      <w:rFonts w:ascii="Calibri" w:hAnsi="Calibri"/>
      <w:sz w:val="20"/>
    </w:rPr>
  </w:style>
  <w:style w:type="character" w:styleId="Hyperlink">
    <w:name w:val="Hyperlink"/>
    <w:basedOn w:val="DefaultParagraphFont"/>
    <w:rsid w:val="00F737C1"/>
    <w:rPr>
      <w:color w:val="0000FF" w:themeColor="hyperlink"/>
      <w:u w:val="single"/>
    </w:rPr>
  </w:style>
  <w:style w:type="paragraph" w:customStyle="1" w:styleId="Table">
    <w:name w:val="Table"/>
    <w:basedOn w:val="Normal"/>
    <w:qFormat/>
    <w:rsid w:val="00AA1B62"/>
    <w:pPr>
      <w:spacing w:line="276" w:lineRule="auto"/>
    </w:pPr>
    <w:rPr>
      <w:rFonts w:ascii="Calibri" w:eastAsia="MS Gothic" w:hAnsi="Calibri"/>
      <w:sz w:val="20"/>
      <w:szCs w:val="22"/>
      <w:lang w:eastAsia="en-US" w:bidi="en-US"/>
    </w:rPr>
  </w:style>
  <w:style w:type="character" w:customStyle="1" w:styleId="st1">
    <w:name w:val="st1"/>
    <w:basedOn w:val="DefaultParagraphFont"/>
    <w:rsid w:val="005E344F"/>
  </w:style>
  <w:style w:type="character" w:styleId="Emphasis">
    <w:name w:val="Emphasis"/>
    <w:basedOn w:val="DefaultParagraphFont"/>
    <w:qFormat/>
    <w:rsid w:val="00662760"/>
    <w:rPr>
      <w:i/>
      <w:iCs/>
    </w:rPr>
  </w:style>
  <w:style w:type="character" w:customStyle="1" w:styleId="Small">
    <w:name w:val="Small"/>
    <w:basedOn w:val="DefaultParagraphFont"/>
    <w:uiPriority w:val="4"/>
    <w:qFormat/>
    <w:rsid w:val="000D4EC7"/>
    <w:rPr>
      <w:rFonts w:ascii="Calibri" w:hAnsi="Calibr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D73A55"/>
    <w:rPr>
      <w:rFonts w:ascii="Arial" w:hAnsi="Arial"/>
      <w:sz w:val="22"/>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unhideWhenUsed/>
    <w:qFormat/>
    <w:rsid w:val="00F05C8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sz w:val="20"/>
      <w:szCs w:val="20"/>
      <w:lang w:eastAsia="en-US"/>
    </w:rPr>
  </w:style>
  <w:style w:type="paragraph" w:styleId="BodyText2">
    <w:name w:val="Body Text 2"/>
    <w:basedOn w:val="Normal"/>
    <w:link w:val="BodyText2Char"/>
    <w:pPr>
      <w:widowControl w:val="0"/>
      <w:jc w:val="both"/>
    </w:pPr>
    <w:rPr>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paragraph" w:customStyle="1" w:styleId="TableText0">
    <w:name w:val="TableText"/>
    <w:basedOn w:val="Normal"/>
    <w:rsid w:val="009057AB"/>
    <w:pPr>
      <w:keepNext/>
      <w:spacing w:before="40" w:after="40"/>
    </w:pPr>
    <w:rPr>
      <w:rFonts w:ascii="Arial Narrow" w:hAnsi="Arial Narrow" w:cs="Arial Narrow"/>
      <w:sz w:val="20"/>
      <w:szCs w:val="20"/>
      <w:lang w:eastAsia="en-US"/>
    </w:rPr>
  </w:style>
  <w:style w:type="paragraph" w:customStyle="1" w:styleId="TableFooter">
    <w:name w:val="Table Footer"/>
    <w:basedOn w:val="Normal"/>
    <w:link w:val="TableFooterChar"/>
    <w:qFormat/>
    <w:rsid w:val="009057AB"/>
    <w:pPr>
      <w:widowControl w:val="0"/>
      <w:jc w:val="both"/>
    </w:pPr>
    <w:rPr>
      <w:rFonts w:ascii="Arial Narrow" w:hAnsi="Arial Narrow" w:cs="Arial"/>
      <w:snapToGrid w:val="0"/>
      <w:sz w:val="18"/>
      <w:szCs w:val="20"/>
      <w:lang w:eastAsia="en-US"/>
    </w:rPr>
  </w:style>
  <w:style w:type="character" w:customStyle="1" w:styleId="TableFooterChar">
    <w:name w:val="Table Footer Char"/>
    <w:link w:val="TableFooter"/>
    <w:rsid w:val="009057AB"/>
    <w:rPr>
      <w:rFonts w:ascii="Arial Narrow" w:hAnsi="Arial Narrow" w:cs="Arial"/>
      <w:snapToGrid w:val="0"/>
      <w:sz w:val="18"/>
      <w:lang w:eastAsia="en-US"/>
    </w:rPr>
  </w:style>
  <w:style w:type="character" w:customStyle="1" w:styleId="Heading3Char">
    <w:name w:val="Heading 3 Char"/>
    <w:basedOn w:val="DefaultParagraphFont"/>
    <w:link w:val="Heading3"/>
    <w:rsid w:val="00F05C8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nhideWhenUsed/>
    <w:rsid w:val="00F05C83"/>
    <w:pPr>
      <w:widowControl w:val="0"/>
      <w:jc w:val="both"/>
    </w:pPr>
    <w:rPr>
      <w:rFonts w:cs="Arial"/>
      <w:snapToGrid w:val="0"/>
      <w:sz w:val="20"/>
      <w:szCs w:val="20"/>
      <w:lang w:eastAsia="en-US"/>
    </w:rPr>
  </w:style>
  <w:style w:type="character" w:customStyle="1" w:styleId="FootnoteTextChar">
    <w:name w:val="Footnote Text Char"/>
    <w:basedOn w:val="DefaultParagraphFont"/>
    <w:link w:val="FootnoteText"/>
    <w:rsid w:val="00F05C83"/>
    <w:rPr>
      <w:rFonts w:ascii="Arial" w:hAnsi="Arial" w:cs="Arial"/>
      <w:snapToGrid w:val="0"/>
      <w:lang w:eastAsia="en-US"/>
    </w:rPr>
  </w:style>
  <w:style w:type="character" w:styleId="FootnoteReference">
    <w:name w:val="footnote reference"/>
    <w:basedOn w:val="DefaultParagraphFont"/>
    <w:unhideWhenUsed/>
    <w:rsid w:val="00F05C83"/>
    <w:rPr>
      <w:vertAlign w:val="superscript"/>
    </w:rPr>
  </w:style>
  <w:style w:type="paragraph" w:styleId="BodyText">
    <w:name w:val="Body Text"/>
    <w:basedOn w:val="Normal"/>
    <w:link w:val="BodyTextChar"/>
    <w:rsid w:val="000E1D3A"/>
    <w:pPr>
      <w:spacing w:after="120"/>
    </w:pPr>
  </w:style>
  <w:style w:type="character" w:customStyle="1" w:styleId="BodyTextChar">
    <w:name w:val="Body Text Char"/>
    <w:basedOn w:val="DefaultParagraphFont"/>
    <w:link w:val="BodyText"/>
    <w:rsid w:val="000E1D3A"/>
    <w:rPr>
      <w:sz w:val="24"/>
      <w:szCs w:val="24"/>
    </w:rPr>
  </w:style>
  <w:style w:type="paragraph" w:customStyle="1" w:styleId="TableLeft">
    <w:name w:val="Table Left"/>
    <w:basedOn w:val="Normal"/>
    <w:link w:val="TableLeftChar"/>
    <w:uiPriority w:val="5"/>
    <w:qFormat/>
    <w:rsid w:val="008B4CF3"/>
    <w:rPr>
      <w:rFonts w:ascii="Calibri" w:eastAsia="MS Gothic" w:hAnsi="Calibri"/>
      <w:sz w:val="20"/>
      <w:szCs w:val="20"/>
      <w:lang w:eastAsia="en-US"/>
    </w:rPr>
  </w:style>
  <w:style w:type="character" w:customStyle="1" w:styleId="TableLeftChar">
    <w:name w:val="Table Left Char"/>
    <w:link w:val="TableLeft"/>
    <w:uiPriority w:val="5"/>
    <w:rsid w:val="008B4CF3"/>
    <w:rPr>
      <w:rFonts w:ascii="Calibri" w:eastAsia="MS Gothic" w:hAnsi="Calibri"/>
      <w:lang w:eastAsia="en-US"/>
    </w:rPr>
  </w:style>
  <w:style w:type="character" w:customStyle="1" w:styleId="TableText1">
    <w:name w:val="Table Text"/>
    <w:uiPriority w:val="4"/>
    <w:qFormat/>
    <w:rsid w:val="008B4CF3"/>
    <w:rPr>
      <w:rFonts w:ascii="Calibri" w:hAnsi="Calibri"/>
      <w:sz w:val="20"/>
    </w:rPr>
  </w:style>
  <w:style w:type="character" w:styleId="Hyperlink">
    <w:name w:val="Hyperlink"/>
    <w:basedOn w:val="DefaultParagraphFont"/>
    <w:rsid w:val="00F737C1"/>
    <w:rPr>
      <w:color w:val="0000FF" w:themeColor="hyperlink"/>
      <w:u w:val="single"/>
    </w:rPr>
  </w:style>
  <w:style w:type="paragraph" w:customStyle="1" w:styleId="Table">
    <w:name w:val="Table"/>
    <w:basedOn w:val="Normal"/>
    <w:qFormat/>
    <w:rsid w:val="00AA1B62"/>
    <w:pPr>
      <w:spacing w:line="276" w:lineRule="auto"/>
    </w:pPr>
    <w:rPr>
      <w:rFonts w:ascii="Calibri" w:eastAsia="MS Gothic" w:hAnsi="Calibri"/>
      <w:sz w:val="20"/>
      <w:szCs w:val="22"/>
      <w:lang w:eastAsia="en-US" w:bidi="en-US"/>
    </w:rPr>
  </w:style>
  <w:style w:type="character" w:customStyle="1" w:styleId="st1">
    <w:name w:val="st1"/>
    <w:basedOn w:val="DefaultParagraphFont"/>
    <w:rsid w:val="005E344F"/>
  </w:style>
  <w:style w:type="character" w:styleId="Emphasis">
    <w:name w:val="Emphasis"/>
    <w:basedOn w:val="DefaultParagraphFont"/>
    <w:qFormat/>
    <w:rsid w:val="00662760"/>
    <w:rPr>
      <w:i/>
      <w:iCs/>
    </w:rPr>
  </w:style>
  <w:style w:type="character" w:customStyle="1" w:styleId="Small">
    <w:name w:val="Small"/>
    <w:basedOn w:val="DefaultParagraphFont"/>
    <w:uiPriority w:val="4"/>
    <w:qFormat/>
    <w:rsid w:val="000D4EC7"/>
    <w:rPr>
      <w:rFonts w:ascii="Calibri" w:hAnsi="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49808">
      <w:bodyDiv w:val="1"/>
      <w:marLeft w:val="0"/>
      <w:marRight w:val="0"/>
      <w:marTop w:val="0"/>
      <w:marBottom w:val="0"/>
      <w:divBdr>
        <w:top w:val="none" w:sz="0" w:space="0" w:color="auto"/>
        <w:left w:val="none" w:sz="0" w:space="0" w:color="auto"/>
        <w:bottom w:val="none" w:sz="0" w:space="0" w:color="auto"/>
        <w:right w:val="none" w:sz="0" w:space="0" w:color="auto"/>
      </w:divBdr>
      <w:divsChild>
        <w:div w:id="275647281">
          <w:marLeft w:val="504"/>
          <w:marRight w:val="0"/>
          <w:marTop w:val="140"/>
          <w:marBottom w:val="0"/>
          <w:divBdr>
            <w:top w:val="none" w:sz="0" w:space="0" w:color="auto"/>
            <w:left w:val="none" w:sz="0" w:space="0" w:color="auto"/>
            <w:bottom w:val="none" w:sz="0" w:space="0" w:color="auto"/>
            <w:right w:val="none" w:sz="0" w:space="0" w:color="auto"/>
          </w:divBdr>
        </w:div>
        <w:div w:id="316228916">
          <w:marLeft w:val="1008"/>
          <w:marRight w:val="0"/>
          <w:marTop w:val="110"/>
          <w:marBottom w:val="0"/>
          <w:divBdr>
            <w:top w:val="none" w:sz="0" w:space="0" w:color="auto"/>
            <w:left w:val="none" w:sz="0" w:space="0" w:color="auto"/>
            <w:bottom w:val="none" w:sz="0" w:space="0" w:color="auto"/>
            <w:right w:val="none" w:sz="0" w:space="0" w:color="auto"/>
          </w:divBdr>
        </w:div>
      </w:divsChild>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41118344">
      <w:bodyDiv w:val="1"/>
      <w:marLeft w:val="0"/>
      <w:marRight w:val="0"/>
      <w:marTop w:val="0"/>
      <w:marBottom w:val="0"/>
      <w:divBdr>
        <w:top w:val="none" w:sz="0" w:space="0" w:color="auto"/>
        <w:left w:val="none" w:sz="0" w:space="0" w:color="auto"/>
        <w:bottom w:val="none" w:sz="0" w:space="0" w:color="auto"/>
        <w:right w:val="none" w:sz="0" w:space="0" w:color="auto"/>
      </w:divBdr>
      <w:divsChild>
        <w:div w:id="1765882307">
          <w:marLeft w:val="504"/>
          <w:marRight w:val="0"/>
          <w:marTop w:val="140"/>
          <w:marBottom w:val="0"/>
          <w:divBdr>
            <w:top w:val="none" w:sz="0" w:space="0" w:color="auto"/>
            <w:left w:val="none" w:sz="0" w:space="0" w:color="auto"/>
            <w:bottom w:val="none" w:sz="0" w:space="0" w:color="auto"/>
            <w:right w:val="none" w:sz="0" w:space="0" w:color="auto"/>
          </w:divBdr>
        </w:div>
      </w:divsChild>
    </w:div>
    <w:div w:id="237252726">
      <w:bodyDiv w:val="1"/>
      <w:marLeft w:val="0"/>
      <w:marRight w:val="0"/>
      <w:marTop w:val="0"/>
      <w:marBottom w:val="0"/>
      <w:divBdr>
        <w:top w:val="none" w:sz="0" w:space="0" w:color="auto"/>
        <w:left w:val="none" w:sz="0" w:space="0" w:color="auto"/>
        <w:bottom w:val="none" w:sz="0" w:space="0" w:color="auto"/>
        <w:right w:val="none" w:sz="0" w:space="0" w:color="auto"/>
      </w:divBdr>
    </w:div>
    <w:div w:id="284435400">
      <w:bodyDiv w:val="1"/>
      <w:marLeft w:val="0"/>
      <w:marRight w:val="0"/>
      <w:marTop w:val="0"/>
      <w:marBottom w:val="0"/>
      <w:divBdr>
        <w:top w:val="none" w:sz="0" w:space="0" w:color="auto"/>
        <w:left w:val="none" w:sz="0" w:space="0" w:color="auto"/>
        <w:bottom w:val="none" w:sz="0" w:space="0" w:color="auto"/>
        <w:right w:val="none" w:sz="0" w:space="0" w:color="auto"/>
      </w:divBdr>
      <w:divsChild>
        <w:div w:id="1920553960">
          <w:marLeft w:val="504"/>
          <w:marRight w:val="0"/>
          <w:marTop w:val="140"/>
          <w:marBottom w:val="0"/>
          <w:divBdr>
            <w:top w:val="none" w:sz="0" w:space="0" w:color="auto"/>
            <w:left w:val="none" w:sz="0" w:space="0" w:color="auto"/>
            <w:bottom w:val="none" w:sz="0" w:space="0" w:color="auto"/>
            <w:right w:val="none" w:sz="0" w:space="0" w:color="auto"/>
          </w:divBdr>
        </w:div>
      </w:divsChild>
    </w:div>
    <w:div w:id="348525617">
      <w:bodyDiv w:val="1"/>
      <w:marLeft w:val="0"/>
      <w:marRight w:val="0"/>
      <w:marTop w:val="0"/>
      <w:marBottom w:val="0"/>
      <w:divBdr>
        <w:top w:val="none" w:sz="0" w:space="0" w:color="auto"/>
        <w:left w:val="none" w:sz="0" w:space="0" w:color="auto"/>
        <w:bottom w:val="none" w:sz="0" w:space="0" w:color="auto"/>
        <w:right w:val="none" w:sz="0" w:space="0" w:color="auto"/>
      </w:divBdr>
      <w:divsChild>
        <w:div w:id="1312980464">
          <w:marLeft w:val="504"/>
          <w:marRight w:val="0"/>
          <w:marTop w:val="140"/>
          <w:marBottom w:val="0"/>
          <w:divBdr>
            <w:top w:val="none" w:sz="0" w:space="0" w:color="auto"/>
            <w:left w:val="none" w:sz="0" w:space="0" w:color="auto"/>
            <w:bottom w:val="none" w:sz="0" w:space="0" w:color="auto"/>
            <w:right w:val="none" w:sz="0" w:space="0" w:color="auto"/>
          </w:divBdr>
        </w:div>
      </w:divsChild>
    </w:div>
    <w:div w:id="381440566">
      <w:bodyDiv w:val="1"/>
      <w:marLeft w:val="0"/>
      <w:marRight w:val="0"/>
      <w:marTop w:val="0"/>
      <w:marBottom w:val="0"/>
      <w:divBdr>
        <w:top w:val="none" w:sz="0" w:space="0" w:color="auto"/>
        <w:left w:val="none" w:sz="0" w:space="0" w:color="auto"/>
        <w:bottom w:val="none" w:sz="0" w:space="0" w:color="auto"/>
        <w:right w:val="none" w:sz="0" w:space="0" w:color="auto"/>
      </w:divBdr>
      <w:divsChild>
        <w:div w:id="1370305150">
          <w:marLeft w:val="504"/>
          <w:marRight w:val="0"/>
          <w:marTop w:val="140"/>
          <w:marBottom w:val="0"/>
          <w:divBdr>
            <w:top w:val="none" w:sz="0" w:space="0" w:color="auto"/>
            <w:left w:val="none" w:sz="0" w:space="0" w:color="auto"/>
            <w:bottom w:val="none" w:sz="0" w:space="0" w:color="auto"/>
            <w:right w:val="none" w:sz="0" w:space="0" w:color="auto"/>
          </w:divBdr>
        </w:div>
        <w:div w:id="765923033">
          <w:marLeft w:val="1008"/>
          <w:marRight w:val="0"/>
          <w:marTop w:val="110"/>
          <w:marBottom w:val="0"/>
          <w:divBdr>
            <w:top w:val="none" w:sz="0" w:space="0" w:color="auto"/>
            <w:left w:val="none" w:sz="0" w:space="0" w:color="auto"/>
            <w:bottom w:val="none" w:sz="0" w:space="0" w:color="auto"/>
            <w:right w:val="none" w:sz="0" w:space="0" w:color="auto"/>
          </w:divBdr>
        </w:div>
      </w:divsChild>
    </w:div>
    <w:div w:id="412749742">
      <w:bodyDiv w:val="1"/>
      <w:marLeft w:val="0"/>
      <w:marRight w:val="0"/>
      <w:marTop w:val="0"/>
      <w:marBottom w:val="0"/>
      <w:divBdr>
        <w:top w:val="none" w:sz="0" w:space="0" w:color="auto"/>
        <w:left w:val="none" w:sz="0" w:space="0" w:color="auto"/>
        <w:bottom w:val="none" w:sz="0" w:space="0" w:color="auto"/>
        <w:right w:val="none" w:sz="0" w:space="0" w:color="auto"/>
      </w:divBdr>
      <w:divsChild>
        <w:div w:id="914633789">
          <w:marLeft w:val="504"/>
          <w:marRight w:val="0"/>
          <w:marTop w:val="140"/>
          <w:marBottom w:val="0"/>
          <w:divBdr>
            <w:top w:val="none" w:sz="0" w:space="0" w:color="auto"/>
            <w:left w:val="none" w:sz="0" w:space="0" w:color="auto"/>
            <w:bottom w:val="none" w:sz="0" w:space="0" w:color="auto"/>
            <w:right w:val="none" w:sz="0" w:space="0" w:color="auto"/>
          </w:divBdr>
        </w:div>
      </w:divsChild>
    </w:div>
    <w:div w:id="448821634">
      <w:bodyDiv w:val="1"/>
      <w:marLeft w:val="0"/>
      <w:marRight w:val="0"/>
      <w:marTop w:val="0"/>
      <w:marBottom w:val="0"/>
      <w:divBdr>
        <w:top w:val="none" w:sz="0" w:space="0" w:color="auto"/>
        <w:left w:val="none" w:sz="0" w:space="0" w:color="auto"/>
        <w:bottom w:val="none" w:sz="0" w:space="0" w:color="auto"/>
        <w:right w:val="none" w:sz="0" w:space="0" w:color="auto"/>
      </w:divBdr>
      <w:divsChild>
        <w:div w:id="327484076">
          <w:marLeft w:val="504"/>
          <w:marRight w:val="0"/>
          <w:marTop w:val="140"/>
          <w:marBottom w:val="0"/>
          <w:divBdr>
            <w:top w:val="none" w:sz="0" w:space="0" w:color="auto"/>
            <w:left w:val="none" w:sz="0" w:space="0" w:color="auto"/>
            <w:bottom w:val="none" w:sz="0" w:space="0" w:color="auto"/>
            <w:right w:val="none" w:sz="0" w:space="0" w:color="auto"/>
          </w:divBdr>
        </w:div>
      </w:divsChild>
    </w:div>
    <w:div w:id="495146664">
      <w:bodyDiv w:val="1"/>
      <w:marLeft w:val="0"/>
      <w:marRight w:val="0"/>
      <w:marTop w:val="0"/>
      <w:marBottom w:val="0"/>
      <w:divBdr>
        <w:top w:val="none" w:sz="0" w:space="0" w:color="auto"/>
        <w:left w:val="none" w:sz="0" w:space="0" w:color="auto"/>
        <w:bottom w:val="none" w:sz="0" w:space="0" w:color="auto"/>
        <w:right w:val="none" w:sz="0" w:space="0" w:color="auto"/>
      </w:divBdr>
      <w:divsChild>
        <w:div w:id="1732536148">
          <w:marLeft w:val="504"/>
          <w:marRight w:val="0"/>
          <w:marTop w:val="140"/>
          <w:marBottom w:val="0"/>
          <w:divBdr>
            <w:top w:val="none" w:sz="0" w:space="0" w:color="auto"/>
            <w:left w:val="none" w:sz="0" w:space="0" w:color="auto"/>
            <w:bottom w:val="none" w:sz="0" w:space="0" w:color="auto"/>
            <w:right w:val="none" w:sz="0" w:space="0" w:color="auto"/>
          </w:divBdr>
        </w:div>
      </w:divsChild>
    </w:div>
    <w:div w:id="595408554">
      <w:bodyDiv w:val="1"/>
      <w:marLeft w:val="0"/>
      <w:marRight w:val="0"/>
      <w:marTop w:val="0"/>
      <w:marBottom w:val="0"/>
      <w:divBdr>
        <w:top w:val="none" w:sz="0" w:space="0" w:color="auto"/>
        <w:left w:val="none" w:sz="0" w:space="0" w:color="auto"/>
        <w:bottom w:val="none" w:sz="0" w:space="0" w:color="auto"/>
        <w:right w:val="none" w:sz="0" w:space="0" w:color="auto"/>
      </w:divBdr>
      <w:divsChild>
        <w:div w:id="211037798">
          <w:marLeft w:val="504"/>
          <w:marRight w:val="0"/>
          <w:marTop w:val="140"/>
          <w:marBottom w:val="0"/>
          <w:divBdr>
            <w:top w:val="none" w:sz="0" w:space="0" w:color="auto"/>
            <w:left w:val="none" w:sz="0" w:space="0" w:color="auto"/>
            <w:bottom w:val="none" w:sz="0" w:space="0" w:color="auto"/>
            <w:right w:val="none" w:sz="0" w:space="0" w:color="auto"/>
          </w:divBdr>
        </w:div>
      </w:divsChild>
    </w:div>
    <w:div w:id="800927426">
      <w:bodyDiv w:val="1"/>
      <w:marLeft w:val="0"/>
      <w:marRight w:val="0"/>
      <w:marTop w:val="0"/>
      <w:marBottom w:val="0"/>
      <w:divBdr>
        <w:top w:val="none" w:sz="0" w:space="0" w:color="auto"/>
        <w:left w:val="none" w:sz="0" w:space="0" w:color="auto"/>
        <w:bottom w:val="none" w:sz="0" w:space="0" w:color="auto"/>
        <w:right w:val="none" w:sz="0" w:space="0" w:color="auto"/>
      </w:divBdr>
      <w:divsChild>
        <w:div w:id="364990243">
          <w:marLeft w:val="504"/>
          <w:marRight w:val="0"/>
          <w:marTop w:val="140"/>
          <w:marBottom w:val="0"/>
          <w:divBdr>
            <w:top w:val="none" w:sz="0" w:space="0" w:color="auto"/>
            <w:left w:val="none" w:sz="0" w:space="0" w:color="auto"/>
            <w:bottom w:val="none" w:sz="0" w:space="0" w:color="auto"/>
            <w:right w:val="none" w:sz="0" w:space="0" w:color="auto"/>
          </w:divBdr>
        </w:div>
        <w:div w:id="1365904099">
          <w:marLeft w:val="1008"/>
          <w:marRight w:val="0"/>
          <w:marTop w:val="110"/>
          <w:marBottom w:val="0"/>
          <w:divBdr>
            <w:top w:val="none" w:sz="0" w:space="0" w:color="auto"/>
            <w:left w:val="none" w:sz="0" w:space="0" w:color="auto"/>
            <w:bottom w:val="none" w:sz="0" w:space="0" w:color="auto"/>
            <w:right w:val="none" w:sz="0" w:space="0" w:color="auto"/>
          </w:divBdr>
        </w:div>
      </w:divsChild>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91298586">
      <w:bodyDiv w:val="1"/>
      <w:marLeft w:val="0"/>
      <w:marRight w:val="0"/>
      <w:marTop w:val="0"/>
      <w:marBottom w:val="0"/>
      <w:divBdr>
        <w:top w:val="none" w:sz="0" w:space="0" w:color="auto"/>
        <w:left w:val="none" w:sz="0" w:space="0" w:color="auto"/>
        <w:bottom w:val="none" w:sz="0" w:space="0" w:color="auto"/>
        <w:right w:val="none" w:sz="0" w:space="0" w:color="auto"/>
      </w:divBdr>
      <w:divsChild>
        <w:div w:id="9722794">
          <w:marLeft w:val="1440"/>
          <w:marRight w:val="0"/>
          <w:marTop w:val="100"/>
          <w:marBottom w:val="0"/>
          <w:divBdr>
            <w:top w:val="none" w:sz="0" w:space="0" w:color="auto"/>
            <w:left w:val="none" w:sz="0" w:space="0" w:color="auto"/>
            <w:bottom w:val="none" w:sz="0" w:space="0" w:color="auto"/>
            <w:right w:val="none" w:sz="0" w:space="0" w:color="auto"/>
          </w:divBdr>
        </w:div>
      </w:divsChild>
    </w:div>
    <w:div w:id="1111127079">
      <w:bodyDiv w:val="1"/>
      <w:marLeft w:val="0"/>
      <w:marRight w:val="0"/>
      <w:marTop w:val="0"/>
      <w:marBottom w:val="0"/>
      <w:divBdr>
        <w:top w:val="none" w:sz="0" w:space="0" w:color="auto"/>
        <w:left w:val="none" w:sz="0" w:space="0" w:color="auto"/>
        <w:bottom w:val="none" w:sz="0" w:space="0" w:color="auto"/>
        <w:right w:val="none" w:sz="0" w:space="0" w:color="auto"/>
      </w:divBdr>
    </w:div>
    <w:div w:id="1123113777">
      <w:bodyDiv w:val="1"/>
      <w:marLeft w:val="0"/>
      <w:marRight w:val="0"/>
      <w:marTop w:val="0"/>
      <w:marBottom w:val="0"/>
      <w:divBdr>
        <w:top w:val="none" w:sz="0" w:space="0" w:color="auto"/>
        <w:left w:val="none" w:sz="0" w:space="0" w:color="auto"/>
        <w:bottom w:val="none" w:sz="0" w:space="0" w:color="auto"/>
        <w:right w:val="none" w:sz="0" w:space="0" w:color="auto"/>
      </w:divBdr>
      <w:divsChild>
        <w:div w:id="1470437900">
          <w:marLeft w:val="504"/>
          <w:marRight w:val="0"/>
          <w:marTop w:val="140"/>
          <w:marBottom w:val="0"/>
          <w:divBdr>
            <w:top w:val="none" w:sz="0" w:space="0" w:color="auto"/>
            <w:left w:val="none" w:sz="0" w:space="0" w:color="auto"/>
            <w:bottom w:val="none" w:sz="0" w:space="0" w:color="auto"/>
            <w:right w:val="none" w:sz="0" w:space="0" w:color="auto"/>
          </w:divBdr>
        </w:div>
      </w:divsChild>
    </w:div>
    <w:div w:id="1258170315">
      <w:bodyDiv w:val="1"/>
      <w:marLeft w:val="0"/>
      <w:marRight w:val="0"/>
      <w:marTop w:val="0"/>
      <w:marBottom w:val="0"/>
      <w:divBdr>
        <w:top w:val="none" w:sz="0" w:space="0" w:color="auto"/>
        <w:left w:val="none" w:sz="0" w:space="0" w:color="auto"/>
        <w:bottom w:val="none" w:sz="0" w:space="0" w:color="auto"/>
        <w:right w:val="none" w:sz="0" w:space="0" w:color="auto"/>
      </w:divBdr>
      <w:divsChild>
        <w:div w:id="1887834675">
          <w:marLeft w:val="504"/>
          <w:marRight w:val="0"/>
          <w:marTop w:val="140"/>
          <w:marBottom w:val="0"/>
          <w:divBdr>
            <w:top w:val="none" w:sz="0" w:space="0" w:color="auto"/>
            <w:left w:val="none" w:sz="0" w:space="0" w:color="auto"/>
            <w:bottom w:val="none" w:sz="0" w:space="0" w:color="auto"/>
            <w:right w:val="none" w:sz="0" w:space="0" w:color="auto"/>
          </w:divBdr>
        </w:div>
      </w:divsChild>
    </w:div>
    <w:div w:id="1328440948">
      <w:bodyDiv w:val="1"/>
      <w:marLeft w:val="0"/>
      <w:marRight w:val="0"/>
      <w:marTop w:val="0"/>
      <w:marBottom w:val="0"/>
      <w:divBdr>
        <w:top w:val="none" w:sz="0" w:space="0" w:color="auto"/>
        <w:left w:val="none" w:sz="0" w:space="0" w:color="auto"/>
        <w:bottom w:val="none" w:sz="0" w:space="0" w:color="auto"/>
        <w:right w:val="none" w:sz="0" w:space="0" w:color="auto"/>
      </w:divBdr>
      <w:divsChild>
        <w:div w:id="1732384169">
          <w:marLeft w:val="504"/>
          <w:marRight w:val="0"/>
          <w:marTop w:val="140"/>
          <w:marBottom w:val="0"/>
          <w:divBdr>
            <w:top w:val="none" w:sz="0" w:space="0" w:color="auto"/>
            <w:left w:val="none" w:sz="0" w:space="0" w:color="auto"/>
            <w:bottom w:val="none" w:sz="0" w:space="0" w:color="auto"/>
            <w:right w:val="none" w:sz="0" w:space="0" w:color="auto"/>
          </w:divBdr>
        </w:div>
        <w:div w:id="755326197">
          <w:marLeft w:val="1008"/>
          <w:marRight w:val="0"/>
          <w:marTop w:val="110"/>
          <w:marBottom w:val="0"/>
          <w:divBdr>
            <w:top w:val="none" w:sz="0" w:space="0" w:color="auto"/>
            <w:left w:val="none" w:sz="0" w:space="0" w:color="auto"/>
            <w:bottom w:val="none" w:sz="0" w:space="0" w:color="auto"/>
            <w:right w:val="none" w:sz="0" w:space="0" w:color="auto"/>
          </w:divBdr>
        </w:div>
      </w:divsChild>
    </w:div>
    <w:div w:id="1436513486">
      <w:bodyDiv w:val="1"/>
      <w:marLeft w:val="0"/>
      <w:marRight w:val="0"/>
      <w:marTop w:val="0"/>
      <w:marBottom w:val="0"/>
      <w:divBdr>
        <w:top w:val="none" w:sz="0" w:space="0" w:color="auto"/>
        <w:left w:val="none" w:sz="0" w:space="0" w:color="auto"/>
        <w:bottom w:val="none" w:sz="0" w:space="0" w:color="auto"/>
        <w:right w:val="none" w:sz="0" w:space="0" w:color="auto"/>
      </w:divBdr>
      <w:divsChild>
        <w:div w:id="1626807473">
          <w:marLeft w:val="504"/>
          <w:marRight w:val="0"/>
          <w:marTop w:val="140"/>
          <w:marBottom w:val="0"/>
          <w:divBdr>
            <w:top w:val="none" w:sz="0" w:space="0" w:color="auto"/>
            <w:left w:val="none" w:sz="0" w:space="0" w:color="auto"/>
            <w:bottom w:val="none" w:sz="0" w:space="0" w:color="auto"/>
            <w:right w:val="none" w:sz="0" w:space="0" w:color="auto"/>
          </w:divBdr>
        </w:div>
      </w:divsChild>
    </w:div>
    <w:div w:id="1622030371">
      <w:bodyDiv w:val="1"/>
      <w:marLeft w:val="0"/>
      <w:marRight w:val="0"/>
      <w:marTop w:val="0"/>
      <w:marBottom w:val="0"/>
      <w:divBdr>
        <w:top w:val="none" w:sz="0" w:space="0" w:color="auto"/>
        <w:left w:val="none" w:sz="0" w:space="0" w:color="auto"/>
        <w:bottom w:val="none" w:sz="0" w:space="0" w:color="auto"/>
        <w:right w:val="none" w:sz="0" w:space="0" w:color="auto"/>
      </w:divBdr>
      <w:divsChild>
        <w:div w:id="1799101296">
          <w:marLeft w:val="504"/>
          <w:marRight w:val="0"/>
          <w:marTop w:val="140"/>
          <w:marBottom w:val="0"/>
          <w:divBdr>
            <w:top w:val="none" w:sz="0" w:space="0" w:color="auto"/>
            <w:left w:val="none" w:sz="0" w:space="0" w:color="auto"/>
            <w:bottom w:val="none" w:sz="0" w:space="0" w:color="auto"/>
            <w:right w:val="none" w:sz="0" w:space="0" w:color="auto"/>
          </w:divBdr>
        </w:div>
        <w:div w:id="103966088">
          <w:marLeft w:val="1008"/>
          <w:marRight w:val="0"/>
          <w:marTop w:val="110"/>
          <w:marBottom w:val="0"/>
          <w:divBdr>
            <w:top w:val="none" w:sz="0" w:space="0" w:color="auto"/>
            <w:left w:val="none" w:sz="0" w:space="0" w:color="auto"/>
            <w:bottom w:val="none" w:sz="0" w:space="0" w:color="auto"/>
            <w:right w:val="none" w:sz="0" w:space="0" w:color="auto"/>
          </w:divBdr>
        </w:div>
        <w:div w:id="264657608">
          <w:marLeft w:val="1008"/>
          <w:marRight w:val="0"/>
          <w:marTop w:val="110"/>
          <w:marBottom w:val="0"/>
          <w:divBdr>
            <w:top w:val="none" w:sz="0" w:space="0" w:color="auto"/>
            <w:left w:val="none" w:sz="0" w:space="0" w:color="auto"/>
            <w:bottom w:val="none" w:sz="0" w:space="0" w:color="auto"/>
            <w:right w:val="none" w:sz="0" w:space="0" w:color="auto"/>
          </w:divBdr>
        </w:div>
      </w:divsChild>
    </w:div>
    <w:div w:id="1690718537">
      <w:bodyDiv w:val="1"/>
      <w:marLeft w:val="0"/>
      <w:marRight w:val="0"/>
      <w:marTop w:val="0"/>
      <w:marBottom w:val="0"/>
      <w:divBdr>
        <w:top w:val="none" w:sz="0" w:space="0" w:color="auto"/>
        <w:left w:val="none" w:sz="0" w:space="0" w:color="auto"/>
        <w:bottom w:val="none" w:sz="0" w:space="0" w:color="auto"/>
        <w:right w:val="none" w:sz="0" w:space="0" w:color="auto"/>
      </w:divBdr>
      <w:divsChild>
        <w:div w:id="767820778">
          <w:marLeft w:val="504"/>
          <w:marRight w:val="0"/>
          <w:marTop w:val="140"/>
          <w:marBottom w:val="0"/>
          <w:divBdr>
            <w:top w:val="none" w:sz="0" w:space="0" w:color="auto"/>
            <w:left w:val="none" w:sz="0" w:space="0" w:color="auto"/>
            <w:bottom w:val="none" w:sz="0" w:space="0" w:color="auto"/>
            <w:right w:val="none" w:sz="0" w:space="0" w:color="auto"/>
          </w:divBdr>
        </w:div>
        <w:div w:id="1670713901">
          <w:marLeft w:val="504"/>
          <w:marRight w:val="0"/>
          <w:marTop w:val="14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97951136">
      <w:bodyDiv w:val="1"/>
      <w:marLeft w:val="0"/>
      <w:marRight w:val="0"/>
      <w:marTop w:val="0"/>
      <w:marBottom w:val="0"/>
      <w:divBdr>
        <w:top w:val="none" w:sz="0" w:space="0" w:color="auto"/>
        <w:left w:val="none" w:sz="0" w:space="0" w:color="auto"/>
        <w:bottom w:val="none" w:sz="0" w:space="0" w:color="auto"/>
        <w:right w:val="none" w:sz="0" w:space="0" w:color="auto"/>
      </w:divBdr>
    </w:div>
    <w:div w:id="2108891750">
      <w:bodyDiv w:val="1"/>
      <w:marLeft w:val="0"/>
      <w:marRight w:val="0"/>
      <w:marTop w:val="0"/>
      <w:marBottom w:val="0"/>
      <w:divBdr>
        <w:top w:val="none" w:sz="0" w:space="0" w:color="auto"/>
        <w:left w:val="none" w:sz="0" w:space="0" w:color="auto"/>
        <w:bottom w:val="none" w:sz="0" w:space="0" w:color="auto"/>
        <w:right w:val="none" w:sz="0" w:space="0" w:color="auto"/>
      </w:divBdr>
      <w:divsChild>
        <w:div w:id="945423604">
          <w:marLeft w:val="504"/>
          <w:marRight w:val="0"/>
          <w:marTop w:val="1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1EFC3-A152-4B42-9D5D-F0CA4B97A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26</Pages>
  <Words>10259</Words>
  <Characters>58128</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68251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Mareddy Shobha</dc:creator>
  <cp:lastModifiedBy>Thomas Gareth</cp:lastModifiedBy>
  <cp:revision>3</cp:revision>
  <cp:lastPrinted>2014-07-14T00:14:00Z</cp:lastPrinted>
  <dcterms:created xsi:type="dcterms:W3CDTF">2014-10-30T02:40:00Z</dcterms:created>
  <dcterms:modified xsi:type="dcterms:W3CDTF">2014-11-12T22:38:00Z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